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7FDE">
      <w:pPr>
        <w:pStyle w:val="13"/>
        <w:spacing w:line="20" w:lineRule="exact"/>
        <w:ind w:left="344" w:firstLine="40"/>
        <w:rPr>
          <w:rFonts w:ascii="Times New Roman"/>
          <w:color w:val="auto"/>
          <w:sz w:val="2"/>
          <w:highlight w:val="none"/>
        </w:rPr>
      </w:pPr>
    </w:p>
    <w:p w14:paraId="0FE40844">
      <w:pPr>
        <w:pStyle w:val="13"/>
        <w:ind w:firstLine="402"/>
        <w:rPr>
          <w:rFonts w:ascii="Times New Roman"/>
          <w:color w:val="auto"/>
          <w:sz w:val="20"/>
          <w:highlight w:val="none"/>
        </w:rPr>
      </w:pPr>
    </w:p>
    <w:p w14:paraId="0B5BDDE9">
      <w:pPr>
        <w:pStyle w:val="23"/>
        <w:ind w:firstLine="1285"/>
        <w:rPr>
          <w:b w:val="0"/>
          <w:bCs w:val="0"/>
          <w:color w:val="auto"/>
          <w:highlight w:val="none"/>
        </w:rPr>
      </w:pPr>
    </w:p>
    <w:p w14:paraId="1D5AD66D">
      <w:pPr>
        <w:pStyle w:val="23"/>
        <w:ind w:firstLine="1680"/>
        <w:rPr>
          <w:b w:val="0"/>
          <w:bCs w:val="0"/>
          <w:color w:val="auto"/>
          <w:highlight w:val="none"/>
        </w:rPr>
      </w:pPr>
    </w:p>
    <w:p w14:paraId="5C9839A6">
      <w:pPr>
        <w:pStyle w:val="23"/>
        <w:ind w:firstLine="1680"/>
        <w:rPr>
          <w:b w:val="0"/>
          <w:bCs w:val="0"/>
          <w:color w:val="auto"/>
          <w:highlight w:val="none"/>
        </w:rPr>
      </w:pPr>
    </w:p>
    <w:p w14:paraId="67B4B110">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64A76F95">
      <w:pPr>
        <w:spacing w:before="312" w:beforeLines="100" w:after="156" w:after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color w:val="auto"/>
          <w:sz w:val="32"/>
          <w:szCs w:val="32"/>
          <w:highlight w:val="none"/>
        </w:rPr>
        <w:t>（全流程电子化评标）</w:t>
      </w:r>
    </w:p>
    <w:p w14:paraId="2043144C">
      <w:pPr>
        <w:spacing w:line="360" w:lineRule="auto"/>
        <w:jc w:val="center"/>
        <w:rPr>
          <w:rFonts w:hint="eastAsia" w:ascii="宋体" w:hAnsi="宋体" w:eastAsia="宋体" w:cs="宋体"/>
          <w:b/>
          <w:color w:val="auto"/>
          <w:sz w:val="32"/>
          <w:szCs w:val="32"/>
          <w:highlight w:val="none"/>
        </w:rPr>
      </w:pPr>
    </w:p>
    <w:p w14:paraId="7832376A">
      <w:pPr>
        <w:pStyle w:val="20"/>
        <w:tabs>
          <w:tab w:val="right" w:leader="dot" w:pos="8296"/>
        </w:tabs>
        <w:spacing w:line="360" w:lineRule="auto"/>
        <w:rPr>
          <w:rFonts w:hint="eastAsia"/>
          <w:color w:val="auto"/>
          <w:highlight w:val="none"/>
        </w:rPr>
      </w:pPr>
    </w:p>
    <w:p w14:paraId="7116B9C6">
      <w:pPr>
        <w:rPr>
          <w:rFonts w:hint="eastAsia"/>
          <w:color w:val="auto"/>
          <w:highlight w:val="none"/>
        </w:rPr>
      </w:pPr>
    </w:p>
    <w:p w14:paraId="396E32FD">
      <w:pPr>
        <w:spacing w:line="360" w:lineRule="auto"/>
        <w:rPr>
          <w:rFonts w:hint="eastAsia"/>
          <w:color w:val="auto"/>
          <w:highlight w:val="none"/>
        </w:rPr>
      </w:pPr>
    </w:p>
    <w:p w14:paraId="33A54691">
      <w:pPr>
        <w:spacing w:line="360" w:lineRule="auto"/>
        <w:rPr>
          <w:rFonts w:hint="eastAsia"/>
          <w:color w:val="auto"/>
          <w:highlight w:val="none"/>
        </w:rPr>
      </w:pPr>
    </w:p>
    <w:p w14:paraId="37A68272">
      <w:pPr>
        <w:spacing w:line="360" w:lineRule="auto"/>
        <w:rPr>
          <w:rFonts w:hint="eastAsia"/>
          <w:color w:val="auto"/>
          <w:highlight w:val="none"/>
        </w:rPr>
      </w:pPr>
    </w:p>
    <w:p w14:paraId="5AA67498">
      <w:pPr>
        <w:pStyle w:val="17"/>
        <w:spacing w:line="360" w:lineRule="auto"/>
        <w:rPr>
          <w:rFonts w:hint="eastAsia"/>
          <w:color w:val="auto"/>
          <w:highlight w:val="none"/>
        </w:rPr>
      </w:pPr>
    </w:p>
    <w:p w14:paraId="50E603EA">
      <w:pPr>
        <w:spacing w:line="360" w:lineRule="auto"/>
        <w:rPr>
          <w:rFonts w:hint="eastAsia"/>
          <w:color w:val="auto"/>
          <w:highlight w:val="none"/>
        </w:rPr>
      </w:pPr>
    </w:p>
    <w:p w14:paraId="6A994753">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u w:val="none"/>
          <w:lang w:eastAsia="zh-CN"/>
        </w:rPr>
        <w:t>广西壮族自治区恭城公路养护中心G357线K1265+300～K1272+300公路灾害防治工程</w:t>
      </w:r>
    </w:p>
    <w:p w14:paraId="62048B8D">
      <w:pPr>
        <w:spacing w:line="360" w:lineRule="auto"/>
        <w:ind w:left="0" w:leftChars="0" w:firstLine="0" w:firstLineChars="0"/>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项目编号：</w:t>
      </w:r>
      <w:r>
        <w:rPr>
          <w:rFonts w:hint="eastAsia" w:cs="宋体"/>
          <w:b/>
          <w:color w:val="auto"/>
          <w:sz w:val="32"/>
          <w:szCs w:val="32"/>
          <w:highlight w:val="none"/>
          <w:lang w:eastAsia="zh-CN"/>
        </w:rPr>
        <w:t>GXZC2026-C2-001831-GXCJ</w:t>
      </w:r>
    </w:p>
    <w:p w14:paraId="3C508FFD">
      <w:pPr>
        <w:spacing w:line="360" w:lineRule="auto"/>
        <w:ind w:firstLine="0" w:firstLineChars="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采购人：</w:t>
      </w:r>
      <w:r>
        <w:rPr>
          <w:rFonts w:hint="eastAsia" w:ascii="宋体" w:hAnsi="宋体" w:cs="宋体"/>
          <w:b/>
          <w:color w:val="auto"/>
          <w:sz w:val="32"/>
          <w:szCs w:val="32"/>
          <w:highlight w:val="none"/>
          <w:lang w:val="en-US" w:eastAsia="zh-CN"/>
        </w:rPr>
        <w:t>广西壮族自治区恭城公路养护中心</w:t>
      </w:r>
    </w:p>
    <w:p w14:paraId="27C20620">
      <w:pPr>
        <w:spacing w:line="360" w:lineRule="auto"/>
        <w:ind w:firstLine="0" w:firstLineChars="0"/>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广西城建咨询设计有限公司</w:t>
      </w:r>
    </w:p>
    <w:p w14:paraId="41ADE1BA">
      <w:pPr>
        <w:spacing w:line="360" w:lineRule="auto"/>
        <w:jc w:val="both"/>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日期：</w:t>
      </w:r>
      <w:r>
        <w:rPr>
          <w:rFonts w:hint="eastAsia" w:ascii="宋体" w:hAnsi="宋体" w:eastAsia="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月</w:t>
      </w:r>
    </w:p>
    <w:p w14:paraId="518D4D23">
      <w:pPr>
        <w:spacing w:line="360" w:lineRule="auto"/>
        <w:jc w:val="both"/>
        <w:rPr>
          <w:rFonts w:hint="eastAsia" w:ascii="宋体" w:hAnsi="宋体"/>
          <w:b/>
          <w:color w:val="auto"/>
          <w:sz w:val="44"/>
          <w:szCs w:val="44"/>
          <w:highlight w:val="none"/>
        </w:rPr>
        <w:sectPr>
          <w:headerReference r:id="rId3" w:type="default"/>
          <w:footerReference r:id="rId4" w:type="default"/>
          <w:pgSz w:w="11911" w:h="16849"/>
          <w:pgMar w:top="1417" w:right="1417" w:bottom="1417" w:left="1417" w:header="720" w:footer="720" w:gutter="0"/>
          <w:pgBorders w:offsetFrom="page">
            <w:top w:val="none" w:sz="0" w:space="0"/>
            <w:left w:val="none" w:sz="0" w:space="0"/>
            <w:bottom w:val="none" w:sz="0" w:space="0"/>
            <w:right w:val="none" w:sz="0" w:space="0"/>
          </w:pgBorders>
          <w:pgNumType w:fmt="decimal" w:start="1"/>
          <w:cols w:space="0" w:num="1"/>
          <w:rtlGutter w:val="0"/>
          <w:docGrid w:linePitch="331" w:charSpace="0"/>
        </w:sectPr>
      </w:pPr>
    </w:p>
    <w:p w14:paraId="30F23265">
      <w:pPr>
        <w:pStyle w:val="13"/>
        <w:spacing w:line="20" w:lineRule="exact"/>
        <w:ind w:left="344" w:firstLine="40"/>
        <w:rPr>
          <w:color w:val="auto"/>
          <w:sz w:val="2"/>
          <w:highlight w:val="none"/>
        </w:rPr>
      </w:pPr>
    </w:p>
    <w:p w14:paraId="6467788E">
      <w:pPr>
        <w:pStyle w:val="13"/>
        <w:tabs>
          <w:tab w:val="left" w:pos="9102"/>
        </w:tabs>
        <w:ind w:firstLine="400"/>
        <w:rPr>
          <w:b/>
          <w:color w:val="auto"/>
          <w:sz w:val="20"/>
          <w:highlight w:val="none"/>
        </w:rPr>
      </w:pPr>
      <w:r>
        <w:rPr>
          <w:rFonts w:hint="eastAsia"/>
          <w:b/>
          <w:color w:val="auto"/>
          <w:sz w:val="20"/>
          <w:highlight w:val="none"/>
        </w:rPr>
        <w:tab/>
      </w:r>
    </w:p>
    <w:p w14:paraId="43BECC54">
      <w:pPr>
        <w:tabs>
          <w:tab w:val="left" w:pos="1540"/>
        </w:tabs>
        <w:spacing w:before="194"/>
        <w:ind w:right="317" w:firstLine="880"/>
        <w:jc w:val="center"/>
        <w:rPr>
          <w:b/>
          <w:bCs/>
          <w:color w:val="auto"/>
          <w:sz w:val="44"/>
          <w:highlight w:val="none"/>
        </w:rPr>
      </w:pPr>
      <w:r>
        <w:rPr>
          <w:b/>
          <w:bCs/>
          <w:color w:val="auto"/>
          <w:sz w:val="44"/>
          <w:highlight w:val="none"/>
        </w:rPr>
        <w:t>目</w:t>
      </w:r>
      <w:r>
        <w:rPr>
          <w:b/>
          <w:bCs/>
          <w:color w:val="auto"/>
          <w:sz w:val="44"/>
          <w:highlight w:val="none"/>
        </w:rPr>
        <w:tab/>
      </w:r>
      <w:r>
        <w:rPr>
          <w:b/>
          <w:bCs/>
          <w:color w:val="auto"/>
          <w:sz w:val="44"/>
          <w:highlight w:val="none"/>
        </w:rPr>
        <w:t>录</w:t>
      </w:r>
    </w:p>
    <w:sdt>
      <w:sdtPr>
        <w:rPr>
          <w:color w:val="auto"/>
          <w:sz w:val="21"/>
          <w:highlight w:val="none"/>
        </w:rPr>
        <w:id w:val="147472739"/>
        <w:docPartObj>
          <w:docPartGallery w:val="Table of Contents"/>
          <w:docPartUnique/>
        </w:docPartObj>
      </w:sdtPr>
      <w:sdtEndPr>
        <w:rPr>
          <w:color w:val="auto"/>
          <w:sz w:val="21"/>
          <w:highlight w:val="none"/>
        </w:rPr>
      </w:sdtEndPr>
      <w:sdtContent>
        <w:p w14:paraId="16F5D6EB">
          <w:pPr>
            <w:ind w:firstLine="422"/>
            <w:jc w:val="center"/>
            <w:rPr>
              <w:color w:val="auto"/>
              <w:highlight w:val="none"/>
            </w:rPr>
          </w:pPr>
        </w:p>
        <w:p w14:paraId="17ECD52D">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_Toc51 </w:instrText>
          </w:r>
          <w:r>
            <w:rPr>
              <w:color w:val="auto"/>
              <w:sz w:val="32"/>
              <w:szCs w:val="32"/>
              <w:highlight w:val="none"/>
            </w:rPr>
            <w:fldChar w:fldCharType="separate"/>
          </w:r>
          <w:r>
            <w:rPr>
              <w:color w:val="auto"/>
              <w:sz w:val="32"/>
              <w:szCs w:val="32"/>
              <w:highlight w:val="none"/>
            </w:rPr>
            <w:t>第一章</w:t>
          </w:r>
          <w:r>
            <w:rPr>
              <w:rFonts w:hint="eastAsia"/>
              <w:color w:val="auto"/>
              <w:sz w:val="32"/>
              <w:szCs w:val="32"/>
              <w:highlight w:val="none"/>
              <w:lang w:val="en-US" w:eastAsia="zh-CN"/>
            </w:rPr>
            <w:t xml:space="preserve"> </w:t>
          </w:r>
          <w:r>
            <w:rPr>
              <w:color w:val="auto"/>
              <w:sz w:val="32"/>
              <w:szCs w:val="32"/>
              <w:highlight w:val="none"/>
            </w:rPr>
            <w:t>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_Toc51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color w:val="auto"/>
              <w:sz w:val="32"/>
              <w:szCs w:val="32"/>
              <w:highlight w:val="none"/>
            </w:rPr>
            <w:fldChar w:fldCharType="end"/>
          </w:r>
        </w:p>
        <w:p w14:paraId="2E1CE398">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_Toc12998 </w:instrText>
          </w:r>
          <w:r>
            <w:rPr>
              <w:color w:val="auto"/>
              <w:sz w:val="32"/>
              <w:szCs w:val="32"/>
              <w:highlight w:val="none"/>
            </w:rPr>
            <w:fldChar w:fldCharType="separate"/>
          </w:r>
          <w:r>
            <w:rPr>
              <w:rFonts w:hint="eastAsia" w:ascii="Cambria" w:hAnsi="Cambria" w:cs="Times New Roman"/>
              <w:color w:val="auto"/>
              <w:kern w:val="44"/>
              <w:sz w:val="32"/>
              <w:szCs w:val="32"/>
              <w:highlight w:val="none"/>
            </w:rPr>
            <w:t>第二章</w:t>
          </w:r>
          <w:r>
            <w:rPr>
              <w:rFonts w:hint="eastAsia" w:ascii="Cambria" w:hAnsi="Cambria" w:cs="Times New Roman"/>
              <w:color w:val="auto"/>
              <w:kern w:val="44"/>
              <w:sz w:val="32"/>
              <w:szCs w:val="32"/>
              <w:highlight w:val="none"/>
              <w:lang w:val="en-US" w:eastAsia="zh-CN"/>
            </w:rPr>
            <w:t xml:space="preserve"> </w:t>
          </w:r>
          <w:r>
            <w:rPr>
              <w:rFonts w:hint="eastAsia" w:ascii="Cambria" w:hAnsi="Cambria" w:cs="Times New Roman"/>
              <w:color w:val="auto"/>
              <w:kern w:val="44"/>
              <w:sz w:val="32"/>
              <w:szCs w:val="32"/>
              <w:highlight w:val="none"/>
            </w:rPr>
            <w:t>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_Toc12998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75622538">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_Toc20973 </w:instrText>
          </w:r>
          <w:r>
            <w:rPr>
              <w:color w:val="auto"/>
              <w:sz w:val="32"/>
              <w:szCs w:val="32"/>
              <w:highlight w:val="none"/>
            </w:rPr>
            <w:fldChar w:fldCharType="separate"/>
          </w:r>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_Toc20973 \h </w:instrText>
          </w:r>
          <w:r>
            <w:rPr>
              <w:color w:val="auto"/>
              <w:sz w:val="32"/>
              <w:szCs w:val="32"/>
              <w:highlight w:val="none"/>
            </w:rPr>
            <w:fldChar w:fldCharType="separate"/>
          </w:r>
          <w:r>
            <w:rPr>
              <w:color w:val="auto"/>
              <w:sz w:val="32"/>
              <w:szCs w:val="32"/>
              <w:highlight w:val="none"/>
            </w:rPr>
            <w:t>31</w:t>
          </w:r>
          <w:r>
            <w:rPr>
              <w:color w:val="auto"/>
              <w:sz w:val="32"/>
              <w:szCs w:val="32"/>
              <w:highlight w:val="none"/>
            </w:rPr>
            <w:fldChar w:fldCharType="end"/>
          </w:r>
          <w:r>
            <w:rPr>
              <w:color w:val="auto"/>
              <w:sz w:val="32"/>
              <w:szCs w:val="32"/>
              <w:highlight w:val="none"/>
            </w:rPr>
            <w:fldChar w:fldCharType="end"/>
          </w:r>
        </w:p>
        <w:p w14:paraId="3C3782E5">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_Toc25797 </w:instrText>
          </w:r>
          <w:r>
            <w:rPr>
              <w:color w:val="auto"/>
              <w:sz w:val="32"/>
              <w:szCs w:val="32"/>
              <w:highlight w:val="none"/>
            </w:rPr>
            <w:fldChar w:fldCharType="separate"/>
          </w:r>
          <w:r>
            <w:rPr>
              <w:rFonts w:hint="eastAsia"/>
              <w:color w:val="auto"/>
              <w:sz w:val="32"/>
              <w:szCs w:val="32"/>
              <w:highlight w:val="none"/>
            </w:rPr>
            <w:t>第四章</w:t>
          </w:r>
          <w:r>
            <w:rPr>
              <w:rFonts w:hint="eastAsia"/>
              <w:color w:val="auto"/>
              <w:sz w:val="32"/>
              <w:szCs w:val="32"/>
              <w:highlight w:val="none"/>
              <w:lang w:val="en-US" w:eastAsia="zh-CN"/>
            </w:rPr>
            <w:t xml:space="preserve"> </w:t>
          </w:r>
          <w:r>
            <w:rPr>
              <w:color w:val="auto"/>
              <w:sz w:val="32"/>
              <w:szCs w:val="32"/>
              <w:highlight w:val="none"/>
            </w:rPr>
            <w:t>评审办法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_Toc25797 \h </w:instrText>
          </w:r>
          <w:r>
            <w:rPr>
              <w:color w:val="auto"/>
              <w:sz w:val="32"/>
              <w:szCs w:val="32"/>
              <w:highlight w:val="none"/>
            </w:rPr>
            <w:fldChar w:fldCharType="separate"/>
          </w:r>
          <w:r>
            <w:rPr>
              <w:color w:val="auto"/>
              <w:sz w:val="32"/>
              <w:szCs w:val="32"/>
              <w:highlight w:val="none"/>
            </w:rPr>
            <w:t>33</w:t>
          </w:r>
          <w:r>
            <w:rPr>
              <w:color w:val="auto"/>
              <w:sz w:val="32"/>
              <w:szCs w:val="32"/>
              <w:highlight w:val="none"/>
            </w:rPr>
            <w:fldChar w:fldCharType="end"/>
          </w:r>
          <w:r>
            <w:rPr>
              <w:color w:val="auto"/>
              <w:sz w:val="32"/>
              <w:szCs w:val="32"/>
              <w:highlight w:val="none"/>
            </w:rPr>
            <w:fldChar w:fldCharType="end"/>
          </w:r>
        </w:p>
        <w:p w14:paraId="20FAAE0A">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_Toc23683 </w:instrText>
          </w:r>
          <w:r>
            <w:rPr>
              <w:color w:val="auto"/>
              <w:sz w:val="32"/>
              <w:szCs w:val="32"/>
              <w:highlight w:val="none"/>
            </w:rPr>
            <w:fldChar w:fldCharType="separate"/>
          </w:r>
          <w:r>
            <w:rPr>
              <w:rFonts w:hint="eastAsia"/>
              <w:color w:val="auto"/>
              <w:sz w:val="32"/>
              <w:szCs w:val="32"/>
              <w:highlight w:val="none"/>
            </w:rPr>
            <w:t xml:space="preserve">第五章 </w:t>
          </w:r>
          <w:r>
            <w:rPr>
              <w:color w:val="auto"/>
              <w:sz w:val="32"/>
              <w:szCs w:val="32"/>
              <w:highlight w:val="none"/>
            </w:rPr>
            <w:t>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_Toc23683 \h </w:instrText>
          </w:r>
          <w:r>
            <w:rPr>
              <w:color w:val="auto"/>
              <w:sz w:val="32"/>
              <w:szCs w:val="32"/>
              <w:highlight w:val="none"/>
            </w:rPr>
            <w:fldChar w:fldCharType="separate"/>
          </w:r>
          <w:r>
            <w:rPr>
              <w:color w:val="auto"/>
              <w:sz w:val="32"/>
              <w:szCs w:val="32"/>
              <w:highlight w:val="none"/>
            </w:rPr>
            <w:t>38</w:t>
          </w:r>
          <w:r>
            <w:rPr>
              <w:color w:val="auto"/>
              <w:sz w:val="32"/>
              <w:szCs w:val="32"/>
              <w:highlight w:val="none"/>
            </w:rPr>
            <w:fldChar w:fldCharType="end"/>
          </w:r>
          <w:r>
            <w:rPr>
              <w:color w:val="auto"/>
              <w:sz w:val="32"/>
              <w:szCs w:val="32"/>
              <w:highlight w:val="none"/>
            </w:rPr>
            <w:fldChar w:fldCharType="end"/>
          </w:r>
        </w:p>
        <w:p w14:paraId="458FB256">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_Toc8426 </w:instrText>
          </w:r>
          <w:r>
            <w:rPr>
              <w:color w:val="auto"/>
              <w:sz w:val="32"/>
              <w:szCs w:val="32"/>
              <w:highlight w:val="none"/>
            </w:rPr>
            <w:fldChar w:fldCharType="separate"/>
          </w:r>
          <w:r>
            <w:rPr>
              <w:rFonts w:hint="eastAsia"/>
              <w:color w:val="auto"/>
              <w:sz w:val="32"/>
              <w:szCs w:val="32"/>
              <w:highlight w:val="none"/>
            </w:rPr>
            <w:t>第六章</w:t>
          </w:r>
          <w:r>
            <w:rPr>
              <w:rFonts w:hint="eastAsia"/>
              <w:color w:val="auto"/>
              <w:sz w:val="32"/>
              <w:szCs w:val="32"/>
              <w:highlight w:val="none"/>
              <w:lang w:val="en-US" w:eastAsia="zh-CN"/>
            </w:rPr>
            <w:t xml:space="preserve"> </w:t>
          </w:r>
          <w:r>
            <w:rPr>
              <w:rFonts w:hint="eastAsia"/>
              <w:color w:val="auto"/>
              <w:sz w:val="32"/>
              <w:szCs w:val="32"/>
              <w:highlight w:val="none"/>
            </w:rPr>
            <w:t>工程量清单</w:t>
          </w:r>
          <w:r>
            <w:rPr>
              <w:rFonts w:hint="eastAsia"/>
              <w:bCs w:val="0"/>
              <w:color w:val="auto"/>
              <w:sz w:val="32"/>
              <w:szCs w:val="32"/>
              <w:highlight w:val="none"/>
            </w:rPr>
            <w:t>（另册）</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_Toc8426 \h </w:instrText>
          </w:r>
          <w:r>
            <w:rPr>
              <w:color w:val="auto"/>
              <w:sz w:val="32"/>
              <w:szCs w:val="32"/>
              <w:highlight w:val="none"/>
            </w:rPr>
            <w:fldChar w:fldCharType="separate"/>
          </w:r>
          <w:r>
            <w:rPr>
              <w:color w:val="auto"/>
              <w:sz w:val="32"/>
              <w:szCs w:val="32"/>
              <w:highlight w:val="none"/>
            </w:rPr>
            <w:t>70</w:t>
          </w:r>
          <w:r>
            <w:rPr>
              <w:color w:val="auto"/>
              <w:sz w:val="32"/>
              <w:szCs w:val="32"/>
              <w:highlight w:val="none"/>
            </w:rPr>
            <w:fldChar w:fldCharType="end"/>
          </w:r>
          <w:r>
            <w:rPr>
              <w:color w:val="auto"/>
              <w:sz w:val="32"/>
              <w:szCs w:val="32"/>
              <w:highlight w:val="none"/>
            </w:rPr>
            <w:fldChar w:fldCharType="end"/>
          </w:r>
        </w:p>
        <w:p w14:paraId="5FE83306">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_Toc23422 </w:instrText>
          </w:r>
          <w:r>
            <w:rPr>
              <w:color w:val="auto"/>
              <w:sz w:val="32"/>
              <w:szCs w:val="32"/>
              <w:highlight w:val="none"/>
            </w:rPr>
            <w:fldChar w:fldCharType="separate"/>
          </w:r>
          <w:r>
            <w:rPr>
              <w:rFonts w:hint="eastAsia"/>
              <w:color w:val="auto"/>
              <w:sz w:val="32"/>
              <w:szCs w:val="32"/>
              <w:highlight w:val="none"/>
            </w:rPr>
            <w:t>第七章</w:t>
          </w:r>
          <w:r>
            <w:rPr>
              <w:rFonts w:hint="eastAsia"/>
              <w:color w:val="auto"/>
              <w:sz w:val="32"/>
              <w:szCs w:val="32"/>
              <w:highlight w:val="none"/>
              <w:lang w:val="en-US" w:eastAsia="zh-CN"/>
            </w:rPr>
            <w:t xml:space="preserve"> </w:t>
          </w:r>
          <w:r>
            <w:rPr>
              <w:rFonts w:hint="eastAsia"/>
              <w:color w:val="auto"/>
              <w:sz w:val="32"/>
              <w:szCs w:val="32"/>
              <w:highlight w:val="none"/>
            </w:rPr>
            <w:t>图纸</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_Toc23422 \h </w:instrText>
          </w:r>
          <w:r>
            <w:rPr>
              <w:color w:val="auto"/>
              <w:sz w:val="32"/>
              <w:szCs w:val="32"/>
              <w:highlight w:val="none"/>
            </w:rPr>
            <w:fldChar w:fldCharType="separate"/>
          </w:r>
          <w:r>
            <w:rPr>
              <w:color w:val="auto"/>
              <w:sz w:val="32"/>
              <w:szCs w:val="32"/>
              <w:highlight w:val="none"/>
            </w:rPr>
            <w:t>71</w:t>
          </w:r>
          <w:r>
            <w:rPr>
              <w:color w:val="auto"/>
              <w:sz w:val="32"/>
              <w:szCs w:val="32"/>
              <w:highlight w:val="none"/>
            </w:rPr>
            <w:fldChar w:fldCharType="end"/>
          </w:r>
          <w:r>
            <w:rPr>
              <w:color w:val="auto"/>
              <w:sz w:val="32"/>
              <w:szCs w:val="32"/>
              <w:highlight w:val="none"/>
            </w:rPr>
            <w:fldChar w:fldCharType="end"/>
          </w:r>
        </w:p>
        <w:p w14:paraId="64605436">
          <w:pPr>
            <w:pStyle w:val="19"/>
            <w:tabs>
              <w:tab w:val="right" w:leader="dot" w:pos="9077"/>
            </w:tabs>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_Toc13404 </w:instrText>
          </w:r>
          <w:r>
            <w:rPr>
              <w:color w:val="auto"/>
              <w:sz w:val="32"/>
              <w:szCs w:val="32"/>
              <w:highlight w:val="none"/>
            </w:rPr>
            <w:fldChar w:fldCharType="separate"/>
          </w:r>
          <w:r>
            <w:rPr>
              <w:color w:val="auto"/>
              <w:sz w:val="32"/>
              <w:szCs w:val="32"/>
              <w:highlight w:val="none"/>
            </w:rPr>
            <w:t>第</w:t>
          </w:r>
          <w:r>
            <w:rPr>
              <w:rFonts w:hint="eastAsia"/>
              <w:color w:val="auto"/>
              <w:sz w:val="32"/>
              <w:szCs w:val="32"/>
              <w:highlight w:val="none"/>
            </w:rPr>
            <w:t>八</w:t>
          </w:r>
          <w:r>
            <w:rPr>
              <w:color w:val="auto"/>
              <w:sz w:val="32"/>
              <w:szCs w:val="32"/>
              <w:highlight w:val="none"/>
            </w:rPr>
            <w:t>章</w:t>
          </w:r>
          <w:r>
            <w:rPr>
              <w:rFonts w:hint="eastAsia"/>
              <w:color w:val="auto"/>
              <w:sz w:val="32"/>
              <w:szCs w:val="32"/>
              <w:highlight w:val="none"/>
              <w:lang w:val="en-US" w:eastAsia="zh-CN"/>
            </w:rPr>
            <w:t xml:space="preserve"> </w:t>
          </w:r>
          <w:r>
            <w:rPr>
              <w:color w:val="auto"/>
              <w:sz w:val="32"/>
              <w:szCs w:val="32"/>
              <w:highlight w:val="none"/>
            </w:rPr>
            <w:t>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_Toc13404 \h </w:instrText>
          </w:r>
          <w:r>
            <w:rPr>
              <w:color w:val="auto"/>
              <w:sz w:val="32"/>
              <w:szCs w:val="32"/>
              <w:highlight w:val="none"/>
            </w:rPr>
            <w:fldChar w:fldCharType="separate"/>
          </w:r>
          <w:r>
            <w:rPr>
              <w:color w:val="auto"/>
              <w:sz w:val="32"/>
              <w:szCs w:val="32"/>
              <w:highlight w:val="none"/>
            </w:rPr>
            <w:t>72</w:t>
          </w:r>
          <w:r>
            <w:rPr>
              <w:color w:val="auto"/>
              <w:sz w:val="32"/>
              <w:szCs w:val="32"/>
              <w:highlight w:val="none"/>
            </w:rPr>
            <w:fldChar w:fldCharType="end"/>
          </w:r>
          <w:r>
            <w:rPr>
              <w:color w:val="auto"/>
              <w:sz w:val="32"/>
              <w:szCs w:val="32"/>
              <w:highlight w:val="none"/>
            </w:rPr>
            <w:fldChar w:fldCharType="end"/>
          </w:r>
        </w:p>
        <w:p w14:paraId="2B1598AE">
          <w:pPr>
            <w:ind w:firstLine="562" w:firstLineChars="0"/>
            <w:rPr>
              <w:color w:val="auto"/>
              <w:highlight w:val="none"/>
            </w:rPr>
          </w:pPr>
          <w:r>
            <w:rPr>
              <w:color w:val="auto"/>
              <w:sz w:val="32"/>
              <w:szCs w:val="32"/>
              <w:highlight w:val="none"/>
            </w:rPr>
            <w:fldChar w:fldCharType="end"/>
          </w:r>
        </w:p>
      </w:sdtContent>
    </w:sdt>
    <w:p w14:paraId="65DB2A68">
      <w:pPr>
        <w:ind w:firstLine="562"/>
        <w:rPr>
          <w:color w:val="auto"/>
          <w:highlight w:val="none"/>
        </w:rPr>
      </w:pPr>
      <w:r>
        <w:rPr>
          <w:color w:val="auto"/>
          <w:highlight w:val="none"/>
        </w:rPr>
        <w:br w:type="page"/>
      </w:r>
    </w:p>
    <w:p w14:paraId="00144A62">
      <w:pPr>
        <w:pStyle w:val="2"/>
        <w:bidi w:val="0"/>
        <w:rPr>
          <w:color w:val="auto"/>
          <w:highlight w:val="none"/>
        </w:rPr>
      </w:pPr>
      <w:bookmarkStart w:id="0" w:name="_Toc51"/>
      <w:r>
        <w:rPr>
          <w:color w:val="auto"/>
          <w:highlight w:val="none"/>
        </w:rPr>
        <w:t>第一章</w:t>
      </w:r>
      <w:r>
        <w:rPr>
          <w:rFonts w:hint="eastAsia"/>
          <w:color w:val="auto"/>
          <w:highlight w:val="none"/>
          <w:lang w:val="en-US" w:eastAsia="zh-CN"/>
        </w:rPr>
        <w:t xml:space="preserve"> </w:t>
      </w:r>
      <w:r>
        <w:rPr>
          <w:color w:val="auto"/>
          <w:highlight w:val="none"/>
        </w:rPr>
        <w:t>竞争性磋商公告</w:t>
      </w:r>
      <w:bookmarkEnd w:id="0"/>
    </w:p>
    <w:p w14:paraId="1DFA3499">
      <w:pPr>
        <w:bidi w:val="0"/>
        <w:rPr>
          <w:rFonts w:hint="eastAsia"/>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5715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9" w:type="dxa"/>
            <w:tcBorders>
              <w:top w:val="single" w:color="auto" w:sz="4" w:space="0"/>
              <w:left w:val="single" w:color="auto" w:sz="4" w:space="0"/>
              <w:bottom w:val="single" w:color="auto" w:sz="4" w:space="0"/>
              <w:right w:val="single" w:color="auto" w:sz="4" w:space="0"/>
            </w:tcBorders>
            <w:noWrap w:val="0"/>
            <w:vAlign w:val="top"/>
          </w:tcPr>
          <w:p w14:paraId="7C512EC5">
            <w:pPr>
              <w:keepNext w:val="0"/>
              <w:keepLines w:val="0"/>
              <w:pageBreakBefore w:val="0"/>
              <w:kinsoku/>
              <w:wordWrap/>
              <w:overflowPunct/>
              <w:topLinePunct w:val="0"/>
              <w:autoSpaceDE/>
              <w:autoSpaceDN/>
              <w:bidi w:val="0"/>
              <w:adjustRightInd/>
              <w:spacing w:before="10" w:after="1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项目概况</w:t>
            </w:r>
            <w:r>
              <w:rPr>
                <w:rFonts w:hint="eastAsia" w:ascii="宋体" w:hAnsi="宋体" w:eastAsia="宋体" w:cs="宋体"/>
                <w:color w:val="auto"/>
                <w:szCs w:val="21"/>
                <w:highlight w:val="none"/>
                <w:lang w:eastAsia="zh-CN"/>
              </w:rPr>
              <w:t>：</w:t>
            </w:r>
          </w:p>
          <w:p w14:paraId="2B2BD452">
            <w:pPr>
              <w:pStyle w:val="55"/>
              <w:keepNext w:val="0"/>
              <w:keepLines w:val="0"/>
              <w:pageBreakBefore w:val="0"/>
              <w:kinsoku/>
              <w:wordWrap/>
              <w:overflowPunct/>
              <w:topLinePunct w:val="0"/>
              <w:autoSpaceDE/>
              <w:autoSpaceDN/>
              <w:bidi w:val="0"/>
              <w:adjustRightInd/>
              <w:spacing w:before="10" w:after="10"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u w:val="single"/>
                <w:lang w:eastAsia="zh-CN"/>
              </w:rPr>
              <w:t>广西壮族自治区恭城公路养护中心G357线K1265+300～K1272+300公路灾害防治工程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潜在供应商应在广西政府采购云平台（https://www.gcy.zfcg.gxzf.gov.cn/）获取采购文件，</w:t>
            </w:r>
            <w:r>
              <w:rPr>
                <w:rFonts w:hint="eastAsia" w:ascii="宋体" w:hAnsi="宋体" w:eastAsia="宋体" w:cs="宋体"/>
                <w:color w:val="auto"/>
                <w:szCs w:val="21"/>
                <w:highlight w:val="none"/>
                <w:lang w:val="en-US" w:eastAsia="zh-CN"/>
              </w:rPr>
              <w:t>并于</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val="en-US" w:eastAsia="zh-CN"/>
              </w:rPr>
              <w:t>年</w:t>
            </w:r>
            <w:r>
              <w:rPr>
                <w:rFonts w:hint="eastAsia" w:ascii="宋体" w:hAnsi="宋体" w:cs="宋体"/>
                <w:color w:val="auto"/>
                <w:sz w:val="21"/>
                <w:szCs w:val="21"/>
                <w:highlight w:val="none"/>
                <w:u w:val="single"/>
                <w:lang w:val="en-US" w:eastAsia="zh-CN"/>
              </w:rPr>
              <w:t xml:space="preserve"> 6 </w:t>
            </w:r>
            <w:r>
              <w:rPr>
                <w:rFonts w:hint="eastAsia" w:ascii="宋体" w:hAnsi="宋体" w:eastAsia="宋体" w:cs="宋体"/>
                <w:bCs w:val="0"/>
                <w:color w:val="auto"/>
                <w:szCs w:val="21"/>
                <w:highlight w:val="none"/>
                <w:u w:val="single"/>
              </w:rPr>
              <w:t>月</w:t>
            </w:r>
            <w:r>
              <w:rPr>
                <w:rFonts w:hint="eastAsia" w:ascii="宋体" w:hAnsi="宋体" w:cs="宋体"/>
                <w:bCs w:val="0"/>
                <w:color w:val="auto"/>
                <w:szCs w:val="21"/>
                <w:highlight w:val="none"/>
                <w:u w:val="single"/>
                <w:lang w:val="en-US" w:eastAsia="zh-CN"/>
              </w:rPr>
              <w:t xml:space="preserve"> 24</w:t>
            </w:r>
            <w:r>
              <w:rPr>
                <w:rFonts w:hint="eastAsia" w:ascii="宋体" w:hAnsi="宋体" w:eastAsia="宋体" w:cs="宋体"/>
                <w:bCs w:val="0"/>
                <w:color w:val="auto"/>
                <w:szCs w:val="21"/>
                <w:highlight w:val="none"/>
                <w:u w:val="single"/>
              </w:rPr>
              <w:t>日</w:t>
            </w:r>
            <w:r>
              <w:rPr>
                <w:rFonts w:hint="eastAsia" w:ascii="宋体" w:hAnsi="宋体" w:cs="宋体"/>
                <w:bCs w:val="0"/>
                <w:color w:val="auto"/>
                <w:szCs w:val="21"/>
                <w:highlight w:val="none"/>
                <w:u w:val="single"/>
                <w:lang w:val="en-US" w:eastAsia="zh-CN"/>
              </w:rPr>
              <w:t>09</w:t>
            </w:r>
            <w:r>
              <w:rPr>
                <w:rFonts w:hint="eastAsia" w:ascii="宋体" w:hAnsi="宋体" w:eastAsia="宋体" w:cs="宋体"/>
                <w:bCs w:val="0"/>
                <w:color w:val="auto"/>
                <w:szCs w:val="21"/>
                <w:highlight w:val="none"/>
                <w:u w:val="single"/>
              </w:rPr>
              <w:t>时</w:t>
            </w:r>
            <w:r>
              <w:rPr>
                <w:rFonts w:hint="eastAsia" w:ascii="宋体" w:hAnsi="宋体" w:cs="宋体"/>
                <w:bCs w:val="0"/>
                <w:color w:val="auto"/>
                <w:szCs w:val="21"/>
                <w:highlight w:val="none"/>
                <w:u w:val="single"/>
                <w:lang w:val="en-US" w:eastAsia="zh-CN"/>
              </w:rPr>
              <w:t>30</w:t>
            </w:r>
            <w:r>
              <w:rPr>
                <w:rFonts w:hint="eastAsia" w:ascii="宋体" w:hAnsi="宋体" w:eastAsia="宋体" w:cs="宋体"/>
                <w:bCs w:val="0"/>
                <w:color w:val="auto"/>
                <w:szCs w:val="21"/>
                <w:highlight w:val="none"/>
                <w:u w:val="single"/>
              </w:rPr>
              <w:t>分</w:t>
            </w:r>
            <w:r>
              <w:rPr>
                <w:rFonts w:hint="eastAsia" w:ascii="宋体" w:hAnsi="宋体" w:eastAsia="宋体" w:cs="宋体"/>
                <w:bCs w:val="0"/>
                <w:color w:val="auto"/>
                <w:szCs w:val="21"/>
                <w:highlight w:val="none"/>
              </w:rPr>
              <w:t>（北京时间）前提交响应文件</w:t>
            </w:r>
            <w:r>
              <w:rPr>
                <w:rFonts w:hint="eastAsia" w:ascii="宋体" w:hAnsi="宋体" w:eastAsia="宋体" w:cs="宋体"/>
                <w:color w:val="auto"/>
                <w:szCs w:val="21"/>
                <w:highlight w:val="none"/>
              </w:rPr>
              <w:t>。</w:t>
            </w:r>
          </w:p>
        </w:tc>
      </w:tr>
    </w:tbl>
    <w:p w14:paraId="01AC1FF3">
      <w:pPr>
        <w:keepNext w:val="0"/>
        <w:keepLines w:val="0"/>
        <w:pageBreakBefore w:val="0"/>
        <w:kinsoku/>
        <w:wordWrap/>
        <w:overflowPunct/>
        <w:topLinePunct w:val="0"/>
        <w:autoSpaceDE/>
        <w:autoSpaceDN/>
        <w:bidi w:val="0"/>
        <w:adjustRightInd/>
        <w:spacing w:before="0" w:after="0" w:line="360" w:lineRule="auto"/>
        <w:ind w:firstLine="442" w:firstLineChars="200"/>
        <w:textAlignment w:val="auto"/>
        <w:rPr>
          <w:rFonts w:hint="eastAsia"/>
          <w:b/>
          <w:bCs/>
          <w:color w:val="auto"/>
          <w:highlight w:val="none"/>
        </w:rPr>
      </w:pPr>
      <w:r>
        <w:rPr>
          <w:rFonts w:hint="eastAsia"/>
          <w:b/>
          <w:bCs/>
          <w:color w:val="auto"/>
          <w:highlight w:val="none"/>
        </w:rPr>
        <w:t>一、项目基本情况</w:t>
      </w:r>
    </w:p>
    <w:p w14:paraId="6354C737">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cs="宋体"/>
          <w:color w:val="auto"/>
          <w:szCs w:val="21"/>
          <w:highlight w:val="none"/>
          <w:lang w:eastAsia="zh-CN"/>
        </w:rPr>
        <w:t>GXZC2026-C2-001831-GXCJ</w:t>
      </w:r>
    </w:p>
    <w:p w14:paraId="661E1BA9">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u w:val="none"/>
          <w:lang w:eastAsia="zh-CN"/>
        </w:rPr>
        <w:t>广西壮族自治区恭城公路养护中心G357线K1265+300～K1272+300公路灾害防治工程</w:t>
      </w:r>
    </w:p>
    <w:p w14:paraId="15AADCD3">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65BD57A7">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r>
        <w:rPr>
          <w:rFonts w:hint="eastAsia" w:cs="宋体"/>
          <w:color w:val="auto"/>
          <w:szCs w:val="21"/>
          <w:highlight w:val="none"/>
          <w:lang w:val="en-US" w:eastAsia="zh-CN"/>
        </w:rPr>
        <w:t>2700306</w:t>
      </w:r>
    </w:p>
    <w:p w14:paraId="7E140C96">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5EB02B62">
      <w:pPr>
        <w:keepNext w:val="0"/>
        <w:keepLines w:val="0"/>
        <w:pageBreakBefore w:val="0"/>
        <w:kinsoku/>
        <w:wordWrap/>
        <w:overflowPunct/>
        <w:topLinePunct w:val="0"/>
        <w:autoSpaceDE/>
        <w:autoSpaceDN/>
        <w:bidi w:val="0"/>
        <w:adjustRightInd/>
        <w:spacing w:before="0" w:after="0" w:line="360" w:lineRule="auto"/>
        <w:ind w:left="0" w:leftChars="0" w:firstLine="44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eastAsia="zh-CN"/>
        </w:rPr>
        <w:t>广西壮族自治区恭城公路养护中心G357线K1265+300～K1272+300公路灾害防治工程</w:t>
      </w:r>
    </w:p>
    <w:p w14:paraId="28834B6B">
      <w:pPr>
        <w:keepNext w:val="0"/>
        <w:keepLines w:val="0"/>
        <w:pageBreakBefore w:val="0"/>
        <w:kinsoku/>
        <w:wordWrap/>
        <w:overflowPunct/>
        <w:topLinePunct w:val="0"/>
        <w:autoSpaceDE/>
        <w:autoSpaceDN/>
        <w:bidi w:val="0"/>
        <w:adjustRightInd/>
        <w:spacing w:before="0" w:after="0" w:line="360" w:lineRule="auto"/>
        <w:ind w:left="0" w:leftChars="0" w:firstLine="44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1项</w:t>
      </w:r>
    </w:p>
    <w:p w14:paraId="4A77D809">
      <w:pPr>
        <w:keepNext w:val="0"/>
        <w:keepLines w:val="0"/>
        <w:pageBreakBefore w:val="0"/>
        <w:kinsoku/>
        <w:wordWrap/>
        <w:overflowPunct/>
        <w:topLinePunct w:val="0"/>
        <w:autoSpaceDE/>
        <w:autoSpaceDN/>
        <w:bidi w:val="0"/>
        <w:adjustRightInd/>
        <w:spacing w:before="0" w:after="0" w:line="360" w:lineRule="auto"/>
        <w:ind w:left="0" w:leftChars="0"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w:t>
      </w:r>
      <w:r>
        <w:rPr>
          <w:rFonts w:hint="eastAsia" w:cs="宋体"/>
          <w:color w:val="auto"/>
          <w:szCs w:val="21"/>
          <w:highlight w:val="none"/>
          <w:lang w:val="en-US" w:eastAsia="zh-CN"/>
        </w:rPr>
        <w:t>2700306</w:t>
      </w:r>
    </w:p>
    <w:p w14:paraId="75015A40">
      <w:pPr>
        <w:keepNext w:val="0"/>
        <w:keepLines w:val="0"/>
        <w:pageBreakBefore w:val="0"/>
        <w:kinsoku/>
        <w:wordWrap/>
        <w:overflowPunct/>
        <w:topLinePunct w:val="0"/>
        <w:autoSpaceDE/>
        <w:autoSpaceDN/>
        <w:bidi w:val="0"/>
        <w:adjustRightInd/>
        <w:spacing w:before="0" w:after="0" w:line="360" w:lineRule="auto"/>
        <w:ind w:left="0" w:leftChars="0"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G357线K1265+300～K1272+300路段位于桂林市恭城县栗木镇泉会村，其中灾点现场核查桩号为K1268+020～K1268+148，灾害类型为滑坡。该路段为二级公路，双向2车道，路基宽度为8.5m，设计速度为40km/h。详见工程量清单和图纸。</w:t>
      </w:r>
    </w:p>
    <w:p w14:paraId="0C07D6CB">
      <w:pPr>
        <w:keepNext w:val="0"/>
        <w:keepLines w:val="0"/>
        <w:pageBreakBefore w:val="0"/>
        <w:kinsoku/>
        <w:wordWrap/>
        <w:overflowPunct/>
        <w:topLinePunct w:val="0"/>
        <w:autoSpaceDE/>
        <w:autoSpaceDN/>
        <w:bidi w:val="0"/>
        <w:adjustRightInd/>
        <w:spacing w:before="0" w:after="0" w:line="360" w:lineRule="auto"/>
        <w:ind w:left="0" w:leftChars="0" w:firstLine="44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最高限价（如有）：</w:t>
      </w:r>
      <w:r>
        <w:rPr>
          <w:rFonts w:hint="eastAsia" w:cs="宋体"/>
          <w:color w:val="auto"/>
          <w:szCs w:val="21"/>
          <w:highlight w:val="none"/>
          <w:lang w:val="en-US" w:eastAsia="zh-CN"/>
        </w:rPr>
        <w:t>2700306</w:t>
      </w:r>
      <w:r>
        <w:rPr>
          <w:rFonts w:hint="eastAsia" w:ascii="宋体" w:hAnsi="宋体" w:cs="宋体"/>
          <w:color w:val="auto"/>
          <w:szCs w:val="21"/>
          <w:highlight w:val="none"/>
        </w:rPr>
        <w:t>元</w:t>
      </w:r>
    </w:p>
    <w:p w14:paraId="524EDE65">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60日历天。</w:t>
      </w:r>
    </w:p>
    <w:p w14:paraId="30DCEA8D">
      <w:pPr>
        <w:keepNext w:val="0"/>
        <w:keepLines w:val="0"/>
        <w:pageBreakBefore w:val="0"/>
        <w:kinsoku/>
        <w:wordWrap/>
        <w:overflowPunct/>
        <w:topLinePunct w:val="0"/>
        <w:autoSpaceDE/>
        <w:autoSpaceDN/>
        <w:bidi w:val="0"/>
        <w:adjustRightInd/>
        <w:spacing w:before="0" w:after="0" w:line="360" w:lineRule="auto"/>
        <w:ind w:firstLine="420" w:firstLineChars="200"/>
        <w:textAlignment w:val="auto"/>
        <w:rPr>
          <w:rFonts w:hint="eastAsia" w:ascii="宋体" w:hAnsi="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本</w:t>
      </w:r>
      <w:r>
        <w:rPr>
          <w:rFonts w:hint="eastAsia" w:ascii="宋体" w:hAnsi="宋体" w:eastAsia="宋体" w:cs="宋体"/>
          <w:b w:val="0"/>
          <w:bCs w:val="0"/>
          <w:color w:val="auto"/>
          <w:sz w:val="21"/>
          <w:szCs w:val="21"/>
          <w:highlight w:val="none"/>
          <w:lang w:val="en-US" w:eastAsia="zh-CN"/>
        </w:rPr>
        <w:t>标项</w:t>
      </w:r>
      <w:r>
        <w:rPr>
          <w:rFonts w:hint="eastAsia" w:ascii="宋体" w:hAnsi="宋体" w:cs="宋体"/>
          <w:b w:val="0"/>
          <w:bCs w:val="0"/>
          <w:color w:val="auto"/>
          <w:sz w:val="21"/>
          <w:szCs w:val="21"/>
          <w:highlight w:val="none"/>
          <w:lang w:eastAsia="zh-CN"/>
        </w:rPr>
        <w:t>不</w:t>
      </w:r>
      <w:r>
        <w:rPr>
          <w:rFonts w:hint="eastAsia" w:ascii="宋体" w:hAnsi="宋体" w:eastAsia="宋体" w:cs="宋体"/>
          <w:b w:val="0"/>
          <w:bCs w:val="0"/>
          <w:color w:val="auto"/>
          <w:sz w:val="21"/>
          <w:szCs w:val="21"/>
          <w:highlight w:val="none"/>
        </w:rPr>
        <w:t>接受联合体</w:t>
      </w:r>
      <w:r>
        <w:rPr>
          <w:rFonts w:hint="eastAsia" w:ascii="宋体" w:hAnsi="宋体" w:cs="宋体"/>
          <w:b w:val="0"/>
          <w:bCs w:val="0"/>
          <w:color w:val="auto"/>
          <w:sz w:val="21"/>
          <w:szCs w:val="21"/>
          <w:highlight w:val="none"/>
          <w:lang w:eastAsia="zh-CN"/>
        </w:rPr>
        <w:t>磋商。</w:t>
      </w:r>
    </w:p>
    <w:p w14:paraId="09682E86">
      <w:pPr>
        <w:pStyle w:val="13"/>
        <w:spacing w:after="0" w:line="360" w:lineRule="auto"/>
        <w:ind w:firstLine="420" w:firstLineChars="200"/>
        <w:rPr>
          <w:rFonts w:hint="eastAsia" w:eastAsia="宋体"/>
          <w:color w:val="auto"/>
          <w:highlight w:val="none"/>
          <w:lang w:val="en-US" w:eastAsia="zh-CN"/>
        </w:rPr>
      </w:pPr>
      <w:r>
        <w:rPr>
          <w:rFonts w:hint="eastAsia"/>
          <w:color w:val="auto"/>
          <w:highlight w:val="none"/>
        </w:rPr>
        <w:t>备注：</w:t>
      </w:r>
      <w:r>
        <w:rPr>
          <w:rFonts w:hint="eastAsia"/>
          <w:color w:val="auto"/>
          <w:sz w:val="21"/>
          <w:szCs w:val="21"/>
          <w:highlight w:val="none"/>
        </w:rPr>
        <w:t>质量要求：工程交工验收的质量评定：合格；竣工验收的质量评定：优良</w:t>
      </w:r>
      <w:r>
        <w:rPr>
          <w:rFonts w:hint="eastAsia"/>
          <w:color w:val="auto"/>
          <w:highlight w:val="none"/>
          <w:lang w:val="en-US" w:eastAsia="zh-CN"/>
        </w:rPr>
        <w:t>。</w:t>
      </w:r>
    </w:p>
    <w:p w14:paraId="7D183C2C">
      <w:pPr>
        <w:keepNext w:val="0"/>
        <w:keepLines w:val="0"/>
        <w:pageBreakBefore w:val="0"/>
        <w:kinsoku/>
        <w:wordWrap w:val="0"/>
        <w:overflowPunct/>
        <w:topLinePunct/>
        <w:autoSpaceDE/>
        <w:autoSpaceDN/>
        <w:bidi w:val="0"/>
        <w:adjustRightInd/>
        <w:spacing w:before="0" w:after="0" w:line="360" w:lineRule="auto"/>
        <w:ind w:firstLine="442" w:firstLineChars="200"/>
        <w:textAlignment w:val="auto"/>
        <w:rPr>
          <w:rFonts w:hint="eastAsia"/>
          <w:b/>
          <w:bCs/>
          <w:color w:val="auto"/>
          <w:highlight w:val="none"/>
        </w:rPr>
      </w:pPr>
      <w:r>
        <w:rPr>
          <w:rFonts w:hint="eastAsia"/>
          <w:b/>
          <w:bCs/>
          <w:color w:val="auto"/>
          <w:highlight w:val="none"/>
        </w:rPr>
        <w:t>二、</w:t>
      </w:r>
      <w:r>
        <w:rPr>
          <w:rFonts w:hint="eastAsia"/>
          <w:b/>
          <w:bCs/>
          <w:color w:val="auto"/>
          <w:highlight w:val="none"/>
          <w:lang w:val="en-US" w:eastAsia="zh-CN"/>
        </w:rPr>
        <w:t>申请人的资格要求</w:t>
      </w:r>
      <w:r>
        <w:rPr>
          <w:rFonts w:hint="eastAsia"/>
          <w:b/>
          <w:bCs/>
          <w:color w:val="auto"/>
          <w:highlight w:val="none"/>
        </w:rPr>
        <w:t>：</w:t>
      </w:r>
    </w:p>
    <w:p w14:paraId="7E6120C6">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0AF12FB">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Times New Roman"/>
          <w:b/>
          <w:bCs/>
          <w:color w:val="auto"/>
          <w:sz w:val="21"/>
          <w:szCs w:val="21"/>
          <w:highlight w:val="none"/>
        </w:rPr>
        <w:t>本项目</w:t>
      </w:r>
      <w:r>
        <w:rPr>
          <w:rFonts w:hint="eastAsia" w:ascii="宋体" w:hAnsi="宋体" w:eastAsia="宋体" w:cs="Times New Roman"/>
          <w:b/>
          <w:bCs/>
          <w:color w:val="auto"/>
          <w:sz w:val="21"/>
          <w:szCs w:val="21"/>
          <w:highlight w:val="none"/>
          <w:lang w:val="en-US" w:eastAsia="zh-CN"/>
        </w:rPr>
        <w:t>为</w:t>
      </w:r>
      <w:r>
        <w:rPr>
          <w:rFonts w:hint="eastAsia" w:ascii="宋体" w:hAnsi="宋体" w:eastAsia="宋体" w:cs="Times New Roman"/>
          <w:b/>
          <w:bCs/>
          <w:color w:val="auto"/>
          <w:sz w:val="21"/>
          <w:szCs w:val="21"/>
          <w:highlight w:val="none"/>
        </w:rPr>
        <w:t>专门面向</w:t>
      </w:r>
      <w:r>
        <w:rPr>
          <w:rFonts w:hint="eastAsia" w:ascii="宋体" w:hAnsi="宋体" w:eastAsia="宋体" w:cs="Times New Roman"/>
          <w:b/>
          <w:bCs/>
          <w:color w:val="auto"/>
          <w:sz w:val="21"/>
          <w:szCs w:val="21"/>
          <w:highlight w:val="none"/>
          <w:lang w:val="en-US" w:eastAsia="zh-CN"/>
        </w:rPr>
        <w:t>中、小、微</w:t>
      </w:r>
      <w:r>
        <w:rPr>
          <w:rFonts w:hint="eastAsia" w:ascii="宋体" w:hAnsi="宋体" w:eastAsia="宋体" w:cs="Times New Roman"/>
          <w:b/>
          <w:bCs/>
          <w:color w:val="auto"/>
          <w:sz w:val="21"/>
          <w:szCs w:val="21"/>
          <w:highlight w:val="none"/>
        </w:rPr>
        <w:t>企业采购</w:t>
      </w:r>
      <w:r>
        <w:rPr>
          <w:rFonts w:hint="eastAsia" w:ascii="宋体" w:hAnsi="宋体" w:cs="宋体"/>
          <w:color w:val="auto"/>
          <w:szCs w:val="21"/>
          <w:highlight w:val="none"/>
        </w:rPr>
        <w:t>；</w:t>
      </w:r>
    </w:p>
    <w:p w14:paraId="2B0BD360">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034C9323">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本次</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w:t>
      </w:r>
      <w:r>
        <w:rPr>
          <w:rFonts w:hint="eastAsia"/>
          <w:color w:val="auto"/>
          <w:sz w:val="21"/>
          <w:szCs w:val="21"/>
          <w:highlight w:val="none"/>
        </w:rPr>
        <w:t>具有有效的企业安全生产许可证，并在人员、设备、资金等方面具有相应的施工能力</w:t>
      </w:r>
      <w:r>
        <w:rPr>
          <w:rFonts w:hint="eastAsia"/>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rPr>
        <w:t>具备</w:t>
      </w:r>
      <w:r>
        <w:rPr>
          <w:rFonts w:hint="eastAsia" w:ascii="宋体" w:hAnsi="宋体" w:eastAsia="宋体" w:cs="宋体"/>
          <w:i w:val="0"/>
          <w:iCs w:val="0"/>
          <w:caps w:val="0"/>
          <w:color w:val="auto"/>
          <w:spacing w:val="0"/>
          <w:sz w:val="21"/>
          <w:szCs w:val="21"/>
          <w:highlight w:val="none"/>
          <w:lang w:val="en-US" w:eastAsia="zh-CN"/>
        </w:rPr>
        <w:t>有效的</w:t>
      </w:r>
      <w:r>
        <w:rPr>
          <w:rFonts w:hint="eastAsia" w:ascii="宋体" w:hAnsi="宋体" w:eastAsia="宋体" w:cs="宋体"/>
          <w:color w:val="auto"/>
          <w:sz w:val="21"/>
          <w:szCs w:val="21"/>
          <w:highlight w:val="none"/>
        </w:rPr>
        <w:t>公路养护作业单位资质</w:t>
      </w:r>
      <w:r>
        <w:rPr>
          <w:rFonts w:hint="eastAsia" w:ascii="宋体" w:hAnsi="宋体" w:eastAsia="宋体" w:cs="宋体"/>
          <w:bCs w:val="0"/>
          <w:color w:val="auto"/>
          <w:kern w:val="2"/>
          <w:sz w:val="21"/>
          <w:szCs w:val="21"/>
          <w:highlight w:val="none"/>
          <w:lang w:val="en-US" w:eastAsia="zh-CN"/>
        </w:rPr>
        <w:t>路基路面养护乙级以上（含乙级）资质</w:t>
      </w:r>
      <w:r>
        <w:rPr>
          <w:rFonts w:hint="eastAsia" w:ascii="宋体" w:hAnsi="宋体" w:eastAsia="宋体" w:cs="宋体"/>
          <w:color w:val="auto"/>
          <w:szCs w:val="21"/>
          <w:highlight w:val="none"/>
        </w:rPr>
        <w:t>。</w:t>
      </w:r>
    </w:p>
    <w:p w14:paraId="57E12CAB">
      <w:pPr>
        <w:spacing w:line="360" w:lineRule="auto"/>
        <w:ind w:firstLine="420" w:firstLineChars="200"/>
        <w:rPr>
          <w:color w:val="auto"/>
          <w:sz w:val="21"/>
          <w:szCs w:val="21"/>
          <w:highlight w:val="none"/>
        </w:rPr>
      </w:pPr>
      <w:r>
        <w:rPr>
          <w:rFonts w:hint="eastAsia"/>
          <w:color w:val="auto"/>
          <w:sz w:val="21"/>
          <w:szCs w:val="21"/>
          <w:highlight w:val="none"/>
        </w:rPr>
        <w:t>注：</w:t>
      </w:r>
      <w:bookmarkStart w:id="1" w:name="OLE_LINK105"/>
      <w:bookmarkStart w:id="2" w:name="OLE_LINK103"/>
      <w:bookmarkStart w:id="3" w:name="OLE_LINK106"/>
      <w:r>
        <w:rPr>
          <w:rFonts w:hint="eastAsia"/>
          <w:color w:val="auto"/>
          <w:sz w:val="21"/>
          <w:szCs w:val="21"/>
          <w:highlight w:val="none"/>
        </w:rPr>
        <w:t>（1）</w:t>
      </w:r>
      <w:bookmarkEnd w:id="1"/>
      <w:bookmarkEnd w:id="2"/>
      <w:bookmarkEnd w:id="3"/>
      <w:r>
        <w:rPr>
          <w:rFonts w:hint="eastAsia"/>
          <w:color w:val="auto"/>
          <w:sz w:val="21"/>
          <w:szCs w:val="21"/>
          <w:highlight w:val="none"/>
        </w:rPr>
        <w:t>公路养护作业单位资质按照《公路养护作业单位资质管理办法》（ 中华人民共和国交通运输部令 2021年第22号）和《广西壮族自治区交通运输厅关于印发广西公路养护作业单位资质管理实施细则的通知》等文件要求，根据</w:t>
      </w:r>
      <w:r>
        <w:rPr>
          <w:rFonts w:hint="eastAsia"/>
          <w:color w:val="auto"/>
          <w:sz w:val="21"/>
          <w:szCs w:val="21"/>
          <w:highlight w:val="none"/>
          <w:lang w:eastAsia="zh-CN"/>
        </w:rPr>
        <w:t>采购项目</w:t>
      </w:r>
      <w:r>
        <w:rPr>
          <w:rFonts w:hint="eastAsia"/>
          <w:color w:val="auto"/>
          <w:sz w:val="21"/>
          <w:szCs w:val="21"/>
          <w:highlight w:val="none"/>
        </w:rPr>
        <w:t>具体特点和实际情况确定。</w:t>
      </w:r>
    </w:p>
    <w:p w14:paraId="70B2FF5A">
      <w:pPr>
        <w:keepNext w:val="0"/>
        <w:keepLines w:val="0"/>
        <w:pageBreakBefore w:val="0"/>
        <w:kinsoku/>
        <w:wordWrap/>
        <w:overflowPunct/>
        <w:topLinePunct w:val="0"/>
        <w:autoSpaceDE/>
        <w:autoSpaceDN/>
        <w:bidi w:val="0"/>
        <w:adjustRightInd/>
        <w:spacing w:before="0" w:after="0" w:line="360" w:lineRule="auto"/>
        <w:ind w:firstLine="420" w:firstLineChars="200"/>
        <w:textAlignment w:val="auto"/>
        <w:rPr>
          <w:rFonts w:hint="eastAsia" w:ascii="宋体" w:hAnsi="宋体" w:eastAsia="宋体" w:cs="宋体"/>
          <w:color w:val="auto"/>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供应商</w:t>
      </w:r>
      <w:r>
        <w:rPr>
          <w:rFonts w:hint="eastAsia"/>
          <w:color w:val="auto"/>
          <w:sz w:val="21"/>
          <w:szCs w:val="21"/>
          <w:highlight w:val="none"/>
        </w:rPr>
        <w:t>应进入交通运输部“全国公路建设市场监督管理系统（</w:t>
      </w:r>
      <w:r>
        <w:rPr>
          <w:color w:val="auto"/>
          <w:highlight w:val="none"/>
        </w:rPr>
        <w:fldChar w:fldCharType="begin"/>
      </w:r>
      <w:r>
        <w:rPr>
          <w:color w:val="auto"/>
          <w:highlight w:val="none"/>
        </w:rPr>
        <w:instrText xml:space="preserve"> HYPERLINK "https://hwdms.mot.gov.cn/BMWebSite/" </w:instrText>
      </w:r>
      <w:r>
        <w:rPr>
          <w:color w:val="auto"/>
          <w:highlight w:val="none"/>
        </w:rPr>
        <w:fldChar w:fldCharType="separate"/>
      </w:r>
      <w:r>
        <w:rPr>
          <w:rFonts w:hint="eastAsia"/>
          <w:color w:val="auto"/>
          <w:sz w:val="21"/>
          <w:szCs w:val="21"/>
          <w:highlight w:val="none"/>
        </w:rPr>
        <w:t>https://hwdms.mot.gov.cn/BMWebSite/</w:t>
      </w:r>
      <w:r>
        <w:rPr>
          <w:rFonts w:hint="eastAsia"/>
          <w:color w:val="auto"/>
          <w:sz w:val="21"/>
          <w:szCs w:val="21"/>
          <w:highlight w:val="none"/>
        </w:rPr>
        <w:fldChar w:fldCharType="end"/>
      </w:r>
      <w:r>
        <w:rPr>
          <w:rFonts w:hint="eastAsia"/>
          <w:color w:val="auto"/>
          <w:sz w:val="21"/>
          <w:szCs w:val="21"/>
          <w:highlight w:val="none"/>
        </w:rPr>
        <w:t>）”中的公路工程施工资质企业名录或全国公路建设市场监督管理系统—全国公路养护作业单位资质管理模块“资质查询”中的公路养护资质企业名录，且</w:t>
      </w:r>
      <w:r>
        <w:rPr>
          <w:rFonts w:hint="eastAsia"/>
          <w:color w:val="auto"/>
          <w:sz w:val="21"/>
          <w:szCs w:val="21"/>
          <w:highlight w:val="none"/>
          <w:lang w:eastAsia="zh-CN"/>
        </w:rPr>
        <w:t>供应商</w:t>
      </w:r>
      <w:r>
        <w:rPr>
          <w:rFonts w:hint="eastAsia"/>
          <w:color w:val="auto"/>
          <w:sz w:val="21"/>
          <w:szCs w:val="21"/>
          <w:highlight w:val="none"/>
        </w:rPr>
        <w:t>名称和资质证书编号与该名录中的相应企业名称和资质证书编号完全一致</w:t>
      </w:r>
      <w:r>
        <w:rPr>
          <w:rFonts w:hint="eastAsia"/>
          <w:color w:val="auto"/>
          <w:sz w:val="21"/>
          <w:szCs w:val="21"/>
          <w:highlight w:val="none"/>
          <w:lang w:eastAsia="zh-CN"/>
        </w:rPr>
        <w:t>。</w:t>
      </w:r>
    </w:p>
    <w:p w14:paraId="6BD41B7F">
      <w:pPr>
        <w:keepNext w:val="0"/>
        <w:keepLines w:val="0"/>
        <w:pageBreakBefore w:val="0"/>
        <w:kinsoku/>
        <w:wordWrap/>
        <w:overflowPunct/>
        <w:topLinePunct w:val="0"/>
        <w:autoSpaceDE/>
        <w:autoSpaceDN/>
        <w:bidi w:val="0"/>
        <w:adjustRightInd/>
        <w:spacing w:before="10" w:after="10" w:line="460" w:lineRule="exact"/>
        <w:textAlignment w:val="auto"/>
        <w:rPr>
          <w:rFonts w:hint="eastAsia"/>
          <w:b/>
          <w:bCs/>
          <w:color w:val="auto"/>
          <w:highlight w:val="none"/>
        </w:rPr>
      </w:pPr>
      <w:r>
        <w:rPr>
          <w:rFonts w:hint="eastAsia"/>
          <w:b/>
          <w:bCs/>
          <w:color w:val="auto"/>
          <w:highlight w:val="none"/>
        </w:rPr>
        <w:t>三、获取</w:t>
      </w:r>
      <w:r>
        <w:rPr>
          <w:rFonts w:hint="eastAsia"/>
          <w:b/>
          <w:bCs/>
          <w:color w:val="auto"/>
          <w:highlight w:val="none"/>
          <w:lang w:val="en-US" w:eastAsia="zh-CN"/>
        </w:rPr>
        <w:t>采购</w:t>
      </w:r>
      <w:r>
        <w:rPr>
          <w:rFonts w:hint="eastAsia"/>
          <w:b/>
          <w:bCs/>
          <w:color w:val="auto"/>
          <w:highlight w:val="none"/>
        </w:rPr>
        <w:t>文件</w:t>
      </w:r>
    </w:p>
    <w:p w14:paraId="6FD45463">
      <w:pPr>
        <w:keepNext w:val="0"/>
        <w:keepLines w:val="0"/>
        <w:pageBreakBefore w:val="0"/>
        <w:widowControl w:val="0"/>
        <w:kinsoku/>
        <w:wordWrap/>
        <w:overflowPunct/>
        <w:topLinePunct w:val="0"/>
        <w:autoSpaceDE/>
        <w:autoSpaceDN/>
        <w:bidi w:val="0"/>
        <w:adjustRightInd/>
        <w:snapToGrid/>
        <w:spacing w:before="10" w:after="10" w:line="460" w:lineRule="exact"/>
        <w:ind w:firstLine="44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w:t>
      </w:r>
      <w:r>
        <w:rPr>
          <w:rFonts w:hint="eastAsia" w:ascii="宋体" w:hAnsi="宋体" w:cs="宋体"/>
          <w:bCs/>
          <w:color w:val="auto"/>
          <w:kern w:val="0"/>
          <w:szCs w:val="21"/>
          <w:highlight w:val="none"/>
          <w:lang w:val="en-US" w:eastAsia="zh-CN"/>
        </w:rPr>
        <w:t>6</w:t>
      </w:r>
      <w:r>
        <w:rPr>
          <w:rFonts w:hint="eastAsia" w:ascii="宋体" w:hAnsi="宋体" w:eastAsia="宋体" w:cs="宋体"/>
          <w:bCs/>
          <w:i w:val="0"/>
          <w:iCs w:val="0"/>
          <w:color w:val="auto"/>
          <w:kern w:val="0"/>
          <w:szCs w:val="21"/>
          <w:highlight w:val="none"/>
          <w:u w:val="none"/>
        </w:rPr>
        <w:t>年</w:t>
      </w:r>
      <w:r>
        <w:rPr>
          <w:rFonts w:hint="eastAsia" w:cs="宋体"/>
          <w:bCs/>
          <w:i w:val="0"/>
          <w:iCs w:val="0"/>
          <w:color w:val="auto"/>
          <w:kern w:val="0"/>
          <w:szCs w:val="21"/>
          <w:highlight w:val="none"/>
          <w:u w:val="none"/>
          <w:lang w:val="en-US" w:eastAsia="zh-CN"/>
        </w:rPr>
        <w:t>6</w:t>
      </w:r>
      <w:r>
        <w:rPr>
          <w:rFonts w:hint="eastAsia" w:ascii="宋体" w:hAnsi="宋体" w:eastAsia="宋体" w:cs="宋体"/>
          <w:bCs/>
          <w:i w:val="0"/>
          <w:iCs w:val="0"/>
          <w:color w:val="auto"/>
          <w:kern w:val="0"/>
          <w:szCs w:val="21"/>
          <w:highlight w:val="none"/>
          <w:u w:val="none"/>
        </w:rPr>
        <w:t>月</w:t>
      </w:r>
      <w:r>
        <w:rPr>
          <w:rFonts w:hint="eastAsia" w:ascii="宋体" w:hAnsi="宋体" w:cs="宋体"/>
          <w:bCs/>
          <w:i w:val="0"/>
          <w:iCs w:val="0"/>
          <w:color w:val="auto"/>
          <w:kern w:val="0"/>
          <w:szCs w:val="21"/>
          <w:highlight w:val="none"/>
          <w:u w:val="none"/>
          <w:lang w:val="en-US" w:eastAsia="zh-CN"/>
        </w:rPr>
        <w:t xml:space="preserve"> </w:t>
      </w:r>
      <w:r>
        <w:rPr>
          <w:rFonts w:hint="eastAsia" w:cs="宋体"/>
          <w:bCs/>
          <w:i w:val="0"/>
          <w:iCs w:val="0"/>
          <w:color w:val="auto"/>
          <w:kern w:val="0"/>
          <w:szCs w:val="21"/>
          <w:highlight w:val="none"/>
          <w:u w:val="none"/>
          <w:lang w:val="en-US" w:eastAsia="zh-CN"/>
        </w:rPr>
        <w:t>12</w:t>
      </w:r>
      <w:r>
        <w:rPr>
          <w:rFonts w:hint="eastAsia" w:ascii="宋体" w:hAnsi="宋体" w:eastAsia="宋体" w:cs="宋体"/>
          <w:bCs/>
          <w:i w:val="0"/>
          <w:iCs w:val="0"/>
          <w:color w:val="auto"/>
          <w:kern w:val="0"/>
          <w:szCs w:val="21"/>
          <w:highlight w:val="none"/>
          <w:u w:val="none"/>
        </w:rPr>
        <w:t>日至</w:t>
      </w:r>
      <w:r>
        <w:rPr>
          <w:rFonts w:hint="eastAsia" w:ascii="宋体" w:hAnsi="宋体" w:eastAsia="宋体" w:cs="宋体"/>
          <w:bCs/>
          <w:color w:val="auto"/>
          <w:kern w:val="0"/>
          <w:szCs w:val="21"/>
          <w:highlight w:val="none"/>
          <w:lang w:val="en-US" w:eastAsia="zh-CN"/>
        </w:rPr>
        <w:t>2026</w:t>
      </w:r>
      <w:r>
        <w:rPr>
          <w:rFonts w:hint="eastAsia" w:ascii="宋体" w:hAnsi="宋体" w:eastAsia="宋体" w:cs="宋体"/>
          <w:bCs/>
          <w:i w:val="0"/>
          <w:iCs w:val="0"/>
          <w:color w:val="auto"/>
          <w:kern w:val="0"/>
          <w:szCs w:val="21"/>
          <w:highlight w:val="none"/>
          <w:u w:val="none"/>
        </w:rPr>
        <w:t>年</w:t>
      </w:r>
      <w:r>
        <w:rPr>
          <w:rFonts w:hint="eastAsia" w:cs="宋体"/>
          <w:bCs/>
          <w:i w:val="0"/>
          <w:iCs w:val="0"/>
          <w:color w:val="auto"/>
          <w:kern w:val="0"/>
          <w:szCs w:val="21"/>
          <w:highlight w:val="none"/>
          <w:u w:val="none"/>
          <w:lang w:val="en-US" w:eastAsia="zh-CN"/>
        </w:rPr>
        <w:t>6</w:t>
      </w:r>
      <w:r>
        <w:rPr>
          <w:rFonts w:hint="eastAsia" w:ascii="宋体" w:hAnsi="宋体" w:eastAsia="宋体" w:cs="宋体"/>
          <w:bCs/>
          <w:i w:val="0"/>
          <w:iCs w:val="0"/>
          <w:color w:val="auto"/>
          <w:kern w:val="0"/>
          <w:szCs w:val="21"/>
          <w:highlight w:val="none"/>
          <w:u w:val="none"/>
        </w:rPr>
        <w:t>月</w:t>
      </w:r>
      <w:r>
        <w:rPr>
          <w:rFonts w:hint="eastAsia" w:ascii="宋体" w:hAnsi="宋体" w:cs="宋体"/>
          <w:bCs/>
          <w:i w:val="0"/>
          <w:iCs w:val="0"/>
          <w:color w:val="auto"/>
          <w:kern w:val="0"/>
          <w:szCs w:val="21"/>
          <w:highlight w:val="none"/>
          <w:u w:val="none"/>
          <w:lang w:val="en-US" w:eastAsia="zh-CN"/>
        </w:rPr>
        <w:t xml:space="preserve"> </w:t>
      </w:r>
      <w:r>
        <w:rPr>
          <w:rFonts w:hint="eastAsia" w:cs="宋体"/>
          <w:bCs/>
          <w:i w:val="0"/>
          <w:iCs w:val="0"/>
          <w:color w:val="auto"/>
          <w:kern w:val="0"/>
          <w:szCs w:val="21"/>
          <w:highlight w:val="none"/>
          <w:u w:val="none"/>
          <w:lang w:val="en-US" w:eastAsia="zh-CN"/>
        </w:rPr>
        <w:t>23</w:t>
      </w:r>
      <w:r>
        <w:rPr>
          <w:rFonts w:hint="eastAsia" w:ascii="宋体" w:hAnsi="宋体" w:eastAsia="宋体" w:cs="宋体"/>
          <w:bCs/>
          <w:i w:val="0"/>
          <w:iCs w:val="0"/>
          <w:color w:val="auto"/>
          <w:kern w:val="0"/>
          <w:szCs w:val="21"/>
          <w:highlight w:val="none"/>
          <w:u w:val="none"/>
        </w:rPr>
        <w:t>日</w:t>
      </w:r>
      <w:r>
        <w:rPr>
          <w:rFonts w:hint="eastAsia" w:ascii="宋体" w:hAnsi="宋体" w:cs="宋体"/>
          <w:bCs/>
          <w:color w:val="auto"/>
          <w:kern w:val="0"/>
          <w:szCs w:val="21"/>
          <w:highlight w:val="none"/>
          <w:u w:val="none"/>
          <w:lang w:eastAsia="zh-CN"/>
        </w:rPr>
        <w:t>，</w:t>
      </w:r>
      <w:r>
        <w:rPr>
          <w:rFonts w:hint="eastAsia" w:ascii="宋体" w:hAnsi="宋体" w:cs="宋体"/>
          <w:bCs/>
          <w:color w:val="auto"/>
          <w:kern w:val="0"/>
          <w:szCs w:val="21"/>
          <w:highlight w:val="none"/>
          <w:u w:val="none"/>
        </w:rPr>
        <w:t>每天上午00:00至12:00，下午12:00至23:59（北京时间，法定节假日除外）</w:t>
      </w:r>
    </w:p>
    <w:p w14:paraId="7DE60B2A">
      <w:pPr>
        <w:keepNext w:val="0"/>
        <w:keepLines w:val="0"/>
        <w:pageBreakBefore w:val="0"/>
        <w:kinsoku/>
        <w:wordWrap/>
        <w:overflowPunct/>
        <w:topLinePunct w:val="0"/>
        <w:autoSpaceDE/>
        <w:autoSpaceDN/>
        <w:bidi w:val="0"/>
        <w:adjustRightInd/>
        <w:spacing w:before="10" w:after="10" w:line="460" w:lineRule="exact"/>
        <w:ind w:firstLine="440" w:firstLineChars="200"/>
        <w:textAlignment w:val="auto"/>
        <w:rPr>
          <w:rFonts w:hint="eastAsia" w:ascii="宋体" w:hAnsi="宋体"/>
          <w:color w:val="auto"/>
          <w:szCs w:val="21"/>
          <w:highlight w:val="none"/>
        </w:rPr>
      </w:pPr>
      <w:r>
        <w:rPr>
          <w:rFonts w:hint="eastAsia" w:ascii="宋体" w:hAnsi="宋体"/>
          <w:color w:val="auto"/>
          <w:szCs w:val="21"/>
          <w:highlight w:val="none"/>
        </w:rPr>
        <w:t>地点（网址）：</w:t>
      </w:r>
      <w:r>
        <w:rPr>
          <w:rFonts w:hint="eastAsia" w:ascii="宋体" w:hAnsi="宋体"/>
          <w:color w:val="auto"/>
          <w:szCs w:val="21"/>
          <w:highlight w:val="none"/>
          <w:lang w:eastAsia="zh-CN"/>
        </w:rPr>
        <w:t>“</w:t>
      </w:r>
      <w:r>
        <w:rPr>
          <w:rFonts w:hint="eastAsia" w:ascii="宋体" w:hAnsi="宋体" w:eastAsia="宋体" w:cs="宋体"/>
          <w:color w:val="auto"/>
          <w:szCs w:val="21"/>
          <w:highlight w:val="none"/>
          <w:lang w:eastAsia="zh-CN"/>
        </w:rPr>
        <w:t>广西政府采购云平台</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w:t>
      </w:r>
    </w:p>
    <w:p w14:paraId="19D2A8E8">
      <w:pPr>
        <w:keepNext w:val="0"/>
        <w:keepLines w:val="0"/>
        <w:pageBreakBefore w:val="0"/>
        <w:kinsoku/>
        <w:wordWrap/>
        <w:overflowPunct/>
        <w:topLinePunct w:val="0"/>
        <w:autoSpaceDE/>
        <w:autoSpaceDN/>
        <w:bidi w:val="0"/>
        <w:adjustRightInd/>
        <w:spacing w:before="10" w:after="10" w:line="460" w:lineRule="exact"/>
        <w:ind w:firstLine="440" w:firstLineChars="200"/>
        <w:textAlignment w:val="auto"/>
        <w:rPr>
          <w:rFonts w:ascii="黑体" w:hAnsi="黑体" w:eastAsia="黑体"/>
          <w:b/>
          <w:bCs/>
          <w:color w:val="auto"/>
          <w:sz w:val="24"/>
          <w:highlight w:val="none"/>
        </w:rPr>
      </w:pPr>
      <w:r>
        <w:rPr>
          <w:rFonts w:hint="eastAsia" w:ascii="宋体" w:hAnsi="宋体" w:eastAsia="宋体" w:cs="Times New Roman"/>
          <w:color w:val="auto"/>
          <w:szCs w:val="21"/>
          <w:highlight w:val="none"/>
        </w:rPr>
        <w:t>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2536169">
      <w:pPr>
        <w:keepNext w:val="0"/>
        <w:keepLines w:val="0"/>
        <w:pageBreakBefore w:val="0"/>
        <w:widowControl w:val="0"/>
        <w:kinsoku/>
        <w:wordWrap/>
        <w:overflowPunct/>
        <w:topLinePunct w:val="0"/>
        <w:autoSpaceDE/>
        <w:autoSpaceDN/>
        <w:bidi w:val="0"/>
        <w:adjustRightInd/>
        <w:snapToGrid/>
        <w:spacing w:before="10" w:after="10" w:line="460" w:lineRule="exact"/>
        <w:ind w:left="0" w:leftChars="0" w:firstLine="44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售价：</w:t>
      </w:r>
      <w:r>
        <w:rPr>
          <w:rFonts w:hint="eastAsia" w:ascii="宋体" w:hAnsi="宋体" w:eastAsia="宋体" w:cs="宋体"/>
          <w:bCs/>
          <w:color w:val="auto"/>
          <w:kern w:val="0"/>
          <w:szCs w:val="21"/>
          <w:highlight w:val="none"/>
          <w:lang w:val="en-US" w:eastAsia="zh-CN"/>
        </w:rPr>
        <w:t>0</w:t>
      </w:r>
      <w:r>
        <w:rPr>
          <w:rFonts w:hint="eastAsia" w:ascii="宋体" w:hAnsi="宋体" w:cs="宋体"/>
          <w:color w:val="auto"/>
          <w:highlight w:val="none"/>
        </w:rPr>
        <w:t>。</w:t>
      </w:r>
    </w:p>
    <w:p w14:paraId="5BAFE975">
      <w:pPr>
        <w:keepNext w:val="0"/>
        <w:keepLines w:val="0"/>
        <w:pageBreakBefore w:val="0"/>
        <w:kinsoku/>
        <w:wordWrap/>
        <w:overflowPunct/>
        <w:topLinePunct w:val="0"/>
        <w:autoSpaceDE/>
        <w:autoSpaceDN/>
        <w:bidi w:val="0"/>
        <w:adjustRightInd/>
        <w:spacing w:before="10" w:after="10" w:line="460" w:lineRule="exact"/>
        <w:textAlignment w:val="auto"/>
        <w:rPr>
          <w:rFonts w:hint="eastAsia"/>
          <w:b/>
          <w:bCs/>
          <w:color w:val="auto"/>
          <w:highlight w:val="none"/>
        </w:rPr>
      </w:pPr>
      <w:r>
        <w:rPr>
          <w:rFonts w:hint="eastAsia"/>
          <w:b/>
          <w:bCs/>
          <w:color w:val="auto"/>
          <w:highlight w:val="none"/>
        </w:rPr>
        <w:t>四、响应文件提交</w:t>
      </w:r>
    </w:p>
    <w:p w14:paraId="6239E80D">
      <w:pPr>
        <w:keepNext w:val="0"/>
        <w:keepLines w:val="0"/>
        <w:pageBreakBefore w:val="0"/>
        <w:kinsoku/>
        <w:wordWrap/>
        <w:overflowPunct/>
        <w:topLinePunct w:val="0"/>
        <w:autoSpaceDE/>
        <w:autoSpaceDN/>
        <w:bidi w:val="0"/>
        <w:adjustRightInd/>
        <w:snapToGrid w:val="0"/>
        <w:spacing w:before="10" w:after="10" w:line="460" w:lineRule="exact"/>
        <w:ind w:firstLine="420"/>
        <w:jc w:val="left"/>
        <w:textAlignment w:val="auto"/>
        <w:rPr>
          <w:rFonts w:hint="eastAsia" w:ascii="宋体" w:hAnsi="宋体"/>
          <w:color w:val="auto"/>
          <w:szCs w:val="21"/>
          <w:highlight w:val="none"/>
        </w:rPr>
      </w:pPr>
      <w:r>
        <w:rPr>
          <w:rFonts w:hint="eastAsia" w:ascii="宋体" w:hAnsi="宋体"/>
          <w:color w:val="auto"/>
          <w:szCs w:val="21"/>
          <w:highlight w:val="none"/>
        </w:rPr>
        <w:t>截止时间：</w:t>
      </w:r>
      <w:r>
        <w:rPr>
          <w:rFonts w:hint="eastAsia" w:ascii="宋体" w:hAnsi="宋体" w:eastAsia="宋体" w:cs="宋体"/>
          <w:color w:val="auto"/>
          <w:szCs w:val="21"/>
          <w:highlight w:val="none"/>
          <w:u w:val="single"/>
          <w:lang w:val="en-US" w:eastAsia="zh-CN"/>
        </w:rPr>
        <w:t>2026年</w:t>
      </w:r>
      <w:r>
        <w:rPr>
          <w:rFonts w:hint="eastAsia" w:cs="宋体"/>
          <w:color w:val="auto"/>
          <w:sz w:val="21"/>
          <w:szCs w:val="21"/>
          <w:highlight w:val="none"/>
          <w:u w:val="single"/>
          <w:lang w:val="en-US" w:eastAsia="zh-CN"/>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bCs w:val="0"/>
          <w:color w:val="auto"/>
          <w:szCs w:val="21"/>
          <w:highlight w:val="none"/>
          <w:u w:val="single"/>
        </w:rPr>
        <w:t>月</w:t>
      </w:r>
      <w:r>
        <w:rPr>
          <w:rFonts w:hint="eastAsia" w:cs="宋体"/>
          <w:bCs w:val="0"/>
          <w:color w:val="auto"/>
          <w:szCs w:val="21"/>
          <w:highlight w:val="none"/>
          <w:u w:val="single"/>
          <w:lang w:val="en-US" w:eastAsia="zh-CN"/>
        </w:rPr>
        <w:t>24</w:t>
      </w:r>
      <w:r>
        <w:rPr>
          <w:rFonts w:hint="eastAsia" w:ascii="宋体" w:hAnsi="宋体" w:cs="宋体"/>
          <w:bCs w:val="0"/>
          <w:color w:val="auto"/>
          <w:szCs w:val="21"/>
          <w:highlight w:val="none"/>
          <w:u w:val="single"/>
          <w:lang w:val="en-US" w:eastAsia="zh-CN"/>
        </w:rPr>
        <w:t xml:space="preserve"> </w:t>
      </w:r>
      <w:r>
        <w:rPr>
          <w:rFonts w:hint="eastAsia" w:ascii="宋体" w:hAnsi="宋体" w:eastAsia="宋体" w:cs="宋体"/>
          <w:bCs w:val="0"/>
          <w:color w:val="auto"/>
          <w:szCs w:val="21"/>
          <w:highlight w:val="none"/>
          <w:u w:val="single"/>
        </w:rPr>
        <w:t>日</w:t>
      </w:r>
      <w:r>
        <w:rPr>
          <w:rFonts w:hint="eastAsia" w:ascii="宋体" w:hAnsi="宋体" w:cs="宋体"/>
          <w:bCs w:val="0"/>
          <w:color w:val="auto"/>
          <w:szCs w:val="21"/>
          <w:highlight w:val="none"/>
          <w:u w:val="single"/>
          <w:lang w:val="en-US" w:eastAsia="zh-CN"/>
        </w:rPr>
        <w:t>09</w:t>
      </w:r>
      <w:r>
        <w:rPr>
          <w:rFonts w:hint="eastAsia" w:ascii="宋体" w:hAnsi="宋体" w:eastAsia="宋体" w:cs="宋体"/>
          <w:bCs w:val="0"/>
          <w:color w:val="auto"/>
          <w:szCs w:val="21"/>
          <w:highlight w:val="none"/>
          <w:u w:val="single"/>
        </w:rPr>
        <w:t>时</w:t>
      </w:r>
      <w:r>
        <w:rPr>
          <w:rFonts w:hint="eastAsia" w:ascii="宋体" w:hAnsi="宋体" w:cs="宋体"/>
          <w:bCs w:val="0"/>
          <w:color w:val="auto"/>
          <w:szCs w:val="21"/>
          <w:highlight w:val="none"/>
          <w:u w:val="single"/>
          <w:lang w:val="en-US" w:eastAsia="zh-CN"/>
        </w:rPr>
        <w:t>30</w:t>
      </w:r>
      <w:r>
        <w:rPr>
          <w:rFonts w:hint="eastAsia" w:ascii="宋体" w:hAnsi="宋体" w:eastAsia="宋体" w:cs="宋体"/>
          <w:bCs w:val="0"/>
          <w:color w:val="auto"/>
          <w:szCs w:val="21"/>
          <w:highlight w:val="none"/>
          <w:u w:val="single"/>
        </w:rPr>
        <w:t>分</w:t>
      </w:r>
      <w:r>
        <w:rPr>
          <w:rFonts w:hint="eastAsia" w:ascii="宋体" w:hAnsi="宋体"/>
          <w:color w:val="auto"/>
          <w:szCs w:val="21"/>
          <w:highlight w:val="none"/>
        </w:rPr>
        <w:t>（北京时间）</w:t>
      </w:r>
    </w:p>
    <w:p w14:paraId="00B650CB">
      <w:pPr>
        <w:keepNext w:val="0"/>
        <w:keepLines w:val="0"/>
        <w:pageBreakBefore w:val="0"/>
        <w:kinsoku/>
        <w:wordWrap/>
        <w:overflowPunct/>
        <w:topLinePunct w:val="0"/>
        <w:autoSpaceDE/>
        <w:autoSpaceDN/>
        <w:bidi w:val="0"/>
        <w:adjustRightInd/>
        <w:spacing w:before="10" w:after="10" w:line="460" w:lineRule="exact"/>
        <w:ind w:firstLine="44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地点（网址）：广西政府采购云平台（https://www.gcy.zfcg.gxzf.gov.cn/）</w:t>
      </w:r>
    </w:p>
    <w:p w14:paraId="154EF197">
      <w:pPr>
        <w:keepNext w:val="0"/>
        <w:keepLines w:val="0"/>
        <w:pageBreakBefore w:val="0"/>
        <w:kinsoku/>
        <w:wordWrap/>
        <w:overflowPunct/>
        <w:topLinePunct w:val="0"/>
        <w:autoSpaceDE/>
        <w:autoSpaceDN/>
        <w:bidi w:val="0"/>
        <w:adjustRightInd/>
        <w:spacing w:before="10" w:after="10" w:line="460" w:lineRule="exac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五、开启（首次响应文件开启时间）</w:t>
      </w:r>
    </w:p>
    <w:p w14:paraId="7A8DD2B9">
      <w:pPr>
        <w:keepNext w:val="0"/>
        <w:keepLines w:val="0"/>
        <w:pageBreakBefore w:val="0"/>
        <w:kinsoku/>
        <w:wordWrap/>
        <w:overflowPunct/>
        <w:topLinePunct w:val="0"/>
        <w:autoSpaceDE/>
        <w:autoSpaceDN/>
        <w:bidi w:val="0"/>
        <w:adjustRightInd/>
        <w:spacing w:before="10" w:after="10" w:line="460" w:lineRule="exact"/>
        <w:ind w:firstLine="440" w:firstLineChars="200"/>
        <w:textAlignment w:val="auto"/>
        <w:rPr>
          <w:rFonts w:ascii="宋体" w:hAnsi="宋体"/>
          <w:bCs/>
          <w:color w:val="auto"/>
          <w:szCs w:val="21"/>
          <w:highlight w:val="none"/>
          <w:u w:val="single"/>
        </w:rPr>
      </w:pPr>
      <w:r>
        <w:rPr>
          <w:rFonts w:hint="eastAsia" w:ascii="宋体" w:hAnsi="宋体"/>
          <w:color w:val="auto"/>
          <w:szCs w:val="21"/>
          <w:highlight w:val="none"/>
          <w:lang w:val="en-US" w:eastAsia="zh-CN"/>
        </w:rPr>
        <w:t>开启</w:t>
      </w:r>
      <w:r>
        <w:rPr>
          <w:rFonts w:hint="eastAsia" w:ascii="宋体" w:hAnsi="宋体"/>
          <w:color w:val="auto"/>
          <w:szCs w:val="21"/>
          <w:highlight w:val="none"/>
        </w:rPr>
        <w:t>时间：</w:t>
      </w:r>
      <w:r>
        <w:rPr>
          <w:rFonts w:hint="eastAsia" w:ascii="宋体" w:hAnsi="宋体" w:eastAsia="宋体" w:cs="宋体"/>
          <w:color w:val="auto"/>
          <w:szCs w:val="21"/>
          <w:highlight w:val="none"/>
          <w:u w:val="single"/>
          <w:lang w:val="en-US" w:eastAsia="zh-CN"/>
        </w:rPr>
        <w:t>2026年</w:t>
      </w:r>
      <w:r>
        <w:rPr>
          <w:rFonts w:hint="eastAsia" w:cs="宋体"/>
          <w:color w:val="auto"/>
          <w:sz w:val="21"/>
          <w:szCs w:val="21"/>
          <w:highlight w:val="none"/>
          <w:u w:val="single"/>
          <w:lang w:val="en-US" w:eastAsia="zh-CN"/>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bCs w:val="0"/>
          <w:color w:val="auto"/>
          <w:szCs w:val="21"/>
          <w:highlight w:val="none"/>
          <w:u w:val="single"/>
        </w:rPr>
        <w:t>月</w:t>
      </w:r>
      <w:r>
        <w:rPr>
          <w:rFonts w:hint="eastAsia" w:cs="宋体"/>
          <w:bCs w:val="0"/>
          <w:color w:val="auto"/>
          <w:szCs w:val="21"/>
          <w:highlight w:val="none"/>
          <w:u w:val="single"/>
          <w:lang w:val="en-US" w:eastAsia="zh-CN"/>
        </w:rPr>
        <w:t>24</w:t>
      </w:r>
      <w:r>
        <w:rPr>
          <w:rFonts w:hint="eastAsia" w:ascii="宋体" w:hAnsi="宋体" w:cs="宋体"/>
          <w:bCs w:val="0"/>
          <w:color w:val="auto"/>
          <w:szCs w:val="21"/>
          <w:highlight w:val="none"/>
          <w:u w:val="single"/>
          <w:lang w:val="en-US" w:eastAsia="zh-CN"/>
        </w:rPr>
        <w:t xml:space="preserve"> 09</w:t>
      </w:r>
      <w:r>
        <w:rPr>
          <w:rFonts w:hint="eastAsia" w:ascii="宋体" w:hAnsi="宋体" w:eastAsia="宋体" w:cs="宋体"/>
          <w:bCs w:val="0"/>
          <w:color w:val="auto"/>
          <w:szCs w:val="21"/>
          <w:highlight w:val="none"/>
          <w:u w:val="single"/>
        </w:rPr>
        <w:t>时</w:t>
      </w:r>
      <w:r>
        <w:rPr>
          <w:rFonts w:hint="eastAsia" w:ascii="宋体" w:hAnsi="宋体" w:cs="宋体"/>
          <w:bCs w:val="0"/>
          <w:color w:val="auto"/>
          <w:szCs w:val="21"/>
          <w:highlight w:val="none"/>
          <w:u w:val="single"/>
          <w:lang w:val="en-US" w:eastAsia="zh-CN"/>
        </w:rPr>
        <w:t>30</w:t>
      </w:r>
      <w:r>
        <w:rPr>
          <w:rFonts w:hint="eastAsia" w:ascii="宋体" w:hAnsi="宋体" w:eastAsia="宋体" w:cs="宋体"/>
          <w:bCs w:val="0"/>
          <w:color w:val="auto"/>
          <w:szCs w:val="21"/>
          <w:highlight w:val="none"/>
          <w:u w:val="single"/>
        </w:rPr>
        <w:t>分</w:t>
      </w:r>
      <w:r>
        <w:rPr>
          <w:rFonts w:hint="eastAsia" w:ascii="宋体" w:hAnsi="宋体"/>
          <w:bCs/>
          <w:color w:val="auto"/>
          <w:szCs w:val="21"/>
          <w:highlight w:val="none"/>
        </w:rPr>
        <w:t>（北京时间）</w:t>
      </w:r>
    </w:p>
    <w:p w14:paraId="2D5A15A7">
      <w:pPr>
        <w:keepNext w:val="0"/>
        <w:keepLines w:val="0"/>
        <w:pageBreakBefore w:val="0"/>
        <w:kinsoku/>
        <w:wordWrap/>
        <w:overflowPunct/>
        <w:topLinePunct w:val="0"/>
        <w:autoSpaceDE/>
        <w:autoSpaceDN/>
        <w:bidi w:val="0"/>
        <w:adjustRightInd/>
        <w:snapToGrid w:val="0"/>
        <w:spacing w:before="10" w:after="10" w:line="460" w:lineRule="exact"/>
        <w:ind w:firstLine="44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地点：广西政府采购云平台开标大厅</w:t>
      </w:r>
    </w:p>
    <w:p w14:paraId="2B41B76B">
      <w:pPr>
        <w:keepNext w:val="0"/>
        <w:keepLines w:val="0"/>
        <w:pageBreakBefore w:val="0"/>
        <w:kinsoku/>
        <w:wordWrap/>
        <w:overflowPunct/>
        <w:topLinePunct w:val="0"/>
        <w:autoSpaceDE/>
        <w:autoSpaceDN/>
        <w:bidi w:val="0"/>
        <w:adjustRightInd/>
        <w:spacing w:before="10" w:after="10" w:line="460" w:lineRule="exact"/>
        <w:textAlignment w:val="auto"/>
        <w:rPr>
          <w:rFonts w:hint="eastAsia"/>
          <w:b/>
          <w:bCs/>
          <w:color w:val="auto"/>
          <w:highlight w:val="none"/>
        </w:rPr>
      </w:pPr>
      <w:r>
        <w:rPr>
          <w:rFonts w:hint="eastAsia"/>
          <w:b/>
          <w:bCs/>
          <w:color w:val="auto"/>
          <w:highlight w:val="none"/>
        </w:rPr>
        <w:t>六、公告期限</w:t>
      </w:r>
    </w:p>
    <w:p w14:paraId="1638BEC8">
      <w:pPr>
        <w:keepNext w:val="0"/>
        <w:keepLines w:val="0"/>
        <w:pageBreakBefore w:val="0"/>
        <w:kinsoku/>
        <w:wordWrap/>
        <w:overflowPunct/>
        <w:topLinePunct w:val="0"/>
        <w:autoSpaceDE/>
        <w:autoSpaceDN/>
        <w:bidi w:val="0"/>
        <w:adjustRightInd/>
        <w:spacing w:before="10" w:after="10" w:line="460" w:lineRule="exact"/>
        <w:ind w:firstLine="44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FB5FE9F">
      <w:pPr>
        <w:keepNext w:val="0"/>
        <w:keepLines w:val="0"/>
        <w:pageBreakBefore w:val="0"/>
        <w:kinsoku/>
        <w:wordWrap/>
        <w:overflowPunct/>
        <w:topLinePunct w:val="0"/>
        <w:autoSpaceDE/>
        <w:autoSpaceDN/>
        <w:bidi w:val="0"/>
        <w:adjustRightInd/>
        <w:spacing w:before="10" w:after="10" w:line="460" w:lineRule="exact"/>
        <w:textAlignment w:val="auto"/>
        <w:rPr>
          <w:rFonts w:hint="eastAsia"/>
          <w:b/>
          <w:bCs/>
          <w:color w:val="auto"/>
          <w:highlight w:val="none"/>
        </w:rPr>
      </w:pPr>
      <w:r>
        <w:rPr>
          <w:rFonts w:hint="eastAsia"/>
          <w:b/>
          <w:bCs/>
          <w:color w:val="auto"/>
          <w:highlight w:val="none"/>
        </w:rPr>
        <w:t>七、其他补充事宜</w:t>
      </w:r>
    </w:p>
    <w:p w14:paraId="5B06AA00">
      <w:pPr>
        <w:pageBreakBefore w:val="0"/>
        <w:widowControl w:val="0"/>
        <w:shd w:val="clear" w:color="auto" w:fill="auto"/>
        <w:kinsoku/>
        <w:wordWrap w:val="0"/>
        <w:overflowPunct/>
        <w:topLinePunct/>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1.网上查询地址</w:t>
      </w:r>
      <w:r>
        <w:rPr>
          <w:rFonts w:hint="eastAsia" w:ascii="宋体" w:hAnsi="宋体" w:cs="Times New Roman"/>
          <w:color w:val="auto"/>
          <w:szCs w:val="21"/>
          <w:highlight w:val="none"/>
          <w:lang w:eastAsia="zh-CN"/>
        </w:rPr>
        <w:t>：</w:t>
      </w:r>
    </w:p>
    <w:p w14:paraId="121EFFD9">
      <w:pPr>
        <w:spacing w:line="360" w:lineRule="auto"/>
        <w:ind w:firstLine="440" w:firstLineChars="200"/>
        <w:rPr>
          <w:rFonts w:hint="eastAsia" w:ascii="宋体" w:hAnsi="宋体" w:eastAsia="宋体" w:cs="宋体"/>
          <w:color w:val="auto"/>
          <w:kern w:val="0"/>
          <w:szCs w:val="21"/>
          <w:highlight w:val="none"/>
        </w:rPr>
      </w:pP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"http://www.ccgp.gov.cn（中国政府采购网）、zfcg.gxzf.gov.cn（广西壮族自治区政府采购网）。" </w:instrText>
      </w:r>
      <w:r>
        <w:rPr>
          <w:rFonts w:hint="eastAsia" w:ascii="宋体" w:hAnsi="宋体" w:eastAsia="宋体" w:cs="Times New Roman"/>
          <w:color w:val="auto"/>
          <w:szCs w:val="21"/>
          <w:highlight w:val="none"/>
        </w:rPr>
        <w:fldChar w:fldCharType="separate"/>
      </w:r>
      <w:r>
        <w:rPr>
          <w:rFonts w:hint="eastAsia" w:ascii="宋体" w:hAnsi="宋体" w:eastAsia="宋体" w:cs="宋体"/>
          <w:color w:val="auto"/>
          <w:kern w:val="0"/>
          <w:szCs w:val="21"/>
          <w:highlight w:val="none"/>
        </w:rPr>
        <w:t>中国政府采购网（www.ccgp.gov.cn）</w:t>
      </w:r>
    </w:p>
    <w:p w14:paraId="02118388">
      <w:pPr>
        <w:spacing w:line="360" w:lineRule="auto"/>
        <w:ind w:firstLine="44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广西壮族自治区政府采购网（www.ccgp-guangxi.gov.cn）</w:t>
      </w:r>
    </w:p>
    <w:p w14:paraId="50036040">
      <w:pPr>
        <w:keepNext w:val="0"/>
        <w:keepLines w:val="0"/>
        <w:pageBreakBefore w:val="0"/>
        <w:widowControl w:val="0"/>
        <w:shd w:val="clear" w:color="auto" w:fill="auto"/>
        <w:kinsoku/>
        <w:wordWrap w:val="0"/>
        <w:overflowPunct/>
        <w:topLinePunct/>
        <w:autoSpaceDE/>
        <w:autoSpaceDN/>
        <w:bidi w:val="0"/>
        <w:adjustRightInd/>
        <w:snapToGri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采购意向公开链接：http://www.ccgp-guangxi.gov.cn/site/detail?parentId=66485&amp;articleId=qky/9btZJ02Y0M1yUNRpqw==</w:t>
      </w:r>
    </w:p>
    <w:p w14:paraId="05D44E4A">
      <w:pPr>
        <w:pageBreakBefore w:val="0"/>
        <w:widowControl w:val="0"/>
        <w:shd w:val="clear" w:color="auto" w:fill="auto"/>
        <w:kinsoku/>
        <w:wordWrap w:val="0"/>
        <w:overflowPunct/>
        <w:topLinePunct/>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.磋商保证金：</w:t>
      </w:r>
      <w:r>
        <w:rPr>
          <w:rFonts w:hint="eastAsia" w:ascii="宋体" w:hAnsi="宋体" w:cs="宋体"/>
          <w:color w:val="auto"/>
          <w:szCs w:val="21"/>
          <w:highlight w:val="none"/>
        </w:rPr>
        <w:t>无需缴纳磋商保证金。</w:t>
      </w:r>
    </w:p>
    <w:p w14:paraId="672F087D">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.本项目需要落实的政府采购政策</w:t>
      </w:r>
    </w:p>
    <w:p w14:paraId="2998AA18">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color w:val="auto"/>
          <w:szCs w:val="21"/>
          <w:highlight w:val="none"/>
        </w:rPr>
        <w:t>（1）政府采购促进中小企业发展</w:t>
      </w:r>
      <w:r>
        <w:rPr>
          <w:rFonts w:hint="eastAsia" w:ascii="宋体" w:hAnsi="宋体" w:eastAsia="宋体" w:cs="宋体"/>
          <w:b w:val="0"/>
          <w:bCs/>
          <w:color w:val="auto"/>
          <w:kern w:val="0"/>
          <w:szCs w:val="21"/>
          <w:highlight w:val="none"/>
          <w:lang w:eastAsia="zh-CN"/>
        </w:rPr>
        <w:t>，</w:t>
      </w:r>
      <w:r>
        <w:rPr>
          <w:rFonts w:hint="eastAsia" w:ascii="宋体" w:hAnsi="宋体" w:eastAsia="宋体" w:cs="Times New Roman"/>
          <w:b/>
          <w:bCs/>
          <w:color w:val="auto"/>
          <w:sz w:val="21"/>
          <w:szCs w:val="21"/>
          <w:highlight w:val="none"/>
        </w:rPr>
        <w:t>本项目</w:t>
      </w:r>
      <w:r>
        <w:rPr>
          <w:rFonts w:hint="eastAsia" w:ascii="宋体" w:hAnsi="宋体" w:eastAsia="宋体" w:cs="Times New Roman"/>
          <w:b/>
          <w:bCs/>
          <w:color w:val="auto"/>
          <w:sz w:val="21"/>
          <w:szCs w:val="21"/>
          <w:highlight w:val="none"/>
          <w:lang w:val="en-US" w:eastAsia="zh-CN"/>
        </w:rPr>
        <w:t>为</w:t>
      </w:r>
      <w:r>
        <w:rPr>
          <w:rFonts w:hint="eastAsia" w:ascii="宋体" w:hAnsi="宋体" w:eastAsia="宋体" w:cs="Times New Roman"/>
          <w:b/>
          <w:bCs/>
          <w:color w:val="auto"/>
          <w:sz w:val="21"/>
          <w:szCs w:val="21"/>
          <w:highlight w:val="none"/>
        </w:rPr>
        <w:t>专门面向</w:t>
      </w:r>
      <w:r>
        <w:rPr>
          <w:rFonts w:hint="eastAsia" w:ascii="宋体" w:hAnsi="宋体" w:eastAsia="宋体" w:cs="Times New Roman"/>
          <w:b/>
          <w:bCs/>
          <w:color w:val="auto"/>
          <w:sz w:val="21"/>
          <w:szCs w:val="21"/>
          <w:highlight w:val="none"/>
          <w:lang w:val="en-US" w:eastAsia="zh-CN"/>
        </w:rPr>
        <w:t>中、小、微</w:t>
      </w:r>
      <w:r>
        <w:rPr>
          <w:rFonts w:hint="eastAsia" w:ascii="宋体" w:hAnsi="宋体" w:eastAsia="宋体" w:cs="Times New Roman"/>
          <w:b/>
          <w:bCs/>
          <w:color w:val="auto"/>
          <w:sz w:val="21"/>
          <w:szCs w:val="21"/>
          <w:highlight w:val="none"/>
        </w:rPr>
        <w:t>企业采购</w:t>
      </w:r>
      <w:r>
        <w:rPr>
          <w:rFonts w:hint="eastAsia" w:ascii="宋体" w:hAnsi="宋体" w:cs="Times New Roman"/>
          <w:b/>
          <w:bCs w:val="0"/>
          <w:color w:val="auto"/>
          <w:kern w:val="2"/>
          <w:sz w:val="21"/>
          <w:szCs w:val="21"/>
          <w:highlight w:val="none"/>
          <w:lang w:val="en-US" w:eastAsia="zh-CN" w:bidi="ar-SA"/>
        </w:rPr>
        <w:t>。</w:t>
      </w:r>
    </w:p>
    <w:p w14:paraId="3CA74A9F">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（2）政府采购支持采用本国产品的政策。</w:t>
      </w:r>
    </w:p>
    <w:p w14:paraId="5EFF0EF3">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（3）强制采购节能产品；优先采购节能产品、环境标志产品。</w:t>
      </w:r>
    </w:p>
    <w:p w14:paraId="07124AC8">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（4）政府采购促进残疾人就业政策。</w:t>
      </w:r>
    </w:p>
    <w:p w14:paraId="7E402634">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（5）政府采购支持监狱企业发展。</w:t>
      </w:r>
    </w:p>
    <w:p w14:paraId="4DA499BE">
      <w:pPr>
        <w:pageBreakBefore w:val="0"/>
        <w:widowControl w:val="0"/>
        <w:shd w:val="clear" w:color="auto" w:fill="auto"/>
        <w:kinsoku/>
        <w:wordWrap/>
        <w:overflowPunct/>
        <w:topLinePunct w:val="0"/>
        <w:autoSpaceDE/>
        <w:autoSpaceDN/>
        <w:bidi w:val="0"/>
        <w:adjustRightInd/>
        <w:spacing w:line="360" w:lineRule="auto"/>
        <w:ind w:firstLine="44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（6）扶持不发达地区和少数民族地区政策。</w:t>
      </w:r>
    </w:p>
    <w:p w14:paraId="78B5B84B">
      <w:pPr>
        <w:pageBreakBefore w:val="0"/>
        <w:widowControl w:val="0"/>
        <w:shd w:val="clear" w:color="auto" w:fill="auto"/>
        <w:kinsoku/>
        <w:wordWrap/>
        <w:overflowPunct/>
        <w:topLinePunct w:val="0"/>
        <w:autoSpaceDE/>
        <w:autoSpaceDN/>
        <w:bidi w:val="0"/>
        <w:adjustRightInd/>
        <w:spacing w:line="360" w:lineRule="auto"/>
        <w:ind w:firstLine="442" w:firstLineChars="200"/>
        <w:jc w:val="left"/>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.申请人的资格要求的补充说明：</w:t>
      </w:r>
    </w:p>
    <w:p w14:paraId="4E767BA8">
      <w:pPr>
        <w:pStyle w:val="13"/>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w:t>
      </w:r>
      <w:r>
        <w:rPr>
          <w:rFonts w:hint="eastAsia" w:ascii="宋体" w:hAnsi="宋体" w:eastAsia="宋体" w:cs="宋体"/>
          <w:color w:val="auto"/>
          <w:szCs w:val="21"/>
          <w:highlight w:val="none"/>
        </w:rPr>
        <w:t>供应商，不得再参加本项目上述服务以外的其他采购活动。</w:t>
      </w:r>
    </w:p>
    <w:p w14:paraId="5E6D2649">
      <w:pPr>
        <w:pStyle w:val="13"/>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对在“信用中国”网站(www.creditchina.gov.cn )</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kern w:val="0"/>
          <w:sz w:val="21"/>
          <w:szCs w:val="21"/>
          <w:highlight w:val="none"/>
        </w:rPr>
        <w:t>中国执行信息公开网（https://zxgk.court.gov.cn/）</w:t>
      </w:r>
      <w:r>
        <w:rPr>
          <w:rFonts w:hint="eastAsia" w:ascii="宋体" w:hAnsi="宋体" w:eastAsia="宋体" w:cs="宋体"/>
          <w:color w:val="auto"/>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5BF605E">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420" w:firstLine="44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在线</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响应（电子</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）说明</w:t>
      </w:r>
    </w:p>
    <w:p w14:paraId="2DE7B73A">
      <w:pPr>
        <w:keepNext w:val="0"/>
        <w:keepLines w:val="0"/>
        <w:pageBreakBefore w:val="0"/>
        <w:widowControl w:val="0"/>
        <w:shd w:val="clear" w:color="auto" w:fill="auto"/>
        <w:kinsoku/>
        <w:wordWrap w:val="0"/>
        <w:overflowPunct/>
        <w:topLinePunct/>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响应文件提交方式：本项目为全流程电子化采购项目，通过“广西政府采购云平台”（https://www.gcy.zfcg.gxzf.gov.cn/）实行在线电子</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-政府采购项目电子交易管理操作指南-供应商”查看电子</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具体操作流程。</w:t>
      </w:r>
    </w:p>
    <w:p w14:paraId="2E18F6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color w:val="auto"/>
          <w:szCs w:val="21"/>
          <w:highlight w:val="none"/>
          <w:lang w:eastAsia="zh-CN"/>
        </w:rPr>
        <w:t>登录</w:t>
      </w:r>
      <w:r>
        <w:rPr>
          <w:rFonts w:hint="eastAsia" w:ascii="宋体" w:hAnsi="宋体" w:eastAsia="宋体" w:cs="宋体"/>
          <w:color w:val="auto"/>
          <w:szCs w:val="21"/>
          <w:highlight w:val="none"/>
        </w:rPr>
        <w:t>“广西政府采购云平台”，依次进入“服务中心-入驻与配置”中查看CA数字证书办理操作流程。如在操作过程中遇到问题或者需要技术支持，请致电广西政府采购云客服热线：95763）。</w:t>
      </w:r>
    </w:p>
    <w:p w14:paraId="3A2190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CA证书在线解密：首次响应文件开启时，需携带制作响应文件时用来加密的有效数字证书（CA认证）登录“广西政府采购云平台”电子开标大厅现场按规定时间对加密的响应文件进行解密，否则后果自负。</w:t>
      </w:r>
    </w:p>
    <w:p w14:paraId="3352660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C060F1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供应商需要在具备有摄像头及语音功能且互联网网络状况良好的电脑登录“广西政府采购云平台”远程开标大厅参与本次磋商，否则后果自负。</w:t>
      </w:r>
    </w:p>
    <w:p w14:paraId="5A5044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7.监督部门：</w:t>
      </w:r>
      <w:r>
        <w:rPr>
          <w:rFonts w:hint="eastAsia" w:ascii="宋体" w:hAnsi="宋体" w:eastAsia="宋体" w:cs="宋体"/>
          <w:i w:val="0"/>
          <w:iCs w:val="0"/>
          <w:caps w:val="0"/>
          <w:color w:val="auto"/>
          <w:spacing w:val="0"/>
          <w:sz w:val="21"/>
          <w:szCs w:val="21"/>
          <w:highlight w:val="none"/>
        </w:rPr>
        <w:t>广西壮族自治区</w:t>
      </w:r>
      <w:r>
        <w:rPr>
          <w:rFonts w:hint="eastAsia" w:ascii="宋体" w:hAnsi="宋体" w:eastAsia="宋体" w:cs="宋体"/>
          <w:i w:val="0"/>
          <w:iCs w:val="0"/>
          <w:caps w:val="0"/>
          <w:color w:val="auto"/>
          <w:spacing w:val="0"/>
          <w:sz w:val="21"/>
          <w:szCs w:val="21"/>
          <w:highlight w:val="none"/>
          <w:lang w:eastAsia="zh-CN"/>
        </w:rPr>
        <w:t>桂林公路发展中心；</w:t>
      </w:r>
      <w:r>
        <w:rPr>
          <w:rFonts w:hint="eastAsia" w:ascii="宋体" w:hAnsi="宋体" w:eastAsia="宋体" w:cs="宋体"/>
          <w:i w:val="0"/>
          <w:iCs w:val="0"/>
          <w:caps w:val="0"/>
          <w:color w:val="auto"/>
          <w:spacing w:val="0"/>
          <w:sz w:val="21"/>
          <w:szCs w:val="21"/>
          <w:highlight w:val="none"/>
          <w:lang w:val="en-US" w:eastAsia="zh-CN"/>
        </w:rPr>
        <w:t>联系电话：</w:t>
      </w:r>
      <w:r>
        <w:rPr>
          <w:rFonts w:hint="eastAsia" w:ascii="宋体" w:hAnsi="宋体" w:eastAsia="宋体" w:cs="宋体"/>
          <w:i w:val="0"/>
          <w:iCs w:val="0"/>
          <w:caps w:val="0"/>
          <w:color w:val="auto"/>
          <w:spacing w:val="0"/>
          <w:sz w:val="21"/>
          <w:szCs w:val="21"/>
          <w:highlight w:val="none"/>
        </w:rPr>
        <w:t>0773-3843344</w:t>
      </w:r>
    </w:p>
    <w:p w14:paraId="40810F70">
      <w:pPr>
        <w:keepNext w:val="0"/>
        <w:keepLines w:val="0"/>
        <w:pageBreakBefore w:val="0"/>
        <w:kinsoku/>
        <w:wordWrap/>
        <w:overflowPunct/>
        <w:topLinePunct w:val="0"/>
        <w:autoSpaceDE/>
        <w:autoSpaceDN/>
        <w:bidi w:val="0"/>
        <w:adjustRightInd/>
        <w:spacing w:before="0" w:after="0" w:line="360" w:lineRule="auto"/>
        <w:textAlignment w:val="auto"/>
        <w:rPr>
          <w:rFonts w:hint="eastAsia"/>
          <w:b/>
          <w:bCs/>
          <w:color w:val="auto"/>
          <w:highlight w:val="none"/>
        </w:rPr>
      </w:pPr>
      <w:r>
        <w:rPr>
          <w:rFonts w:hint="eastAsia"/>
          <w:b/>
          <w:bCs/>
          <w:color w:val="auto"/>
          <w:highlight w:val="none"/>
        </w:rPr>
        <w:t>八、凡对本次采购提出询问，请按以下方式联系</w:t>
      </w:r>
    </w:p>
    <w:p w14:paraId="4E29466C">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r>
        <w:rPr>
          <w:rFonts w:hint="eastAsia" w:ascii="宋体" w:hAnsi="宋体" w:cs="宋体"/>
          <w:color w:val="auto"/>
          <w:kern w:val="2"/>
          <w:szCs w:val="21"/>
          <w:highlight w:val="none"/>
          <w:lang w:val="en-US" w:eastAsia="zh-CN"/>
        </w:rPr>
        <w:t>采购人</w:t>
      </w:r>
      <w:r>
        <w:rPr>
          <w:rFonts w:hint="eastAsia" w:ascii="宋体" w:hAnsi="宋体" w:eastAsia="宋体" w:cs="宋体"/>
          <w:color w:val="auto"/>
          <w:kern w:val="2"/>
          <w:szCs w:val="21"/>
          <w:highlight w:val="none"/>
        </w:rPr>
        <w:t>信息</w:t>
      </w:r>
    </w:p>
    <w:p w14:paraId="4851F3B0">
      <w:pPr>
        <w:keepNext w:val="0"/>
        <w:keepLines w:val="0"/>
        <w:pageBreakBefore w:val="0"/>
        <w:kinsoku/>
        <w:wordWrap/>
        <w:overflowPunct/>
        <w:topLinePunct w:val="0"/>
        <w:autoSpaceDE/>
        <w:autoSpaceDN/>
        <w:bidi w:val="0"/>
        <w:adjustRightInd/>
        <w:spacing w:before="0" w:after="0" w:line="360" w:lineRule="auto"/>
        <w:ind w:firstLine="440" w:firstLineChars="200"/>
        <w:jc w:val="left"/>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广西壮族自治区恭城公路养护中心</w:t>
      </w:r>
    </w:p>
    <w:p w14:paraId="21E8AF6E">
      <w:pPr>
        <w:keepNext w:val="0"/>
        <w:keepLines w:val="0"/>
        <w:pageBreakBefore w:val="0"/>
        <w:kinsoku/>
        <w:wordWrap/>
        <w:overflowPunct/>
        <w:topLinePunct w:val="0"/>
        <w:autoSpaceDE/>
        <w:autoSpaceDN/>
        <w:bidi w:val="0"/>
        <w:adjustRightInd/>
        <w:spacing w:before="0" w:after="0" w:line="360" w:lineRule="auto"/>
        <w:ind w:firstLine="420"/>
        <w:jc w:val="left"/>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恭城镇城中西路八巷3号</w:t>
      </w:r>
    </w:p>
    <w:p w14:paraId="4D028D2A">
      <w:pPr>
        <w:keepNext w:val="0"/>
        <w:keepLines w:val="0"/>
        <w:pageBreakBefore w:val="0"/>
        <w:kinsoku/>
        <w:wordWrap/>
        <w:overflowPunct/>
        <w:topLinePunct w:val="0"/>
        <w:autoSpaceDE/>
        <w:autoSpaceDN/>
        <w:bidi w:val="0"/>
        <w:adjustRightInd/>
        <w:spacing w:before="0" w:after="0" w:line="360" w:lineRule="auto"/>
        <w:ind w:firstLine="440" w:firstLineChars="200"/>
        <w:jc w:val="left"/>
        <w:textAlignment w:val="auto"/>
        <w:rPr>
          <w:rFonts w:hint="default" w:ascii="宋体" w:hAnsi="宋体" w:eastAsia="宋体"/>
          <w:color w:val="auto"/>
          <w:szCs w:val="21"/>
          <w:highlight w:val="none"/>
          <w:lang w:val="en-US" w:eastAsia="zh-CN"/>
        </w:rPr>
      </w:pPr>
      <w:r>
        <w:rPr>
          <w:rFonts w:hint="eastAsia" w:ascii="宋体" w:hAnsi="宋体" w:cs="宋体"/>
          <w:color w:val="auto"/>
          <w:szCs w:val="21"/>
          <w:highlight w:val="none"/>
        </w:rPr>
        <w:t>项目联系人：</w:t>
      </w:r>
      <w:r>
        <w:rPr>
          <w:rFonts w:hint="eastAsia" w:cs="宋体"/>
          <w:color w:val="auto"/>
          <w:szCs w:val="21"/>
          <w:highlight w:val="none"/>
          <w:lang w:val="en-US" w:eastAsia="zh-CN"/>
        </w:rPr>
        <w:t>赖工</w:t>
      </w:r>
    </w:p>
    <w:p w14:paraId="0DC2C627">
      <w:pPr>
        <w:keepNext w:val="0"/>
        <w:keepLines w:val="0"/>
        <w:pageBreakBefore w:val="0"/>
        <w:kinsoku/>
        <w:wordWrap/>
        <w:overflowPunct/>
        <w:topLinePunct w:val="0"/>
        <w:autoSpaceDE/>
        <w:autoSpaceDN/>
        <w:bidi w:val="0"/>
        <w:adjustRightInd/>
        <w:spacing w:before="0" w:after="0" w:line="360" w:lineRule="auto"/>
        <w:ind w:firstLine="44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olor w:val="auto"/>
          <w:szCs w:val="21"/>
          <w:highlight w:val="none"/>
        </w:rPr>
        <w:t>项目联系方式：</w:t>
      </w:r>
      <w:r>
        <w:rPr>
          <w:rFonts w:hint="eastAsia" w:ascii="宋体" w:hAnsi="宋体"/>
          <w:color w:val="auto"/>
          <w:szCs w:val="21"/>
          <w:highlight w:val="none"/>
          <w:lang w:val="en-US" w:eastAsia="zh-CN"/>
        </w:rPr>
        <w:t>0773-8210910</w:t>
      </w:r>
    </w:p>
    <w:p w14:paraId="6F87365A">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621ACC5A">
      <w:pPr>
        <w:widowControl/>
        <w:spacing w:line="360" w:lineRule="auto"/>
        <w:ind w:firstLine="44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广西城建咨询设计有限公司</w:t>
      </w:r>
    </w:p>
    <w:p w14:paraId="658CD987">
      <w:pPr>
        <w:widowControl/>
        <w:spacing w:line="360" w:lineRule="auto"/>
        <w:ind w:firstLine="44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桂林市滨江路18号滨江大厦5楼</w:t>
      </w:r>
    </w:p>
    <w:p w14:paraId="5C2E6819">
      <w:pPr>
        <w:widowControl/>
        <w:spacing w:line="360" w:lineRule="auto"/>
        <w:ind w:firstLine="44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胡丹、兰雪迎、李文军、阳圣</w:t>
      </w:r>
    </w:p>
    <w:p w14:paraId="792C7166">
      <w:pPr>
        <w:widowControl/>
        <w:spacing w:line="360" w:lineRule="auto"/>
        <w:ind w:firstLine="44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0773-2826203</w:t>
      </w:r>
    </w:p>
    <w:p w14:paraId="0A46FEB3">
      <w:pPr>
        <w:pStyle w:val="13"/>
        <w:keepNext w:val="0"/>
        <w:keepLines w:val="0"/>
        <w:pageBreakBefore w:val="0"/>
        <w:kinsoku/>
        <w:wordWrap/>
        <w:overflowPunct/>
        <w:topLinePunct w:val="0"/>
        <w:autoSpaceDE/>
        <w:autoSpaceDN/>
        <w:bidi w:val="0"/>
        <w:adjustRightInd/>
        <w:spacing w:before="0" w:after="0" w:line="360" w:lineRule="auto"/>
        <w:textAlignment w:val="auto"/>
        <w:rPr>
          <w:rFonts w:hint="eastAsia"/>
          <w:color w:val="auto"/>
          <w:highlight w:val="none"/>
          <w:lang w:eastAsia="zh-CN"/>
        </w:rPr>
      </w:pPr>
    </w:p>
    <w:p w14:paraId="3B63A63C">
      <w:pPr>
        <w:keepNext w:val="0"/>
        <w:keepLines w:val="0"/>
        <w:pageBreakBefore w:val="0"/>
        <w:kinsoku/>
        <w:wordWrap/>
        <w:overflowPunct/>
        <w:topLinePunct w:val="0"/>
        <w:autoSpaceDE/>
        <w:autoSpaceDN/>
        <w:bidi w:val="0"/>
        <w:adjustRightInd/>
        <w:spacing w:before="10" w:after="10" w:line="460" w:lineRule="exact"/>
        <w:textAlignment w:val="auto"/>
        <w:rPr>
          <w:rFonts w:hint="eastAsia"/>
          <w:color w:val="auto"/>
          <w:highlight w:val="none"/>
          <w:lang w:eastAsia="zh-CN"/>
        </w:rPr>
      </w:pPr>
    </w:p>
    <w:p w14:paraId="621321CA">
      <w:pPr>
        <w:keepNext w:val="0"/>
        <w:keepLines w:val="0"/>
        <w:pageBreakBefore w:val="0"/>
        <w:kinsoku/>
        <w:wordWrap/>
        <w:overflowPunct/>
        <w:topLinePunct w:val="0"/>
        <w:autoSpaceDE/>
        <w:autoSpaceDN/>
        <w:bidi w:val="0"/>
        <w:adjustRightInd/>
        <w:spacing w:before="10" w:after="10" w:line="460" w:lineRule="exact"/>
        <w:ind w:firstLine="44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广西城建咨询设计有限公司</w:t>
      </w:r>
    </w:p>
    <w:p w14:paraId="590E006E">
      <w:pPr>
        <w:keepNext w:val="0"/>
        <w:keepLines w:val="0"/>
        <w:pageBreakBefore w:val="0"/>
        <w:kinsoku/>
        <w:wordWrap/>
        <w:overflowPunct/>
        <w:topLinePunct w:val="0"/>
        <w:autoSpaceDE/>
        <w:autoSpaceDN/>
        <w:bidi w:val="0"/>
        <w:adjustRightInd/>
        <w:spacing w:before="10" w:after="10" w:line="460" w:lineRule="exact"/>
        <w:jc w:val="right"/>
        <w:textAlignment w:val="auto"/>
        <w:rPr>
          <w:rFonts w:hint="eastAsia" w:ascii="宋体" w:hAnsi="宋体" w:eastAsia="宋体" w:cs="宋体"/>
          <w:b/>
          <w:color w:val="auto"/>
          <w:sz w:val="21"/>
          <w:szCs w:val="21"/>
          <w:highlight w:val="none"/>
          <w:u w:val="none"/>
        </w:rPr>
      </w:pPr>
      <w:r>
        <w:rPr>
          <w:rFonts w:hint="eastAsia" w:ascii="宋体" w:hAnsi="宋体" w:eastAsia="宋体" w:cs="宋体"/>
          <w:color w:val="auto"/>
          <w:szCs w:val="21"/>
          <w:highlight w:val="none"/>
          <w:u w:val="none"/>
          <w:lang w:val="en-US" w:eastAsia="zh-CN"/>
        </w:rPr>
        <w:t>202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cs="宋体"/>
          <w:color w:val="auto"/>
          <w:szCs w:val="21"/>
          <w:highlight w:val="none"/>
          <w:u w:val="non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w:t>
      </w:r>
      <w:r>
        <w:rPr>
          <w:rFonts w:hint="eastAsia" w:cs="宋体"/>
          <w:color w:val="auto"/>
          <w:szCs w:val="21"/>
          <w:highlight w:val="none"/>
          <w:u w:val="none"/>
          <w:lang w:val="en-US" w:eastAsia="zh-CN"/>
        </w:rPr>
        <w:t>12</w:t>
      </w:r>
      <w:r>
        <w:rPr>
          <w:rFonts w:hint="eastAsia" w:ascii="宋体" w:hAnsi="宋体" w:eastAsia="宋体" w:cs="宋体"/>
          <w:color w:val="auto"/>
          <w:szCs w:val="21"/>
          <w:highlight w:val="none"/>
          <w:u w:val="none"/>
        </w:rPr>
        <w:t>日</w:t>
      </w:r>
    </w:p>
    <w:p w14:paraId="73E54606">
      <w:pPr>
        <w:ind w:firstLine="422"/>
        <w:jc w:val="right"/>
        <w:rPr>
          <w:color w:val="auto"/>
          <w:sz w:val="21"/>
          <w:szCs w:val="21"/>
          <w:highlight w:val="none"/>
        </w:rPr>
        <w:sectPr>
          <w:footerReference r:id="rId5" w:type="default"/>
          <w:pgSz w:w="11911" w:h="16849"/>
          <w:pgMar w:top="1417" w:right="1417" w:bottom="1417" w:left="1417" w:header="720" w:footer="720" w:gutter="0"/>
          <w:pgNumType w:start="1"/>
          <w:cols w:space="0" w:num="1"/>
          <w:rtlGutter w:val="0"/>
          <w:docGrid w:linePitch="0" w:charSpace="0"/>
        </w:sectPr>
      </w:pPr>
      <w:r>
        <w:rPr>
          <w:rFonts w:hint="eastAsia" w:ascii="宋体" w:hAnsi="宋体" w:eastAsia="宋体" w:cs="宋体"/>
          <w:color w:val="auto"/>
          <w:sz w:val="21"/>
          <w:szCs w:val="21"/>
          <w:highlight w:val="none"/>
        </w:rPr>
        <w:br w:type="page"/>
      </w:r>
    </w:p>
    <w:p w14:paraId="3BAF1BC7">
      <w:pPr>
        <w:pStyle w:val="2"/>
        <w:keepNext/>
        <w:keepLines/>
        <w:autoSpaceDE/>
        <w:autoSpaceDN/>
        <w:spacing w:before="340" w:after="330"/>
        <w:ind w:firstLine="643"/>
        <w:jc w:val="center"/>
        <w:rPr>
          <w:rFonts w:ascii="Cambria" w:hAnsi="Cambria" w:cs="Times New Roman"/>
          <w:color w:val="auto"/>
          <w:kern w:val="44"/>
          <w:highlight w:val="none"/>
        </w:rPr>
      </w:pPr>
      <w:bookmarkStart w:id="4" w:name="_Toc12998"/>
      <w:r>
        <w:rPr>
          <w:rFonts w:hint="eastAsia" w:ascii="Cambria" w:hAnsi="Cambria" w:cs="Times New Roman"/>
          <w:color w:val="auto"/>
          <w:kern w:val="44"/>
          <w:highlight w:val="none"/>
        </w:rPr>
        <w:t>第二章供应商须知</w:t>
      </w:r>
      <w:bookmarkEnd w:id="4"/>
    </w:p>
    <w:p w14:paraId="48545DF1">
      <w:pPr>
        <w:pStyle w:val="3"/>
        <w:keepNext/>
        <w:keepLines/>
        <w:autoSpaceDE/>
        <w:autoSpaceDN/>
        <w:spacing w:before="260" w:after="260"/>
        <w:ind w:right="0" w:firstLine="640"/>
        <w:rPr>
          <w:rFonts w:ascii="Cambria" w:hAnsi="Cambria" w:cs="Times New Roman"/>
          <w:b/>
          <w:bCs/>
          <w:color w:val="auto"/>
          <w:highlight w:val="none"/>
        </w:rPr>
      </w:pPr>
      <w:r>
        <w:rPr>
          <w:rFonts w:hint="eastAsia" w:ascii="Cambria" w:hAnsi="Cambria" w:cs="Times New Roman"/>
          <w:b/>
          <w:bCs/>
          <w:color w:val="auto"/>
          <w:highlight w:val="none"/>
        </w:rPr>
        <w:t>供应商须知前附表</w:t>
      </w:r>
    </w:p>
    <w:tbl>
      <w:tblPr>
        <w:tblStyle w:val="26"/>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58"/>
        <w:gridCol w:w="1269"/>
        <w:gridCol w:w="5552"/>
      </w:tblGrid>
      <w:tr w14:paraId="10C6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659849BD">
            <w:pPr>
              <w:pStyle w:val="33"/>
              <w:spacing w:before="1" w:line="360" w:lineRule="auto"/>
              <w:ind w:right="163"/>
              <w:jc w:val="both"/>
              <w:rPr>
                <w:color w:val="auto"/>
                <w:sz w:val="21"/>
                <w:szCs w:val="21"/>
                <w:highlight w:val="none"/>
              </w:rPr>
            </w:pPr>
            <w:r>
              <w:rPr>
                <w:color w:val="auto"/>
                <w:sz w:val="21"/>
                <w:szCs w:val="21"/>
                <w:highlight w:val="none"/>
              </w:rPr>
              <w:t>序号</w:t>
            </w:r>
          </w:p>
        </w:tc>
        <w:tc>
          <w:tcPr>
            <w:tcW w:w="1032" w:type="dxa"/>
            <w:shd w:val="clear" w:color="auto" w:fill="auto"/>
            <w:vAlign w:val="center"/>
          </w:tcPr>
          <w:p w14:paraId="3F26011C">
            <w:pPr>
              <w:pStyle w:val="33"/>
              <w:spacing w:before="77" w:line="360" w:lineRule="auto"/>
              <w:ind w:right="176"/>
              <w:jc w:val="both"/>
              <w:rPr>
                <w:color w:val="auto"/>
                <w:sz w:val="21"/>
                <w:szCs w:val="21"/>
                <w:highlight w:val="none"/>
              </w:rPr>
            </w:pPr>
            <w:r>
              <w:rPr>
                <w:color w:val="auto"/>
                <w:sz w:val="21"/>
                <w:szCs w:val="21"/>
                <w:highlight w:val="none"/>
              </w:rPr>
              <w:t>条款</w:t>
            </w:r>
            <w:r>
              <w:rPr>
                <w:rFonts w:hint="eastAsia"/>
                <w:color w:val="auto"/>
                <w:sz w:val="21"/>
                <w:szCs w:val="21"/>
                <w:highlight w:val="none"/>
              </w:rPr>
              <w:t>号</w:t>
            </w:r>
          </w:p>
        </w:tc>
        <w:tc>
          <w:tcPr>
            <w:tcW w:w="1322" w:type="dxa"/>
            <w:shd w:val="clear" w:color="auto" w:fill="auto"/>
            <w:vAlign w:val="center"/>
          </w:tcPr>
          <w:p w14:paraId="3592C9FF">
            <w:pPr>
              <w:pStyle w:val="33"/>
              <w:spacing w:before="1" w:line="360" w:lineRule="auto"/>
              <w:ind w:right="165"/>
              <w:jc w:val="both"/>
              <w:rPr>
                <w:color w:val="auto"/>
                <w:sz w:val="21"/>
                <w:szCs w:val="21"/>
                <w:highlight w:val="none"/>
              </w:rPr>
            </w:pPr>
            <w:r>
              <w:rPr>
                <w:color w:val="auto"/>
                <w:sz w:val="21"/>
                <w:szCs w:val="21"/>
                <w:highlight w:val="none"/>
              </w:rPr>
              <w:t>条款名称</w:t>
            </w:r>
          </w:p>
        </w:tc>
        <w:tc>
          <w:tcPr>
            <w:tcW w:w="5717" w:type="dxa"/>
            <w:shd w:val="clear" w:color="auto" w:fill="auto"/>
            <w:vAlign w:val="center"/>
          </w:tcPr>
          <w:p w14:paraId="20038052">
            <w:pPr>
              <w:pStyle w:val="33"/>
              <w:spacing w:before="1" w:line="360" w:lineRule="auto"/>
              <w:ind w:left="120" w:right="115" w:firstLine="422"/>
              <w:jc w:val="center"/>
              <w:rPr>
                <w:color w:val="auto"/>
                <w:sz w:val="21"/>
                <w:szCs w:val="21"/>
                <w:highlight w:val="none"/>
              </w:rPr>
            </w:pPr>
            <w:r>
              <w:rPr>
                <w:color w:val="auto"/>
                <w:sz w:val="21"/>
                <w:szCs w:val="21"/>
                <w:highlight w:val="none"/>
              </w:rPr>
              <w:t>内容、要求</w:t>
            </w:r>
          </w:p>
        </w:tc>
      </w:tr>
      <w:tr w14:paraId="3645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EE49A45">
            <w:pPr>
              <w:spacing w:line="360" w:lineRule="auto"/>
              <w:ind w:firstLine="422"/>
              <w:jc w:val="both"/>
              <w:rPr>
                <w:color w:val="auto"/>
                <w:sz w:val="21"/>
                <w:szCs w:val="21"/>
                <w:highlight w:val="none"/>
              </w:rPr>
            </w:pPr>
            <w:r>
              <w:rPr>
                <w:color w:val="auto"/>
                <w:sz w:val="21"/>
                <w:szCs w:val="21"/>
                <w:highlight w:val="none"/>
              </w:rPr>
              <w:t>1</w:t>
            </w:r>
          </w:p>
        </w:tc>
        <w:tc>
          <w:tcPr>
            <w:tcW w:w="1032" w:type="dxa"/>
            <w:shd w:val="clear" w:color="auto" w:fill="auto"/>
            <w:vAlign w:val="center"/>
          </w:tcPr>
          <w:p w14:paraId="69CD42FB">
            <w:pPr>
              <w:spacing w:line="360" w:lineRule="auto"/>
              <w:ind w:firstLine="422"/>
              <w:jc w:val="both"/>
              <w:rPr>
                <w:color w:val="auto"/>
                <w:sz w:val="21"/>
                <w:szCs w:val="21"/>
                <w:highlight w:val="none"/>
              </w:rPr>
            </w:pPr>
            <w:r>
              <w:rPr>
                <w:color w:val="auto"/>
                <w:sz w:val="21"/>
                <w:szCs w:val="21"/>
                <w:highlight w:val="none"/>
              </w:rPr>
              <w:t>1.1</w:t>
            </w:r>
          </w:p>
        </w:tc>
        <w:tc>
          <w:tcPr>
            <w:tcW w:w="1322" w:type="dxa"/>
            <w:shd w:val="clear" w:color="auto" w:fill="auto"/>
            <w:vAlign w:val="center"/>
          </w:tcPr>
          <w:p w14:paraId="33F02BA7">
            <w:pPr>
              <w:spacing w:line="360" w:lineRule="auto"/>
              <w:jc w:val="both"/>
              <w:rPr>
                <w:color w:val="auto"/>
                <w:sz w:val="21"/>
                <w:szCs w:val="21"/>
                <w:highlight w:val="none"/>
              </w:rPr>
            </w:pPr>
            <w:r>
              <w:rPr>
                <w:b/>
                <w:bCs/>
                <w:color w:val="auto"/>
                <w:sz w:val="21"/>
                <w:szCs w:val="21"/>
                <w:highlight w:val="none"/>
              </w:rPr>
              <w:t>项目名称及项目编号</w:t>
            </w:r>
          </w:p>
        </w:tc>
        <w:tc>
          <w:tcPr>
            <w:tcW w:w="5717" w:type="dxa"/>
            <w:shd w:val="clear" w:color="auto" w:fill="auto"/>
            <w:vAlign w:val="center"/>
          </w:tcPr>
          <w:p w14:paraId="0B001229">
            <w:pPr>
              <w:keepNext w:val="0"/>
              <w:keepLines w:val="0"/>
              <w:pageBreakBefore w:val="0"/>
              <w:kinsoku/>
              <w:wordWrap/>
              <w:overflowPunct/>
              <w:topLinePunct w:val="0"/>
              <w:autoSpaceDE/>
              <w:autoSpaceDN/>
              <w:bidi w:val="0"/>
              <w:adjustRightInd/>
              <w:spacing w:before="0" w:after="0" w:line="360" w:lineRule="auto"/>
              <w:ind w:firstLine="422" w:firstLineChars="200"/>
              <w:jc w:val="both"/>
              <w:textAlignment w:val="auto"/>
              <w:rPr>
                <w:color w:val="auto"/>
                <w:sz w:val="21"/>
                <w:szCs w:val="21"/>
                <w:highlight w:val="none"/>
              </w:rPr>
            </w:pPr>
            <w:r>
              <w:rPr>
                <w:b/>
                <w:bCs/>
                <w:color w:val="auto"/>
                <w:sz w:val="21"/>
                <w:szCs w:val="21"/>
                <w:highlight w:val="none"/>
              </w:rPr>
              <w:t>项目名称</w:t>
            </w:r>
            <w:r>
              <w:rPr>
                <w:color w:val="auto"/>
                <w:sz w:val="21"/>
                <w:szCs w:val="21"/>
                <w:highlight w:val="none"/>
              </w:rPr>
              <w:t>：</w:t>
            </w:r>
            <w:r>
              <w:rPr>
                <w:rFonts w:hint="eastAsia" w:ascii="宋体" w:hAnsi="宋体" w:cs="宋体"/>
                <w:color w:val="auto"/>
                <w:szCs w:val="21"/>
                <w:highlight w:val="none"/>
                <w:u w:val="none"/>
                <w:lang w:eastAsia="zh-CN"/>
              </w:rPr>
              <w:t>广西壮族自治区恭城公路养护中心G357线K1265+300～K1272+300公路灾害防治工程</w:t>
            </w:r>
          </w:p>
          <w:p w14:paraId="03FD5A03">
            <w:pPr>
              <w:keepNext w:val="0"/>
              <w:keepLines w:val="0"/>
              <w:pageBreakBefore w:val="0"/>
              <w:kinsoku/>
              <w:wordWrap/>
              <w:overflowPunct/>
              <w:topLinePunct w:val="0"/>
              <w:autoSpaceDE/>
              <w:autoSpaceDN/>
              <w:bidi w:val="0"/>
              <w:adjustRightInd/>
              <w:spacing w:before="0" w:after="0" w:line="360" w:lineRule="auto"/>
              <w:ind w:firstLine="422" w:firstLineChars="200"/>
              <w:jc w:val="both"/>
              <w:textAlignment w:val="auto"/>
              <w:rPr>
                <w:color w:val="auto"/>
                <w:sz w:val="21"/>
                <w:szCs w:val="21"/>
                <w:highlight w:val="none"/>
              </w:rPr>
            </w:pPr>
            <w:r>
              <w:rPr>
                <w:b/>
                <w:bCs/>
                <w:color w:val="auto"/>
                <w:sz w:val="21"/>
                <w:szCs w:val="21"/>
                <w:highlight w:val="none"/>
              </w:rPr>
              <w:t>项目编号：</w:t>
            </w:r>
            <w:r>
              <w:rPr>
                <w:rFonts w:hint="eastAsia" w:cs="宋体"/>
                <w:color w:val="auto"/>
                <w:szCs w:val="21"/>
                <w:highlight w:val="none"/>
                <w:lang w:eastAsia="zh-CN"/>
              </w:rPr>
              <w:t>GXZC2026-C2-001831-GXCJ</w:t>
            </w:r>
          </w:p>
        </w:tc>
      </w:tr>
      <w:tr w14:paraId="3842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77509997">
            <w:pPr>
              <w:spacing w:line="360" w:lineRule="auto"/>
              <w:ind w:firstLine="422"/>
              <w:jc w:val="both"/>
              <w:rPr>
                <w:color w:val="auto"/>
                <w:sz w:val="21"/>
                <w:szCs w:val="21"/>
                <w:highlight w:val="none"/>
              </w:rPr>
            </w:pPr>
            <w:r>
              <w:rPr>
                <w:rFonts w:hint="eastAsia"/>
                <w:color w:val="auto"/>
                <w:sz w:val="21"/>
                <w:szCs w:val="21"/>
                <w:highlight w:val="none"/>
              </w:rPr>
              <w:t>2</w:t>
            </w:r>
          </w:p>
        </w:tc>
        <w:tc>
          <w:tcPr>
            <w:tcW w:w="1032" w:type="dxa"/>
            <w:shd w:val="clear" w:color="auto" w:fill="auto"/>
            <w:vAlign w:val="center"/>
          </w:tcPr>
          <w:p w14:paraId="652585E3">
            <w:pPr>
              <w:spacing w:line="360" w:lineRule="auto"/>
              <w:ind w:firstLine="422"/>
              <w:jc w:val="both"/>
              <w:rPr>
                <w:color w:val="auto"/>
                <w:sz w:val="21"/>
                <w:szCs w:val="21"/>
                <w:highlight w:val="none"/>
              </w:rPr>
            </w:pPr>
            <w:r>
              <w:rPr>
                <w:rFonts w:hint="eastAsia"/>
                <w:color w:val="auto"/>
                <w:sz w:val="21"/>
                <w:szCs w:val="21"/>
                <w:highlight w:val="none"/>
              </w:rPr>
              <w:t>1.2</w:t>
            </w:r>
          </w:p>
        </w:tc>
        <w:tc>
          <w:tcPr>
            <w:tcW w:w="1322" w:type="dxa"/>
            <w:shd w:val="clear" w:color="auto" w:fill="auto"/>
            <w:vAlign w:val="center"/>
          </w:tcPr>
          <w:p w14:paraId="458D48E6">
            <w:pPr>
              <w:spacing w:line="360" w:lineRule="auto"/>
              <w:jc w:val="both"/>
              <w:rPr>
                <w:color w:val="auto"/>
                <w:sz w:val="21"/>
                <w:szCs w:val="21"/>
                <w:highlight w:val="none"/>
              </w:rPr>
            </w:pPr>
            <w:r>
              <w:rPr>
                <w:rFonts w:hint="eastAsia"/>
                <w:b/>
                <w:bCs/>
                <w:color w:val="auto"/>
                <w:sz w:val="21"/>
                <w:szCs w:val="21"/>
                <w:highlight w:val="none"/>
              </w:rPr>
              <w:t>要求工期及质量标准</w:t>
            </w:r>
          </w:p>
        </w:tc>
        <w:tc>
          <w:tcPr>
            <w:tcW w:w="5717" w:type="dxa"/>
            <w:shd w:val="clear" w:color="auto" w:fill="auto"/>
            <w:vAlign w:val="center"/>
          </w:tcPr>
          <w:p w14:paraId="09D7D6FC">
            <w:pPr>
              <w:spacing w:line="360" w:lineRule="auto"/>
              <w:ind w:firstLine="422"/>
              <w:jc w:val="both"/>
              <w:rPr>
                <w:color w:val="auto"/>
                <w:sz w:val="21"/>
                <w:szCs w:val="21"/>
                <w:highlight w:val="none"/>
              </w:rPr>
            </w:pPr>
            <w:r>
              <w:rPr>
                <w:rFonts w:hint="eastAsia"/>
                <w:color w:val="auto"/>
                <w:sz w:val="21"/>
                <w:szCs w:val="21"/>
                <w:highlight w:val="none"/>
              </w:rPr>
              <w:t>要求工期：60日历天。</w:t>
            </w:r>
          </w:p>
          <w:p w14:paraId="403B9D32">
            <w:pPr>
              <w:spacing w:line="360" w:lineRule="auto"/>
              <w:ind w:firstLine="422"/>
              <w:jc w:val="both"/>
              <w:rPr>
                <w:color w:val="auto"/>
                <w:sz w:val="21"/>
                <w:szCs w:val="21"/>
                <w:highlight w:val="none"/>
              </w:rPr>
            </w:pPr>
            <w:r>
              <w:rPr>
                <w:rFonts w:hint="eastAsia"/>
                <w:color w:val="auto"/>
                <w:sz w:val="21"/>
                <w:szCs w:val="21"/>
                <w:highlight w:val="none"/>
              </w:rPr>
              <w:t>质量标准：工程交工验收的质量评定：合格；竣工验收的质量评定：优良。</w:t>
            </w:r>
          </w:p>
        </w:tc>
      </w:tr>
      <w:tr w14:paraId="1343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72B9B5EB">
            <w:pPr>
              <w:spacing w:line="360" w:lineRule="auto"/>
              <w:ind w:firstLine="422"/>
              <w:jc w:val="both"/>
              <w:rPr>
                <w:color w:val="auto"/>
                <w:sz w:val="21"/>
                <w:szCs w:val="21"/>
                <w:highlight w:val="none"/>
              </w:rPr>
            </w:pPr>
            <w:r>
              <w:rPr>
                <w:rFonts w:hint="eastAsia"/>
                <w:color w:val="auto"/>
                <w:sz w:val="21"/>
                <w:szCs w:val="21"/>
                <w:highlight w:val="none"/>
              </w:rPr>
              <w:t>3</w:t>
            </w:r>
          </w:p>
        </w:tc>
        <w:tc>
          <w:tcPr>
            <w:tcW w:w="1032" w:type="dxa"/>
            <w:shd w:val="clear" w:color="auto" w:fill="auto"/>
            <w:vAlign w:val="center"/>
          </w:tcPr>
          <w:p w14:paraId="57D7637D">
            <w:pPr>
              <w:spacing w:line="360" w:lineRule="auto"/>
              <w:ind w:firstLine="422"/>
              <w:jc w:val="both"/>
              <w:rPr>
                <w:color w:val="auto"/>
                <w:sz w:val="21"/>
                <w:szCs w:val="21"/>
                <w:highlight w:val="none"/>
              </w:rPr>
            </w:pPr>
            <w:r>
              <w:rPr>
                <w:rFonts w:hint="eastAsia"/>
                <w:color w:val="auto"/>
                <w:sz w:val="21"/>
                <w:szCs w:val="21"/>
                <w:highlight w:val="none"/>
              </w:rPr>
              <w:t>3</w:t>
            </w:r>
          </w:p>
        </w:tc>
        <w:tc>
          <w:tcPr>
            <w:tcW w:w="1322" w:type="dxa"/>
            <w:shd w:val="clear" w:color="auto" w:fill="auto"/>
            <w:vAlign w:val="center"/>
          </w:tcPr>
          <w:p w14:paraId="2DC50F0B">
            <w:pPr>
              <w:spacing w:line="360" w:lineRule="auto"/>
              <w:jc w:val="both"/>
              <w:rPr>
                <w:color w:val="auto"/>
                <w:sz w:val="21"/>
                <w:szCs w:val="21"/>
                <w:highlight w:val="none"/>
              </w:rPr>
            </w:pPr>
            <w:r>
              <w:rPr>
                <w:rFonts w:hint="eastAsia"/>
                <w:b/>
                <w:bCs/>
                <w:color w:val="auto"/>
                <w:sz w:val="21"/>
                <w:szCs w:val="21"/>
                <w:highlight w:val="none"/>
              </w:rPr>
              <w:t>供应商资格</w:t>
            </w:r>
          </w:p>
        </w:tc>
        <w:tc>
          <w:tcPr>
            <w:tcW w:w="5717" w:type="dxa"/>
            <w:shd w:val="clear" w:color="auto" w:fill="auto"/>
            <w:vAlign w:val="center"/>
          </w:tcPr>
          <w:p w14:paraId="4A9AC89D">
            <w:pPr>
              <w:keepNext w:val="0"/>
              <w:keepLines w:val="0"/>
              <w:pageBreakBefore w:val="0"/>
              <w:kinsoku/>
              <w:wordWrap/>
              <w:overflowPunct/>
              <w:topLinePunct w:val="0"/>
              <w:autoSpaceDE/>
              <w:autoSpaceDN/>
              <w:bidi w:val="0"/>
              <w:adjustRightInd/>
              <w:spacing w:before="0" w:after="0" w:line="360" w:lineRule="auto"/>
              <w:ind w:firstLine="44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C01D849">
            <w:pPr>
              <w:keepNext w:val="0"/>
              <w:keepLines w:val="0"/>
              <w:pageBreakBefore w:val="0"/>
              <w:kinsoku/>
              <w:wordWrap/>
              <w:overflowPunct/>
              <w:topLinePunct w:val="0"/>
              <w:autoSpaceDE/>
              <w:autoSpaceDN/>
              <w:bidi w:val="0"/>
              <w:adjustRightInd/>
              <w:spacing w:before="0" w:after="0" w:line="360" w:lineRule="auto"/>
              <w:ind w:firstLine="440" w:firstLineChars="200"/>
              <w:jc w:val="both"/>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2.落实政府采购政策需满足的资格要求：</w:t>
            </w:r>
            <w:r>
              <w:rPr>
                <w:rFonts w:hint="eastAsia" w:ascii="宋体" w:hAnsi="宋体" w:eastAsia="宋体" w:cs="Times New Roman"/>
                <w:b/>
                <w:bCs/>
                <w:color w:val="auto"/>
                <w:sz w:val="21"/>
                <w:szCs w:val="21"/>
                <w:highlight w:val="none"/>
              </w:rPr>
              <w:t>本项目</w:t>
            </w:r>
            <w:r>
              <w:rPr>
                <w:rFonts w:hint="eastAsia" w:ascii="宋体" w:hAnsi="宋体" w:eastAsia="宋体" w:cs="Times New Roman"/>
                <w:b/>
                <w:bCs/>
                <w:color w:val="auto"/>
                <w:sz w:val="21"/>
                <w:szCs w:val="21"/>
                <w:highlight w:val="none"/>
                <w:lang w:val="en-US" w:eastAsia="zh-CN"/>
              </w:rPr>
              <w:t>为</w:t>
            </w:r>
            <w:r>
              <w:rPr>
                <w:rFonts w:hint="eastAsia" w:ascii="宋体" w:hAnsi="宋体" w:eastAsia="宋体" w:cs="Times New Roman"/>
                <w:b/>
                <w:bCs/>
                <w:color w:val="auto"/>
                <w:sz w:val="21"/>
                <w:szCs w:val="21"/>
                <w:highlight w:val="none"/>
              </w:rPr>
              <w:t>专门面向</w:t>
            </w:r>
            <w:r>
              <w:rPr>
                <w:rFonts w:hint="eastAsia" w:ascii="宋体" w:hAnsi="宋体" w:eastAsia="宋体" w:cs="Times New Roman"/>
                <w:b/>
                <w:bCs/>
                <w:color w:val="auto"/>
                <w:sz w:val="21"/>
                <w:szCs w:val="21"/>
                <w:highlight w:val="none"/>
                <w:lang w:val="en-US" w:eastAsia="zh-CN"/>
              </w:rPr>
              <w:t>中、小、微</w:t>
            </w:r>
            <w:r>
              <w:rPr>
                <w:rFonts w:hint="eastAsia" w:ascii="宋体" w:hAnsi="宋体" w:eastAsia="宋体" w:cs="Times New Roman"/>
                <w:b/>
                <w:bCs/>
                <w:color w:val="auto"/>
                <w:sz w:val="21"/>
                <w:szCs w:val="21"/>
                <w:highlight w:val="none"/>
              </w:rPr>
              <w:t>企业采购</w:t>
            </w:r>
            <w:r>
              <w:rPr>
                <w:rFonts w:hint="eastAsia" w:ascii="宋体" w:hAnsi="宋体" w:cs="宋体"/>
                <w:color w:val="auto"/>
                <w:szCs w:val="21"/>
                <w:highlight w:val="none"/>
              </w:rPr>
              <w:t>；</w:t>
            </w:r>
          </w:p>
          <w:p w14:paraId="4E03C604">
            <w:pPr>
              <w:keepNext w:val="0"/>
              <w:keepLines w:val="0"/>
              <w:pageBreakBefore w:val="0"/>
              <w:kinsoku/>
              <w:wordWrap/>
              <w:overflowPunct/>
              <w:topLinePunct w:val="0"/>
              <w:autoSpaceDE/>
              <w:autoSpaceDN/>
              <w:bidi w:val="0"/>
              <w:adjustRightInd/>
              <w:spacing w:before="0" w:after="0" w:line="360" w:lineRule="auto"/>
              <w:ind w:firstLine="44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5E7DDA2D">
            <w:pPr>
              <w:keepNext w:val="0"/>
              <w:keepLines w:val="0"/>
              <w:pageBreakBefore w:val="0"/>
              <w:kinsoku/>
              <w:wordWrap/>
              <w:overflowPunct/>
              <w:topLinePunct w:val="0"/>
              <w:autoSpaceDE/>
              <w:autoSpaceDN/>
              <w:bidi w:val="0"/>
              <w:adjustRightInd/>
              <w:spacing w:before="0" w:after="0" w:line="360" w:lineRule="auto"/>
              <w:ind w:firstLine="440" w:firstLineChars="200"/>
              <w:jc w:val="both"/>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rPr>
              <w:t>本次</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w:t>
            </w:r>
            <w:r>
              <w:rPr>
                <w:rFonts w:hint="eastAsia"/>
                <w:color w:val="auto"/>
                <w:sz w:val="21"/>
                <w:szCs w:val="21"/>
                <w:highlight w:val="none"/>
              </w:rPr>
              <w:t>具有有效的企业安全生产许可证，并在人员、设备、资金等方面具有相应的施工能力</w:t>
            </w:r>
            <w:r>
              <w:rPr>
                <w:rFonts w:hint="eastAsia"/>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rPr>
              <w:t>具备</w:t>
            </w:r>
            <w:r>
              <w:rPr>
                <w:rFonts w:hint="eastAsia" w:ascii="宋体" w:hAnsi="宋体" w:eastAsia="宋体" w:cs="宋体"/>
                <w:i w:val="0"/>
                <w:iCs w:val="0"/>
                <w:caps w:val="0"/>
                <w:color w:val="auto"/>
                <w:spacing w:val="0"/>
                <w:sz w:val="21"/>
                <w:szCs w:val="21"/>
                <w:highlight w:val="none"/>
                <w:lang w:val="en-US" w:eastAsia="zh-CN"/>
              </w:rPr>
              <w:t>有效的</w:t>
            </w:r>
            <w:r>
              <w:rPr>
                <w:rFonts w:hint="eastAsia" w:ascii="宋体" w:hAnsi="宋体" w:eastAsia="宋体" w:cs="宋体"/>
                <w:color w:val="auto"/>
                <w:sz w:val="21"/>
                <w:szCs w:val="21"/>
                <w:highlight w:val="none"/>
              </w:rPr>
              <w:t>公路养护作业单位资质</w:t>
            </w:r>
            <w:r>
              <w:rPr>
                <w:rFonts w:hint="eastAsia" w:ascii="宋体" w:hAnsi="宋体" w:eastAsia="宋体" w:cs="宋体"/>
                <w:bCs w:val="0"/>
                <w:color w:val="auto"/>
                <w:kern w:val="2"/>
                <w:sz w:val="21"/>
                <w:szCs w:val="21"/>
                <w:highlight w:val="none"/>
                <w:lang w:val="en-US" w:eastAsia="zh-CN"/>
              </w:rPr>
              <w:t>路基路面养护乙级以上（含乙级）资质</w:t>
            </w:r>
            <w:r>
              <w:rPr>
                <w:rFonts w:hint="eastAsia" w:ascii="宋体" w:hAnsi="宋体" w:eastAsia="宋体" w:cs="宋体"/>
                <w:color w:val="auto"/>
                <w:szCs w:val="21"/>
                <w:highlight w:val="none"/>
              </w:rPr>
              <w:t>。</w:t>
            </w:r>
          </w:p>
          <w:p w14:paraId="069AB47A">
            <w:pPr>
              <w:spacing w:line="360" w:lineRule="auto"/>
              <w:ind w:firstLine="420" w:firstLineChars="200"/>
              <w:jc w:val="both"/>
              <w:rPr>
                <w:color w:val="auto"/>
                <w:sz w:val="21"/>
                <w:szCs w:val="21"/>
                <w:highlight w:val="none"/>
              </w:rPr>
            </w:pPr>
            <w:r>
              <w:rPr>
                <w:rFonts w:hint="eastAsia"/>
                <w:color w:val="auto"/>
                <w:sz w:val="21"/>
                <w:szCs w:val="21"/>
                <w:highlight w:val="none"/>
              </w:rPr>
              <w:t>注：（1）公路养护作业单位资质按照《公路养护作业单位资质管理办法》（ 中华人民共和国交通运输部令 2021年第22号）和《广西壮族自治区交通运输厅关于印发广西公路养护作业单位资质管理实施细则的通知》等文件要求，根据</w:t>
            </w:r>
            <w:r>
              <w:rPr>
                <w:rFonts w:hint="eastAsia"/>
                <w:color w:val="auto"/>
                <w:sz w:val="21"/>
                <w:szCs w:val="21"/>
                <w:highlight w:val="none"/>
                <w:lang w:eastAsia="zh-CN"/>
              </w:rPr>
              <w:t>采购项目</w:t>
            </w:r>
            <w:r>
              <w:rPr>
                <w:rFonts w:hint="eastAsia"/>
                <w:color w:val="auto"/>
                <w:sz w:val="21"/>
                <w:szCs w:val="21"/>
                <w:highlight w:val="none"/>
              </w:rPr>
              <w:t>具体特点和实际情况确定。</w:t>
            </w:r>
          </w:p>
          <w:p w14:paraId="15C82D30">
            <w:pPr>
              <w:keepNext w:val="0"/>
              <w:keepLines w:val="0"/>
              <w:pageBreakBefore w:val="0"/>
              <w:kinsoku/>
              <w:wordWrap/>
              <w:overflowPunct/>
              <w:topLinePunct w:val="0"/>
              <w:autoSpaceDE/>
              <w:autoSpaceDN/>
              <w:bidi w:val="0"/>
              <w:adjustRightInd/>
              <w:spacing w:before="0" w:after="0" w:line="360" w:lineRule="auto"/>
              <w:ind w:firstLine="420" w:firstLineChars="200"/>
              <w:jc w:val="both"/>
              <w:textAlignment w:val="auto"/>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供应商</w:t>
            </w:r>
            <w:r>
              <w:rPr>
                <w:rFonts w:hint="eastAsia"/>
                <w:color w:val="auto"/>
                <w:sz w:val="21"/>
                <w:szCs w:val="21"/>
                <w:highlight w:val="none"/>
              </w:rPr>
              <w:t>应进入交通运输部“全国公路建设市场监督管理系统（</w:t>
            </w:r>
            <w:r>
              <w:rPr>
                <w:color w:val="auto"/>
                <w:highlight w:val="none"/>
              </w:rPr>
              <w:fldChar w:fldCharType="begin"/>
            </w:r>
            <w:r>
              <w:rPr>
                <w:color w:val="auto"/>
                <w:highlight w:val="none"/>
              </w:rPr>
              <w:instrText xml:space="preserve"> HYPERLINK "https://hwdms.mot.gov.cn/BMWebSite/" </w:instrText>
            </w:r>
            <w:r>
              <w:rPr>
                <w:color w:val="auto"/>
                <w:highlight w:val="none"/>
              </w:rPr>
              <w:fldChar w:fldCharType="separate"/>
            </w:r>
            <w:r>
              <w:rPr>
                <w:rFonts w:hint="eastAsia"/>
                <w:color w:val="auto"/>
                <w:sz w:val="21"/>
                <w:szCs w:val="21"/>
                <w:highlight w:val="none"/>
              </w:rPr>
              <w:t>https://hwdms.mot.gov.cn/BMWebSite/</w:t>
            </w:r>
            <w:r>
              <w:rPr>
                <w:rFonts w:hint="eastAsia"/>
                <w:color w:val="auto"/>
                <w:sz w:val="21"/>
                <w:szCs w:val="21"/>
                <w:highlight w:val="none"/>
              </w:rPr>
              <w:fldChar w:fldCharType="end"/>
            </w:r>
            <w:r>
              <w:rPr>
                <w:rFonts w:hint="eastAsia"/>
                <w:color w:val="auto"/>
                <w:sz w:val="21"/>
                <w:szCs w:val="21"/>
                <w:highlight w:val="none"/>
              </w:rPr>
              <w:t>）”中的公路工程施工资质企业名录或全国公路建设市场监督管理系统—全国公路养护作业单位资质管理模块“资质查询”中的公路养护资质企业名录，且</w:t>
            </w:r>
            <w:r>
              <w:rPr>
                <w:rFonts w:hint="eastAsia"/>
                <w:color w:val="auto"/>
                <w:sz w:val="21"/>
                <w:szCs w:val="21"/>
                <w:highlight w:val="none"/>
                <w:lang w:eastAsia="zh-CN"/>
              </w:rPr>
              <w:t>供应商</w:t>
            </w:r>
            <w:r>
              <w:rPr>
                <w:rFonts w:hint="eastAsia"/>
                <w:color w:val="auto"/>
                <w:sz w:val="21"/>
                <w:szCs w:val="21"/>
                <w:highlight w:val="none"/>
              </w:rPr>
              <w:t>名称和资质证书编号与该名录中的相应企业名称和资质证书编号完全一致</w:t>
            </w:r>
            <w:r>
              <w:rPr>
                <w:rFonts w:hint="eastAsia"/>
                <w:color w:val="auto"/>
                <w:sz w:val="21"/>
                <w:szCs w:val="21"/>
                <w:highlight w:val="none"/>
                <w:lang w:eastAsia="zh-CN"/>
              </w:rPr>
              <w:t>。</w:t>
            </w:r>
          </w:p>
        </w:tc>
      </w:tr>
      <w:tr w14:paraId="7B1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1DA3C8CA">
            <w:pPr>
              <w:spacing w:line="360" w:lineRule="auto"/>
              <w:ind w:firstLine="422"/>
              <w:jc w:val="both"/>
              <w:rPr>
                <w:color w:val="auto"/>
                <w:sz w:val="21"/>
                <w:szCs w:val="21"/>
                <w:highlight w:val="none"/>
              </w:rPr>
            </w:pPr>
            <w:r>
              <w:rPr>
                <w:rFonts w:hint="eastAsia"/>
                <w:color w:val="auto"/>
                <w:sz w:val="21"/>
                <w:szCs w:val="21"/>
                <w:highlight w:val="none"/>
              </w:rPr>
              <w:t>4</w:t>
            </w:r>
          </w:p>
        </w:tc>
        <w:tc>
          <w:tcPr>
            <w:tcW w:w="1032" w:type="dxa"/>
            <w:shd w:val="clear" w:color="auto" w:fill="auto"/>
            <w:vAlign w:val="center"/>
          </w:tcPr>
          <w:p w14:paraId="5545C1DB">
            <w:pPr>
              <w:spacing w:line="360" w:lineRule="auto"/>
              <w:ind w:firstLine="422"/>
              <w:jc w:val="both"/>
              <w:rPr>
                <w:b/>
                <w:bCs/>
                <w:color w:val="auto"/>
                <w:sz w:val="21"/>
                <w:szCs w:val="21"/>
                <w:highlight w:val="none"/>
              </w:rPr>
            </w:pPr>
            <w:r>
              <w:rPr>
                <w:rFonts w:hint="eastAsia"/>
                <w:color w:val="auto"/>
                <w:sz w:val="21"/>
                <w:szCs w:val="21"/>
                <w:highlight w:val="none"/>
              </w:rPr>
              <w:t>4</w:t>
            </w:r>
          </w:p>
        </w:tc>
        <w:tc>
          <w:tcPr>
            <w:tcW w:w="1322" w:type="dxa"/>
            <w:shd w:val="clear" w:color="auto" w:fill="auto"/>
            <w:vAlign w:val="center"/>
          </w:tcPr>
          <w:p w14:paraId="372DDBF2">
            <w:pPr>
              <w:spacing w:line="360" w:lineRule="auto"/>
              <w:jc w:val="both"/>
              <w:rPr>
                <w:b/>
                <w:bCs/>
                <w:color w:val="auto"/>
                <w:sz w:val="21"/>
                <w:szCs w:val="21"/>
                <w:highlight w:val="none"/>
              </w:rPr>
            </w:pPr>
            <w:r>
              <w:rPr>
                <w:rFonts w:hint="eastAsia"/>
                <w:b/>
                <w:bCs/>
                <w:color w:val="auto"/>
                <w:sz w:val="21"/>
                <w:szCs w:val="21"/>
                <w:highlight w:val="none"/>
              </w:rPr>
              <w:t>参与电子竞标的准备工作</w:t>
            </w:r>
          </w:p>
        </w:tc>
        <w:tc>
          <w:tcPr>
            <w:tcW w:w="5717" w:type="dxa"/>
            <w:shd w:val="clear" w:color="auto" w:fill="auto"/>
            <w:vAlign w:val="center"/>
          </w:tcPr>
          <w:p w14:paraId="1F042B1A">
            <w:pPr>
              <w:spacing w:line="360" w:lineRule="auto"/>
              <w:ind w:firstLine="422"/>
              <w:jc w:val="both"/>
              <w:rPr>
                <w:color w:val="auto"/>
                <w:sz w:val="21"/>
                <w:szCs w:val="21"/>
                <w:highlight w:val="none"/>
              </w:rPr>
            </w:pPr>
            <w:r>
              <w:rPr>
                <w:rFonts w:hint="eastAsia"/>
                <w:color w:val="auto"/>
                <w:sz w:val="21"/>
                <w:szCs w:val="21"/>
                <w:highlight w:val="none"/>
              </w:rPr>
              <w:t>4.1本项目实行全流程电子化采购，供应商通过“广西政府采购云平台”参与电子竞标，并应做好以下相关准备工作：①在“广西政采购云平台”注册成为正式供应商（操作方法详见广西壮族自治区府采购网—办事服务—办事指南）；②完成CA证书申领和绑定（用由供应商自行承担，办理流程详见广西壮族自治区政府采购网—办事服务—下载专区，完成CA证书办理预计一周左右，建议供应商快办理）；③下载“广西壮族自治区全流程电子招投标项目管理系统--供应商客户端”（操作方法详见广西壮族自治区政府采购网—办事服务—下载专区，以下称“广西政府采购云平台电子投标客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71BBAC9E">
            <w:pPr>
              <w:spacing w:line="360" w:lineRule="auto"/>
              <w:ind w:firstLine="422"/>
              <w:jc w:val="both"/>
              <w:rPr>
                <w:color w:val="auto"/>
                <w:sz w:val="21"/>
                <w:szCs w:val="21"/>
                <w:highlight w:val="none"/>
              </w:rPr>
            </w:pPr>
            <w:r>
              <w:rPr>
                <w:rFonts w:hint="eastAsia"/>
                <w:color w:val="auto"/>
                <w:sz w:val="21"/>
                <w:szCs w:val="21"/>
                <w:highlight w:val="none"/>
              </w:rPr>
              <w:t>4.2电子竞标具体操作流程参考《政府采购项目电子交易管理操作指南-供应商》（详见桂林市政府采购网—采购资讯—重要通知）；如遇平台技术问题详询95763。</w:t>
            </w:r>
          </w:p>
          <w:p w14:paraId="6E43FFEC">
            <w:pPr>
              <w:spacing w:line="360" w:lineRule="auto"/>
              <w:ind w:firstLine="422"/>
              <w:jc w:val="both"/>
              <w:rPr>
                <w:color w:val="auto"/>
                <w:sz w:val="21"/>
                <w:szCs w:val="21"/>
                <w:highlight w:val="none"/>
              </w:rPr>
            </w:pPr>
            <w:r>
              <w:rPr>
                <w:rFonts w:hint="eastAsia"/>
                <w:color w:val="auto"/>
                <w:sz w:val="21"/>
                <w:szCs w:val="21"/>
                <w:highlight w:val="none"/>
              </w:rPr>
              <w:t>4.3不论磋商结果如何，供应商均应自行承担所有与磋商有关的全部费用。</w:t>
            </w:r>
          </w:p>
        </w:tc>
      </w:tr>
      <w:tr w14:paraId="0DA9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1D869FAA">
            <w:pPr>
              <w:spacing w:line="360" w:lineRule="auto"/>
              <w:ind w:firstLine="422"/>
              <w:jc w:val="center"/>
              <w:rPr>
                <w:color w:val="auto"/>
                <w:sz w:val="21"/>
                <w:szCs w:val="21"/>
                <w:highlight w:val="none"/>
              </w:rPr>
            </w:pPr>
            <w:r>
              <w:rPr>
                <w:rFonts w:hint="eastAsia"/>
                <w:color w:val="auto"/>
                <w:sz w:val="21"/>
                <w:szCs w:val="21"/>
                <w:highlight w:val="none"/>
              </w:rPr>
              <w:t>5</w:t>
            </w:r>
          </w:p>
        </w:tc>
        <w:tc>
          <w:tcPr>
            <w:tcW w:w="1032" w:type="dxa"/>
            <w:shd w:val="clear" w:color="auto" w:fill="auto"/>
            <w:vAlign w:val="center"/>
          </w:tcPr>
          <w:p w14:paraId="4E422A9E">
            <w:pPr>
              <w:spacing w:line="360" w:lineRule="auto"/>
              <w:ind w:firstLine="422"/>
              <w:jc w:val="center"/>
              <w:rPr>
                <w:color w:val="auto"/>
                <w:sz w:val="21"/>
                <w:szCs w:val="21"/>
                <w:highlight w:val="none"/>
              </w:rPr>
            </w:pPr>
            <w:r>
              <w:rPr>
                <w:rFonts w:hint="eastAsia"/>
                <w:color w:val="auto"/>
                <w:sz w:val="21"/>
                <w:szCs w:val="21"/>
                <w:highlight w:val="none"/>
              </w:rPr>
              <w:t>13</w:t>
            </w:r>
          </w:p>
        </w:tc>
        <w:tc>
          <w:tcPr>
            <w:tcW w:w="1322" w:type="dxa"/>
            <w:shd w:val="clear" w:color="auto" w:fill="auto"/>
            <w:vAlign w:val="center"/>
          </w:tcPr>
          <w:p w14:paraId="20D068DC">
            <w:pPr>
              <w:spacing w:line="360" w:lineRule="auto"/>
              <w:jc w:val="both"/>
              <w:rPr>
                <w:rFonts w:hint="default"/>
                <w:color w:val="auto"/>
                <w:sz w:val="21"/>
                <w:szCs w:val="21"/>
                <w:highlight w:val="none"/>
                <w:lang w:val="en-US"/>
              </w:rPr>
            </w:pPr>
            <w:r>
              <w:rPr>
                <w:rFonts w:hint="eastAsia"/>
                <w:b/>
                <w:bCs/>
                <w:color w:val="auto"/>
                <w:sz w:val="21"/>
                <w:szCs w:val="21"/>
                <w:highlight w:val="none"/>
              </w:rPr>
              <w:t>磋商报价及采购预算金额</w:t>
            </w:r>
          </w:p>
        </w:tc>
        <w:tc>
          <w:tcPr>
            <w:tcW w:w="5717" w:type="dxa"/>
            <w:shd w:val="clear" w:color="auto" w:fill="auto"/>
            <w:vAlign w:val="center"/>
          </w:tcPr>
          <w:p w14:paraId="0CFD81C8">
            <w:pPr>
              <w:spacing w:line="360" w:lineRule="auto"/>
              <w:ind w:firstLine="422"/>
              <w:jc w:val="both"/>
              <w:rPr>
                <w:color w:val="auto"/>
                <w:sz w:val="21"/>
                <w:szCs w:val="21"/>
                <w:highlight w:val="none"/>
              </w:rPr>
            </w:pPr>
            <w:r>
              <w:rPr>
                <w:rFonts w:hint="eastAsia"/>
                <w:color w:val="auto"/>
                <w:sz w:val="21"/>
                <w:szCs w:val="21"/>
                <w:highlight w:val="none"/>
              </w:rPr>
              <w:t>13.1供应商必须就“项目需求”中的所有内容作完整唯一报价，响应文件只允许有一个报价，有选择的或有条件的报价将不予接受。</w:t>
            </w:r>
          </w:p>
          <w:p w14:paraId="3C01EE89">
            <w:pPr>
              <w:spacing w:line="360" w:lineRule="auto"/>
              <w:ind w:firstLine="420"/>
              <w:jc w:val="both"/>
              <w:rPr>
                <w:rFonts w:hint="eastAsia" w:ascii="宋体" w:hAnsi="宋体" w:eastAsia="宋体" w:cs="宋体"/>
                <w:b/>
                <w:bCs/>
                <w:color w:val="auto"/>
                <w:sz w:val="21"/>
                <w:szCs w:val="21"/>
                <w:highlight w:val="none"/>
              </w:rPr>
            </w:pPr>
            <w:r>
              <w:rPr>
                <w:rFonts w:hint="eastAsia"/>
                <w:b/>
                <w:bCs/>
                <w:color w:val="auto"/>
                <w:sz w:val="21"/>
                <w:szCs w:val="21"/>
                <w:highlight w:val="none"/>
              </w:rPr>
              <w:t>13.2采购预算金额</w:t>
            </w:r>
            <w:r>
              <w:rPr>
                <w:rFonts w:hint="eastAsia"/>
                <w:b/>
                <w:bCs/>
                <w:color w:val="auto"/>
                <w:sz w:val="21"/>
                <w:szCs w:val="21"/>
                <w:highlight w:val="none"/>
                <w:lang w:eastAsia="zh-CN"/>
              </w:rPr>
              <w:t>（最高限价）</w:t>
            </w:r>
            <w:r>
              <w:rPr>
                <w:rFonts w:hint="eastAsia"/>
                <w:b/>
                <w:bCs/>
                <w:color w:val="auto"/>
                <w:sz w:val="21"/>
                <w:szCs w:val="21"/>
                <w:highlight w:val="none"/>
              </w:rPr>
              <w:t>（人民币</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贰佰柒拾万零叁佰零陆元整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2700306</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w:t>
            </w:r>
          </w:p>
          <w:p w14:paraId="265AD995">
            <w:pPr>
              <w:spacing w:line="360" w:lineRule="auto"/>
              <w:ind w:firstLine="422" w:firstLineChars="200"/>
              <w:jc w:val="both"/>
              <w:rPr>
                <w:rFonts w:ascii="仿宋_GB2312" w:eastAsia="仿宋_GB2312"/>
                <w:b/>
                <w:bCs/>
                <w:color w:val="auto"/>
                <w:sz w:val="21"/>
                <w:szCs w:val="21"/>
                <w:highlight w:val="none"/>
              </w:rPr>
            </w:pPr>
            <w:r>
              <w:rPr>
                <w:rFonts w:hint="eastAsia"/>
                <w:b/>
                <w:bCs/>
                <w:color w:val="auto"/>
                <w:sz w:val="21"/>
                <w:szCs w:val="21"/>
                <w:highlight w:val="none"/>
              </w:rPr>
              <w:t>工程量清单设置全子目的上限价，磋商报价超过</w:t>
            </w:r>
            <w:r>
              <w:rPr>
                <w:rFonts w:hint="eastAsia"/>
                <w:b/>
                <w:bCs/>
                <w:color w:val="auto"/>
                <w:sz w:val="21"/>
                <w:szCs w:val="21"/>
                <w:highlight w:val="none"/>
                <w:lang w:eastAsia="zh-CN"/>
              </w:rPr>
              <w:t>最高限价</w:t>
            </w:r>
            <w:r>
              <w:rPr>
                <w:rFonts w:hint="eastAsia"/>
                <w:b/>
                <w:bCs/>
                <w:color w:val="auto"/>
                <w:sz w:val="21"/>
                <w:szCs w:val="21"/>
                <w:highlight w:val="none"/>
              </w:rPr>
              <w:t>或者全子目上限价的，响应文件作无效处理。</w:t>
            </w:r>
          </w:p>
          <w:p w14:paraId="75E6AA2D">
            <w:pPr>
              <w:spacing w:line="360" w:lineRule="auto"/>
              <w:ind w:firstLine="422" w:firstLineChars="200"/>
              <w:jc w:val="both"/>
              <w:rPr>
                <w:rStyle w:val="29"/>
                <w:color w:val="auto"/>
                <w:highlight w:val="none"/>
              </w:rPr>
            </w:pPr>
            <w:r>
              <w:rPr>
                <w:rFonts w:hint="eastAsia"/>
                <w:b/>
                <w:bCs/>
                <w:color w:val="auto"/>
                <w:sz w:val="21"/>
                <w:szCs w:val="21"/>
                <w:highlight w:val="none"/>
              </w:rPr>
              <w:t>采购人设置</w:t>
            </w:r>
            <w:r>
              <w:rPr>
                <w:rFonts w:hint="eastAsia"/>
                <w:b/>
                <w:bCs/>
                <w:color w:val="auto"/>
                <w:sz w:val="21"/>
                <w:szCs w:val="21"/>
                <w:highlight w:val="none"/>
                <w:lang w:eastAsia="zh-CN"/>
              </w:rPr>
              <w:t>最高限价</w:t>
            </w:r>
            <w:r>
              <w:rPr>
                <w:rFonts w:hint="eastAsia"/>
                <w:b/>
                <w:bCs/>
                <w:color w:val="auto"/>
                <w:sz w:val="21"/>
                <w:szCs w:val="21"/>
                <w:highlight w:val="none"/>
              </w:rPr>
              <w:t>及工程量清单全子目的上限价，</w:t>
            </w:r>
            <w:r>
              <w:rPr>
                <w:rFonts w:hint="eastAsia"/>
                <w:b/>
                <w:bCs/>
                <w:color w:val="auto"/>
                <w:sz w:val="21"/>
                <w:szCs w:val="21"/>
                <w:highlight w:val="none"/>
                <w:lang w:eastAsia="zh-CN"/>
              </w:rPr>
              <w:t>供应商</w:t>
            </w:r>
            <w:r>
              <w:rPr>
                <w:rFonts w:hint="eastAsia"/>
                <w:b/>
                <w:bCs/>
                <w:color w:val="auto"/>
                <w:sz w:val="21"/>
                <w:szCs w:val="21"/>
                <w:highlight w:val="none"/>
              </w:rPr>
              <w:t>的</w:t>
            </w:r>
            <w:r>
              <w:rPr>
                <w:rFonts w:hint="eastAsia"/>
                <w:b/>
                <w:bCs/>
                <w:color w:val="auto"/>
                <w:sz w:val="21"/>
                <w:szCs w:val="21"/>
                <w:highlight w:val="none"/>
                <w:lang w:eastAsia="zh-CN"/>
              </w:rPr>
              <w:t>磋商报价</w:t>
            </w:r>
            <w:r>
              <w:rPr>
                <w:rFonts w:hint="eastAsia"/>
                <w:b/>
                <w:bCs/>
                <w:color w:val="auto"/>
                <w:sz w:val="21"/>
                <w:szCs w:val="21"/>
                <w:highlight w:val="none"/>
              </w:rPr>
              <w:t>总价不能高于</w:t>
            </w:r>
            <w:r>
              <w:rPr>
                <w:rFonts w:hint="eastAsia"/>
                <w:b/>
                <w:bCs/>
                <w:color w:val="auto"/>
                <w:sz w:val="21"/>
                <w:szCs w:val="21"/>
                <w:highlight w:val="none"/>
                <w:lang w:eastAsia="zh-CN"/>
              </w:rPr>
              <w:t>最高限价</w:t>
            </w:r>
            <w:r>
              <w:rPr>
                <w:rFonts w:hint="eastAsia"/>
                <w:b/>
                <w:bCs/>
                <w:color w:val="auto"/>
                <w:sz w:val="21"/>
                <w:szCs w:val="21"/>
                <w:highlight w:val="none"/>
              </w:rPr>
              <w:t>总价、工程量清单子目单价不得高于采购人设置的全子目上限价，否则，</w:t>
            </w:r>
            <w:r>
              <w:rPr>
                <w:b/>
                <w:bCs/>
                <w:color w:val="auto"/>
                <w:sz w:val="21"/>
                <w:szCs w:val="21"/>
                <w:highlight w:val="none"/>
              </w:rPr>
              <w:t xml:space="preserve"> 其</w:t>
            </w:r>
            <w:r>
              <w:rPr>
                <w:rFonts w:hint="eastAsia"/>
                <w:b/>
                <w:bCs/>
                <w:color w:val="auto"/>
                <w:sz w:val="21"/>
                <w:szCs w:val="21"/>
                <w:highlight w:val="none"/>
              </w:rPr>
              <w:t>响应文件</w:t>
            </w:r>
            <w:r>
              <w:rPr>
                <w:b/>
                <w:bCs/>
                <w:color w:val="auto"/>
                <w:sz w:val="21"/>
                <w:szCs w:val="21"/>
                <w:highlight w:val="none"/>
              </w:rPr>
              <w:t>将视为无效，作否决</w:t>
            </w:r>
            <w:r>
              <w:rPr>
                <w:rFonts w:hint="eastAsia"/>
                <w:b/>
                <w:bCs/>
                <w:color w:val="auto"/>
                <w:sz w:val="21"/>
                <w:szCs w:val="21"/>
                <w:highlight w:val="none"/>
                <w:lang w:val="en-US" w:eastAsia="zh-CN"/>
              </w:rPr>
              <w:t>竞标</w:t>
            </w:r>
            <w:r>
              <w:rPr>
                <w:b/>
                <w:bCs/>
                <w:color w:val="auto"/>
                <w:sz w:val="21"/>
                <w:szCs w:val="21"/>
                <w:highlight w:val="none"/>
              </w:rPr>
              <w:t>处理</w:t>
            </w:r>
            <w:r>
              <w:rPr>
                <w:rStyle w:val="29"/>
                <w:rFonts w:hint="eastAsia"/>
                <w:color w:val="auto"/>
                <w:highlight w:val="none"/>
              </w:rPr>
              <w:t>。</w:t>
            </w:r>
          </w:p>
          <w:p w14:paraId="7B8484CC">
            <w:pPr>
              <w:adjustRightInd w:val="0"/>
              <w:spacing w:line="360" w:lineRule="auto"/>
              <w:ind w:firstLine="422" w:firstLineChars="200"/>
              <w:jc w:val="both"/>
              <w:rPr>
                <w:rFonts w:ascii="仿宋_GB2312"/>
                <w:color w:val="auto"/>
                <w:sz w:val="21"/>
                <w:szCs w:val="21"/>
                <w:highlight w:val="none"/>
              </w:rPr>
            </w:pPr>
            <w:bookmarkStart w:id="5" w:name="OLE_LINK6"/>
            <w:bookmarkStart w:id="6" w:name="OLE_LINK5"/>
            <w:r>
              <w:rPr>
                <w:rFonts w:hint="eastAsia"/>
                <w:b/>
                <w:bCs/>
                <w:color w:val="auto"/>
                <w:sz w:val="21"/>
                <w:szCs w:val="21"/>
                <w:highlight w:val="none"/>
              </w:rPr>
              <w:t>若</w:t>
            </w:r>
            <w:r>
              <w:rPr>
                <w:rFonts w:hint="eastAsia"/>
                <w:b/>
                <w:bCs/>
                <w:color w:val="auto"/>
                <w:sz w:val="21"/>
                <w:szCs w:val="21"/>
                <w:highlight w:val="none"/>
                <w:lang w:eastAsia="zh-CN"/>
              </w:rPr>
              <w:t>磋商报价</w:t>
            </w:r>
            <w:r>
              <w:rPr>
                <w:rFonts w:hint="eastAsia"/>
                <w:b/>
                <w:bCs/>
                <w:color w:val="auto"/>
                <w:sz w:val="21"/>
                <w:szCs w:val="21"/>
                <w:highlight w:val="none"/>
              </w:rPr>
              <w:t>低于</w:t>
            </w:r>
            <w:r>
              <w:rPr>
                <w:rFonts w:hint="eastAsia"/>
                <w:b/>
                <w:bCs/>
                <w:color w:val="auto"/>
                <w:sz w:val="21"/>
                <w:szCs w:val="21"/>
                <w:highlight w:val="none"/>
                <w:lang w:eastAsia="zh-CN"/>
              </w:rPr>
              <w:t>采购项目最高限价</w:t>
            </w:r>
            <w:r>
              <w:rPr>
                <w:rFonts w:hint="eastAsia"/>
                <w:b/>
                <w:bCs/>
                <w:color w:val="auto"/>
                <w:sz w:val="21"/>
                <w:szCs w:val="21"/>
                <w:highlight w:val="none"/>
              </w:rPr>
              <w:t>的65%，磋商小组会应当按照财政部《</w:t>
            </w:r>
            <w:bookmarkStart w:id="7" w:name="OLE_LINK4"/>
            <w:bookmarkStart w:id="8" w:name="OLE_LINK3"/>
            <w:r>
              <w:rPr>
                <w:rFonts w:hint="eastAsia"/>
                <w:b/>
                <w:bCs/>
                <w:color w:val="auto"/>
                <w:sz w:val="21"/>
                <w:szCs w:val="21"/>
                <w:highlight w:val="none"/>
              </w:rPr>
              <w:t>关于推动解决政府采购异常低价问题的通知</w:t>
            </w:r>
            <w:bookmarkEnd w:id="7"/>
            <w:bookmarkEnd w:id="8"/>
            <w:r>
              <w:rPr>
                <w:rFonts w:hint="eastAsia"/>
                <w:b/>
                <w:bCs/>
                <w:color w:val="auto"/>
                <w:sz w:val="21"/>
                <w:szCs w:val="21"/>
                <w:highlight w:val="none"/>
              </w:rPr>
              <w:t>》（财库〔2026〕2号）的规定启动异常</w:t>
            </w:r>
            <w:r>
              <w:rPr>
                <w:rFonts w:hint="eastAsia"/>
                <w:b/>
                <w:bCs/>
                <w:color w:val="auto"/>
                <w:sz w:val="21"/>
                <w:szCs w:val="21"/>
                <w:highlight w:val="none"/>
                <w:lang w:eastAsia="zh-CN"/>
              </w:rPr>
              <w:t>低价采购审查程序</w:t>
            </w:r>
            <w:r>
              <w:rPr>
                <w:rFonts w:hint="eastAsia"/>
                <w:b/>
                <w:bCs/>
                <w:color w:val="auto"/>
                <w:sz w:val="21"/>
                <w:szCs w:val="21"/>
                <w:highlight w:val="none"/>
              </w:rPr>
              <w:t>。</w:t>
            </w:r>
            <w:bookmarkEnd w:id="5"/>
            <w:bookmarkEnd w:id="6"/>
          </w:p>
          <w:p w14:paraId="0B1A2A1B">
            <w:pPr>
              <w:pStyle w:val="13"/>
              <w:spacing w:line="360" w:lineRule="auto"/>
              <w:ind w:firstLine="422" w:firstLineChars="200"/>
              <w:jc w:val="both"/>
              <w:rPr>
                <w:color w:val="auto"/>
                <w:highlight w:val="none"/>
              </w:rPr>
            </w:pPr>
            <w:r>
              <w:rPr>
                <w:rFonts w:hint="eastAsia"/>
                <w:b/>
                <w:color w:val="auto"/>
                <w:highlight w:val="none"/>
              </w:rPr>
              <w:t>承包人必须完成本合同工程路容路貌整治、排水系统整治工作，其费用应视为已分摊在本合同工程的有关子目的单价或总额价之中。</w:t>
            </w:r>
          </w:p>
          <w:p w14:paraId="5808D62D">
            <w:pPr>
              <w:spacing w:line="360" w:lineRule="auto"/>
              <w:ind w:firstLine="422"/>
              <w:jc w:val="both"/>
              <w:rPr>
                <w:color w:val="auto"/>
                <w:sz w:val="21"/>
                <w:szCs w:val="21"/>
                <w:highlight w:val="none"/>
              </w:rPr>
            </w:pPr>
            <w:r>
              <w:rPr>
                <w:rFonts w:hint="eastAsia"/>
                <w:color w:val="auto"/>
                <w:sz w:val="21"/>
                <w:szCs w:val="21"/>
                <w:highlight w:val="none"/>
              </w:rPr>
              <w:t>13.3磋商报价包括各种人力成本、设备成本、资料费、服务费、税费及合同实施过程中的应预见费用等完成合同规定责任和义务，其他相关费用等完成本项目工程所需的一切费用，供应商综合考虑在报价中。</w:t>
            </w:r>
          </w:p>
          <w:p w14:paraId="43004BD3">
            <w:pPr>
              <w:spacing w:line="360" w:lineRule="auto"/>
              <w:ind w:firstLine="422"/>
              <w:jc w:val="both"/>
              <w:rPr>
                <w:color w:val="auto"/>
                <w:sz w:val="21"/>
                <w:szCs w:val="21"/>
                <w:highlight w:val="none"/>
              </w:rPr>
            </w:pPr>
            <w:r>
              <w:rPr>
                <w:rFonts w:hint="eastAsia"/>
                <w:color w:val="auto"/>
                <w:sz w:val="21"/>
                <w:szCs w:val="21"/>
                <w:highlight w:val="none"/>
              </w:rPr>
              <w:t>13.4未书面退出磋商的供应商必须在规定时间内登录“广西政府采购云平台”在线提交最后报价，</w:t>
            </w:r>
            <w:r>
              <w:rPr>
                <w:rFonts w:hint="eastAsia"/>
                <w:color w:val="auto"/>
                <w:sz w:val="21"/>
                <w:szCs w:val="21"/>
                <w:highlight w:val="none"/>
                <w:lang w:val="en-US" w:eastAsia="zh-CN"/>
              </w:rPr>
              <w:t>否则</w:t>
            </w:r>
            <w:r>
              <w:rPr>
                <w:rFonts w:hint="eastAsia"/>
                <w:b/>
                <w:bCs/>
                <w:color w:val="auto"/>
                <w:sz w:val="21"/>
                <w:szCs w:val="21"/>
                <w:highlight w:val="none"/>
              </w:rPr>
              <w:t>响应文件</w:t>
            </w:r>
            <w:r>
              <w:rPr>
                <w:b/>
                <w:bCs/>
                <w:color w:val="auto"/>
                <w:sz w:val="21"/>
                <w:szCs w:val="21"/>
                <w:highlight w:val="none"/>
              </w:rPr>
              <w:t>将视为无效，作否决</w:t>
            </w:r>
            <w:r>
              <w:rPr>
                <w:rFonts w:hint="eastAsia"/>
                <w:b/>
                <w:bCs/>
                <w:color w:val="auto"/>
                <w:sz w:val="21"/>
                <w:szCs w:val="21"/>
                <w:highlight w:val="none"/>
                <w:lang w:val="en-US" w:eastAsia="zh-CN"/>
              </w:rPr>
              <w:t>竞标</w:t>
            </w:r>
            <w:r>
              <w:rPr>
                <w:b/>
                <w:bCs/>
                <w:color w:val="auto"/>
                <w:sz w:val="21"/>
                <w:szCs w:val="21"/>
                <w:highlight w:val="none"/>
              </w:rPr>
              <w:t>处理</w:t>
            </w:r>
            <w:r>
              <w:rPr>
                <w:rStyle w:val="29"/>
                <w:rFonts w:hint="eastAsia"/>
                <w:color w:val="auto"/>
                <w:highlight w:val="none"/>
              </w:rPr>
              <w:t>。</w:t>
            </w:r>
            <w:r>
              <w:rPr>
                <w:rFonts w:hint="eastAsia"/>
                <w:color w:val="auto"/>
                <w:sz w:val="21"/>
                <w:szCs w:val="21"/>
                <w:highlight w:val="none"/>
              </w:rPr>
              <w:t>其最后报价不得超出</w:t>
            </w:r>
            <w:r>
              <w:rPr>
                <w:rFonts w:hint="eastAsia"/>
                <w:color w:val="auto"/>
                <w:sz w:val="21"/>
                <w:szCs w:val="21"/>
                <w:highlight w:val="none"/>
                <w:lang w:val="en-US" w:eastAsia="zh-CN"/>
              </w:rPr>
              <w:t>最高限价</w:t>
            </w:r>
            <w:r>
              <w:rPr>
                <w:rFonts w:hint="eastAsia"/>
                <w:color w:val="auto"/>
                <w:sz w:val="21"/>
                <w:szCs w:val="21"/>
                <w:highlight w:val="none"/>
              </w:rPr>
              <w:t>；磋商过程中磋商文件未作实质性变动的，最后报价不得超过首次报价。</w:t>
            </w:r>
          </w:p>
          <w:p w14:paraId="0F292E7C">
            <w:pPr>
              <w:pStyle w:val="13"/>
              <w:spacing w:line="360" w:lineRule="auto"/>
              <w:ind w:firstLine="422" w:firstLineChars="200"/>
              <w:jc w:val="both"/>
              <w:rPr>
                <w:color w:val="auto"/>
                <w:highlight w:val="none"/>
              </w:rPr>
            </w:pPr>
            <w:r>
              <w:rPr>
                <w:rFonts w:hint="eastAsia"/>
                <w:b/>
                <w:bCs/>
                <w:color w:val="auto"/>
                <w:highlight w:val="none"/>
              </w:rPr>
              <w:t>注：供应商的第二次磋商报价不得高于该供应商第一次磋商报价，否则做无效竞标处理。如供应商维持磋商报价不变，以原磋商报价作为供应商最后报价；如供应商需要改变原磋商报价时，供应商应预先准备好调整后的完整已标价的工程量清单（如有，上传到附件）。如供应商在磋商过程中，改变原报价且未按竞争性磋商文件要求提供调整后的已标价的工程量清单，其报价不予认可，视为供应商维持原磋商报价不变。</w:t>
            </w:r>
          </w:p>
        </w:tc>
      </w:tr>
      <w:tr w14:paraId="440C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387B59F2">
            <w:pPr>
              <w:spacing w:line="360" w:lineRule="auto"/>
              <w:ind w:firstLine="422"/>
              <w:jc w:val="center"/>
              <w:rPr>
                <w:color w:val="auto"/>
                <w:sz w:val="21"/>
                <w:szCs w:val="21"/>
                <w:highlight w:val="none"/>
              </w:rPr>
            </w:pPr>
            <w:r>
              <w:rPr>
                <w:rFonts w:hint="eastAsia"/>
                <w:color w:val="auto"/>
                <w:sz w:val="21"/>
                <w:szCs w:val="21"/>
                <w:highlight w:val="none"/>
              </w:rPr>
              <w:t>6</w:t>
            </w:r>
          </w:p>
        </w:tc>
        <w:tc>
          <w:tcPr>
            <w:tcW w:w="1032" w:type="dxa"/>
            <w:shd w:val="clear" w:color="auto" w:fill="auto"/>
            <w:vAlign w:val="center"/>
          </w:tcPr>
          <w:p w14:paraId="2C14883E">
            <w:pPr>
              <w:spacing w:line="360" w:lineRule="auto"/>
              <w:ind w:firstLine="422"/>
              <w:jc w:val="center"/>
              <w:rPr>
                <w:color w:val="auto"/>
                <w:sz w:val="21"/>
                <w:szCs w:val="21"/>
                <w:highlight w:val="none"/>
              </w:rPr>
            </w:pPr>
            <w:r>
              <w:rPr>
                <w:rFonts w:hint="eastAsia"/>
                <w:color w:val="auto"/>
                <w:sz w:val="21"/>
                <w:szCs w:val="21"/>
                <w:highlight w:val="none"/>
              </w:rPr>
              <w:t>14.1</w:t>
            </w:r>
          </w:p>
        </w:tc>
        <w:tc>
          <w:tcPr>
            <w:tcW w:w="1322" w:type="dxa"/>
            <w:shd w:val="clear" w:color="auto" w:fill="auto"/>
            <w:vAlign w:val="center"/>
          </w:tcPr>
          <w:p w14:paraId="37713FC1">
            <w:pPr>
              <w:spacing w:line="360" w:lineRule="auto"/>
              <w:jc w:val="both"/>
              <w:rPr>
                <w:color w:val="auto"/>
                <w:sz w:val="21"/>
                <w:szCs w:val="21"/>
                <w:highlight w:val="none"/>
              </w:rPr>
            </w:pPr>
            <w:r>
              <w:rPr>
                <w:rFonts w:hint="eastAsia"/>
                <w:b/>
                <w:bCs/>
                <w:color w:val="auto"/>
                <w:sz w:val="21"/>
                <w:szCs w:val="21"/>
                <w:highlight w:val="none"/>
              </w:rPr>
              <w:t>响应文件有效期</w:t>
            </w:r>
          </w:p>
        </w:tc>
        <w:tc>
          <w:tcPr>
            <w:tcW w:w="5717" w:type="dxa"/>
            <w:shd w:val="clear" w:color="auto" w:fill="auto"/>
            <w:vAlign w:val="center"/>
          </w:tcPr>
          <w:p w14:paraId="50E6BD24">
            <w:pPr>
              <w:spacing w:line="360" w:lineRule="auto"/>
              <w:ind w:firstLine="422"/>
              <w:jc w:val="both"/>
              <w:rPr>
                <w:color w:val="auto"/>
                <w:sz w:val="21"/>
                <w:szCs w:val="21"/>
                <w:highlight w:val="none"/>
              </w:rPr>
            </w:pPr>
            <w:r>
              <w:rPr>
                <w:rFonts w:hint="eastAsia"/>
                <w:color w:val="auto"/>
                <w:sz w:val="21"/>
                <w:szCs w:val="21"/>
                <w:highlight w:val="none"/>
              </w:rPr>
              <w:t>自响应文件提交截止时间之日起90天，有效期不足的响应文件将被拒绝。</w:t>
            </w:r>
          </w:p>
        </w:tc>
      </w:tr>
      <w:tr w14:paraId="13C7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DF91FE3">
            <w:pPr>
              <w:spacing w:line="360" w:lineRule="auto"/>
              <w:ind w:firstLine="422"/>
              <w:jc w:val="center"/>
              <w:rPr>
                <w:color w:val="auto"/>
                <w:sz w:val="21"/>
                <w:szCs w:val="21"/>
                <w:highlight w:val="none"/>
              </w:rPr>
            </w:pPr>
            <w:r>
              <w:rPr>
                <w:rFonts w:hint="eastAsia"/>
                <w:color w:val="auto"/>
                <w:sz w:val="21"/>
                <w:szCs w:val="21"/>
                <w:highlight w:val="none"/>
              </w:rPr>
              <w:t>7</w:t>
            </w:r>
          </w:p>
        </w:tc>
        <w:tc>
          <w:tcPr>
            <w:tcW w:w="1032" w:type="dxa"/>
            <w:shd w:val="clear" w:color="auto" w:fill="auto"/>
            <w:vAlign w:val="center"/>
          </w:tcPr>
          <w:p w14:paraId="30B4851C">
            <w:pPr>
              <w:spacing w:line="360" w:lineRule="auto"/>
              <w:ind w:firstLine="422"/>
              <w:jc w:val="center"/>
              <w:rPr>
                <w:color w:val="auto"/>
                <w:sz w:val="21"/>
                <w:szCs w:val="21"/>
                <w:highlight w:val="none"/>
              </w:rPr>
            </w:pPr>
            <w:r>
              <w:rPr>
                <w:rFonts w:hint="eastAsia"/>
                <w:color w:val="auto"/>
                <w:sz w:val="21"/>
                <w:szCs w:val="21"/>
                <w:highlight w:val="none"/>
              </w:rPr>
              <w:t>15</w:t>
            </w:r>
          </w:p>
        </w:tc>
        <w:tc>
          <w:tcPr>
            <w:tcW w:w="1322" w:type="dxa"/>
            <w:shd w:val="clear" w:color="auto" w:fill="auto"/>
            <w:vAlign w:val="center"/>
          </w:tcPr>
          <w:p w14:paraId="6B18D153">
            <w:pPr>
              <w:spacing w:line="360" w:lineRule="auto"/>
              <w:jc w:val="both"/>
              <w:rPr>
                <w:color w:val="auto"/>
                <w:sz w:val="21"/>
                <w:szCs w:val="21"/>
                <w:highlight w:val="none"/>
              </w:rPr>
            </w:pPr>
            <w:r>
              <w:rPr>
                <w:rFonts w:hint="eastAsia"/>
                <w:b/>
                <w:bCs/>
                <w:color w:val="auto"/>
                <w:sz w:val="21"/>
                <w:szCs w:val="21"/>
                <w:highlight w:val="none"/>
              </w:rPr>
              <w:t>保证金</w:t>
            </w:r>
          </w:p>
        </w:tc>
        <w:tc>
          <w:tcPr>
            <w:tcW w:w="5717" w:type="dxa"/>
            <w:shd w:val="clear" w:color="auto" w:fill="auto"/>
            <w:vAlign w:val="center"/>
          </w:tcPr>
          <w:p w14:paraId="2A002BA9">
            <w:pPr>
              <w:spacing w:line="360" w:lineRule="auto"/>
              <w:ind w:firstLine="422"/>
              <w:jc w:val="both"/>
              <w:rPr>
                <w:color w:val="auto"/>
                <w:sz w:val="21"/>
                <w:szCs w:val="21"/>
                <w:highlight w:val="none"/>
              </w:rPr>
            </w:pPr>
            <w:r>
              <w:rPr>
                <w:rFonts w:hint="eastAsia"/>
                <w:color w:val="auto"/>
                <w:sz w:val="21"/>
                <w:szCs w:val="21"/>
                <w:highlight w:val="none"/>
              </w:rPr>
              <w:t>本项目无需缴纳磋商保证金</w:t>
            </w:r>
          </w:p>
        </w:tc>
      </w:tr>
      <w:tr w14:paraId="18D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03ACE6A0">
            <w:pPr>
              <w:spacing w:line="360" w:lineRule="auto"/>
              <w:ind w:firstLine="422"/>
              <w:jc w:val="center"/>
              <w:rPr>
                <w:color w:val="auto"/>
                <w:sz w:val="21"/>
                <w:szCs w:val="21"/>
                <w:highlight w:val="none"/>
              </w:rPr>
            </w:pPr>
            <w:r>
              <w:rPr>
                <w:rFonts w:hint="eastAsia"/>
                <w:color w:val="auto"/>
                <w:sz w:val="21"/>
                <w:szCs w:val="21"/>
                <w:highlight w:val="none"/>
              </w:rPr>
              <w:t>8</w:t>
            </w:r>
          </w:p>
        </w:tc>
        <w:tc>
          <w:tcPr>
            <w:tcW w:w="1032" w:type="dxa"/>
            <w:shd w:val="clear" w:color="auto" w:fill="auto"/>
            <w:vAlign w:val="center"/>
          </w:tcPr>
          <w:p w14:paraId="794CE16E">
            <w:pPr>
              <w:spacing w:line="360" w:lineRule="auto"/>
              <w:ind w:firstLine="422"/>
              <w:jc w:val="center"/>
              <w:rPr>
                <w:color w:val="auto"/>
                <w:sz w:val="21"/>
                <w:szCs w:val="21"/>
                <w:highlight w:val="none"/>
              </w:rPr>
            </w:pPr>
            <w:r>
              <w:rPr>
                <w:color w:val="auto"/>
                <w:sz w:val="21"/>
                <w:szCs w:val="21"/>
                <w:highlight w:val="none"/>
              </w:rPr>
              <w:t>1</w:t>
            </w:r>
            <w:r>
              <w:rPr>
                <w:rFonts w:hint="eastAsia"/>
                <w:color w:val="auto"/>
                <w:sz w:val="21"/>
                <w:szCs w:val="21"/>
                <w:highlight w:val="none"/>
              </w:rPr>
              <w:t>6</w:t>
            </w:r>
          </w:p>
        </w:tc>
        <w:tc>
          <w:tcPr>
            <w:tcW w:w="1322" w:type="dxa"/>
            <w:shd w:val="clear" w:color="auto" w:fill="auto"/>
            <w:vAlign w:val="center"/>
          </w:tcPr>
          <w:p w14:paraId="249F9C2B">
            <w:pPr>
              <w:pStyle w:val="33"/>
              <w:spacing w:line="360" w:lineRule="auto"/>
              <w:ind w:right="99"/>
              <w:jc w:val="both"/>
              <w:rPr>
                <w:b/>
                <w:color w:val="auto"/>
                <w:sz w:val="21"/>
                <w:highlight w:val="none"/>
              </w:rPr>
            </w:pPr>
            <w:r>
              <w:rPr>
                <w:b/>
                <w:color w:val="auto"/>
                <w:sz w:val="21"/>
                <w:highlight w:val="none"/>
              </w:rPr>
              <w:t>电子响应文件的制作</w:t>
            </w:r>
            <w:r>
              <w:rPr>
                <w:rFonts w:hint="eastAsia"/>
                <w:b/>
                <w:color w:val="auto"/>
                <w:sz w:val="21"/>
                <w:highlight w:val="none"/>
              </w:rPr>
              <w:t>、</w:t>
            </w:r>
            <w:r>
              <w:rPr>
                <w:b/>
                <w:color w:val="auto"/>
                <w:sz w:val="21"/>
                <w:highlight w:val="none"/>
              </w:rPr>
              <w:t>加密</w:t>
            </w:r>
          </w:p>
        </w:tc>
        <w:tc>
          <w:tcPr>
            <w:tcW w:w="5717" w:type="dxa"/>
            <w:shd w:val="clear" w:color="auto" w:fill="auto"/>
            <w:vAlign w:val="center"/>
          </w:tcPr>
          <w:p w14:paraId="1C8FE063">
            <w:pPr>
              <w:pStyle w:val="33"/>
              <w:numPr>
                <w:ilvl w:val="1"/>
                <w:numId w:val="0"/>
              </w:numPr>
              <w:tabs>
                <w:tab w:val="left" w:pos="579"/>
              </w:tabs>
              <w:spacing w:before="94" w:line="360" w:lineRule="auto"/>
              <w:ind w:right="25"/>
              <w:jc w:val="both"/>
              <w:rPr>
                <w:color w:val="auto"/>
                <w:sz w:val="21"/>
                <w:highlight w:val="none"/>
              </w:rPr>
            </w:pPr>
            <w:r>
              <w:rPr>
                <w:rFonts w:hint="eastAsia"/>
                <w:color w:val="auto"/>
                <w:sz w:val="21"/>
                <w:szCs w:val="21"/>
                <w:highlight w:val="none"/>
              </w:rPr>
              <w:t>16.1</w:t>
            </w:r>
            <w:r>
              <w:rPr>
                <w:rFonts w:hint="eastAsia"/>
                <w:color w:val="auto"/>
                <w:sz w:val="21"/>
                <w:highlight w:val="none"/>
              </w:rPr>
              <w:t>供应商制作电子响应文件前，必须登陆“广西政府采购云平台”进行竞争性磋商文件的获取操作。</w:t>
            </w:r>
          </w:p>
          <w:p w14:paraId="2E20BED5">
            <w:pPr>
              <w:pStyle w:val="33"/>
              <w:numPr>
                <w:ilvl w:val="1"/>
                <w:numId w:val="0"/>
              </w:numPr>
              <w:tabs>
                <w:tab w:val="left" w:pos="579"/>
              </w:tabs>
              <w:spacing w:before="2" w:line="360" w:lineRule="auto"/>
              <w:ind w:right="97"/>
              <w:jc w:val="both"/>
              <w:rPr>
                <w:color w:val="auto"/>
                <w:sz w:val="21"/>
                <w:highlight w:val="none"/>
              </w:rPr>
            </w:pPr>
            <w:r>
              <w:rPr>
                <w:rFonts w:hint="eastAsia"/>
                <w:color w:val="auto"/>
                <w:sz w:val="21"/>
                <w:szCs w:val="21"/>
                <w:highlight w:val="none"/>
              </w:rPr>
              <w:t>16.2</w:t>
            </w:r>
            <w:r>
              <w:rPr>
                <w:rFonts w:hint="eastAsia"/>
                <w:color w:val="auto"/>
                <w:sz w:val="21"/>
                <w:highlight w:val="none"/>
              </w:rPr>
              <w:t>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3DB94D5E">
            <w:pPr>
              <w:pStyle w:val="33"/>
              <w:numPr>
                <w:ilvl w:val="1"/>
                <w:numId w:val="0"/>
              </w:numPr>
              <w:tabs>
                <w:tab w:val="left" w:pos="579"/>
              </w:tabs>
              <w:spacing w:before="2" w:line="360" w:lineRule="auto"/>
              <w:ind w:right="97"/>
              <w:jc w:val="both"/>
              <w:rPr>
                <w:color w:val="auto"/>
                <w:sz w:val="21"/>
                <w:highlight w:val="none"/>
              </w:rPr>
            </w:pPr>
            <w:r>
              <w:rPr>
                <w:rFonts w:hint="eastAsia"/>
                <w:color w:val="auto"/>
                <w:sz w:val="21"/>
                <w:szCs w:val="21"/>
                <w:highlight w:val="none"/>
              </w:rPr>
              <w:t>16.3</w:t>
            </w:r>
            <w:r>
              <w:rPr>
                <w:rFonts w:hint="eastAsia"/>
                <w:color w:val="auto"/>
                <w:sz w:val="21"/>
                <w:highlight w:val="none"/>
              </w:rPr>
              <w:t>若响应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其它内容中进行描述，导致磋商小组无法查询，做出对供应商不利的评审，相关后果由供应商自行承担。</w:t>
            </w:r>
          </w:p>
          <w:p w14:paraId="3939DB66">
            <w:pPr>
              <w:pStyle w:val="33"/>
              <w:numPr>
                <w:ilvl w:val="1"/>
                <w:numId w:val="0"/>
              </w:numPr>
              <w:tabs>
                <w:tab w:val="left" w:pos="579"/>
              </w:tabs>
              <w:spacing w:before="4" w:line="360" w:lineRule="auto"/>
              <w:ind w:right="97"/>
              <w:jc w:val="both"/>
              <w:rPr>
                <w:color w:val="auto"/>
                <w:sz w:val="21"/>
                <w:highlight w:val="none"/>
              </w:rPr>
            </w:pPr>
            <w:r>
              <w:rPr>
                <w:rFonts w:hint="eastAsia"/>
                <w:color w:val="auto"/>
                <w:sz w:val="21"/>
                <w:szCs w:val="21"/>
                <w:highlight w:val="none"/>
              </w:rPr>
              <w:t>16.4</w:t>
            </w:r>
            <w:r>
              <w:rPr>
                <w:rFonts w:hint="eastAsia"/>
                <w:color w:val="auto"/>
                <w:sz w:val="21"/>
                <w:highlight w:val="none"/>
              </w:rPr>
              <w:t>电子响应文件不得涂改，若有修改错漏处，须由法定代表人（负责人、自然人）或授权委托代理人通过“广西政府采购云平台电子投标客户端”采用个人CA证书签章，没有办理个人CA证书签章的，在响应文件中响应位置手写签字后扫描或者拍照做成PDF的格式上传。因响应文件字迹潦草、表达不清、内容不完整、编排混乱导致响应文件被误读、漏读，或者在按竞争性磋商文件规定的部位查找不到相关内容的，其不利后果由供应商自行承担。</w:t>
            </w:r>
          </w:p>
          <w:p w14:paraId="60F4051B">
            <w:pPr>
              <w:pStyle w:val="33"/>
              <w:numPr>
                <w:ilvl w:val="1"/>
                <w:numId w:val="0"/>
              </w:numPr>
              <w:tabs>
                <w:tab w:val="left" w:pos="579"/>
              </w:tabs>
              <w:spacing w:before="4" w:line="360" w:lineRule="auto"/>
              <w:ind w:right="97"/>
              <w:jc w:val="both"/>
              <w:rPr>
                <w:color w:val="auto"/>
                <w:sz w:val="21"/>
                <w:highlight w:val="none"/>
              </w:rPr>
            </w:pPr>
            <w:r>
              <w:rPr>
                <w:rFonts w:hint="eastAsia"/>
                <w:color w:val="auto"/>
                <w:sz w:val="21"/>
                <w:highlight w:val="none"/>
              </w:rPr>
              <w:t>供应商编制、生成电子响应文件后应当加密响应文件。供应商未按规定编制并加密的响应文件，“广西政府采购云平台”平台将予以拒收。</w:t>
            </w:r>
          </w:p>
        </w:tc>
      </w:tr>
      <w:tr w14:paraId="0FBF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DB4E80D">
            <w:pPr>
              <w:spacing w:line="360" w:lineRule="auto"/>
              <w:ind w:firstLine="422"/>
              <w:jc w:val="center"/>
              <w:rPr>
                <w:color w:val="auto"/>
                <w:sz w:val="21"/>
                <w:szCs w:val="21"/>
                <w:highlight w:val="none"/>
              </w:rPr>
            </w:pPr>
            <w:r>
              <w:rPr>
                <w:rFonts w:hint="eastAsia"/>
                <w:color w:val="auto"/>
                <w:sz w:val="21"/>
                <w:szCs w:val="21"/>
                <w:highlight w:val="none"/>
              </w:rPr>
              <w:t>9</w:t>
            </w:r>
          </w:p>
        </w:tc>
        <w:tc>
          <w:tcPr>
            <w:tcW w:w="1032" w:type="dxa"/>
            <w:shd w:val="clear" w:color="auto" w:fill="auto"/>
            <w:vAlign w:val="center"/>
          </w:tcPr>
          <w:p w14:paraId="0D1A7B98">
            <w:pPr>
              <w:spacing w:line="360" w:lineRule="auto"/>
              <w:ind w:firstLine="422"/>
              <w:jc w:val="center"/>
              <w:rPr>
                <w:color w:val="auto"/>
                <w:sz w:val="21"/>
                <w:szCs w:val="21"/>
                <w:highlight w:val="none"/>
              </w:rPr>
            </w:pPr>
            <w:r>
              <w:rPr>
                <w:rFonts w:hint="eastAsia"/>
                <w:color w:val="auto"/>
                <w:sz w:val="21"/>
                <w:szCs w:val="21"/>
                <w:highlight w:val="none"/>
              </w:rPr>
              <w:t>16.6</w:t>
            </w:r>
          </w:p>
        </w:tc>
        <w:tc>
          <w:tcPr>
            <w:tcW w:w="1322" w:type="dxa"/>
            <w:shd w:val="clear" w:color="auto" w:fill="auto"/>
            <w:vAlign w:val="center"/>
          </w:tcPr>
          <w:p w14:paraId="3B2FCED1">
            <w:pPr>
              <w:spacing w:line="360" w:lineRule="auto"/>
              <w:jc w:val="both"/>
              <w:rPr>
                <w:b/>
                <w:color w:val="auto"/>
                <w:sz w:val="21"/>
                <w:szCs w:val="21"/>
                <w:highlight w:val="none"/>
              </w:rPr>
            </w:pPr>
            <w:r>
              <w:rPr>
                <w:rFonts w:hint="eastAsia"/>
                <w:b/>
                <w:color w:val="auto"/>
                <w:sz w:val="21"/>
                <w:szCs w:val="21"/>
                <w:highlight w:val="none"/>
              </w:rPr>
              <w:t>供应商公章及签字</w:t>
            </w:r>
          </w:p>
        </w:tc>
        <w:tc>
          <w:tcPr>
            <w:tcW w:w="5717" w:type="dxa"/>
            <w:shd w:val="clear" w:color="auto" w:fill="auto"/>
            <w:vAlign w:val="center"/>
          </w:tcPr>
          <w:p w14:paraId="61A5FC2D">
            <w:pPr>
              <w:spacing w:line="360" w:lineRule="auto"/>
              <w:ind w:firstLine="422"/>
              <w:jc w:val="both"/>
              <w:rPr>
                <w:color w:val="auto"/>
                <w:sz w:val="21"/>
                <w:szCs w:val="21"/>
                <w:highlight w:val="none"/>
              </w:rPr>
            </w:pPr>
            <w:r>
              <w:rPr>
                <w:rFonts w:hint="eastAsia"/>
                <w:color w:val="auto"/>
                <w:sz w:val="21"/>
                <w:szCs w:val="21"/>
                <w:highlight w:val="none"/>
              </w:rPr>
              <w:t>16.6.1本竞争性磋商文件中描述供应商的“公章”是指供应商通过指定电子化政府采购平台办理数字证书（CA认证证书）获得的以法定主体行为名称制作的电子印章。</w:t>
            </w:r>
          </w:p>
          <w:p w14:paraId="6076B27C">
            <w:pPr>
              <w:spacing w:line="360" w:lineRule="auto"/>
              <w:ind w:firstLine="422"/>
              <w:jc w:val="both"/>
              <w:rPr>
                <w:color w:val="auto"/>
                <w:sz w:val="21"/>
                <w:szCs w:val="21"/>
                <w:highlight w:val="none"/>
              </w:rPr>
            </w:pPr>
            <w:r>
              <w:rPr>
                <w:rFonts w:hint="eastAsia"/>
                <w:color w:val="auto"/>
                <w:sz w:val="21"/>
                <w:szCs w:val="21"/>
                <w:highlight w:val="none"/>
              </w:rPr>
              <w:t>16.6.2本竞争性磋商文件中要求供应商对其电子响应文件的相关内容加盖公章的，均指采用CA证书签章。</w:t>
            </w:r>
          </w:p>
          <w:p w14:paraId="754C601E">
            <w:pPr>
              <w:spacing w:line="360" w:lineRule="auto"/>
              <w:ind w:firstLine="422"/>
              <w:jc w:val="both"/>
              <w:rPr>
                <w:color w:val="auto"/>
                <w:sz w:val="21"/>
                <w:szCs w:val="21"/>
                <w:highlight w:val="none"/>
              </w:rPr>
            </w:pPr>
            <w:r>
              <w:rPr>
                <w:rFonts w:hint="eastAsia"/>
                <w:color w:val="auto"/>
                <w:sz w:val="21"/>
                <w:szCs w:val="21"/>
                <w:highlight w:val="none"/>
              </w:rPr>
              <w:t>16.6.3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tc>
      </w:tr>
      <w:tr w14:paraId="793E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F7ABD46">
            <w:pPr>
              <w:spacing w:line="360" w:lineRule="auto"/>
              <w:ind w:firstLine="422"/>
              <w:jc w:val="center"/>
              <w:rPr>
                <w:color w:val="auto"/>
                <w:sz w:val="21"/>
                <w:szCs w:val="21"/>
                <w:highlight w:val="none"/>
              </w:rPr>
            </w:pPr>
            <w:r>
              <w:rPr>
                <w:rFonts w:hint="eastAsia"/>
                <w:color w:val="auto"/>
                <w:sz w:val="21"/>
                <w:szCs w:val="21"/>
                <w:highlight w:val="none"/>
              </w:rPr>
              <w:t>10</w:t>
            </w:r>
          </w:p>
        </w:tc>
        <w:tc>
          <w:tcPr>
            <w:tcW w:w="1032" w:type="dxa"/>
            <w:shd w:val="clear" w:color="auto" w:fill="auto"/>
            <w:vAlign w:val="center"/>
          </w:tcPr>
          <w:p w14:paraId="5E1886A6">
            <w:pPr>
              <w:spacing w:line="360" w:lineRule="auto"/>
              <w:ind w:firstLine="422"/>
              <w:jc w:val="center"/>
              <w:rPr>
                <w:color w:val="auto"/>
                <w:sz w:val="21"/>
                <w:szCs w:val="21"/>
                <w:highlight w:val="none"/>
              </w:rPr>
            </w:pPr>
            <w:r>
              <w:rPr>
                <w:rFonts w:hint="eastAsia"/>
                <w:color w:val="auto"/>
                <w:sz w:val="21"/>
                <w:szCs w:val="21"/>
                <w:highlight w:val="none"/>
              </w:rPr>
              <w:t>17</w:t>
            </w:r>
          </w:p>
        </w:tc>
        <w:tc>
          <w:tcPr>
            <w:tcW w:w="1322" w:type="dxa"/>
            <w:shd w:val="clear" w:color="auto" w:fill="auto"/>
            <w:vAlign w:val="center"/>
          </w:tcPr>
          <w:p w14:paraId="2799F5E0">
            <w:pPr>
              <w:spacing w:line="360" w:lineRule="auto"/>
              <w:jc w:val="both"/>
              <w:rPr>
                <w:b/>
                <w:color w:val="auto"/>
                <w:sz w:val="21"/>
                <w:szCs w:val="21"/>
                <w:highlight w:val="none"/>
              </w:rPr>
            </w:pPr>
            <w:r>
              <w:rPr>
                <w:rFonts w:hint="eastAsia"/>
                <w:b/>
                <w:color w:val="auto"/>
                <w:sz w:val="21"/>
                <w:szCs w:val="21"/>
                <w:highlight w:val="none"/>
              </w:rPr>
              <w:t>首次响应文件的提交、撤回、修改</w:t>
            </w:r>
          </w:p>
        </w:tc>
        <w:tc>
          <w:tcPr>
            <w:tcW w:w="5717" w:type="dxa"/>
            <w:shd w:val="clear" w:color="auto" w:fill="auto"/>
            <w:vAlign w:val="center"/>
          </w:tcPr>
          <w:p w14:paraId="6C480D0F">
            <w:pPr>
              <w:spacing w:line="360" w:lineRule="auto"/>
              <w:ind w:firstLine="422"/>
              <w:jc w:val="both"/>
              <w:rPr>
                <w:color w:val="auto"/>
                <w:sz w:val="21"/>
                <w:szCs w:val="21"/>
                <w:highlight w:val="none"/>
              </w:rPr>
            </w:pPr>
            <w:r>
              <w:rPr>
                <w:rFonts w:hint="eastAsia"/>
                <w:color w:val="auto"/>
                <w:sz w:val="21"/>
                <w:szCs w:val="21"/>
                <w:highlight w:val="none"/>
              </w:rPr>
              <w:t>17.1响应文件的提交截止时间：2026年</w:t>
            </w:r>
            <w:r>
              <w:rPr>
                <w:rFonts w:hint="eastAsia"/>
                <w:color w:val="auto"/>
                <w:sz w:val="21"/>
                <w:szCs w:val="21"/>
                <w:highlight w:val="none"/>
                <w:lang w:val="en-US" w:eastAsia="zh-CN"/>
              </w:rPr>
              <w:t>6月24</w:t>
            </w:r>
            <w:r>
              <w:rPr>
                <w:rFonts w:hint="eastAsia"/>
                <w:color w:val="auto"/>
                <w:sz w:val="21"/>
                <w:szCs w:val="21"/>
                <w:highlight w:val="none"/>
              </w:rPr>
              <w:t>日上午9时30分（北京时间）</w:t>
            </w:r>
          </w:p>
          <w:p w14:paraId="4AC29EB2">
            <w:pPr>
              <w:spacing w:line="360" w:lineRule="auto"/>
              <w:ind w:firstLine="422"/>
              <w:jc w:val="both"/>
              <w:rPr>
                <w:color w:val="auto"/>
                <w:sz w:val="21"/>
                <w:szCs w:val="21"/>
                <w:highlight w:val="none"/>
              </w:rPr>
            </w:pPr>
            <w:r>
              <w:rPr>
                <w:rFonts w:hint="eastAsia"/>
                <w:color w:val="auto"/>
                <w:sz w:val="21"/>
                <w:szCs w:val="21"/>
                <w:highlight w:val="none"/>
              </w:rPr>
              <w:t>17.2地点：通过“广西政府采购云平台”在线提交。</w:t>
            </w:r>
          </w:p>
          <w:p w14:paraId="55201A5C">
            <w:pPr>
              <w:spacing w:line="360" w:lineRule="auto"/>
              <w:ind w:firstLine="422"/>
              <w:jc w:val="both"/>
              <w:rPr>
                <w:color w:val="auto"/>
                <w:sz w:val="21"/>
                <w:szCs w:val="21"/>
                <w:highlight w:val="none"/>
              </w:rPr>
            </w:pPr>
            <w:r>
              <w:rPr>
                <w:rFonts w:hint="eastAsia"/>
                <w:color w:val="auto"/>
                <w:sz w:val="21"/>
                <w:szCs w:val="21"/>
                <w:highlight w:val="none"/>
              </w:rPr>
              <w:t>17.3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288D46ED">
            <w:pPr>
              <w:spacing w:line="360" w:lineRule="auto"/>
              <w:ind w:firstLine="422"/>
              <w:jc w:val="both"/>
              <w:rPr>
                <w:color w:val="auto"/>
                <w:sz w:val="21"/>
                <w:szCs w:val="21"/>
                <w:highlight w:val="none"/>
              </w:rPr>
            </w:pPr>
            <w:r>
              <w:rPr>
                <w:rFonts w:hint="eastAsia"/>
                <w:color w:val="auto"/>
                <w:sz w:val="21"/>
                <w:szCs w:val="21"/>
                <w:highlight w:val="none"/>
              </w:rPr>
              <w:t>17.4除竞争性磋商文件另有规定外，供应商所提交的响应文件不予退还。</w:t>
            </w:r>
          </w:p>
        </w:tc>
      </w:tr>
      <w:tr w14:paraId="0982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7E001F96">
            <w:pPr>
              <w:spacing w:line="360" w:lineRule="auto"/>
              <w:ind w:firstLine="422"/>
              <w:jc w:val="center"/>
              <w:rPr>
                <w:color w:val="auto"/>
                <w:sz w:val="21"/>
                <w:szCs w:val="21"/>
                <w:highlight w:val="none"/>
              </w:rPr>
            </w:pPr>
            <w:r>
              <w:rPr>
                <w:rFonts w:hint="eastAsia"/>
                <w:color w:val="auto"/>
                <w:sz w:val="21"/>
                <w:szCs w:val="21"/>
                <w:highlight w:val="none"/>
              </w:rPr>
              <w:t>11</w:t>
            </w:r>
          </w:p>
        </w:tc>
        <w:tc>
          <w:tcPr>
            <w:tcW w:w="1032" w:type="dxa"/>
            <w:shd w:val="clear" w:color="auto" w:fill="auto"/>
            <w:vAlign w:val="center"/>
          </w:tcPr>
          <w:p w14:paraId="7848E04E">
            <w:pPr>
              <w:spacing w:line="360" w:lineRule="auto"/>
              <w:ind w:firstLine="422"/>
              <w:jc w:val="center"/>
              <w:rPr>
                <w:color w:val="auto"/>
                <w:sz w:val="21"/>
                <w:szCs w:val="21"/>
                <w:highlight w:val="none"/>
              </w:rPr>
            </w:pPr>
            <w:r>
              <w:rPr>
                <w:rFonts w:hint="eastAsia"/>
                <w:color w:val="auto"/>
                <w:sz w:val="21"/>
                <w:szCs w:val="21"/>
                <w:highlight w:val="none"/>
              </w:rPr>
              <w:t>18</w:t>
            </w:r>
          </w:p>
        </w:tc>
        <w:tc>
          <w:tcPr>
            <w:tcW w:w="1322" w:type="dxa"/>
            <w:shd w:val="clear" w:color="auto" w:fill="auto"/>
            <w:vAlign w:val="center"/>
          </w:tcPr>
          <w:p w14:paraId="456A600D">
            <w:pPr>
              <w:spacing w:line="360" w:lineRule="auto"/>
              <w:jc w:val="both"/>
              <w:rPr>
                <w:b/>
                <w:color w:val="auto"/>
                <w:sz w:val="21"/>
                <w:szCs w:val="21"/>
                <w:highlight w:val="none"/>
              </w:rPr>
            </w:pPr>
            <w:r>
              <w:rPr>
                <w:rFonts w:hint="eastAsia"/>
                <w:b/>
                <w:color w:val="auto"/>
                <w:sz w:val="21"/>
                <w:szCs w:val="21"/>
                <w:highlight w:val="none"/>
              </w:rPr>
              <w:t>响应文件的解密</w:t>
            </w:r>
          </w:p>
        </w:tc>
        <w:tc>
          <w:tcPr>
            <w:tcW w:w="5717" w:type="dxa"/>
            <w:shd w:val="clear" w:color="auto" w:fill="auto"/>
            <w:vAlign w:val="center"/>
          </w:tcPr>
          <w:p w14:paraId="344F28D3">
            <w:pPr>
              <w:spacing w:line="360" w:lineRule="auto"/>
              <w:ind w:firstLine="420" w:firstLineChars="200"/>
              <w:jc w:val="both"/>
              <w:rPr>
                <w:color w:val="auto"/>
                <w:sz w:val="21"/>
                <w:szCs w:val="21"/>
                <w:highlight w:val="none"/>
              </w:rPr>
            </w:pPr>
            <w:r>
              <w:rPr>
                <w:rFonts w:hint="eastAsia"/>
                <w:color w:val="auto"/>
                <w:sz w:val="21"/>
                <w:szCs w:val="21"/>
                <w:highlight w:val="none"/>
              </w:rPr>
              <w:t>响应文件提交截止时间后30分钟内（2026年</w:t>
            </w:r>
            <w:r>
              <w:rPr>
                <w:rFonts w:hint="eastAsia"/>
                <w:color w:val="auto"/>
                <w:sz w:val="21"/>
                <w:szCs w:val="21"/>
                <w:highlight w:val="none"/>
                <w:lang w:val="en-US" w:eastAsia="zh-CN"/>
              </w:rPr>
              <w:t>6月24</w:t>
            </w:r>
            <w:r>
              <w:rPr>
                <w:rFonts w:hint="eastAsia"/>
                <w:color w:val="auto"/>
                <w:sz w:val="21"/>
                <w:szCs w:val="21"/>
                <w:highlight w:val="none"/>
              </w:rPr>
              <w:t>日上午9时30至10时00分)，供应商登录“广西政府采购云平台”，通过“项目采购-开标评标”功能解密电子响应文件。若供应商在上述规定时间内无法解密或解密失败，可以提交电子备份响应文件作为评审依据，在接到无法解密或解密失败的系统通知后，供应商可根据自身实际情况按系统通知要求的时间到达</w:t>
            </w:r>
            <w:r>
              <w:rPr>
                <w:rFonts w:hint="eastAsia"/>
                <w:b/>
                <w:bCs/>
                <w:color w:val="auto"/>
                <w:sz w:val="21"/>
                <w:szCs w:val="21"/>
                <w:highlight w:val="none"/>
              </w:rPr>
              <w:t>桂林市公共资源交易中心</w:t>
            </w:r>
            <w:r>
              <w:rPr>
                <w:rFonts w:hint="eastAsia"/>
                <w:b/>
                <w:bCs/>
                <w:color w:val="auto"/>
                <w:sz w:val="21"/>
                <w:szCs w:val="21"/>
                <w:highlight w:val="none"/>
                <w:lang w:val="en-US" w:eastAsia="zh-CN"/>
              </w:rPr>
              <w:t>9号开标室</w:t>
            </w:r>
            <w:r>
              <w:rPr>
                <w:rFonts w:hint="eastAsia"/>
                <w:color w:val="auto"/>
                <w:sz w:val="21"/>
                <w:szCs w:val="21"/>
                <w:highlight w:val="none"/>
              </w:rPr>
              <w:t>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tc>
      </w:tr>
      <w:tr w14:paraId="3BD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B72C7E2">
            <w:pPr>
              <w:spacing w:line="360" w:lineRule="auto"/>
              <w:ind w:firstLine="422"/>
              <w:jc w:val="center"/>
              <w:rPr>
                <w:color w:val="auto"/>
                <w:sz w:val="21"/>
                <w:szCs w:val="21"/>
                <w:highlight w:val="none"/>
              </w:rPr>
            </w:pPr>
            <w:r>
              <w:rPr>
                <w:rFonts w:hint="eastAsia"/>
                <w:color w:val="auto"/>
                <w:sz w:val="21"/>
                <w:szCs w:val="21"/>
                <w:highlight w:val="none"/>
              </w:rPr>
              <w:t>12</w:t>
            </w:r>
          </w:p>
        </w:tc>
        <w:tc>
          <w:tcPr>
            <w:tcW w:w="1032" w:type="dxa"/>
            <w:shd w:val="clear" w:color="auto" w:fill="auto"/>
            <w:vAlign w:val="center"/>
          </w:tcPr>
          <w:p w14:paraId="11AF8AB1">
            <w:pPr>
              <w:spacing w:line="360" w:lineRule="auto"/>
              <w:ind w:firstLine="422"/>
              <w:jc w:val="center"/>
              <w:rPr>
                <w:color w:val="auto"/>
                <w:sz w:val="21"/>
                <w:szCs w:val="21"/>
                <w:highlight w:val="none"/>
              </w:rPr>
            </w:pPr>
            <w:r>
              <w:rPr>
                <w:color w:val="auto"/>
                <w:sz w:val="21"/>
                <w:szCs w:val="21"/>
                <w:highlight w:val="none"/>
              </w:rPr>
              <w:t>1</w:t>
            </w:r>
            <w:r>
              <w:rPr>
                <w:rFonts w:hint="eastAsia"/>
                <w:color w:val="auto"/>
                <w:sz w:val="21"/>
                <w:szCs w:val="21"/>
                <w:highlight w:val="none"/>
              </w:rPr>
              <w:t>9</w:t>
            </w:r>
            <w:r>
              <w:rPr>
                <w:color w:val="auto"/>
                <w:sz w:val="21"/>
                <w:szCs w:val="21"/>
                <w:highlight w:val="none"/>
              </w:rPr>
              <w:t>.1</w:t>
            </w:r>
          </w:p>
        </w:tc>
        <w:tc>
          <w:tcPr>
            <w:tcW w:w="1322" w:type="dxa"/>
            <w:shd w:val="clear" w:color="auto" w:fill="auto"/>
            <w:vAlign w:val="center"/>
          </w:tcPr>
          <w:p w14:paraId="2EC63715">
            <w:pPr>
              <w:spacing w:line="360" w:lineRule="auto"/>
              <w:jc w:val="both"/>
              <w:rPr>
                <w:color w:val="auto"/>
                <w:sz w:val="21"/>
                <w:szCs w:val="21"/>
                <w:highlight w:val="none"/>
              </w:rPr>
            </w:pPr>
            <w:r>
              <w:rPr>
                <w:b/>
                <w:bCs/>
                <w:color w:val="auto"/>
                <w:sz w:val="21"/>
                <w:szCs w:val="21"/>
                <w:highlight w:val="none"/>
              </w:rPr>
              <w:t>磋商小组组成</w:t>
            </w:r>
          </w:p>
        </w:tc>
        <w:tc>
          <w:tcPr>
            <w:tcW w:w="5717" w:type="dxa"/>
            <w:shd w:val="clear" w:color="auto" w:fill="auto"/>
            <w:vAlign w:val="center"/>
          </w:tcPr>
          <w:p w14:paraId="1805B54B">
            <w:pPr>
              <w:spacing w:line="360" w:lineRule="auto"/>
              <w:ind w:firstLine="422"/>
              <w:jc w:val="both"/>
              <w:rPr>
                <w:color w:val="auto"/>
                <w:sz w:val="21"/>
                <w:szCs w:val="21"/>
                <w:highlight w:val="none"/>
              </w:rPr>
            </w:pPr>
            <w:r>
              <w:rPr>
                <w:rFonts w:hint="eastAsia"/>
                <w:color w:val="auto"/>
                <w:sz w:val="21"/>
                <w:szCs w:val="21"/>
                <w:highlight w:val="none"/>
              </w:rPr>
              <w:t>磋商及评审工作由采购代理机构负责组织，具体磋商、评审工作由依法组建的磋商小组负责，磋商小组由政府采购评审专家库抽取的相关专业的专家组成。磋商小组的构成：3人。</w:t>
            </w:r>
          </w:p>
        </w:tc>
      </w:tr>
      <w:tr w14:paraId="7A24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70762A84">
            <w:pPr>
              <w:spacing w:line="360" w:lineRule="auto"/>
              <w:ind w:firstLine="422"/>
              <w:jc w:val="center"/>
              <w:rPr>
                <w:color w:val="auto"/>
                <w:sz w:val="21"/>
                <w:szCs w:val="21"/>
                <w:highlight w:val="none"/>
              </w:rPr>
            </w:pPr>
            <w:r>
              <w:rPr>
                <w:rFonts w:hint="eastAsia"/>
                <w:color w:val="auto"/>
                <w:sz w:val="21"/>
                <w:szCs w:val="21"/>
                <w:highlight w:val="none"/>
              </w:rPr>
              <w:t>13</w:t>
            </w:r>
          </w:p>
        </w:tc>
        <w:tc>
          <w:tcPr>
            <w:tcW w:w="1032" w:type="dxa"/>
            <w:shd w:val="clear" w:color="auto" w:fill="auto"/>
            <w:vAlign w:val="center"/>
          </w:tcPr>
          <w:p w14:paraId="6EF92280">
            <w:pPr>
              <w:spacing w:line="360" w:lineRule="auto"/>
              <w:ind w:firstLine="422"/>
              <w:jc w:val="center"/>
              <w:rPr>
                <w:color w:val="auto"/>
                <w:sz w:val="21"/>
                <w:szCs w:val="21"/>
                <w:highlight w:val="none"/>
              </w:rPr>
            </w:pPr>
            <w:r>
              <w:rPr>
                <w:rFonts w:hint="eastAsia"/>
                <w:color w:val="auto"/>
                <w:sz w:val="21"/>
                <w:szCs w:val="21"/>
                <w:highlight w:val="none"/>
              </w:rPr>
              <w:t>19.2</w:t>
            </w:r>
          </w:p>
        </w:tc>
        <w:tc>
          <w:tcPr>
            <w:tcW w:w="1322" w:type="dxa"/>
            <w:shd w:val="clear" w:color="auto" w:fill="auto"/>
            <w:vAlign w:val="center"/>
          </w:tcPr>
          <w:p w14:paraId="3D72176B">
            <w:pPr>
              <w:spacing w:line="360" w:lineRule="auto"/>
              <w:jc w:val="both"/>
              <w:rPr>
                <w:b/>
                <w:bCs/>
                <w:color w:val="auto"/>
                <w:sz w:val="21"/>
                <w:szCs w:val="21"/>
                <w:highlight w:val="none"/>
              </w:rPr>
            </w:pPr>
            <w:r>
              <w:rPr>
                <w:rFonts w:hint="eastAsia"/>
                <w:b/>
                <w:bCs/>
                <w:color w:val="auto"/>
                <w:sz w:val="21"/>
                <w:szCs w:val="21"/>
                <w:highlight w:val="none"/>
              </w:rPr>
              <w:t>磋商时间、地点、人员</w:t>
            </w:r>
          </w:p>
        </w:tc>
        <w:tc>
          <w:tcPr>
            <w:tcW w:w="5717" w:type="dxa"/>
            <w:shd w:val="clear" w:color="auto" w:fill="auto"/>
            <w:vAlign w:val="center"/>
          </w:tcPr>
          <w:p w14:paraId="5C036F7B">
            <w:pPr>
              <w:spacing w:line="360" w:lineRule="auto"/>
              <w:ind w:firstLine="422"/>
              <w:jc w:val="both"/>
              <w:rPr>
                <w:color w:val="auto"/>
                <w:sz w:val="21"/>
                <w:szCs w:val="21"/>
                <w:highlight w:val="none"/>
              </w:rPr>
            </w:pPr>
            <w:r>
              <w:rPr>
                <w:rFonts w:hint="eastAsia"/>
                <w:color w:val="auto"/>
                <w:sz w:val="21"/>
                <w:szCs w:val="21"/>
                <w:highlight w:val="none"/>
              </w:rPr>
              <w:t>磋商时间：首次响应文件提交截止时间后。</w:t>
            </w:r>
          </w:p>
          <w:p w14:paraId="6479C39B">
            <w:pPr>
              <w:spacing w:line="360" w:lineRule="auto"/>
              <w:ind w:firstLine="422"/>
              <w:jc w:val="both"/>
              <w:rPr>
                <w:color w:val="auto"/>
                <w:sz w:val="21"/>
                <w:szCs w:val="21"/>
                <w:highlight w:val="none"/>
              </w:rPr>
            </w:pPr>
            <w:r>
              <w:rPr>
                <w:rFonts w:hint="eastAsia"/>
                <w:color w:val="auto"/>
                <w:sz w:val="21"/>
                <w:szCs w:val="21"/>
                <w:highlight w:val="none"/>
              </w:rPr>
              <w:t>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4DB7BA2D">
            <w:pPr>
              <w:spacing w:line="360" w:lineRule="auto"/>
              <w:ind w:firstLine="422"/>
              <w:jc w:val="both"/>
              <w:rPr>
                <w:color w:val="auto"/>
                <w:sz w:val="21"/>
                <w:szCs w:val="21"/>
                <w:highlight w:val="none"/>
              </w:rPr>
            </w:pPr>
            <w:r>
              <w:rPr>
                <w:rFonts w:hint="eastAsia"/>
                <w:color w:val="auto"/>
                <w:sz w:val="21"/>
                <w:szCs w:val="21"/>
                <w:highlight w:val="none"/>
              </w:rPr>
              <w:t>磋商参加人员：供应商法定代表人(负责人、自然人)或相应的委托代理人参加磋商。请供应商实时登录“广西政府采购云平台”等候在线磋商。</w:t>
            </w:r>
          </w:p>
          <w:p w14:paraId="1CDA0EA6">
            <w:pPr>
              <w:spacing w:line="360" w:lineRule="auto"/>
              <w:ind w:firstLine="422"/>
              <w:jc w:val="both"/>
              <w:rPr>
                <w:color w:val="auto"/>
                <w:sz w:val="21"/>
                <w:szCs w:val="21"/>
                <w:highlight w:val="none"/>
              </w:rPr>
            </w:pPr>
            <w:r>
              <w:rPr>
                <w:rFonts w:hint="eastAsia"/>
                <w:color w:val="auto"/>
                <w:sz w:val="21"/>
                <w:szCs w:val="21"/>
                <w:highlight w:val="none"/>
              </w:rPr>
              <w:t>首次响应文件提交截止时间后，登录“广西政府采购云平台”在线解密开启。</w:t>
            </w:r>
          </w:p>
        </w:tc>
      </w:tr>
      <w:tr w14:paraId="206E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6643B0F">
            <w:pPr>
              <w:spacing w:line="360" w:lineRule="auto"/>
              <w:ind w:firstLine="422"/>
              <w:jc w:val="center"/>
              <w:rPr>
                <w:color w:val="auto"/>
                <w:sz w:val="21"/>
                <w:szCs w:val="21"/>
                <w:highlight w:val="none"/>
              </w:rPr>
            </w:pPr>
            <w:r>
              <w:rPr>
                <w:rFonts w:hint="eastAsia"/>
                <w:color w:val="auto"/>
                <w:sz w:val="21"/>
                <w:szCs w:val="21"/>
                <w:highlight w:val="none"/>
              </w:rPr>
              <w:t>14</w:t>
            </w:r>
          </w:p>
        </w:tc>
        <w:tc>
          <w:tcPr>
            <w:tcW w:w="1032" w:type="dxa"/>
            <w:shd w:val="clear" w:color="auto" w:fill="auto"/>
            <w:vAlign w:val="center"/>
          </w:tcPr>
          <w:p w14:paraId="42D4B598">
            <w:pPr>
              <w:spacing w:line="360" w:lineRule="auto"/>
              <w:ind w:firstLine="422"/>
              <w:jc w:val="center"/>
              <w:rPr>
                <w:color w:val="auto"/>
                <w:sz w:val="21"/>
                <w:szCs w:val="21"/>
                <w:highlight w:val="none"/>
              </w:rPr>
            </w:pPr>
            <w:r>
              <w:rPr>
                <w:rFonts w:hint="eastAsia"/>
                <w:color w:val="auto"/>
                <w:sz w:val="21"/>
                <w:szCs w:val="21"/>
                <w:highlight w:val="none"/>
              </w:rPr>
              <w:t>20.2</w:t>
            </w:r>
          </w:p>
        </w:tc>
        <w:tc>
          <w:tcPr>
            <w:tcW w:w="1322" w:type="dxa"/>
            <w:shd w:val="clear" w:color="auto" w:fill="auto"/>
            <w:vAlign w:val="center"/>
          </w:tcPr>
          <w:p w14:paraId="47A31A4A">
            <w:pPr>
              <w:spacing w:line="360" w:lineRule="auto"/>
              <w:jc w:val="both"/>
              <w:rPr>
                <w:b/>
                <w:bCs/>
                <w:color w:val="auto"/>
                <w:sz w:val="21"/>
                <w:szCs w:val="21"/>
                <w:highlight w:val="none"/>
              </w:rPr>
            </w:pPr>
            <w:r>
              <w:rPr>
                <w:rFonts w:hint="eastAsia"/>
                <w:b/>
                <w:bCs/>
                <w:color w:val="auto"/>
                <w:sz w:val="21"/>
                <w:szCs w:val="21"/>
                <w:highlight w:val="none"/>
              </w:rPr>
              <w:t>评审办法</w:t>
            </w:r>
          </w:p>
        </w:tc>
        <w:tc>
          <w:tcPr>
            <w:tcW w:w="5717" w:type="dxa"/>
            <w:shd w:val="clear" w:color="auto" w:fill="auto"/>
            <w:vAlign w:val="center"/>
          </w:tcPr>
          <w:p w14:paraId="790E188E">
            <w:pPr>
              <w:spacing w:line="360" w:lineRule="auto"/>
              <w:ind w:firstLine="422" w:firstLineChars="200"/>
              <w:jc w:val="both"/>
              <w:rPr>
                <w:b/>
                <w:bCs/>
                <w:color w:val="auto"/>
                <w:sz w:val="21"/>
                <w:szCs w:val="21"/>
                <w:highlight w:val="none"/>
              </w:rPr>
            </w:pPr>
            <w:r>
              <w:rPr>
                <w:rFonts w:hint="eastAsia"/>
                <w:b/>
                <w:bCs/>
                <w:color w:val="auto"/>
                <w:sz w:val="21"/>
                <w:szCs w:val="21"/>
                <w:highlight w:val="none"/>
              </w:rPr>
              <w:t>综合评分法，具体详见第四章“评审办法”。</w:t>
            </w:r>
          </w:p>
        </w:tc>
      </w:tr>
      <w:tr w14:paraId="1D04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69AB91F">
            <w:pPr>
              <w:spacing w:line="360" w:lineRule="auto"/>
              <w:ind w:firstLine="422"/>
              <w:jc w:val="center"/>
              <w:rPr>
                <w:color w:val="auto"/>
                <w:sz w:val="21"/>
                <w:szCs w:val="21"/>
                <w:highlight w:val="none"/>
              </w:rPr>
            </w:pPr>
            <w:r>
              <w:rPr>
                <w:rFonts w:hint="eastAsia"/>
                <w:color w:val="auto"/>
                <w:sz w:val="21"/>
                <w:szCs w:val="21"/>
                <w:highlight w:val="none"/>
              </w:rPr>
              <w:t>15</w:t>
            </w:r>
          </w:p>
        </w:tc>
        <w:tc>
          <w:tcPr>
            <w:tcW w:w="1032" w:type="dxa"/>
            <w:shd w:val="clear" w:color="auto" w:fill="auto"/>
            <w:vAlign w:val="center"/>
          </w:tcPr>
          <w:p w14:paraId="5240C210">
            <w:pPr>
              <w:spacing w:line="360" w:lineRule="auto"/>
              <w:ind w:firstLine="422"/>
              <w:jc w:val="center"/>
              <w:rPr>
                <w:color w:val="auto"/>
                <w:sz w:val="21"/>
                <w:szCs w:val="21"/>
                <w:highlight w:val="none"/>
              </w:rPr>
            </w:pPr>
            <w:r>
              <w:rPr>
                <w:rFonts w:hint="eastAsia"/>
                <w:color w:val="auto"/>
                <w:sz w:val="21"/>
                <w:szCs w:val="21"/>
                <w:highlight w:val="none"/>
              </w:rPr>
              <w:t>27</w:t>
            </w:r>
          </w:p>
        </w:tc>
        <w:tc>
          <w:tcPr>
            <w:tcW w:w="1322" w:type="dxa"/>
            <w:shd w:val="clear" w:color="auto" w:fill="auto"/>
            <w:vAlign w:val="center"/>
          </w:tcPr>
          <w:p w14:paraId="4D98A83F">
            <w:pPr>
              <w:spacing w:line="360" w:lineRule="auto"/>
              <w:jc w:val="both"/>
              <w:rPr>
                <w:b/>
                <w:bCs/>
                <w:color w:val="auto"/>
                <w:sz w:val="21"/>
                <w:szCs w:val="21"/>
                <w:highlight w:val="none"/>
              </w:rPr>
            </w:pPr>
            <w:r>
              <w:rPr>
                <w:rFonts w:hint="eastAsia"/>
                <w:b/>
                <w:bCs/>
                <w:color w:val="auto"/>
                <w:sz w:val="21"/>
                <w:szCs w:val="21"/>
                <w:highlight w:val="none"/>
              </w:rPr>
              <w:t>信用查询</w:t>
            </w:r>
          </w:p>
        </w:tc>
        <w:tc>
          <w:tcPr>
            <w:tcW w:w="5717" w:type="dxa"/>
            <w:shd w:val="clear" w:color="auto" w:fill="auto"/>
            <w:vAlign w:val="center"/>
          </w:tcPr>
          <w:p w14:paraId="02378A8A">
            <w:pPr>
              <w:spacing w:line="360" w:lineRule="auto"/>
              <w:ind w:firstLine="422"/>
              <w:jc w:val="both"/>
              <w:rPr>
                <w:color w:val="auto"/>
                <w:sz w:val="21"/>
                <w:szCs w:val="21"/>
                <w:highlight w:val="none"/>
              </w:rPr>
            </w:pPr>
            <w:r>
              <w:rPr>
                <w:rFonts w:hint="eastAsia"/>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621676B9">
            <w:pPr>
              <w:wordWrap w:val="0"/>
              <w:spacing w:line="360" w:lineRule="auto"/>
              <w:ind w:firstLine="422"/>
              <w:jc w:val="both"/>
              <w:rPr>
                <w:color w:val="auto"/>
                <w:sz w:val="21"/>
                <w:szCs w:val="21"/>
                <w:highlight w:val="none"/>
              </w:rPr>
            </w:pPr>
            <w:r>
              <w:rPr>
                <w:rFonts w:hint="eastAsia"/>
                <w:color w:val="auto"/>
                <w:sz w:val="21"/>
                <w:szCs w:val="21"/>
                <w:highlight w:val="none"/>
              </w:rPr>
              <w:t>（1）查询渠道：“中国执行信息公开网”（</w:t>
            </w:r>
            <w:bookmarkStart w:id="9" w:name="OLE_LINK1"/>
            <w:bookmarkStart w:id="10" w:name="OLE_LINK2"/>
            <w:r>
              <w:rPr>
                <w:rFonts w:hint="eastAsia"/>
                <w:color w:val="auto"/>
                <w:sz w:val="21"/>
                <w:szCs w:val="21"/>
                <w:highlight w:val="none"/>
              </w:rPr>
              <w:t>zxgk.court.gov.cn</w:t>
            </w:r>
            <w:bookmarkEnd w:id="9"/>
            <w:bookmarkEnd w:id="10"/>
            <w:r>
              <w:rPr>
                <w:rFonts w:hint="eastAsia"/>
                <w:color w:val="auto"/>
                <w:sz w:val="21"/>
                <w:szCs w:val="21"/>
                <w:highlight w:val="none"/>
              </w:rPr>
              <w:t>/）或“信用中国”网站(www.creditchina.gov.cn)、中国政府采购网(www.ccgp.gov.cn)等；</w:t>
            </w:r>
          </w:p>
          <w:p w14:paraId="65ECCCE6">
            <w:pPr>
              <w:spacing w:line="360" w:lineRule="auto"/>
              <w:ind w:firstLine="422"/>
              <w:jc w:val="both"/>
              <w:rPr>
                <w:color w:val="auto"/>
                <w:sz w:val="21"/>
                <w:szCs w:val="21"/>
                <w:highlight w:val="none"/>
              </w:rPr>
            </w:pPr>
            <w:r>
              <w:rPr>
                <w:rFonts w:hint="eastAsia"/>
                <w:color w:val="auto"/>
                <w:sz w:val="21"/>
                <w:szCs w:val="21"/>
                <w:highlight w:val="none"/>
              </w:rPr>
              <w:t>（2）查询截止时间：成交通知书发出前；</w:t>
            </w:r>
          </w:p>
          <w:p w14:paraId="488D514D">
            <w:pPr>
              <w:spacing w:line="360" w:lineRule="auto"/>
              <w:ind w:firstLine="422"/>
              <w:jc w:val="both"/>
              <w:rPr>
                <w:color w:val="auto"/>
                <w:sz w:val="21"/>
                <w:szCs w:val="21"/>
                <w:highlight w:val="none"/>
              </w:rPr>
            </w:pPr>
            <w:r>
              <w:rPr>
                <w:rFonts w:hint="eastAsia"/>
                <w:color w:val="auto"/>
                <w:sz w:val="21"/>
                <w:szCs w:val="21"/>
                <w:highlight w:val="none"/>
              </w:rPr>
              <w:t>（3）信用信息查询记录和证据留存方式：在查询网站中直接打印查询记录，打印材料作为采购活动资料保存；</w:t>
            </w:r>
          </w:p>
          <w:p w14:paraId="3C804B6F">
            <w:pPr>
              <w:wordWrap w:val="0"/>
              <w:spacing w:line="360" w:lineRule="auto"/>
              <w:ind w:firstLine="422"/>
              <w:jc w:val="both"/>
              <w:rPr>
                <w:color w:val="auto"/>
                <w:sz w:val="21"/>
                <w:szCs w:val="21"/>
                <w:highlight w:val="none"/>
              </w:rPr>
            </w:pPr>
            <w:r>
              <w:rPr>
                <w:rFonts w:hint="eastAsia"/>
                <w:color w:val="auto"/>
                <w:sz w:val="21"/>
                <w:szCs w:val="21"/>
                <w:highlight w:val="none"/>
              </w:rPr>
              <w:t>（4）信用信息使用规则：对在“中国执行信息公开网”（zxgk.court.gov.cn/）或“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4204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35B6261E">
            <w:pPr>
              <w:spacing w:line="360" w:lineRule="auto"/>
              <w:ind w:firstLine="422"/>
              <w:jc w:val="center"/>
              <w:rPr>
                <w:color w:val="auto"/>
                <w:sz w:val="21"/>
                <w:szCs w:val="21"/>
                <w:highlight w:val="none"/>
              </w:rPr>
            </w:pPr>
            <w:r>
              <w:rPr>
                <w:rFonts w:hint="eastAsia"/>
                <w:color w:val="auto"/>
                <w:sz w:val="21"/>
                <w:szCs w:val="21"/>
                <w:highlight w:val="none"/>
              </w:rPr>
              <w:t>16</w:t>
            </w:r>
          </w:p>
        </w:tc>
        <w:tc>
          <w:tcPr>
            <w:tcW w:w="1032" w:type="dxa"/>
            <w:shd w:val="clear" w:color="auto" w:fill="auto"/>
            <w:vAlign w:val="center"/>
          </w:tcPr>
          <w:p w14:paraId="17261754">
            <w:pPr>
              <w:spacing w:line="360" w:lineRule="auto"/>
              <w:ind w:firstLine="422"/>
              <w:jc w:val="center"/>
              <w:rPr>
                <w:color w:val="auto"/>
                <w:sz w:val="21"/>
                <w:szCs w:val="21"/>
                <w:highlight w:val="none"/>
              </w:rPr>
            </w:pPr>
            <w:r>
              <w:rPr>
                <w:rFonts w:hint="eastAsia"/>
                <w:color w:val="auto"/>
                <w:sz w:val="21"/>
                <w:szCs w:val="21"/>
                <w:highlight w:val="none"/>
              </w:rPr>
              <w:t>28</w:t>
            </w:r>
          </w:p>
        </w:tc>
        <w:tc>
          <w:tcPr>
            <w:tcW w:w="1322" w:type="dxa"/>
            <w:shd w:val="clear" w:color="auto" w:fill="auto"/>
            <w:vAlign w:val="center"/>
          </w:tcPr>
          <w:p w14:paraId="72B434C1">
            <w:pPr>
              <w:spacing w:line="360" w:lineRule="auto"/>
              <w:jc w:val="both"/>
              <w:rPr>
                <w:b/>
                <w:bCs/>
                <w:color w:val="auto"/>
                <w:sz w:val="21"/>
                <w:szCs w:val="21"/>
                <w:highlight w:val="none"/>
              </w:rPr>
            </w:pPr>
            <w:r>
              <w:rPr>
                <w:rFonts w:hint="eastAsia"/>
                <w:b/>
                <w:bCs/>
                <w:color w:val="auto"/>
                <w:sz w:val="21"/>
                <w:szCs w:val="21"/>
                <w:highlight w:val="none"/>
              </w:rPr>
              <w:t>成交公告及成交通知书</w:t>
            </w:r>
          </w:p>
        </w:tc>
        <w:tc>
          <w:tcPr>
            <w:tcW w:w="5717" w:type="dxa"/>
            <w:shd w:val="clear" w:color="auto" w:fill="auto"/>
            <w:vAlign w:val="center"/>
          </w:tcPr>
          <w:p w14:paraId="41FA8235">
            <w:pPr>
              <w:spacing w:line="360" w:lineRule="auto"/>
              <w:ind w:firstLine="422"/>
              <w:jc w:val="both"/>
              <w:rPr>
                <w:color w:val="auto"/>
                <w:sz w:val="21"/>
                <w:szCs w:val="21"/>
                <w:highlight w:val="none"/>
              </w:rPr>
            </w:pPr>
            <w:r>
              <w:rPr>
                <w:rFonts w:hint="eastAsia"/>
                <w:color w:val="auto"/>
                <w:sz w:val="21"/>
                <w:szCs w:val="21"/>
                <w:highlight w:val="none"/>
              </w:rPr>
              <w:t>27.1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1D548BBB">
            <w:pPr>
              <w:spacing w:line="360" w:lineRule="auto"/>
              <w:ind w:firstLine="422"/>
              <w:jc w:val="both"/>
              <w:rPr>
                <w:color w:val="auto"/>
                <w:sz w:val="21"/>
                <w:szCs w:val="21"/>
                <w:highlight w:val="none"/>
              </w:rPr>
            </w:pPr>
            <w:r>
              <w:rPr>
                <w:rFonts w:hint="eastAsia"/>
                <w:color w:val="auto"/>
                <w:sz w:val="21"/>
                <w:szCs w:val="21"/>
                <w:highlight w:val="none"/>
              </w:rPr>
              <w:t>27.3在发布成交公告的同时，采购代理机构向成交供应商发出成交通知书。成交供应商应自接到通知之日起七个工作日内，办理成交通知书领取手续。</w:t>
            </w:r>
          </w:p>
        </w:tc>
      </w:tr>
      <w:tr w14:paraId="561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531DDEC8">
            <w:pPr>
              <w:spacing w:line="360" w:lineRule="auto"/>
              <w:ind w:firstLine="422"/>
              <w:jc w:val="center"/>
              <w:rPr>
                <w:color w:val="auto"/>
                <w:sz w:val="21"/>
                <w:szCs w:val="21"/>
                <w:highlight w:val="none"/>
              </w:rPr>
            </w:pPr>
            <w:r>
              <w:rPr>
                <w:rFonts w:hint="eastAsia"/>
                <w:color w:val="auto"/>
                <w:sz w:val="21"/>
                <w:szCs w:val="21"/>
                <w:highlight w:val="none"/>
              </w:rPr>
              <w:t>17</w:t>
            </w:r>
          </w:p>
        </w:tc>
        <w:tc>
          <w:tcPr>
            <w:tcW w:w="1032" w:type="dxa"/>
            <w:shd w:val="clear" w:color="auto" w:fill="auto"/>
            <w:vAlign w:val="center"/>
          </w:tcPr>
          <w:p w14:paraId="34F906D9">
            <w:pPr>
              <w:spacing w:line="360" w:lineRule="auto"/>
              <w:ind w:firstLine="422"/>
              <w:jc w:val="center"/>
              <w:rPr>
                <w:color w:val="auto"/>
                <w:sz w:val="21"/>
                <w:szCs w:val="21"/>
                <w:highlight w:val="none"/>
              </w:rPr>
            </w:pPr>
            <w:r>
              <w:rPr>
                <w:rFonts w:hint="eastAsia"/>
                <w:color w:val="auto"/>
                <w:sz w:val="21"/>
                <w:szCs w:val="21"/>
                <w:highlight w:val="none"/>
              </w:rPr>
              <w:t>29</w:t>
            </w:r>
          </w:p>
        </w:tc>
        <w:tc>
          <w:tcPr>
            <w:tcW w:w="1322" w:type="dxa"/>
            <w:shd w:val="clear" w:color="auto" w:fill="auto"/>
            <w:vAlign w:val="center"/>
          </w:tcPr>
          <w:p w14:paraId="576B481C">
            <w:pPr>
              <w:spacing w:line="360" w:lineRule="auto"/>
              <w:jc w:val="both"/>
              <w:rPr>
                <w:b/>
                <w:bCs/>
                <w:color w:val="auto"/>
                <w:sz w:val="21"/>
                <w:szCs w:val="21"/>
                <w:highlight w:val="none"/>
              </w:rPr>
            </w:pPr>
            <w:r>
              <w:rPr>
                <w:rFonts w:hint="eastAsia"/>
                <w:b/>
                <w:bCs/>
                <w:color w:val="auto"/>
                <w:sz w:val="21"/>
                <w:szCs w:val="21"/>
                <w:highlight w:val="none"/>
              </w:rPr>
              <w:t>履约保证金</w:t>
            </w:r>
          </w:p>
        </w:tc>
        <w:tc>
          <w:tcPr>
            <w:tcW w:w="5717" w:type="dxa"/>
            <w:shd w:val="clear" w:color="auto" w:fill="auto"/>
            <w:vAlign w:val="center"/>
          </w:tcPr>
          <w:p w14:paraId="6B12DB5F">
            <w:pPr>
              <w:spacing w:line="360" w:lineRule="auto"/>
              <w:ind w:firstLine="422" w:firstLineChars="200"/>
              <w:jc w:val="both"/>
              <w:rPr>
                <w:rFonts w:hint="eastAsia"/>
                <w:b/>
                <w:bCs/>
                <w:color w:val="auto"/>
                <w:sz w:val="21"/>
                <w:szCs w:val="21"/>
                <w:highlight w:val="none"/>
              </w:rPr>
            </w:pPr>
            <w:bookmarkStart w:id="11" w:name="OLE_LINK79"/>
            <w:bookmarkStart w:id="12" w:name="OLE_LINK77"/>
            <w:bookmarkStart w:id="13" w:name="OLE_LINK43"/>
            <w:bookmarkStart w:id="14" w:name="OLE_LINK78"/>
            <w:bookmarkStart w:id="15" w:name="OLE_LINK46"/>
            <w:bookmarkStart w:id="16" w:name="OLE_LINK73"/>
            <w:r>
              <w:rPr>
                <w:rFonts w:hint="eastAsia"/>
                <w:b/>
                <w:bCs/>
                <w:color w:val="auto"/>
                <w:sz w:val="21"/>
                <w:szCs w:val="21"/>
                <w:highlight w:val="none"/>
              </w:rPr>
              <w:t>履约保证金金额按成交价的1%（人民币，四舍五入到元）缴纳，由成交供应商在与采购人签订合同前将履约保证金以现金、支票、汇票、本票或者金融机构、担保机构出具的保函等形式提交转入采购人履约保证金专户。</w:t>
            </w:r>
            <w:bookmarkEnd w:id="11"/>
            <w:bookmarkEnd w:id="12"/>
            <w:bookmarkEnd w:id="13"/>
            <w:bookmarkEnd w:id="14"/>
            <w:bookmarkEnd w:id="15"/>
            <w:bookmarkEnd w:id="16"/>
          </w:p>
          <w:p w14:paraId="28D20FE7">
            <w:pPr>
              <w:spacing w:line="360" w:lineRule="auto"/>
              <w:ind w:firstLine="420" w:firstLineChars="200"/>
              <w:jc w:val="both"/>
              <w:rPr>
                <w:rFonts w:hint="eastAsia"/>
                <w:b/>
                <w:bCs/>
                <w:color w:val="auto"/>
                <w:sz w:val="21"/>
                <w:szCs w:val="21"/>
                <w:highlight w:val="none"/>
              </w:rPr>
            </w:pPr>
            <w:r>
              <w:rPr>
                <w:rFonts w:hint="eastAsia" w:ascii="宋体" w:hAnsi="宋体" w:eastAsia="宋体" w:cs="宋体"/>
                <w:b w:val="0"/>
                <w:bCs/>
                <w:color w:val="auto"/>
                <w:sz w:val="21"/>
                <w:szCs w:val="21"/>
                <w:highlight w:val="none"/>
              </w:rPr>
              <w:t>成交供应商履行完合同约定权利义务事项且</w:t>
            </w:r>
            <w:r>
              <w:rPr>
                <w:rFonts w:hint="eastAsia" w:ascii="宋体" w:hAnsi="宋体" w:eastAsia="宋体" w:cs="宋体"/>
                <w:b w:val="0"/>
                <w:bCs/>
                <w:color w:val="auto"/>
                <w:sz w:val="21"/>
                <w:szCs w:val="21"/>
                <w:highlight w:val="none"/>
                <w:lang w:val="en-US" w:eastAsia="zh-CN"/>
              </w:rPr>
              <w:t>验收合格后</w:t>
            </w:r>
            <w:r>
              <w:rPr>
                <w:rFonts w:hint="eastAsia" w:ascii="宋体" w:hAnsi="宋体" w:eastAsia="宋体" w:cs="宋体"/>
                <w:b w:val="0"/>
                <w:bCs/>
                <w:color w:val="auto"/>
                <w:sz w:val="21"/>
                <w:szCs w:val="21"/>
                <w:highlight w:val="none"/>
              </w:rPr>
              <w:t>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tc>
      </w:tr>
      <w:tr w14:paraId="11E5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70B3DC78">
            <w:pPr>
              <w:spacing w:line="360" w:lineRule="auto"/>
              <w:ind w:firstLine="422"/>
              <w:jc w:val="center"/>
              <w:rPr>
                <w:color w:val="auto"/>
                <w:sz w:val="21"/>
                <w:szCs w:val="21"/>
                <w:highlight w:val="none"/>
              </w:rPr>
            </w:pPr>
            <w:r>
              <w:rPr>
                <w:rFonts w:hint="eastAsia"/>
                <w:color w:val="auto"/>
                <w:sz w:val="21"/>
                <w:szCs w:val="21"/>
                <w:highlight w:val="none"/>
              </w:rPr>
              <w:t>18</w:t>
            </w:r>
          </w:p>
        </w:tc>
        <w:tc>
          <w:tcPr>
            <w:tcW w:w="1032" w:type="dxa"/>
            <w:shd w:val="clear" w:color="auto" w:fill="auto"/>
            <w:vAlign w:val="center"/>
          </w:tcPr>
          <w:p w14:paraId="71347759">
            <w:pPr>
              <w:spacing w:line="360" w:lineRule="auto"/>
              <w:ind w:firstLine="422"/>
              <w:jc w:val="center"/>
              <w:rPr>
                <w:color w:val="auto"/>
                <w:sz w:val="21"/>
                <w:szCs w:val="21"/>
                <w:highlight w:val="none"/>
              </w:rPr>
            </w:pPr>
            <w:r>
              <w:rPr>
                <w:rFonts w:hint="eastAsia"/>
                <w:color w:val="auto"/>
                <w:sz w:val="21"/>
                <w:szCs w:val="21"/>
                <w:highlight w:val="none"/>
              </w:rPr>
              <w:t>30.1</w:t>
            </w:r>
          </w:p>
        </w:tc>
        <w:tc>
          <w:tcPr>
            <w:tcW w:w="1322" w:type="dxa"/>
            <w:shd w:val="clear" w:color="auto" w:fill="auto"/>
            <w:vAlign w:val="center"/>
          </w:tcPr>
          <w:p w14:paraId="6AE314C1">
            <w:pPr>
              <w:spacing w:line="360" w:lineRule="auto"/>
              <w:jc w:val="both"/>
              <w:rPr>
                <w:b/>
                <w:bCs/>
                <w:color w:val="auto"/>
                <w:sz w:val="21"/>
                <w:szCs w:val="21"/>
                <w:highlight w:val="none"/>
              </w:rPr>
            </w:pPr>
            <w:r>
              <w:rPr>
                <w:rFonts w:hint="eastAsia"/>
                <w:b/>
                <w:bCs/>
                <w:color w:val="auto"/>
                <w:sz w:val="21"/>
                <w:szCs w:val="21"/>
                <w:highlight w:val="none"/>
              </w:rPr>
              <w:t>签订合同时间</w:t>
            </w:r>
          </w:p>
        </w:tc>
        <w:tc>
          <w:tcPr>
            <w:tcW w:w="5717" w:type="dxa"/>
            <w:shd w:val="clear" w:color="auto" w:fill="auto"/>
            <w:vAlign w:val="center"/>
          </w:tcPr>
          <w:p w14:paraId="088D4B1E">
            <w:pPr>
              <w:spacing w:line="360" w:lineRule="auto"/>
              <w:ind w:firstLine="422" w:firstLineChars="200"/>
              <w:jc w:val="both"/>
              <w:rPr>
                <w:b/>
                <w:bCs/>
                <w:color w:val="auto"/>
                <w:sz w:val="21"/>
                <w:szCs w:val="21"/>
                <w:highlight w:val="none"/>
              </w:rPr>
            </w:pPr>
            <w:r>
              <w:rPr>
                <w:rFonts w:hint="eastAsia"/>
                <w:b/>
                <w:bCs/>
                <w:color w:val="auto"/>
                <w:sz w:val="21"/>
                <w:szCs w:val="21"/>
                <w:highlight w:val="none"/>
              </w:rPr>
              <w:t>成交通知书发出之日起7日内成交供应商领取成交通知书后，应按规定与采购人签订合同。</w:t>
            </w:r>
          </w:p>
        </w:tc>
      </w:tr>
      <w:tr w14:paraId="6DD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45987437">
            <w:pPr>
              <w:spacing w:line="360" w:lineRule="auto"/>
              <w:ind w:firstLine="422"/>
              <w:jc w:val="center"/>
              <w:rPr>
                <w:color w:val="auto"/>
                <w:sz w:val="21"/>
                <w:szCs w:val="21"/>
                <w:highlight w:val="none"/>
              </w:rPr>
            </w:pPr>
            <w:r>
              <w:rPr>
                <w:rFonts w:hint="eastAsia"/>
                <w:color w:val="auto"/>
                <w:sz w:val="21"/>
                <w:szCs w:val="21"/>
                <w:highlight w:val="none"/>
              </w:rPr>
              <w:t>19</w:t>
            </w:r>
          </w:p>
        </w:tc>
        <w:tc>
          <w:tcPr>
            <w:tcW w:w="1032" w:type="dxa"/>
            <w:shd w:val="clear" w:color="auto" w:fill="auto"/>
            <w:vAlign w:val="center"/>
          </w:tcPr>
          <w:p w14:paraId="3DD46944">
            <w:pPr>
              <w:spacing w:line="360" w:lineRule="auto"/>
              <w:ind w:firstLine="422"/>
              <w:jc w:val="center"/>
              <w:rPr>
                <w:color w:val="auto"/>
                <w:sz w:val="21"/>
                <w:szCs w:val="21"/>
                <w:highlight w:val="none"/>
              </w:rPr>
            </w:pPr>
            <w:r>
              <w:rPr>
                <w:rFonts w:hint="eastAsia"/>
                <w:color w:val="auto"/>
                <w:sz w:val="21"/>
                <w:szCs w:val="21"/>
                <w:highlight w:val="none"/>
              </w:rPr>
              <w:t>30</w:t>
            </w:r>
            <w:r>
              <w:rPr>
                <w:color w:val="auto"/>
                <w:sz w:val="21"/>
                <w:szCs w:val="21"/>
                <w:highlight w:val="none"/>
              </w:rPr>
              <w:t>.3</w:t>
            </w:r>
          </w:p>
        </w:tc>
        <w:tc>
          <w:tcPr>
            <w:tcW w:w="1322" w:type="dxa"/>
            <w:shd w:val="clear" w:color="auto" w:fill="auto"/>
            <w:vAlign w:val="center"/>
          </w:tcPr>
          <w:p w14:paraId="74FD2527">
            <w:pPr>
              <w:spacing w:line="360" w:lineRule="auto"/>
              <w:jc w:val="both"/>
              <w:rPr>
                <w:b/>
                <w:bCs/>
                <w:color w:val="auto"/>
                <w:sz w:val="21"/>
                <w:szCs w:val="21"/>
                <w:highlight w:val="none"/>
              </w:rPr>
            </w:pPr>
            <w:r>
              <w:rPr>
                <w:b/>
                <w:bCs/>
                <w:color w:val="auto"/>
                <w:sz w:val="21"/>
                <w:szCs w:val="21"/>
                <w:highlight w:val="none"/>
              </w:rPr>
              <w:t>合同备案存档</w:t>
            </w:r>
          </w:p>
        </w:tc>
        <w:tc>
          <w:tcPr>
            <w:tcW w:w="5717" w:type="dxa"/>
            <w:shd w:val="clear" w:color="auto" w:fill="auto"/>
            <w:vAlign w:val="center"/>
          </w:tcPr>
          <w:p w14:paraId="385AFFAA">
            <w:pPr>
              <w:spacing w:line="360" w:lineRule="auto"/>
              <w:ind w:firstLine="420" w:firstLineChars="200"/>
              <w:jc w:val="both"/>
              <w:rPr>
                <w:color w:val="auto"/>
                <w:sz w:val="21"/>
                <w:szCs w:val="21"/>
                <w:highlight w:val="none"/>
              </w:rPr>
            </w:pPr>
            <w:r>
              <w:rPr>
                <w:color w:val="auto"/>
                <w:sz w:val="21"/>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两份合同原件送监督管理机构备案，一份由采购代理机构存档。</w:t>
            </w:r>
          </w:p>
        </w:tc>
      </w:tr>
      <w:tr w14:paraId="574F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077924EC">
            <w:pPr>
              <w:spacing w:line="360" w:lineRule="auto"/>
              <w:ind w:firstLine="422"/>
              <w:jc w:val="center"/>
              <w:rPr>
                <w:color w:val="auto"/>
                <w:sz w:val="21"/>
                <w:szCs w:val="21"/>
                <w:highlight w:val="none"/>
              </w:rPr>
            </w:pPr>
            <w:r>
              <w:rPr>
                <w:rFonts w:hint="eastAsia"/>
                <w:color w:val="auto"/>
                <w:sz w:val="21"/>
                <w:szCs w:val="21"/>
                <w:highlight w:val="none"/>
              </w:rPr>
              <w:t>20</w:t>
            </w:r>
          </w:p>
        </w:tc>
        <w:tc>
          <w:tcPr>
            <w:tcW w:w="1032" w:type="dxa"/>
            <w:shd w:val="clear" w:color="auto" w:fill="auto"/>
            <w:vAlign w:val="center"/>
          </w:tcPr>
          <w:p w14:paraId="78151138">
            <w:pPr>
              <w:spacing w:line="360" w:lineRule="auto"/>
              <w:ind w:firstLine="422"/>
              <w:jc w:val="center"/>
              <w:rPr>
                <w:color w:val="auto"/>
                <w:sz w:val="21"/>
                <w:szCs w:val="21"/>
                <w:highlight w:val="none"/>
              </w:rPr>
            </w:pPr>
            <w:r>
              <w:rPr>
                <w:color w:val="auto"/>
                <w:sz w:val="21"/>
                <w:szCs w:val="21"/>
                <w:highlight w:val="none"/>
              </w:rPr>
              <w:t>3</w:t>
            </w:r>
            <w:r>
              <w:rPr>
                <w:rFonts w:hint="eastAsia"/>
                <w:color w:val="auto"/>
                <w:sz w:val="21"/>
                <w:szCs w:val="21"/>
                <w:highlight w:val="none"/>
              </w:rPr>
              <w:t>1</w:t>
            </w:r>
            <w:r>
              <w:rPr>
                <w:color w:val="auto"/>
                <w:sz w:val="21"/>
                <w:szCs w:val="21"/>
                <w:highlight w:val="none"/>
              </w:rPr>
              <w:t>.1</w:t>
            </w:r>
          </w:p>
        </w:tc>
        <w:tc>
          <w:tcPr>
            <w:tcW w:w="1322" w:type="dxa"/>
            <w:shd w:val="clear" w:color="auto" w:fill="auto"/>
            <w:vAlign w:val="center"/>
          </w:tcPr>
          <w:p w14:paraId="1F3EAD9C">
            <w:pPr>
              <w:spacing w:line="360" w:lineRule="auto"/>
              <w:jc w:val="both"/>
              <w:rPr>
                <w:b/>
                <w:bCs/>
                <w:color w:val="auto"/>
                <w:sz w:val="21"/>
                <w:szCs w:val="21"/>
                <w:highlight w:val="none"/>
              </w:rPr>
            </w:pPr>
            <w:r>
              <w:rPr>
                <w:b/>
                <w:bCs/>
                <w:color w:val="auto"/>
                <w:sz w:val="21"/>
                <w:szCs w:val="21"/>
                <w:highlight w:val="none"/>
              </w:rPr>
              <w:t>采购代理服务费</w:t>
            </w:r>
          </w:p>
        </w:tc>
        <w:tc>
          <w:tcPr>
            <w:tcW w:w="5717" w:type="dxa"/>
            <w:shd w:val="clear" w:color="auto" w:fill="auto"/>
            <w:vAlign w:val="center"/>
          </w:tcPr>
          <w:p w14:paraId="238C1B96">
            <w:pPr>
              <w:spacing w:line="360" w:lineRule="auto"/>
              <w:ind w:firstLine="420" w:firstLineChars="200"/>
              <w:jc w:val="both"/>
              <w:rPr>
                <w:color w:val="auto"/>
                <w:sz w:val="21"/>
                <w:szCs w:val="21"/>
                <w:highlight w:val="none"/>
              </w:rPr>
            </w:pPr>
            <w:bookmarkStart w:id="17" w:name="OLE_LINK27"/>
            <w:bookmarkStart w:id="18" w:name="OLE_LINK26"/>
            <w:r>
              <w:rPr>
                <w:rFonts w:hint="eastAsia"/>
                <w:color w:val="auto"/>
                <w:sz w:val="21"/>
                <w:szCs w:val="21"/>
                <w:highlight w:val="none"/>
              </w:rPr>
              <w:t>本项目招标代理服务费由</w:t>
            </w:r>
            <w:r>
              <w:rPr>
                <w:rFonts w:hint="eastAsia"/>
                <w:color w:val="auto"/>
                <w:sz w:val="21"/>
                <w:szCs w:val="21"/>
                <w:highlight w:val="none"/>
                <w:lang w:val="en-US" w:eastAsia="zh-CN"/>
              </w:rPr>
              <w:t>采购人</w:t>
            </w:r>
            <w:r>
              <w:rPr>
                <w:rFonts w:hint="eastAsia"/>
                <w:color w:val="auto"/>
                <w:sz w:val="21"/>
                <w:szCs w:val="21"/>
                <w:highlight w:val="none"/>
              </w:rPr>
              <w:t>支付。</w:t>
            </w:r>
            <w:bookmarkEnd w:id="17"/>
            <w:bookmarkEnd w:id="18"/>
          </w:p>
        </w:tc>
      </w:tr>
      <w:tr w14:paraId="2C3B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2D626C09">
            <w:pPr>
              <w:spacing w:line="360" w:lineRule="auto"/>
              <w:ind w:firstLine="422"/>
              <w:jc w:val="center"/>
              <w:rPr>
                <w:color w:val="auto"/>
                <w:sz w:val="21"/>
                <w:szCs w:val="21"/>
                <w:highlight w:val="none"/>
              </w:rPr>
            </w:pPr>
            <w:r>
              <w:rPr>
                <w:rFonts w:hint="eastAsia"/>
                <w:color w:val="auto"/>
                <w:sz w:val="21"/>
                <w:szCs w:val="21"/>
                <w:highlight w:val="none"/>
              </w:rPr>
              <w:t>21</w:t>
            </w:r>
          </w:p>
        </w:tc>
        <w:tc>
          <w:tcPr>
            <w:tcW w:w="1032" w:type="dxa"/>
            <w:shd w:val="clear" w:color="auto" w:fill="auto"/>
            <w:vAlign w:val="center"/>
          </w:tcPr>
          <w:p w14:paraId="396591B2">
            <w:pPr>
              <w:spacing w:line="360" w:lineRule="auto"/>
              <w:ind w:firstLine="422"/>
              <w:jc w:val="center"/>
              <w:rPr>
                <w:color w:val="auto"/>
                <w:sz w:val="21"/>
                <w:szCs w:val="21"/>
                <w:highlight w:val="none"/>
              </w:rPr>
            </w:pPr>
            <w:r>
              <w:rPr>
                <w:rFonts w:hint="eastAsia"/>
                <w:color w:val="auto"/>
                <w:sz w:val="21"/>
                <w:szCs w:val="21"/>
                <w:highlight w:val="none"/>
              </w:rPr>
              <w:t>33</w:t>
            </w:r>
          </w:p>
        </w:tc>
        <w:tc>
          <w:tcPr>
            <w:tcW w:w="1322" w:type="dxa"/>
            <w:shd w:val="clear" w:color="auto" w:fill="auto"/>
            <w:vAlign w:val="center"/>
          </w:tcPr>
          <w:p w14:paraId="2F568837">
            <w:pPr>
              <w:spacing w:line="360" w:lineRule="auto"/>
              <w:jc w:val="both"/>
              <w:rPr>
                <w:b/>
                <w:bCs/>
                <w:color w:val="auto"/>
                <w:sz w:val="21"/>
                <w:szCs w:val="21"/>
                <w:highlight w:val="none"/>
              </w:rPr>
            </w:pPr>
            <w:r>
              <w:rPr>
                <w:b/>
                <w:bCs/>
                <w:color w:val="auto"/>
                <w:sz w:val="21"/>
                <w:szCs w:val="21"/>
                <w:highlight w:val="none"/>
              </w:rPr>
              <w:t>解释权</w:t>
            </w:r>
          </w:p>
        </w:tc>
        <w:tc>
          <w:tcPr>
            <w:tcW w:w="5717" w:type="dxa"/>
            <w:shd w:val="clear" w:color="auto" w:fill="auto"/>
            <w:vAlign w:val="center"/>
          </w:tcPr>
          <w:p w14:paraId="61673225">
            <w:pPr>
              <w:spacing w:line="360" w:lineRule="auto"/>
              <w:ind w:firstLine="420" w:firstLineChars="200"/>
              <w:jc w:val="both"/>
              <w:rPr>
                <w:color w:val="auto"/>
                <w:sz w:val="21"/>
                <w:szCs w:val="21"/>
                <w:highlight w:val="none"/>
              </w:rPr>
            </w:pPr>
            <w:r>
              <w:rPr>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w:t>
            </w:r>
          </w:p>
        </w:tc>
      </w:tr>
      <w:tr w14:paraId="3B28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shd w:val="clear" w:color="auto" w:fill="auto"/>
            <w:vAlign w:val="center"/>
          </w:tcPr>
          <w:p w14:paraId="284E7134">
            <w:pPr>
              <w:spacing w:line="360" w:lineRule="auto"/>
              <w:ind w:firstLine="422"/>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22</w:t>
            </w:r>
          </w:p>
        </w:tc>
        <w:tc>
          <w:tcPr>
            <w:tcW w:w="1032" w:type="dxa"/>
            <w:shd w:val="clear" w:color="auto" w:fill="auto"/>
            <w:vAlign w:val="center"/>
          </w:tcPr>
          <w:p w14:paraId="2E2BAB0A">
            <w:pPr>
              <w:spacing w:line="360" w:lineRule="auto"/>
              <w:ind w:firstLine="422"/>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34</w:t>
            </w:r>
          </w:p>
        </w:tc>
        <w:tc>
          <w:tcPr>
            <w:tcW w:w="1322" w:type="dxa"/>
            <w:shd w:val="clear" w:color="auto" w:fill="auto"/>
            <w:vAlign w:val="center"/>
          </w:tcPr>
          <w:p w14:paraId="7F709EB1">
            <w:pPr>
              <w:wordWrap w:val="0"/>
              <w:spacing w:line="440" w:lineRule="exact"/>
              <w:jc w:val="both"/>
              <w:rPr>
                <w:b/>
                <w:bCs/>
                <w:color w:val="auto"/>
                <w:sz w:val="21"/>
                <w:szCs w:val="21"/>
                <w:highlight w:val="none"/>
              </w:rPr>
            </w:pPr>
            <w:r>
              <w:rPr>
                <w:rFonts w:hint="eastAsia"/>
                <w:color w:val="auto"/>
                <w:sz w:val="21"/>
                <w:szCs w:val="21"/>
                <w:highlight w:val="none"/>
              </w:rPr>
              <w:t>监督管理机构</w:t>
            </w:r>
          </w:p>
        </w:tc>
        <w:tc>
          <w:tcPr>
            <w:tcW w:w="5717" w:type="dxa"/>
            <w:shd w:val="clear" w:color="auto" w:fill="auto"/>
            <w:vAlign w:val="center"/>
          </w:tcPr>
          <w:p w14:paraId="207A1E35">
            <w:pPr>
              <w:wordWrap w:val="0"/>
              <w:spacing w:line="440" w:lineRule="exact"/>
              <w:jc w:val="both"/>
              <w:rPr>
                <w:color w:val="auto"/>
                <w:sz w:val="21"/>
                <w:szCs w:val="21"/>
                <w:highlight w:val="none"/>
              </w:rPr>
            </w:pPr>
            <w:r>
              <w:rPr>
                <w:rFonts w:hint="eastAsia"/>
                <w:color w:val="auto"/>
                <w:sz w:val="21"/>
                <w:szCs w:val="21"/>
                <w:highlight w:val="none"/>
              </w:rPr>
              <w:t>行政监督部门：广西壮族自治区桂林公路发展中心</w:t>
            </w:r>
          </w:p>
          <w:p w14:paraId="7AA5F6D3">
            <w:pPr>
              <w:wordWrap w:val="0"/>
              <w:spacing w:line="440" w:lineRule="exact"/>
              <w:jc w:val="both"/>
              <w:rPr>
                <w:color w:val="auto"/>
                <w:sz w:val="21"/>
                <w:szCs w:val="21"/>
                <w:highlight w:val="none"/>
              </w:rPr>
            </w:pPr>
            <w:r>
              <w:rPr>
                <w:rFonts w:hint="eastAsia"/>
                <w:color w:val="auto"/>
                <w:sz w:val="21"/>
                <w:szCs w:val="21"/>
                <w:highlight w:val="none"/>
              </w:rPr>
              <w:t>行政监督地址：广西壮族自治区桂林市象山区环城南二路7号</w:t>
            </w:r>
          </w:p>
          <w:p w14:paraId="0AA4297F">
            <w:pPr>
              <w:wordWrap w:val="0"/>
              <w:spacing w:line="440" w:lineRule="exact"/>
              <w:jc w:val="both"/>
              <w:rPr>
                <w:color w:val="auto"/>
                <w:sz w:val="21"/>
                <w:szCs w:val="21"/>
                <w:highlight w:val="none"/>
              </w:rPr>
            </w:pPr>
            <w:r>
              <w:rPr>
                <w:rFonts w:hint="eastAsia"/>
                <w:color w:val="auto"/>
                <w:sz w:val="21"/>
                <w:szCs w:val="21"/>
                <w:highlight w:val="none"/>
              </w:rPr>
              <w:t>行政监督电话：0773-3843344</w:t>
            </w:r>
          </w:p>
        </w:tc>
      </w:tr>
    </w:tbl>
    <w:p w14:paraId="6FD01323">
      <w:pPr>
        <w:rPr>
          <w:color w:val="auto"/>
          <w:highlight w:val="none"/>
        </w:rPr>
      </w:pPr>
      <w:r>
        <w:rPr>
          <w:color w:val="auto"/>
          <w:highlight w:val="none"/>
        </w:rPr>
        <w:br w:type="page"/>
      </w:r>
    </w:p>
    <w:p w14:paraId="65E417AE">
      <w:pPr>
        <w:pStyle w:val="5"/>
        <w:spacing w:before="48"/>
        <w:ind w:left="0" w:right="319" w:firstLine="562"/>
        <w:jc w:val="center"/>
        <w:rPr>
          <w:color w:val="auto"/>
          <w:highlight w:val="none"/>
        </w:rPr>
      </w:pPr>
      <w:r>
        <w:rPr>
          <w:color w:val="auto"/>
          <w:highlight w:val="none"/>
        </w:rPr>
        <w:t>一、总则</w:t>
      </w:r>
    </w:p>
    <w:p w14:paraId="257022FF">
      <w:pPr>
        <w:spacing w:line="360" w:lineRule="auto"/>
        <w:ind w:firstLine="422" w:firstLineChars="200"/>
        <w:rPr>
          <w:b/>
          <w:bCs/>
          <w:color w:val="auto"/>
          <w:sz w:val="21"/>
          <w:szCs w:val="21"/>
          <w:highlight w:val="none"/>
        </w:rPr>
      </w:pPr>
      <w:r>
        <w:rPr>
          <w:rFonts w:hint="eastAsia"/>
          <w:b/>
          <w:bCs/>
          <w:color w:val="auto"/>
          <w:sz w:val="21"/>
          <w:szCs w:val="21"/>
          <w:highlight w:val="none"/>
        </w:rPr>
        <w:t>1.</w:t>
      </w:r>
      <w:r>
        <w:rPr>
          <w:b/>
          <w:bCs/>
          <w:color w:val="auto"/>
          <w:sz w:val="21"/>
          <w:szCs w:val="21"/>
          <w:highlight w:val="none"/>
        </w:rPr>
        <w:t>适应范围</w:t>
      </w:r>
    </w:p>
    <w:p w14:paraId="3E537AC5">
      <w:pPr>
        <w:spacing w:line="360" w:lineRule="auto"/>
        <w:ind w:firstLine="420" w:firstLineChars="200"/>
        <w:rPr>
          <w:color w:val="auto"/>
          <w:sz w:val="21"/>
          <w:szCs w:val="21"/>
          <w:highlight w:val="none"/>
        </w:rPr>
      </w:pPr>
      <w:r>
        <w:rPr>
          <w:rFonts w:hint="eastAsia"/>
          <w:color w:val="auto"/>
          <w:sz w:val="21"/>
          <w:szCs w:val="21"/>
          <w:highlight w:val="none"/>
        </w:rPr>
        <w:t>1.1</w:t>
      </w:r>
      <w:r>
        <w:rPr>
          <w:color w:val="auto"/>
          <w:sz w:val="21"/>
          <w:szCs w:val="21"/>
          <w:highlight w:val="none"/>
        </w:rPr>
        <w:t>项目名称及项目编号：</w:t>
      </w:r>
    </w:p>
    <w:p w14:paraId="45822841">
      <w:pPr>
        <w:spacing w:line="360" w:lineRule="auto"/>
        <w:ind w:firstLine="420" w:firstLineChars="200"/>
        <w:rPr>
          <w:color w:val="auto"/>
          <w:sz w:val="21"/>
          <w:szCs w:val="21"/>
          <w:highlight w:val="none"/>
        </w:rPr>
      </w:pPr>
      <w:r>
        <w:rPr>
          <w:color w:val="auto"/>
          <w:sz w:val="21"/>
          <w:szCs w:val="21"/>
          <w:highlight w:val="none"/>
        </w:rPr>
        <w:t>项目名称：</w:t>
      </w:r>
      <w:r>
        <w:rPr>
          <w:rFonts w:hint="eastAsia"/>
          <w:color w:val="auto"/>
          <w:sz w:val="21"/>
          <w:szCs w:val="21"/>
          <w:highlight w:val="none"/>
        </w:rPr>
        <w:t>详见“供应商须知前附表”。</w:t>
      </w:r>
    </w:p>
    <w:p w14:paraId="4BEF3ECF">
      <w:pPr>
        <w:spacing w:line="360" w:lineRule="auto"/>
        <w:ind w:firstLine="420" w:firstLineChars="200"/>
        <w:rPr>
          <w:color w:val="auto"/>
          <w:sz w:val="21"/>
          <w:szCs w:val="21"/>
          <w:highlight w:val="none"/>
        </w:rPr>
      </w:pPr>
      <w:r>
        <w:rPr>
          <w:color w:val="auto"/>
          <w:sz w:val="21"/>
          <w:szCs w:val="21"/>
          <w:highlight w:val="none"/>
        </w:rPr>
        <w:t>项目编号：</w:t>
      </w:r>
      <w:r>
        <w:rPr>
          <w:rFonts w:hint="eastAsia"/>
          <w:color w:val="auto"/>
          <w:sz w:val="21"/>
          <w:szCs w:val="21"/>
          <w:highlight w:val="none"/>
        </w:rPr>
        <w:t>详见“供应商须知前附表”。</w:t>
      </w:r>
    </w:p>
    <w:p w14:paraId="7D7470A8">
      <w:pPr>
        <w:spacing w:line="360" w:lineRule="auto"/>
        <w:ind w:firstLine="420" w:firstLineChars="200"/>
        <w:rPr>
          <w:color w:val="auto"/>
          <w:sz w:val="21"/>
          <w:szCs w:val="21"/>
          <w:highlight w:val="none"/>
        </w:rPr>
      </w:pPr>
      <w:r>
        <w:rPr>
          <w:rFonts w:hint="eastAsia"/>
          <w:color w:val="auto"/>
          <w:sz w:val="21"/>
          <w:szCs w:val="21"/>
          <w:highlight w:val="none"/>
        </w:rPr>
        <w:t>1.2</w:t>
      </w:r>
      <w:r>
        <w:rPr>
          <w:color w:val="auto"/>
          <w:sz w:val="21"/>
          <w:szCs w:val="21"/>
          <w:highlight w:val="none"/>
        </w:rPr>
        <w:t>要求工期</w:t>
      </w:r>
      <w:r>
        <w:rPr>
          <w:rFonts w:hint="eastAsia"/>
          <w:color w:val="auto"/>
          <w:sz w:val="21"/>
          <w:szCs w:val="21"/>
          <w:highlight w:val="none"/>
        </w:rPr>
        <w:t>及质量标准</w:t>
      </w:r>
      <w:r>
        <w:rPr>
          <w:color w:val="auto"/>
          <w:sz w:val="21"/>
          <w:szCs w:val="21"/>
          <w:highlight w:val="none"/>
        </w:rPr>
        <w:t>：</w:t>
      </w:r>
    </w:p>
    <w:p w14:paraId="0AFCCE5E">
      <w:pPr>
        <w:spacing w:line="360" w:lineRule="auto"/>
        <w:ind w:firstLine="420" w:firstLineChars="200"/>
        <w:rPr>
          <w:color w:val="auto"/>
          <w:sz w:val="21"/>
          <w:szCs w:val="21"/>
          <w:highlight w:val="none"/>
        </w:rPr>
      </w:pPr>
      <w:r>
        <w:rPr>
          <w:rFonts w:hint="eastAsia"/>
          <w:color w:val="auto"/>
          <w:sz w:val="21"/>
          <w:szCs w:val="21"/>
          <w:highlight w:val="none"/>
        </w:rPr>
        <w:t>要求工期：详见“供应商须知前附表”。</w:t>
      </w:r>
    </w:p>
    <w:p w14:paraId="6D821EB1">
      <w:pPr>
        <w:spacing w:line="360" w:lineRule="auto"/>
        <w:ind w:firstLine="420" w:firstLineChars="200"/>
        <w:rPr>
          <w:color w:val="auto"/>
          <w:sz w:val="21"/>
          <w:szCs w:val="21"/>
          <w:highlight w:val="none"/>
        </w:rPr>
      </w:pPr>
      <w:r>
        <w:rPr>
          <w:rFonts w:hint="eastAsia"/>
          <w:color w:val="auto"/>
          <w:sz w:val="21"/>
          <w:szCs w:val="21"/>
          <w:highlight w:val="none"/>
        </w:rPr>
        <w:t>质量标准：详见“供应商须知前附表”。</w:t>
      </w:r>
    </w:p>
    <w:p w14:paraId="46B1D7B6">
      <w:pPr>
        <w:spacing w:line="360" w:lineRule="auto"/>
        <w:ind w:firstLine="420" w:firstLineChars="200"/>
        <w:rPr>
          <w:color w:val="auto"/>
          <w:sz w:val="21"/>
          <w:szCs w:val="21"/>
          <w:highlight w:val="none"/>
        </w:rPr>
      </w:pPr>
      <w:r>
        <w:rPr>
          <w:rFonts w:hint="eastAsia"/>
          <w:color w:val="auto"/>
          <w:sz w:val="21"/>
          <w:szCs w:val="21"/>
          <w:highlight w:val="none"/>
        </w:rPr>
        <w:t>1.3</w:t>
      </w:r>
      <w:r>
        <w:rPr>
          <w:color w:val="auto"/>
          <w:sz w:val="21"/>
          <w:szCs w:val="21"/>
          <w:highlight w:val="none"/>
        </w:rPr>
        <w:t>本竞争性磋商文件（以下简称磋商文件）适用于本磋商项目的磋商、评审、合同履约、验收、付款等行为（法律、法规另有规定的，从其规定）。</w:t>
      </w:r>
    </w:p>
    <w:p w14:paraId="63496F85">
      <w:pPr>
        <w:spacing w:line="360" w:lineRule="auto"/>
        <w:ind w:firstLine="422" w:firstLineChars="200"/>
        <w:rPr>
          <w:b/>
          <w:bCs/>
          <w:color w:val="auto"/>
          <w:sz w:val="21"/>
          <w:szCs w:val="21"/>
          <w:highlight w:val="none"/>
        </w:rPr>
      </w:pPr>
      <w:r>
        <w:rPr>
          <w:rFonts w:hint="eastAsia"/>
          <w:b/>
          <w:bCs/>
          <w:color w:val="auto"/>
          <w:sz w:val="21"/>
          <w:szCs w:val="21"/>
          <w:highlight w:val="none"/>
        </w:rPr>
        <w:t>2.</w:t>
      </w:r>
      <w:r>
        <w:rPr>
          <w:b/>
          <w:bCs/>
          <w:color w:val="auto"/>
          <w:sz w:val="21"/>
          <w:szCs w:val="21"/>
          <w:highlight w:val="none"/>
        </w:rPr>
        <w:t>定义</w:t>
      </w:r>
    </w:p>
    <w:p w14:paraId="046A4FF0">
      <w:pPr>
        <w:spacing w:line="360" w:lineRule="auto"/>
        <w:ind w:firstLine="420" w:firstLineChars="200"/>
        <w:rPr>
          <w:color w:val="auto"/>
          <w:sz w:val="21"/>
          <w:szCs w:val="21"/>
          <w:highlight w:val="none"/>
        </w:rPr>
      </w:pPr>
      <w:r>
        <w:rPr>
          <w:rFonts w:hint="eastAsia"/>
          <w:color w:val="auto"/>
          <w:sz w:val="21"/>
          <w:szCs w:val="21"/>
          <w:highlight w:val="none"/>
        </w:rPr>
        <w:t>2.1</w:t>
      </w:r>
      <w:r>
        <w:rPr>
          <w:color w:val="auto"/>
          <w:sz w:val="21"/>
          <w:szCs w:val="21"/>
          <w:highlight w:val="none"/>
        </w:rPr>
        <w:t>“供应商”：是指符合本次采购项目的供应商资格并提交响应文件、参加磋商的供应商。如果该供应商在本次磋商中成交，即成为“成交供应商”。</w:t>
      </w:r>
    </w:p>
    <w:p w14:paraId="32230836">
      <w:pPr>
        <w:spacing w:line="360" w:lineRule="auto"/>
        <w:ind w:firstLine="420" w:firstLineChars="200"/>
        <w:rPr>
          <w:color w:val="auto"/>
          <w:sz w:val="21"/>
          <w:szCs w:val="21"/>
          <w:highlight w:val="none"/>
        </w:rPr>
      </w:pPr>
      <w:r>
        <w:rPr>
          <w:rFonts w:hint="eastAsia"/>
          <w:color w:val="auto"/>
          <w:sz w:val="21"/>
          <w:szCs w:val="21"/>
          <w:highlight w:val="none"/>
        </w:rPr>
        <w:t>2.2</w:t>
      </w:r>
      <w:r>
        <w:rPr>
          <w:color w:val="auto"/>
          <w:sz w:val="21"/>
          <w:szCs w:val="21"/>
          <w:highlight w:val="none"/>
        </w:rPr>
        <w:t>“项目”：系指供应商按磋商文件规定向采购人提供的</w:t>
      </w:r>
      <w:r>
        <w:rPr>
          <w:rFonts w:hint="eastAsia"/>
          <w:color w:val="auto"/>
          <w:sz w:val="21"/>
          <w:szCs w:val="21"/>
          <w:highlight w:val="none"/>
        </w:rPr>
        <w:t>工程和</w:t>
      </w:r>
      <w:r>
        <w:rPr>
          <w:color w:val="auto"/>
          <w:sz w:val="21"/>
          <w:szCs w:val="21"/>
          <w:highlight w:val="none"/>
        </w:rPr>
        <w:t>服务。</w:t>
      </w:r>
    </w:p>
    <w:p w14:paraId="5DC4C8E9">
      <w:pPr>
        <w:spacing w:line="360" w:lineRule="auto"/>
        <w:ind w:firstLine="420" w:firstLineChars="200"/>
        <w:rPr>
          <w:color w:val="auto"/>
          <w:sz w:val="21"/>
          <w:szCs w:val="21"/>
          <w:highlight w:val="none"/>
        </w:rPr>
      </w:pPr>
      <w:r>
        <w:rPr>
          <w:rFonts w:hint="eastAsia"/>
          <w:color w:val="auto"/>
          <w:sz w:val="21"/>
          <w:szCs w:val="21"/>
          <w:highlight w:val="none"/>
        </w:rPr>
        <w:t>2.3</w:t>
      </w:r>
      <w:r>
        <w:rPr>
          <w:color w:val="auto"/>
          <w:sz w:val="21"/>
          <w:szCs w:val="21"/>
          <w:highlight w:val="none"/>
        </w:rPr>
        <w:t>“书面形式”：包括信函、传真、电报等。</w:t>
      </w:r>
    </w:p>
    <w:p w14:paraId="03A3B699">
      <w:pPr>
        <w:spacing w:line="360" w:lineRule="auto"/>
        <w:ind w:firstLine="420" w:firstLineChars="200"/>
        <w:rPr>
          <w:color w:val="auto"/>
          <w:sz w:val="21"/>
          <w:szCs w:val="21"/>
          <w:highlight w:val="none"/>
        </w:rPr>
      </w:pPr>
      <w:r>
        <w:rPr>
          <w:rFonts w:hint="eastAsia"/>
          <w:color w:val="auto"/>
          <w:sz w:val="21"/>
          <w:szCs w:val="21"/>
          <w:highlight w:val="none"/>
        </w:rPr>
        <w:t>2.4</w:t>
      </w:r>
      <w:r>
        <w:rPr>
          <w:color w:val="auto"/>
          <w:sz w:val="21"/>
          <w:szCs w:val="21"/>
          <w:highlight w:val="none"/>
        </w:rPr>
        <w:t>“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4D3AAD74">
      <w:pPr>
        <w:spacing w:line="360" w:lineRule="auto"/>
        <w:ind w:firstLine="422" w:firstLineChars="200"/>
        <w:rPr>
          <w:b/>
          <w:bCs/>
          <w:color w:val="auto"/>
          <w:sz w:val="21"/>
          <w:szCs w:val="21"/>
          <w:highlight w:val="none"/>
        </w:rPr>
      </w:pPr>
      <w:r>
        <w:rPr>
          <w:rFonts w:hint="eastAsia"/>
          <w:b/>
          <w:bCs/>
          <w:color w:val="auto"/>
          <w:sz w:val="21"/>
          <w:szCs w:val="21"/>
          <w:highlight w:val="none"/>
        </w:rPr>
        <w:t>2.5</w:t>
      </w:r>
      <w:r>
        <w:rPr>
          <w:b/>
          <w:bCs/>
          <w:color w:val="auto"/>
          <w:sz w:val="21"/>
          <w:szCs w:val="21"/>
          <w:highlight w:val="none"/>
        </w:rPr>
        <w:t>实质性要求：</w:t>
      </w:r>
      <w:r>
        <w:rPr>
          <w:rFonts w:hint="eastAsia"/>
          <w:b/>
          <w:bCs/>
          <w:color w:val="auto"/>
          <w:sz w:val="21"/>
          <w:szCs w:val="21"/>
          <w:highlight w:val="none"/>
        </w:rPr>
        <w:t>“采购需求”中的所有内容均为实质性要求。</w:t>
      </w:r>
    </w:p>
    <w:p w14:paraId="4FEEB778">
      <w:pPr>
        <w:spacing w:line="360" w:lineRule="auto"/>
        <w:ind w:firstLine="422" w:firstLineChars="200"/>
        <w:rPr>
          <w:color w:val="auto"/>
          <w:sz w:val="21"/>
          <w:szCs w:val="21"/>
          <w:highlight w:val="none"/>
        </w:rPr>
      </w:pPr>
      <w:r>
        <w:rPr>
          <w:rFonts w:hint="eastAsia"/>
          <w:b/>
          <w:bCs/>
          <w:color w:val="auto"/>
          <w:sz w:val="21"/>
          <w:szCs w:val="21"/>
          <w:highlight w:val="none"/>
        </w:rPr>
        <w:t>3.</w:t>
      </w:r>
      <w:r>
        <w:rPr>
          <w:b/>
          <w:bCs/>
          <w:color w:val="auto"/>
          <w:sz w:val="21"/>
          <w:szCs w:val="21"/>
          <w:highlight w:val="none"/>
        </w:rPr>
        <w:t>供应商资格</w:t>
      </w:r>
    </w:p>
    <w:p w14:paraId="6FB9ADBB">
      <w:pPr>
        <w:spacing w:line="360" w:lineRule="auto"/>
        <w:ind w:firstLine="420" w:firstLineChars="200"/>
        <w:rPr>
          <w:b/>
          <w:bCs/>
          <w:color w:val="auto"/>
          <w:sz w:val="21"/>
          <w:szCs w:val="21"/>
          <w:highlight w:val="none"/>
        </w:rPr>
      </w:pPr>
      <w:r>
        <w:rPr>
          <w:rFonts w:hint="eastAsia"/>
          <w:color w:val="auto"/>
          <w:sz w:val="21"/>
          <w:szCs w:val="21"/>
          <w:highlight w:val="none"/>
        </w:rPr>
        <w:t>详见“供应商须知前附表”。</w:t>
      </w:r>
    </w:p>
    <w:p w14:paraId="3D92E100">
      <w:pPr>
        <w:spacing w:line="360" w:lineRule="auto"/>
        <w:ind w:firstLine="422" w:firstLineChars="200"/>
        <w:rPr>
          <w:b/>
          <w:bCs/>
          <w:color w:val="auto"/>
          <w:sz w:val="21"/>
          <w:szCs w:val="21"/>
          <w:highlight w:val="none"/>
        </w:rPr>
      </w:pPr>
      <w:r>
        <w:rPr>
          <w:rFonts w:hint="eastAsia"/>
          <w:b/>
          <w:bCs/>
          <w:color w:val="auto"/>
          <w:sz w:val="21"/>
          <w:szCs w:val="21"/>
          <w:highlight w:val="none"/>
        </w:rPr>
        <w:t>4</w:t>
      </w:r>
      <w:r>
        <w:rPr>
          <w:b/>
          <w:bCs/>
          <w:color w:val="auto"/>
          <w:sz w:val="21"/>
          <w:szCs w:val="21"/>
          <w:highlight w:val="none"/>
        </w:rPr>
        <w:t>.参与电子竞标的准备工作</w:t>
      </w:r>
    </w:p>
    <w:p w14:paraId="70EF6812">
      <w:pPr>
        <w:spacing w:line="360" w:lineRule="auto"/>
        <w:ind w:firstLine="420" w:firstLineChars="200"/>
        <w:rPr>
          <w:color w:val="auto"/>
          <w:sz w:val="21"/>
          <w:szCs w:val="21"/>
          <w:highlight w:val="none"/>
        </w:rPr>
      </w:pPr>
      <w:r>
        <w:rPr>
          <w:rFonts w:hint="eastAsia"/>
          <w:color w:val="auto"/>
          <w:sz w:val="21"/>
          <w:szCs w:val="21"/>
          <w:highlight w:val="none"/>
        </w:rPr>
        <w:t>4.1</w:t>
      </w:r>
      <w:r>
        <w:rPr>
          <w:color w:val="auto"/>
          <w:sz w:val="21"/>
          <w:szCs w:val="21"/>
          <w:highlight w:val="none"/>
        </w:rPr>
        <w:t>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证书）。因供应商未做好相关准备工作等自身原因导致无法参加本项目电子竞标或竞标失败的，造成的一切后果，由供应商自行承担。</w:t>
      </w:r>
    </w:p>
    <w:p w14:paraId="7436C648">
      <w:pPr>
        <w:spacing w:line="360" w:lineRule="auto"/>
        <w:ind w:firstLine="420" w:firstLineChars="200"/>
        <w:rPr>
          <w:color w:val="auto"/>
          <w:sz w:val="21"/>
          <w:szCs w:val="21"/>
          <w:highlight w:val="none"/>
        </w:rPr>
      </w:pPr>
      <w:r>
        <w:rPr>
          <w:rFonts w:hint="eastAsia"/>
          <w:color w:val="auto"/>
          <w:sz w:val="21"/>
          <w:szCs w:val="21"/>
          <w:highlight w:val="none"/>
        </w:rPr>
        <w:t>4.2</w:t>
      </w:r>
      <w:r>
        <w:rPr>
          <w:color w:val="auto"/>
          <w:sz w:val="21"/>
          <w:szCs w:val="21"/>
          <w:highlight w:val="none"/>
        </w:rPr>
        <w:t>电子竞标具体操作流程参考《政府采购项目电子交易管理操作指南-供应商》（详见桂林市政</w:t>
      </w:r>
    </w:p>
    <w:p w14:paraId="5C8C954F">
      <w:pPr>
        <w:spacing w:line="360" w:lineRule="auto"/>
        <w:ind w:firstLine="420" w:firstLineChars="200"/>
        <w:rPr>
          <w:color w:val="auto"/>
          <w:sz w:val="21"/>
          <w:szCs w:val="21"/>
          <w:highlight w:val="none"/>
        </w:rPr>
      </w:pPr>
      <w:r>
        <w:rPr>
          <w:color w:val="auto"/>
          <w:sz w:val="21"/>
          <w:szCs w:val="21"/>
          <w:highlight w:val="none"/>
        </w:rPr>
        <w:t>府采购网—采购资讯—重要通知）；如遇平台技术问题详询95763。</w:t>
      </w:r>
    </w:p>
    <w:p w14:paraId="7A1C55DA">
      <w:pPr>
        <w:spacing w:line="360" w:lineRule="auto"/>
        <w:ind w:firstLine="420" w:firstLineChars="200"/>
        <w:rPr>
          <w:color w:val="auto"/>
          <w:sz w:val="21"/>
          <w:szCs w:val="21"/>
          <w:highlight w:val="none"/>
        </w:rPr>
      </w:pPr>
      <w:r>
        <w:rPr>
          <w:rFonts w:hint="eastAsia"/>
          <w:color w:val="auto"/>
          <w:sz w:val="21"/>
          <w:szCs w:val="21"/>
          <w:highlight w:val="none"/>
        </w:rPr>
        <w:t>4.3</w:t>
      </w:r>
      <w:r>
        <w:rPr>
          <w:color w:val="auto"/>
          <w:sz w:val="21"/>
          <w:szCs w:val="21"/>
          <w:highlight w:val="none"/>
        </w:rPr>
        <w:t>不论磋商结果如何，供应商均应自行承担所有与磋商有关的全部费用。</w:t>
      </w:r>
    </w:p>
    <w:p w14:paraId="51CBCA55">
      <w:pPr>
        <w:spacing w:line="360" w:lineRule="auto"/>
        <w:ind w:firstLine="422" w:firstLineChars="200"/>
        <w:rPr>
          <w:b/>
          <w:bCs/>
          <w:color w:val="auto"/>
          <w:sz w:val="21"/>
          <w:szCs w:val="21"/>
          <w:highlight w:val="none"/>
        </w:rPr>
      </w:pPr>
      <w:r>
        <w:rPr>
          <w:rFonts w:hint="eastAsia"/>
          <w:b/>
          <w:bCs/>
          <w:color w:val="auto"/>
          <w:sz w:val="21"/>
          <w:szCs w:val="21"/>
          <w:highlight w:val="none"/>
        </w:rPr>
        <w:t>5.</w:t>
      </w:r>
      <w:r>
        <w:rPr>
          <w:b/>
          <w:bCs/>
          <w:color w:val="auto"/>
          <w:sz w:val="21"/>
          <w:szCs w:val="21"/>
          <w:highlight w:val="none"/>
        </w:rPr>
        <w:t>联合体要求：</w:t>
      </w:r>
    </w:p>
    <w:p w14:paraId="406E2BC9">
      <w:pPr>
        <w:spacing w:line="360" w:lineRule="auto"/>
        <w:ind w:firstLine="420" w:firstLineChars="200"/>
        <w:rPr>
          <w:color w:val="auto"/>
          <w:sz w:val="21"/>
          <w:szCs w:val="21"/>
          <w:highlight w:val="none"/>
        </w:rPr>
      </w:pPr>
      <w:r>
        <w:rPr>
          <w:color w:val="auto"/>
          <w:sz w:val="21"/>
          <w:szCs w:val="21"/>
          <w:highlight w:val="none"/>
        </w:rPr>
        <w:t>本项目不接受联合体参与磋商。</w:t>
      </w:r>
    </w:p>
    <w:p w14:paraId="76CC91E0">
      <w:pPr>
        <w:spacing w:line="360" w:lineRule="auto"/>
        <w:ind w:firstLine="422" w:firstLineChars="200"/>
        <w:rPr>
          <w:b/>
          <w:bCs/>
          <w:color w:val="auto"/>
          <w:sz w:val="21"/>
          <w:szCs w:val="21"/>
          <w:highlight w:val="none"/>
        </w:rPr>
      </w:pPr>
      <w:r>
        <w:rPr>
          <w:b/>
          <w:bCs/>
          <w:color w:val="auto"/>
          <w:sz w:val="21"/>
          <w:szCs w:val="21"/>
          <w:highlight w:val="none"/>
        </w:rPr>
        <w:t>6.质疑和投诉</w:t>
      </w:r>
    </w:p>
    <w:p w14:paraId="09C48D62">
      <w:pPr>
        <w:spacing w:line="360" w:lineRule="auto"/>
        <w:ind w:firstLine="420" w:firstLineChars="200"/>
        <w:rPr>
          <w:color w:val="auto"/>
          <w:sz w:val="21"/>
          <w:szCs w:val="21"/>
          <w:highlight w:val="none"/>
        </w:rPr>
      </w:pPr>
      <w:r>
        <w:rPr>
          <w:rFonts w:hint="eastAsia"/>
          <w:color w:val="auto"/>
          <w:sz w:val="21"/>
          <w:szCs w:val="21"/>
          <w:highlight w:val="none"/>
        </w:rPr>
        <w:t>6.1</w:t>
      </w:r>
      <w:r>
        <w:rPr>
          <w:color w:val="auto"/>
          <w:sz w:val="21"/>
          <w:szCs w:val="21"/>
          <w:highlight w:val="none"/>
        </w:rPr>
        <w:t>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409A7E36">
      <w:pPr>
        <w:spacing w:line="360" w:lineRule="auto"/>
        <w:ind w:firstLine="420" w:firstLineChars="200"/>
        <w:rPr>
          <w:color w:val="auto"/>
          <w:sz w:val="21"/>
          <w:szCs w:val="21"/>
          <w:highlight w:val="none"/>
        </w:rPr>
      </w:pPr>
      <w:r>
        <w:rPr>
          <w:color w:val="auto"/>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47158484">
      <w:pPr>
        <w:spacing w:line="360" w:lineRule="auto"/>
        <w:ind w:firstLine="420" w:firstLineChars="200"/>
        <w:rPr>
          <w:color w:val="auto"/>
          <w:sz w:val="21"/>
          <w:szCs w:val="21"/>
          <w:highlight w:val="none"/>
        </w:rPr>
      </w:pPr>
      <w:r>
        <w:rPr>
          <w:color w:val="auto"/>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r>
        <w:rPr>
          <w:rFonts w:hint="eastAsia"/>
          <w:color w:val="auto"/>
          <w:sz w:val="21"/>
          <w:szCs w:val="21"/>
          <w:highlight w:val="none"/>
        </w:rPr>
        <w:t>（</w:t>
      </w:r>
      <w:r>
        <w:rPr>
          <w:rFonts w:hint="eastAsia"/>
          <w:b/>
          <w:bCs/>
          <w:color w:val="auto"/>
          <w:sz w:val="21"/>
          <w:szCs w:val="21"/>
          <w:highlight w:val="none"/>
        </w:rPr>
        <w:t>“质疑函”格式详见附表1</w:t>
      </w:r>
      <w:r>
        <w:rPr>
          <w:rFonts w:hint="eastAsia"/>
          <w:color w:val="auto"/>
          <w:sz w:val="21"/>
          <w:szCs w:val="21"/>
          <w:highlight w:val="none"/>
        </w:rPr>
        <w:t>）</w:t>
      </w:r>
    </w:p>
    <w:p w14:paraId="009107E1">
      <w:pPr>
        <w:spacing w:line="360" w:lineRule="auto"/>
        <w:ind w:firstLine="420" w:firstLineChars="200"/>
        <w:rPr>
          <w:color w:val="auto"/>
          <w:sz w:val="21"/>
          <w:szCs w:val="21"/>
          <w:highlight w:val="none"/>
        </w:rPr>
      </w:pPr>
      <w:r>
        <w:rPr>
          <w:rFonts w:hint="eastAsia"/>
          <w:color w:val="auto"/>
          <w:sz w:val="21"/>
          <w:szCs w:val="21"/>
          <w:highlight w:val="none"/>
        </w:rPr>
        <w:t>6.2</w:t>
      </w:r>
      <w:r>
        <w:rPr>
          <w:color w:val="auto"/>
          <w:sz w:val="21"/>
          <w:szCs w:val="21"/>
          <w:highlight w:val="none"/>
        </w:rPr>
        <w:t>供应商对采购代理机构的质疑答复不满意或者采购代理机构未在规定的时间内作出答复的，可以在答复期满后十五个工作日内向行政监督管理机构投诉。</w:t>
      </w:r>
      <w:r>
        <w:rPr>
          <w:rFonts w:hint="eastAsia"/>
          <w:color w:val="auto"/>
          <w:sz w:val="21"/>
          <w:szCs w:val="21"/>
          <w:highlight w:val="none"/>
        </w:rPr>
        <w:t>（</w:t>
      </w:r>
      <w:r>
        <w:rPr>
          <w:rFonts w:hint="eastAsia"/>
          <w:b/>
          <w:bCs/>
          <w:color w:val="auto"/>
          <w:sz w:val="21"/>
          <w:szCs w:val="21"/>
          <w:highlight w:val="none"/>
        </w:rPr>
        <w:t>“投诉函”格式详见附表2</w:t>
      </w:r>
      <w:r>
        <w:rPr>
          <w:rFonts w:hint="eastAsia"/>
          <w:color w:val="auto"/>
          <w:sz w:val="21"/>
          <w:szCs w:val="21"/>
          <w:highlight w:val="none"/>
        </w:rPr>
        <w:t>）</w:t>
      </w:r>
    </w:p>
    <w:p w14:paraId="3247378A">
      <w:pPr>
        <w:spacing w:line="360" w:lineRule="auto"/>
        <w:ind w:firstLine="420" w:firstLineChars="200"/>
        <w:rPr>
          <w:color w:val="auto"/>
          <w:sz w:val="21"/>
          <w:szCs w:val="21"/>
          <w:highlight w:val="none"/>
        </w:rPr>
      </w:pPr>
      <w:r>
        <w:rPr>
          <w:rFonts w:hint="eastAsia"/>
          <w:color w:val="auto"/>
          <w:sz w:val="21"/>
          <w:szCs w:val="21"/>
          <w:highlight w:val="none"/>
        </w:rPr>
        <w:t>6.3</w:t>
      </w:r>
      <w:r>
        <w:rPr>
          <w:color w:val="auto"/>
          <w:sz w:val="21"/>
          <w:szCs w:val="21"/>
          <w:highlight w:val="none"/>
        </w:rPr>
        <w:t>质疑、投诉应当采用书面形式，质疑书、投诉书实行实名制，均应明确阐述磋商文件、磋商过程或成交结果中使自己合法权益受到损害的实质性内容，并提供必要的证明材料。</w:t>
      </w:r>
    </w:p>
    <w:p w14:paraId="0FC0892C">
      <w:pPr>
        <w:spacing w:line="360" w:lineRule="auto"/>
        <w:ind w:firstLine="420" w:firstLineChars="200"/>
        <w:rPr>
          <w:color w:val="auto"/>
          <w:sz w:val="21"/>
          <w:szCs w:val="21"/>
          <w:highlight w:val="none"/>
        </w:rPr>
      </w:pPr>
      <w:r>
        <w:rPr>
          <w:color w:val="auto"/>
          <w:sz w:val="21"/>
          <w:szCs w:val="21"/>
          <w:highlight w:val="none"/>
        </w:rPr>
        <w:t>供应商提出质疑应当提交质疑函和必要的证明材料，针对同一采购程序环节的质疑必须在法定质疑期内一次性提出。质疑函应当包括下列内容：</w:t>
      </w:r>
    </w:p>
    <w:p w14:paraId="0847FB9F">
      <w:pPr>
        <w:spacing w:line="360" w:lineRule="auto"/>
        <w:ind w:firstLine="420" w:firstLineChars="200"/>
        <w:rPr>
          <w:color w:val="auto"/>
          <w:sz w:val="21"/>
          <w:szCs w:val="21"/>
          <w:highlight w:val="none"/>
        </w:rPr>
      </w:pPr>
      <w:r>
        <w:rPr>
          <w:rFonts w:hint="eastAsia"/>
          <w:color w:val="auto"/>
          <w:sz w:val="21"/>
          <w:szCs w:val="21"/>
          <w:highlight w:val="none"/>
        </w:rPr>
        <w:t>（1）</w:t>
      </w:r>
      <w:r>
        <w:rPr>
          <w:color w:val="auto"/>
          <w:sz w:val="21"/>
          <w:szCs w:val="21"/>
          <w:highlight w:val="none"/>
        </w:rPr>
        <w:t>供应商的姓名或者名称、地址、邮编、联系人及联系电话；</w:t>
      </w:r>
    </w:p>
    <w:p w14:paraId="0DDEFC6C">
      <w:pPr>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质疑项目的名称、编号；</w:t>
      </w:r>
    </w:p>
    <w:p w14:paraId="537D34A3">
      <w:pPr>
        <w:spacing w:line="360" w:lineRule="auto"/>
        <w:ind w:firstLine="420" w:firstLineChars="200"/>
        <w:rPr>
          <w:color w:val="auto"/>
          <w:sz w:val="21"/>
          <w:szCs w:val="21"/>
          <w:highlight w:val="none"/>
        </w:rPr>
      </w:pPr>
      <w:r>
        <w:rPr>
          <w:rFonts w:hint="eastAsia"/>
          <w:color w:val="auto"/>
          <w:sz w:val="21"/>
          <w:szCs w:val="21"/>
          <w:highlight w:val="none"/>
        </w:rPr>
        <w:t>（3）</w:t>
      </w:r>
      <w:r>
        <w:rPr>
          <w:color w:val="auto"/>
          <w:sz w:val="21"/>
          <w:szCs w:val="21"/>
          <w:highlight w:val="none"/>
        </w:rPr>
        <w:t>具体、明确的质疑事项和与质疑事项相关的请求；</w:t>
      </w:r>
    </w:p>
    <w:p w14:paraId="0D5DB1D7">
      <w:pPr>
        <w:spacing w:line="360" w:lineRule="auto"/>
        <w:ind w:firstLine="420" w:firstLineChars="200"/>
        <w:rPr>
          <w:color w:val="auto"/>
          <w:sz w:val="21"/>
          <w:szCs w:val="21"/>
          <w:highlight w:val="none"/>
        </w:rPr>
      </w:pPr>
      <w:r>
        <w:rPr>
          <w:rFonts w:hint="eastAsia"/>
          <w:color w:val="auto"/>
          <w:sz w:val="21"/>
          <w:szCs w:val="21"/>
          <w:highlight w:val="none"/>
        </w:rPr>
        <w:t>（4）</w:t>
      </w:r>
      <w:r>
        <w:rPr>
          <w:color w:val="auto"/>
          <w:sz w:val="21"/>
          <w:szCs w:val="21"/>
          <w:highlight w:val="none"/>
        </w:rPr>
        <w:t>事实依据；</w:t>
      </w:r>
    </w:p>
    <w:p w14:paraId="1F2B5240">
      <w:pPr>
        <w:spacing w:line="360" w:lineRule="auto"/>
        <w:ind w:firstLine="420" w:firstLineChars="200"/>
        <w:rPr>
          <w:color w:val="auto"/>
          <w:sz w:val="21"/>
          <w:szCs w:val="21"/>
          <w:highlight w:val="none"/>
        </w:rPr>
      </w:pPr>
      <w:r>
        <w:rPr>
          <w:rFonts w:hint="eastAsia"/>
          <w:color w:val="auto"/>
          <w:sz w:val="21"/>
          <w:szCs w:val="21"/>
          <w:highlight w:val="none"/>
        </w:rPr>
        <w:t>（5）</w:t>
      </w:r>
      <w:r>
        <w:rPr>
          <w:color w:val="auto"/>
          <w:sz w:val="21"/>
          <w:szCs w:val="21"/>
          <w:highlight w:val="none"/>
        </w:rPr>
        <w:t>必要的法律依据；</w:t>
      </w:r>
    </w:p>
    <w:p w14:paraId="5319F445">
      <w:pPr>
        <w:spacing w:line="360" w:lineRule="auto"/>
        <w:ind w:firstLine="420" w:firstLineChars="200"/>
        <w:rPr>
          <w:color w:val="auto"/>
          <w:sz w:val="21"/>
          <w:szCs w:val="21"/>
          <w:highlight w:val="none"/>
        </w:rPr>
      </w:pPr>
      <w:r>
        <w:rPr>
          <w:rFonts w:hint="eastAsia"/>
          <w:color w:val="auto"/>
          <w:sz w:val="21"/>
          <w:szCs w:val="21"/>
          <w:highlight w:val="none"/>
        </w:rPr>
        <w:t>（6）</w:t>
      </w:r>
      <w:r>
        <w:rPr>
          <w:color w:val="auto"/>
          <w:sz w:val="21"/>
          <w:szCs w:val="21"/>
          <w:highlight w:val="none"/>
        </w:rPr>
        <w:t>提出质疑的日期。</w:t>
      </w:r>
    </w:p>
    <w:p w14:paraId="7F40492A">
      <w:pPr>
        <w:spacing w:line="360" w:lineRule="auto"/>
        <w:ind w:firstLine="420" w:firstLineChars="200"/>
        <w:rPr>
          <w:color w:val="auto"/>
          <w:sz w:val="21"/>
          <w:szCs w:val="21"/>
          <w:highlight w:val="none"/>
        </w:rPr>
      </w:pPr>
      <w:r>
        <w:rPr>
          <w:color w:val="auto"/>
          <w:sz w:val="21"/>
          <w:szCs w:val="21"/>
          <w:highlight w:val="none"/>
        </w:rPr>
        <w:t>供应商为自然人的，应当由本人签字；供应商为法人或者其他组织的，应当由法定代表人、主要负责人，或者其授权代表签字或者盖章，并加盖公章。</w:t>
      </w:r>
    </w:p>
    <w:p w14:paraId="48D19E6A">
      <w:pPr>
        <w:spacing w:line="360" w:lineRule="auto"/>
        <w:ind w:firstLine="420" w:firstLineChars="200"/>
        <w:rPr>
          <w:color w:val="auto"/>
          <w:sz w:val="21"/>
          <w:szCs w:val="21"/>
          <w:highlight w:val="none"/>
        </w:rPr>
      </w:pPr>
      <w:r>
        <w:rPr>
          <w:color w:val="auto"/>
          <w:sz w:val="21"/>
          <w:szCs w:val="21"/>
          <w:highlight w:val="none"/>
        </w:rPr>
        <w:t>接收质疑函方式：以书面形式</w:t>
      </w:r>
    </w:p>
    <w:p w14:paraId="45E110A3">
      <w:pPr>
        <w:spacing w:line="360" w:lineRule="auto"/>
        <w:ind w:firstLine="422" w:firstLineChars="200"/>
        <w:rPr>
          <w:b/>
          <w:bCs/>
          <w:color w:val="auto"/>
          <w:sz w:val="21"/>
          <w:szCs w:val="21"/>
          <w:highlight w:val="none"/>
        </w:rPr>
      </w:pPr>
      <w:r>
        <w:rPr>
          <w:b/>
          <w:bCs/>
          <w:color w:val="auto"/>
          <w:sz w:val="21"/>
          <w:szCs w:val="21"/>
          <w:highlight w:val="none"/>
        </w:rPr>
        <w:t>7.转包与分包</w:t>
      </w:r>
    </w:p>
    <w:p w14:paraId="7FC11505">
      <w:pPr>
        <w:spacing w:line="360" w:lineRule="auto"/>
        <w:ind w:firstLine="420" w:firstLineChars="200"/>
        <w:rPr>
          <w:color w:val="auto"/>
          <w:sz w:val="21"/>
          <w:szCs w:val="21"/>
          <w:highlight w:val="none"/>
        </w:rPr>
      </w:pPr>
      <w:r>
        <w:rPr>
          <w:rFonts w:hint="eastAsia"/>
          <w:color w:val="auto"/>
          <w:sz w:val="21"/>
          <w:szCs w:val="21"/>
          <w:highlight w:val="none"/>
        </w:rPr>
        <w:t>7.1</w:t>
      </w:r>
      <w:r>
        <w:rPr>
          <w:color w:val="auto"/>
          <w:sz w:val="21"/>
          <w:szCs w:val="21"/>
          <w:highlight w:val="none"/>
        </w:rPr>
        <w:t>本项目不允许转包。</w:t>
      </w:r>
    </w:p>
    <w:p w14:paraId="51C43F0A">
      <w:pPr>
        <w:spacing w:line="360" w:lineRule="auto"/>
        <w:ind w:firstLine="420" w:firstLineChars="200"/>
        <w:rPr>
          <w:color w:val="auto"/>
          <w:sz w:val="21"/>
          <w:szCs w:val="21"/>
          <w:highlight w:val="none"/>
        </w:rPr>
      </w:pPr>
      <w:bookmarkStart w:id="19" w:name="OLE_LINK54"/>
      <w:bookmarkStart w:id="20" w:name="OLE_LINK55"/>
      <w:r>
        <w:rPr>
          <w:rFonts w:hint="eastAsia"/>
          <w:color w:val="auto"/>
          <w:sz w:val="21"/>
          <w:szCs w:val="21"/>
          <w:highlight w:val="none"/>
        </w:rPr>
        <w:t>7.2</w:t>
      </w:r>
      <w:r>
        <w:rPr>
          <w:color w:val="auto"/>
          <w:sz w:val="21"/>
          <w:szCs w:val="21"/>
          <w:highlight w:val="none"/>
        </w:rPr>
        <w:t>本项目</w:t>
      </w:r>
      <w:r>
        <w:rPr>
          <w:rFonts w:hint="eastAsia"/>
          <w:color w:val="auto"/>
          <w:sz w:val="21"/>
          <w:szCs w:val="21"/>
          <w:highlight w:val="none"/>
          <w:lang w:val="en-US" w:eastAsia="zh-CN"/>
        </w:rPr>
        <w:t>不</w:t>
      </w:r>
      <w:r>
        <w:rPr>
          <w:color w:val="auto"/>
          <w:sz w:val="21"/>
          <w:szCs w:val="21"/>
          <w:highlight w:val="none"/>
        </w:rPr>
        <w:t>可以分包</w:t>
      </w:r>
    </w:p>
    <w:bookmarkEnd w:id="19"/>
    <w:bookmarkEnd w:id="20"/>
    <w:p w14:paraId="5E0F8FB3">
      <w:pPr>
        <w:spacing w:line="360" w:lineRule="auto"/>
        <w:ind w:firstLine="422" w:firstLineChars="200"/>
        <w:rPr>
          <w:b/>
          <w:bCs/>
          <w:color w:val="auto"/>
          <w:sz w:val="21"/>
          <w:szCs w:val="21"/>
          <w:highlight w:val="none"/>
        </w:rPr>
      </w:pPr>
      <w:r>
        <w:rPr>
          <w:b/>
          <w:bCs/>
          <w:color w:val="auto"/>
          <w:sz w:val="21"/>
          <w:szCs w:val="21"/>
          <w:highlight w:val="none"/>
        </w:rPr>
        <w:t>8.特别说明</w:t>
      </w:r>
    </w:p>
    <w:p w14:paraId="20A8BAC2">
      <w:pPr>
        <w:spacing w:line="360" w:lineRule="auto"/>
        <w:ind w:firstLine="420" w:firstLineChars="200"/>
        <w:rPr>
          <w:color w:val="auto"/>
          <w:sz w:val="21"/>
          <w:szCs w:val="21"/>
          <w:highlight w:val="none"/>
        </w:rPr>
      </w:pPr>
      <w:r>
        <w:rPr>
          <w:color w:val="auto"/>
          <w:sz w:val="21"/>
          <w:szCs w:val="21"/>
          <w:highlight w:val="none"/>
        </w:rPr>
        <w:t>关联供应商不得参加同一合同项下政府采购活动，否则响应文件将被视为无效：</w:t>
      </w:r>
    </w:p>
    <w:p w14:paraId="2ED91808">
      <w:pPr>
        <w:spacing w:line="360" w:lineRule="auto"/>
        <w:ind w:firstLine="420" w:firstLineChars="200"/>
        <w:rPr>
          <w:color w:val="auto"/>
          <w:sz w:val="21"/>
          <w:szCs w:val="21"/>
          <w:highlight w:val="none"/>
        </w:rPr>
      </w:pPr>
      <w:r>
        <w:rPr>
          <w:rFonts w:hint="eastAsia"/>
          <w:color w:val="auto"/>
          <w:sz w:val="21"/>
          <w:szCs w:val="21"/>
          <w:highlight w:val="none"/>
        </w:rPr>
        <w:t>（1）</w:t>
      </w:r>
      <w:r>
        <w:rPr>
          <w:color w:val="auto"/>
          <w:sz w:val="21"/>
          <w:szCs w:val="21"/>
          <w:highlight w:val="none"/>
        </w:rPr>
        <w:t>单位负责人为同一人或者存在直接控股、管理关系的不同供应商，不得参加同一合同项下的政府采购活动。</w:t>
      </w:r>
    </w:p>
    <w:p w14:paraId="259691CD">
      <w:pPr>
        <w:spacing w:line="360" w:lineRule="auto"/>
        <w:ind w:firstLine="420" w:firstLineChars="200"/>
        <w:rPr>
          <w:color w:val="auto"/>
          <w:sz w:val="21"/>
          <w:szCs w:val="21"/>
          <w:highlight w:val="none"/>
        </w:rPr>
      </w:pPr>
      <w:r>
        <w:rPr>
          <w:rFonts w:hint="eastAsia"/>
          <w:color w:val="auto"/>
          <w:sz w:val="21"/>
          <w:szCs w:val="21"/>
          <w:highlight w:val="none"/>
        </w:rPr>
        <w:t>（2）</w:t>
      </w:r>
      <w:r>
        <w:rPr>
          <w:color w:val="auto"/>
          <w:sz w:val="21"/>
          <w:szCs w:val="21"/>
          <w:highlight w:val="none"/>
        </w:rPr>
        <w:t>为本采购项目提供整体设计、规范编制或者项目管理、监理、检测等服务的供应商，不得再参加本次采购活动。</w:t>
      </w:r>
    </w:p>
    <w:p w14:paraId="4DAA6FA4">
      <w:pPr>
        <w:pStyle w:val="5"/>
        <w:spacing w:before="62" w:line="360" w:lineRule="auto"/>
        <w:ind w:left="897" w:right="780" w:firstLine="562"/>
        <w:jc w:val="center"/>
        <w:rPr>
          <w:color w:val="auto"/>
          <w:highlight w:val="none"/>
        </w:rPr>
      </w:pPr>
      <w:r>
        <w:rPr>
          <w:color w:val="auto"/>
          <w:highlight w:val="none"/>
        </w:rPr>
        <w:t>二、磋商文件</w:t>
      </w:r>
    </w:p>
    <w:p w14:paraId="5D115CBD">
      <w:pPr>
        <w:spacing w:line="360" w:lineRule="auto"/>
        <w:ind w:firstLine="422" w:firstLineChars="200"/>
        <w:rPr>
          <w:b/>
          <w:bCs/>
          <w:color w:val="auto"/>
          <w:sz w:val="21"/>
          <w:szCs w:val="21"/>
          <w:highlight w:val="none"/>
        </w:rPr>
      </w:pPr>
      <w:r>
        <w:rPr>
          <w:b/>
          <w:bCs/>
          <w:color w:val="auto"/>
          <w:sz w:val="21"/>
          <w:szCs w:val="21"/>
          <w:highlight w:val="none"/>
        </w:rPr>
        <w:t>9.磋商文件的构成</w:t>
      </w:r>
    </w:p>
    <w:p w14:paraId="0933981C">
      <w:pPr>
        <w:spacing w:line="360" w:lineRule="auto"/>
        <w:ind w:firstLine="420" w:firstLineChars="200"/>
        <w:rPr>
          <w:color w:val="auto"/>
          <w:sz w:val="21"/>
          <w:szCs w:val="21"/>
          <w:highlight w:val="none"/>
        </w:rPr>
      </w:pPr>
      <w:r>
        <w:rPr>
          <w:color w:val="auto"/>
          <w:sz w:val="21"/>
          <w:szCs w:val="21"/>
          <w:highlight w:val="none"/>
        </w:rPr>
        <w:t>（1）竞争性磋商公告；</w:t>
      </w:r>
    </w:p>
    <w:p w14:paraId="72E16EBA">
      <w:pPr>
        <w:spacing w:line="360" w:lineRule="auto"/>
        <w:ind w:firstLine="420" w:firstLineChars="200"/>
        <w:rPr>
          <w:color w:val="auto"/>
          <w:sz w:val="21"/>
          <w:szCs w:val="21"/>
          <w:highlight w:val="none"/>
        </w:rPr>
      </w:pPr>
      <w:r>
        <w:rPr>
          <w:color w:val="auto"/>
          <w:sz w:val="21"/>
          <w:szCs w:val="21"/>
          <w:highlight w:val="none"/>
        </w:rPr>
        <w:t>（2）供应商须知；</w:t>
      </w:r>
    </w:p>
    <w:p w14:paraId="58892803">
      <w:pPr>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采购</w:t>
      </w:r>
      <w:r>
        <w:rPr>
          <w:color w:val="auto"/>
          <w:sz w:val="21"/>
          <w:szCs w:val="21"/>
          <w:highlight w:val="none"/>
        </w:rPr>
        <w:t>需求；</w:t>
      </w:r>
    </w:p>
    <w:p w14:paraId="34D6BCA3">
      <w:pPr>
        <w:spacing w:line="360" w:lineRule="auto"/>
        <w:ind w:firstLine="420" w:firstLineChars="200"/>
        <w:rPr>
          <w:color w:val="auto"/>
          <w:sz w:val="21"/>
          <w:szCs w:val="21"/>
          <w:highlight w:val="none"/>
        </w:rPr>
      </w:pPr>
      <w:r>
        <w:rPr>
          <w:color w:val="auto"/>
          <w:sz w:val="21"/>
          <w:szCs w:val="21"/>
          <w:highlight w:val="none"/>
        </w:rPr>
        <w:t>（4）评审办法；</w:t>
      </w:r>
    </w:p>
    <w:p w14:paraId="0AF3CCB7">
      <w:pPr>
        <w:spacing w:line="360" w:lineRule="auto"/>
        <w:ind w:firstLine="420" w:firstLineChars="200"/>
        <w:rPr>
          <w:color w:val="auto"/>
          <w:sz w:val="21"/>
          <w:szCs w:val="21"/>
          <w:highlight w:val="none"/>
        </w:rPr>
      </w:pPr>
      <w:r>
        <w:rPr>
          <w:color w:val="auto"/>
          <w:sz w:val="21"/>
          <w:szCs w:val="21"/>
          <w:highlight w:val="none"/>
        </w:rPr>
        <w:t>（5）合同主要条款及格式；</w:t>
      </w:r>
    </w:p>
    <w:p w14:paraId="7D7FCE2A">
      <w:pPr>
        <w:spacing w:line="360" w:lineRule="auto"/>
        <w:ind w:firstLine="420" w:firstLineChars="200"/>
        <w:rPr>
          <w:color w:val="auto"/>
          <w:sz w:val="21"/>
          <w:szCs w:val="21"/>
          <w:highlight w:val="none"/>
        </w:rPr>
      </w:pPr>
      <w:r>
        <w:rPr>
          <w:color w:val="auto"/>
          <w:sz w:val="21"/>
          <w:szCs w:val="21"/>
          <w:highlight w:val="none"/>
        </w:rPr>
        <w:t>（6）</w:t>
      </w:r>
      <w:r>
        <w:rPr>
          <w:rFonts w:hint="eastAsia"/>
          <w:color w:val="auto"/>
          <w:sz w:val="21"/>
          <w:szCs w:val="21"/>
          <w:highlight w:val="none"/>
        </w:rPr>
        <w:t>工程量清单；</w:t>
      </w:r>
    </w:p>
    <w:p w14:paraId="4E3D1AF8">
      <w:pPr>
        <w:spacing w:line="360" w:lineRule="auto"/>
        <w:ind w:firstLine="420" w:firstLineChars="200"/>
        <w:rPr>
          <w:color w:val="auto"/>
          <w:sz w:val="21"/>
          <w:szCs w:val="21"/>
          <w:highlight w:val="none"/>
        </w:rPr>
      </w:pPr>
      <w:r>
        <w:rPr>
          <w:color w:val="auto"/>
          <w:sz w:val="21"/>
          <w:szCs w:val="21"/>
          <w:highlight w:val="none"/>
        </w:rPr>
        <w:t>（7）</w:t>
      </w:r>
      <w:r>
        <w:rPr>
          <w:rFonts w:hint="eastAsia"/>
          <w:color w:val="auto"/>
          <w:sz w:val="21"/>
          <w:szCs w:val="21"/>
          <w:highlight w:val="none"/>
        </w:rPr>
        <w:t>图纸；</w:t>
      </w:r>
    </w:p>
    <w:p w14:paraId="588DD4ED">
      <w:pPr>
        <w:spacing w:line="360" w:lineRule="auto"/>
        <w:ind w:firstLine="420" w:firstLineChars="200"/>
        <w:rPr>
          <w:color w:val="auto"/>
          <w:sz w:val="21"/>
          <w:szCs w:val="21"/>
          <w:highlight w:val="none"/>
        </w:rPr>
      </w:pPr>
      <w:r>
        <w:rPr>
          <w:color w:val="auto"/>
          <w:sz w:val="21"/>
          <w:szCs w:val="21"/>
          <w:highlight w:val="none"/>
        </w:rPr>
        <w:t>（8）响应文件（格式）。</w:t>
      </w:r>
    </w:p>
    <w:p w14:paraId="14DE165E">
      <w:pPr>
        <w:spacing w:line="360" w:lineRule="auto"/>
        <w:ind w:firstLine="422" w:firstLineChars="200"/>
        <w:rPr>
          <w:b/>
          <w:bCs/>
          <w:color w:val="auto"/>
          <w:sz w:val="21"/>
          <w:szCs w:val="21"/>
          <w:highlight w:val="none"/>
        </w:rPr>
      </w:pPr>
      <w:r>
        <w:rPr>
          <w:b/>
          <w:bCs/>
          <w:color w:val="auto"/>
          <w:sz w:val="21"/>
          <w:szCs w:val="21"/>
          <w:highlight w:val="none"/>
        </w:rPr>
        <w:t>10.磋商文件的澄清与修改</w:t>
      </w:r>
    </w:p>
    <w:p w14:paraId="4249B417">
      <w:pPr>
        <w:spacing w:line="360" w:lineRule="auto"/>
        <w:ind w:firstLine="420" w:firstLineChars="200"/>
        <w:rPr>
          <w:color w:val="auto"/>
          <w:sz w:val="21"/>
          <w:szCs w:val="21"/>
          <w:highlight w:val="none"/>
        </w:rPr>
      </w:pPr>
      <w:r>
        <w:rPr>
          <w:rFonts w:hint="eastAsia"/>
          <w:color w:val="auto"/>
          <w:sz w:val="21"/>
          <w:szCs w:val="21"/>
          <w:highlight w:val="none"/>
        </w:rPr>
        <w:t>10.1</w:t>
      </w:r>
      <w:r>
        <w:rPr>
          <w:color w:val="auto"/>
          <w:sz w:val="21"/>
          <w:szCs w:val="21"/>
          <w:highlight w:val="none"/>
        </w:rPr>
        <w:t>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263618EF">
      <w:pPr>
        <w:spacing w:line="360" w:lineRule="auto"/>
        <w:ind w:firstLine="420" w:firstLineChars="200"/>
        <w:rPr>
          <w:color w:val="auto"/>
          <w:sz w:val="21"/>
          <w:szCs w:val="21"/>
          <w:highlight w:val="none"/>
        </w:rPr>
      </w:pPr>
      <w:r>
        <w:rPr>
          <w:rFonts w:hint="eastAsia"/>
          <w:color w:val="auto"/>
          <w:sz w:val="21"/>
          <w:szCs w:val="21"/>
          <w:highlight w:val="none"/>
        </w:rPr>
        <w:t>10.2</w:t>
      </w:r>
      <w:r>
        <w:rPr>
          <w:color w:val="auto"/>
          <w:sz w:val="21"/>
          <w:szCs w:val="21"/>
          <w:highlight w:val="none"/>
        </w:rPr>
        <w:t>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70745A7C">
      <w:pPr>
        <w:spacing w:line="360" w:lineRule="auto"/>
        <w:ind w:firstLine="420" w:firstLineChars="200"/>
        <w:rPr>
          <w:color w:val="auto"/>
          <w:sz w:val="21"/>
          <w:szCs w:val="21"/>
          <w:highlight w:val="none"/>
        </w:rPr>
      </w:pPr>
      <w:r>
        <w:rPr>
          <w:rFonts w:hint="eastAsia"/>
          <w:color w:val="auto"/>
          <w:sz w:val="21"/>
          <w:szCs w:val="21"/>
          <w:highlight w:val="none"/>
        </w:rPr>
        <w:t>10.3</w:t>
      </w:r>
      <w:r>
        <w:rPr>
          <w:color w:val="auto"/>
          <w:sz w:val="21"/>
          <w:szCs w:val="21"/>
          <w:highlight w:val="none"/>
        </w:rPr>
        <w:t>澄清或者修改的内容为磋商文件的组成部分。当澄清或者修改通知就同一内容的表述不一致时，以最后发出的书面文件为准。</w:t>
      </w:r>
    </w:p>
    <w:p w14:paraId="4D1E3325">
      <w:pPr>
        <w:spacing w:line="360" w:lineRule="auto"/>
        <w:ind w:firstLine="420" w:firstLineChars="200"/>
        <w:rPr>
          <w:color w:val="auto"/>
          <w:sz w:val="21"/>
          <w:szCs w:val="21"/>
          <w:highlight w:val="none"/>
        </w:rPr>
      </w:pPr>
      <w:r>
        <w:rPr>
          <w:rFonts w:hint="eastAsia"/>
          <w:color w:val="auto"/>
          <w:sz w:val="21"/>
          <w:szCs w:val="21"/>
          <w:highlight w:val="none"/>
        </w:rPr>
        <w:t>10.4</w:t>
      </w:r>
      <w:r>
        <w:rPr>
          <w:color w:val="auto"/>
          <w:sz w:val="21"/>
          <w:szCs w:val="21"/>
          <w:highlight w:val="none"/>
        </w:rPr>
        <w:t>磋商文件的澄清或者修改都应该通过本项目采购代理机构以法定形式发布，采购人非通过本机构，不得擅自澄清、答复、修改或补充磋商文件。</w:t>
      </w:r>
    </w:p>
    <w:p w14:paraId="2128260F">
      <w:pPr>
        <w:spacing w:line="360" w:lineRule="auto"/>
        <w:ind w:firstLine="420" w:firstLineChars="200"/>
        <w:rPr>
          <w:color w:val="auto"/>
          <w:sz w:val="21"/>
          <w:szCs w:val="21"/>
          <w:highlight w:val="none"/>
        </w:rPr>
      </w:pPr>
      <w:r>
        <w:rPr>
          <w:rFonts w:hint="eastAsia"/>
          <w:color w:val="auto"/>
          <w:sz w:val="21"/>
          <w:szCs w:val="21"/>
          <w:highlight w:val="none"/>
        </w:rPr>
        <w:t>10.5</w:t>
      </w:r>
      <w:r>
        <w:rPr>
          <w:color w:val="auto"/>
          <w:sz w:val="21"/>
          <w:szCs w:val="21"/>
          <w:highlight w:val="none"/>
        </w:rPr>
        <w:t>采购代理机构可以视采购具体情况，延长响应文件提交截止时间和磋商时间，并在本项目竞争性磋商公告发布的同一媒体上发布变更公告。</w:t>
      </w:r>
    </w:p>
    <w:p w14:paraId="40478A11">
      <w:pPr>
        <w:pStyle w:val="13"/>
        <w:spacing w:before="1" w:line="360" w:lineRule="auto"/>
        <w:ind w:firstLine="482"/>
        <w:rPr>
          <w:color w:val="auto"/>
          <w:sz w:val="24"/>
          <w:highlight w:val="none"/>
        </w:rPr>
      </w:pPr>
    </w:p>
    <w:p w14:paraId="620F7911">
      <w:pPr>
        <w:pStyle w:val="5"/>
        <w:spacing w:line="360" w:lineRule="auto"/>
        <w:ind w:left="894" w:right="780" w:firstLine="562"/>
        <w:jc w:val="center"/>
        <w:rPr>
          <w:color w:val="auto"/>
          <w:highlight w:val="none"/>
        </w:rPr>
      </w:pPr>
      <w:r>
        <w:rPr>
          <w:color w:val="auto"/>
          <w:highlight w:val="none"/>
        </w:rPr>
        <w:t>三、响应文件的编制</w:t>
      </w:r>
    </w:p>
    <w:p w14:paraId="50EFF9BA">
      <w:pPr>
        <w:spacing w:line="360" w:lineRule="auto"/>
        <w:ind w:firstLine="422" w:firstLineChars="200"/>
        <w:rPr>
          <w:b/>
          <w:bCs/>
          <w:color w:val="auto"/>
          <w:sz w:val="21"/>
          <w:szCs w:val="21"/>
          <w:highlight w:val="none"/>
        </w:rPr>
      </w:pPr>
      <w:r>
        <w:rPr>
          <w:rFonts w:hint="eastAsia"/>
          <w:b/>
          <w:bCs/>
          <w:color w:val="auto"/>
          <w:sz w:val="21"/>
          <w:szCs w:val="21"/>
          <w:highlight w:val="none"/>
        </w:rPr>
        <w:t>11.响应文件（以下简称响应文件）的组成及要求</w:t>
      </w:r>
    </w:p>
    <w:p w14:paraId="1D720280">
      <w:pPr>
        <w:spacing w:line="360" w:lineRule="auto"/>
        <w:ind w:firstLine="420" w:firstLineChars="200"/>
        <w:rPr>
          <w:color w:val="auto"/>
          <w:sz w:val="21"/>
          <w:szCs w:val="21"/>
          <w:highlight w:val="none"/>
        </w:rPr>
      </w:pPr>
      <w:r>
        <w:rPr>
          <w:rFonts w:hint="eastAsia"/>
          <w:color w:val="auto"/>
          <w:sz w:val="21"/>
          <w:szCs w:val="21"/>
          <w:highlight w:val="none"/>
        </w:rPr>
        <w:t>11.1响应文件组成【格式见第六章“响应文件（格式）”】</w:t>
      </w:r>
    </w:p>
    <w:p w14:paraId="5946F880">
      <w:pPr>
        <w:spacing w:line="360" w:lineRule="auto"/>
        <w:ind w:firstLine="422" w:firstLineChars="200"/>
        <w:rPr>
          <w:b/>
          <w:bCs/>
          <w:color w:val="auto"/>
          <w:sz w:val="21"/>
          <w:szCs w:val="21"/>
          <w:highlight w:val="none"/>
        </w:rPr>
      </w:pPr>
      <w:r>
        <w:rPr>
          <w:rFonts w:hint="eastAsia"/>
          <w:b/>
          <w:bCs/>
          <w:color w:val="auto"/>
          <w:sz w:val="21"/>
          <w:szCs w:val="21"/>
          <w:highlight w:val="none"/>
        </w:rPr>
        <w:t>11.1.1资格性响应证明材料：</w:t>
      </w:r>
    </w:p>
    <w:p w14:paraId="405F94DF">
      <w:pPr>
        <w:spacing w:line="360" w:lineRule="auto"/>
        <w:ind w:firstLine="420" w:firstLineChars="200"/>
        <w:rPr>
          <w:color w:val="auto"/>
          <w:sz w:val="21"/>
          <w:szCs w:val="21"/>
          <w:highlight w:val="none"/>
        </w:rPr>
      </w:pPr>
      <w:r>
        <w:rPr>
          <w:rFonts w:hint="eastAsia"/>
          <w:color w:val="auto"/>
          <w:sz w:val="21"/>
          <w:szCs w:val="21"/>
          <w:highlight w:val="none"/>
        </w:rPr>
        <w:t>（1）供应商相应的法定代表人(负责人、自然人)身份证正反两面复印件（</w:t>
      </w:r>
      <w:r>
        <w:rPr>
          <w:rFonts w:hint="eastAsia"/>
          <w:b/>
          <w:bCs/>
          <w:color w:val="auto"/>
          <w:sz w:val="21"/>
          <w:szCs w:val="21"/>
          <w:highlight w:val="none"/>
        </w:rPr>
        <w:t>必须提供</w:t>
      </w:r>
      <w:r>
        <w:rPr>
          <w:rFonts w:hint="eastAsia"/>
          <w:color w:val="auto"/>
          <w:sz w:val="21"/>
          <w:szCs w:val="21"/>
          <w:highlight w:val="none"/>
        </w:rPr>
        <w:t>）；</w:t>
      </w:r>
    </w:p>
    <w:p w14:paraId="5DFA74EA">
      <w:pPr>
        <w:pStyle w:val="12"/>
        <w:spacing w:line="360" w:lineRule="auto"/>
        <w:ind w:firstLine="420" w:firstLineChars="200"/>
        <w:rPr>
          <w:rFonts w:hint="eastAsia" w:ascii="宋体" w:hAnsi="宋体" w:eastAsia="宋体" w:cs="宋体"/>
          <w:color w:val="auto"/>
          <w:highlight w:val="none"/>
        </w:rPr>
      </w:pPr>
      <w:r>
        <w:rPr>
          <w:rFonts w:hint="eastAsia"/>
          <w:color w:val="auto"/>
          <w:sz w:val="21"/>
          <w:szCs w:val="21"/>
          <w:highlight w:val="none"/>
        </w:rPr>
        <w:t>（2）供应商的授权委托书原件、委托代理人身份证正反面复印件</w:t>
      </w:r>
      <w:r>
        <w:rPr>
          <w:rFonts w:hint="eastAsia" w:ascii="宋体" w:hAnsi="宋体" w:eastAsia="宋体" w:cs="宋体"/>
          <w:b/>
          <w:bCs/>
          <w:color w:val="auto"/>
          <w:highlight w:val="none"/>
        </w:rPr>
        <w:t>（委托时必须提供，否则响应文件按无效响应处理）</w:t>
      </w:r>
    </w:p>
    <w:p w14:paraId="5CE6D26C">
      <w:pPr>
        <w:spacing w:line="360" w:lineRule="auto"/>
        <w:ind w:firstLine="420" w:firstLineChars="200"/>
        <w:rPr>
          <w:color w:val="auto"/>
          <w:sz w:val="21"/>
          <w:szCs w:val="21"/>
          <w:highlight w:val="none"/>
        </w:rPr>
      </w:pPr>
      <w:r>
        <w:rPr>
          <w:rFonts w:hint="eastAsia"/>
          <w:color w:val="auto"/>
          <w:sz w:val="21"/>
          <w:szCs w:val="21"/>
          <w:highlight w:val="none"/>
        </w:rPr>
        <w:t>（3）供应商的法人或者其他组织营业执照等证明文件复印件（</w:t>
      </w:r>
      <w:r>
        <w:rPr>
          <w:rFonts w:hint="eastAsia"/>
          <w:b/>
          <w:bCs/>
          <w:color w:val="auto"/>
          <w:sz w:val="21"/>
          <w:szCs w:val="21"/>
          <w:highlight w:val="none"/>
        </w:rPr>
        <w:t>必须提供，自然人除外</w:t>
      </w:r>
      <w:r>
        <w:rPr>
          <w:rFonts w:hint="eastAsia"/>
          <w:color w:val="auto"/>
          <w:sz w:val="21"/>
          <w:szCs w:val="21"/>
          <w:highlight w:val="none"/>
        </w:rPr>
        <w:t>）；</w:t>
      </w:r>
    </w:p>
    <w:p w14:paraId="0BBA730B">
      <w:pPr>
        <w:spacing w:line="360" w:lineRule="auto"/>
        <w:ind w:firstLine="420" w:firstLineChars="200"/>
        <w:rPr>
          <w:color w:val="auto"/>
          <w:sz w:val="21"/>
          <w:szCs w:val="21"/>
          <w:highlight w:val="none"/>
        </w:rPr>
      </w:pPr>
      <w:r>
        <w:rPr>
          <w:rFonts w:hint="eastAsia"/>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供应商为社会团体法人的，应提供有效的“社会团体法人登记证书”。③如供应商为企业法人的分支机构的，除应提供营业执照复印件外，还应提供其所属的总公司授权其参加政府采购的授权文件或总公司颁布的授权其独立开展经营业务活动的证明材料复印件。</w:t>
      </w:r>
    </w:p>
    <w:p w14:paraId="0537CD0F">
      <w:pPr>
        <w:spacing w:line="360" w:lineRule="auto"/>
        <w:ind w:firstLine="420" w:firstLineChars="200"/>
        <w:rPr>
          <w:color w:val="auto"/>
          <w:sz w:val="21"/>
          <w:szCs w:val="21"/>
          <w:highlight w:val="none"/>
        </w:rPr>
      </w:pPr>
      <w:r>
        <w:rPr>
          <w:rFonts w:hint="eastAsia"/>
          <w:color w:val="auto"/>
          <w:sz w:val="21"/>
          <w:szCs w:val="21"/>
          <w:highlight w:val="none"/>
        </w:rPr>
        <w:t>（4）供应商有效的资质证书复印件（</w:t>
      </w:r>
      <w:r>
        <w:rPr>
          <w:rFonts w:hint="eastAsia"/>
          <w:b/>
          <w:bCs/>
          <w:color w:val="auto"/>
          <w:sz w:val="21"/>
          <w:szCs w:val="21"/>
          <w:highlight w:val="none"/>
        </w:rPr>
        <w:t>必须提供</w:t>
      </w:r>
      <w:r>
        <w:rPr>
          <w:rFonts w:hint="eastAsia"/>
          <w:color w:val="auto"/>
          <w:sz w:val="21"/>
          <w:szCs w:val="21"/>
          <w:highlight w:val="none"/>
        </w:rPr>
        <w:t>）；</w:t>
      </w:r>
    </w:p>
    <w:p w14:paraId="711FF52B">
      <w:pPr>
        <w:spacing w:line="360" w:lineRule="auto"/>
        <w:ind w:firstLine="420" w:firstLineChars="200"/>
        <w:rPr>
          <w:color w:val="auto"/>
          <w:sz w:val="21"/>
          <w:szCs w:val="21"/>
          <w:highlight w:val="none"/>
        </w:rPr>
      </w:pPr>
      <w:r>
        <w:rPr>
          <w:rFonts w:hint="eastAsia"/>
          <w:color w:val="auto"/>
          <w:sz w:val="21"/>
          <w:szCs w:val="21"/>
          <w:highlight w:val="none"/>
        </w:rPr>
        <w:t>（5）供应商有效的安全生产许可证书扫描件（</w:t>
      </w:r>
      <w:r>
        <w:rPr>
          <w:rFonts w:hint="eastAsia"/>
          <w:b/>
          <w:bCs/>
          <w:color w:val="auto"/>
          <w:sz w:val="21"/>
          <w:szCs w:val="21"/>
          <w:highlight w:val="none"/>
        </w:rPr>
        <w:t>必须提供</w:t>
      </w:r>
      <w:r>
        <w:rPr>
          <w:rFonts w:hint="eastAsia"/>
          <w:color w:val="auto"/>
          <w:sz w:val="21"/>
          <w:szCs w:val="21"/>
          <w:highlight w:val="none"/>
        </w:rPr>
        <w:t>）；</w:t>
      </w:r>
    </w:p>
    <w:p w14:paraId="42F2656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rPr>
        <w:t>（6）项目经理：符合第三章“采购需求”项目经理资格要求（</w:t>
      </w:r>
      <w:r>
        <w:rPr>
          <w:rFonts w:hint="eastAsia"/>
          <w:b/>
          <w:bCs/>
          <w:color w:val="auto"/>
          <w:sz w:val="21"/>
          <w:szCs w:val="21"/>
          <w:highlight w:val="none"/>
        </w:rPr>
        <w:t>必须提供</w:t>
      </w:r>
      <w:r>
        <w:rPr>
          <w:rFonts w:hint="eastAsia"/>
          <w:color w:val="auto"/>
          <w:sz w:val="21"/>
          <w:szCs w:val="21"/>
          <w:highlight w:val="none"/>
        </w:rPr>
        <w:t>）；</w:t>
      </w:r>
    </w:p>
    <w:p w14:paraId="57BADB3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rPr>
        <w:t>（7）项目总工：符合第三章“采购需求”项目总工资格要求（</w:t>
      </w:r>
      <w:r>
        <w:rPr>
          <w:rFonts w:hint="eastAsia"/>
          <w:b/>
          <w:bCs/>
          <w:color w:val="auto"/>
          <w:sz w:val="21"/>
          <w:szCs w:val="21"/>
          <w:highlight w:val="none"/>
        </w:rPr>
        <w:t>必须提供</w:t>
      </w:r>
      <w:r>
        <w:rPr>
          <w:rFonts w:hint="eastAsia"/>
          <w:color w:val="auto"/>
          <w:sz w:val="21"/>
          <w:szCs w:val="21"/>
          <w:highlight w:val="none"/>
        </w:rPr>
        <w:t>）；</w:t>
      </w:r>
    </w:p>
    <w:p w14:paraId="106187D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w:t>
      </w:r>
      <w:r>
        <w:rPr>
          <w:rFonts w:hint="eastAsia"/>
          <w:color w:val="auto"/>
          <w:sz w:val="21"/>
          <w:szCs w:val="21"/>
          <w:highlight w:val="none"/>
        </w:rPr>
        <w:t>专职安全员：符合第三章“采购需求”专职安全员资格要求（必须提供）</w:t>
      </w:r>
    </w:p>
    <w:p w14:paraId="73152D03">
      <w:pPr>
        <w:pStyle w:val="1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项目经理、总工及专职安全员有在建项目任职的，供应商应提供随时撤离承诺书；</w:t>
      </w:r>
    </w:p>
    <w:p w14:paraId="2C5DC07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10</w:t>
      </w:r>
      <w:r>
        <w:rPr>
          <w:rFonts w:hint="eastAsia"/>
          <w:color w:val="auto"/>
          <w:sz w:val="21"/>
          <w:szCs w:val="21"/>
          <w:highlight w:val="none"/>
        </w:rPr>
        <w:t>）供应商参加政府采购活动前3年内在经营活动中没有重大违法记录及有关信用信息的书面声明（</w:t>
      </w:r>
      <w:r>
        <w:rPr>
          <w:rFonts w:hint="eastAsia"/>
          <w:b/>
          <w:bCs/>
          <w:color w:val="auto"/>
          <w:sz w:val="21"/>
          <w:szCs w:val="21"/>
          <w:highlight w:val="none"/>
        </w:rPr>
        <w:t>必须提供</w:t>
      </w:r>
      <w:r>
        <w:rPr>
          <w:rFonts w:hint="eastAsia"/>
          <w:color w:val="auto"/>
          <w:sz w:val="21"/>
          <w:szCs w:val="21"/>
          <w:highlight w:val="none"/>
        </w:rPr>
        <w:t>）；</w:t>
      </w:r>
    </w:p>
    <w:p w14:paraId="1A3CB2EF">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color w:val="auto"/>
          <w:sz w:val="21"/>
          <w:szCs w:val="21"/>
          <w:highlight w:val="none"/>
        </w:rPr>
        <w:t>（</w:t>
      </w:r>
      <w:r>
        <w:rPr>
          <w:rFonts w:hint="eastAsia"/>
          <w:color w:val="auto"/>
          <w:sz w:val="21"/>
          <w:szCs w:val="21"/>
          <w:highlight w:val="none"/>
          <w:lang w:val="en-US" w:eastAsia="zh-CN"/>
        </w:rPr>
        <w:t>11</w:t>
      </w:r>
      <w:r>
        <w:rPr>
          <w:rFonts w:hint="eastAsia"/>
          <w:color w:val="auto"/>
          <w:sz w:val="21"/>
          <w:szCs w:val="21"/>
          <w:highlight w:val="none"/>
        </w:rPr>
        <w:t>）供应商2022-2024年度以来财务审计报告和财务报表扫描件（新成立企业、新晋升为一般纳税人企业以及小规模纳税人可提供上年度纳税信用评级证书、当年度动态信用等级证明或公告开始之日上月末的无欠税证明)</w:t>
      </w:r>
      <w:r>
        <w:rPr>
          <w:rFonts w:hint="eastAsia"/>
          <w:color w:val="auto"/>
          <w:sz w:val="21"/>
          <w:szCs w:val="21"/>
          <w:highlight w:val="none"/>
          <w:lang w:eastAsia="zh-CN"/>
        </w:rPr>
        <w:t>；</w:t>
      </w:r>
      <w:r>
        <w:rPr>
          <w:rFonts w:hint="eastAsia"/>
          <w:color w:val="auto"/>
          <w:sz w:val="21"/>
          <w:szCs w:val="21"/>
          <w:highlight w:val="none"/>
        </w:rPr>
        <w:t>（</w:t>
      </w:r>
      <w:r>
        <w:rPr>
          <w:rFonts w:hint="eastAsia"/>
          <w:b/>
          <w:bCs/>
          <w:color w:val="auto"/>
          <w:sz w:val="21"/>
          <w:szCs w:val="21"/>
          <w:highlight w:val="none"/>
        </w:rPr>
        <w:t>必须提供</w:t>
      </w:r>
      <w:r>
        <w:rPr>
          <w:rFonts w:hint="eastAsia"/>
          <w:color w:val="auto"/>
          <w:sz w:val="21"/>
          <w:szCs w:val="21"/>
          <w:highlight w:val="none"/>
        </w:rPr>
        <w:t>）</w:t>
      </w:r>
    </w:p>
    <w:p w14:paraId="3EC90EF2">
      <w:pPr>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12</w:t>
      </w:r>
      <w:r>
        <w:rPr>
          <w:rFonts w:hint="eastAsia"/>
          <w:color w:val="auto"/>
          <w:sz w:val="21"/>
          <w:szCs w:val="21"/>
          <w:highlight w:val="none"/>
        </w:rPr>
        <w:t>）</w:t>
      </w:r>
      <w:r>
        <w:rPr>
          <w:rFonts w:hint="eastAsia"/>
          <w:color w:val="auto"/>
          <w:sz w:val="21"/>
          <w:szCs w:val="21"/>
          <w:highlight w:val="none"/>
          <w:lang w:eastAsia="zh-CN"/>
        </w:rPr>
        <w:t>中小企业声明函</w:t>
      </w:r>
      <w:r>
        <w:rPr>
          <w:rFonts w:hint="eastAsia"/>
          <w:color w:val="auto"/>
          <w:sz w:val="21"/>
          <w:szCs w:val="21"/>
          <w:highlight w:val="none"/>
        </w:rPr>
        <w:t>【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b/>
          <w:bCs/>
          <w:color w:val="auto"/>
          <w:sz w:val="21"/>
          <w:szCs w:val="21"/>
          <w:highlight w:val="none"/>
        </w:rPr>
        <w:t>必须提供</w:t>
      </w:r>
      <w:r>
        <w:rPr>
          <w:rFonts w:hint="eastAsia"/>
          <w:color w:val="auto"/>
          <w:sz w:val="21"/>
          <w:szCs w:val="21"/>
          <w:highlight w:val="none"/>
        </w:rPr>
        <w:t>）；</w:t>
      </w:r>
    </w:p>
    <w:p w14:paraId="4AC86226">
      <w:pPr>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13</w:t>
      </w:r>
      <w:r>
        <w:rPr>
          <w:rFonts w:hint="eastAsia"/>
          <w:color w:val="auto"/>
          <w:sz w:val="21"/>
          <w:szCs w:val="21"/>
          <w:highlight w:val="none"/>
        </w:rPr>
        <w:t>）如提供工程的供应商属于监狱企业的，应当提供由省级以上监狱管理局、戒毒管理局等（含新疆生产建设兵团）出具的属于监狱企业的证明文件（如有，请提供）；</w:t>
      </w:r>
    </w:p>
    <w:p w14:paraId="2AEDF44A">
      <w:pPr>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14</w:t>
      </w:r>
      <w:r>
        <w:rPr>
          <w:rFonts w:hint="eastAsia"/>
          <w:color w:val="auto"/>
          <w:sz w:val="21"/>
          <w:szCs w:val="21"/>
          <w:highlight w:val="none"/>
        </w:rPr>
        <w:t>）符合条件的残疾人福利性单位在参加政府采购活动时，应当提供《残疾人福利性单位声明函》，并对声明的真实性负责（见附件）（如有，请提供）；</w:t>
      </w:r>
    </w:p>
    <w:p w14:paraId="6FAEA903">
      <w:pPr>
        <w:spacing w:line="360" w:lineRule="auto"/>
        <w:ind w:firstLine="422" w:firstLineChars="200"/>
        <w:rPr>
          <w:b/>
          <w:bCs/>
          <w:color w:val="auto"/>
          <w:sz w:val="21"/>
          <w:szCs w:val="21"/>
          <w:highlight w:val="none"/>
        </w:rPr>
      </w:pPr>
      <w:r>
        <w:rPr>
          <w:rFonts w:hint="eastAsia"/>
          <w:b/>
          <w:bCs/>
          <w:color w:val="auto"/>
          <w:sz w:val="21"/>
          <w:szCs w:val="21"/>
          <w:highlight w:val="none"/>
        </w:rPr>
        <w:t>11.1.2符合性响应证明材料：</w:t>
      </w:r>
    </w:p>
    <w:p w14:paraId="4109C151">
      <w:pPr>
        <w:spacing w:line="360" w:lineRule="auto"/>
        <w:ind w:firstLine="420" w:firstLineChars="200"/>
        <w:rPr>
          <w:color w:val="auto"/>
          <w:sz w:val="21"/>
          <w:szCs w:val="21"/>
          <w:highlight w:val="none"/>
        </w:rPr>
      </w:pPr>
      <w:r>
        <w:rPr>
          <w:rFonts w:hint="eastAsia"/>
          <w:color w:val="auto"/>
          <w:sz w:val="21"/>
          <w:szCs w:val="21"/>
          <w:highlight w:val="none"/>
        </w:rPr>
        <w:t>（1）响应函及响应函附录</w:t>
      </w:r>
      <w:r>
        <w:rPr>
          <w:rFonts w:hint="eastAsia"/>
          <w:b/>
          <w:bCs/>
          <w:color w:val="auto"/>
          <w:sz w:val="21"/>
          <w:szCs w:val="21"/>
          <w:highlight w:val="none"/>
        </w:rPr>
        <w:t>（必须提供）</w:t>
      </w:r>
      <w:r>
        <w:rPr>
          <w:rFonts w:hint="eastAsia"/>
          <w:color w:val="auto"/>
          <w:sz w:val="21"/>
          <w:szCs w:val="21"/>
          <w:highlight w:val="none"/>
        </w:rPr>
        <w:t>；</w:t>
      </w:r>
    </w:p>
    <w:p w14:paraId="34BCE84C">
      <w:pPr>
        <w:spacing w:line="360" w:lineRule="auto"/>
        <w:ind w:firstLine="420" w:firstLineChars="200"/>
        <w:rPr>
          <w:color w:val="auto"/>
          <w:sz w:val="21"/>
          <w:szCs w:val="21"/>
          <w:highlight w:val="none"/>
        </w:rPr>
      </w:pPr>
      <w:r>
        <w:rPr>
          <w:rFonts w:hint="eastAsia"/>
          <w:color w:val="auto"/>
          <w:sz w:val="21"/>
          <w:szCs w:val="21"/>
          <w:highlight w:val="none"/>
        </w:rPr>
        <w:t>（2）已标价工程量清单</w:t>
      </w:r>
      <w:r>
        <w:rPr>
          <w:rFonts w:hint="eastAsia"/>
          <w:b/>
          <w:bCs/>
          <w:color w:val="auto"/>
          <w:sz w:val="21"/>
          <w:szCs w:val="21"/>
          <w:highlight w:val="none"/>
        </w:rPr>
        <w:t>（必须提供</w:t>
      </w:r>
      <w:r>
        <w:rPr>
          <w:rFonts w:hint="eastAsia"/>
          <w:color w:val="auto"/>
          <w:sz w:val="21"/>
          <w:szCs w:val="21"/>
          <w:highlight w:val="none"/>
        </w:rPr>
        <w:t>）；</w:t>
      </w:r>
    </w:p>
    <w:p w14:paraId="780A0A4E">
      <w:pPr>
        <w:spacing w:line="360" w:lineRule="auto"/>
        <w:ind w:firstLine="420" w:firstLineChars="200"/>
        <w:rPr>
          <w:color w:val="auto"/>
          <w:sz w:val="21"/>
          <w:szCs w:val="21"/>
          <w:highlight w:val="none"/>
        </w:rPr>
      </w:pPr>
      <w:r>
        <w:rPr>
          <w:rFonts w:hint="eastAsia"/>
          <w:color w:val="auto"/>
          <w:sz w:val="21"/>
          <w:szCs w:val="21"/>
          <w:highlight w:val="none"/>
        </w:rPr>
        <w:t>（3）施工组织设计</w:t>
      </w:r>
      <w:r>
        <w:rPr>
          <w:rFonts w:hint="eastAsia"/>
          <w:b/>
          <w:bCs/>
          <w:color w:val="auto"/>
          <w:sz w:val="21"/>
          <w:szCs w:val="21"/>
          <w:highlight w:val="none"/>
        </w:rPr>
        <w:t>（必须提供）</w:t>
      </w:r>
      <w:r>
        <w:rPr>
          <w:rFonts w:hint="eastAsia"/>
          <w:color w:val="auto"/>
          <w:sz w:val="21"/>
          <w:szCs w:val="21"/>
          <w:highlight w:val="none"/>
        </w:rPr>
        <w:t>；</w:t>
      </w:r>
    </w:p>
    <w:p w14:paraId="213E9233">
      <w:pPr>
        <w:spacing w:line="360" w:lineRule="auto"/>
        <w:ind w:firstLine="420" w:firstLineChars="200"/>
        <w:rPr>
          <w:color w:val="auto"/>
          <w:sz w:val="21"/>
          <w:szCs w:val="21"/>
          <w:highlight w:val="none"/>
        </w:rPr>
      </w:pPr>
      <w:r>
        <w:rPr>
          <w:rFonts w:hint="eastAsia"/>
          <w:color w:val="auto"/>
          <w:sz w:val="21"/>
          <w:szCs w:val="21"/>
          <w:highlight w:val="none"/>
        </w:rPr>
        <w:t>（4）项目管理机构</w:t>
      </w:r>
      <w:r>
        <w:rPr>
          <w:rFonts w:hint="eastAsia"/>
          <w:b/>
          <w:bCs/>
          <w:color w:val="auto"/>
          <w:sz w:val="21"/>
          <w:szCs w:val="21"/>
          <w:highlight w:val="none"/>
        </w:rPr>
        <w:t>（必须提供）</w:t>
      </w:r>
      <w:r>
        <w:rPr>
          <w:rFonts w:hint="eastAsia"/>
          <w:color w:val="auto"/>
          <w:sz w:val="21"/>
          <w:szCs w:val="21"/>
          <w:highlight w:val="none"/>
        </w:rPr>
        <w:t>；</w:t>
      </w:r>
    </w:p>
    <w:p w14:paraId="2A1CFAB9">
      <w:pPr>
        <w:spacing w:line="360" w:lineRule="auto"/>
        <w:ind w:firstLine="420" w:firstLineChars="200"/>
        <w:rPr>
          <w:color w:val="auto"/>
          <w:sz w:val="21"/>
          <w:szCs w:val="21"/>
          <w:highlight w:val="none"/>
        </w:rPr>
      </w:pPr>
      <w:r>
        <w:rPr>
          <w:rFonts w:hint="eastAsia"/>
          <w:color w:val="auto"/>
          <w:sz w:val="21"/>
          <w:szCs w:val="21"/>
          <w:highlight w:val="none"/>
        </w:rPr>
        <w:t>（5）农民工工资保证金承诺书及供应商承诺函</w:t>
      </w:r>
      <w:r>
        <w:rPr>
          <w:rFonts w:hint="eastAsia"/>
          <w:b/>
          <w:bCs/>
          <w:color w:val="auto"/>
          <w:sz w:val="21"/>
          <w:szCs w:val="21"/>
          <w:highlight w:val="none"/>
        </w:rPr>
        <w:t>（必须提供）</w:t>
      </w:r>
      <w:r>
        <w:rPr>
          <w:rFonts w:hint="eastAsia"/>
          <w:color w:val="auto"/>
          <w:sz w:val="21"/>
          <w:szCs w:val="21"/>
          <w:highlight w:val="none"/>
        </w:rPr>
        <w:t>；</w:t>
      </w:r>
    </w:p>
    <w:p w14:paraId="0447CAED">
      <w:pPr>
        <w:spacing w:line="360" w:lineRule="auto"/>
        <w:ind w:firstLine="422" w:firstLineChars="200"/>
        <w:rPr>
          <w:b/>
          <w:bCs/>
          <w:color w:val="auto"/>
          <w:sz w:val="21"/>
          <w:szCs w:val="21"/>
          <w:highlight w:val="none"/>
        </w:rPr>
      </w:pPr>
      <w:r>
        <w:rPr>
          <w:rFonts w:hint="eastAsia"/>
          <w:b/>
          <w:bCs/>
          <w:color w:val="auto"/>
          <w:sz w:val="21"/>
          <w:szCs w:val="21"/>
          <w:highlight w:val="none"/>
        </w:rPr>
        <w:t>11.1.3其它有效证明材料：</w:t>
      </w:r>
    </w:p>
    <w:p w14:paraId="1E108699">
      <w:pPr>
        <w:spacing w:line="360" w:lineRule="auto"/>
        <w:ind w:firstLine="420" w:firstLineChars="200"/>
        <w:rPr>
          <w:color w:val="auto"/>
          <w:sz w:val="21"/>
          <w:szCs w:val="21"/>
          <w:highlight w:val="none"/>
        </w:rPr>
      </w:pPr>
      <w:r>
        <w:rPr>
          <w:rFonts w:hint="eastAsia"/>
          <w:color w:val="auto"/>
          <w:sz w:val="21"/>
          <w:szCs w:val="21"/>
          <w:highlight w:val="none"/>
        </w:rPr>
        <w:t>（1）供应商2021年3月1日以来具有</w:t>
      </w:r>
      <w:r>
        <w:rPr>
          <w:rFonts w:hint="eastAsia"/>
          <w:color w:val="auto"/>
          <w:sz w:val="21"/>
          <w:szCs w:val="21"/>
          <w:highlight w:val="none"/>
          <w:lang w:val="en-US" w:eastAsia="zh-CN"/>
        </w:rPr>
        <w:t>类似</w:t>
      </w:r>
      <w:r>
        <w:rPr>
          <w:rFonts w:hint="eastAsia"/>
          <w:color w:val="auto"/>
          <w:sz w:val="21"/>
          <w:szCs w:val="21"/>
          <w:highlight w:val="none"/>
        </w:rPr>
        <w:t>项目业绩的相关证明材料（如有，请提供）；</w:t>
      </w:r>
    </w:p>
    <w:p w14:paraId="7F9B627D">
      <w:pPr>
        <w:pStyle w:val="13"/>
        <w:wordWrap w:val="0"/>
        <w:spacing w:before="58" w:line="360" w:lineRule="auto"/>
        <w:ind w:left="11" w:right="38" w:firstLine="412"/>
        <w:jc w:val="both"/>
        <w:rPr>
          <w:color w:val="auto"/>
          <w:highlight w:val="none"/>
        </w:rPr>
      </w:pPr>
      <w:bookmarkStart w:id="21" w:name="OLE_LINK108"/>
      <w:bookmarkStart w:id="22" w:name="OLE_LINK107"/>
      <w:r>
        <w:rPr>
          <w:color w:val="auto"/>
          <w:spacing w:val="-5"/>
          <w:highlight w:val="none"/>
        </w:rPr>
        <w:t>【注：</w:t>
      </w:r>
      <w:r>
        <w:rPr>
          <w:rFonts w:hint="eastAsia"/>
          <w:color w:val="auto"/>
          <w:spacing w:val="-5"/>
          <w:highlight w:val="none"/>
          <w:lang w:val="en-US" w:eastAsia="zh-CN"/>
        </w:rPr>
        <w:t>①</w:t>
      </w:r>
      <w:r>
        <w:rPr>
          <w:color w:val="auto"/>
          <w:spacing w:val="-4"/>
          <w:highlight w:val="none"/>
        </w:rPr>
        <w:t>成功完成是指工程按交通运输部令2004年第3号《</w:t>
      </w:r>
      <w:r>
        <w:rPr>
          <w:color w:val="auto"/>
          <w:spacing w:val="-5"/>
          <w:highlight w:val="none"/>
        </w:rPr>
        <w:t>公路工程竣</w:t>
      </w:r>
      <w:r>
        <w:rPr>
          <w:color w:val="auto"/>
          <w:spacing w:val="-2"/>
          <w:highlight w:val="none"/>
        </w:rPr>
        <w:t>（交）工验收办法》及其相关实施细则的规定通过交工验收或竣工验收。</w:t>
      </w:r>
    </w:p>
    <w:p w14:paraId="62FC19BB">
      <w:pPr>
        <w:pStyle w:val="13"/>
        <w:wordWrap w:val="0"/>
        <w:spacing w:before="9" w:line="360" w:lineRule="auto"/>
        <w:ind w:left="11" w:right="120" w:firstLine="412"/>
        <w:rPr>
          <w:color w:val="auto"/>
          <w:highlight w:val="none"/>
        </w:rPr>
      </w:pPr>
      <w:r>
        <w:rPr>
          <w:rFonts w:hint="eastAsia"/>
          <w:color w:val="auto"/>
          <w:spacing w:val="-5"/>
          <w:highlight w:val="none"/>
          <w:lang w:val="en-US" w:eastAsia="zh-CN"/>
        </w:rPr>
        <w:t>②</w:t>
      </w:r>
      <w:r>
        <w:rPr>
          <w:rFonts w:hint="eastAsia"/>
          <w:color w:val="auto"/>
          <w:spacing w:val="-5"/>
          <w:highlight w:val="none"/>
          <w:lang w:eastAsia="zh-CN"/>
        </w:rPr>
        <w:t>供应商</w:t>
      </w:r>
      <w:r>
        <w:rPr>
          <w:color w:val="auto"/>
          <w:spacing w:val="4"/>
          <w:highlight w:val="none"/>
        </w:rPr>
        <w:t>在</w:t>
      </w:r>
      <w:r>
        <w:rPr>
          <w:rFonts w:hint="eastAsia"/>
          <w:color w:val="auto"/>
          <w:spacing w:val="4"/>
          <w:highlight w:val="none"/>
        </w:rPr>
        <w:t>响应文件</w:t>
      </w:r>
      <w:r>
        <w:rPr>
          <w:color w:val="auto"/>
          <w:spacing w:val="4"/>
          <w:highlight w:val="none"/>
        </w:rPr>
        <w:t>中填报的业绩应当与其在交通运输主管部门公路建设市场</w:t>
      </w:r>
      <w:r>
        <w:rPr>
          <w:color w:val="auto"/>
          <w:highlight w:val="none"/>
        </w:rPr>
        <w:t>监督管理系统上填报并通过交通运输主管部门审核发布的相关信息一致,</w:t>
      </w:r>
      <w:r>
        <w:rPr>
          <w:color w:val="auto"/>
          <w:spacing w:val="-14"/>
          <w:highlight w:val="none"/>
        </w:rPr>
        <w:t>必须提供全国公路建设市场监督管理系统</w:t>
      </w:r>
      <w:r>
        <w:rPr>
          <w:color w:val="auto"/>
          <w:spacing w:val="-3"/>
          <w:highlight w:val="none"/>
        </w:rPr>
        <w:t>（</w:t>
      </w:r>
      <w:r>
        <w:rPr>
          <w:color w:val="auto"/>
          <w:highlight w:val="none"/>
        </w:rPr>
        <w:fldChar w:fldCharType="begin"/>
      </w:r>
      <w:r>
        <w:rPr>
          <w:color w:val="auto"/>
          <w:highlight w:val="none"/>
        </w:rPr>
        <w:instrText xml:space="preserve"> HYPERLINK "https://hwdms.mot.gov.cn/BMWebSite" </w:instrText>
      </w:r>
      <w:r>
        <w:rPr>
          <w:color w:val="auto"/>
          <w:highlight w:val="none"/>
        </w:rPr>
        <w:fldChar w:fldCharType="separate"/>
      </w:r>
      <w:r>
        <w:rPr>
          <w:color w:val="auto"/>
          <w:spacing w:val="-3"/>
          <w:highlight w:val="none"/>
        </w:rPr>
        <w:t>https://hwdms.mot.gov.cn/BMWebSite</w:t>
      </w:r>
      <w:r>
        <w:rPr>
          <w:color w:val="auto"/>
          <w:spacing w:val="-3"/>
          <w:highlight w:val="none"/>
        </w:rPr>
        <w:fldChar w:fldCharType="end"/>
      </w:r>
      <w:r>
        <w:rPr>
          <w:color w:val="auto"/>
          <w:spacing w:val="-3"/>
          <w:highlight w:val="none"/>
        </w:rPr>
        <w:t>）或公路养护作业单位资质管理</w:t>
      </w:r>
      <w:r>
        <w:rPr>
          <w:color w:val="auto"/>
          <w:highlight w:val="none"/>
        </w:rPr>
        <w:t>模块（</w:t>
      </w:r>
      <w:r>
        <w:rPr>
          <w:color w:val="auto"/>
          <w:highlight w:val="none"/>
        </w:rPr>
        <w:fldChar w:fldCharType="begin"/>
      </w:r>
      <w:r>
        <w:rPr>
          <w:color w:val="auto"/>
          <w:highlight w:val="none"/>
        </w:rPr>
        <w:instrText xml:space="preserve"> HYPERLINK "https://hwdms.mot.gov.cn:" </w:instrText>
      </w:r>
      <w:r>
        <w:rPr>
          <w:color w:val="auto"/>
          <w:highlight w:val="none"/>
        </w:rPr>
        <w:fldChar w:fldCharType="separate"/>
      </w:r>
      <w:r>
        <w:rPr>
          <w:color w:val="auto"/>
          <w:highlight w:val="none"/>
        </w:rPr>
        <w:t>https://hwdms.mot.gov.cn:</w:t>
      </w:r>
      <w:r>
        <w:rPr>
          <w:color w:val="auto"/>
          <w:highlight w:val="none"/>
        </w:rPr>
        <w:fldChar w:fldCharType="end"/>
      </w:r>
      <w:r>
        <w:rPr>
          <w:color w:val="auto"/>
          <w:highlight w:val="none"/>
        </w:rPr>
        <w:t>6060/hmeq/portal/company）查</w:t>
      </w:r>
      <w:r>
        <w:rPr>
          <w:color w:val="auto"/>
          <w:spacing w:val="-1"/>
          <w:highlight w:val="none"/>
        </w:rPr>
        <w:t>询到</w:t>
      </w:r>
      <w:r>
        <w:rPr>
          <w:color w:val="auto"/>
          <w:spacing w:val="-6"/>
          <w:highlight w:val="none"/>
        </w:rPr>
        <w:t>的企业“业绩信息”相关项目网页截图、合同文件和交工（或竣工）验收</w:t>
      </w:r>
      <w:r>
        <w:rPr>
          <w:color w:val="auto"/>
          <w:spacing w:val="1"/>
          <w:highlight w:val="none"/>
        </w:rPr>
        <w:t>证明材料。除“全国公路建设市场监督管理系统”相关项目网页截图、</w:t>
      </w:r>
      <w:r>
        <w:rPr>
          <w:color w:val="auto"/>
          <w:spacing w:val="-5"/>
          <w:highlight w:val="none"/>
        </w:rPr>
        <w:t>合同文件和交竣工验收证明材料外，</w:t>
      </w:r>
      <w:r>
        <w:rPr>
          <w:rFonts w:hint="eastAsia"/>
          <w:color w:val="auto"/>
          <w:spacing w:val="-5"/>
          <w:highlight w:val="none"/>
          <w:lang w:eastAsia="zh-CN"/>
        </w:rPr>
        <w:t>供应商</w:t>
      </w:r>
      <w:r>
        <w:rPr>
          <w:color w:val="auto"/>
          <w:spacing w:val="-5"/>
          <w:highlight w:val="none"/>
        </w:rPr>
        <w:t>无需再提供其他任何业绩证明材料。如</w:t>
      </w:r>
      <w:r>
        <w:rPr>
          <w:rFonts w:hint="eastAsia"/>
          <w:color w:val="auto"/>
          <w:spacing w:val="-5"/>
          <w:highlight w:val="none"/>
          <w:lang w:eastAsia="zh-CN"/>
        </w:rPr>
        <w:t>供应商</w:t>
      </w:r>
      <w:r>
        <w:rPr>
          <w:color w:val="auto"/>
          <w:spacing w:val="-5"/>
          <w:highlight w:val="none"/>
        </w:rPr>
        <w:t>未提供相关项目网页截图，或相关项目网页截图、合同文</w:t>
      </w:r>
      <w:r>
        <w:rPr>
          <w:color w:val="auto"/>
          <w:spacing w:val="4"/>
          <w:highlight w:val="none"/>
        </w:rPr>
        <w:t>件和交竣工验收证明材料中的信息无法证实</w:t>
      </w:r>
      <w:r>
        <w:rPr>
          <w:rFonts w:hint="eastAsia"/>
          <w:color w:val="auto"/>
          <w:spacing w:val="4"/>
          <w:highlight w:val="none"/>
          <w:lang w:eastAsia="zh-CN"/>
        </w:rPr>
        <w:t>供应商</w:t>
      </w:r>
      <w:r>
        <w:rPr>
          <w:color w:val="auto"/>
          <w:spacing w:val="4"/>
          <w:highlight w:val="none"/>
        </w:rPr>
        <w:t>满足</w:t>
      </w:r>
      <w:r>
        <w:rPr>
          <w:rFonts w:hint="eastAsia"/>
          <w:color w:val="auto"/>
          <w:spacing w:val="4"/>
          <w:highlight w:val="none"/>
          <w:lang w:eastAsia="zh-CN"/>
        </w:rPr>
        <w:t>竞争性磋商文件</w:t>
      </w:r>
      <w:r>
        <w:rPr>
          <w:color w:val="auto"/>
          <w:spacing w:val="4"/>
          <w:highlight w:val="none"/>
        </w:rPr>
        <w:t>规定的</w:t>
      </w:r>
      <w:r>
        <w:rPr>
          <w:rFonts w:hint="eastAsia"/>
          <w:color w:val="auto"/>
          <w:spacing w:val="-2"/>
          <w:highlight w:val="none"/>
          <w:lang w:eastAsia="zh-CN"/>
        </w:rPr>
        <w:t>审查条件</w:t>
      </w:r>
      <w:r>
        <w:rPr>
          <w:color w:val="auto"/>
          <w:spacing w:val="14"/>
          <w:highlight w:val="none"/>
        </w:rPr>
        <w:t>，</w:t>
      </w:r>
      <w:r>
        <w:rPr>
          <w:color w:val="auto"/>
          <w:spacing w:val="-2"/>
          <w:highlight w:val="none"/>
        </w:rPr>
        <w:t>则该项目业绩不予认定。】</w:t>
      </w:r>
    </w:p>
    <w:bookmarkEnd w:id="21"/>
    <w:bookmarkEnd w:id="22"/>
    <w:p w14:paraId="33EDC973">
      <w:pPr>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）供应商可结合本项目的评审办法视自身情况自行提交相关证明材料（如有，请提供）</w:t>
      </w:r>
    </w:p>
    <w:p w14:paraId="27657CD6">
      <w:pPr>
        <w:spacing w:line="360" w:lineRule="auto"/>
        <w:ind w:firstLine="420" w:firstLineChars="200"/>
        <w:rPr>
          <w:b/>
          <w:bCs/>
          <w:color w:val="auto"/>
          <w:sz w:val="21"/>
          <w:szCs w:val="21"/>
          <w:highlight w:val="none"/>
        </w:rPr>
      </w:pPr>
      <w:r>
        <w:rPr>
          <w:rFonts w:hint="eastAsia"/>
          <w:color w:val="auto"/>
          <w:sz w:val="21"/>
          <w:szCs w:val="21"/>
          <w:highlight w:val="none"/>
        </w:rPr>
        <w:t>供应商提供的以上相关证明材料必须真实有效，</w:t>
      </w:r>
      <w:r>
        <w:rPr>
          <w:rFonts w:hint="eastAsia"/>
          <w:b/>
          <w:bCs/>
          <w:color w:val="auto"/>
          <w:sz w:val="21"/>
          <w:szCs w:val="21"/>
          <w:highlight w:val="none"/>
        </w:rPr>
        <w:t>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个人CA证书签章的可在响应文件中涉及到签字的位置手写签字后扫描或者拍照做成PDF的格式上传，无个人CA证书签章及手写签字的，响应文件按无效处理。</w:t>
      </w:r>
    </w:p>
    <w:p w14:paraId="458331E0">
      <w:pPr>
        <w:spacing w:line="360" w:lineRule="auto"/>
        <w:ind w:firstLine="420" w:firstLineChars="200"/>
        <w:rPr>
          <w:color w:val="auto"/>
          <w:sz w:val="21"/>
          <w:szCs w:val="21"/>
          <w:highlight w:val="none"/>
        </w:rPr>
      </w:pPr>
      <w:r>
        <w:rPr>
          <w:rFonts w:hint="eastAsia"/>
          <w:color w:val="auto"/>
          <w:sz w:val="21"/>
          <w:szCs w:val="21"/>
          <w:highlight w:val="none"/>
        </w:rPr>
        <w:t>11.2供应商应按竞争性磋商文件第八章“响应文件（格式）”编制响应文件。</w:t>
      </w:r>
    </w:p>
    <w:p w14:paraId="2F2E17E4">
      <w:pPr>
        <w:spacing w:line="360" w:lineRule="auto"/>
        <w:ind w:firstLine="422" w:firstLineChars="200"/>
        <w:rPr>
          <w:b/>
          <w:bCs/>
          <w:color w:val="auto"/>
          <w:sz w:val="21"/>
          <w:szCs w:val="21"/>
          <w:highlight w:val="none"/>
        </w:rPr>
      </w:pPr>
      <w:r>
        <w:rPr>
          <w:rFonts w:hint="eastAsia"/>
          <w:b/>
          <w:bCs/>
          <w:color w:val="auto"/>
          <w:sz w:val="21"/>
          <w:szCs w:val="21"/>
          <w:highlight w:val="none"/>
        </w:rPr>
        <w:t>12.响应文件的语言及计量</w:t>
      </w:r>
    </w:p>
    <w:p w14:paraId="64377E46">
      <w:pPr>
        <w:spacing w:line="360" w:lineRule="auto"/>
        <w:ind w:firstLine="420" w:firstLineChars="200"/>
        <w:rPr>
          <w:color w:val="auto"/>
          <w:sz w:val="21"/>
          <w:szCs w:val="21"/>
          <w:highlight w:val="none"/>
        </w:rPr>
      </w:pPr>
      <w:r>
        <w:rPr>
          <w:rFonts w:hint="eastAsia"/>
          <w:color w:val="auto"/>
          <w:sz w:val="21"/>
          <w:szCs w:val="21"/>
          <w:highlight w:val="none"/>
        </w:rPr>
        <w:t>12.1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050AB7CE">
      <w:pPr>
        <w:spacing w:line="360" w:lineRule="auto"/>
        <w:ind w:firstLine="420" w:firstLineChars="200"/>
        <w:rPr>
          <w:color w:val="auto"/>
          <w:sz w:val="21"/>
          <w:szCs w:val="21"/>
          <w:highlight w:val="none"/>
        </w:rPr>
      </w:pPr>
      <w:r>
        <w:rPr>
          <w:rFonts w:hint="eastAsia"/>
          <w:color w:val="auto"/>
          <w:sz w:val="21"/>
          <w:szCs w:val="21"/>
          <w:highlight w:val="none"/>
        </w:rPr>
        <w:t>12.2响应计量单位，磋商文件已有明确规定的，使用磋商文件规定的计量单位；磋商文件没有规定的，必须采用中华人民共和国法定计量单位（货币单位：人民币元），否则视同未响应。</w:t>
      </w:r>
    </w:p>
    <w:p w14:paraId="2AFD1F9C">
      <w:pPr>
        <w:spacing w:line="360" w:lineRule="auto"/>
        <w:ind w:firstLine="422" w:firstLineChars="200"/>
        <w:rPr>
          <w:b/>
          <w:bCs/>
          <w:color w:val="auto"/>
          <w:sz w:val="21"/>
          <w:szCs w:val="21"/>
          <w:highlight w:val="none"/>
        </w:rPr>
      </w:pPr>
      <w:r>
        <w:rPr>
          <w:rFonts w:hint="eastAsia"/>
          <w:b/>
          <w:bCs/>
          <w:color w:val="auto"/>
          <w:sz w:val="21"/>
          <w:szCs w:val="21"/>
          <w:highlight w:val="none"/>
        </w:rPr>
        <w:t>13.磋商报价及采购预算金额</w:t>
      </w:r>
    </w:p>
    <w:p w14:paraId="2842DBA9">
      <w:pPr>
        <w:spacing w:line="360" w:lineRule="auto"/>
        <w:ind w:firstLine="420" w:firstLineChars="200"/>
        <w:rPr>
          <w:color w:val="auto"/>
          <w:sz w:val="21"/>
          <w:szCs w:val="21"/>
          <w:highlight w:val="none"/>
        </w:rPr>
      </w:pPr>
      <w:r>
        <w:rPr>
          <w:rFonts w:hint="eastAsia"/>
          <w:color w:val="auto"/>
          <w:sz w:val="21"/>
          <w:szCs w:val="21"/>
          <w:highlight w:val="none"/>
        </w:rPr>
        <w:t>13.1供应商必须就“项目需求”中的所有内容作完整唯一报价，响应文件只允许有一个报价，有选择的或有条件的报价将不予接受。</w:t>
      </w:r>
    </w:p>
    <w:p w14:paraId="47FC1E26">
      <w:pPr>
        <w:spacing w:line="360" w:lineRule="auto"/>
        <w:ind w:firstLine="422" w:firstLineChars="200"/>
        <w:rPr>
          <w:b/>
          <w:bCs/>
          <w:color w:val="auto"/>
          <w:sz w:val="21"/>
          <w:szCs w:val="21"/>
          <w:highlight w:val="none"/>
        </w:rPr>
      </w:pPr>
      <w:r>
        <w:rPr>
          <w:rFonts w:hint="eastAsia"/>
          <w:b/>
          <w:bCs/>
          <w:color w:val="auto"/>
          <w:sz w:val="21"/>
          <w:szCs w:val="21"/>
          <w:highlight w:val="none"/>
        </w:rPr>
        <w:t>13.2采购预算金额（</w:t>
      </w:r>
      <w:r>
        <w:rPr>
          <w:rFonts w:hint="eastAsia"/>
          <w:b/>
          <w:bCs/>
          <w:color w:val="auto"/>
          <w:sz w:val="21"/>
          <w:szCs w:val="21"/>
          <w:highlight w:val="none"/>
          <w:lang w:eastAsia="zh-CN"/>
        </w:rPr>
        <w:t>最高限价</w:t>
      </w:r>
      <w:r>
        <w:rPr>
          <w:rFonts w:hint="eastAsia"/>
          <w:b/>
          <w:bCs/>
          <w:color w:val="auto"/>
          <w:sz w:val="21"/>
          <w:szCs w:val="21"/>
          <w:highlight w:val="none"/>
        </w:rPr>
        <w:t>）（人民币）：</w:t>
      </w:r>
      <w:r>
        <w:rPr>
          <w:rFonts w:hint="eastAsia"/>
          <w:color w:val="auto"/>
          <w:highlight w:val="none"/>
        </w:rPr>
        <w:t>详见“供应商须知前附表”</w:t>
      </w:r>
      <w:r>
        <w:rPr>
          <w:rFonts w:hint="eastAsia"/>
          <w:b/>
          <w:bCs/>
          <w:color w:val="auto"/>
          <w:sz w:val="21"/>
          <w:szCs w:val="21"/>
          <w:highlight w:val="none"/>
        </w:rPr>
        <w:t>。</w:t>
      </w:r>
    </w:p>
    <w:p w14:paraId="451AD034">
      <w:pPr>
        <w:pStyle w:val="13"/>
        <w:spacing w:line="360" w:lineRule="auto"/>
        <w:ind w:firstLine="420"/>
        <w:rPr>
          <w:b/>
          <w:bCs/>
          <w:color w:val="auto"/>
          <w:highlight w:val="none"/>
          <w:lang w:val="zh-CN"/>
        </w:rPr>
      </w:pPr>
      <w:bookmarkStart w:id="23" w:name="OLE_LINK65"/>
      <w:bookmarkStart w:id="24" w:name="OLE_LINK57"/>
      <w:bookmarkStart w:id="25" w:name="OLE_LINK56"/>
      <w:r>
        <w:rPr>
          <w:rFonts w:hint="eastAsia"/>
          <w:b/>
          <w:bCs/>
          <w:color w:val="auto"/>
          <w:highlight w:val="none"/>
          <w:lang w:val="zh-CN"/>
        </w:rPr>
        <w:t>工程量清单设置全子目的上限价，磋商报价超过</w:t>
      </w:r>
      <w:r>
        <w:rPr>
          <w:rFonts w:hint="eastAsia"/>
          <w:b/>
          <w:bCs/>
          <w:color w:val="auto"/>
          <w:highlight w:val="none"/>
          <w:lang w:eastAsia="zh-CN"/>
        </w:rPr>
        <w:t>最高限价</w:t>
      </w:r>
      <w:r>
        <w:rPr>
          <w:rFonts w:hint="eastAsia"/>
          <w:b/>
          <w:bCs/>
          <w:color w:val="auto"/>
          <w:highlight w:val="none"/>
          <w:lang w:val="zh-CN"/>
        </w:rPr>
        <w:t>或者</w:t>
      </w:r>
      <w:r>
        <w:rPr>
          <w:rFonts w:hint="eastAsia"/>
          <w:b/>
          <w:bCs/>
          <w:color w:val="auto"/>
          <w:highlight w:val="none"/>
        </w:rPr>
        <w:t>全</w:t>
      </w:r>
      <w:r>
        <w:rPr>
          <w:rFonts w:hint="eastAsia"/>
          <w:b/>
          <w:bCs/>
          <w:color w:val="auto"/>
          <w:highlight w:val="none"/>
          <w:lang w:val="zh-CN"/>
        </w:rPr>
        <w:t>子目上限价的，响应文件作无效处理。</w:t>
      </w:r>
    </w:p>
    <w:bookmarkEnd w:id="23"/>
    <w:bookmarkEnd w:id="24"/>
    <w:bookmarkEnd w:id="25"/>
    <w:p w14:paraId="476550EC">
      <w:pPr>
        <w:pStyle w:val="13"/>
        <w:spacing w:line="360" w:lineRule="auto"/>
        <w:ind w:firstLine="422" w:firstLineChars="200"/>
        <w:rPr>
          <w:color w:val="auto"/>
          <w:highlight w:val="none"/>
        </w:rPr>
      </w:pPr>
      <w:r>
        <w:rPr>
          <w:rFonts w:hint="eastAsia"/>
          <w:b/>
          <w:color w:val="auto"/>
          <w:highlight w:val="none"/>
        </w:rPr>
        <w:t>承包人必须完成本合同工程路容路貌整治、排水系统整治工作，其费用应视为已分摊在本合同工程的有关子目的单价或总额价之中。</w:t>
      </w:r>
    </w:p>
    <w:p w14:paraId="64C4F91E">
      <w:pPr>
        <w:spacing w:line="360" w:lineRule="auto"/>
        <w:ind w:firstLine="420" w:firstLineChars="200"/>
        <w:rPr>
          <w:color w:val="auto"/>
          <w:sz w:val="21"/>
          <w:szCs w:val="21"/>
          <w:highlight w:val="none"/>
        </w:rPr>
      </w:pPr>
      <w:r>
        <w:rPr>
          <w:rFonts w:hint="eastAsia"/>
          <w:color w:val="auto"/>
          <w:sz w:val="21"/>
          <w:szCs w:val="21"/>
          <w:highlight w:val="none"/>
        </w:rPr>
        <w:t>13.3磋商报价包括各种人力成本、设备成本、资料费、服务费、税费及合同实施过程中的应预见费用等完成合同规定责任和义务，其他相关费用等完成本项目工程所需的一切费用。供应商综合考虑在报价中。</w:t>
      </w:r>
    </w:p>
    <w:p w14:paraId="65AE129C">
      <w:pPr>
        <w:spacing w:line="360" w:lineRule="auto"/>
        <w:ind w:firstLine="420" w:firstLineChars="200"/>
        <w:rPr>
          <w:color w:val="auto"/>
          <w:sz w:val="21"/>
          <w:szCs w:val="21"/>
          <w:highlight w:val="none"/>
        </w:rPr>
      </w:pPr>
      <w:r>
        <w:rPr>
          <w:rFonts w:hint="eastAsia"/>
          <w:color w:val="auto"/>
          <w:sz w:val="21"/>
          <w:szCs w:val="21"/>
          <w:highlight w:val="none"/>
        </w:rPr>
        <w:t>13.4未书面退出磋商的供应商必须在规定时间内登录“广西政府采购云平台”在线提交最后报价，</w:t>
      </w:r>
      <w:r>
        <w:rPr>
          <w:rFonts w:hint="eastAsia"/>
          <w:color w:val="auto"/>
          <w:sz w:val="21"/>
          <w:szCs w:val="21"/>
          <w:highlight w:val="none"/>
          <w:lang w:val="en-US" w:eastAsia="zh-CN"/>
        </w:rPr>
        <w:t>否则</w:t>
      </w:r>
      <w:r>
        <w:rPr>
          <w:rFonts w:hint="eastAsia"/>
          <w:b/>
          <w:bCs/>
          <w:color w:val="auto"/>
          <w:sz w:val="21"/>
          <w:szCs w:val="21"/>
          <w:highlight w:val="none"/>
        </w:rPr>
        <w:t>响应文件</w:t>
      </w:r>
      <w:r>
        <w:rPr>
          <w:b/>
          <w:bCs/>
          <w:color w:val="auto"/>
          <w:sz w:val="21"/>
          <w:szCs w:val="21"/>
          <w:highlight w:val="none"/>
        </w:rPr>
        <w:t>将视为无效，作否决</w:t>
      </w:r>
      <w:r>
        <w:rPr>
          <w:rFonts w:hint="eastAsia"/>
          <w:b/>
          <w:bCs/>
          <w:color w:val="auto"/>
          <w:sz w:val="21"/>
          <w:szCs w:val="21"/>
          <w:highlight w:val="none"/>
          <w:lang w:val="en-US" w:eastAsia="zh-CN"/>
        </w:rPr>
        <w:t>竞标</w:t>
      </w:r>
      <w:r>
        <w:rPr>
          <w:b/>
          <w:bCs/>
          <w:color w:val="auto"/>
          <w:sz w:val="21"/>
          <w:szCs w:val="21"/>
          <w:highlight w:val="none"/>
        </w:rPr>
        <w:t>处理</w:t>
      </w:r>
      <w:r>
        <w:rPr>
          <w:rStyle w:val="29"/>
          <w:rFonts w:hint="eastAsia"/>
          <w:color w:val="auto"/>
          <w:highlight w:val="none"/>
        </w:rPr>
        <w:t>。</w:t>
      </w:r>
      <w:r>
        <w:rPr>
          <w:rFonts w:hint="eastAsia"/>
          <w:color w:val="auto"/>
          <w:sz w:val="21"/>
          <w:szCs w:val="21"/>
          <w:highlight w:val="none"/>
        </w:rPr>
        <w:t>其最后报价不得超出采购预算；磋商过程中磋商文件未作实质性变动的，最后报价不得超过首次报价。</w:t>
      </w:r>
    </w:p>
    <w:p w14:paraId="1EDB1582">
      <w:pPr>
        <w:spacing w:line="360" w:lineRule="auto"/>
        <w:ind w:firstLine="422" w:firstLineChars="200"/>
        <w:rPr>
          <w:b/>
          <w:bCs/>
          <w:color w:val="auto"/>
          <w:sz w:val="21"/>
          <w:szCs w:val="21"/>
          <w:highlight w:val="none"/>
        </w:rPr>
      </w:pPr>
      <w:r>
        <w:rPr>
          <w:rFonts w:hint="eastAsia"/>
          <w:b/>
          <w:bCs/>
          <w:color w:val="auto"/>
          <w:sz w:val="21"/>
          <w:szCs w:val="21"/>
          <w:highlight w:val="none"/>
        </w:rPr>
        <w:t>14.响应文件有效期</w:t>
      </w:r>
    </w:p>
    <w:p w14:paraId="5A3D2605">
      <w:pPr>
        <w:spacing w:line="360" w:lineRule="auto"/>
        <w:ind w:firstLine="420" w:firstLineChars="200"/>
        <w:rPr>
          <w:color w:val="auto"/>
          <w:sz w:val="21"/>
          <w:szCs w:val="21"/>
          <w:highlight w:val="none"/>
        </w:rPr>
      </w:pPr>
      <w:r>
        <w:rPr>
          <w:rFonts w:hint="eastAsia"/>
          <w:color w:val="auto"/>
          <w:sz w:val="21"/>
          <w:szCs w:val="21"/>
          <w:highlight w:val="none"/>
        </w:rPr>
        <w:t>14.1响应文件有效期：自响应文件提交截止时间之日起90天，有效期不足的响应文件将被拒绝。</w:t>
      </w:r>
    </w:p>
    <w:p w14:paraId="0C231A8E">
      <w:pPr>
        <w:spacing w:line="360" w:lineRule="auto"/>
        <w:ind w:firstLine="420" w:firstLineChars="200"/>
        <w:rPr>
          <w:color w:val="auto"/>
          <w:sz w:val="21"/>
          <w:szCs w:val="21"/>
          <w:highlight w:val="none"/>
        </w:rPr>
      </w:pPr>
      <w:r>
        <w:rPr>
          <w:rFonts w:hint="eastAsia"/>
          <w:color w:val="auto"/>
          <w:sz w:val="21"/>
          <w:szCs w:val="21"/>
          <w:highlight w:val="none"/>
        </w:rPr>
        <w:t>14.2出现特殊情况下，需要延长响应文件有效期的，采购代理机构以书面形式通知供应商延长响应文件有效期。供应商同意延长的，不能修改响应文件。供应商拒绝延长的，其响应无效。</w:t>
      </w:r>
    </w:p>
    <w:p w14:paraId="3739510B">
      <w:pPr>
        <w:spacing w:line="360" w:lineRule="auto"/>
        <w:ind w:firstLine="422" w:firstLineChars="200"/>
        <w:rPr>
          <w:b/>
          <w:bCs/>
          <w:color w:val="auto"/>
          <w:sz w:val="21"/>
          <w:szCs w:val="21"/>
          <w:highlight w:val="none"/>
        </w:rPr>
      </w:pPr>
      <w:r>
        <w:rPr>
          <w:rFonts w:hint="eastAsia"/>
          <w:b/>
          <w:bCs/>
          <w:color w:val="auto"/>
          <w:sz w:val="21"/>
          <w:szCs w:val="21"/>
          <w:highlight w:val="none"/>
        </w:rPr>
        <w:t>15.保证金</w:t>
      </w:r>
    </w:p>
    <w:p w14:paraId="5CBA9D4F">
      <w:pPr>
        <w:spacing w:line="360" w:lineRule="auto"/>
        <w:ind w:firstLine="420" w:firstLineChars="200"/>
        <w:rPr>
          <w:color w:val="auto"/>
          <w:sz w:val="21"/>
          <w:szCs w:val="21"/>
          <w:highlight w:val="none"/>
        </w:rPr>
      </w:pPr>
      <w:r>
        <w:rPr>
          <w:rFonts w:hint="eastAsia"/>
          <w:color w:val="auto"/>
          <w:sz w:val="21"/>
          <w:szCs w:val="21"/>
          <w:highlight w:val="none"/>
        </w:rPr>
        <w:t>本项目无需缴纳磋商保证金</w:t>
      </w:r>
    </w:p>
    <w:p w14:paraId="6C782928">
      <w:pPr>
        <w:spacing w:line="360" w:lineRule="auto"/>
        <w:ind w:firstLine="422" w:firstLineChars="200"/>
        <w:rPr>
          <w:b/>
          <w:bCs/>
          <w:color w:val="auto"/>
          <w:sz w:val="21"/>
          <w:szCs w:val="21"/>
          <w:highlight w:val="none"/>
        </w:rPr>
      </w:pPr>
      <w:r>
        <w:rPr>
          <w:rFonts w:hint="eastAsia"/>
          <w:b/>
          <w:bCs/>
          <w:color w:val="auto"/>
          <w:sz w:val="21"/>
          <w:szCs w:val="21"/>
          <w:highlight w:val="none"/>
        </w:rPr>
        <w:t>16.电子响应文件的制作、加密要求</w:t>
      </w:r>
    </w:p>
    <w:p w14:paraId="3D62A6F4">
      <w:pPr>
        <w:spacing w:line="360" w:lineRule="auto"/>
        <w:ind w:firstLine="420" w:firstLineChars="200"/>
        <w:rPr>
          <w:color w:val="auto"/>
          <w:sz w:val="21"/>
          <w:szCs w:val="21"/>
          <w:highlight w:val="none"/>
        </w:rPr>
      </w:pPr>
      <w:r>
        <w:rPr>
          <w:rFonts w:hint="eastAsia"/>
          <w:color w:val="auto"/>
          <w:sz w:val="21"/>
          <w:szCs w:val="21"/>
          <w:highlight w:val="none"/>
        </w:rPr>
        <w:t>16.1供应商制作电子响应文件前，必须登陆“广西政府采购云平台”进行竞争性磋商文件的获取操作。</w:t>
      </w:r>
    </w:p>
    <w:p w14:paraId="2B4AA204">
      <w:pPr>
        <w:spacing w:line="360" w:lineRule="auto"/>
        <w:ind w:firstLine="420" w:firstLineChars="200"/>
        <w:rPr>
          <w:color w:val="auto"/>
          <w:sz w:val="21"/>
          <w:szCs w:val="21"/>
          <w:highlight w:val="none"/>
        </w:rPr>
      </w:pPr>
      <w:r>
        <w:rPr>
          <w:rFonts w:hint="eastAsia"/>
          <w:color w:val="auto"/>
          <w:sz w:val="21"/>
          <w:szCs w:val="21"/>
          <w:highlight w:val="none"/>
        </w:rPr>
        <w:t>16.2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1E4774FE">
      <w:pPr>
        <w:spacing w:line="360" w:lineRule="auto"/>
        <w:ind w:firstLine="420" w:firstLineChars="200"/>
        <w:rPr>
          <w:color w:val="auto"/>
          <w:sz w:val="21"/>
          <w:szCs w:val="21"/>
          <w:highlight w:val="none"/>
        </w:rPr>
      </w:pPr>
      <w:r>
        <w:rPr>
          <w:rFonts w:hint="eastAsia"/>
          <w:color w:val="auto"/>
          <w:sz w:val="21"/>
          <w:szCs w:val="21"/>
          <w:highlight w:val="none"/>
        </w:rPr>
        <w:t>16.3若磋商文件中有专门标注的某关联点，并要求供应商在电子投标系统中作出响应的，供应商应进行响应并关联定位，以便评审小组在评审时点击评分项可直接定位到该评分项内容；如对竞争性磋商文件的某项要求，供应商的电子响应文件未能关联定位提供相应的内容与其对应，或者在响应文件其它内容中进行描述，导致磋商小组无法查询，做出对供应商不利的评审，相关后果由供应商自行承担。</w:t>
      </w:r>
    </w:p>
    <w:p w14:paraId="49204446">
      <w:pPr>
        <w:spacing w:line="360" w:lineRule="auto"/>
        <w:ind w:firstLine="420" w:firstLineChars="200"/>
        <w:rPr>
          <w:color w:val="auto"/>
          <w:sz w:val="21"/>
          <w:szCs w:val="21"/>
          <w:highlight w:val="none"/>
        </w:rPr>
      </w:pPr>
      <w:r>
        <w:rPr>
          <w:rFonts w:hint="eastAsia"/>
          <w:color w:val="auto"/>
          <w:sz w:val="21"/>
          <w:szCs w:val="21"/>
          <w:highlight w:val="none"/>
        </w:rPr>
        <w:t>16.4电子响应文件不得涂改，若有修改错漏处，须由法定代表人（负责人、自然人）或授权委托代理人通过“广西政府采购云平台投标客户端投标”采用个人CA证书签章，没有办理个人CA证书签章的，在响应文件中响应位置手写签字后扫描或者拍照做成PDF的格式上传。因响应文件字迹潦草、表达不清、内容不完整、编排混乱导致响应文件被误读、漏读，或者在按竞争性磋商文件规定的部位查找不到相关内容的，其不利后果由供应商自行承担。</w:t>
      </w:r>
    </w:p>
    <w:p w14:paraId="35412DFF">
      <w:pPr>
        <w:spacing w:line="360" w:lineRule="auto"/>
        <w:ind w:firstLine="420" w:firstLineChars="200"/>
        <w:rPr>
          <w:color w:val="auto"/>
          <w:sz w:val="21"/>
          <w:szCs w:val="21"/>
          <w:highlight w:val="none"/>
        </w:rPr>
      </w:pPr>
      <w:r>
        <w:rPr>
          <w:rFonts w:hint="eastAsia"/>
          <w:color w:val="auto"/>
          <w:sz w:val="21"/>
          <w:szCs w:val="21"/>
          <w:highlight w:val="none"/>
        </w:rPr>
        <w:t>16.5供应商编制、生成电子响应文件后应当加密响应文件。供应商未按规定编制并加密的响应文件，“广西政府采购云平台”将予以拒收。</w:t>
      </w:r>
    </w:p>
    <w:p w14:paraId="5DBCA3AE">
      <w:pPr>
        <w:spacing w:line="360" w:lineRule="auto"/>
        <w:ind w:firstLine="420" w:firstLineChars="200"/>
        <w:rPr>
          <w:color w:val="auto"/>
          <w:sz w:val="21"/>
          <w:szCs w:val="21"/>
          <w:highlight w:val="none"/>
        </w:rPr>
      </w:pPr>
      <w:r>
        <w:rPr>
          <w:rFonts w:hint="eastAsia"/>
          <w:color w:val="auto"/>
          <w:sz w:val="21"/>
          <w:szCs w:val="21"/>
          <w:highlight w:val="none"/>
        </w:rPr>
        <w:t>16.6供应商公章及签字</w:t>
      </w:r>
    </w:p>
    <w:p w14:paraId="100DCF00">
      <w:pPr>
        <w:spacing w:line="360" w:lineRule="auto"/>
        <w:ind w:firstLine="420" w:firstLineChars="200"/>
        <w:rPr>
          <w:color w:val="auto"/>
          <w:sz w:val="21"/>
          <w:szCs w:val="21"/>
          <w:highlight w:val="none"/>
        </w:rPr>
      </w:pPr>
      <w:r>
        <w:rPr>
          <w:rFonts w:hint="eastAsia"/>
          <w:color w:val="auto"/>
          <w:sz w:val="21"/>
          <w:szCs w:val="21"/>
          <w:highlight w:val="none"/>
        </w:rPr>
        <w:t>16.6.1本竞争性磋商文件中描述供应商的“公章”是指供应商通过指定电子化政府采购平台办理数字证书（CA认证证书）获得的以法定主体行为名称制作的电子印章。</w:t>
      </w:r>
    </w:p>
    <w:p w14:paraId="716D1B8A">
      <w:pPr>
        <w:spacing w:line="360" w:lineRule="auto"/>
        <w:ind w:firstLine="420" w:firstLineChars="200"/>
        <w:rPr>
          <w:color w:val="auto"/>
          <w:sz w:val="21"/>
          <w:szCs w:val="21"/>
          <w:highlight w:val="none"/>
        </w:rPr>
      </w:pPr>
      <w:r>
        <w:rPr>
          <w:rFonts w:hint="eastAsia"/>
          <w:color w:val="auto"/>
          <w:sz w:val="21"/>
          <w:szCs w:val="21"/>
          <w:highlight w:val="none"/>
        </w:rPr>
        <w:t>16.6.2本竞争性磋商文件中要求供应商对其电子响应文件的相关内容加盖公章的，均指采用CA证书签章。</w:t>
      </w:r>
    </w:p>
    <w:p w14:paraId="2053F822">
      <w:pPr>
        <w:spacing w:line="360" w:lineRule="auto"/>
        <w:ind w:firstLine="420" w:firstLineChars="200"/>
        <w:rPr>
          <w:color w:val="auto"/>
          <w:sz w:val="21"/>
          <w:szCs w:val="21"/>
          <w:highlight w:val="none"/>
        </w:rPr>
      </w:pPr>
      <w:r>
        <w:rPr>
          <w:rFonts w:hint="eastAsia"/>
          <w:color w:val="auto"/>
          <w:sz w:val="21"/>
          <w:szCs w:val="21"/>
          <w:highlight w:val="none"/>
        </w:rPr>
        <w:t>16.6.3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73C549A">
      <w:pPr>
        <w:spacing w:line="360" w:lineRule="auto"/>
        <w:ind w:firstLine="422" w:firstLineChars="200"/>
        <w:rPr>
          <w:b/>
          <w:bCs/>
          <w:color w:val="auto"/>
          <w:sz w:val="21"/>
          <w:szCs w:val="21"/>
          <w:highlight w:val="none"/>
        </w:rPr>
      </w:pPr>
      <w:r>
        <w:rPr>
          <w:rFonts w:hint="eastAsia"/>
          <w:b/>
          <w:bCs/>
          <w:color w:val="auto"/>
          <w:sz w:val="21"/>
          <w:szCs w:val="21"/>
          <w:highlight w:val="none"/>
        </w:rPr>
        <w:t>17.首次响应文件的提交、撤回、修改</w:t>
      </w:r>
    </w:p>
    <w:p w14:paraId="040195CD">
      <w:pPr>
        <w:spacing w:line="360" w:lineRule="auto"/>
        <w:ind w:firstLine="420" w:firstLineChars="200"/>
        <w:rPr>
          <w:color w:val="auto"/>
          <w:sz w:val="21"/>
          <w:szCs w:val="21"/>
          <w:highlight w:val="none"/>
        </w:rPr>
      </w:pPr>
      <w:r>
        <w:rPr>
          <w:rFonts w:hint="eastAsia"/>
          <w:color w:val="auto"/>
          <w:sz w:val="21"/>
          <w:szCs w:val="21"/>
          <w:highlight w:val="none"/>
        </w:rPr>
        <w:t>17.1响应文件的提交截止时间：详见“供应商须知前附表”。</w:t>
      </w:r>
    </w:p>
    <w:p w14:paraId="21B48339">
      <w:pPr>
        <w:spacing w:line="360" w:lineRule="auto"/>
        <w:ind w:firstLine="420" w:firstLineChars="200"/>
        <w:rPr>
          <w:color w:val="auto"/>
          <w:sz w:val="21"/>
          <w:szCs w:val="21"/>
          <w:highlight w:val="none"/>
        </w:rPr>
      </w:pPr>
      <w:r>
        <w:rPr>
          <w:rFonts w:hint="eastAsia"/>
          <w:color w:val="auto"/>
          <w:sz w:val="21"/>
          <w:szCs w:val="21"/>
          <w:highlight w:val="none"/>
        </w:rPr>
        <w:t>17.2地点：通过“广西政府采购云平台”在线提交。</w:t>
      </w:r>
    </w:p>
    <w:p w14:paraId="6C58AB94">
      <w:pPr>
        <w:spacing w:line="360" w:lineRule="auto"/>
        <w:ind w:firstLine="420" w:firstLineChars="200"/>
        <w:rPr>
          <w:color w:val="auto"/>
          <w:sz w:val="21"/>
          <w:szCs w:val="21"/>
          <w:highlight w:val="none"/>
        </w:rPr>
      </w:pPr>
      <w:r>
        <w:rPr>
          <w:rFonts w:hint="eastAsia"/>
          <w:color w:val="auto"/>
          <w:sz w:val="21"/>
          <w:szCs w:val="21"/>
          <w:highlight w:val="none"/>
        </w:rPr>
        <w:t>17.3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26754750">
      <w:pPr>
        <w:spacing w:line="360" w:lineRule="auto"/>
        <w:ind w:firstLine="420" w:firstLineChars="200"/>
        <w:rPr>
          <w:color w:val="auto"/>
          <w:sz w:val="21"/>
          <w:szCs w:val="21"/>
          <w:highlight w:val="none"/>
        </w:rPr>
      </w:pPr>
      <w:r>
        <w:rPr>
          <w:rFonts w:hint="eastAsia"/>
          <w:color w:val="auto"/>
          <w:sz w:val="21"/>
          <w:szCs w:val="21"/>
          <w:highlight w:val="none"/>
        </w:rPr>
        <w:t>17.4除竞争性磋商文件另有规定外，供应商所提交的响应文件不予退还。</w:t>
      </w:r>
    </w:p>
    <w:p w14:paraId="35617483">
      <w:pPr>
        <w:spacing w:line="360" w:lineRule="auto"/>
        <w:ind w:firstLine="422" w:firstLineChars="200"/>
        <w:rPr>
          <w:b/>
          <w:bCs/>
          <w:color w:val="auto"/>
          <w:sz w:val="21"/>
          <w:szCs w:val="21"/>
          <w:highlight w:val="none"/>
        </w:rPr>
      </w:pPr>
      <w:r>
        <w:rPr>
          <w:rFonts w:hint="eastAsia"/>
          <w:b/>
          <w:bCs/>
          <w:color w:val="auto"/>
          <w:sz w:val="21"/>
          <w:szCs w:val="21"/>
          <w:highlight w:val="none"/>
        </w:rPr>
        <w:t>18.响应文件的解密</w:t>
      </w:r>
    </w:p>
    <w:p w14:paraId="13BC586F">
      <w:pPr>
        <w:spacing w:line="360" w:lineRule="auto"/>
        <w:ind w:firstLine="420" w:firstLineChars="200"/>
        <w:rPr>
          <w:color w:val="auto"/>
          <w:sz w:val="21"/>
          <w:szCs w:val="21"/>
          <w:highlight w:val="none"/>
        </w:rPr>
      </w:pPr>
      <w:r>
        <w:rPr>
          <w:rFonts w:hint="eastAsia"/>
          <w:color w:val="auto"/>
          <w:sz w:val="21"/>
          <w:szCs w:val="21"/>
          <w:highlight w:val="none"/>
        </w:rPr>
        <w:t>响应文件提交截止时间后30分钟内（详见“供应商须知前附表”)，供应商登录“广西政府采购云平台”，通过“项目采购-开标评标”功能解密电子响应文件。若供应商在上述规定时间内无法解密或解密失败，可以提交电子备份响应文件作为评审依据，在接到无法解密或解密失败的系统通知后，供应商可根据自身实际情况按系统通知要求的时间到达桂林市公共资源交易中心</w:t>
      </w:r>
      <w:r>
        <w:rPr>
          <w:rFonts w:hint="eastAsia"/>
          <w:color w:val="auto"/>
          <w:sz w:val="21"/>
          <w:szCs w:val="21"/>
          <w:highlight w:val="none"/>
          <w:lang w:val="en-US" w:eastAsia="zh-CN"/>
        </w:rPr>
        <w:t>9</w:t>
      </w:r>
      <w:r>
        <w:rPr>
          <w:rFonts w:hint="eastAsia"/>
          <w:color w:val="auto"/>
          <w:sz w:val="21"/>
          <w:szCs w:val="21"/>
          <w:highlight w:val="none"/>
        </w:rPr>
        <w:t>号开标室现场提交电子备份响应文件或以电子邮件（以系统通知时所告知的电子邮箱地址为准）的形式提交电子备份响应文件。若磋商供应商在规定时间内无法解密或解密失败且未提供电子备份响应文件的(包含提供的电子备份文件无效或无法解密的情况)，响应文件按无效处理。</w:t>
      </w:r>
    </w:p>
    <w:p w14:paraId="4233E5E5">
      <w:pPr>
        <w:pStyle w:val="13"/>
        <w:spacing w:before="7" w:line="360" w:lineRule="auto"/>
        <w:ind w:firstLine="442"/>
        <w:rPr>
          <w:color w:val="auto"/>
          <w:sz w:val="22"/>
          <w:highlight w:val="none"/>
        </w:rPr>
      </w:pPr>
    </w:p>
    <w:p w14:paraId="70E88448">
      <w:pPr>
        <w:pStyle w:val="5"/>
        <w:spacing w:line="360" w:lineRule="auto"/>
        <w:ind w:left="1019" w:right="780" w:firstLine="562"/>
        <w:jc w:val="center"/>
        <w:rPr>
          <w:color w:val="auto"/>
          <w:highlight w:val="none"/>
        </w:rPr>
      </w:pPr>
      <w:r>
        <w:rPr>
          <w:color w:val="auto"/>
          <w:highlight w:val="none"/>
        </w:rPr>
        <w:t>四、竞争性磋商（简称磋商）与评审</w:t>
      </w:r>
    </w:p>
    <w:p w14:paraId="74ADEE38">
      <w:pPr>
        <w:spacing w:line="360" w:lineRule="auto"/>
        <w:ind w:firstLine="422" w:firstLineChars="200"/>
        <w:rPr>
          <w:b/>
          <w:bCs/>
          <w:color w:val="auto"/>
          <w:sz w:val="21"/>
          <w:szCs w:val="21"/>
          <w:highlight w:val="none"/>
        </w:rPr>
      </w:pPr>
      <w:r>
        <w:rPr>
          <w:rFonts w:hint="eastAsia"/>
          <w:b/>
          <w:bCs/>
          <w:color w:val="auto"/>
          <w:sz w:val="21"/>
          <w:szCs w:val="21"/>
          <w:highlight w:val="none"/>
        </w:rPr>
        <w:t>19.磋商小组组成及磋商时间、地点、人员</w:t>
      </w:r>
    </w:p>
    <w:p w14:paraId="3524ED0A">
      <w:pPr>
        <w:spacing w:line="360" w:lineRule="auto"/>
        <w:ind w:firstLine="420" w:firstLineChars="200"/>
        <w:rPr>
          <w:color w:val="auto"/>
          <w:sz w:val="21"/>
          <w:szCs w:val="21"/>
          <w:highlight w:val="none"/>
        </w:rPr>
      </w:pPr>
      <w:r>
        <w:rPr>
          <w:rFonts w:hint="eastAsia"/>
          <w:color w:val="auto"/>
          <w:sz w:val="21"/>
          <w:szCs w:val="21"/>
          <w:highlight w:val="none"/>
        </w:rPr>
        <w:t>19.1磋商小组组成：</w:t>
      </w:r>
    </w:p>
    <w:p w14:paraId="54AEB80A">
      <w:pPr>
        <w:spacing w:line="360" w:lineRule="auto"/>
        <w:ind w:firstLine="420" w:firstLineChars="200"/>
        <w:rPr>
          <w:color w:val="auto"/>
          <w:sz w:val="21"/>
          <w:szCs w:val="21"/>
          <w:highlight w:val="none"/>
        </w:rPr>
      </w:pPr>
      <w:r>
        <w:rPr>
          <w:rFonts w:hint="eastAsia"/>
          <w:color w:val="auto"/>
          <w:sz w:val="21"/>
          <w:szCs w:val="21"/>
          <w:highlight w:val="none"/>
        </w:rPr>
        <w:t>磋商及评审工作由采购代理机构负责组织，具体磋商、评审工作由依法组建的磋商小组负责，磋商小组由政府采购评审专家库抽取的相关专业的专家组成。磋商小组的构成：3人。</w:t>
      </w:r>
    </w:p>
    <w:p w14:paraId="1C245A80">
      <w:pPr>
        <w:spacing w:line="360" w:lineRule="auto"/>
        <w:ind w:firstLine="420" w:firstLineChars="200"/>
        <w:rPr>
          <w:color w:val="auto"/>
          <w:sz w:val="21"/>
          <w:szCs w:val="21"/>
          <w:highlight w:val="none"/>
        </w:rPr>
      </w:pPr>
      <w:r>
        <w:rPr>
          <w:rFonts w:hint="eastAsia"/>
          <w:color w:val="auto"/>
          <w:sz w:val="21"/>
          <w:szCs w:val="21"/>
          <w:highlight w:val="none"/>
        </w:rPr>
        <w:t>19.2磋商时间、地点、人员：</w:t>
      </w:r>
    </w:p>
    <w:p w14:paraId="18BFB3E2">
      <w:pPr>
        <w:spacing w:line="360" w:lineRule="auto"/>
        <w:ind w:firstLine="420" w:firstLineChars="200"/>
        <w:rPr>
          <w:color w:val="auto"/>
          <w:sz w:val="21"/>
          <w:szCs w:val="21"/>
          <w:highlight w:val="none"/>
        </w:rPr>
      </w:pPr>
      <w:r>
        <w:rPr>
          <w:rFonts w:hint="eastAsia"/>
          <w:color w:val="auto"/>
          <w:sz w:val="21"/>
          <w:szCs w:val="21"/>
          <w:highlight w:val="none"/>
        </w:rPr>
        <w:t>19.2.1磋商时间：首次响应文件提交截止时间后。</w:t>
      </w:r>
    </w:p>
    <w:p w14:paraId="5DF3FCC6">
      <w:pPr>
        <w:spacing w:line="360" w:lineRule="auto"/>
        <w:ind w:firstLine="420" w:firstLineChars="200"/>
        <w:rPr>
          <w:color w:val="auto"/>
          <w:sz w:val="21"/>
          <w:szCs w:val="21"/>
          <w:highlight w:val="none"/>
        </w:rPr>
      </w:pPr>
      <w:r>
        <w:rPr>
          <w:rFonts w:hint="eastAsia"/>
          <w:color w:val="auto"/>
          <w:sz w:val="21"/>
          <w:szCs w:val="21"/>
          <w:highlight w:val="none"/>
        </w:rPr>
        <w:t>19.2.2磋商地点：供应商代表在响应文件提</w:t>
      </w:r>
      <w:r>
        <w:rPr>
          <w:rFonts w:hint="eastAsia" w:ascii="宋体" w:hAnsi="宋体" w:eastAsia="宋体" w:cs="宋体"/>
          <w:bCs/>
          <w:color w:val="auto"/>
          <w:sz w:val="21"/>
          <w:szCs w:val="21"/>
          <w:highlight w:val="none"/>
          <w:lang w:val="en-US" w:eastAsia="zh-CN" w:bidi="ar-SA"/>
        </w:rPr>
        <w:t>交当天实时登录“广</w:t>
      </w:r>
      <w:r>
        <w:rPr>
          <w:rFonts w:hint="eastAsia"/>
          <w:color w:val="auto"/>
          <w:sz w:val="21"/>
          <w:szCs w:val="21"/>
          <w:highlight w:val="none"/>
        </w:rPr>
        <w:t>西政府采购云平台”，按磋商小组要求在线等候参与磋商及提交最后报价。</w:t>
      </w:r>
    </w:p>
    <w:p w14:paraId="622C7CDB">
      <w:pPr>
        <w:pStyle w:val="13"/>
        <w:spacing w:line="360" w:lineRule="auto"/>
        <w:ind w:firstLine="420" w:firstLineChars="200"/>
        <w:rPr>
          <w:color w:val="auto"/>
          <w:highlight w:val="none"/>
        </w:rPr>
      </w:pPr>
      <w:bookmarkStart w:id="26" w:name="OLE_LINK28"/>
      <w:bookmarkStart w:id="27" w:name="OLE_LINK30"/>
      <w:bookmarkStart w:id="28" w:name="OLE_LINK104"/>
      <w:bookmarkStart w:id="29" w:name="OLE_LINK58"/>
      <w:r>
        <w:rPr>
          <w:rFonts w:hint="eastAsia"/>
          <w:bCs/>
          <w:color w:val="auto"/>
          <w:highlight w:val="none"/>
        </w:rPr>
        <w:t>供应商应保证提供的联系方式正确并保持畅通，以便评标过程中如需提供书面说明或澄清时，能及时联系到供应商，如在一个小时内未能联系到供应商，两个小时内其未能按要求提供书面说明或澄清，需提供的书面说明或澄清为实质性内容时，磋商小组应当将其作为无效投标处理。</w:t>
      </w:r>
    </w:p>
    <w:bookmarkEnd w:id="26"/>
    <w:bookmarkEnd w:id="27"/>
    <w:bookmarkEnd w:id="28"/>
    <w:bookmarkEnd w:id="29"/>
    <w:p w14:paraId="1FA33103">
      <w:pPr>
        <w:spacing w:line="360" w:lineRule="auto"/>
        <w:ind w:firstLine="420" w:firstLineChars="200"/>
        <w:rPr>
          <w:color w:val="auto"/>
          <w:sz w:val="21"/>
          <w:szCs w:val="21"/>
          <w:highlight w:val="none"/>
        </w:rPr>
      </w:pPr>
      <w:r>
        <w:rPr>
          <w:rFonts w:hint="eastAsia"/>
          <w:color w:val="auto"/>
          <w:sz w:val="21"/>
          <w:szCs w:val="21"/>
          <w:highlight w:val="none"/>
        </w:rPr>
        <w:t>19.2.3磋商参加人员：供应商法定代表人(负责人、自然人)或相应的委托代理人参加磋商。请供应商实</w:t>
      </w:r>
      <w:r>
        <w:rPr>
          <w:rFonts w:hint="eastAsia" w:ascii="宋体" w:hAnsi="宋体" w:eastAsia="宋体" w:cs="宋体"/>
          <w:bCs/>
          <w:color w:val="auto"/>
          <w:sz w:val="21"/>
          <w:szCs w:val="21"/>
          <w:highlight w:val="none"/>
          <w:lang w:val="en-US" w:eastAsia="zh-CN" w:bidi="ar-SA"/>
        </w:rPr>
        <w:t>时登录“广西</w:t>
      </w:r>
      <w:r>
        <w:rPr>
          <w:rFonts w:hint="eastAsia"/>
          <w:color w:val="auto"/>
          <w:sz w:val="21"/>
          <w:szCs w:val="21"/>
          <w:highlight w:val="none"/>
        </w:rPr>
        <w:t>政府采购云平台”等候在线磋商。</w:t>
      </w:r>
    </w:p>
    <w:p w14:paraId="35A5E490">
      <w:pPr>
        <w:spacing w:line="360" w:lineRule="auto"/>
        <w:ind w:firstLine="420" w:firstLineChars="200"/>
        <w:rPr>
          <w:color w:val="auto"/>
          <w:sz w:val="21"/>
          <w:szCs w:val="21"/>
          <w:highlight w:val="none"/>
        </w:rPr>
      </w:pPr>
      <w:r>
        <w:rPr>
          <w:rFonts w:hint="eastAsia"/>
          <w:color w:val="auto"/>
          <w:sz w:val="21"/>
          <w:szCs w:val="21"/>
          <w:highlight w:val="none"/>
        </w:rPr>
        <w:t>19.2.4首次响应文件提交截止时间后，登录“广西政府采购云平台”在线解密开启。</w:t>
      </w:r>
    </w:p>
    <w:p w14:paraId="58CE90FF">
      <w:pPr>
        <w:spacing w:line="360" w:lineRule="auto"/>
        <w:ind w:firstLine="422" w:firstLineChars="200"/>
        <w:rPr>
          <w:b/>
          <w:bCs/>
          <w:color w:val="auto"/>
          <w:sz w:val="21"/>
          <w:szCs w:val="21"/>
          <w:highlight w:val="none"/>
        </w:rPr>
      </w:pPr>
      <w:r>
        <w:rPr>
          <w:rFonts w:hint="eastAsia"/>
          <w:b/>
          <w:bCs/>
          <w:color w:val="auto"/>
          <w:sz w:val="21"/>
          <w:szCs w:val="21"/>
          <w:highlight w:val="none"/>
        </w:rPr>
        <w:t>20.评审原则和评审办法</w:t>
      </w:r>
    </w:p>
    <w:p w14:paraId="41A6CFBD">
      <w:pPr>
        <w:spacing w:line="360" w:lineRule="auto"/>
        <w:ind w:firstLine="420" w:firstLineChars="200"/>
        <w:rPr>
          <w:color w:val="auto"/>
          <w:sz w:val="21"/>
          <w:szCs w:val="21"/>
          <w:highlight w:val="none"/>
        </w:rPr>
      </w:pPr>
      <w:r>
        <w:rPr>
          <w:rFonts w:hint="eastAsia"/>
          <w:color w:val="auto"/>
          <w:sz w:val="21"/>
          <w:szCs w:val="21"/>
          <w:highlight w:val="none"/>
        </w:rPr>
        <w:t>20.1磋商小组必须坚持公平、公正、科学和择优的原则。</w:t>
      </w:r>
    </w:p>
    <w:p w14:paraId="4D9343DB">
      <w:pPr>
        <w:spacing w:line="360" w:lineRule="auto"/>
        <w:ind w:firstLine="420" w:firstLineChars="200"/>
        <w:rPr>
          <w:color w:val="auto"/>
          <w:sz w:val="21"/>
          <w:szCs w:val="21"/>
          <w:highlight w:val="none"/>
        </w:rPr>
      </w:pPr>
      <w:r>
        <w:rPr>
          <w:rFonts w:hint="eastAsia"/>
          <w:color w:val="auto"/>
          <w:sz w:val="21"/>
          <w:szCs w:val="21"/>
          <w:highlight w:val="none"/>
        </w:rPr>
        <w:t>20.2综合评分法，具体详见第四章评审办法。</w:t>
      </w:r>
    </w:p>
    <w:p w14:paraId="0B3ED2FB">
      <w:pPr>
        <w:spacing w:line="360" w:lineRule="auto"/>
        <w:ind w:firstLine="420" w:firstLineChars="200"/>
        <w:rPr>
          <w:color w:val="auto"/>
          <w:sz w:val="21"/>
          <w:szCs w:val="21"/>
          <w:highlight w:val="none"/>
        </w:rPr>
      </w:pPr>
      <w:r>
        <w:rPr>
          <w:rFonts w:hint="eastAsia"/>
          <w:color w:val="auto"/>
          <w:sz w:val="21"/>
          <w:szCs w:val="21"/>
          <w:highlight w:val="none"/>
        </w:rPr>
        <w:t>20.3磋商小组应按磋商文件进行评审，不得擅自更改评审办法。</w:t>
      </w:r>
    </w:p>
    <w:p w14:paraId="0C65776E">
      <w:pPr>
        <w:spacing w:line="360" w:lineRule="auto"/>
        <w:ind w:firstLine="420" w:firstLineChars="200"/>
        <w:rPr>
          <w:color w:val="auto"/>
          <w:sz w:val="21"/>
          <w:szCs w:val="21"/>
          <w:highlight w:val="none"/>
        </w:rPr>
      </w:pPr>
      <w:r>
        <w:rPr>
          <w:rFonts w:hint="eastAsia"/>
          <w:color w:val="auto"/>
          <w:sz w:val="21"/>
          <w:szCs w:val="21"/>
          <w:highlight w:val="none"/>
        </w:rPr>
        <w:t>20.4在评审过程中，磋商小组任何人不得对某个供应商发表任何倾向性意见，不得向其他磋商小组成员明示或者暗示自己的评审意见。</w:t>
      </w:r>
    </w:p>
    <w:p w14:paraId="729DC4F5">
      <w:pPr>
        <w:spacing w:line="360" w:lineRule="auto"/>
        <w:ind w:firstLine="420" w:firstLineChars="200"/>
        <w:rPr>
          <w:color w:val="auto"/>
          <w:sz w:val="21"/>
          <w:szCs w:val="21"/>
          <w:highlight w:val="none"/>
        </w:rPr>
      </w:pPr>
      <w:r>
        <w:rPr>
          <w:rFonts w:hint="eastAsia"/>
          <w:color w:val="auto"/>
          <w:sz w:val="21"/>
          <w:szCs w:val="21"/>
          <w:highlight w:val="none"/>
        </w:rPr>
        <w:t>20.5磋商小组成员对需要共同认定的事项存在争议的，按照少数服从多数的原则作出结论。持不同意见的磋商小组成员应当在评审报告上签署不同意见并说明理由，否则视为同意。</w:t>
      </w:r>
    </w:p>
    <w:p w14:paraId="559B6AD7">
      <w:pPr>
        <w:spacing w:line="360" w:lineRule="auto"/>
        <w:ind w:firstLine="422" w:firstLineChars="200"/>
        <w:rPr>
          <w:b/>
          <w:bCs/>
          <w:color w:val="auto"/>
          <w:sz w:val="21"/>
          <w:szCs w:val="21"/>
          <w:highlight w:val="none"/>
        </w:rPr>
      </w:pPr>
      <w:r>
        <w:rPr>
          <w:rFonts w:hint="eastAsia"/>
          <w:b/>
          <w:bCs/>
          <w:color w:val="auto"/>
          <w:sz w:val="21"/>
          <w:szCs w:val="21"/>
          <w:highlight w:val="none"/>
        </w:rPr>
        <w:t>21.评审程序及磋商要求</w:t>
      </w:r>
    </w:p>
    <w:p w14:paraId="5F405154">
      <w:pPr>
        <w:spacing w:line="360" w:lineRule="auto"/>
        <w:ind w:firstLine="420" w:firstLineChars="200"/>
        <w:rPr>
          <w:color w:val="auto"/>
          <w:sz w:val="21"/>
          <w:szCs w:val="21"/>
          <w:highlight w:val="none"/>
        </w:rPr>
      </w:pPr>
      <w:r>
        <w:rPr>
          <w:rFonts w:hint="eastAsia"/>
          <w:color w:val="auto"/>
          <w:sz w:val="21"/>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176601A1">
      <w:pPr>
        <w:spacing w:line="360" w:lineRule="auto"/>
        <w:ind w:firstLine="420" w:firstLineChars="200"/>
        <w:rPr>
          <w:color w:val="auto"/>
          <w:sz w:val="21"/>
          <w:szCs w:val="21"/>
          <w:highlight w:val="none"/>
        </w:rPr>
      </w:pPr>
      <w:r>
        <w:rPr>
          <w:rFonts w:hint="eastAsia"/>
          <w:color w:val="auto"/>
          <w:sz w:val="21"/>
          <w:szCs w:val="21"/>
          <w:highlight w:val="none"/>
        </w:rPr>
        <w:t>21.2磋商小组应当审查供应商的响应文件并作出评价；要求供应商解释或者澄清其响应文件；编写评审报告；告知采购人、采购代理机构在评审过程中发现的供应商的违法违规行为。</w:t>
      </w:r>
    </w:p>
    <w:p w14:paraId="7F469022">
      <w:pPr>
        <w:spacing w:line="360" w:lineRule="auto"/>
        <w:ind w:firstLine="420" w:firstLineChars="200"/>
        <w:rPr>
          <w:color w:val="auto"/>
          <w:sz w:val="21"/>
          <w:szCs w:val="21"/>
          <w:highlight w:val="none"/>
        </w:rPr>
      </w:pPr>
      <w:r>
        <w:rPr>
          <w:rFonts w:hint="eastAsia"/>
          <w:color w:val="auto"/>
          <w:sz w:val="21"/>
          <w:szCs w:val="21"/>
          <w:highlight w:val="none"/>
        </w:rPr>
        <w:t>21.3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53D925CB">
      <w:pPr>
        <w:spacing w:line="360" w:lineRule="auto"/>
        <w:ind w:firstLine="420" w:firstLineChars="200"/>
        <w:rPr>
          <w:color w:val="auto"/>
          <w:sz w:val="21"/>
          <w:szCs w:val="21"/>
          <w:highlight w:val="none"/>
        </w:rPr>
      </w:pPr>
      <w:r>
        <w:rPr>
          <w:rFonts w:hint="eastAsia"/>
          <w:color w:val="auto"/>
          <w:sz w:val="21"/>
          <w:szCs w:val="21"/>
          <w:highlight w:val="none"/>
        </w:rPr>
        <w:t>21.4磋商小组在对供应商进行资格性审查时，将对供应商企业股东及出资等信息进行查询。根据</w:t>
      </w:r>
    </w:p>
    <w:p w14:paraId="6DF11E4A">
      <w:pPr>
        <w:spacing w:line="360" w:lineRule="auto"/>
        <w:ind w:firstLine="420" w:firstLineChars="200"/>
        <w:rPr>
          <w:color w:val="auto"/>
          <w:sz w:val="21"/>
          <w:szCs w:val="21"/>
          <w:highlight w:val="none"/>
        </w:rPr>
      </w:pPr>
      <w:r>
        <w:rPr>
          <w:rFonts w:hint="eastAsia"/>
          <w:color w:val="auto"/>
          <w:sz w:val="21"/>
          <w:szCs w:val="21"/>
          <w:highlight w:val="none"/>
        </w:rPr>
        <w:t>《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C19788D">
      <w:pPr>
        <w:spacing w:line="360" w:lineRule="auto"/>
        <w:ind w:firstLine="420" w:firstLineChars="200"/>
        <w:rPr>
          <w:color w:val="auto"/>
          <w:sz w:val="21"/>
          <w:szCs w:val="21"/>
          <w:highlight w:val="none"/>
        </w:rPr>
      </w:pPr>
      <w:r>
        <w:rPr>
          <w:rFonts w:hint="eastAsia"/>
          <w:color w:val="auto"/>
          <w:sz w:val="21"/>
          <w:szCs w:val="21"/>
          <w:highlight w:val="none"/>
        </w:rPr>
        <w:t>21.4.1查询渠道：《国家企业信用信息公示系统》（网址：</w:t>
      </w:r>
      <w:r>
        <w:rPr>
          <w:color w:val="auto"/>
          <w:highlight w:val="none"/>
        </w:rPr>
        <w:fldChar w:fldCharType="begin"/>
      </w:r>
      <w:r>
        <w:rPr>
          <w:color w:val="auto"/>
          <w:highlight w:val="none"/>
        </w:rPr>
        <w:instrText xml:space="preserve"> HYPERLINK "http://www.gsxt.gov.cn/index.html" \h </w:instrText>
      </w:r>
      <w:r>
        <w:rPr>
          <w:color w:val="auto"/>
          <w:highlight w:val="none"/>
        </w:rPr>
        <w:fldChar w:fldCharType="separate"/>
      </w:r>
      <w:r>
        <w:rPr>
          <w:rFonts w:hint="eastAsia"/>
          <w:color w:val="auto"/>
          <w:sz w:val="21"/>
          <w:szCs w:val="21"/>
          <w:highlight w:val="none"/>
        </w:rPr>
        <w:t>www.gsxt.gov.cn/index.html</w:t>
      </w:r>
      <w:r>
        <w:rPr>
          <w:rFonts w:hint="eastAsia"/>
          <w:color w:val="auto"/>
          <w:sz w:val="21"/>
          <w:szCs w:val="21"/>
          <w:highlight w:val="none"/>
        </w:rPr>
        <w:fldChar w:fldCharType="end"/>
      </w:r>
      <w:r>
        <w:rPr>
          <w:rFonts w:hint="eastAsia"/>
          <w:color w:val="auto"/>
          <w:sz w:val="21"/>
          <w:szCs w:val="21"/>
          <w:highlight w:val="none"/>
        </w:rPr>
        <w:t>）</w:t>
      </w:r>
    </w:p>
    <w:p w14:paraId="50ACADB5">
      <w:pPr>
        <w:spacing w:line="360" w:lineRule="auto"/>
        <w:ind w:firstLine="420" w:firstLineChars="200"/>
        <w:rPr>
          <w:color w:val="auto"/>
          <w:sz w:val="21"/>
          <w:szCs w:val="21"/>
          <w:highlight w:val="none"/>
        </w:rPr>
      </w:pPr>
      <w:r>
        <w:rPr>
          <w:rFonts w:hint="eastAsia"/>
          <w:color w:val="auto"/>
          <w:sz w:val="21"/>
          <w:szCs w:val="21"/>
          <w:highlight w:val="none"/>
        </w:rPr>
        <w:t>21.4.2审查流程：</w:t>
      </w:r>
    </w:p>
    <w:p w14:paraId="1EEDEE43">
      <w:pPr>
        <w:spacing w:line="360" w:lineRule="auto"/>
        <w:ind w:firstLine="420" w:firstLineChars="200"/>
        <w:rPr>
          <w:color w:val="auto"/>
          <w:sz w:val="21"/>
          <w:szCs w:val="21"/>
          <w:highlight w:val="none"/>
        </w:rPr>
      </w:pPr>
      <w:r>
        <w:rPr>
          <w:rFonts w:hint="eastAsia"/>
          <w:color w:val="auto"/>
          <w:sz w:val="21"/>
          <w:szCs w:val="21"/>
          <w:highlight w:val="none"/>
        </w:rPr>
        <w:t>（1）进入《国家企业信用信息公示系统》（网址：</w:t>
      </w:r>
      <w:r>
        <w:rPr>
          <w:color w:val="auto"/>
          <w:highlight w:val="none"/>
        </w:rPr>
        <w:fldChar w:fldCharType="begin"/>
      </w:r>
      <w:r>
        <w:rPr>
          <w:color w:val="auto"/>
          <w:highlight w:val="none"/>
        </w:rPr>
        <w:instrText xml:space="preserve"> HYPERLINK "http://www.gsxt.gov.cn/index.html" \h </w:instrText>
      </w:r>
      <w:r>
        <w:rPr>
          <w:color w:val="auto"/>
          <w:highlight w:val="none"/>
        </w:rPr>
        <w:fldChar w:fldCharType="separate"/>
      </w:r>
      <w:r>
        <w:rPr>
          <w:rFonts w:hint="eastAsia"/>
          <w:color w:val="auto"/>
          <w:sz w:val="21"/>
          <w:szCs w:val="21"/>
          <w:highlight w:val="none"/>
        </w:rPr>
        <w:t>www.gsxt.gov.cn/index.html</w:t>
      </w:r>
      <w:r>
        <w:rPr>
          <w:rFonts w:hint="eastAsia"/>
          <w:color w:val="auto"/>
          <w:sz w:val="21"/>
          <w:szCs w:val="21"/>
          <w:highlight w:val="none"/>
        </w:rPr>
        <w:fldChar w:fldCharType="end"/>
      </w:r>
      <w:r>
        <w:rPr>
          <w:rFonts w:hint="eastAsia"/>
          <w:color w:val="auto"/>
          <w:sz w:val="21"/>
          <w:szCs w:val="21"/>
          <w:highlight w:val="none"/>
        </w:rPr>
        <w:t>），输入企业名称，进入企业信息主页面；</w:t>
      </w:r>
    </w:p>
    <w:p w14:paraId="2A63EF9A">
      <w:pPr>
        <w:spacing w:line="360" w:lineRule="auto"/>
        <w:ind w:firstLine="420" w:firstLineChars="200"/>
        <w:rPr>
          <w:color w:val="auto"/>
          <w:sz w:val="21"/>
          <w:szCs w:val="21"/>
          <w:highlight w:val="none"/>
        </w:rPr>
      </w:pPr>
      <w:r>
        <w:rPr>
          <w:rFonts w:hint="eastAsia"/>
          <w:color w:val="auto"/>
          <w:sz w:val="21"/>
          <w:szCs w:val="21"/>
          <w:highlight w:val="none"/>
        </w:rPr>
        <w:t>（2）查看主页“股东及出资信息”栏，或年报中的“股东及出资信息”栏信息；</w:t>
      </w:r>
    </w:p>
    <w:p w14:paraId="4E00C392">
      <w:pPr>
        <w:spacing w:line="360" w:lineRule="auto"/>
        <w:ind w:firstLine="420" w:firstLineChars="200"/>
        <w:rPr>
          <w:color w:val="auto"/>
          <w:sz w:val="21"/>
          <w:szCs w:val="21"/>
          <w:highlight w:val="none"/>
        </w:rPr>
      </w:pPr>
      <w:r>
        <w:rPr>
          <w:rFonts w:hint="eastAsia"/>
          <w:color w:val="auto"/>
          <w:sz w:val="21"/>
          <w:szCs w:val="21"/>
          <w:highlight w:val="none"/>
        </w:rPr>
        <w:t>（3）将各供应商的股东及出资信息进行比对，得出审查结论；</w:t>
      </w:r>
    </w:p>
    <w:p w14:paraId="7BA1A1E2">
      <w:pPr>
        <w:spacing w:line="360" w:lineRule="auto"/>
        <w:ind w:firstLine="420" w:firstLineChars="200"/>
        <w:rPr>
          <w:color w:val="auto"/>
          <w:sz w:val="21"/>
          <w:szCs w:val="21"/>
          <w:highlight w:val="none"/>
        </w:rPr>
      </w:pPr>
      <w:r>
        <w:rPr>
          <w:rFonts w:hint="eastAsia"/>
          <w:color w:val="auto"/>
          <w:sz w:val="21"/>
          <w:szCs w:val="21"/>
          <w:highlight w:val="none"/>
        </w:rPr>
        <w:t>（4）将相关资料作为评审资料打印存档。</w:t>
      </w:r>
    </w:p>
    <w:p w14:paraId="510C8CF0">
      <w:pPr>
        <w:spacing w:line="360" w:lineRule="auto"/>
        <w:ind w:firstLine="420" w:firstLineChars="200"/>
        <w:rPr>
          <w:color w:val="auto"/>
          <w:sz w:val="21"/>
          <w:szCs w:val="21"/>
          <w:highlight w:val="none"/>
        </w:rPr>
      </w:pPr>
      <w:r>
        <w:rPr>
          <w:rFonts w:hint="eastAsia"/>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889DEFC">
      <w:pPr>
        <w:spacing w:line="360" w:lineRule="auto"/>
        <w:ind w:firstLine="420" w:firstLineChars="200"/>
        <w:rPr>
          <w:color w:val="auto"/>
          <w:sz w:val="21"/>
          <w:szCs w:val="21"/>
          <w:highlight w:val="none"/>
        </w:rPr>
      </w:pPr>
      <w:r>
        <w:rPr>
          <w:rFonts w:hint="eastAsia"/>
          <w:color w:val="auto"/>
          <w:sz w:val="21"/>
          <w:szCs w:val="21"/>
          <w:highlight w:val="none"/>
        </w:rPr>
        <w:t>21.5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证书签章），或者由法定代表人（负责人）或其授权委托代理人个人CA证书签章（没有办理个人CA证书签章的可在响应文件中涉及到签字的位置手写签字后扫描或者拍照做成PDF的格式上传），供应商为自然人的，应当由本人个人CA证书签章（没有办理个人CA证书签章的可在响应文件中涉及到签字的位置手写签字后扫描或者拍照做成PDF的格式上传）并附身份证明。</w:t>
      </w:r>
    </w:p>
    <w:p w14:paraId="7B9E0F5B">
      <w:pPr>
        <w:spacing w:line="360" w:lineRule="auto"/>
        <w:ind w:firstLine="420" w:firstLineChars="200"/>
        <w:rPr>
          <w:color w:val="auto"/>
          <w:sz w:val="21"/>
          <w:szCs w:val="21"/>
          <w:highlight w:val="none"/>
        </w:rPr>
      </w:pPr>
      <w:r>
        <w:rPr>
          <w:rFonts w:hint="eastAsia"/>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0B61D43E">
      <w:pPr>
        <w:spacing w:line="360" w:lineRule="auto"/>
        <w:ind w:firstLine="420" w:firstLineChars="200"/>
        <w:rPr>
          <w:color w:val="auto"/>
          <w:sz w:val="21"/>
          <w:szCs w:val="21"/>
          <w:highlight w:val="none"/>
        </w:rPr>
      </w:pPr>
      <w:r>
        <w:rPr>
          <w:rFonts w:hint="eastAsia"/>
          <w:color w:val="auto"/>
          <w:sz w:val="21"/>
          <w:szCs w:val="21"/>
          <w:highlight w:val="none"/>
        </w:rPr>
        <w:t>磋商小组所有成员应当按已确定的磋商顺序集中与单一供应商分别进行磋商，并给予所有实质性响应竞争性磋商文件要求的供应商平等的磋商机会。</w:t>
      </w:r>
    </w:p>
    <w:p w14:paraId="2D2F537A">
      <w:pPr>
        <w:spacing w:line="360" w:lineRule="auto"/>
        <w:ind w:firstLine="420" w:firstLineChars="200"/>
        <w:rPr>
          <w:color w:val="auto"/>
          <w:sz w:val="21"/>
          <w:szCs w:val="21"/>
          <w:highlight w:val="none"/>
        </w:rPr>
      </w:pPr>
      <w:r>
        <w:rPr>
          <w:rFonts w:hint="eastAsia"/>
          <w:color w:val="auto"/>
          <w:sz w:val="21"/>
          <w:szCs w:val="21"/>
          <w:highlight w:val="none"/>
        </w:rPr>
        <w:t>磋商中，磋商小组不得透露与磋商有关的其他供应商的技术资料、价格和其他信息。</w:t>
      </w:r>
    </w:p>
    <w:p w14:paraId="35B044FE">
      <w:pPr>
        <w:spacing w:line="360" w:lineRule="auto"/>
        <w:ind w:firstLine="420" w:firstLineChars="200"/>
        <w:rPr>
          <w:color w:val="auto"/>
          <w:sz w:val="21"/>
          <w:szCs w:val="21"/>
          <w:highlight w:val="none"/>
        </w:rPr>
      </w:pPr>
      <w:r>
        <w:rPr>
          <w:rFonts w:hint="eastAsia"/>
          <w:color w:val="auto"/>
          <w:sz w:val="21"/>
          <w:szCs w:val="21"/>
          <w:highlight w:val="none"/>
        </w:rPr>
        <w:t>采购代理机构（磋商小组）对磋商过程和重要磋商内容进行记录，磋商双方在记录上签字确认（或CA证书签章）。</w:t>
      </w:r>
    </w:p>
    <w:p w14:paraId="78B857CB">
      <w:pPr>
        <w:pStyle w:val="13"/>
        <w:spacing w:line="360" w:lineRule="auto"/>
        <w:ind w:firstLine="420" w:firstLineChars="200"/>
        <w:rPr>
          <w:color w:val="auto"/>
          <w:highlight w:val="none"/>
        </w:rPr>
      </w:pPr>
      <w:bookmarkStart w:id="30" w:name="OLE_LINK59"/>
      <w:bookmarkStart w:id="31" w:name="OLE_LINK15"/>
      <w:bookmarkStart w:id="32" w:name="OLE_LINK16"/>
      <w:r>
        <w:rPr>
          <w:rFonts w:hint="eastAsia"/>
          <w:color w:val="auto"/>
          <w:highlight w:val="none"/>
        </w:rPr>
        <w:t>注：</w:t>
      </w:r>
      <w:r>
        <w:rPr>
          <w:rFonts w:hint="eastAsia"/>
          <w:bCs/>
          <w:color w:val="auto"/>
          <w:highlight w:val="none"/>
        </w:rPr>
        <w:t>供应商应保证提供的联系方式正确并保持畅通，以便评标过程中如需提供书面说明或澄清时，能及时联系到供应商，如在一个小时内未能联系到供应商，两个小时内其未能按要求提供书面说明或澄清，需提供的书面说明或澄清为实质性内容时，磋商小组应当将其作为无效投标处理。</w:t>
      </w:r>
    </w:p>
    <w:bookmarkEnd w:id="30"/>
    <w:bookmarkEnd w:id="31"/>
    <w:bookmarkEnd w:id="32"/>
    <w:p w14:paraId="17BC9982">
      <w:pPr>
        <w:spacing w:line="360" w:lineRule="auto"/>
        <w:ind w:firstLine="420" w:firstLineChars="200"/>
        <w:rPr>
          <w:color w:val="auto"/>
          <w:sz w:val="21"/>
          <w:szCs w:val="21"/>
          <w:highlight w:val="none"/>
        </w:rPr>
      </w:pPr>
      <w:r>
        <w:rPr>
          <w:rFonts w:hint="eastAsia"/>
          <w:color w:val="auto"/>
          <w:sz w:val="21"/>
          <w:szCs w:val="21"/>
          <w:highlight w:val="none"/>
        </w:rPr>
        <w:t>21.6在磋商过程中，磋商小组可以根据磋商文件和磋商情况实质性变动项目需求中的技术、服务要求以及合同草案条款，但不得变动磋商文件中的其他内容。实质性变动的内容，须经采购人代表确认。</w:t>
      </w:r>
    </w:p>
    <w:p w14:paraId="639983E3">
      <w:pPr>
        <w:spacing w:line="360" w:lineRule="auto"/>
        <w:ind w:firstLine="420" w:firstLineChars="200"/>
        <w:rPr>
          <w:color w:val="auto"/>
          <w:sz w:val="21"/>
          <w:szCs w:val="21"/>
          <w:highlight w:val="none"/>
        </w:rPr>
      </w:pPr>
      <w:r>
        <w:rPr>
          <w:rFonts w:hint="eastAsia"/>
          <w:color w:val="auto"/>
          <w:sz w:val="21"/>
          <w:szCs w:val="21"/>
          <w:highlight w:val="none"/>
        </w:rPr>
        <w:t>对磋商文件作出的实质性变动是磋商文件的有效组成部分，磋商小组应当及时通过“广西政府采购云平台”以书面形式同时通知所有参加磋商的供应商。</w:t>
      </w:r>
    </w:p>
    <w:p w14:paraId="0E041A35">
      <w:pPr>
        <w:spacing w:line="360" w:lineRule="auto"/>
        <w:ind w:firstLine="420" w:firstLineChars="200"/>
        <w:rPr>
          <w:color w:val="auto"/>
          <w:sz w:val="21"/>
          <w:szCs w:val="21"/>
          <w:highlight w:val="none"/>
        </w:rPr>
      </w:pPr>
      <w:r>
        <w:rPr>
          <w:rFonts w:hint="eastAsia"/>
          <w:color w:val="auto"/>
          <w:sz w:val="21"/>
          <w:szCs w:val="21"/>
          <w:highlight w:val="none"/>
        </w:rPr>
        <w:t>供应商必须按照磋商文件的变动情况和磋商小组的要求重新提交响应文件，并由其法定代表人(负责人、自然人)或相应的授权委托代表个人CA证书签章（没有办理个人CA证书签章的可在响应文件中涉及到签字的位置手写签字后扫描或者拍照做成PDF的格式上传）或者加盖供应商公章（CA证书签章）。逾时不交的，视同放弃磋商。</w:t>
      </w:r>
    </w:p>
    <w:p w14:paraId="3BED53EF">
      <w:pPr>
        <w:spacing w:line="360" w:lineRule="auto"/>
        <w:ind w:firstLine="420" w:firstLineChars="200"/>
        <w:rPr>
          <w:color w:val="auto"/>
          <w:sz w:val="21"/>
          <w:szCs w:val="21"/>
          <w:highlight w:val="none"/>
        </w:rPr>
      </w:pPr>
      <w:r>
        <w:rPr>
          <w:rFonts w:hint="eastAsia"/>
          <w:color w:val="auto"/>
          <w:sz w:val="21"/>
          <w:szCs w:val="21"/>
          <w:highlight w:val="none"/>
        </w:rPr>
        <w:t>21.7最后报价</w:t>
      </w:r>
    </w:p>
    <w:p w14:paraId="0E3924CB">
      <w:pPr>
        <w:spacing w:line="360" w:lineRule="auto"/>
        <w:ind w:firstLine="420" w:firstLineChars="200"/>
        <w:rPr>
          <w:color w:val="auto"/>
          <w:sz w:val="21"/>
          <w:szCs w:val="21"/>
          <w:highlight w:val="none"/>
        </w:rPr>
      </w:pPr>
      <w:r>
        <w:rPr>
          <w:rFonts w:hint="eastAsia"/>
          <w:color w:val="auto"/>
          <w:sz w:val="21"/>
          <w:szCs w:val="21"/>
          <w:highlight w:val="none"/>
        </w:rPr>
        <w:t>21.7.1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磋商供应商提供最终方案或解决方案的，磋商结束后，磋商小组应当按照少数服从多数的原则投票推荐3家以上（含3家）供应商的最终方案或者解决方案，并要求其在规定时间内通过“广西政府采购云平台”在线提交最后报价。</w:t>
      </w:r>
    </w:p>
    <w:p w14:paraId="602E5EE6">
      <w:pPr>
        <w:spacing w:line="360" w:lineRule="auto"/>
        <w:ind w:firstLine="420" w:firstLineChars="200"/>
        <w:rPr>
          <w:color w:val="auto"/>
          <w:sz w:val="21"/>
          <w:szCs w:val="21"/>
          <w:highlight w:val="none"/>
        </w:rPr>
      </w:pPr>
      <w:r>
        <w:rPr>
          <w:rFonts w:hint="eastAsia"/>
          <w:color w:val="auto"/>
          <w:sz w:val="21"/>
          <w:szCs w:val="21"/>
          <w:highlight w:val="none"/>
        </w:rPr>
        <w:t>21.7.2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6DB03A63">
      <w:pPr>
        <w:spacing w:line="360" w:lineRule="auto"/>
        <w:ind w:firstLine="420" w:firstLineChars="200"/>
        <w:rPr>
          <w:color w:val="auto"/>
          <w:sz w:val="21"/>
          <w:szCs w:val="21"/>
          <w:highlight w:val="none"/>
        </w:rPr>
      </w:pPr>
      <w:r>
        <w:rPr>
          <w:rFonts w:hint="eastAsia"/>
          <w:color w:val="auto"/>
          <w:sz w:val="21"/>
          <w:szCs w:val="21"/>
          <w:highlight w:val="none"/>
        </w:rPr>
        <w:t>21.7.3最后报价是供应商响应文件的有效组成部分。</w:t>
      </w:r>
    </w:p>
    <w:p w14:paraId="733F4D73">
      <w:pPr>
        <w:spacing w:line="360" w:lineRule="auto"/>
        <w:ind w:firstLine="420" w:firstLineChars="200"/>
        <w:rPr>
          <w:color w:val="auto"/>
          <w:sz w:val="21"/>
          <w:szCs w:val="21"/>
          <w:highlight w:val="none"/>
        </w:rPr>
      </w:pPr>
      <w:r>
        <w:rPr>
          <w:rFonts w:hint="eastAsia"/>
          <w:color w:val="auto"/>
          <w:sz w:val="21"/>
          <w:szCs w:val="21"/>
          <w:highlight w:val="none"/>
        </w:rPr>
        <w:t>21.8已提交响应文件的供应商，在提交最后报价之前，可以根据磋商情况书面退出磋商。</w:t>
      </w:r>
    </w:p>
    <w:p w14:paraId="0BE474B9">
      <w:pPr>
        <w:spacing w:line="360" w:lineRule="auto"/>
        <w:ind w:firstLine="420" w:firstLineChars="200"/>
        <w:rPr>
          <w:color w:val="auto"/>
          <w:sz w:val="21"/>
          <w:szCs w:val="21"/>
          <w:highlight w:val="none"/>
        </w:rPr>
      </w:pPr>
      <w:r>
        <w:rPr>
          <w:rFonts w:hint="eastAsia"/>
          <w:color w:val="auto"/>
          <w:sz w:val="21"/>
          <w:szCs w:val="21"/>
          <w:highlight w:val="none"/>
        </w:rPr>
        <w:t>未书面退出磋商的供应商必须在规定时间内通过“广西政府采购云平台”在线提交最后报价；磋商过程中磋商文件未作实质性变动的，最后报价不得大于首次报价。</w:t>
      </w:r>
    </w:p>
    <w:p w14:paraId="65CCCC08">
      <w:pPr>
        <w:spacing w:line="360" w:lineRule="auto"/>
        <w:ind w:firstLine="420" w:firstLineChars="200"/>
        <w:rPr>
          <w:color w:val="auto"/>
          <w:sz w:val="21"/>
          <w:szCs w:val="21"/>
          <w:highlight w:val="none"/>
        </w:rPr>
      </w:pPr>
      <w:r>
        <w:rPr>
          <w:rFonts w:hint="eastAsia"/>
          <w:color w:val="auto"/>
          <w:sz w:val="21"/>
          <w:szCs w:val="21"/>
          <w:highlight w:val="none"/>
        </w:rPr>
        <w:t>21.9综合比较与评价：</w:t>
      </w:r>
    </w:p>
    <w:p w14:paraId="6156170B">
      <w:pPr>
        <w:spacing w:line="360" w:lineRule="auto"/>
        <w:ind w:firstLine="420" w:firstLineChars="200"/>
        <w:rPr>
          <w:color w:val="auto"/>
          <w:sz w:val="21"/>
          <w:szCs w:val="21"/>
          <w:highlight w:val="none"/>
        </w:rPr>
      </w:pPr>
      <w:r>
        <w:rPr>
          <w:rFonts w:hint="eastAsia"/>
          <w:color w:val="auto"/>
          <w:sz w:val="21"/>
          <w:szCs w:val="21"/>
          <w:highlight w:val="none"/>
        </w:rPr>
        <w:t>21.9.1磋商小组按竞争性磋商文件中规定的评审办法，对资格性审查和符合性审查合格的响应文件进行商务和技术评估，综合比较与评价。</w:t>
      </w:r>
    </w:p>
    <w:p w14:paraId="2157A22A">
      <w:pPr>
        <w:spacing w:line="360" w:lineRule="auto"/>
        <w:ind w:firstLine="420" w:firstLineChars="200"/>
        <w:rPr>
          <w:color w:val="auto"/>
          <w:sz w:val="21"/>
          <w:szCs w:val="21"/>
          <w:highlight w:val="none"/>
        </w:rPr>
      </w:pPr>
      <w:r>
        <w:rPr>
          <w:rFonts w:hint="eastAsia"/>
          <w:color w:val="auto"/>
          <w:sz w:val="21"/>
          <w:szCs w:val="21"/>
          <w:highlight w:val="none"/>
        </w:rPr>
        <w:t>21.9.2磋商小组成员应当独立对每个供应商的响应文件进行评价，最终汇总每个供应商的得分。各供应商的得分为所有磋商小组的有效评分的算术平均数。</w:t>
      </w:r>
    </w:p>
    <w:p w14:paraId="667076FF">
      <w:pPr>
        <w:spacing w:line="360" w:lineRule="auto"/>
        <w:ind w:firstLine="420" w:firstLineChars="200"/>
        <w:rPr>
          <w:color w:val="auto"/>
          <w:sz w:val="21"/>
          <w:szCs w:val="21"/>
          <w:highlight w:val="none"/>
        </w:rPr>
      </w:pPr>
      <w:r>
        <w:rPr>
          <w:rFonts w:hint="eastAsia"/>
          <w:color w:val="auto"/>
          <w:sz w:val="21"/>
          <w:szCs w:val="21"/>
          <w:highlight w:val="none"/>
        </w:rPr>
        <w:t>21.9.3采购代理机构对评审数据进行校对、核对，对畸高、畸低的重大差异评分提示磋商小组复核或书面说明理由。</w:t>
      </w:r>
    </w:p>
    <w:p w14:paraId="3F77305F">
      <w:pPr>
        <w:spacing w:line="360" w:lineRule="auto"/>
        <w:ind w:firstLine="420" w:firstLineChars="200"/>
        <w:rPr>
          <w:color w:val="auto"/>
          <w:sz w:val="21"/>
          <w:szCs w:val="21"/>
          <w:highlight w:val="none"/>
        </w:rPr>
      </w:pPr>
      <w:r>
        <w:rPr>
          <w:rFonts w:hint="eastAsia"/>
          <w:color w:val="auto"/>
          <w:sz w:val="21"/>
          <w:szCs w:val="21"/>
          <w:highlight w:val="none"/>
        </w:rPr>
        <w:t>21.10在评审过程中出现法律法规和磋商文件均没有明确规定的情形时，由磋商小组现场协商解决，协商不一致的，由全体磋商小组投票表决，以得票率二分之一以上专家的意见为准。</w:t>
      </w:r>
    </w:p>
    <w:p w14:paraId="4EEA7FD8">
      <w:pPr>
        <w:spacing w:line="360" w:lineRule="auto"/>
        <w:ind w:firstLine="420" w:firstLineChars="200"/>
        <w:rPr>
          <w:color w:val="auto"/>
          <w:sz w:val="21"/>
          <w:szCs w:val="21"/>
          <w:highlight w:val="none"/>
        </w:rPr>
      </w:pPr>
      <w:r>
        <w:rPr>
          <w:rFonts w:hint="eastAsia"/>
          <w:color w:val="auto"/>
          <w:sz w:val="21"/>
          <w:szCs w:val="21"/>
          <w:highlight w:val="none"/>
        </w:rPr>
        <w:t>21.11采购代理机构发现磋商小组有明显的违规倾向或歧视现象，或不按评审办法进行，或其他不正常行为的，应当及时制止。如制止无效，应及时向行政监督管理机构报告。</w:t>
      </w:r>
    </w:p>
    <w:p w14:paraId="5B63810A">
      <w:pPr>
        <w:snapToGrid w:val="0"/>
        <w:spacing w:line="360" w:lineRule="auto"/>
        <w:ind w:firstLine="422" w:firstLineChars="200"/>
        <w:rPr>
          <w:rFonts w:ascii="宋体" w:hAnsi="宋体" w:cs="宋体"/>
          <w:b/>
          <w:bCs/>
          <w:color w:val="auto"/>
          <w:sz w:val="21"/>
          <w:szCs w:val="21"/>
          <w:highlight w:val="none"/>
        </w:rPr>
      </w:pPr>
      <w:r>
        <w:rPr>
          <w:rFonts w:hint="eastAsia"/>
          <w:b/>
          <w:bCs/>
          <w:color w:val="auto"/>
          <w:sz w:val="21"/>
          <w:szCs w:val="21"/>
          <w:highlight w:val="none"/>
          <w:lang w:val="en-US" w:eastAsia="zh-CN"/>
        </w:rPr>
        <w:t>21.12</w:t>
      </w:r>
      <w:r>
        <w:rPr>
          <w:rFonts w:hint="eastAsia" w:ascii="宋体" w:hAnsi="宋体" w:cs="宋体"/>
          <w:b/>
          <w:bCs/>
          <w:color w:val="auto"/>
          <w:sz w:val="21"/>
          <w:szCs w:val="21"/>
          <w:highlight w:val="none"/>
        </w:rPr>
        <w:t>政府采购评审中出现下列情形之一的，磋商小组应当启动异常低价</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（响应）审查程序：</w:t>
      </w:r>
    </w:p>
    <w:p w14:paraId="14EFEF4F">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1）</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（响应）报价低于全部通过符合性审查供应商</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（响应）报价平均值</w:t>
      </w:r>
      <w:r>
        <w:rPr>
          <w:rFonts w:hint="eastAsia" w:ascii="宋体" w:hAnsi="宋体" w:cs="宋体"/>
          <w:b/>
          <w:bCs/>
          <w:color w:val="auto"/>
          <w:sz w:val="21"/>
          <w:szCs w:val="21"/>
          <w:highlight w:val="none"/>
          <w:lang w:val="en-US" w:eastAsia="zh-CN"/>
        </w:rPr>
        <w:t>65</w:t>
      </w:r>
      <w:r>
        <w:rPr>
          <w:rFonts w:hint="eastAsia" w:ascii="宋体" w:hAnsi="宋体" w:cs="宋体"/>
          <w:b/>
          <w:bCs/>
          <w:color w:val="auto"/>
          <w:sz w:val="21"/>
          <w:szCs w:val="21"/>
          <w:highlight w:val="none"/>
        </w:rPr>
        <w:t>%的，即</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（响应）报价&lt;全部通过符合性审查供应商</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（响应）报价平均值×</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rPr>
        <w:t>；</w:t>
      </w:r>
    </w:p>
    <w:p w14:paraId="69E2FF8C">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ascii="宋体" w:hAnsi="宋体" w:cs="宋体"/>
          <w:b/>
          <w:bCs/>
          <w:color w:val="auto"/>
          <w:sz w:val="21"/>
          <w:szCs w:val="21"/>
          <w:highlight w:val="none"/>
        </w:rPr>
        <w:t>2</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（响应）报价低于通过符合性审查的次低报价供应商</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rPr>
        <w:t>，即</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（响应）报价&lt;通过符合性审查的次低报价供应商</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rPr>
        <w:t>；</w:t>
      </w:r>
    </w:p>
    <w:p w14:paraId="2803FF32">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ascii="宋体" w:hAnsi="宋体" w:cs="宋体"/>
          <w:b/>
          <w:bCs/>
          <w:color w:val="auto"/>
          <w:sz w:val="21"/>
          <w:szCs w:val="21"/>
          <w:highlight w:val="none"/>
        </w:rPr>
        <w:t>3</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（响应）报价低于采购项目最高限价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rPr>
        <w:t>，即</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（响应）报价&lt;采购项目最高限价×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rPr>
        <w:t>；</w:t>
      </w:r>
    </w:p>
    <w:p w14:paraId="6BA16D58">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eastAsia="zh-CN"/>
        </w:rPr>
        <w:t>（</w:t>
      </w:r>
      <w:r>
        <w:rPr>
          <w:rFonts w:ascii="宋体" w:hAnsi="宋体" w:cs="宋体"/>
          <w:b/>
          <w:bCs/>
          <w:color w:val="auto"/>
          <w:sz w:val="21"/>
          <w:szCs w:val="21"/>
          <w:highlight w:val="none"/>
        </w:rPr>
        <w:t>4</w:t>
      </w:r>
      <w:r>
        <w:rPr>
          <w:rFonts w:hint="eastAsia" w:ascii="宋体" w:hAnsi="宋体" w:cs="宋体"/>
          <w:b/>
          <w:bCs/>
          <w:color w:val="auto"/>
          <w:sz w:val="21"/>
          <w:szCs w:val="21"/>
          <w:highlight w:val="none"/>
        </w:rPr>
        <w:t>）磋商小组基于专业判断，认为供应商报价过低，有可能影响产品质量或者不能诚信履约的其他情形。</w:t>
      </w:r>
    </w:p>
    <w:p w14:paraId="22944A58">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磋商小组启动异常低价</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（响应）审查后，属于前述第1项至第4项情形的，应当要求相关供应商在评审现场合理的时间内对</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（响应）文件一并提交相关书面说明及必要的证明材料的，在评审现场可不再重复提交。</w:t>
      </w:r>
    </w:p>
    <w:p w14:paraId="52E9B16C">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磋商小组依据专业经验，参考同类项目</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（成交）价格、类似产品市场价格水平、行业人工费用标准、国家有关部门指导行业协会发布的行业平均成本等情况，对报价合理性进行判断。</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（响应）供应商不能提供书面说明、证明材料，或者提供的书面说明、证明材料不能证明其报价合理性的，磋商小组应当将其作为无效</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（响应）处理。</w:t>
      </w:r>
    </w:p>
    <w:p w14:paraId="27643BB4">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采购人、采购代理机构应当为磋商小组在评审现场及时获取同类项目</w:t>
      </w:r>
      <w:r>
        <w:rPr>
          <w:rFonts w:hint="eastAsia" w:ascii="宋体" w:hAnsi="宋体" w:cs="宋体"/>
          <w:b/>
          <w:bCs/>
          <w:color w:val="auto"/>
          <w:sz w:val="21"/>
          <w:szCs w:val="21"/>
          <w:highlight w:val="none"/>
          <w:lang w:eastAsia="zh-CN"/>
        </w:rPr>
        <w:t>成交</w:t>
      </w:r>
      <w:r>
        <w:rPr>
          <w:rFonts w:hint="eastAsia" w:ascii="宋体" w:hAnsi="宋体" w:cs="宋体"/>
          <w:b/>
          <w:bCs/>
          <w:color w:val="auto"/>
          <w:sz w:val="21"/>
          <w:szCs w:val="21"/>
          <w:highlight w:val="none"/>
        </w:rPr>
        <w:t>（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D71B2D1">
      <w:pPr>
        <w:keepNext w:val="0"/>
        <w:keepLines w:val="0"/>
        <w:pageBreakBefore w:val="0"/>
        <w:widowControl w:val="0"/>
        <w:kinsoku/>
        <w:wordWrap/>
        <w:overflowPunct/>
        <w:topLinePunct w:val="0"/>
        <w:autoSpaceDE w:val="0"/>
        <w:autoSpaceDN w:val="0"/>
        <w:bidi w:val="0"/>
        <w:adjustRightInd/>
        <w:snapToGrid w:val="0"/>
        <w:spacing w:line="360" w:lineRule="auto"/>
        <w:ind w:firstLine="422" w:firstLineChars="200"/>
        <w:textAlignment w:val="auto"/>
        <w:rPr>
          <w:rFonts w:hint="eastAsia"/>
          <w:b/>
          <w:bCs/>
          <w:color w:val="auto"/>
          <w:szCs w:val="21"/>
          <w:highlight w:val="none"/>
        </w:rPr>
      </w:pPr>
      <w:r>
        <w:rPr>
          <w:rFonts w:hint="eastAsia" w:ascii="宋体" w:hAnsi="宋体" w:cs="宋体"/>
          <w:b/>
          <w:bCs/>
          <w:color w:val="auto"/>
          <w:sz w:val="21"/>
          <w:szCs w:val="21"/>
          <w:highlight w:val="none"/>
        </w:rPr>
        <w:t>异常低价</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（响应）审查的启动原因、审查意见和审查结果应当在评审报告中记录，并随供应商提供的相关书面说明及证明材料，以及磋商小组有关互联网浏览、查询历史一并归档。</w:t>
      </w:r>
    </w:p>
    <w:p w14:paraId="1249185B">
      <w:pPr>
        <w:spacing w:line="360" w:lineRule="auto"/>
        <w:ind w:firstLine="422" w:firstLineChars="200"/>
        <w:rPr>
          <w:b/>
          <w:bCs/>
          <w:color w:val="auto"/>
          <w:sz w:val="21"/>
          <w:szCs w:val="21"/>
          <w:highlight w:val="none"/>
        </w:rPr>
      </w:pPr>
      <w:r>
        <w:rPr>
          <w:rFonts w:hint="eastAsia"/>
          <w:b/>
          <w:bCs/>
          <w:color w:val="auto"/>
          <w:sz w:val="21"/>
          <w:szCs w:val="21"/>
          <w:highlight w:val="none"/>
        </w:rPr>
        <w:t>22.推荐及确定成交候选供应商原则</w:t>
      </w:r>
    </w:p>
    <w:p w14:paraId="4A80BF16">
      <w:pPr>
        <w:spacing w:line="360" w:lineRule="auto"/>
        <w:ind w:firstLine="420" w:firstLineChars="200"/>
        <w:rPr>
          <w:color w:val="auto"/>
          <w:sz w:val="21"/>
          <w:szCs w:val="21"/>
          <w:highlight w:val="none"/>
        </w:rPr>
      </w:pPr>
      <w:r>
        <w:rPr>
          <w:rFonts w:hint="eastAsia"/>
          <w:color w:val="auto"/>
          <w:sz w:val="21"/>
          <w:szCs w:val="21"/>
          <w:highlight w:val="none"/>
        </w:rPr>
        <w:t>（1）磋商小组应当根据综合得分情况，按照综合得分由高到低顺序推荐三名成交候选供应商，并编写评审报告。磋商小组根据综合得分由高到低排列次序；综合评分相等时，以最后一次报价低的优先；投标报价也相等的，采购人可采用被招标项目所在地省级交通主管部门评为较高信用等级的</w:t>
      </w:r>
      <w:r>
        <w:rPr>
          <w:rFonts w:hint="eastAsia"/>
          <w:color w:val="auto"/>
          <w:sz w:val="21"/>
          <w:szCs w:val="21"/>
          <w:highlight w:val="none"/>
          <w:lang w:eastAsia="zh-CN"/>
        </w:rPr>
        <w:t>供应商</w:t>
      </w:r>
      <w:r>
        <w:rPr>
          <w:rFonts w:hint="eastAsia"/>
          <w:color w:val="auto"/>
          <w:sz w:val="21"/>
          <w:szCs w:val="21"/>
          <w:highlight w:val="none"/>
        </w:rPr>
        <w:t>优先或其他方法确定第一成交候选人。</w:t>
      </w:r>
    </w:p>
    <w:p w14:paraId="50C1BD1A">
      <w:pPr>
        <w:spacing w:line="360" w:lineRule="auto"/>
        <w:ind w:firstLine="420" w:firstLineChars="200"/>
        <w:rPr>
          <w:color w:val="auto"/>
          <w:sz w:val="21"/>
          <w:szCs w:val="21"/>
          <w:highlight w:val="none"/>
        </w:rPr>
      </w:pPr>
      <w:bookmarkStart w:id="33" w:name="OLE_LINK60"/>
      <w:r>
        <w:rPr>
          <w:rFonts w:hint="eastAsia"/>
          <w:color w:val="auto"/>
          <w:sz w:val="21"/>
          <w:szCs w:val="21"/>
          <w:highlight w:val="none"/>
        </w:rPr>
        <w:t>（2</w:t>
      </w:r>
      <w:bookmarkStart w:id="34" w:name="OLE_LINK34"/>
      <w:bookmarkStart w:id="35" w:name="OLE_LINK33"/>
      <w:r>
        <w:rPr>
          <w:rFonts w:hint="eastAsia"/>
          <w:color w:val="auto"/>
          <w:sz w:val="21"/>
          <w:szCs w:val="21"/>
          <w:highlight w:val="none"/>
        </w:rPr>
        <w:t>）</w:t>
      </w:r>
      <w:bookmarkStart w:id="36" w:name="OLE_LINK21"/>
      <w:bookmarkStart w:id="37" w:name="OLE_LINK24"/>
      <w:r>
        <w:rPr>
          <w:rFonts w:hint="eastAsia"/>
          <w:b/>
          <w:bCs/>
          <w:color w:val="auto"/>
          <w:sz w:val="21"/>
          <w:szCs w:val="21"/>
          <w:highlight w:val="none"/>
        </w:rPr>
        <w:t>本项目确定一名成交供应商。由采购人依法确定成交供应商</w:t>
      </w:r>
      <w:bookmarkEnd w:id="36"/>
      <w:bookmarkEnd w:id="37"/>
      <w:r>
        <w:rPr>
          <w:rFonts w:hint="eastAsia"/>
          <w:b/>
          <w:bCs/>
          <w:color w:val="auto"/>
          <w:sz w:val="21"/>
          <w:szCs w:val="21"/>
          <w:highlight w:val="none"/>
        </w:rPr>
        <w:t>。</w:t>
      </w:r>
      <w:bookmarkEnd w:id="34"/>
      <w:bookmarkEnd w:id="35"/>
    </w:p>
    <w:bookmarkEnd w:id="33"/>
    <w:p w14:paraId="67296B9F">
      <w:pPr>
        <w:spacing w:line="360" w:lineRule="auto"/>
        <w:ind w:firstLine="420" w:firstLineChars="200"/>
        <w:rPr>
          <w:color w:val="auto"/>
          <w:sz w:val="21"/>
          <w:szCs w:val="21"/>
          <w:highlight w:val="none"/>
        </w:rPr>
      </w:pPr>
      <w:r>
        <w:rPr>
          <w:rFonts w:hint="eastAsia"/>
          <w:color w:val="auto"/>
          <w:sz w:val="21"/>
          <w:szCs w:val="21"/>
          <w:highlight w:val="none"/>
        </w:rPr>
        <w:t>（3）排名第一的成交候选供应商放弃成交、因不可抗力提出不能履行合同，或者竞争性磋商采购文件规定应当提交履约保证金而在规定的期限内未能提交的，采购人可以按照评审报告推荐的成交候选供应商名单排序，确定下一候选供应商为成交供应商，也可以重新开展政府采购活动。</w:t>
      </w:r>
    </w:p>
    <w:p w14:paraId="5F815CCF">
      <w:pPr>
        <w:spacing w:line="360" w:lineRule="auto"/>
        <w:ind w:firstLine="420" w:firstLineChars="200"/>
        <w:rPr>
          <w:color w:val="auto"/>
          <w:sz w:val="21"/>
          <w:szCs w:val="21"/>
          <w:highlight w:val="none"/>
        </w:rPr>
      </w:pPr>
      <w:r>
        <w:rPr>
          <w:rFonts w:hint="eastAsia"/>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0CC733E">
      <w:pPr>
        <w:spacing w:line="360" w:lineRule="auto"/>
        <w:ind w:firstLine="422" w:firstLineChars="200"/>
        <w:rPr>
          <w:b/>
          <w:bCs/>
          <w:color w:val="auto"/>
          <w:sz w:val="21"/>
          <w:szCs w:val="21"/>
          <w:highlight w:val="none"/>
        </w:rPr>
      </w:pPr>
      <w:r>
        <w:rPr>
          <w:rFonts w:hint="eastAsia"/>
          <w:b/>
          <w:bCs/>
          <w:color w:val="auto"/>
          <w:sz w:val="21"/>
          <w:szCs w:val="21"/>
          <w:highlight w:val="none"/>
        </w:rPr>
        <w:t>23.属于下列情况之一者，响应文件无效：</w:t>
      </w:r>
    </w:p>
    <w:p w14:paraId="0FCEB0CB">
      <w:pPr>
        <w:spacing w:line="360" w:lineRule="auto"/>
        <w:ind w:firstLine="420" w:firstLineChars="200"/>
        <w:rPr>
          <w:color w:val="auto"/>
          <w:sz w:val="21"/>
          <w:szCs w:val="21"/>
          <w:highlight w:val="none"/>
        </w:rPr>
      </w:pPr>
      <w:bookmarkStart w:id="38" w:name="（1）未按磋商文件规定完整提交响应文件或未按规定要求签字、签章的，或未提供授权委"/>
      <w:bookmarkEnd w:id="38"/>
      <w:r>
        <w:rPr>
          <w:rFonts w:hint="eastAsia"/>
          <w:color w:val="auto"/>
          <w:sz w:val="21"/>
          <w:szCs w:val="21"/>
          <w:highlight w:val="none"/>
        </w:rPr>
        <w:t>（1）未按磋商文件规定完整提交响应文件或未按规定要求签字、签章的，或未提供授权委托书（委托代理的）；</w:t>
      </w:r>
    </w:p>
    <w:p w14:paraId="57A0A68E">
      <w:pPr>
        <w:spacing w:line="360" w:lineRule="auto"/>
        <w:ind w:firstLine="420" w:firstLineChars="200"/>
        <w:rPr>
          <w:color w:val="auto"/>
          <w:sz w:val="21"/>
          <w:szCs w:val="21"/>
          <w:highlight w:val="none"/>
        </w:rPr>
      </w:pPr>
      <w:bookmarkStart w:id="39" w:name="（2）不具备磋商文件规定的资格要求的；"/>
      <w:bookmarkEnd w:id="39"/>
      <w:r>
        <w:rPr>
          <w:rFonts w:hint="eastAsia"/>
          <w:color w:val="auto"/>
          <w:sz w:val="21"/>
          <w:szCs w:val="21"/>
          <w:highlight w:val="none"/>
        </w:rPr>
        <w:t>（2）不具备磋商文件规定的资格要求的；</w:t>
      </w:r>
    </w:p>
    <w:p w14:paraId="40F54CE1">
      <w:pPr>
        <w:spacing w:line="360" w:lineRule="auto"/>
        <w:ind w:firstLine="420" w:firstLineChars="200"/>
        <w:rPr>
          <w:color w:val="auto"/>
          <w:sz w:val="21"/>
          <w:szCs w:val="21"/>
          <w:highlight w:val="none"/>
        </w:rPr>
      </w:pPr>
      <w:bookmarkStart w:id="40" w:name="（3）响应文件未按磋商文件的内容和要求编制，或提供虚假材料的；"/>
      <w:bookmarkEnd w:id="40"/>
      <w:r>
        <w:rPr>
          <w:rFonts w:hint="eastAsia"/>
          <w:color w:val="auto"/>
          <w:sz w:val="21"/>
          <w:szCs w:val="21"/>
          <w:highlight w:val="none"/>
        </w:rPr>
        <w:t>（3）响应文件未按磋商文件的内容和要求编制，或提供虚假材料的；</w:t>
      </w:r>
    </w:p>
    <w:p w14:paraId="44752716">
      <w:pPr>
        <w:spacing w:line="360" w:lineRule="auto"/>
        <w:ind w:firstLine="420" w:firstLineChars="200"/>
        <w:rPr>
          <w:color w:val="auto"/>
          <w:sz w:val="21"/>
          <w:szCs w:val="21"/>
          <w:highlight w:val="none"/>
        </w:rPr>
      </w:pPr>
      <w:bookmarkStart w:id="41" w:name="（4）属于“必须提供”的响应文件未能按时提供或补正、更正的；"/>
      <w:bookmarkEnd w:id="41"/>
      <w:r>
        <w:rPr>
          <w:rFonts w:hint="eastAsia"/>
          <w:color w:val="auto"/>
          <w:sz w:val="21"/>
          <w:szCs w:val="21"/>
          <w:highlight w:val="none"/>
        </w:rPr>
        <w:t>（4）属于“必须提供”的响应文件未能按时提供或补正、更正的；</w:t>
      </w:r>
    </w:p>
    <w:p w14:paraId="3E26A3E9">
      <w:pPr>
        <w:spacing w:line="360" w:lineRule="auto"/>
        <w:ind w:firstLine="420" w:firstLineChars="200"/>
        <w:rPr>
          <w:color w:val="auto"/>
          <w:sz w:val="21"/>
          <w:szCs w:val="21"/>
          <w:highlight w:val="none"/>
        </w:rPr>
      </w:pPr>
      <w:bookmarkStart w:id="42" w:name="（5）响应文件有效期、服务期限、服务承诺不能满足磋商文件要求的；"/>
      <w:bookmarkEnd w:id="42"/>
      <w:r>
        <w:rPr>
          <w:rFonts w:hint="eastAsia"/>
          <w:color w:val="auto"/>
          <w:sz w:val="21"/>
          <w:szCs w:val="21"/>
          <w:highlight w:val="none"/>
        </w:rPr>
        <w:t>（5）响应文件有效期、服务期限、服务承诺不能满足磋商文件要求的；</w:t>
      </w:r>
    </w:p>
    <w:p w14:paraId="176204BF">
      <w:pPr>
        <w:spacing w:line="360" w:lineRule="auto"/>
        <w:ind w:firstLine="420" w:firstLineChars="200"/>
        <w:rPr>
          <w:color w:val="auto"/>
          <w:sz w:val="21"/>
          <w:szCs w:val="21"/>
          <w:highlight w:val="none"/>
        </w:rPr>
      </w:pPr>
      <w:bookmarkStart w:id="43" w:name="（6）供应商未就“项目需求”中的所有服务内容作完整唯一报价的；或报价超出相应分标"/>
      <w:bookmarkEnd w:id="43"/>
      <w:r>
        <w:rPr>
          <w:rFonts w:hint="eastAsia"/>
          <w:color w:val="auto"/>
          <w:sz w:val="21"/>
          <w:szCs w:val="21"/>
          <w:highlight w:val="none"/>
        </w:rPr>
        <w:t>（6）供应商未就“项目需求”中的所有服务内容作完整唯一报价的；或报价超出相应分标采购预算总金额的；</w:t>
      </w:r>
    </w:p>
    <w:p w14:paraId="2915F3E2">
      <w:pPr>
        <w:spacing w:line="360" w:lineRule="auto"/>
        <w:ind w:firstLine="420" w:firstLineChars="200"/>
        <w:rPr>
          <w:color w:val="auto"/>
          <w:sz w:val="21"/>
          <w:szCs w:val="21"/>
          <w:highlight w:val="none"/>
        </w:rPr>
      </w:pPr>
      <w:bookmarkStart w:id="44" w:name="（7）未在磋商小组规定的时间内重新提交响应文件（包括最后报价）的；"/>
      <w:bookmarkEnd w:id="44"/>
      <w:r>
        <w:rPr>
          <w:rFonts w:hint="eastAsia"/>
          <w:color w:val="auto"/>
          <w:sz w:val="21"/>
          <w:szCs w:val="21"/>
          <w:highlight w:val="none"/>
        </w:rPr>
        <w:t>（7）未在磋商小组规定的时间内重新提交响应文件（包括最后报价）的；</w:t>
      </w:r>
    </w:p>
    <w:p w14:paraId="354C4492">
      <w:pPr>
        <w:spacing w:line="360" w:lineRule="auto"/>
        <w:ind w:firstLine="420" w:firstLineChars="200"/>
        <w:rPr>
          <w:color w:val="auto"/>
          <w:sz w:val="21"/>
          <w:szCs w:val="21"/>
          <w:highlight w:val="none"/>
        </w:rPr>
      </w:pPr>
      <w:bookmarkStart w:id="45" w:name="（8）未满足磋商文件实质性要求的；或者响应文件有采购人不能接受的附加条件的；"/>
      <w:bookmarkEnd w:id="45"/>
      <w:r>
        <w:rPr>
          <w:rFonts w:hint="eastAsia"/>
          <w:color w:val="auto"/>
          <w:sz w:val="21"/>
          <w:szCs w:val="21"/>
          <w:highlight w:val="none"/>
        </w:rPr>
        <w:t>（8）未满足磋商文件实质性要求的；或者响应文件有采购人不能接受的附加条件的；</w:t>
      </w:r>
    </w:p>
    <w:p w14:paraId="54A8CD25">
      <w:pPr>
        <w:spacing w:line="360" w:lineRule="auto"/>
        <w:ind w:firstLine="420" w:firstLineChars="200"/>
        <w:rPr>
          <w:color w:val="auto"/>
          <w:sz w:val="21"/>
          <w:szCs w:val="21"/>
          <w:highlight w:val="none"/>
        </w:rPr>
      </w:pPr>
      <w:r>
        <w:rPr>
          <w:rFonts w:hint="eastAsia"/>
          <w:color w:val="auto"/>
          <w:sz w:val="21"/>
          <w:szCs w:val="21"/>
          <w:highlight w:val="none"/>
        </w:rPr>
        <w:t>（9）不符合法律、法规和磋商文件规定的其他实质性要求和条件的。</w:t>
      </w:r>
    </w:p>
    <w:p w14:paraId="30606E21">
      <w:pPr>
        <w:spacing w:line="360" w:lineRule="auto"/>
        <w:ind w:firstLine="422" w:firstLineChars="200"/>
        <w:rPr>
          <w:b/>
          <w:bCs/>
          <w:color w:val="auto"/>
          <w:sz w:val="21"/>
          <w:szCs w:val="21"/>
          <w:highlight w:val="none"/>
        </w:rPr>
      </w:pPr>
      <w:bookmarkStart w:id="46" w:name="供应商有下列情形之一的，视为串通参与磋商，响应文件将被视为无效："/>
      <w:bookmarkEnd w:id="46"/>
      <w:r>
        <w:rPr>
          <w:rFonts w:hint="eastAsia"/>
          <w:b/>
          <w:bCs/>
          <w:color w:val="auto"/>
          <w:sz w:val="21"/>
          <w:szCs w:val="21"/>
          <w:highlight w:val="none"/>
        </w:rPr>
        <w:t>供应商有下列情形之一的，视为串通参与磋商，响应文件将被视为无效：</w:t>
      </w:r>
    </w:p>
    <w:p w14:paraId="4864249F">
      <w:pPr>
        <w:spacing w:line="360" w:lineRule="auto"/>
        <w:ind w:firstLine="420" w:firstLineChars="200"/>
        <w:rPr>
          <w:color w:val="auto"/>
          <w:sz w:val="21"/>
          <w:szCs w:val="21"/>
          <w:highlight w:val="none"/>
        </w:rPr>
      </w:pPr>
      <w:bookmarkStart w:id="47" w:name="（1）不同供应商的响应文件由同一单位或者个人编制的；"/>
      <w:bookmarkEnd w:id="47"/>
      <w:r>
        <w:rPr>
          <w:rFonts w:hint="eastAsia"/>
          <w:color w:val="auto"/>
          <w:sz w:val="21"/>
          <w:szCs w:val="21"/>
          <w:highlight w:val="none"/>
        </w:rPr>
        <w:t>（1）不同供应商的响应文件由同一单位或者个人编制的；</w:t>
      </w:r>
    </w:p>
    <w:p w14:paraId="36FD5BD1">
      <w:pPr>
        <w:spacing w:line="360" w:lineRule="auto"/>
        <w:ind w:firstLine="420" w:firstLineChars="200"/>
        <w:rPr>
          <w:color w:val="auto"/>
          <w:sz w:val="21"/>
          <w:szCs w:val="21"/>
          <w:highlight w:val="none"/>
        </w:rPr>
      </w:pPr>
      <w:bookmarkStart w:id="48" w:name="（2）不同供应商委托同一单位或者个人办理磋商事宜的；"/>
      <w:bookmarkEnd w:id="48"/>
      <w:r>
        <w:rPr>
          <w:rFonts w:hint="eastAsia"/>
          <w:color w:val="auto"/>
          <w:sz w:val="21"/>
          <w:szCs w:val="21"/>
          <w:highlight w:val="none"/>
        </w:rPr>
        <w:t>（2）不同供应商委托同一单位或者个人办理磋商事宜的；</w:t>
      </w:r>
    </w:p>
    <w:p w14:paraId="78089588">
      <w:pPr>
        <w:spacing w:line="360" w:lineRule="auto"/>
        <w:ind w:firstLine="420" w:firstLineChars="200"/>
        <w:rPr>
          <w:color w:val="auto"/>
          <w:sz w:val="21"/>
          <w:szCs w:val="21"/>
          <w:highlight w:val="none"/>
        </w:rPr>
      </w:pPr>
      <w:bookmarkStart w:id="49" w:name="（3）不同的供应商的响应文件载明的项目管理员为同一个人的；"/>
      <w:bookmarkEnd w:id="49"/>
      <w:r>
        <w:rPr>
          <w:rFonts w:hint="eastAsia"/>
          <w:color w:val="auto"/>
          <w:sz w:val="21"/>
          <w:szCs w:val="21"/>
          <w:highlight w:val="none"/>
        </w:rPr>
        <w:t>（3）不同的供应商的响应文件载明的项目管理员为同一个人的；</w:t>
      </w:r>
    </w:p>
    <w:p w14:paraId="545684E9">
      <w:pPr>
        <w:spacing w:line="360" w:lineRule="auto"/>
        <w:ind w:firstLine="420" w:firstLineChars="200"/>
        <w:rPr>
          <w:color w:val="auto"/>
          <w:sz w:val="21"/>
          <w:szCs w:val="21"/>
          <w:highlight w:val="none"/>
        </w:rPr>
      </w:pPr>
      <w:bookmarkStart w:id="50" w:name="（4）不同供应商的响应文件异常一致或最后报价呈规律性差异的；_"/>
      <w:bookmarkEnd w:id="50"/>
      <w:r>
        <w:rPr>
          <w:rFonts w:hint="eastAsia"/>
          <w:color w:val="auto"/>
          <w:sz w:val="21"/>
          <w:szCs w:val="21"/>
          <w:highlight w:val="none"/>
        </w:rPr>
        <w:t>（4）不同供应商的响应文件异常一致或最后报价呈规律性差异的；</w:t>
      </w:r>
    </w:p>
    <w:p w14:paraId="63C938F0">
      <w:pPr>
        <w:spacing w:line="360" w:lineRule="auto"/>
        <w:ind w:firstLine="420" w:firstLineChars="200"/>
        <w:rPr>
          <w:color w:val="auto"/>
          <w:sz w:val="21"/>
          <w:szCs w:val="21"/>
          <w:highlight w:val="none"/>
        </w:rPr>
      </w:pPr>
      <w:bookmarkStart w:id="51" w:name="（5）不同供应商的响应文件相互混装的；"/>
      <w:bookmarkEnd w:id="51"/>
      <w:r>
        <w:rPr>
          <w:rFonts w:hint="eastAsia"/>
          <w:color w:val="auto"/>
          <w:sz w:val="21"/>
          <w:szCs w:val="21"/>
          <w:highlight w:val="none"/>
        </w:rPr>
        <w:t>（5）不同供应商的响应文件相互混装的；</w:t>
      </w:r>
    </w:p>
    <w:p w14:paraId="7E8F6AE2">
      <w:pPr>
        <w:spacing w:line="360" w:lineRule="auto"/>
        <w:ind w:firstLine="420" w:firstLineChars="200"/>
        <w:rPr>
          <w:color w:val="auto"/>
          <w:highlight w:val="none"/>
        </w:rPr>
      </w:pPr>
      <w:bookmarkStart w:id="52" w:name="OLE_LINK61"/>
      <w:bookmarkStart w:id="53" w:name="OLE_LINK20"/>
      <w:bookmarkStart w:id="54" w:name="OLE_LINK62"/>
      <w:bookmarkStart w:id="55" w:name="OLE_LINK76"/>
      <w:r>
        <w:rPr>
          <w:rFonts w:hint="eastAsia"/>
          <w:color w:val="auto"/>
          <w:sz w:val="21"/>
          <w:szCs w:val="21"/>
          <w:highlight w:val="none"/>
        </w:rPr>
        <w:t>（6）不同的供应商上传响应文件的IP地址一致的；</w:t>
      </w:r>
    </w:p>
    <w:bookmarkEnd w:id="52"/>
    <w:bookmarkEnd w:id="53"/>
    <w:bookmarkEnd w:id="54"/>
    <w:bookmarkEnd w:id="55"/>
    <w:p w14:paraId="4DBBF4E3">
      <w:pPr>
        <w:spacing w:line="360" w:lineRule="auto"/>
        <w:ind w:firstLine="420" w:firstLineChars="200"/>
        <w:rPr>
          <w:color w:val="auto"/>
          <w:sz w:val="21"/>
          <w:szCs w:val="21"/>
          <w:highlight w:val="none"/>
        </w:rPr>
      </w:pPr>
      <w:bookmarkStart w:id="56" w:name="（6）磋商文件未作实质性变动，供应商最后报价高于首次报价的。"/>
      <w:bookmarkEnd w:id="56"/>
      <w:r>
        <w:rPr>
          <w:rFonts w:hint="eastAsia"/>
          <w:color w:val="auto"/>
          <w:sz w:val="21"/>
          <w:szCs w:val="21"/>
          <w:highlight w:val="none"/>
        </w:rPr>
        <w:t>（7）磋商文件未作实质性变动，供应商最后报价高于首次报价的。</w:t>
      </w:r>
    </w:p>
    <w:p w14:paraId="7087BBFF">
      <w:pPr>
        <w:spacing w:line="360" w:lineRule="auto"/>
        <w:ind w:firstLine="422" w:firstLineChars="200"/>
        <w:rPr>
          <w:b/>
          <w:bCs/>
          <w:color w:val="auto"/>
          <w:sz w:val="21"/>
          <w:szCs w:val="21"/>
          <w:highlight w:val="none"/>
        </w:rPr>
      </w:pPr>
      <w:bookmarkStart w:id="57" w:name="23.出现下列情形之一的，采购人或者采购代理机构应当终止竞争性磋商采购活动，发布"/>
      <w:bookmarkEnd w:id="57"/>
      <w:r>
        <w:rPr>
          <w:rFonts w:hint="eastAsia"/>
          <w:b/>
          <w:bCs/>
          <w:color w:val="auto"/>
          <w:sz w:val="21"/>
          <w:szCs w:val="21"/>
          <w:highlight w:val="none"/>
        </w:rPr>
        <w:t>24.出现下列情形之一的，采购人或者采购代理机构应当终止竞争性磋商采购活动，发布项目终止公告并说明原因，重新开展采购活动：</w:t>
      </w:r>
    </w:p>
    <w:p w14:paraId="60180D02">
      <w:pPr>
        <w:spacing w:line="360" w:lineRule="auto"/>
        <w:ind w:firstLine="420" w:firstLineChars="200"/>
        <w:rPr>
          <w:color w:val="auto"/>
          <w:sz w:val="21"/>
          <w:szCs w:val="21"/>
          <w:highlight w:val="none"/>
        </w:rPr>
      </w:pPr>
      <w:bookmarkStart w:id="58" w:name="（1）因情况变化，不再符合规定的竞争性磋商采购人式适用情形的；"/>
      <w:bookmarkEnd w:id="58"/>
      <w:r>
        <w:rPr>
          <w:rFonts w:hint="eastAsia"/>
          <w:color w:val="auto"/>
          <w:sz w:val="21"/>
          <w:szCs w:val="21"/>
          <w:highlight w:val="none"/>
        </w:rPr>
        <w:t>（1）因情况变化，不再符合规定的竞争性磋商采购人式适用情形的；</w:t>
      </w:r>
    </w:p>
    <w:p w14:paraId="7B18F4D4">
      <w:pPr>
        <w:spacing w:line="360" w:lineRule="auto"/>
        <w:ind w:firstLine="420" w:firstLineChars="200"/>
        <w:rPr>
          <w:color w:val="auto"/>
          <w:sz w:val="21"/>
          <w:szCs w:val="21"/>
          <w:highlight w:val="none"/>
        </w:rPr>
      </w:pPr>
      <w:bookmarkStart w:id="59" w:name="（2）出现影响采购公正的违法、违规行为的；"/>
      <w:bookmarkEnd w:id="59"/>
      <w:r>
        <w:rPr>
          <w:rFonts w:hint="eastAsia"/>
          <w:color w:val="auto"/>
          <w:sz w:val="21"/>
          <w:szCs w:val="21"/>
          <w:highlight w:val="none"/>
        </w:rPr>
        <w:t>（2）出现影响采购公正的违法、违规行为的；</w:t>
      </w:r>
    </w:p>
    <w:p w14:paraId="1E4DCE6F">
      <w:pPr>
        <w:spacing w:line="360" w:lineRule="auto"/>
        <w:ind w:firstLine="420" w:firstLineChars="200"/>
        <w:rPr>
          <w:color w:val="auto"/>
          <w:sz w:val="21"/>
          <w:szCs w:val="21"/>
          <w:highlight w:val="none"/>
        </w:rPr>
      </w:pPr>
      <w:r>
        <w:rPr>
          <w:rFonts w:hint="eastAsia"/>
          <w:color w:val="auto"/>
          <w:sz w:val="21"/>
          <w:szCs w:val="21"/>
          <w:highlight w:val="none"/>
        </w:rPr>
        <w:t>（3）除本须知第20.7.2条及法律法规规定的情形外，在采购过程中符合要求的供应商或者报价</w:t>
      </w:r>
    </w:p>
    <w:p w14:paraId="0EAC0C4D">
      <w:pPr>
        <w:spacing w:line="360" w:lineRule="auto"/>
        <w:ind w:firstLine="420" w:firstLineChars="200"/>
        <w:rPr>
          <w:color w:val="auto"/>
          <w:sz w:val="21"/>
          <w:szCs w:val="21"/>
          <w:highlight w:val="none"/>
        </w:rPr>
      </w:pPr>
      <w:r>
        <w:rPr>
          <w:rFonts w:hint="eastAsia"/>
          <w:color w:val="auto"/>
          <w:sz w:val="21"/>
          <w:szCs w:val="21"/>
          <w:highlight w:val="none"/>
        </w:rPr>
        <w:t>未超过采购预算的供应商不足3家的。</w:t>
      </w:r>
    </w:p>
    <w:p w14:paraId="49AC670F">
      <w:pPr>
        <w:spacing w:line="360" w:lineRule="auto"/>
        <w:ind w:firstLine="422" w:firstLineChars="200"/>
        <w:rPr>
          <w:b/>
          <w:bCs/>
          <w:color w:val="auto"/>
          <w:sz w:val="21"/>
          <w:szCs w:val="21"/>
          <w:highlight w:val="none"/>
        </w:rPr>
      </w:pPr>
      <w:bookmarkStart w:id="60" w:name="24.在采购活动中因重大变故，采购任务取消的，采购人或者采购代理机构应当终止采购"/>
      <w:bookmarkEnd w:id="60"/>
      <w:r>
        <w:rPr>
          <w:rFonts w:hint="eastAsia"/>
          <w:b/>
          <w:bCs/>
          <w:color w:val="auto"/>
          <w:sz w:val="21"/>
          <w:szCs w:val="21"/>
          <w:highlight w:val="none"/>
        </w:rPr>
        <w:t>25.在采购活动中因重大变故，采购任务取消的，采购人或者采购代理机构应当终止采购活动，通知所有参加采购活动的供应商，并将项目实施情况和采购任务取消原因报送本级财政部门。</w:t>
      </w:r>
    </w:p>
    <w:p w14:paraId="4DEB9969">
      <w:pPr>
        <w:spacing w:line="360" w:lineRule="auto"/>
        <w:ind w:firstLine="422" w:firstLineChars="200"/>
        <w:rPr>
          <w:b/>
          <w:bCs/>
          <w:color w:val="auto"/>
          <w:sz w:val="21"/>
          <w:szCs w:val="21"/>
          <w:highlight w:val="none"/>
        </w:rPr>
      </w:pPr>
      <w:bookmarkStart w:id="61" w:name="25.磋商过程的监控"/>
      <w:bookmarkEnd w:id="61"/>
      <w:r>
        <w:rPr>
          <w:rFonts w:hint="eastAsia"/>
          <w:b/>
          <w:bCs/>
          <w:color w:val="auto"/>
          <w:sz w:val="21"/>
          <w:szCs w:val="21"/>
          <w:highlight w:val="none"/>
        </w:rPr>
        <w:t>26.磋商过程的监控</w:t>
      </w:r>
    </w:p>
    <w:p w14:paraId="4A299A78">
      <w:pPr>
        <w:spacing w:line="360" w:lineRule="auto"/>
        <w:ind w:firstLine="420" w:firstLineChars="200"/>
        <w:rPr>
          <w:color w:val="auto"/>
          <w:sz w:val="21"/>
          <w:szCs w:val="21"/>
          <w:highlight w:val="none"/>
        </w:rPr>
      </w:pPr>
      <w:r>
        <w:rPr>
          <w:rFonts w:hint="eastAsia"/>
          <w:color w:val="auto"/>
          <w:sz w:val="21"/>
          <w:szCs w:val="21"/>
          <w:highlight w:val="none"/>
        </w:rPr>
        <w:t>本项目磋商过程实行全程录音、录像监控，供应商在磋商过程中所进行的试图影响磋商结果的不公正活动，可能导致其响应被拒绝。</w:t>
      </w:r>
    </w:p>
    <w:p w14:paraId="37E8E106">
      <w:pPr>
        <w:spacing w:line="360" w:lineRule="auto"/>
        <w:ind w:firstLine="422" w:firstLineChars="200"/>
        <w:rPr>
          <w:b/>
          <w:bCs/>
          <w:color w:val="auto"/>
          <w:sz w:val="21"/>
          <w:szCs w:val="21"/>
          <w:highlight w:val="none"/>
        </w:rPr>
      </w:pPr>
      <w:bookmarkStart w:id="62" w:name="26._信用查询_"/>
      <w:bookmarkEnd w:id="62"/>
      <w:r>
        <w:rPr>
          <w:rFonts w:hint="eastAsia"/>
          <w:b/>
          <w:bCs/>
          <w:color w:val="auto"/>
          <w:sz w:val="21"/>
          <w:szCs w:val="21"/>
          <w:highlight w:val="none"/>
        </w:rPr>
        <w:t>27.信用查询</w:t>
      </w:r>
    </w:p>
    <w:p w14:paraId="28E09016">
      <w:pPr>
        <w:spacing w:line="360" w:lineRule="auto"/>
        <w:ind w:firstLine="420" w:firstLineChars="200"/>
        <w:rPr>
          <w:color w:val="auto"/>
          <w:sz w:val="21"/>
          <w:szCs w:val="21"/>
          <w:highlight w:val="none"/>
        </w:rPr>
      </w:pPr>
      <w:bookmarkStart w:id="63" w:name="根据《关于做好政府采购有关信用主体标识码登记及在政府采购活动中查询使用信用记录有"/>
      <w:bookmarkEnd w:id="63"/>
      <w:r>
        <w:rPr>
          <w:rFonts w:hint="eastAsia"/>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3E21B37F">
      <w:pPr>
        <w:spacing w:line="360" w:lineRule="auto"/>
        <w:ind w:firstLine="420" w:firstLineChars="200"/>
        <w:rPr>
          <w:color w:val="auto"/>
          <w:sz w:val="21"/>
          <w:szCs w:val="21"/>
          <w:highlight w:val="none"/>
        </w:rPr>
      </w:pPr>
      <w:bookmarkStart w:id="64" w:name="⑴查询渠道：“信用中国”网站(www.creditchina.gov.cn)、中"/>
      <w:bookmarkEnd w:id="64"/>
      <w:r>
        <w:rPr>
          <w:rFonts w:hint="eastAsia"/>
          <w:color w:val="auto"/>
          <w:sz w:val="21"/>
          <w:szCs w:val="21"/>
          <w:highlight w:val="none"/>
        </w:rPr>
        <w:t>⑴查询渠道：“中国执行信息公开网”（zxgk.court.gov.cn/）或“信用中国”网站(www.creditchina.gov.cn)、中国政府采购网(www.ccgp.gov.cn)等；</w:t>
      </w:r>
    </w:p>
    <w:p w14:paraId="22F06F77">
      <w:pPr>
        <w:spacing w:line="360" w:lineRule="auto"/>
        <w:ind w:firstLine="420" w:firstLineChars="200"/>
        <w:rPr>
          <w:color w:val="auto"/>
          <w:sz w:val="21"/>
          <w:szCs w:val="21"/>
          <w:highlight w:val="none"/>
        </w:rPr>
      </w:pPr>
      <w:bookmarkStart w:id="65" w:name="⑵查询截止时间：成交通知书发出前；"/>
      <w:bookmarkEnd w:id="65"/>
      <w:r>
        <w:rPr>
          <w:rFonts w:hint="eastAsia"/>
          <w:color w:val="auto"/>
          <w:sz w:val="21"/>
          <w:szCs w:val="21"/>
          <w:highlight w:val="none"/>
        </w:rPr>
        <w:t>⑵查询截止时间：成交通知书发出前；</w:t>
      </w:r>
    </w:p>
    <w:p w14:paraId="7C91B83E">
      <w:pPr>
        <w:spacing w:line="360" w:lineRule="auto"/>
        <w:ind w:firstLine="420" w:firstLineChars="200"/>
        <w:rPr>
          <w:color w:val="auto"/>
          <w:sz w:val="21"/>
          <w:szCs w:val="21"/>
          <w:highlight w:val="none"/>
        </w:rPr>
      </w:pPr>
      <w:bookmarkStart w:id="66" w:name="⑶信用信息查询记录和证据留存方式：在查询网站中直接打印查询记录，打印材料作为采购"/>
      <w:bookmarkEnd w:id="66"/>
      <w:r>
        <w:rPr>
          <w:rFonts w:hint="eastAsia"/>
          <w:color w:val="auto"/>
          <w:sz w:val="21"/>
          <w:szCs w:val="21"/>
          <w:highlight w:val="none"/>
        </w:rPr>
        <w:t>⑶信用信息查询记录和证据留存方式：在查询网站中直接打印查询记录，打印材料作为采购活动资料保存；</w:t>
      </w:r>
    </w:p>
    <w:p w14:paraId="07DB62F8">
      <w:pPr>
        <w:spacing w:line="360" w:lineRule="auto"/>
        <w:ind w:firstLine="420" w:firstLineChars="200"/>
        <w:rPr>
          <w:color w:val="auto"/>
          <w:sz w:val="21"/>
          <w:szCs w:val="21"/>
          <w:highlight w:val="none"/>
        </w:rPr>
      </w:pPr>
      <w:bookmarkStart w:id="67" w:name="⑷信用信息使用规则：对在“信用中国”网站(www.creditchina.gov"/>
      <w:bookmarkEnd w:id="67"/>
      <w:r>
        <w:rPr>
          <w:rFonts w:hint="eastAsia"/>
          <w:color w:val="auto"/>
          <w:sz w:val="21"/>
          <w:szCs w:val="21"/>
          <w:highlight w:val="none"/>
        </w:rPr>
        <w:t>⑷信用信息使用规则：对在“中国执行信息公开网”（zxgk.court.gov.cn/）或“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16712B16">
      <w:pPr>
        <w:spacing w:line="360" w:lineRule="auto"/>
        <w:ind w:firstLine="422" w:firstLineChars="200"/>
        <w:rPr>
          <w:b/>
          <w:bCs/>
          <w:color w:val="auto"/>
          <w:sz w:val="21"/>
          <w:szCs w:val="21"/>
          <w:highlight w:val="none"/>
        </w:rPr>
      </w:pPr>
      <w:r>
        <w:rPr>
          <w:rFonts w:hint="eastAsia"/>
          <w:b/>
          <w:bCs/>
          <w:color w:val="auto"/>
          <w:sz w:val="21"/>
          <w:szCs w:val="21"/>
          <w:highlight w:val="none"/>
        </w:rPr>
        <w:t>28.成交公告及成交通知书</w:t>
      </w:r>
    </w:p>
    <w:p w14:paraId="49B7C9A3">
      <w:pPr>
        <w:spacing w:line="360" w:lineRule="auto"/>
        <w:ind w:firstLine="420" w:firstLineChars="200"/>
        <w:rPr>
          <w:color w:val="auto"/>
          <w:sz w:val="21"/>
          <w:szCs w:val="21"/>
          <w:highlight w:val="none"/>
        </w:rPr>
      </w:pPr>
      <w:bookmarkStart w:id="68" w:name="27.1_采购代理机构于评审结束后两个工作日内将评审报告送交采购人，采购人应当自"/>
      <w:bookmarkEnd w:id="68"/>
      <w:r>
        <w:rPr>
          <w:rFonts w:hint="eastAsia"/>
          <w:color w:val="auto"/>
          <w:sz w:val="21"/>
          <w:szCs w:val="21"/>
          <w:highlight w:val="none"/>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4EC75EE6">
      <w:pPr>
        <w:spacing w:line="360" w:lineRule="auto"/>
        <w:ind w:firstLine="420" w:firstLineChars="200"/>
        <w:rPr>
          <w:color w:val="auto"/>
          <w:sz w:val="21"/>
          <w:szCs w:val="21"/>
          <w:highlight w:val="none"/>
        </w:rPr>
      </w:pPr>
      <w:bookmarkStart w:id="69" w:name="27.2中小企业在政府采购活动过程中，请根据自己的真实情况出具《中小企业声明函》"/>
      <w:bookmarkEnd w:id="69"/>
      <w:r>
        <w:rPr>
          <w:rFonts w:hint="eastAsia"/>
          <w:color w:val="auto"/>
          <w:sz w:val="21"/>
          <w:szCs w:val="21"/>
          <w:highlight w:val="none"/>
        </w:rPr>
        <w:t>28.2中小企业在政府采购活动过程中，请根据自己的真实情况出具《中小企业声明函》。采购人或采购代理机构在公告成交结果时，同时公告其《中小企业声明函》，接受社会监督。</w:t>
      </w:r>
    </w:p>
    <w:p w14:paraId="01AB4926">
      <w:pPr>
        <w:spacing w:line="360" w:lineRule="auto"/>
        <w:ind w:firstLine="420" w:firstLineChars="200"/>
        <w:rPr>
          <w:color w:val="auto"/>
          <w:sz w:val="21"/>
          <w:szCs w:val="21"/>
          <w:highlight w:val="none"/>
        </w:rPr>
      </w:pPr>
      <w:bookmarkStart w:id="70" w:name="27.3在发布成交公告的同时，采购代理机构向成交供应商发出成交通知书。成交供应商"/>
      <w:bookmarkEnd w:id="70"/>
      <w:r>
        <w:rPr>
          <w:rFonts w:hint="eastAsia"/>
          <w:color w:val="auto"/>
          <w:sz w:val="21"/>
          <w:szCs w:val="21"/>
          <w:highlight w:val="none"/>
        </w:rPr>
        <w:t>28.3在发布成交公告的同时，采购代理机构向成交供应商发出成交通知书。成交供应商应自接到通知之日起七日内，办理成交通知书领取手续。</w:t>
      </w:r>
    </w:p>
    <w:p w14:paraId="77D24BCF">
      <w:pPr>
        <w:spacing w:line="360" w:lineRule="auto"/>
        <w:ind w:firstLine="422"/>
        <w:rPr>
          <w:b/>
          <w:bCs/>
          <w:color w:val="auto"/>
          <w:sz w:val="32"/>
          <w:szCs w:val="32"/>
          <w:highlight w:val="none"/>
        </w:rPr>
      </w:pPr>
      <w:bookmarkStart w:id="71" w:name="27.4采购代理机构无义务向未成交的供应商解释未成交原因和退还响应文件。"/>
      <w:bookmarkEnd w:id="71"/>
      <w:r>
        <w:rPr>
          <w:rFonts w:hint="eastAsia"/>
          <w:color w:val="auto"/>
          <w:sz w:val="21"/>
          <w:szCs w:val="21"/>
          <w:highlight w:val="none"/>
        </w:rPr>
        <w:t>28.4采购代理机构无义务向未成交的供应商解释未成交原因和退还响应文件。</w:t>
      </w:r>
    </w:p>
    <w:p w14:paraId="33309536">
      <w:pPr>
        <w:pStyle w:val="13"/>
        <w:spacing w:line="360" w:lineRule="auto"/>
        <w:ind w:firstLine="640"/>
        <w:jc w:val="center"/>
        <w:rPr>
          <w:color w:val="auto"/>
          <w:highlight w:val="none"/>
        </w:rPr>
      </w:pPr>
      <w:r>
        <w:rPr>
          <w:rFonts w:hint="eastAsia"/>
          <w:b/>
          <w:bCs/>
          <w:color w:val="auto"/>
          <w:sz w:val="32"/>
          <w:szCs w:val="32"/>
          <w:highlight w:val="none"/>
        </w:rPr>
        <w:t>五、签订合同</w:t>
      </w:r>
    </w:p>
    <w:p w14:paraId="5BD1EA8C">
      <w:pPr>
        <w:spacing w:line="360" w:lineRule="auto"/>
        <w:ind w:firstLine="422" w:firstLineChars="200"/>
        <w:rPr>
          <w:b/>
          <w:bCs/>
          <w:color w:val="auto"/>
          <w:sz w:val="21"/>
          <w:szCs w:val="21"/>
          <w:highlight w:val="none"/>
        </w:rPr>
      </w:pPr>
      <w:bookmarkStart w:id="72" w:name="28.履约保证金"/>
      <w:bookmarkEnd w:id="72"/>
      <w:r>
        <w:rPr>
          <w:b/>
          <w:bCs/>
          <w:color w:val="auto"/>
          <w:sz w:val="21"/>
          <w:szCs w:val="21"/>
          <w:highlight w:val="none"/>
        </w:rPr>
        <w:t>2</w:t>
      </w:r>
      <w:r>
        <w:rPr>
          <w:rFonts w:hint="eastAsia"/>
          <w:b/>
          <w:bCs/>
          <w:color w:val="auto"/>
          <w:sz w:val="21"/>
          <w:szCs w:val="21"/>
          <w:highlight w:val="none"/>
        </w:rPr>
        <w:t>9</w:t>
      </w:r>
      <w:r>
        <w:rPr>
          <w:b/>
          <w:bCs/>
          <w:color w:val="auto"/>
          <w:sz w:val="21"/>
          <w:szCs w:val="21"/>
          <w:highlight w:val="none"/>
        </w:rPr>
        <w:t>.履约保证金</w:t>
      </w:r>
    </w:p>
    <w:p w14:paraId="178CEDF0">
      <w:pPr>
        <w:spacing w:line="360" w:lineRule="auto"/>
        <w:ind w:firstLine="420" w:firstLineChars="200"/>
        <w:rPr>
          <w:color w:val="auto"/>
          <w:sz w:val="21"/>
          <w:szCs w:val="21"/>
          <w:highlight w:val="none"/>
        </w:rPr>
      </w:pPr>
      <w:bookmarkStart w:id="73" w:name="履约保证金金额按中标价的2%（人民币，四舍五入到元）缴纳，由成交供应商在与采购人"/>
      <w:bookmarkEnd w:id="73"/>
      <w:bookmarkStart w:id="74" w:name="OLE_LINK92"/>
      <w:bookmarkStart w:id="75" w:name="OLE_LINK90"/>
      <w:r>
        <w:rPr>
          <w:color w:val="auto"/>
          <w:sz w:val="21"/>
          <w:szCs w:val="21"/>
          <w:highlight w:val="none"/>
        </w:rPr>
        <w:t>履约保证金金额按</w:t>
      </w:r>
      <w:r>
        <w:rPr>
          <w:rFonts w:hint="eastAsia"/>
          <w:color w:val="auto"/>
          <w:sz w:val="21"/>
          <w:szCs w:val="21"/>
          <w:highlight w:val="none"/>
        </w:rPr>
        <w:t>成交</w:t>
      </w:r>
      <w:r>
        <w:rPr>
          <w:color w:val="auto"/>
          <w:sz w:val="21"/>
          <w:szCs w:val="21"/>
          <w:highlight w:val="none"/>
        </w:rPr>
        <w:t>价的</w:t>
      </w:r>
      <w:r>
        <w:rPr>
          <w:rFonts w:hint="eastAsia"/>
          <w:b/>
          <w:bCs/>
          <w:color w:val="auto"/>
          <w:sz w:val="21"/>
          <w:szCs w:val="21"/>
          <w:highlight w:val="none"/>
        </w:rPr>
        <w:t>1</w:t>
      </w:r>
      <w:r>
        <w:rPr>
          <w:b/>
          <w:bCs/>
          <w:color w:val="auto"/>
          <w:sz w:val="21"/>
          <w:szCs w:val="21"/>
          <w:highlight w:val="none"/>
        </w:rPr>
        <w:t>%</w:t>
      </w:r>
      <w:r>
        <w:rPr>
          <w:color w:val="auto"/>
          <w:sz w:val="21"/>
          <w:szCs w:val="21"/>
          <w:highlight w:val="none"/>
        </w:rPr>
        <w:t>（人民币，四舍五入到元）缴纳，由成交供应商在与采购人签订合同前将履约保证金以</w:t>
      </w:r>
      <w:r>
        <w:rPr>
          <w:rFonts w:hint="eastAsia"/>
          <w:color w:val="auto"/>
          <w:sz w:val="21"/>
          <w:szCs w:val="21"/>
          <w:highlight w:val="none"/>
        </w:rPr>
        <w:t>现金、</w:t>
      </w:r>
      <w:r>
        <w:rPr>
          <w:color w:val="auto"/>
          <w:sz w:val="21"/>
          <w:szCs w:val="21"/>
          <w:highlight w:val="none"/>
        </w:rPr>
        <w:t>支票、汇票、本票或者金融机构、担保机构出具的保函等形式提交转入采购人履约保证金专户。</w:t>
      </w:r>
    </w:p>
    <w:bookmarkEnd w:id="74"/>
    <w:bookmarkEnd w:id="75"/>
    <w:p w14:paraId="046D5899">
      <w:pPr>
        <w:spacing w:line="360" w:lineRule="auto"/>
        <w:ind w:firstLine="422" w:firstLineChars="200"/>
        <w:rPr>
          <w:b/>
          <w:bCs/>
          <w:color w:val="auto"/>
          <w:sz w:val="21"/>
          <w:szCs w:val="21"/>
          <w:highlight w:val="none"/>
        </w:rPr>
      </w:pPr>
      <w:bookmarkStart w:id="76" w:name="29.签订合同"/>
      <w:bookmarkEnd w:id="76"/>
      <w:r>
        <w:rPr>
          <w:rFonts w:hint="eastAsia"/>
          <w:b/>
          <w:bCs/>
          <w:color w:val="auto"/>
          <w:sz w:val="21"/>
          <w:szCs w:val="21"/>
          <w:highlight w:val="none"/>
        </w:rPr>
        <w:t>30</w:t>
      </w:r>
      <w:r>
        <w:rPr>
          <w:b/>
          <w:bCs/>
          <w:color w:val="auto"/>
          <w:sz w:val="21"/>
          <w:szCs w:val="21"/>
          <w:highlight w:val="none"/>
        </w:rPr>
        <w:t>.签订合同</w:t>
      </w:r>
    </w:p>
    <w:p w14:paraId="64EBF613">
      <w:pPr>
        <w:spacing w:line="360" w:lineRule="auto"/>
        <w:ind w:firstLine="420" w:firstLineChars="200"/>
        <w:rPr>
          <w:color w:val="auto"/>
          <w:sz w:val="21"/>
          <w:szCs w:val="21"/>
          <w:highlight w:val="none"/>
        </w:rPr>
      </w:pPr>
      <w:bookmarkStart w:id="77" w:name="29.1_签订合同时间：成交通知书发出之日起8个工作日内。成交供应商领取成交通知"/>
      <w:bookmarkEnd w:id="77"/>
      <w:r>
        <w:rPr>
          <w:rFonts w:hint="eastAsia"/>
          <w:color w:val="auto"/>
          <w:sz w:val="21"/>
          <w:szCs w:val="21"/>
          <w:highlight w:val="none"/>
        </w:rPr>
        <w:t>30</w:t>
      </w:r>
      <w:r>
        <w:rPr>
          <w:color w:val="auto"/>
          <w:sz w:val="21"/>
          <w:szCs w:val="21"/>
          <w:highlight w:val="none"/>
        </w:rPr>
        <w:t>.1签订合同时间：成交通知书发出之日起</w:t>
      </w:r>
      <w:r>
        <w:rPr>
          <w:rFonts w:hint="eastAsia"/>
          <w:color w:val="auto"/>
          <w:sz w:val="21"/>
          <w:szCs w:val="21"/>
          <w:highlight w:val="none"/>
        </w:rPr>
        <w:t>7</w:t>
      </w:r>
      <w:r>
        <w:rPr>
          <w:color w:val="auto"/>
          <w:sz w:val="21"/>
          <w:szCs w:val="21"/>
          <w:highlight w:val="none"/>
        </w:rPr>
        <w:t>个日内。成交供应商领取成交通知书后，应按规定与采购人签订合同。</w:t>
      </w:r>
    </w:p>
    <w:p w14:paraId="43C4A311">
      <w:pPr>
        <w:spacing w:line="360" w:lineRule="auto"/>
        <w:ind w:firstLine="420" w:firstLineChars="200"/>
        <w:rPr>
          <w:color w:val="auto"/>
          <w:sz w:val="21"/>
          <w:szCs w:val="21"/>
          <w:highlight w:val="none"/>
        </w:rPr>
      </w:pPr>
      <w:bookmarkStart w:id="78" w:name="29.2_如成交供应商有下列情形之一，情节严重的，由相关监督部门将其列入不良行为"/>
      <w:bookmarkEnd w:id="78"/>
      <w:r>
        <w:rPr>
          <w:rFonts w:hint="eastAsia"/>
          <w:color w:val="auto"/>
          <w:sz w:val="21"/>
          <w:szCs w:val="21"/>
          <w:highlight w:val="none"/>
        </w:rPr>
        <w:t>30</w:t>
      </w:r>
      <w:r>
        <w:rPr>
          <w:color w:val="auto"/>
          <w:sz w:val="21"/>
          <w:szCs w:val="21"/>
          <w:highlight w:val="none"/>
        </w:rPr>
        <w:t>.2如成交供应商有下列情形之一，情节严重的，由相关监督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6F0B4D4">
      <w:pPr>
        <w:spacing w:line="360" w:lineRule="auto"/>
        <w:ind w:firstLine="420" w:firstLineChars="200"/>
        <w:rPr>
          <w:color w:val="auto"/>
          <w:sz w:val="21"/>
          <w:szCs w:val="21"/>
          <w:highlight w:val="none"/>
        </w:rPr>
      </w:pPr>
      <w:bookmarkStart w:id="79" w:name="（1）成交后不与采购人签订合同的（不可抗力除外）；"/>
      <w:bookmarkEnd w:id="79"/>
      <w:r>
        <w:rPr>
          <w:color w:val="auto"/>
          <w:sz w:val="21"/>
          <w:szCs w:val="21"/>
          <w:highlight w:val="none"/>
        </w:rPr>
        <w:t>（1）成交后不与采购人签订合同的（不可抗力除外）；</w:t>
      </w:r>
    </w:p>
    <w:p w14:paraId="4D38D205">
      <w:pPr>
        <w:spacing w:line="360" w:lineRule="auto"/>
        <w:ind w:firstLine="420" w:firstLineChars="200"/>
        <w:rPr>
          <w:color w:val="auto"/>
          <w:sz w:val="21"/>
          <w:szCs w:val="21"/>
          <w:highlight w:val="none"/>
        </w:rPr>
      </w:pPr>
      <w:bookmarkStart w:id="80" w:name="（2）将成交项目转让给他人，或者在响应文件中未说明，且未经采购人同意，将成交项目"/>
      <w:bookmarkEnd w:id="80"/>
      <w:r>
        <w:rPr>
          <w:color w:val="auto"/>
          <w:sz w:val="21"/>
          <w:szCs w:val="21"/>
          <w:highlight w:val="none"/>
        </w:rPr>
        <w:t>（2）将成交项目转让给他人，或者在响应文件中未说明，且未经采购人同意，将成交项目分包给他人的；</w:t>
      </w:r>
    </w:p>
    <w:p w14:paraId="539DE396">
      <w:pPr>
        <w:spacing w:line="360" w:lineRule="auto"/>
        <w:ind w:firstLine="420" w:firstLineChars="200"/>
        <w:rPr>
          <w:color w:val="auto"/>
          <w:sz w:val="21"/>
          <w:szCs w:val="21"/>
          <w:highlight w:val="none"/>
        </w:rPr>
      </w:pPr>
      <w:bookmarkStart w:id="81" w:name="（3）拒绝履行合同义务的。"/>
      <w:bookmarkEnd w:id="81"/>
      <w:r>
        <w:rPr>
          <w:color w:val="auto"/>
          <w:sz w:val="21"/>
          <w:szCs w:val="21"/>
          <w:highlight w:val="none"/>
        </w:rPr>
        <w:t>（3）拒绝履行合同义务的。</w:t>
      </w:r>
    </w:p>
    <w:p w14:paraId="46EFEE72">
      <w:pPr>
        <w:spacing w:line="360" w:lineRule="auto"/>
        <w:ind w:firstLine="420" w:firstLineChars="200"/>
        <w:rPr>
          <w:color w:val="auto"/>
          <w:sz w:val="21"/>
          <w:szCs w:val="21"/>
          <w:highlight w:val="none"/>
        </w:rPr>
      </w:pPr>
      <w:bookmarkStart w:id="82" w:name="29.3_合同备案存档：政府采购合同双方自签订之日起1个工作日内将合同原件两份交"/>
      <w:bookmarkEnd w:id="82"/>
      <w:r>
        <w:rPr>
          <w:rFonts w:hint="eastAsia"/>
          <w:color w:val="auto"/>
          <w:sz w:val="21"/>
          <w:szCs w:val="21"/>
          <w:highlight w:val="none"/>
        </w:rPr>
        <w:t>30</w:t>
      </w:r>
      <w:r>
        <w:rPr>
          <w:color w:val="auto"/>
          <w:sz w:val="21"/>
          <w:szCs w:val="21"/>
          <w:highlight w:val="none"/>
        </w:rPr>
        <w:t>.3合同备案存档：政府采购合同双方自签订之日起1个工作日内将合同原件两份交采购代理机构，采购代理机构收到政府采购合同原件后在省级以上人民政府财政部门指定媒体上公告并于合同签订之日起7个工作日内将两份合同原件送监督管理机构备案，一份由采购代理机构存档。</w:t>
      </w:r>
    </w:p>
    <w:p w14:paraId="5038AAB7">
      <w:pPr>
        <w:pStyle w:val="13"/>
        <w:spacing w:line="360" w:lineRule="auto"/>
        <w:ind w:firstLine="640"/>
        <w:jc w:val="center"/>
        <w:rPr>
          <w:b/>
          <w:bCs/>
          <w:color w:val="auto"/>
          <w:sz w:val="32"/>
          <w:szCs w:val="32"/>
          <w:highlight w:val="none"/>
        </w:rPr>
      </w:pPr>
      <w:r>
        <w:rPr>
          <w:rFonts w:hint="eastAsia"/>
          <w:b/>
          <w:bCs/>
          <w:color w:val="auto"/>
          <w:sz w:val="32"/>
          <w:szCs w:val="32"/>
          <w:highlight w:val="none"/>
        </w:rPr>
        <w:t>六、其他事项</w:t>
      </w:r>
    </w:p>
    <w:p w14:paraId="4DEED3C3">
      <w:pPr>
        <w:spacing w:line="360" w:lineRule="auto"/>
        <w:ind w:firstLine="422" w:firstLineChars="200"/>
        <w:rPr>
          <w:b/>
          <w:bCs/>
          <w:color w:val="auto"/>
          <w:sz w:val="21"/>
          <w:szCs w:val="21"/>
          <w:highlight w:val="none"/>
        </w:rPr>
      </w:pPr>
      <w:r>
        <w:rPr>
          <w:b/>
          <w:bCs/>
          <w:color w:val="auto"/>
          <w:sz w:val="21"/>
          <w:szCs w:val="21"/>
          <w:highlight w:val="none"/>
        </w:rPr>
        <w:t>3</w:t>
      </w:r>
      <w:r>
        <w:rPr>
          <w:rFonts w:hint="eastAsia"/>
          <w:b/>
          <w:bCs/>
          <w:color w:val="auto"/>
          <w:sz w:val="21"/>
          <w:szCs w:val="21"/>
          <w:highlight w:val="none"/>
        </w:rPr>
        <w:t>1</w:t>
      </w:r>
      <w:r>
        <w:rPr>
          <w:b/>
          <w:bCs/>
          <w:color w:val="auto"/>
          <w:sz w:val="21"/>
          <w:szCs w:val="21"/>
          <w:highlight w:val="none"/>
        </w:rPr>
        <w:t>.采购代理服务费</w:t>
      </w:r>
    </w:p>
    <w:p w14:paraId="7003B449">
      <w:pPr>
        <w:spacing w:line="360" w:lineRule="auto"/>
        <w:ind w:firstLine="420" w:firstLineChars="200"/>
        <w:rPr>
          <w:color w:val="auto"/>
          <w:szCs w:val="21"/>
          <w:highlight w:val="none"/>
        </w:rPr>
      </w:pPr>
      <w:bookmarkStart w:id="83" w:name="30.1本项目代理服务费按本须知第30.2条“代理服务收费标准”中服务类收费标准"/>
      <w:bookmarkEnd w:id="83"/>
      <w:r>
        <w:rPr>
          <w:rFonts w:hint="eastAsia"/>
          <w:color w:val="auto"/>
          <w:sz w:val="21"/>
          <w:szCs w:val="21"/>
          <w:highlight w:val="none"/>
        </w:rPr>
        <w:t>本项目招标代理服务费由</w:t>
      </w:r>
      <w:r>
        <w:rPr>
          <w:rFonts w:hint="eastAsia"/>
          <w:color w:val="auto"/>
          <w:sz w:val="21"/>
          <w:szCs w:val="21"/>
          <w:highlight w:val="none"/>
          <w:lang w:val="en-US" w:eastAsia="zh-CN"/>
        </w:rPr>
        <w:t>采购人</w:t>
      </w:r>
      <w:r>
        <w:rPr>
          <w:rFonts w:hint="eastAsia"/>
          <w:color w:val="auto"/>
          <w:sz w:val="21"/>
          <w:szCs w:val="21"/>
          <w:highlight w:val="none"/>
        </w:rPr>
        <w:t>支付。</w:t>
      </w:r>
    </w:p>
    <w:p w14:paraId="3CC74B49">
      <w:pPr>
        <w:spacing w:line="360" w:lineRule="auto"/>
        <w:ind w:firstLine="422" w:firstLineChars="200"/>
        <w:rPr>
          <w:rFonts w:hint="default" w:eastAsia="宋体"/>
          <w:b/>
          <w:bCs/>
          <w:color w:val="auto"/>
          <w:sz w:val="21"/>
          <w:szCs w:val="21"/>
          <w:highlight w:val="none"/>
          <w:lang w:val="en-US" w:eastAsia="zh-CN"/>
        </w:rPr>
      </w:pPr>
      <w:r>
        <w:rPr>
          <w:b/>
          <w:bCs/>
          <w:color w:val="auto"/>
          <w:sz w:val="21"/>
          <w:szCs w:val="21"/>
          <w:highlight w:val="none"/>
        </w:rPr>
        <w:t>3</w:t>
      </w:r>
      <w:r>
        <w:rPr>
          <w:rFonts w:hint="eastAsia"/>
          <w:b/>
          <w:bCs/>
          <w:color w:val="auto"/>
          <w:sz w:val="21"/>
          <w:szCs w:val="21"/>
          <w:highlight w:val="none"/>
        </w:rPr>
        <w:t>1</w:t>
      </w:r>
      <w:r>
        <w:rPr>
          <w:b/>
          <w:bCs/>
          <w:color w:val="auto"/>
          <w:sz w:val="21"/>
          <w:szCs w:val="21"/>
          <w:highlight w:val="none"/>
        </w:rPr>
        <w:t>.1代理服务收费标准：</w:t>
      </w:r>
      <w:r>
        <w:rPr>
          <w:rFonts w:hint="eastAsia"/>
          <w:b/>
          <w:bCs/>
          <w:color w:val="auto"/>
          <w:sz w:val="21"/>
          <w:szCs w:val="21"/>
          <w:highlight w:val="none"/>
          <w:lang w:val="en-US" w:eastAsia="zh-CN"/>
        </w:rPr>
        <w:t>详见供应商须知前附表</w:t>
      </w:r>
    </w:p>
    <w:p w14:paraId="74DD919E">
      <w:pPr>
        <w:spacing w:line="360" w:lineRule="auto"/>
        <w:ind w:firstLine="422" w:firstLineChars="200"/>
        <w:rPr>
          <w:b/>
          <w:bCs/>
          <w:color w:val="auto"/>
          <w:sz w:val="21"/>
          <w:szCs w:val="21"/>
          <w:highlight w:val="none"/>
        </w:rPr>
      </w:pPr>
      <w:r>
        <w:rPr>
          <w:rFonts w:hint="eastAsia"/>
          <w:b/>
          <w:bCs/>
          <w:color w:val="auto"/>
          <w:sz w:val="21"/>
          <w:szCs w:val="21"/>
          <w:highlight w:val="none"/>
        </w:rPr>
        <w:t>32.交纳采购代理服务费的银行账户：</w:t>
      </w:r>
    </w:p>
    <w:p w14:paraId="3BBA1821">
      <w:pPr>
        <w:pStyle w:val="15"/>
        <w:snapToGrid w:val="0"/>
        <w:spacing w:line="360" w:lineRule="auto"/>
        <w:ind w:firstLine="420" w:firstLineChars="200"/>
        <w:rPr>
          <w:rFonts w:hint="eastAsia" w:hAnsi="宋体"/>
          <w:color w:val="auto"/>
          <w:kern w:val="2"/>
          <w:sz w:val="21"/>
          <w:szCs w:val="24"/>
          <w:highlight w:val="none"/>
        </w:rPr>
      </w:pPr>
      <w:r>
        <w:rPr>
          <w:rFonts w:hint="eastAsia" w:hAnsi="宋体"/>
          <w:color w:val="auto"/>
          <w:kern w:val="2"/>
          <w:sz w:val="21"/>
          <w:szCs w:val="24"/>
          <w:highlight w:val="none"/>
        </w:rPr>
        <w:t>开户名称：广西城建咨询设计有限公司桂林分公司</w:t>
      </w:r>
    </w:p>
    <w:p w14:paraId="2FFFD867">
      <w:pPr>
        <w:pStyle w:val="15"/>
        <w:snapToGrid w:val="0"/>
        <w:spacing w:line="360" w:lineRule="auto"/>
        <w:ind w:firstLine="420" w:firstLineChars="200"/>
        <w:rPr>
          <w:rFonts w:hint="eastAsia" w:hAnsi="宋体"/>
          <w:color w:val="auto"/>
          <w:kern w:val="2"/>
          <w:sz w:val="21"/>
          <w:szCs w:val="24"/>
          <w:highlight w:val="none"/>
        </w:rPr>
      </w:pPr>
      <w:r>
        <w:rPr>
          <w:rFonts w:hint="eastAsia" w:hAnsi="宋体"/>
          <w:color w:val="auto"/>
          <w:kern w:val="2"/>
          <w:sz w:val="21"/>
          <w:szCs w:val="24"/>
          <w:highlight w:val="none"/>
        </w:rPr>
        <w:t>开户银行：桂林银行股份有限公司榕湖支行</w:t>
      </w:r>
    </w:p>
    <w:p w14:paraId="28463FB8">
      <w:pPr>
        <w:spacing w:line="360" w:lineRule="auto"/>
        <w:ind w:firstLine="420" w:firstLineChars="200"/>
        <w:rPr>
          <w:rFonts w:hint="eastAsia" w:hAnsi="宋体"/>
          <w:color w:val="auto"/>
          <w:kern w:val="2"/>
          <w:sz w:val="21"/>
          <w:szCs w:val="24"/>
          <w:highlight w:val="none"/>
        </w:rPr>
      </w:pPr>
      <w:r>
        <w:rPr>
          <w:rFonts w:hint="eastAsia" w:hAnsi="宋体"/>
          <w:color w:val="auto"/>
          <w:kern w:val="2"/>
          <w:sz w:val="21"/>
          <w:szCs w:val="24"/>
          <w:highlight w:val="none"/>
        </w:rPr>
        <w:t>银行账号：660010033536400020</w:t>
      </w:r>
    </w:p>
    <w:p w14:paraId="27FDA5F1">
      <w:pPr>
        <w:spacing w:line="360" w:lineRule="auto"/>
        <w:ind w:firstLine="422" w:firstLineChars="200"/>
        <w:rPr>
          <w:color w:val="auto"/>
          <w:sz w:val="21"/>
          <w:szCs w:val="21"/>
          <w:highlight w:val="none"/>
        </w:rPr>
      </w:pPr>
      <w:r>
        <w:rPr>
          <w:rFonts w:hint="eastAsia"/>
          <w:b/>
          <w:bCs/>
          <w:color w:val="auto"/>
          <w:sz w:val="21"/>
          <w:szCs w:val="21"/>
          <w:highlight w:val="none"/>
        </w:rPr>
        <w:t>33.解释权：</w:t>
      </w:r>
      <w:r>
        <w:rPr>
          <w:rFonts w:hint="eastAsia" w:ascii="宋体" w:hAnsi="宋体" w:eastAsia="宋体" w:cs="宋体"/>
          <w:b/>
          <w:color w:val="auto"/>
          <w:sz w:val="21"/>
          <w:highlight w:val="none"/>
          <w:lang w:val="en-US" w:eastAsia="zh-CN"/>
        </w:rPr>
        <w:t>由</w:t>
      </w:r>
      <w:r>
        <w:rPr>
          <w:rFonts w:hint="eastAsia" w:hAnsi="宋体" w:eastAsia="宋体" w:cs="宋体"/>
          <w:b/>
          <w:color w:val="auto"/>
          <w:sz w:val="21"/>
          <w:highlight w:val="none"/>
          <w:lang w:val="en-US" w:eastAsia="zh-CN"/>
        </w:rPr>
        <w:t>采购人</w:t>
      </w:r>
      <w:r>
        <w:rPr>
          <w:rFonts w:hint="eastAsia" w:ascii="宋体" w:hAnsi="宋体" w:eastAsia="宋体" w:cs="宋体"/>
          <w:b/>
          <w:color w:val="auto"/>
          <w:sz w:val="21"/>
          <w:highlight w:val="none"/>
          <w:lang w:val="en-US" w:eastAsia="zh-CN"/>
        </w:rPr>
        <w:t>或者采购代理机构负责解释。</w:t>
      </w:r>
      <w:r>
        <w:rPr>
          <w:rFonts w:hint="eastAsia"/>
          <w:color w:val="auto"/>
          <w:sz w:val="21"/>
          <w:szCs w:val="21"/>
          <w:highlight w:val="none"/>
        </w:rPr>
        <w:t>本竞争性磋商文件是根据《中华人民共和国政府采购法》、《中华人民共和国政府采</w:t>
      </w:r>
      <w:bookmarkStart w:id="84" w:name="第三章__服务采购需求"/>
      <w:bookmarkEnd w:id="84"/>
      <w:r>
        <w:rPr>
          <w:rFonts w:hint="eastAsia"/>
          <w:color w:val="auto"/>
          <w:sz w:val="21"/>
          <w:szCs w:val="21"/>
          <w:highlight w:val="none"/>
        </w:rPr>
        <w:t>购法实施条例》、《政府采购竞争性磋商采购方式管理暂行办法》和政府采购管理有关规定编制。</w:t>
      </w:r>
    </w:p>
    <w:p w14:paraId="6ACCE6AF">
      <w:pPr>
        <w:pStyle w:val="13"/>
        <w:spacing w:before="52" w:line="314" w:lineRule="auto"/>
        <w:ind w:left="955" w:leftChars="250" w:right="932" w:hanging="405" w:hangingChars="192"/>
        <w:jc w:val="both"/>
        <w:rPr>
          <w:rFonts w:hint="default" w:eastAsia="宋体"/>
          <w:b/>
          <w:bCs/>
          <w:color w:val="auto"/>
          <w:szCs w:val="22"/>
          <w:highlight w:val="none"/>
          <w:lang w:val="en-US" w:eastAsia="zh-CN"/>
        </w:rPr>
      </w:pPr>
      <w:r>
        <w:rPr>
          <w:rFonts w:hint="eastAsia"/>
          <w:b/>
          <w:bCs/>
          <w:color w:val="auto"/>
          <w:szCs w:val="22"/>
          <w:highlight w:val="none"/>
          <w:lang w:val="en-US" w:eastAsia="zh-CN"/>
        </w:rPr>
        <w:t>34、</w:t>
      </w:r>
      <w:r>
        <w:rPr>
          <w:rFonts w:hint="eastAsia"/>
          <w:color w:val="auto"/>
          <w:sz w:val="21"/>
          <w:szCs w:val="21"/>
          <w:highlight w:val="none"/>
        </w:rPr>
        <w:t>监督管理机构</w:t>
      </w:r>
      <w:r>
        <w:rPr>
          <w:rFonts w:hint="eastAsia"/>
          <w:color w:val="auto"/>
          <w:sz w:val="21"/>
          <w:szCs w:val="21"/>
          <w:highlight w:val="none"/>
          <w:lang w:eastAsia="zh-CN"/>
        </w:rPr>
        <w:t>：</w:t>
      </w:r>
      <w:r>
        <w:rPr>
          <w:rFonts w:hint="eastAsia"/>
          <w:color w:val="auto"/>
          <w:sz w:val="21"/>
          <w:szCs w:val="21"/>
          <w:highlight w:val="none"/>
          <w:lang w:val="en-US" w:eastAsia="zh-CN"/>
        </w:rPr>
        <w:t>详见供应商前附表。</w:t>
      </w:r>
    </w:p>
    <w:p w14:paraId="63CA051D">
      <w:pPr>
        <w:pStyle w:val="13"/>
        <w:spacing w:before="52" w:line="314" w:lineRule="auto"/>
        <w:ind w:left="955" w:leftChars="250" w:right="932" w:hanging="405" w:hangingChars="192"/>
        <w:jc w:val="both"/>
        <w:rPr>
          <w:b/>
          <w:color w:val="auto"/>
          <w:sz w:val="24"/>
          <w:szCs w:val="24"/>
          <w:highlight w:val="none"/>
        </w:rPr>
      </w:pPr>
      <w:r>
        <w:rPr>
          <w:rFonts w:hint="eastAsia"/>
          <w:b/>
          <w:bCs/>
          <w:color w:val="auto"/>
          <w:szCs w:val="22"/>
          <w:highlight w:val="none"/>
        </w:rPr>
        <w:t>3</w:t>
      </w:r>
      <w:r>
        <w:rPr>
          <w:rFonts w:hint="eastAsia"/>
          <w:b/>
          <w:bCs/>
          <w:color w:val="auto"/>
          <w:szCs w:val="22"/>
          <w:highlight w:val="none"/>
          <w:lang w:val="en-US" w:eastAsia="zh-CN"/>
        </w:rPr>
        <w:t>5</w:t>
      </w:r>
      <w:r>
        <w:rPr>
          <w:rFonts w:hint="eastAsia"/>
          <w:b/>
          <w:bCs/>
          <w:color w:val="auto"/>
          <w:szCs w:val="22"/>
          <w:highlight w:val="none"/>
        </w:rPr>
        <w:t>.</w:t>
      </w:r>
      <w:r>
        <w:rPr>
          <w:b/>
          <w:bCs/>
          <w:color w:val="auto"/>
          <w:szCs w:val="22"/>
          <w:highlight w:val="none"/>
        </w:rPr>
        <w:t>广西线上“政采贷”政策详见附表</w:t>
      </w:r>
      <w:r>
        <w:rPr>
          <w:rFonts w:hint="eastAsia"/>
          <w:b/>
          <w:bCs/>
          <w:color w:val="auto"/>
          <w:szCs w:val="22"/>
          <w:highlight w:val="none"/>
        </w:rPr>
        <w:t>3</w:t>
      </w:r>
      <w:r>
        <w:rPr>
          <w:b/>
          <w:bCs/>
          <w:color w:val="auto"/>
          <w:szCs w:val="22"/>
          <w:highlight w:val="none"/>
        </w:rPr>
        <w:t>.</w:t>
      </w:r>
    </w:p>
    <w:p w14:paraId="59470DD4">
      <w:pPr>
        <w:ind w:firstLine="480"/>
        <w:rPr>
          <w:b/>
          <w:color w:val="auto"/>
          <w:sz w:val="24"/>
          <w:szCs w:val="24"/>
          <w:highlight w:val="none"/>
        </w:rPr>
      </w:pPr>
      <w:r>
        <w:rPr>
          <w:rFonts w:hint="eastAsia"/>
          <w:b/>
          <w:color w:val="auto"/>
          <w:sz w:val="24"/>
          <w:szCs w:val="24"/>
          <w:highlight w:val="none"/>
        </w:rPr>
        <w:br w:type="page"/>
      </w:r>
    </w:p>
    <w:p w14:paraId="6A5C2700">
      <w:pPr>
        <w:pStyle w:val="15"/>
        <w:snapToGrid w:val="0"/>
        <w:ind w:firstLine="480"/>
        <w:rPr>
          <w:rFonts w:hAnsi="宋体"/>
          <w:b/>
          <w:color w:val="auto"/>
          <w:sz w:val="24"/>
          <w:szCs w:val="24"/>
          <w:highlight w:val="none"/>
        </w:rPr>
      </w:pPr>
      <w:r>
        <w:rPr>
          <w:rFonts w:hint="eastAsia"/>
          <w:b/>
          <w:color w:val="auto"/>
          <w:sz w:val="24"/>
          <w:szCs w:val="24"/>
          <w:highlight w:val="none"/>
        </w:rPr>
        <w:t>附表1：</w:t>
      </w:r>
    </w:p>
    <w:p w14:paraId="574ED0EF">
      <w:pPr>
        <w:spacing w:line="460" w:lineRule="exact"/>
        <w:ind w:firstLine="640"/>
        <w:jc w:val="center"/>
        <w:rPr>
          <w:color w:val="auto"/>
          <w:sz w:val="32"/>
          <w:szCs w:val="32"/>
          <w:highlight w:val="none"/>
        </w:rPr>
      </w:pPr>
      <w:r>
        <w:rPr>
          <w:rFonts w:hint="eastAsia" w:cs="仿宋"/>
          <w:b/>
          <w:bCs/>
          <w:color w:val="auto"/>
          <w:sz w:val="32"/>
          <w:szCs w:val="32"/>
          <w:highlight w:val="none"/>
        </w:rPr>
        <w:t>质疑函（格式）</w:t>
      </w:r>
    </w:p>
    <w:p w14:paraId="1749CB6A">
      <w:pPr>
        <w:pStyle w:val="15"/>
        <w:snapToGrid w:val="0"/>
        <w:spacing w:line="360" w:lineRule="exact"/>
        <w:ind w:firstLine="442" w:firstLineChars="200"/>
        <w:rPr>
          <w:rFonts w:hAnsi="宋体"/>
          <w:b/>
          <w:bCs/>
          <w:color w:val="auto"/>
          <w:highlight w:val="none"/>
        </w:rPr>
      </w:pPr>
      <w:r>
        <w:rPr>
          <w:rFonts w:hint="eastAsia" w:hAnsi="宋体"/>
          <w:b/>
          <w:bCs/>
          <w:color w:val="auto"/>
          <w:highlight w:val="none"/>
        </w:rPr>
        <w:t>一、质疑供应商基本信息：</w:t>
      </w:r>
    </w:p>
    <w:p w14:paraId="4369EFFC">
      <w:pPr>
        <w:pStyle w:val="15"/>
        <w:snapToGrid w:val="0"/>
        <w:spacing w:line="360" w:lineRule="exact"/>
        <w:ind w:firstLine="440" w:firstLineChars="200"/>
        <w:rPr>
          <w:rFonts w:hAnsi="宋体"/>
          <w:bCs/>
          <w:color w:val="auto"/>
          <w:highlight w:val="none"/>
          <w:u w:val="single"/>
        </w:rPr>
      </w:pPr>
      <w:r>
        <w:rPr>
          <w:rFonts w:hint="eastAsia" w:hAnsi="宋体"/>
          <w:bCs/>
          <w:color w:val="auto"/>
          <w:highlight w:val="none"/>
        </w:rPr>
        <w:t>质疑供应商：</w:t>
      </w:r>
    </w:p>
    <w:p w14:paraId="1F0B0211">
      <w:pPr>
        <w:pStyle w:val="15"/>
        <w:snapToGrid w:val="0"/>
        <w:spacing w:line="360" w:lineRule="exact"/>
        <w:ind w:firstLine="44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p>
    <w:p w14:paraId="3BAA90A9">
      <w:pPr>
        <w:pStyle w:val="15"/>
        <w:snapToGrid w:val="0"/>
        <w:spacing w:line="360" w:lineRule="exact"/>
        <w:ind w:firstLine="440" w:firstLineChars="200"/>
        <w:rPr>
          <w:rFonts w:hAnsi="宋体"/>
          <w:bCs/>
          <w:color w:val="auto"/>
          <w:highlight w:val="none"/>
        </w:rPr>
      </w:pPr>
      <w:r>
        <w:rPr>
          <w:rFonts w:hAnsi="宋体"/>
          <w:bCs/>
          <w:color w:val="auto"/>
          <w:highlight w:val="none"/>
        </w:rPr>
        <w:t>联系人</w:t>
      </w:r>
      <w:r>
        <w:rPr>
          <w:rFonts w:hint="eastAsia" w:hAnsi="宋体"/>
          <w:bCs/>
          <w:color w:val="auto"/>
          <w:highlight w:val="none"/>
        </w:rPr>
        <w:t>：</w:t>
      </w:r>
      <w:r>
        <w:rPr>
          <w:rFonts w:hAnsi="宋体"/>
          <w:bCs/>
          <w:color w:val="auto"/>
          <w:highlight w:val="none"/>
        </w:rPr>
        <w:t>联系电话</w:t>
      </w:r>
      <w:r>
        <w:rPr>
          <w:rFonts w:hint="eastAsia" w:hAnsi="宋体"/>
          <w:bCs/>
          <w:color w:val="auto"/>
          <w:highlight w:val="none"/>
        </w:rPr>
        <w:t>：</w:t>
      </w:r>
    </w:p>
    <w:p w14:paraId="7FBE085B">
      <w:pPr>
        <w:pStyle w:val="15"/>
        <w:snapToGrid w:val="0"/>
        <w:spacing w:line="360" w:lineRule="exact"/>
        <w:ind w:firstLine="440" w:firstLineChars="200"/>
        <w:rPr>
          <w:rFonts w:hAnsi="宋体"/>
          <w:bCs/>
          <w:color w:val="auto"/>
          <w:highlight w:val="none"/>
        </w:rPr>
      </w:pPr>
      <w:r>
        <w:rPr>
          <w:rFonts w:hint="eastAsia" w:hAnsi="宋体"/>
          <w:bCs/>
          <w:color w:val="auto"/>
          <w:highlight w:val="none"/>
        </w:rPr>
        <w:t>授权代表：</w:t>
      </w:r>
    </w:p>
    <w:p w14:paraId="0A1827A7">
      <w:pPr>
        <w:pStyle w:val="15"/>
        <w:snapToGrid w:val="0"/>
        <w:spacing w:line="360" w:lineRule="exact"/>
        <w:ind w:firstLine="440" w:firstLineChars="200"/>
        <w:rPr>
          <w:rFonts w:hAnsi="宋体"/>
          <w:bCs/>
          <w:color w:val="auto"/>
          <w:highlight w:val="none"/>
          <w:u w:val="single"/>
        </w:rPr>
      </w:pPr>
      <w:r>
        <w:rPr>
          <w:rFonts w:hAnsi="宋体"/>
          <w:bCs/>
          <w:color w:val="auto"/>
          <w:highlight w:val="none"/>
        </w:rPr>
        <w:t>联系</w:t>
      </w:r>
      <w:r>
        <w:rPr>
          <w:rFonts w:hint="eastAsia" w:hAnsi="宋体"/>
          <w:bCs/>
          <w:color w:val="auto"/>
          <w:highlight w:val="none"/>
        </w:rPr>
        <w:t>电话：</w:t>
      </w:r>
    </w:p>
    <w:p w14:paraId="6825C1C3">
      <w:pPr>
        <w:pStyle w:val="15"/>
        <w:snapToGrid w:val="0"/>
        <w:spacing w:line="360" w:lineRule="exact"/>
        <w:ind w:firstLine="44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p>
    <w:p w14:paraId="54BA0E3E">
      <w:pPr>
        <w:pStyle w:val="15"/>
        <w:snapToGrid w:val="0"/>
        <w:spacing w:line="360" w:lineRule="exact"/>
        <w:ind w:firstLine="442" w:firstLineChars="200"/>
        <w:rPr>
          <w:rFonts w:hAnsi="宋体"/>
          <w:b/>
          <w:bCs/>
          <w:color w:val="auto"/>
          <w:highlight w:val="none"/>
        </w:rPr>
      </w:pPr>
      <w:r>
        <w:rPr>
          <w:rFonts w:hint="eastAsia" w:hAnsi="宋体"/>
          <w:b/>
          <w:bCs/>
          <w:color w:val="auto"/>
          <w:highlight w:val="none"/>
        </w:rPr>
        <w:t>二、质疑项目基本情况：</w:t>
      </w:r>
    </w:p>
    <w:p w14:paraId="04A11F1E">
      <w:pPr>
        <w:pStyle w:val="15"/>
        <w:spacing w:line="360" w:lineRule="exact"/>
        <w:ind w:left="26" w:leftChars="12" w:firstLine="433" w:firstLineChars="197"/>
        <w:rPr>
          <w:rFonts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p>
    <w:p w14:paraId="1964F396">
      <w:pPr>
        <w:pStyle w:val="15"/>
        <w:spacing w:line="360" w:lineRule="exact"/>
        <w:ind w:left="26" w:leftChars="12" w:firstLine="433" w:firstLineChars="197"/>
        <w:rPr>
          <w:rFonts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rPr>
        <w:t>包号：</w:t>
      </w:r>
    </w:p>
    <w:p w14:paraId="02EFB666">
      <w:pPr>
        <w:pStyle w:val="15"/>
        <w:spacing w:line="360" w:lineRule="exact"/>
        <w:ind w:left="26" w:leftChars="12" w:firstLine="433" w:firstLineChars="197"/>
        <w:rPr>
          <w:rFonts w:hAnsi="宋体"/>
          <w:bCs/>
          <w:color w:val="auto"/>
          <w:highlight w:val="none"/>
          <w:u w:val="single"/>
        </w:rPr>
      </w:pPr>
      <w:r>
        <w:rPr>
          <w:rFonts w:hint="eastAsia" w:hAnsi="宋体"/>
          <w:color w:val="auto"/>
          <w:szCs w:val="21"/>
          <w:highlight w:val="none"/>
        </w:rPr>
        <w:t>采购人名称：</w:t>
      </w:r>
    </w:p>
    <w:p w14:paraId="5100408F">
      <w:pPr>
        <w:pStyle w:val="15"/>
        <w:spacing w:line="360" w:lineRule="exact"/>
        <w:ind w:left="26" w:leftChars="12" w:firstLine="433" w:firstLineChars="197"/>
        <w:rPr>
          <w:rFonts w:hAnsi="宋体"/>
          <w:color w:val="auto"/>
          <w:szCs w:val="21"/>
          <w:highlight w:val="none"/>
          <w:u w:val="single"/>
        </w:rPr>
      </w:pPr>
      <w:r>
        <w:rPr>
          <w:rFonts w:hint="eastAsia" w:hAnsi="宋体"/>
          <w:color w:val="auto"/>
          <w:szCs w:val="21"/>
          <w:highlight w:val="none"/>
        </w:rPr>
        <w:t>采购文件获取日期：</w:t>
      </w:r>
    </w:p>
    <w:p w14:paraId="30C34853">
      <w:pPr>
        <w:pStyle w:val="15"/>
        <w:spacing w:line="360" w:lineRule="exact"/>
        <w:ind w:left="26" w:leftChars="12" w:firstLine="433" w:firstLineChars="196"/>
        <w:rPr>
          <w:rFonts w:hAnsi="宋体"/>
          <w:b/>
          <w:color w:val="auto"/>
          <w:szCs w:val="21"/>
          <w:highlight w:val="none"/>
        </w:rPr>
      </w:pPr>
      <w:r>
        <w:rPr>
          <w:rFonts w:hint="eastAsia" w:hAnsi="宋体"/>
          <w:b/>
          <w:color w:val="auto"/>
          <w:szCs w:val="21"/>
          <w:highlight w:val="none"/>
        </w:rPr>
        <w:t>三、质疑事项具体内容</w:t>
      </w:r>
    </w:p>
    <w:p w14:paraId="5850C6F9">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质疑事项1：</w:t>
      </w:r>
    </w:p>
    <w:p w14:paraId="08319812">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事实依据：</w:t>
      </w:r>
    </w:p>
    <w:p w14:paraId="36DA6783">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法律依据：</w:t>
      </w:r>
    </w:p>
    <w:p w14:paraId="7E2EDAD8">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质疑事项2</w:t>
      </w:r>
    </w:p>
    <w:p w14:paraId="79A00B76">
      <w:pPr>
        <w:pStyle w:val="15"/>
        <w:spacing w:line="360" w:lineRule="exact"/>
        <w:ind w:left="26" w:leftChars="12" w:firstLine="433" w:firstLineChars="197"/>
        <w:rPr>
          <w:rFonts w:hAnsi="宋体"/>
          <w:color w:val="auto"/>
          <w:szCs w:val="21"/>
          <w:highlight w:val="none"/>
        </w:rPr>
      </w:pPr>
      <w:r>
        <w:rPr>
          <w:rFonts w:hAnsi="宋体"/>
          <w:color w:val="auto"/>
          <w:szCs w:val="21"/>
          <w:highlight w:val="none"/>
        </w:rPr>
        <w:t>……</w:t>
      </w:r>
    </w:p>
    <w:p w14:paraId="79E615DF">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四、与质疑事项相关的质疑请求：</w:t>
      </w:r>
    </w:p>
    <w:p w14:paraId="392E2917">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请求：</w:t>
      </w:r>
    </w:p>
    <w:p w14:paraId="7683AABB">
      <w:pPr>
        <w:pStyle w:val="15"/>
        <w:spacing w:line="360" w:lineRule="exact"/>
        <w:ind w:left="26" w:leftChars="12" w:firstLine="323" w:firstLineChars="147"/>
        <w:rPr>
          <w:rFonts w:hAnsi="宋体"/>
          <w:color w:val="auto"/>
          <w:szCs w:val="21"/>
          <w:highlight w:val="none"/>
        </w:rPr>
      </w:pPr>
    </w:p>
    <w:p w14:paraId="266459B0">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签字（签章）：公章：</w:t>
      </w:r>
    </w:p>
    <w:p w14:paraId="779B8C59">
      <w:pPr>
        <w:pStyle w:val="15"/>
        <w:spacing w:line="360" w:lineRule="exact"/>
        <w:ind w:left="26" w:leftChars="12" w:firstLine="323" w:firstLineChars="147"/>
        <w:rPr>
          <w:rFonts w:hAnsi="宋体"/>
          <w:color w:val="auto"/>
          <w:szCs w:val="21"/>
          <w:highlight w:val="none"/>
        </w:rPr>
      </w:pPr>
    </w:p>
    <w:p w14:paraId="3A5A4410">
      <w:pPr>
        <w:pStyle w:val="15"/>
        <w:spacing w:line="360" w:lineRule="exact"/>
        <w:ind w:left="26" w:leftChars="12" w:firstLine="433" w:firstLineChars="197"/>
        <w:rPr>
          <w:rFonts w:hAnsi="宋体"/>
          <w:color w:val="auto"/>
          <w:szCs w:val="21"/>
          <w:highlight w:val="none"/>
        </w:rPr>
      </w:pPr>
      <w:r>
        <w:rPr>
          <w:rFonts w:hint="eastAsia" w:hAnsi="宋体"/>
          <w:color w:val="auto"/>
          <w:szCs w:val="21"/>
          <w:highlight w:val="none"/>
        </w:rPr>
        <w:t>日期：</w:t>
      </w:r>
    </w:p>
    <w:p w14:paraId="00884754">
      <w:pPr>
        <w:pStyle w:val="15"/>
        <w:snapToGrid w:val="0"/>
        <w:spacing w:line="340" w:lineRule="exact"/>
        <w:ind w:firstLine="560"/>
        <w:rPr>
          <w:rFonts w:hAnsi="宋体"/>
          <w:b/>
          <w:color w:val="auto"/>
          <w:szCs w:val="21"/>
          <w:highlight w:val="none"/>
        </w:rPr>
      </w:pPr>
    </w:p>
    <w:p w14:paraId="67B54C7E">
      <w:pPr>
        <w:pStyle w:val="15"/>
        <w:snapToGrid w:val="0"/>
        <w:spacing w:line="340" w:lineRule="exact"/>
        <w:ind w:firstLine="560"/>
        <w:rPr>
          <w:rFonts w:hAnsi="宋体"/>
          <w:b/>
          <w:color w:val="auto"/>
          <w:szCs w:val="21"/>
          <w:highlight w:val="none"/>
        </w:rPr>
      </w:pPr>
      <w:r>
        <w:rPr>
          <w:rFonts w:hint="eastAsia" w:hAnsi="宋体"/>
          <w:b/>
          <w:color w:val="auto"/>
          <w:szCs w:val="21"/>
          <w:highlight w:val="none"/>
        </w:rPr>
        <w:t>说明：</w:t>
      </w:r>
    </w:p>
    <w:p w14:paraId="20ECA1B4">
      <w:pPr>
        <w:pStyle w:val="15"/>
        <w:spacing w:line="340" w:lineRule="exact"/>
        <w:ind w:left="26" w:leftChars="12" w:firstLine="325" w:firstLineChars="147"/>
        <w:rPr>
          <w:rFonts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1E2A3C8D">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31C0D7">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5A66DA54">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078CC1E9">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5.质疑函的质疑请求应与质疑事项相关。</w:t>
      </w:r>
    </w:p>
    <w:p w14:paraId="2F350A8C">
      <w:pPr>
        <w:pStyle w:val="15"/>
        <w:spacing w:line="340" w:lineRule="exact"/>
        <w:ind w:left="26" w:leftChars="12" w:firstLine="325" w:firstLineChars="147"/>
        <w:rPr>
          <w:b/>
          <w:color w:val="auto"/>
          <w:sz w:val="24"/>
          <w:szCs w:val="24"/>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274C3CAB">
      <w:pPr>
        <w:pStyle w:val="15"/>
        <w:snapToGrid w:val="0"/>
        <w:ind w:firstLine="480"/>
        <w:rPr>
          <w:b/>
          <w:color w:val="auto"/>
          <w:sz w:val="24"/>
          <w:szCs w:val="24"/>
          <w:highlight w:val="none"/>
        </w:rPr>
      </w:pPr>
    </w:p>
    <w:p w14:paraId="04D37D2C">
      <w:pPr>
        <w:pStyle w:val="15"/>
        <w:snapToGrid w:val="0"/>
        <w:ind w:firstLine="480"/>
        <w:rPr>
          <w:b/>
          <w:color w:val="auto"/>
          <w:sz w:val="24"/>
          <w:szCs w:val="24"/>
          <w:highlight w:val="none"/>
        </w:rPr>
      </w:pPr>
    </w:p>
    <w:p w14:paraId="06A617D3">
      <w:pPr>
        <w:bidi w:val="0"/>
        <w:rPr>
          <w:color w:val="auto"/>
          <w:highlight w:val="none"/>
        </w:rPr>
      </w:pPr>
    </w:p>
    <w:p w14:paraId="457A4C31">
      <w:pPr>
        <w:pStyle w:val="15"/>
        <w:snapToGrid w:val="0"/>
        <w:ind w:firstLine="480"/>
        <w:rPr>
          <w:b/>
          <w:color w:val="auto"/>
          <w:sz w:val="24"/>
          <w:szCs w:val="24"/>
          <w:highlight w:val="none"/>
        </w:rPr>
      </w:pPr>
    </w:p>
    <w:p w14:paraId="2A4F9D00">
      <w:pPr>
        <w:pStyle w:val="15"/>
        <w:snapToGrid w:val="0"/>
        <w:ind w:firstLine="480"/>
        <w:rPr>
          <w:rFonts w:hAnsi="宋体"/>
          <w:b/>
          <w:color w:val="auto"/>
          <w:sz w:val="24"/>
          <w:szCs w:val="24"/>
          <w:highlight w:val="none"/>
        </w:rPr>
      </w:pPr>
      <w:r>
        <w:rPr>
          <w:rFonts w:hint="eastAsia"/>
          <w:b/>
          <w:color w:val="auto"/>
          <w:sz w:val="24"/>
          <w:szCs w:val="24"/>
          <w:highlight w:val="none"/>
        </w:rPr>
        <w:t>附表2：</w:t>
      </w:r>
    </w:p>
    <w:p w14:paraId="131959A5">
      <w:pPr>
        <w:spacing w:line="460" w:lineRule="exact"/>
        <w:ind w:firstLine="640"/>
        <w:jc w:val="center"/>
        <w:rPr>
          <w:b/>
          <w:color w:val="auto"/>
          <w:sz w:val="32"/>
          <w:szCs w:val="32"/>
          <w:highlight w:val="none"/>
        </w:rPr>
      </w:pPr>
      <w:r>
        <w:rPr>
          <w:rFonts w:hint="eastAsia"/>
          <w:b/>
          <w:color w:val="auto"/>
          <w:sz w:val="32"/>
          <w:szCs w:val="32"/>
          <w:highlight w:val="none"/>
        </w:rPr>
        <w:t>投诉书（格式）</w:t>
      </w:r>
    </w:p>
    <w:p w14:paraId="13CAE8FA">
      <w:pPr>
        <w:pStyle w:val="15"/>
        <w:snapToGrid w:val="0"/>
        <w:spacing w:line="400" w:lineRule="exact"/>
        <w:ind w:firstLine="442" w:firstLineChars="200"/>
        <w:rPr>
          <w:rFonts w:hAnsi="宋体"/>
          <w:b/>
          <w:bCs/>
          <w:color w:val="auto"/>
          <w:highlight w:val="none"/>
        </w:rPr>
      </w:pPr>
      <w:r>
        <w:rPr>
          <w:rFonts w:hint="eastAsia" w:hAnsi="宋体"/>
          <w:b/>
          <w:bCs/>
          <w:color w:val="auto"/>
          <w:highlight w:val="none"/>
        </w:rPr>
        <w:t>一、投诉相关主体基本情况：</w:t>
      </w:r>
    </w:p>
    <w:p w14:paraId="583E1AC8">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lang w:eastAsia="zh-CN"/>
        </w:rPr>
        <w:t>供应商</w:t>
      </w:r>
      <w:r>
        <w:rPr>
          <w:rFonts w:hint="eastAsia" w:hAnsi="宋体"/>
          <w:bCs/>
          <w:color w:val="auto"/>
          <w:highlight w:val="none"/>
        </w:rPr>
        <w:t>：</w:t>
      </w:r>
    </w:p>
    <w:p w14:paraId="7C77EC42">
      <w:pPr>
        <w:pStyle w:val="15"/>
        <w:snapToGrid w:val="0"/>
        <w:spacing w:line="400" w:lineRule="exact"/>
        <w:ind w:firstLine="44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p>
    <w:p w14:paraId="4CD50B30">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rPr>
        <w:t>法定代表人/主要负责人：</w:t>
      </w:r>
    </w:p>
    <w:p w14:paraId="19DBD61A">
      <w:pPr>
        <w:pStyle w:val="15"/>
        <w:snapToGrid w:val="0"/>
        <w:spacing w:line="400" w:lineRule="exact"/>
        <w:ind w:firstLine="440" w:firstLineChars="200"/>
        <w:rPr>
          <w:rFonts w:hAnsi="宋体"/>
          <w:bCs/>
          <w:color w:val="auto"/>
          <w:highlight w:val="none"/>
        </w:rPr>
      </w:pPr>
      <w:r>
        <w:rPr>
          <w:rFonts w:hAnsi="宋体"/>
          <w:bCs/>
          <w:color w:val="auto"/>
          <w:highlight w:val="none"/>
        </w:rPr>
        <w:t>联系电话</w:t>
      </w:r>
      <w:r>
        <w:rPr>
          <w:rFonts w:hint="eastAsia" w:hAnsi="宋体"/>
          <w:bCs/>
          <w:color w:val="auto"/>
          <w:highlight w:val="none"/>
        </w:rPr>
        <w:t>：</w:t>
      </w:r>
    </w:p>
    <w:p w14:paraId="0147F629">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rPr>
        <w:t>授权代表：</w:t>
      </w:r>
      <w:r>
        <w:rPr>
          <w:rFonts w:hAnsi="宋体"/>
          <w:bCs/>
          <w:color w:val="auto"/>
          <w:highlight w:val="none"/>
        </w:rPr>
        <w:t>联系</w:t>
      </w:r>
      <w:r>
        <w:rPr>
          <w:rFonts w:hint="eastAsia" w:hAnsi="宋体"/>
          <w:bCs/>
          <w:color w:val="auto"/>
          <w:highlight w:val="none"/>
        </w:rPr>
        <w:t>电话：</w:t>
      </w:r>
    </w:p>
    <w:p w14:paraId="0B08C69D">
      <w:pPr>
        <w:pStyle w:val="15"/>
        <w:snapToGrid w:val="0"/>
        <w:spacing w:line="400" w:lineRule="exact"/>
        <w:ind w:firstLine="440" w:firstLineChars="200"/>
        <w:rPr>
          <w:rFonts w:hAnsi="宋体"/>
          <w:bCs/>
          <w:color w:val="auto"/>
          <w:highlight w:val="non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p>
    <w:p w14:paraId="0BE45ADF">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rPr>
        <w:t>被投诉人1：</w:t>
      </w:r>
    </w:p>
    <w:p w14:paraId="4135EEAF">
      <w:pPr>
        <w:pStyle w:val="15"/>
        <w:snapToGrid w:val="0"/>
        <w:spacing w:line="400" w:lineRule="exact"/>
        <w:ind w:firstLine="440" w:firstLineChars="200"/>
        <w:rPr>
          <w:rFonts w:hAnsi="宋体"/>
          <w:bCs/>
          <w:color w:val="auto"/>
          <w:highlight w:val="none"/>
        </w:rPr>
      </w:pPr>
      <w:r>
        <w:rPr>
          <w:rFonts w:hint="eastAsia" w:hAnsi="宋体"/>
          <w:bCs/>
          <w:color w:val="auto"/>
          <w:highlight w:val="none"/>
        </w:rPr>
        <w:t>地址：</w:t>
      </w:r>
      <w:r>
        <w:rPr>
          <w:rFonts w:hAnsi="宋体"/>
          <w:bCs/>
          <w:color w:val="auto"/>
          <w:highlight w:val="none"/>
        </w:rPr>
        <w:t>邮编</w:t>
      </w:r>
      <w:r>
        <w:rPr>
          <w:rFonts w:hint="eastAsia" w:hAnsi="宋体"/>
          <w:bCs/>
          <w:color w:val="auto"/>
          <w:highlight w:val="none"/>
        </w:rPr>
        <w:t>：</w:t>
      </w:r>
    </w:p>
    <w:p w14:paraId="0225E1E5">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rPr>
        <w:t>联系人：</w:t>
      </w:r>
      <w:r>
        <w:rPr>
          <w:rFonts w:hAnsi="宋体"/>
          <w:bCs/>
          <w:color w:val="auto"/>
          <w:highlight w:val="none"/>
        </w:rPr>
        <w:t>联系</w:t>
      </w:r>
      <w:r>
        <w:rPr>
          <w:rFonts w:hint="eastAsia" w:hAnsi="宋体"/>
          <w:bCs/>
          <w:color w:val="auto"/>
          <w:highlight w:val="none"/>
        </w:rPr>
        <w:t>电话：</w:t>
      </w:r>
    </w:p>
    <w:p w14:paraId="139F4E3C">
      <w:pPr>
        <w:pStyle w:val="15"/>
        <w:snapToGrid w:val="0"/>
        <w:spacing w:line="400" w:lineRule="exact"/>
        <w:ind w:firstLine="440" w:firstLineChars="200"/>
        <w:rPr>
          <w:rFonts w:hAnsi="宋体"/>
          <w:bCs/>
          <w:color w:val="auto"/>
          <w:highlight w:val="none"/>
        </w:rPr>
      </w:pPr>
      <w:r>
        <w:rPr>
          <w:rFonts w:hint="eastAsia" w:hAnsi="宋体"/>
          <w:bCs/>
          <w:color w:val="auto"/>
          <w:highlight w:val="none"/>
        </w:rPr>
        <w:t>被投诉人2：</w:t>
      </w:r>
    </w:p>
    <w:p w14:paraId="2BA8B764">
      <w:pPr>
        <w:pStyle w:val="15"/>
        <w:snapToGrid w:val="0"/>
        <w:spacing w:line="400" w:lineRule="exact"/>
        <w:ind w:firstLine="440" w:firstLineChars="200"/>
        <w:rPr>
          <w:rFonts w:hAnsi="宋体"/>
          <w:bCs/>
          <w:color w:val="auto"/>
          <w:highlight w:val="none"/>
        </w:rPr>
      </w:pPr>
      <w:r>
        <w:rPr>
          <w:rFonts w:hAnsi="宋体"/>
          <w:bCs/>
          <w:color w:val="auto"/>
          <w:highlight w:val="none"/>
        </w:rPr>
        <w:t>……</w:t>
      </w:r>
    </w:p>
    <w:p w14:paraId="1819EF0B">
      <w:pPr>
        <w:pStyle w:val="15"/>
        <w:snapToGrid w:val="0"/>
        <w:spacing w:line="400" w:lineRule="exact"/>
        <w:ind w:firstLine="440" w:firstLineChars="200"/>
        <w:rPr>
          <w:rFonts w:hAnsi="宋体"/>
          <w:bCs/>
          <w:color w:val="auto"/>
          <w:highlight w:val="none"/>
          <w:u w:val="single"/>
        </w:rPr>
      </w:pPr>
      <w:r>
        <w:rPr>
          <w:rFonts w:hint="eastAsia" w:hAnsi="宋体"/>
          <w:bCs/>
          <w:color w:val="auto"/>
          <w:highlight w:val="none"/>
        </w:rPr>
        <w:t>相关供应商：</w:t>
      </w:r>
    </w:p>
    <w:p w14:paraId="0527EA56">
      <w:pPr>
        <w:pStyle w:val="15"/>
        <w:snapToGrid w:val="0"/>
        <w:spacing w:line="400" w:lineRule="exact"/>
        <w:ind w:firstLine="440" w:firstLineChars="200"/>
        <w:rPr>
          <w:rFonts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Ansi="宋体"/>
          <w:bCs/>
          <w:color w:val="auto"/>
          <w:highlight w:val="none"/>
        </w:rPr>
        <w:t>邮编</w:t>
      </w:r>
      <w:r>
        <w:rPr>
          <w:rFonts w:hint="eastAsia" w:hAnsi="宋体"/>
          <w:bCs/>
          <w:color w:val="auto"/>
          <w:highlight w:val="none"/>
        </w:rPr>
        <w:t>：</w:t>
      </w:r>
    </w:p>
    <w:p w14:paraId="396AFCAD">
      <w:pPr>
        <w:pStyle w:val="15"/>
        <w:snapToGrid w:val="0"/>
        <w:spacing w:line="400" w:lineRule="exact"/>
        <w:ind w:firstLine="440" w:firstLineChars="200"/>
        <w:rPr>
          <w:rFonts w:hAnsi="宋体"/>
          <w:bCs/>
          <w:color w:val="auto"/>
          <w:highlight w:val="none"/>
        </w:rPr>
      </w:pPr>
      <w:r>
        <w:rPr>
          <w:rFonts w:hint="eastAsia" w:hAnsi="宋体"/>
          <w:bCs/>
          <w:color w:val="auto"/>
          <w:highlight w:val="none"/>
        </w:rPr>
        <w:t>联系人：</w:t>
      </w:r>
      <w:r>
        <w:rPr>
          <w:rFonts w:hAnsi="宋体"/>
          <w:bCs/>
          <w:color w:val="auto"/>
          <w:highlight w:val="none"/>
        </w:rPr>
        <w:t>联系</w:t>
      </w:r>
      <w:r>
        <w:rPr>
          <w:rFonts w:hint="eastAsia" w:hAnsi="宋体"/>
          <w:bCs/>
          <w:color w:val="auto"/>
          <w:highlight w:val="none"/>
        </w:rPr>
        <w:t>电话：</w:t>
      </w:r>
    </w:p>
    <w:p w14:paraId="02CB5A1A">
      <w:pPr>
        <w:pStyle w:val="15"/>
        <w:snapToGrid w:val="0"/>
        <w:spacing w:line="400" w:lineRule="exact"/>
        <w:ind w:firstLine="442" w:firstLineChars="200"/>
        <w:rPr>
          <w:rFonts w:hAnsi="宋体"/>
          <w:b/>
          <w:bCs/>
          <w:color w:val="auto"/>
          <w:highlight w:val="none"/>
        </w:rPr>
      </w:pPr>
      <w:r>
        <w:rPr>
          <w:rFonts w:hint="eastAsia" w:hAnsi="宋体"/>
          <w:b/>
          <w:bCs/>
          <w:color w:val="auto"/>
          <w:highlight w:val="none"/>
        </w:rPr>
        <w:t>二、投诉项目基本情况：</w:t>
      </w:r>
    </w:p>
    <w:p w14:paraId="0630DC54">
      <w:pPr>
        <w:pStyle w:val="15"/>
        <w:spacing w:line="400" w:lineRule="exact"/>
        <w:ind w:left="26" w:leftChars="12" w:firstLine="433" w:firstLineChars="197"/>
        <w:rPr>
          <w:rFonts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p>
    <w:p w14:paraId="12FA541B">
      <w:pPr>
        <w:pStyle w:val="15"/>
        <w:spacing w:line="400" w:lineRule="exact"/>
        <w:ind w:left="26" w:leftChars="12" w:firstLine="433" w:firstLineChars="197"/>
        <w:rPr>
          <w:rFonts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rPr>
        <w:t>包号：</w:t>
      </w:r>
    </w:p>
    <w:p w14:paraId="2AC3020F">
      <w:pPr>
        <w:pStyle w:val="15"/>
        <w:spacing w:line="400" w:lineRule="exact"/>
        <w:ind w:left="26" w:leftChars="12" w:firstLine="433" w:firstLineChars="197"/>
        <w:rPr>
          <w:rFonts w:hAnsi="宋体"/>
          <w:bCs/>
          <w:color w:val="auto"/>
          <w:highlight w:val="none"/>
          <w:u w:val="single"/>
        </w:rPr>
      </w:pPr>
      <w:r>
        <w:rPr>
          <w:rFonts w:hint="eastAsia" w:hAnsi="宋体"/>
          <w:color w:val="auto"/>
          <w:szCs w:val="21"/>
          <w:highlight w:val="none"/>
        </w:rPr>
        <w:t>采购人名称：</w:t>
      </w:r>
    </w:p>
    <w:p w14:paraId="7C034438">
      <w:pPr>
        <w:pStyle w:val="15"/>
        <w:spacing w:line="400" w:lineRule="exact"/>
        <w:ind w:left="26" w:leftChars="12" w:firstLine="433" w:firstLineChars="197"/>
        <w:rPr>
          <w:rFonts w:hAnsi="宋体"/>
          <w:bCs/>
          <w:color w:val="auto"/>
          <w:highlight w:val="none"/>
          <w:u w:val="single"/>
        </w:rPr>
      </w:pPr>
      <w:r>
        <w:rPr>
          <w:rFonts w:hint="eastAsia" w:hAnsi="宋体"/>
          <w:color w:val="auto"/>
          <w:szCs w:val="21"/>
          <w:highlight w:val="none"/>
        </w:rPr>
        <w:t>代理机构名称：</w:t>
      </w:r>
    </w:p>
    <w:p w14:paraId="2AB964F1">
      <w:pPr>
        <w:pStyle w:val="15"/>
        <w:spacing w:line="400" w:lineRule="exact"/>
        <w:ind w:left="26" w:leftChars="12" w:firstLine="433" w:firstLineChars="197"/>
        <w:rPr>
          <w:rFonts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p>
    <w:p w14:paraId="3B64342E">
      <w:pPr>
        <w:pStyle w:val="15"/>
        <w:spacing w:line="400" w:lineRule="exact"/>
        <w:ind w:left="26" w:leftChars="12" w:firstLine="433" w:firstLineChars="197"/>
        <w:rPr>
          <w:rFonts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p>
    <w:p w14:paraId="7E67CDAE">
      <w:pPr>
        <w:pStyle w:val="15"/>
        <w:spacing w:line="400" w:lineRule="exact"/>
        <w:ind w:left="26" w:leftChars="12" w:firstLine="433" w:firstLineChars="196"/>
        <w:rPr>
          <w:rFonts w:hAnsi="宋体"/>
          <w:b/>
          <w:color w:val="auto"/>
          <w:szCs w:val="21"/>
          <w:highlight w:val="none"/>
        </w:rPr>
      </w:pPr>
      <w:r>
        <w:rPr>
          <w:rFonts w:hint="eastAsia" w:hAnsi="宋体"/>
          <w:b/>
          <w:color w:val="auto"/>
          <w:szCs w:val="21"/>
          <w:highlight w:val="none"/>
        </w:rPr>
        <w:t>三、质疑基本情况</w:t>
      </w:r>
    </w:p>
    <w:p w14:paraId="7159BF19">
      <w:pPr>
        <w:pStyle w:val="15"/>
        <w:spacing w:line="400" w:lineRule="exact"/>
        <w:ind w:firstLine="440" w:firstLineChars="200"/>
        <w:rPr>
          <w:rFonts w:hAnsi="宋体"/>
          <w:color w:val="auto"/>
          <w:szCs w:val="21"/>
          <w:highlight w:val="none"/>
        </w:rPr>
      </w:pPr>
      <w:r>
        <w:rPr>
          <w:rFonts w:hint="eastAsia" w:hAnsi="宋体"/>
          <w:color w:val="auto"/>
          <w:szCs w:val="21"/>
          <w:highlight w:val="none"/>
        </w:rPr>
        <w:t>投诉人于年月日，向提出质疑，质疑事项为：</w:t>
      </w:r>
    </w:p>
    <w:p w14:paraId="715AB65C">
      <w:pPr>
        <w:pStyle w:val="15"/>
        <w:spacing w:line="400" w:lineRule="exact"/>
        <w:rPr>
          <w:rFonts w:hAnsi="宋体"/>
          <w:bCs/>
          <w:color w:val="auto"/>
          <w:highlight w:val="none"/>
          <w:u w:val="single"/>
        </w:rPr>
      </w:pPr>
    </w:p>
    <w:p w14:paraId="439DB67B">
      <w:pPr>
        <w:pStyle w:val="15"/>
        <w:spacing w:line="400" w:lineRule="exact"/>
        <w:rPr>
          <w:rFonts w:hAnsi="宋体"/>
          <w:bCs/>
          <w:color w:val="auto"/>
          <w:highlight w:val="none"/>
          <w:u w:val="single"/>
        </w:rPr>
      </w:pPr>
    </w:p>
    <w:p w14:paraId="49EF46F8">
      <w:pPr>
        <w:pStyle w:val="15"/>
        <w:spacing w:line="400" w:lineRule="exact"/>
        <w:ind w:firstLine="440" w:firstLineChars="200"/>
        <w:rPr>
          <w:rFonts w:hAnsi="宋体"/>
          <w:color w:val="auto"/>
          <w:szCs w:val="21"/>
          <w:highlight w:val="none"/>
        </w:rPr>
      </w:pP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rPr>
        <w:t>年月日，</w:t>
      </w:r>
      <w:r>
        <w:rPr>
          <w:rFonts w:hint="eastAsia" w:hAnsi="宋体"/>
          <w:bCs/>
          <w:color w:val="auto"/>
          <w:highlight w:val="none"/>
        </w:rPr>
        <w:t>就质疑事项作出了答复/没有在法定期限内作出答复。</w:t>
      </w:r>
    </w:p>
    <w:p w14:paraId="21E92D2B">
      <w:pPr>
        <w:pStyle w:val="15"/>
        <w:spacing w:line="400" w:lineRule="exact"/>
        <w:ind w:left="26" w:leftChars="12" w:firstLine="433" w:firstLineChars="196"/>
        <w:rPr>
          <w:rFonts w:hAnsi="宋体"/>
          <w:b/>
          <w:color w:val="auto"/>
          <w:szCs w:val="21"/>
          <w:highlight w:val="none"/>
        </w:rPr>
      </w:pPr>
      <w:r>
        <w:rPr>
          <w:rFonts w:hint="eastAsia" w:hAnsi="宋体"/>
          <w:b/>
          <w:color w:val="auto"/>
          <w:szCs w:val="21"/>
          <w:highlight w:val="none"/>
        </w:rPr>
        <w:t>四、投诉事项具体内容</w:t>
      </w:r>
    </w:p>
    <w:p w14:paraId="297266DD">
      <w:pPr>
        <w:pStyle w:val="15"/>
        <w:spacing w:line="400" w:lineRule="exact"/>
        <w:ind w:left="26" w:leftChars="12" w:firstLine="433" w:firstLineChars="197"/>
        <w:rPr>
          <w:rFonts w:hAnsi="宋体"/>
          <w:bCs/>
          <w:color w:val="auto"/>
          <w:highlight w:val="none"/>
          <w:u w:val="single"/>
        </w:rPr>
      </w:pPr>
      <w:r>
        <w:rPr>
          <w:rFonts w:hint="eastAsia" w:hAnsi="宋体"/>
          <w:color w:val="auto"/>
          <w:szCs w:val="21"/>
          <w:highlight w:val="none"/>
        </w:rPr>
        <w:t>投诉事项1：</w:t>
      </w:r>
    </w:p>
    <w:p w14:paraId="19109B5D">
      <w:pPr>
        <w:pStyle w:val="15"/>
        <w:spacing w:line="400" w:lineRule="exact"/>
        <w:ind w:firstLine="440" w:firstLineChars="200"/>
        <w:rPr>
          <w:rFonts w:hAnsi="宋体"/>
          <w:bCs/>
          <w:color w:val="auto"/>
          <w:highlight w:val="none"/>
          <w:u w:val="single"/>
        </w:rPr>
      </w:pPr>
      <w:r>
        <w:rPr>
          <w:rFonts w:hint="eastAsia" w:hAnsi="宋体"/>
          <w:bCs/>
          <w:color w:val="auto"/>
          <w:highlight w:val="none"/>
        </w:rPr>
        <w:t>事实依据：</w:t>
      </w:r>
    </w:p>
    <w:p w14:paraId="0C022001">
      <w:pPr>
        <w:pStyle w:val="15"/>
        <w:spacing w:line="400" w:lineRule="exact"/>
        <w:ind w:left="26" w:leftChars="12" w:firstLine="433" w:firstLineChars="197"/>
        <w:rPr>
          <w:rFonts w:hAnsi="宋体"/>
          <w:color w:val="auto"/>
          <w:szCs w:val="21"/>
          <w:highlight w:val="none"/>
        </w:rPr>
      </w:pPr>
    </w:p>
    <w:p w14:paraId="78F9426F">
      <w:pPr>
        <w:pStyle w:val="15"/>
        <w:spacing w:line="400" w:lineRule="exact"/>
        <w:ind w:firstLine="440" w:firstLineChars="200"/>
        <w:rPr>
          <w:rFonts w:hAnsi="宋体"/>
          <w:bCs/>
          <w:color w:val="auto"/>
          <w:highlight w:val="none"/>
          <w:u w:val="single"/>
        </w:rPr>
      </w:pPr>
      <w:r>
        <w:rPr>
          <w:rFonts w:hint="eastAsia" w:hAnsi="宋体"/>
          <w:bCs/>
          <w:color w:val="auto"/>
          <w:highlight w:val="none"/>
        </w:rPr>
        <w:t>法律依据：</w:t>
      </w:r>
    </w:p>
    <w:p w14:paraId="14C170DC">
      <w:pPr>
        <w:pStyle w:val="15"/>
        <w:spacing w:line="400" w:lineRule="exact"/>
        <w:ind w:left="26" w:leftChars="12" w:firstLine="323" w:firstLineChars="147"/>
        <w:rPr>
          <w:rFonts w:hAnsi="宋体"/>
          <w:bCs/>
          <w:color w:val="auto"/>
          <w:highlight w:val="none"/>
          <w:u w:val="single"/>
        </w:rPr>
      </w:pPr>
    </w:p>
    <w:p w14:paraId="1D7C31DB">
      <w:pPr>
        <w:pStyle w:val="15"/>
        <w:spacing w:line="400" w:lineRule="exact"/>
        <w:ind w:left="26" w:leftChars="12" w:firstLine="433" w:firstLineChars="197"/>
        <w:rPr>
          <w:rFonts w:hAnsi="宋体"/>
          <w:bCs/>
          <w:color w:val="auto"/>
          <w:highlight w:val="none"/>
        </w:rPr>
      </w:pPr>
      <w:r>
        <w:rPr>
          <w:rFonts w:hint="eastAsia" w:hAnsi="宋体"/>
          <w:color w:val="auto"/>
          <w:szCs w:val="21"/>
          <w:highlight w:val="none"/>
        </w:rPr>
        <w:t>投诉事项2</w:t>
      </w:r>
    </w:p>
    <w:p w14:paraId="40A8689E">
      <w:pPr>
        <w:pStyle w:val="15"/>
        <w:spacing w:line="400" w:lineRule="exact"/>
        <w:ind w:left="26" w:leftChars="12" w:firstLine="433" w:firstLineChars="197"/>
        <w:rPr>
          <w:rFonts w:hAnsi="宋体"/>
          <w:bCs/>
          <w:color w:val="auto"/>
          <w:highlight w:val="none"/>
        </w:rPr>
      </w:pPr>
      <w:r>
        <w:rPr>
          <w:rFonts w:hAnsi="宋体"/>
          <w:bCs/>
          <w:color w:val="auto"/>
          <w:highlight w:val="none"/>
        </w:rPr>
        <w:t>……</w:t>
      </w:r>
    </w:p>
    <w:p w14:paraId="32103E29">
      <w:pPr>
        <w:pStyle w:val="15"/>
        <w:spacing w:line="400" w:lineRule="exact"/>
        <w:ind w:left="26" w:leftChars="12" w:firstLine="433" w:firstLineChars="196"/>
        <w:rPr>
          <w:rFonts w:hAnsi="宋体"/>
          <w:b/>
          <w:color w:val="auto"/>
          <w:szCs w:val="21"/>
          <w:highlight w:val="none"/>
        </w:rPr>
      </w:pPr>
      <w:r>
        <w:rPr>
          <w:rFonts w:hint="eastAsia" w:hAnsi="宋体"/>
          <w:b/>
          <w:color w:val="auto"/>
          <w:szCs w:val="21"/>
          <w:highlight w:val="none"/>
        </w:rPr>
        <w:t>五、与投诉事项相关的投诉请求：</w:t>
      </w:r>
    </w:p>
    <w:p w14:paraId="294C7F18">
      <w:pPr>
        <w:pStyle w:val="15"/>
        <w:spacing w:line="400" w:lineRule="exact"/>
        <w:ind w:left="26" w:leftChars="12" w:firstLine="433" w:firstLineChars="197"/>
        <w:rPr>
          <w:rFonts w:hAnsi="宋体"/>
          <w:color w:val="auto"/>
          <w:szCs w:val="21"/>
          <w:highlight w:val="none"/>
        </w:rPr>
      </w:pPr>
      <w:r>
        <w:rPr>
          <w:rFonts w:hint="eastAsia" w:hAnsi="宋体"/>
          <w:color w:val="auto"/>
          <w:szCs w:val="21"/>
          <w:highlight w:val="none"/>
        </w:rPr>
        <w:t>请求：</w:t>
      </w:r>
    </w:p>
    <w:p w14:paraId="6442E3D6">
      <w:pPr>
        <w:pStyle w:val="15"/>
        <w:spacing w:line="400" w:lineRule="exact"/>
        <w:ind w:left="26" w:leftChars="12" w:firstLine="323" w:firstLineChars="147"/>
        <w:rPr>
          <w:rFonts w:hAnsi="宋体"/>
          <w:color w:val="auto"/>
          <w:szCs w:val="21"/>
          <w:highlight w:val="none"/>
        </w:rPr>
      </w:pPr>
    </w:p>
    <w:p w14:paraId="3CFC097A">
      <w:pPr>
        <w:pStyle w:val="15"/>
        <w:spacing w:line="400" w:lineRule="exact"/>
        <w:ind w:left="26" w:leftChars="12" w:firstLine="433" w:firstLineChars="197"/>
        <w:rPr>
          <w:rFonts w:hAnsi="宋体"/>
          <w:color w:val="auto"/>
          <w:szCs w:val="21"/>
          <w:highlight w:val="none"/>
        </w:rPr>
      </w:pPr>
      <w:r>
        <w:rPr>
          <w:rFonts w:hint="eastAsia" w:hAnsi="宋体"/>
          <w:color w:val="auto"/>
          <w:szCs w:val="21"/>
          <w:highlight w:val="none"/>
        </w:rPr>
        <w:t>签字（签章）：公章：</w:t>
      </w:r>
    </w:p>
    <w:p w14:paraId="2A0F5F5E">
      <w:pPr>
        <w:pStyle w:val="15"/>
        <w:spacing w:line="400" w:lineRule="exact"/>
        <w:ind w:left="26" w:leftChars="12" w:firstLine="323" w:firstLineChars="147"/>
        <w:rPr>
          <w:rFonts w:hAnsi="宋体"/>
          <w:color w:val="auto"/>
          <w:szCs w:val="21"/>
          <w:highlight w:val="none"/>
        </w:rPr>
      </w:pPr>
    </w:p>
    <w:p w14:paraId="620C5DBA">
      <w:pPr>
        <w:pStyle w:val="15"/>
        <w:spacing w:line="400" w:lineRule="exact"/>
        <w:ind w:left="26" w:leftChars="12" w:firstLine="433" w:firstLineChars="197"/>
        <w:rPr>
          <w:rFonts w:hAnsi="宋体"/>
          <w:color w:val="auto"/>
          <w:szCs w:val="21"/>
          <w:highlight w:val="none"/>
        </w:rPr>
      </w:pPr>
      <w:r>
        <w:rPr>
          <w:rFonts w:hint="eastAsia" w:hAnsi="宋体"/>
          <w:color w:val="auto"/>
          <w:szCs w:val="21"/>
          <w:highlight w:val="none"/>
        </w:rPr>
        <w:t>日期：</w:t>
      </w:r>
    </w:p>
    <w:p w14:paraId="4933FD44">
      <w:pPr>
        <w:pStyle w:val="15"/>
        <w:spacing w:line="360" w:lineRule="exact"/>
        <w:ind w:left="26" w:leftChars="12" w:firstLine="433" w:firstLineChars="197"/>
        <w:rPr>
          <w:rFonts w:hAnsi="宋体"/>
          <w:color w:val="auto"/>
          <w:szCs w:val="21"/>
          <w:highlight w:val="none"/>
        </w:rPr>
      </w:pPr>
    </w:p>
    <w:p w14:paraId="20A2F240">
      <w:pPr>
        <w:pStyle w:val="15"/>
        <w:snapToGrid w:val="0"/>
        <w:spacing w:line="340" w:lineRule="exact"/>
        <w:ind w:firstLine="560"/>
        <w:rPr>
          <w:rFonts w:hAnsi="宋体"/>
          <w:b/>
          <w:color w:val="auto"/>
          <w:szCs w:val="21"/>
          <w:highlight w:val="none"/>
        </w:rPr>
      </w:pPr>
      <w:r>
        <w:rPr>
          <w:rFonts w:hint="eastAsia" w:hAnsi="宋体"/>
          <w:b/>
          <w:color w:val="auto"/>
          <w:szCs w:val="21"/>
          <w:highlight w:val="none"/>
        </w:rPr>
        <w:t>说明：</w:t>
      </w:r>
    </w:p>
    <w:p w14:paraId="36FF8EF5">
      <w:pPr>
        <w:pStyle w:val="15"/>
        <w:spacing w:line="340" w:lineRule="exact"/>
        <w:ind w:left="26" w:leftChars="12" w:firstLine="325" w:firstLineChars="147"/>
        <w:rPr>
          <w:rFonts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9672B75">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79998B1">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705D9F5C">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2701E797">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1D7F9B22">
      <w:pPr>
        <w:pStyle w:val="15"/>
        <w:spacing w:line="340" w:lineRule="exact"/>
        <w:ind w:left="26" w:leftChars="12" w:firstLine="325" w:firstLineChars="147"/>
        <w:rPr>
          <w:rFonts w:hAnsi="宋体"/>
          <w:b/>
          <w:color w:val="auto"/>
          <w:szCs w:val="21"/>
          <w:highlight w:val="none"/>
        </w:rPr>
      </w:pPr>
      <w:r>
        <w:rPr>
          <w:rFonts w:hint="eastAsia" w:hAnsi="宋体"/>
          <w:b/>
          <w:color w:val="auto"/>
          <w:szCs w:val="21"/>
          <w:highlight w:val="none"/>
        </w:rPr>
        <w:t>6.投诉书的投诉请求应与投诉事项相关。</w:t>
      </w:r>
    </w:p>
    <w:p w14:paraId="3F1A3130">
      <w:pPr>
        <w:pStyle w:val="15"/>
        <w:spacing w:line="340" w:lineRule="exact"/>
        <w:ind w:left="26" w:leftChars="12" w:firstLine="325" w:firstLineChars="147"/>
        <w:rPr>
          <w:b/>
          <w:color w:val="auto"/>
          <w:sz w:val="20"/>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02F44E5B">
      <w:pPr>
        <w:pStyle w:val="13"/>
        <w:ind w:firstLine="400"/>
        <w:rPr>
          <w:b/>
          <w:color w:val="auto"/>
          <w:sz w:val="20"/>
          <w:highlight w:val="none"/>
        </w:rPr>
      </w:pPr>
    </w:p>
    <w:p w14:paraId="79DDBE24">
      <w:pPr>
        <w:rPr>
          <w:color w:val="auto"/>
          <w:highlight w:val="none"/>
        </w:rPr>
      </w:pPr>
      <w:r>
        <w:rPr>
          <w:color w:val="auto"/>
          <w:highlight w:val="none"/>
        </w:rPr>
        <w:br w:type="page"/>
      </w:r>
    </w:p>
    <w:p w14:paraId="78D265A0">
      <w:pPr>
        <w:rPr>
          <w:color w:val="auto"/>
          <w:highlight w:val="none"/>
        </w:rPr>
      </w:pPr>
    </w:p>
    <w:p w14:paraId="5F44D8F2">
      <w:pPr>
        <w:bidi w:val="0"/>
        <w:rPr>
          <w:color w:val="auto"/>
          <w:highlight w:val="none"/>
        </w:rPr>
      </w:pPr>
      <w:r>
        <w:rPr>
          <w:color w:val="auto"/>
          <w:highlight w:val="none"/>
        </w:rPr>
        <w:t>附表</w:t>
      </w:r>
      <w:r>
        <w:rPr>
          <w:rFonts w:hint="eastAsia"/>
          <w:color w:val="auto"/>
          <w:highlight w:val="none"/>
        </w:rPr>
        <w:t>3</w:t>
      </w:r>
      <w:r>
        <w:rPr>
          <w:color w:val="auto"/>
          <w:highlight w:val="none"/>
        </w:rPr>
        <w:t>：</w:t>
      </w:r>
    </w:p>
    <w:p w14:paraId="0F048B23">
      <w:pPr>
        <w:pStyle w:val="13"/>
        <w:spacing w:before="6"/>
        <w:ind w:firstLine="422"/>
        <w:rPr>
          <w:b/>
          <w:color w:val="auto"/>
          <w:sz w:val="18"/>
          <w:highlight w:val="none"/>
        </w:rPr>
      </w:pPr>
      <w:r>
        <w:rPr>
          <w:color w:val="auto"/>
          <w:highlight w:val="none"/>
        </w:rPr>
        <w:drawing>
          <wp:anchor distT="0" distB="0" distL="0" distR="0" simplePos="0" relativeHeight="251661312" behindDoc="1" locked="0" layoutInCell="1" allowOverlap="1">
            <wp:simplePos x="0" y="0"/>
            <wp:positionH relativeFrom="page">
              <wp:posOffset>847090</wp:posOffset>
            </wp:positionH>
            <wp:positionV relativeFrom="paragraph">
              <wp:posOffset>165735</wp:posOffset>
            </wp:positionV>
            <wp:extent cx="5433060" cy="5280660"/>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5433308" cy="5280659"/>
                    </a:xfrm>
                    <a:prstGeom prst="rect">
                      <a:avLst/>
                    </a:prstGeom>
                  </pic:spPr>
                </pic:pic>
              </a:graphicData>
            </a:graphic>
          </wp:anchor>
        </w:drawing>
      </w:r>
    </w:p>
    <w:p w14:paraId="6C8B8BF9">
      <w:pPr>
        <w:ind w:firstLine="361"/>
        <w:rPr>
          <w:color w:val="auto"/>
          <w:sz w:val="18"/>
          <w:highlight w:val="none"/>
        </w:rPr>
        <w:sectPr>
          <w:pgSz w:w="11911" w:h="16849"/>
          <w:pgMar w:top="1417" w:right="1417" w:bottom="1417" w:left="1417" w:header="720" w:footer="720" w:gutter="0"/>
          <w:cols w:space="0" w:num="1"/>
          <w:rtlGutter w:val="0"/>
          <w:docGrid w:linePitch="0" w:charSpace="0"/>
        </w:sectPr>
      </w:pPr>
    </w:p>
    <w:p w14:paraId="2BAA6DF9">
      <w:pPr>
        <w:pStyle w:val="2"/>
        <w:spacing w:before="24" w:line="360" w:lineRule="auto"/>
        <w:ind w:right="322" w:firstLine="643"/>
        <w:jc w:val="center"/>
        <w:rPr>
          <w:color w:val="auto"/>
          <w:highlight w:val="none"/>
        </w:rPr>
      </w:pPr>
      <w:bookmarkStart w:id="85" w:name="_Toc20973"/>
      <w:r>
        <w:rPr>
          <w:color w:val="auto"/>
          <w:highlight w:val="none"/>
        </w:rPr>
        <w:t>第三章采购需求</w:t>
      </w:r>
      <w:bookmarkEnd w:id="85"/>
    </w:p>
    <w:p w14:paraId="77FF9A70">
      <w:pPr>
        <w:spacing w:line="360" w:lineRule="auto"/>
        <w:ind w:firstLine="422" w:firstLineChars="200"/>
        <w:rPr>
          <w:b/>
          <w:bCs/>
          <w:color w:val="auto"/>
          <w:sz w:val="21"/>
          <w:szCs w:val="21"/>
          <w:highlight w:val="none"/>
        </w:rPr>
      </w:pPr>
      <w:r>
        <w:rPr>
          <w:b/>
          <w:bCs/>
          <w:color w:val="auto"/>
          <w:sz w:val="21"/>
          <w:szCs w:val="21"/>
          <w:highlight w:val="none"/>
        </w:rPr>
        <w:t>注：本项目采购需求中的所有条款均为实质性要求。</w:t>
      </w:r>
    </w:p>
    <w:p w14:paraId="3B0FDE8C">
      <w:pPr>
        <w:spacing w:line="360" w:lineRule="auto"/>
        <w:ind w:firstLine="422" w:firstLineChars="200"/>
        <w:rPr>
          <w:color w:val="auto"/>
          <w:sz w:val="21"/>
          <w:szCs w:val="21"/>
          <w:highlight w:val="none"/>
        </w:rPr>
      </w:pPr>
      <w:bookmarkStart w:id="86" w:name="_Toc24407"/>
      <w:bookmarkStart w:id="87" w:name="_Toc17930"/>
      <w:r>
        <w:rPr>
          <w:b/>
          <w:bCs/>
          <w:color w:val="auto"/>
          <w:sz w:val="21"/>
          <w:szCs w:val="21"/>
          <w:highlight w:val="none"/>
        </w:rPr>
        <w:t>一、项目名称</w:t>
      </w:r>
      <w:bookmarkEnd w:id="86"/>
      <w:bookmarkEnd w:id="87"/>
    </w:p>
    <w:p w14:paraId="1D88D260">
      <w:pPr>
        <w:keepNext w:val="0"/>
        <w:keepLines w:val="0"/>
        <w:pageBreakBefore w:val="0"/>
        <w:kinsoku/>
        <w:wordWrap/>
        <w:overflowPunct/>
        <w:topLinePunct w:val="0"/>
        <w:autoSpaceDE/>
        <w:autoSpaceDN/>
        <w:bidi w:val="0"/>
        <w:adjustRightInd/>
        <w:spacing w:before="0" w:after="0" w:line="360" w:lineRule="auto"/>
        <w:ind w:firstLine="440" w:firstLineChars="200"/>
        <w:textAlignment w:val="auto"/>
        <w:rPr>
          <w:rFonts w:hint="eastAsia" w:ascii="宋体" w:hAnsi="宋体" w:eastAsia="宋体" w:cs="宋体"/>
          <w:color w:val="auto"/>
          <w:szCs w:val="21"/>
          <w:highlight w:val="none"/>
          <w:u w:val="single"/>
          <w:lang w:eastAsia="zh-CN"/>
        </w:rPr>
      </w:pPr>
      <w:bookmarkStart w:id="88" w:name="_Toc25690"/>
      <w:bookmarkStart w:id="89" w:name="_Toc14877"/>
      <w:r>
        <w:rPr>
          <w:rFonts w:hint="eastAsia" w:ascii="宋体" w:hAnsi="宋体" w:cs="宋体"/>
          <w:color w:val="auto"/>
          <w:szCs w:val="21"/>
          <w:highlight w:val="none"/>
          <w:u w:val="none"/>
          <w:lang w:eastAsia="zh-CN"/>
        </w:rPr>
        <w:t>广西壮族自治区恭城公路养护中心G357线K1265+300～K1272+300公路灾害防治工程</w:t>
      </w:r>
    </w:p>
    <w:p w14:paraId="7004637D">
      <w:pPr>
        <w:spacing w:line="360" w:lineRule="auto"/>
        <w:ind w:firstLine="422" w:firstLineChars="200"/>
        <w:rPr>
          <w:b/>
          <w:bCs/>
          <w:color w:val="auto"/>
          <w:sz w:val="21"/>
          <w:szCs w:val="21"/>
          <w:highlight w:val="none"/>
        </w:rPr>
      </w:pPr>
      <w:r>
        <w:rPr>
          <w:b/>
          <w:bCs/>
          <w:color w:val="auto"/>
          <w:sz w:val="21"/>
          <w:szCs w:val="21"/>
          <w:highlight w:val="none"/>
        </w:rPr>
        <w:t>二、项目概况</w:t>
      </w:r>
      <w:bookmarkEnd w:id="88"/>
      <w:bookmarkEnd w:id="89"/>
      <w:r>
        <w:rPr>
          <w:rFonts w:hint="eastAsia"/>
          <w:b/>
          <w:bCs/>
          <w:color w:val="auto"/>
          <w:sz w:val="21"/>
          <w:szCs w:val="21"/>
          <w:highlight w:val="none"/>
        </w:rPr>
        <w:t>和招标范围</w:t>
      </w:r>
    </w:p>
    <w:p w14:paraId="039EB54B">
      <w:pPr>
        <w:autoSpaceDE/>
        <w:autoSpaceDN/>
        <w:spacing w:line="360" w:lineRule="auto"/>
        <w:ind w:firstLine="420" w:firstLineChars="200"/>
        <w:rPr>
          <w:color w:val="auto"/>
          <w:szCs w:val="21"/>
          <w:highlight w:val="none"/>
        </w:rPr>
      </w:pPr>
      <w:r>
        <w:rPr>
          <w:rFonts w:hint="eastAsia"/>
          <w:color w:val="auto"/>
          <w:sz w:val="21"/>
          <w:szCs w:val="21"/>
          <w:highlight w:val="none"/>
        </w:rPr>
        <w:t>1.项目概况：</w:t>
      </w:r>
      <w:bookmarkStart w:id="90" w:name="OLE_LINK63"/>
      <w:bookmarkStart w:id="91" w:name="OLE_LINK64"/>
      <w:r>
        <w:rPr>
          <w:rFonts w:hint="eastAsia"/>
          <w:color w:val="auto"/>
          <w:szCs w:val="21"/>
          <w:highlight w:val="none"/>
        </w:rPr>
        <w:t>广西壮族自治区恭城公路养护中心G357线K1265+300～K1272+300公路灾害防治工程</w:t>
      </w:r>
      <w:bookmarkEnd w:id="90"/>
      <w:bookmarkEnd w:id="91"/>
      <w:r>
        <w:rPr>
          <w:rFonts w:hint="eastAsia"/>
          <w:color w:val="auto"/>
          <w:szCs w:val="21"/>
          <w:highlight w:val="none"/>
        </w:rPr>
        <w:t>位于桂林市恭城县栗木镇泉会村，其中灾点现场核查桩号为K1268+020～K1268+148，灾害类型为滑坡。该路段为二级公路，双向2车道，路基宽度为8.5m，设计速度为40km/h。</w:t>
      </w:r>
      <w:bookmarkStart w:id="92" w:name="OLE_LINK7"/>
      <w:r>
        <w:rPr>
          <w:rFonts w:hint="eastAsia"/>
          <w:color w:val="auto"/>
          <w:sz w:val="21"/>
          <w:szCs w:val="21"/>
          <w:highlight w:val="none"/>
        </w:rPr>
        <w:t>主要内容：</w:t>
      </w:r>
      <w:r>
        <w:rPr>
          <w:rFonts w:hint="eastAsia"/>
          <w:color w:val="auto"/>
          <w:szCs w:val="21"/>
          <w:highlight w:val="none"/>
        </w:rPr>
        <w:t>详见工程量清单和图纸。</w:t>
      </w:r>
      <w:bookmarkEnd w:id="92"/>
    </w:p>
    <w:p w14:paraId="70079BB5">
      <w:pPr>
        <w:spacing w:line="360" w:lineRule="auto"/>
        <w:ind w:firstLine="422" w:firstLineChars="200"/>
        <w:rPr>
          <w:b/>
          <w:bCs/>
          <w:color w:val="auto"/>
          <w:sz w:val="21"/>
          <w:szCs w:val="21"/>
          <w:highlight w:val="none"/>
        </w:rPr>
      </w:pPr>
      <w:r>
        <w:rPr>
          <w:rFonts w:hint="eastAsia"/>
          <w:b/>
          <w:bCs/>
          <w:color w:val="auto"/>
          <w:sz w:val="21"/>
          <w:szCs w:val="21"/>
          <w:highlight w:val="none"/>
        </w:rPr>
        <w:t>2.</w:t>
      </w:r>
      <w:r>
        <w:rPr>
          <w:b/>
          <w:bCs/>
          <w:color w:val="auto"/>
          <w:sz w:val="21"/>
          <w:szCs w:val="21"/>
          <w:highlight w:val="none"/>
        </w:rPr>
        <w:t>采购预算金额（</w:t>
      </w:r>
      <w:r>
        <w:rPr>
          <w:rFonts w:hint="eastAsia"/>
          <w:b/>
          <w:bCs/>
          <w:color w:val="auto"/>
          <w:sz w:val="21"/>
          <w:szCs w:val="21"/>
          <w:highlight w:val="none"/>
          <w:lang w:eastAsia="zh-CN"/>
        </w:rPr>
        <w:t>最高限价</w:t>
      </w:r>
      <w:r>
        <w:rPr>
          <w:rFonts w:hint="eastAsia"/>
          <w:b/>
          <w:bCs/>
          <w:color w:val="auto"/>
          <w:sz w:val="21"/>
          <w:szCs w:val="21"/>
          <w:highlight w:val="none"/>
        </w:rPr>
        <w:t>）</w:t>
      </w:r>
    </w:p>
    <w:p w14:paraId="4E5528BF">
      <w:pPr>
        <w:spacing w:line="360" w:lineRule="auto"/>
        <w:ind w:firstLine="420"/>
        <w:jc w:val="both"/>
        <w:rPr>
          <w:rFonts w:hint="eastAsia" w:ascii="宋体" w:hAnsi="宋体" w:eastAsia="宋体" w:cs="宋体"/>
          <w:b/>
          <w:bCs/>
          <w:color w:val="auto"/>
          <w:sz w:val="21"/>
          <w:szCs w:val="21"/>
          <w:highlight w:val="none"/>
        </w:rPr>
      </w:pPr>
      <w:r>
        <w:rPr>
          <w:b/>
          <w:bCs/>
          <w:color w:val="auto"/>
          <w:sz w:val="21"/>
          <w:szCs w:val="21"/>
          <w:highlight w:val="none"/>
        </w:rPr>
        <w:t>采购预算金额（</w:t>
      </w:r>
      <w:r>
        <w:rPr>
          <w:rFonts w:hint="eastAsia"/>
          <w:b/>
          <w:bCs/>
          <w:color w:val="auto"/>
          <w:sz w:val="21"/>
          <w:szCs w:val="21"/>
          <w:highlight w:val="none"/>
          <w:lang w:eastAsia="zh-CN"/>
        </w:rPr>
        <w:t>最高限价</w:t>
      </w:r>
      <w:r>
        <w:rPr>
          <w:b/>
          <w:bCs/>
          <w:color w:val="auto"/>
          <w:sz w:val="21"/>
          <w:szCs w:val="21"/>
          <w:highlight w:val="none"/>
        </w:rPr>
        <w:t>）（人民币）：</w:t>
      </w:r>
      <w:r>
        <w:rPr>
          <w:rFonts w:hint="eastAsia" w:cs="宋体"/>
          <w:b/>
          <w:bCs/>
          <w:color w:val="auto"/>
          <w:sz w:val="21"/>
          <w:szCs w:val="21"/>
          <w:highlight w:val="none"/>
          <w:lang w:val="en-US" w:eastAsia="zh-CN"/>
        </w:rPr>
        <w:t>贰佰柒拾万零叁佰零陆元整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2700306</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w:t>
      </w:r>
    </w:p>
    <w:p w14:paraId="340C6236">
      <w:pPr>
        <w:spacing w:line="360" w:lineRule="auto"/>
        <w:ind w:firstLine="420" w:firstLineChars="200"/>
        <w:rPr>
          <w:color w:val="auto"/>
          <w:sz w:val="21"/>
          <w:szCs w:val="21"/>
          <w:highlight w:val="none"/>
        </w:rPr>
      </w:pPr>
      <w:r>
        <w:rPr>
          <w:rFonts w:hint="eastAsia"/>
          <w:color w:val="auto"/>
          <w:sz w:val="21"/>
          <w:szCs w:val="21"/>
          <w:highlight w:val="none"/>
        </w:rPr>
        <w:t>3.项目建设地点：</w:t>
      </w:r>
      <w:r>
        <w:rPr>
          <w:rFonts w:hint="eastAsia" w:ascii="宋体" w:hAnsi="宋体" w:eastAsia="宋体" w:cs="宋体"/>
          <w:color w:val="auto"/>
          <w:kern w:val="2"/>
          <w:sz w:val="21"/>
          <w:szCs w:val="21"/>
          <w:highlight w:val="none"/>
          <w:lang w:val="en-US" w:eastAsia="zh-CN" w:bidi="ar"/>
        </w:rPr>
        <w:t>桂林市恭城县栗木镇</w:t>
      </w:r>
      <w:r>
        <w:rPr>
          <w:rFonts w:hint="eastAsia"/>
          <w:color w:val="auto"/>
          <w:sz w:val="21"/>
          <w:szCs w:val="21"/>
          <w:highlight w:val="none"/>
        </w:rPr>
        <w:t>。</w:t>
      </w:r>
    </w:p>
    <w:p w14:paraId="724DE210">
      <w:pPr>
        <w:spacing w:line="360" w:lineRule="auto"/>
        <w:ind w:firstLine="420" w:firstLineChars="200"/>
        <w:rPr>
          <w:color w:val="auto"/>
          <w:sz w:val="21"/>
          <w:szCs w:val="21"/>
          <w:highlight w:val="none"/>
        </w:rPr>
      </w:pPr>
      <w:r>
        <w:rPr>
          <w:rFonts w:hint="eastAsia"/>
          <w:color w:val="auto"/>
          <w:sz w:val="21"/>
          <w:szCs w:val="21"/>
          <w:highlight w:val="none"/>
        </w:rPr>
        <w:t>4.采购质量指标：工程交工验收的质量评定：合格；竣工验收的质量评定：优良。</w:t>
      </w:r>
    </w:p>
    <w:p w14:paraId="3585E7BB">
      <w:pPr>
        <w:spacing w:line="360" w:lineRule="auto"/>
        <w:ind w:firstLine="420" w:firstLineChars="200"/>
        <w:rPr>
          <w:color w:val="auto"/>
          <w:sz w:val="21"/>
          <w:szCs w:val="21"/>
          <w:highlight w:val="none"/>
        </w:rPr>
      </w:pPr>
      <w:r>
        <w:rPr>
          <w:rFonts w:hint="eastAsia"/>
          <w:color w:val="auto"/>
          <w:sz w:val="21"/>
          <w:szCs w:val="21"/>
          <w:highlight w:val="none"/>
        </w:rPr>
        <w:t>5.安全要求：严格按照《</w:t>
      </w:r>
      <w:bookmarkStart w:id="93" w:name="OLE_LINK17"/>
      <w:r>
        <w:rPr>
          <w:rFonts w:hint="eastAsia"/>
          <w:color w:val="auto"/>
          <w:sz w:val="21"/>
          <w:szCs w:val="21"/>
          <w:highlight w:val="none"/>
        </w:rPr>
        <w:t>公路养护安全作业规程</w:t>
      </w:r>
      <w:bookmarkEnd w:id="93"/>
      <w:r>
        <w:rPr>
          <w:rFonts w:hint="eastAsia"/>
          <w:color w:val="auto"/>
          <w:sz w:val="21"/>
          <w:szCs w:val="21"/>
          <w:highlight w:val="none"/>
        </w:rPr>
        <w:t>》（JTGH30-2015）开展养护作业，无安全生产责任事故。</w:t>
      </w:r>
    </w:p>
    <w:p w14:paraId="03BF04EB">
      <w:pPr>
        <w:spacing w:line="360" w:lineRule="auto"/>
        <w:ind w:firstLine="420" w:firstLineChars="200"/>
        <w:rPr>
          <w:color w:val="auto"/>
          <w:sz w:val="21"/>
          <w:szCs w:val="21"/>
          <w:highlight w:val="none"/>
        </w:rPr>
      </w:pPr>
      <w:r>
        <w:rPr>
          <w:rFonts w:hint="eastAsia"/>
          <w:color w:val="auto"/>
          <w:sz w:val="21"/>
          <w:szCs w:val="21"/>
          <w:highlight w:val="none"/>
        </w:rPr>
        <w:t>6.交付时间及工期要求：60日历天。</w:t>
      </w:r>
    </w:p>
    <w:p w14:paraId="1AC4E725">
      <w:pPr>
        <w:spacing w:line="360" w:lineRule="auto"/>
        <w:ind w:firstLine="420" w:firstLineChars="200"/>
        <w:rPr>
          <w:rFonts w:hint="eastAsia"/>
          <w:color w:val="auto"/>
          <w:sz w:val="21"/>
          <w:szCs w:val="21"/>
          <w:highlight w:val="none"/>
        </w:rPr>
      </w:pPr>
      <w:r>
        <w:rPr>
          <w:rFonts w:hint="eastAsia"/>
          <w:color w:val="auto"/>
          <w:sz w:val="21"/>
          <w:szCs w:val="21"/>
          <w:highlight w:val="none"/>
        </w:rPr>
        <w:t>7.缺陷责任期：自实际交工日期起计算12个月。</w:t>
      </w:r>
    </w:p>
    <w:p w14:paraId="5F2844BC">
      <w:pPr>
        <w:spacing w:line="360" w:lineRule="auto"/>
        <w:ind w:firstLine="420" w:firstLineChars="200"/>
        <w:rPr>
          <w:color w:val="auto"/>
          <w:sz w:val="21"/>
          <w:szCs w:val="21"/>
          <w:highlight w:val="none"/>
        </w:rPr>
      </w:pPr>
      <w:r>
        <w:rPr>
          <w:rFonts w:hint="eastAsia"/>
          <w:color w:val="auto"/>
          <w:sz w:val="21"/>
          <w:szCs w:val="21"/>
          <w:highlight w:val="none"/>
          <w:lang w:val="en-US" w:eastAsia="zh-CN"/>
        </w:rPr>
        <w:t>8.</w:t>
      </w:r>
      <w:r>
        <w:rPr>
          <w:color w:val="auto"/>
          <w:sz w:val="21"/>
          <w:szCs w:val="21"/>
          <w:highlight w:val="none"/>
        </w:rPr>
        <w:t>本项目</w:t>
      </w:r>
      <w:r>
        <w:rPr>
          <w:rFonts w:hint="eastAsia"/>
          <w:color w:val="auto"/>
          <w:sz w:val="21"/>
          <w:szCs w:val="21"/>
          <w:highlight w:val="none"/>
          <w:lang w:val="en-US" w:eastAsia="zh-CN"/>
        </w:rPr>
        <w:t>不</w:t>
      </w:r>
      <w:r>
        <w:rPr>
          <w:color w:val="auto"/>
          <w:sz w:val="21"/>
          <w:szCs w:val="21"/>
          <w:highlight w:val="none"/>
        </w:rPr>
        <w:t>允许分包</w:t>
      </w:r>
    </w:p>
    <w:p w14:paraId="0ED2C489">
      <w:pPr>
        <w:spacing w:line="360" w:lineRule="auto"/>
        <w:ind w:firstLine="422" w:firstLineChars="200"/>
        <w:rPr>
          <w:b/>
          <w:bCs/>
          <w:color w:val="auto"/>
          <w:sz w:val="21"/>
          <w:szCs w:val="21"/>
          <w:highlight w:val="none"/>
        </w:rPr>
      </w:pPr>
      <w:r>
        <w:rPr>
          <w:rFonts w:hint="eastAsia"/>
          <w:b/>
          <w:bCs/>
          <w:color w:val="auto"/>
          <w:sz w:val="21"/>
          <w:szCs w:val="21"/>
          <w:highlight w:val="none"/>
        </w:rPr>
        <w:t>三</w:t>
      </w:r>
      <w:r>
        <w:rPr>
          <w:b/>
          <w:bCs/>
          <w:color w:val="auto"/>
          <w:sz w:val="21"/>
          <w:szCs w:val="21"/>
          <w:highlight w:val="none"/>
        </w:rPr>
        <w:t>、项目经理和项目总工最低要求</w:t>
      </w:r>
    </w:p>
    <w:p w14:paraId="5B507392">
      <w:pPr>
        <w:spacing w:line="360" w:lineRule="auto"/>
        <w:ind w:firstLine="422" w:firstLineChars="200"/>
        <w:rPr>
          <w:b/>
          <w:bCs/>
          <w:color w:val="auto"/>
          <w:sz w:val="21"/>
          <w:szCs w:val="21"/>
          <w:highlight w:val="none"/>
        </w:rPr>
      </w:pPr>
      <w:r>
        <w:rPr>
          <w:rFonts w:hint="eastAsia"/>
          <w:b/>
          <w:bCs/>
          <w:color w:val="auto"/>
          <w:sz w:val="21"/>
          <w:szCs w:val="21"/>
          <w:highlight w:val="none"/>
        </w:rPr>
        <w:t>（一）项目经理：</w:t>
      </w:r>
    </w:p>
    <w:p w14:paraId="40DEB404">
      <w:pPr>
        <w:spacing w:line="360" w:lineRule="auto"/>
        <w:ind w:firstLine="420" w:firstLineChars="200"/>
        <w:rPr>
          <w:color w:val="auto"/>
          <w:sz w:val="21"/>
          <w:szCs w:val="21"/>
          <w:highlight w:val="none"/>
        </w:rPr>
      </w:pPr>
      <w:r>
        <w:rPr>
          <w:rFonts w:hint="eastAsia"/>
          <w:color w:val="auto"/>
          <w:sz w:val="21"/>
          <w:szCs w:val="21"/>
          <w:highlight w:val="none"/>
        </w:rPr>
        <w:t>1.具有公路工程专业二级或以上建造师注册证书和省级或以上交通运输行政主管部门颁发的安全生产考核合格证（“三类人员”B 类证书）；</w:t>
      </w:r>
    </w:p>
    <w:p w14:paraId="4890EFEE">
      <w:pPr>
        <w:spacing w:line="360" w:lineRule="auto"/>
        <w:ind w:firstLine="420" w:firstLineChars="200"/>
        <w:rPr>
          <w:b/>
          <w:bCs/>
          <w:color w:val="auto"/>
          <w:sz w:val="21"/>
          <w:szCs w:val="21"/>
          <w:highlight w:val="none"/>
        </w:rPr>
      </w:pPr>
      <w:r>
        <w:rPr>
          <w:rFonts w:hint="eastAsia"/>
          <w:color w:val="auto"/>
          <w:sz w:val="21"/>
          <w:szCs w:val="21"/>
          <w:highlight w:val="none"/>
        </w:rPr>
        <w:t>2.具有工程师（或以上）职称</w:t>
      </w:r>
      <w:bookmarkStart w:id="94" w:name="OLE_LINK83"/>
      <w:bookmarkStart w:id="95" w:name="OLE_LINK38"/>
      <w:bookmarkStart w:id="96" w:name="OLE_LINK94"/>
      <w:r>
        <w:rPr>
          <w:rFonts w:hint="eastAsia"/>
          <w:color w:val="auto"/>
          <w:sz w:val="21"/>
          <w:szCs w:val="21"/>
          <w:highlight w:val="none"/>
        </w:rPr>
        <w:t>（路桥类专业）</w:t>
      </w:r>
      <w:bookmarkEnd w:id="94"/>
      <w:bookmarkEnd w:id="95"/>
      <w:bookmarkEnd w:id="96"/>
      <w:r>
        <w:rPr>
          <w:rFonts w:hint="eastAsia"/>
          <w:color w:val="auto"/>
          <w:sz w:val="21"/>
          <w:szCs w:val="21"/>
          <w:highlight w:val="none"/>
        </w:rPr>
        <w:t>。</w:t>
      </w:r>
    </w:p>
    <w:p w14:paraId="750D74B6">
      <w:pPr>
        <w:spacing w:line="360" w:lineRule="auto"/>
        <w:ind w:firstLine="422" w:firstLineChars="200"/>
        <w:rPr>
          <w:b/>
          <w:bCs/>
          <w:color w:val="auto"/>
          <w:sz w:val="21"/>
          <w:szCs w:val="21"/>
          <w:highlight w:val="none"/>
        </w:rPr>
      </w:pPr>
      <w:r>
        <w:rPr>
          <w:b/>
          <w:bCs/>
          <w:color w:val="auto"/>
          <w:sz w:val="21"/>
          <w:szCs w:val="21"/>
          <w:highlight w:val="none"/>
        </w:rPr>
        <w:t>（二）项目总工：</w:t>
      </w:r>
    </w:p>
    <w:p w14:paraId="096CA276">
      <w:pPr>
        <w:spacing w:line="360" w:lineRule="auto"/>
        <w:ind w:firstLine="420" w:firstLineChars="200"/>
        <w:rPr>
          <w:color w:val="auto"/>
          <w:sz w:val="21"/>
          <w:szCs w:val="21"/>
          <w:highlight w:val="none"/>
        </w:rPr>
      </w:pPr>
      <w:r>
        <w:rPr>
          <w:rFonts w:hint="eastAsia"/>
          <w:color w:val="auto"/>
          <w:sz w:val="21"/>
          <w:szCs w:val="21"/>
          <w:highlight w:val="none"/>
        </w:rPr>
        <w:t>1.具有工程师（或以上）职称（路桥类专业）。</w:t>
      </w:r>
    </w:p>
    <w:p w14:paraId="71F8FBCB">
      <w:pPr>
        <w:spacing w:line="360" w:lineRule="auto"/>
        <w:ind w:firstLine="422" w:firstLineChars="200"/>
        <w:rPr>
          <w:rFonts w:hint="eastAsia" w:eastAsia="宋体"/>
          <w:b/>
          <w:bCs/>
          <w:color w:val="auto"/>
          <w:kern w:val="2"/>
          <w:sz w:val="21"/>
          <w:szCs w:val="21"/>
          <w:highlight w:val="none"/>
          <w:lang w:eastAsia="zh-CN"/>
        </w:rPr>
      </w:pPr>
      <w:r>
        <w:rPr>
          <w:rFonts w:hint="eastAsia"/>
          <w:b/>
          <w:bCs/>
          <w:color w:val="auto"/>
          <w:kern w:val="2"/>
          <w:sz w:val="21"/>
          <w:szCs w:val="21"/>
          <w:highlight w:val="none"/>
        </w:rPr>
        <w:t>【注：①“路桥类 ”专业是指职称证上的专业，为路桥、公路工程、桥梁工程、交通土建、交通工程、铁路、土木工程、隧道工程、市政桥梁工程等</w:t>
      </w:r>
      <w:r>
        <w:rPr>
          <w:rFonts w:hint="eastAsia"/>
          <w:b/>
          <w:bCs/>
          <w:color w:val="auto"/>
          <w:kern w:val="2"/>
          <w:sz w:val="21"/>
          <w:szCs w:val="21"/>
          <w:highlight w:val="none"/>
          <w:lang w:val="en-US" w:eastAsia="zh-CN"/>
        </w:rPr>
        <w:t>相关</w:t>
      </w:r>
      <w:r>
        <w:rPr>
          <w:rFonts w:hint="eastAsia"/>
          <w:b/>
          <w:bCs/>
          <w:color w:val="auto"/>
          <w:kern w:val="2"/>
          <w:sz w:val="21"/>
          <w:szCs w:val="21"/>
          <w:highlight w:val="none"/>
        </w:rPr>
        <w:t>专业均可。②项目经理或总工</w:t>
      </w:r>
      <w:r>
        <w:rPr>
          <w:rFonts w:hint="eastAsia" w:ascii="宋体" w:hAnsi="宋体" w:eastAsia="宋体" w:cs="宋体"/>
          <w:color w:val="auto"/>
          <w:szCs w:val="21"/>
          <w:highlight w:val="none"/>
          <w:lang w:eastAsia="zh-CN"/>
        </w:rPr>
        <w:t>无在岗项目(指目前未在其他项目上任职，或有在建项目任职的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应提供随时撤离承诺书。</w:t>
      </w:r>
      <w:r>
        <w:rPr>
          <w:rFonts w:hint="eastAsia"/>
          <w:b/>
          <w:bCs/>
          <w:color w:val="auto"/>
          <w:kern w:val="2"/>
          <w:sz w:val="21"/>
          <w:szCs w:val="21"/>
          <w:highlight w:val="none"/>
        </w:rPr>
        <w:t>④</w:t>
      </w:r>
      <w:r>
        <w:rPr>
          <w:rFonts w:hint="eastAsia"/>
          <w:b/>
          <w:bCs/>
          <w:color w:val="auto"/>
          <w:kern w:val="2"/>
          <w:sz w:val="21"/>
          <w:szCs w:val="21"/>
          <w:highlight w:val="none"/>
          <w:lang w:eastAsia="zh-CN"/>
        </w:rPr>
        <w:t>项目经理或者项目总工应是本单位员工</w:t>
      </w:r>
      <w:r>
        <w:rPr>
          <w:rFonts w:hint="eastAsia"/>
          <w:b/>
          <w:bCs/>
          <w:color w:val="auto"/>
          <w:kern w:val="2"/>
          <w:sz w:val="21"/>
          <w:szCs w:val="21"/>
          <w:highlight w:val="none"/>
        </w:rPr>
        <w:t>（提供劳动合同），如不是本单位人员的，该供应商的磋商作废标处理</w:t>
      </w:r>
      <w:r>
        <w:rPr>
          <w:rFonts w:hint="eastAsia"/>
          <w:b/>
          <w:bCs/>
          <w:color w:val="auto"/>
          <w:kern w:val="2"/>
          <w:sz w:val="21"/>
          <w:szCs w:val="21"/>
          <w:highlight w:val="none"/>
          <w:lang w:eastAsia="zh-CN"/>
        </w:rPr>
        <w:t>】</w:t>
      </w:r>
    </w:p>
    <w:p w14:paraId="2C09A462">
      <w:pPr>
        <w:numPr>
          <w:ilvl w:val="0"/>
          <w:numId w:val="1"/>
        </w:numPr>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其他主要管理人员</w:t>
      </w:r>
      <w:r>
        <w:rPr>
          <w:rFonts w:hint="eastAsia" w:ascii="宋体" w:hAnsi="宋体" w:eastAsia="宋体" w:cs="宋体"/>
          <w:b/>
          <w:bCs/>
          <w:color w:val="auto"/>
          <w:sz w:val="21"/>
          <w:szCs w:val="21"/>
          <w:highlight w:val="none"/>
          <w:lang w:eastAsia="zh-CN"/>
        </w:rPr>
        <w:t>：</w:t>
      </w:r>
    </w:p>
    <w:p w14:paraId="0465B700">
      <w:pPr>
        <w:pStyle w:val="13"/>
        <w:numPr>
          <w:ilvl w:val="0"/>
          <w:numId w:val="0"/>
        </w:numPr>
        <w:rPr>
          <w:rFonts w:hint="eastAsia"/>
          <w:color w:val="auto"/>
          <w:highlight w:val="none"/>
          <w:lang w:eastAsia="zh-CN"/>
        </w:rPr>
      </w:pPr>
    </w:p>
    <w:tbl>
      <w:tblPr>
        <w:tblStyle w:val="26"/>
        <w:tblW w:w="0" w:type="auto"/>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915"/>
        <w:gridCol w:w="6109"/>
      </w:tblGrid>
      <w:tr w14:paraId="2292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14:paraId="59C7DA04">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15" w:type="dxa"/>
          </w:tcPr>
          <w:p w14:paraId="7591A6D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109" w:type="dxa"/>
          </w:tcPr>
          <w:p w14:paraId="01151C4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资格要求 </w:t>
            </w:r>
          </w:p>
        </w:tc>
      </w:tr>
      <w:tr w14:paraId="4FAE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center"/>
          </w:tcPr>
          <w:p w14:paraId="18DAA5B2">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915" w:type="dxa"/>
            <w:vAlign w:val="center"/>
          </w:tcPr>
          <w:p w14:paraId="2A8A3393">
            <w:pPr>
              <w:spacing w:line="360" w:lineRule="auto"/>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09" w:type="dxa"/>
            <w:vAlign w:val="center"/>
          </w:tcPr>
          <w:p w14:paraId="79F504AA">
            <w:pPr>
              <w:spacing w:line="360" w:lineRule="auto"/>
              <w:jc w:val="both"/>
              <w:rPr>
                <w:rFonts w:hint="eastAsia" w:ascii="宋体" w:hAnsi="宋体" w:eastAsia="宋体" w:cs="宋体"/>
                <w:color w:val="auto"/>
                <w:sz w:val="21"/>
                <w:szCs w:val="21"/>
                <w:highlight w:val="none"/>
                <w:lang w:eastAsia="zh-CN"/>
              </w:rPr>
            </w:pPr>
            <w:r>
              <w:rPr>
                <w:rFonts w:hint="eastAsia" w:ascii="宋体" w:hAnsi="宋体"/>
                <w:color w:val="auto"/>
                <w:szCs w:val="21"/>
                <w:highlight w:val="none"/>
                <w:shd w:val="clear" w:color="auto" w:fill="FFFFFF"/>
                <w:lang w:val="en-US" w:eastAsia="zh-CN"/>
              </w:rPr>
              <w:t>①</w:t>
            </w:r>
            <w:r>
              <w:rPr>
                <w:rFonts w:hint="eastAsia" w:ascii="宋体" w:hAnsi="宋体" w:eastAsia="宋体" w:cs="宋体"/>
                <w:color w:val="auto"/>
                <w:sz w:val="21"/>
                <w:szCs w:val="21"/>
                <w:highlight w:val="none"/>
              </w:rPr>
              <w:t>具有省级（或以上）交通主管部门颁发的《安全生产考核合格证书》C证</w:t>
            </w:r>
            <w:r>
              <w:rPr>
                <w:rFonts w:hint="eastAsia" w:ascii="宋体" w:hAnsi="宋体" w:eastAsia="宋体" w:cs="宋体"/>
                <w:color w:val="auto"/>
                <w:sz w:val="21"/>
                <w:szCs w:val="21"/>
                <w:highlight w:val="none"/>
                <w:lang w:eastAsia="zh-CN"/>
              </w:rPr>
              <w:t>；</w:t>
            </w:r>
          </w:p>
          <w:p w14:paraId="39A4DE53">
            <w:pPr>
              <w:pStyle w:val="13"/>
              <w:spacing w:line="360" w:lineRule="auto"/>
              <w:jc w:val="both"/>
              <w:rPr>
                <w:rFonts w:hint="eastAsia"/>
                <w:color w:val="auto"/>
                <w:highlight w:val="none"/>
              </w:rPr>
            </w:pPr>
            <w:r>
              <w:rPr>
                <w:rFonts w:hint="eastAsia"/>
                <w:b/>
                <w:bCs/>
                <w:color w:val="auto"/>
                <w:kern w:val="2"/>
                <w:sz w:val="21"/>
                <w:szCs w:val="21"/>
                <w:highlight w:val="none"/>
                <w:lang w:val="en-US" w:eastAsia="zh-CN"/>
              </w:rPr>
              <w:t>②</w:t>
            </w:r>
            <w:r>
              <w:rPr>
                <w:rFonts w:hint="eastAsia" w:ascii="宋体" w:hAnsi="宋体" w:eastAsia="宋体" w:cs="宋体"/>
                <w:color w:val="auto"/>
                <w:szCs w:val="21"/>
                <w:highlight w:val="none"/>
                <w:lang w:eastAsia="zh-CN"/>
              </w:rPr>
              <w:t>无在岗项目(指目前未在其他项目上任职，或有在建项目任职的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应提供随时撤离承诺书。</w:t>
            </w:r>
          </w:p>
        </w:tc>
      </w:tr>
    </w:tbl>
    <w:p w14:paraId="21EECB50">
      <w:pPr>
        <w:numPr>
          <w:ilvl w:val="0"/>
          <w:numId w:val="1"/>
        </w:numPr>
        <w:spacing w:line="360" w:lineRule="auto"/>
        <w:ind w:firstLine="440" w:firstLineChars="200"/>
        <w:rPr>
          <w:rFonts w:hint="eastAsia" w:ascii="宋体" w:hAnsi="宋体" w:eastAsia="宋体" w:cs="宋体"/>
          <w:b/>
          <w:bCs/>
          <w:color w:val="auto"/>
          <w:sz w:val="21"/>
          <w:szCs w:val="21"/>
          <w:highlight w:val="none"/>
          <w:lang w:eastAsia="zh-CN"/>
        </w:rPr>
      </w:pPr>
      <w:bookmarkStart w:id="97" w:name="第四章__评审办法"/>
      <w:bookmarkEnd w:id="97"/>
      <w:bookmarkStart w:id="98" w:name="OLE_LINK100"/>
      <w:bookmarkStart w:id="99" w:name="OLE_LINK95"/>
      <w:r>
        <w:rPr>
          <w:rFonts w:hint="eastAsia"/>
          <w:color w:val="auto"/>
          <w:highlight w:val="none"/>
        </w:rPr>
        <w:br w:type="page"/>
      </w:r>
    </w:p>
    <w:p w14:paraId="033F9160">
      <w:pPr>
        <w:ind w:firstLine="562"/>
        <w:rPr>
          <w:color w:val="auto"/>
          <w:highlight w:val="none"/>
        </w:rPr>
      </w:pPr>
    </w:p>
    <w:p w14:paraId="457D1699">
      <w:pPr>
        <w:pStyle w:val="2"/>
        <w:ind w:firstLine="643"/>
        <w:jc w:val="center"/>
        <w:rPr>
          <w:rStyle w:val="30"/>
          <w:b/>
          <w:bCs/>
          <w:color w:val="auto"/>
          <w:highlight w:val="none"/>
        </w:rPr>
      </w:pPr>
      <w:bookmarkStart w:id="100" w:name="_Toc25797"/>
      <w:r>
        <w:rPr>
          <w:rFonts w:hint="eastAsia"/>
          <w:color w:val="auto"/>
          <w:highlight w:val="none"/>
        </w:rPr>
        <w:t>第四章</w:t>
      </w:r>
      <w:r>
        <w:rPr>
          <w:color w:val="auto"/>
          <w:highlight w:val="none"/>
        </w:rPr>
        <w:t>评审办法</w:t>
      </w:r>
      <w:bookmarkEnd w:id="100"/>
    </w:p>
    <w:p w14:paraId="24F2977F">
      <w:pPr>
        <w:pStyle w:val="15"/>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一、评审依据及方式</w:t>
      </w:r>
    </w:p>
    <w:p w14:paraId="16B5E82E">
      <w:pPr>
        <w:pStyle w:val="15"/>
        <w:spacing w:line="360" w:lineRule="auto"/>
        <w:ind w:firstLine="420" w:firstLineChars="200"/>
        <w:rPr>
          <w:rFonts w:hAnsi="宋体"/>
          <w:color w:val="auto"/>
          <w:sz w:val="21"/>
          <w:szCs w:val="21"/>
          <w:highlight w:val="none"/>
        </w:rPr>
      </w:pPr>
      <w:r>
        <w:rPr>
          <w:rFonts w:hint="eastAsia" w:hAnsi="宋体"/>
          <w:color w:val="auto"/>
          <w:sz w:val="21"/>
          <w:szCs w:val="21"/>
          <w:highlight w:val="none"/>
        </w:rPr>
        <w:t>1.评审依据：磋商小组以竞争性磋商采购文件和响应文件为评审依据，对通过初步评审的响应文件进行详细评审。</w:t>
      </w:r>
    </w:p>
    <w:p w14:paraId="68C60E1C">
      <w:pPr>
        <w:pStyle w:val="15"/>
        <w:spacing w:line="360" w:lineRule="auto"/>
        <w:ind w:firstLine="420" w:firstLineChars="200"/>
        <w:rPr>
          <w:rFonts w:hAnsi="宋体"/>
          <w:color w:val="auto"/>
          <w:sz w:val="21"/>
          <w:szCs w:val="21"/>
          <w:highlight w:val="none"/>
        </w:rPr>
      </w:pPr>
      <w:r>
        <w:rPr>
          <w:rFonts w:hint="eastAsia" w:hAnsi="宋体"/>
          <w:color w:val="auto"/>
          <w:sz w:val="21"/>
          <w:szCs w:val="21"/>
          <w:highlight w:val="none"/>
        </w:rPr>
        <w:t>2.评审方式：以封闭方式进行评审。</w:t>
      </w:r>
    </w:p>
    <w:p w14:paraId="76DF7134">
      <w:pPr>
        <w:pStyle w:val="15"/>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3.评分办法：采用综合评分法</w:t>
      </w:r>
    </w:p>
    <w:p w14:paraId="2C7194F0">
      <w:pPr>
        <w:pStyle w:val="15"/>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4.根据</w:t>
      </w:r>
      <w:bookmarkStart w:id="101" w:name="OLE_LINK22"/>
      <w:bookmarkStart w:id="102" w:name="OLE_LINK23"/>
      <w:r>
        <w:rPr>
          <w:rFonts w:hint="eastAsia" w:hAnsi="宋体"/>
          <w:color w:val="auto"/>
          <w:kern w:val="2"/>
          <w:sz w:val="21"/>
          <w:szCs w:val="21"/>
          <w:highlight w:val="none"/>
        </w:rPr>
        <w:t>财库〔2012〕69号文</w:t>
      </w:r>
      <w:bookmarkEnd w:id="101"/>
      <w:bookmarkEnd w:id="102"/>
      <w:r>
        <w:rPr>
          <w:rFonts w:hint="eastAsia" w:hAnsi="宋体"/>
          <w:color w:val="auto"/>
          <w:kern w:val="2"/>
          <w:sz w:val="21"/>
          <w:szCs w:val="21"/>
          <w:highlight w:val="none"/>
        </w:rPr>
        <w:t>规定，采购人和采购代理机构，磋商小组成员要严格遵守政府采购相关法律制度，依法履行各自职责，公正、客观、审慎地组织和参与评审工作。</w:t>
      </w:r>
    </w:p>
    <w:p w14:paraId="37264691">
      <w:pPr>
        <w:pStyle w:val="15"/>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二、评审办法</w:t>
      </w:r>
    </w:p>
    <w:p w14:paraId="5A1C0E81">
      <w:pPr>
        <w:pStyle w:val="15"/>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本次评标采用综合评分法。</w:t>
      </w:r>
    </w:p>
    <w:p w14:paraId="123D5A04">
      <w:pPr>
        <w:pStyle w:val="15"/>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磋商小组会首先对磋商供应商提交的响应文件进行资格性审查和符合性审查，只有通过了资格性审查和符合性审查才能进入详评。</w:t>
      </w:r>
    </w:p>
    <w:p w14:paraId="5E315781">
      <w:pPr>
        <w:spacing w:line="360" w:lineRule="auto"/>
        <w:ind w:firstLine="422" w:firstLineChars="200"/>
        <w:rPr>
          <w:b/>
          <w:color w:val="auto"/>
          <w:sz w:val="21"/>
          <w:szCs w:val="21"/>
          <w:highlight w:val="none"/>
        </w:rPr>
      </w:pPr>
      <w:r>
        <w:rPr>
          <w:rFonts w:hint="eastAsia"/>
          <w:b/>
          <w:color w:val="auto"/>
          <w:sz w:val="21"/>
          <w:szCs w:val="21"/>
          <w:highlight w:val="none"/>
        </w:rPr>
        <w:t>1、价格分………………………………………………………………………………满分</w:t>
      </w:r>
      <w:r>
        <w:rPr>
          <w:rFonts w:hint="eastAsia"/>
          <w:b/>
          <w:color w:val="auto"/>
          <w:sz w:val="21"/>
          <w:szCs w:val="21"/>
          <w:highlight w:val="none"/>
          <w:lang w:val="en-US" w:eastAsia="zh-CN"/>
        </w:rPr>
        <w:t>25</w:t>
      </w:r>
      <w:r>
        <w:rPr>
          <w:rFonts w:hint="eastAsia"/>
          <w:b/>
          <w:color w:val="auto"/>
          <w:sz w:val="21"/>
          <w:szCs w:val="21"/>
          <w:highlight w:val="none"/>
        </w:rPr>
        <w:t>分</w:t>
      </w:r>
    </w:p>
    <w:p w14:paraId="48F98B0E">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（1）评审价为供应商的最后报价。</w:t>
      </w:r>
    </w:p>
    <w:p w14:paraId="78DEE8E1">
      <w:pPr>
        <w:spacing w:line="360" w:lineRule="auto"/>
        <w:ind w:firstLine="422" w:firstLineChars="200"/>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（2）本项目属于专门面向</w:t>
      </w:r>
      <w:r>
        <w:rPr>
          <w:rFonts w:hint="eastAsia" w:ascii="宋体" w:hAnsi="宋体" w:cs="Times New Roman"/>
          <w:b/>
          <w:bCs w:val="0"/>
          <w:color w:val="auto"/>
          <w:kern w:val="2"/>
          <w:sz w:val="21"/>
          <w:szCs w:val="21"/>
          <w:highlight w:val="none"/>
          <w:lang w:val="en-US" w:eastAsia="zh-CN" w:bidi="ar-SA"/>
        </w:rPr>
        <w:t>中</w:t>
      </w:r>
      <w:r>
        <w:rPr>
          <w:rFonts w:hint="eastAsia" w:ascii="宋体" w:hAnsi="宋体" w:eastAsia="宋体" w:cs="Times New Roman"/>
          <w:b/>
          <w:bCs w:val="0"/>
          <w:color w:val="auto"/>
          <w:kern w:val="2"/>
          <w:sz w:val="21"/>
          <w:szCs w:val="21"/>
          <w:highlight w:val="none"/>
          <w:lang w:val="en-US" w:eastAsia="zh-CN" w:bidi="ar-SA"/>
        </w:rPr>
        <w:t>小微企业采购的项目（供应商应为</w:t>
      </w:r>
      <w:r>
        <w:rPr>
          <w:rFonts w:hint="eastAsia" w:ascii="宋体" w:hAnsi="宋体" w:cs="Times New Roman"/>
          <w:b/>
          <w:bCs w:val="0"/>
          <w:color w:val="auto"/>
          <w:kern w:val="2"/>
          <w:sz w:val="21"/>
          <w:szCs w:val="21"/>
          <w:highlight w:val="none"/>
          <w:lang w:val="en-US" w:eastAsia="zh-CN" w:bidi="ar-SA"/>
        </w:rPr>
        <w:t>中</w:t>
      </w:r>
      <w:r>
        <w:rPr>
          <w:rFonts w:hint="eastAsia" w:ascii="宋体" w:hAnsi="宋体" w:eastAsia="宋体" w:cs="Times New Roman"/>
          <w:b/>
          <w:bCs w:val="0"/>
          <w:color w:val="auto"/>
          <w:kern w:val="2"/>
          <w:sz w:val="21"/>
          <w:szCs w:val="21"/>
          <w:highlight w:val="none"/>
          <w:lang w:val="en-US" w:eastAsia="zh-CN" w:bidi="ar-SA"/>
        </w:rPr>
        <w:t>小微企业、监狱企业、残疾人福利性单位），</w:t>
      </w:r>
      <w:r>
        <w:rPr>
          <w:rFonts w:hint="eastAsia" w:ascii="宋体" w:hAnsi="宋体" w:eastAsia="宋体" w:cs="Times New Roman"/>
          <w:bCs/>
          <w:color w:val="auto"/>
          <w:kern w:val="2"/>
          <w:sz w:val="21"/>
          <w:szCs w:val="21"/>
          <w:highlight w:val="none"/>
          <w:lang w:val="en-US" w:eastAsia="zh-CN" w:bidi="ar-SA"/>
        </w:rPr>
        <w:t>不再进行政府采购政策性扣除计算。</w:t>
      </w:r>
    </w:p>
    <w:p w14:paraId="044577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（3）以进入比较与评价环节的最低的评审价为基准价，基准价得分</w:t>
      </w:r>
      <w:r>
        <w:rPr>
          <w:rFonts w:hint="eastAsia" w:cs="Times New Roman"/>
          <w:bCs/>
          <w:color w:val="auto"/>
          <w:kern w:val="2"/>
          <w:sz w:val="21"/>
          <w:szCs w:val="21"/>
          <w:highlight w:val="none"/>
          <w:lang w:val="en-US" w:eastAsia="zh-CN" w:bidi="ar-SA"/>
        </w:rPr>
        <w:t>25</w:t>
      </w:r>
      <w:r>
        <w:rPr>
          <w:rFonts w:hint="eastAsia" w:ascii="宋体" w:hAnsi="宋体" w:eastAsia="宋体" w:cs="Times New Roman"/>
          <w:bCs/>
          <w:color w:val="auto"/>
          <w:kern w:val="2"/>
          <w:sz w:val="21"/>
          <w:szCs w:val="21"/>
          <w:highlight w:val="none"/>
          <w:lang w:val="en-US" w:eastAsia="zh-CN" w:bidi="ar-SA"/>
        </w:rPr>
        <w:t>分。</w:t>
      </w:r>
    </w:p>
    <w:p w14:paraId="5334D1CB">
      <w:pPr>
        <w:spacing w:line="360" w:lineRule="auto"/>
        <w:ind w:firstLine="420" w:firstLineChars="200"/>
        <w:rPr>
          <w:rFonts w:hint="eastAsia"/>
          <w:bCs/>
          <w:color w:val="auto"/>
          <w:sz w:val="21"/>
          <w:szCs w:val="21"/>
          <w:highlight w:val="none"/>
        </w:rPr>
      </w:pPr>
      <w:r>
        <w:rPr>
          <w:rFonts w:hint="eastAsia" w:ascii="宋体" w:hAnsi="宋体" w:eastAsia="宋体" w:cs="Times New Roman"/>
          <w:bCs/>
          <w:color w:val="auto"/>
          <w:kern w:val="2"/>
          <w:sz w:val="21"/>
          <w:szCs w:val="21"/>
          <w:highlight w:val="none"/>
          <w:lang w:val="en-US" w:eastAsia="zh-CN" w:bidi="ar-SA"/>
        </w:rPr>
        <w:t>（4）价格分计算公式：磋商总报价得分=（基准价/评审价）×</w:t>
      </w:r>
      <w:r>
        <w:rPr>
          <w:rFonts w:hint="eastAsia" w:cs="Times New Roman"/>
          <w:bCs/>
          <w:color w:val="auto"/>
          <w:kern w:val="2"/>
          <w:sz w:val="21"/>
          <w:szCs w:val="21"/>
          <w:highlight w:val="none"/>
          <w:lang w:val="en-US" w:eastAsia="zh-CN" w:bidi="ar-SA"/>
        </w:rPr>
        <w:t>25</w:t>
      </w:r>
      <w:r>
        <w:rPr>
          <w:rFonts w:hint="eastAsia" w:ascii="宋体" w:hAnsi="宋体" w:eastAsia="宋体" w:cs="Times New Roman"/>
          <w:bCs/>
          <w:color w:val="auto"/>
          <w:kern w:val="2"/>
          <w:sz w:val="21"/>
          <w:szCs w:val="21"/>
          <w:highlight w:val="none"/>
          <w:lang w:val="en-US" w:eastAsia="zh-CN" w:bidi="ar-SA"/>
        </w:rPr>
        <w:t>分</w:t>
      </w:r>
    </w:p>
    <w:p w14:paraId="599F7C0A">
      <w:pPr>
        <w:snapToGrid w:val="0"/>
        <w:spacing w:line="360" w:lineRule="auto"/>
        <w:ind w:firstLine="420" w:firstLineChars="200"/>
        <w:rPr>
          <w:bCs/>
          <w:color w:val="auto"/>
          <w:sz w:val="21"/>
          <w:szCs w:val="21"/>
          <w:highlight w:val="none"/>
        </w:rPr>
      </w:pPr>
      <w:r>
        <w:rPr>
          <w:rFonts w:hint="eastAsia"/>
          <w:bCs/>
          <w:color w:val="auto"/>
          <w:sz w:val="21"/>
          <w:szCs w:val="21"/>
          <w:highlight w:val="none"/>
        </w:rPr>
        <w:t>注：</w:t>
      </w:r>
      <w:r>
        <w:rPr>
          <w:rFonts w:hint="eastAsia" w:ascii="宋体" w:hAnsi="宋体" w:cs="宋体"/>
          <w:b/>
          <w:bCs/>
          <w:color w:val="auto"/>
          <w:sz w:val="21"/>
          <w:szCs w:val="21"/>
          <w:highlight w:val="none"/>
        </w:rPr>
        <w:t>政府采购评审中出现</w:t>
      </w:r>
      <w:r>
        <w:rPr>
          <w:rFonts w:hint="eastAsia" w:ascii="宋体" w:hAnsi="宋体" w:cs="宋体"/>
          <w:b/>
          <w:bCs/>
          <w:color w:val="auto"/>
          <w:sz w:val="21"/>
          <w:szCs w:val="21"/>
          <w:highlight w:val="none"/>
          <w:lang w:eastAsia="zh-CN"/>
        </w:rPr>
        <w:t>《</w:t>
      </w:r>
      <w:r>
        <w:rPr>
          <w:rFonts w:hint="eastAsia"/>
          <w:bCs/>
          <w:color w:val="auto"/>
          <w:sz w:val="21"/>
          <w:szCs w:val="21"/>
          <w:highlight w:val="none"/>
        </w:rPr>
        <w:t>关于推动解决政府采购异常低价问题的通知》（财库〔2026〕2号）的规定</w:t>
      </w:r>
      <w:r>
        <w:rPr>
          <w:rFonts w:hint="eastAsia" w:ascii="宋体" w:hAnsi="宋体" w:cs="宋体"/>
          <w:b/>
          <w:bCs/>
          <w:color w:val="auto"/>
          <w:sz w:val="21"/>
          <w:szCs w:val="21"/>
          <w:highlight w:val="none"/>
        </w:rPr>
        <w:t>的，磋商小组应当启动异常低价</w:t>
      </w:r>
      <w:r>
        <w:rPr>
          <w:rFonts w:hint="eastAsia" w:ascii="宋体" w:hAnsi="宋体" w:cs="宋体"/>
          <w:b/>
          <w:bCs/>
          <w:color w:val="auto"/>
          <w:sz w:val="21"/>
          <w:szCs w:val="21"/>
          <w:highlight w:val="none"/>
          <w:lang w:eastAsia="zh-CN"/>
        </w:rPr>
        <w:t>磋商</w:t>
      </w:r>
      <w:r>
        <w:rPr>
          <w:rFonts w:hint="eastAsia" w:ascii="宋体" w:hAnsi="宋体" w:cs="宋体"/>
          <w:b/>
          <w:bCs/>
          <w:color w:val="auto"/>
          <w:sz w:val="21"/>
          <w:szCs w:val="21"/>
          <w:highlight w:val="none"/>
        </w:rPr>
        <w:t>（响应）审查程序</w:t>
      </w:r>
      <w:r>
        <w:rPr>
          <w:rFonts w:hint="eastAsia" w:ascii="宋体" w:hAnsi="宋体" w:cs="宋体"/>
          <w:b/>
          <w:bCs/>
          <w:color w:val="auto"/>
          <w:sz w:val="21"/>
          <w:szCs w:val="21"/>
          <w:highlight w:val="none"/>
          <w:lang w:eastAsia="zh-CN"/>
        </w:rPr>
        <w:t>，</w:t>
      </w:r>
      <w:r>
        <w:rPr>
          <w:rFonts w:hint="eastAsia"/>
          <w:bCs/>
          <w:color w:val="auto"/>
          <w:sz w:val="21"/>
          <w:szCs w:val="21"/>
          <w:highlight w:val="none"/>
        </w:rPr>
        <w:t>有可能影响工程质量或者不能诚信履约，磋商小组应当要求供应商对相应投标报价作出书面说明，并提供相关证明材料。如果供应商不能提供相关证明材料，或者提交的相关材料无法证明供应商可以按照其报价以及</w:t>
      </w:r>
      <w:r>
        <w:rPr>
          <w:rFonts w:hint="eastAsia"/>
          <w:bCs/>
          <w:color w:val="auto"/>
          <w:sz w:val="21"/>
          <w:szCs w:val="21"/>
          <w:highlight w:val="none"/>
          <w:lang w:eastAsia="zh-CN"/>
        </w:rPr>
        <w:t>竞争性磋商文件</w:t>
      </w:r>
      <w:r>
        <w:rPr>
          <w:rFonts w:hint="eastAsia"/>
          <w:bCs/>
          <w:color w:val="auto"/>
          <w:sz w:val="21"/>
          <w:szCs w:val="21"/>
          <w:highlight w:val="none"/>
        </w:rPr>
        <w:t>规定的质量标准和履行期限完成项目的，磋商小组应当认定该供应商以低于成本价竞标，磋商小组应当将其作为无效</w:t>
      </w:r>
      <w:r>
        <w:rPr>
          <w:rFonts w:hint="eastAsia"/>
          <w:bCs/>
          <w:color w:val="auto"/>
          <w:sz w:val="21"/>
          <w:szCs w:val="21"/>
          <w:highlight w:val="none"/>
          <w:lang w:val="en-US" w:eastAsia="zh-CN"/>
        </w:rPr>
        <w:t>磋商</w:t>
      </w:r>
      <w:r>
        <w:rPr>
          <w:rFonts w:hint="eastAsia"/>
          <w:bCs/>
          <w:color w:val="auto"/>
          <w:sz w:val="21"/>
          <w:szCs w:val="21"/>
          <w:highlight w:val="none"/>
        </w:rPr>
        <w:t>处理。(供应商应保证提供的联系方式正确并保持畅通，以便评标过程中如需提供书面说明时，能及时联系到供应商，如在一个小时内未能联系到供应商，两个小时内其未能按要求提供书面说明，磋商小组应当将其作为无效</w:t>
      </w:r>
      <w:r>
        <w:rPr>
          <w:rFonts w:hint="eastAsia"/>
          <w:bCs/>
          <w:color w:val="auto"/>
          <w:sz w:val="21"/>
          <w:szCs w:val="21"/>
          <w:highlight w:val="none"/>
          <w:lang w:val="en-US" w:eastAsia="zh-CN"/>
        </w:rPr>
        <w:t>磋商</w:t>
      </w:r>
      <w:r>
        <w:rPr>
          <w:rFonts w:hint="eastAsia"/>
          <w:bCs/>
          <w:color w:val="auto"/>
          <w:sz w:val="21"/>
          <w:szCs w:val="21"/>
          <w:highlight w:val="none"/>
        </w:rPr>
        <w:t>处理）。</w:t>
      </w:r>
    </w:p>
    <w:p w14:paraId="70583A53">
      <w:pPr>
        <w:spacing w:line="360" w:lineRule="auto"/>
        <w:ind w:firstLine="422" w:firstLineChars="200"/>
        <w:rPr>
          <w:b/>
          <w:bCs/>
          <w:color w:val="auto"/>
          <w:sz w:val="21"/>
          <w:szCs w:val="21"/>
          <w:highlight w:val="none"/>
        </w:rPr>
      </w:pPr>
      <w:r>
        <w:rPr>
          <w:rFonts w:hint="eastAsia"/>
          <w:b/>
          <w:bCs/>
          <w:color w:val="auto"/>
          <w:sz w:val="21"/>
          <w:szCs w:val="21"/>
          <w:highlight w:val="none"/>
        </w:rPr>
        <w:t>2、施工组织设计分………………………………………………………………………满分</w:t>
      </w:r>
      <w:r>
        <w:rPr>
          <w:rFonts w:hint="eastAsia"/>
          <w:b/>
          <w:bCs/>
          <w:color w:val="auto"/>
          <w:sz w:val="21"/>
          <w:szCs w:val="21"/>
          <w:highlight w:val="none"/>
          <w:lang w:val="en-US" w:eastAsia="zh-CN"/>
        </w:rPr>
        <w:t>35</w:t>
      </w:r>
      <w:r>
        <w:rPr>
          <w:rFonts w:hint="eastAsia"/>
          <w:b/>
          <w:bCs/>
          <w:color w:val="auto"/>
          <w:sz w:val="21"/>
          <w:szCs w:val="21"/>
          <w:highlight w:val="none"/>
        </w:rPr>
        <w:t>分</w:t>
      </w:r>
    </w:p>
    <w:p w14:paraId="60237D3A">
      <w:pPr>
        <w:spacing w:line="360" w:lineRule="auto"/>
        <w:ind w:firstLine="422" w:firstLineChars="200"/>
        <w:rPr>
          <w:color w:val="auto"/>
          <w:sz w:val="21"/>
          <w:szCs w:val="21"/>
          <w:highlight w:val="none"/>
        </w:rPr>
      </w:pPr>
      <w:r>
        <w:rPr>
          <w:rFonts w:hint="eastAsia"/>
          <w:b/>
          <w:bCs/>
          <w:color w:val="auto"/>
          <w:sz w:val="21"/>
          <w:szCs w:val="21"/>
          <w:highlight w:val="none"/>
        </w:rPr>
        <w:t>（1）总体施工组织布置及规划（满分</w:t>
      </w:r>
      <w:r>
        <w:rPr>
          <w:rFonts w:hint="eastAsia"/>
          <w:b/>
          <w:bCs/>
          <w:color w:val="auto"/>
          <w:sz w:val="21"/>
          <w:szCs w:val="21"/>
          <w:highlight w:val="none"/>
          <w:lang w:val="en-US" w:eastAsia="zh-CN"/>
        </w:rPr>
        <w:t>6</w:t>
      </w:r>
      <w:r>
        <w:rPr>
          <w:rFonts w:hint="eastAsia"/>
          <w:b/>
          <w:bCs/>
          <w:color w:val="auto"/>
          <w:sz w:val="21"/>
          <w:szCs w:val="21"/>
          <w:highlight w:val="none"/>
        </w:rPr>
        <w:t>分）</w:t>
      </w:r>
    </w:p>
    <w:p w14:paraId="28D0F2FD">
      <w:pPr>
        <w:spacing w:line="360" w:lineRule="auto"/>
        <w:ind w:firstLine="420" w:firstLineChars="200"/>
        <w:rPr>
          <w:color w:val="auto"/>
          <w:sz w:val="21"/>
          <w:szCs w:val="21"/>
          <w:highlight w:val="none"/>
        </w:rPr>
      </w:pPr>
      <w:r>
        <w:rPr>
          <w:rFonts w:hint="eastAsia"/>
          <w:color w:val="auto"/>
          <w:sz w:val="21"/>
          <w:szCs w:val="21"/>
          <w:highlight w:val="none"/>
        </w:rPr>
        <w:t>一档（</w:t>
      </w:r>
      <w:r>
        <w:rPr>
          <w:rFonts w:hint="eastAsia"/>
          <w:color w:val="auto"/>
          <w:sz w:val="21"/>
          <w:szCs w:val="21"/>
          <w:highlight w:val="none"/>
          <w:lang w:val="en-US" w:eastAsia="zh-CN"/>
        </w:rPr>
        <w:t>6</w:t>
      </w:r>
      <w:r>
        <w:rPr>
          <w:rFonts w:hint="eastAsia"/>
          <w:color w:val="auto"/>
          <w:sz w:val="21"/>
          <w:szCs w:val="21"/>
          <w:highlight w:val="none"/>
        </w:rPr>
        <w:t>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3FAB04A4">
      <w:pPr>
        <w:spacing w:line="360" w:lineRule="auto"/>
        <w:ind w:firstLine="420" w:firstLineChars="200"/>
        <w:rPr>
          <w:color w:val="auto"/>
          <w:sz w:val="21"/>
          <w:szCs w:val="21"/>
          <w:highlight w:val="none"/>
        </w:rPr>
      </w:pPr>
      <w:r>
        <w:rPr>
          <w:rFonts w:hint="eastAsia"/>
          <w:color w:val="auto"/>
          <w:sz w:val="21"/>
          <w:szCs w:val="21"/>
          <w:highlight w:val="none"/>
        </w:rPr>
        <w:t>二档（4分）：总体概述（施工程序总体设想及施工段）对项目总体有认识，表述完整、合理，措施具体；施工段划分呼应总体表述，划分合理，符合规范要求。施工进度计划和各阶段进度的保证措施关键线路准确、完整、计划编划可行，关键节点的控制措施可行。</w:t>
      </w:r>
    </w:p>
    <w:p w14:paraId="67427F3F">
      <w:pPr>
        <w:spacing w:line="360" w:lineRule="auto"/>
        <w:ind w:firstLine="420" w:firstLineChars="200"/>
        <w:rPr>
          <w:color w:val="auto"/>
          <w:sz w:val="21"/>
          <w:szCs w:val="21"/>
          <w:highlight w:val="none"/>
        </w:rPr>
      </w:pPr>
      <w:r>
        <w:rPr>
          <w:rFonts w:hint="eastAsia"/>
          <w:color w:val="auto"/>
          <w:sz w:val="21"/>
          <w:szCs w:val="21"/>
          <w:highlight w:val="none"/>
        </w:rPr>
        <w:t>三档（</w:t>
      </w:r>
      <w:r>
        <w:rPr>
          <w:rFonts w:hint="eastAsia"/>
          <w:color w:val="auto"/>
          <w:sz w:val="21"/>
          <w:szCs w:val="21"/>
          <w:highlight w:val="none"/>
          <w:lang w:val="en-US" w:eastAsia="zh-CN"/>
        </w:rPr>
        <w:t>2</w:t>
      </w:r>
      <w:r>
        <w:rPr>
          <w:rFonts w:hint="eastAsia"/>
          <w:color w:val="auto"/>
          <w:sz w:val="21"/>
          <w:szCs w:val="21"/>
          <w:highlight w:val="none"/>
        </w:rPr>
        <w:t>分）：总体概述（施工程序总体设想及施工段）对项目总体有基本认识，表述欠完整，措施一般但符合规范要求。施工进度计划和各阶段进度的保证措施关键线路基本满足要求、计划编划基本可行，关键节点的控制措施基本可行。</w:t>
      </w:r>
    </w:p>
    <w:p w14:paraId="5F4BCC44">
      <w:pPr>
        <w:spacing w:line="360" w:lineRule="auto"/>
        <w:ind w:firstLine="420" w:firstLineChars="200"/>
        <w:rPr>
          <w:color w:val="auto"/>
          <w:sz w:val="21"/>
          <w:szCs w:val="21"/>
          <w:highlight w:val="none"/>
        </w:rPr>
      </w:pPr>
      <w:r>
        <w:rPr>
          <w:rFonts w:hint="eastAsia"/>
          <w:color w:val="auto"/>
          <w:sz w:val="21"/>
          <w:szCs w:val="21"/>
          <w:highlight w:val="none"/>
        </w:rPr>
        <w:t>四档（0分）：不提供总体施工组织布置及规划或对项目总体认识不足、表述不清楚，措施不符合，施工规划不合理的。</w:t>
      </w:r>
    </w:p>
    <w:p w14:paraId="6CB3F258">
      <w:pPr>
        <w:spacing w:line="360" w:lineRule="auto"/>
        <w:ind w:firstLine="422" w:firstLineChars="200"/>
        <w:rPr>
          <w:b/>
          <w:bCs/>
          <w:color w:val="auto"/>
          <w:sz w:val="21"/>
          <w:szCs w:val="21"/>
          <w:highlight w:val="none"/>
        </w:rPr>
      </w:pPr>
      <w:r>
        <w:rPr>
          <w:rFonts w:hint="eastAsia"/>
          <w:b/>
          <w:bCs/>
          <w:color w:val="auto"/>
          <w:sz w:val="21"/>
          <w:szCs w:val="21"/>
          <w:highlight w:val="none"/>
        </w:rPr>
        <w:t>（2）主要工程项目的施工方案、方法与技术措施（满分</w:t>
      </w:r>
      <w:r>
        <w:rPr>
          <w:rFonts w:hint="eastAsia"/>
          <w:b/>
          <w:bCs/>
          <w:color w:val="auto"/>
          <w:sz w:val="21"/>
          <w:szCs w:val="21"/>
          <w:highlight w:val="none"/>
          <w:lang w:val="en-US" w:eastAsia="zh-CN"/>
        </w:rPr>
        <w:t>10</w:t>
      </w:r>
      <w:r>
        <w:rPr>
          <w:rFonts w:hint="eastAsia"/>
          <w:b/>
          <w:bCs/>
          <w:color w:val="auto"/>
          <w:sz w:val="21"/>
          <w:szCs w:val="21"/>
          <w:highlight w:val="none"/>
        </w:rPr>
        <w:t>分）</w:t>
      </w:r>
    </w:p>
    <w:p w14:paraId="2CE9859A">
      <w:pPr>
        <w:spacing w:line="360" w:lineRule="auto"/>
        <w:ind w:firstLine="420" w:firstLineChars="200"/>
        <w:rPr>
          <w:color w:val="auto"/>
          <w:sz w:val="21"/>
          <w:szCs w:val="21"/>
          <w:highlight w:val="none"/>
        </w:rPr>
      </w:pPr>
      <w:r>
        <w:rPr>
          <w:rFonts w:hint="eastAsia"/>
          <w:color w:val="auto"/>
          <w:sz w:val="21"/>
          <w:szCs w:val="21"/>
          <w:highlight w:val="none"/>
        </w:rPr>
        <w:t>一档（</w:t>
      </w:r>
      <w:r>
        <w:rPr>
          <w:rFonts w:hint="eastAsia"/>
          <w:color w:val="auto"/>
          <w:sz w:val="21"/>
          <w:szCs w:val="21"/>
          <w:highlight w:val="none"/>
          <w:lang w:val="en-US" w:eastAsia="zh-CN"/>
        </w:rPr>
        <w:t>10</w:t>
      </w:r>
      <w:r>
        <w:rPr>
          <w:rFonts w:hint="eastAsia"/>
          <w:color w:val="auto"/>
          <w:sz w:val="21"/>
          <w:szCs w:val="21"/>
          <w:highlight w:val="none"/>
        </w:rPr>
        <w:t>分）：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5F999345">
      <w:pPr>
        <w:spacing w:line="360" w:lineRule="auto"/>
        <w:ind w:firstLine="420" w:firstLineChars="200"/>
        <w:rPr>
          <w:color w:val="auto"/>
          <w:sz w:val="21"/>
          <w:szCs w:val="21"/>
          <w:highlight w:val="none"/>
        </w:rPr>
      </w:pPr>
      <w:r>
        <w:rPr>
          <w:rFonts w:hint="eastAsia"/>
          <w:color w:val="auto"/>
          <w:sz w:val="21"/>
          <w:szCs w:val="21"/>
          <w:highlight w:val="none"/>
        </w:rPr>
        <w:t>二档（7分）：主要工程的施工方案、方法与技术措施符合项目实际，有施工技术方案，工艺及方法可行，能指导施工并确保安全。投入的施工材料有组织计划且计划可行，数量、选型配置、进场时间安排满足施工需要。</w:t>
      </w:r>
    </w:p>
    <w:p w14:paraId="09D79965">
      <w:pPr>
        <w:spacing w:line="360" w:lineRule="auto"/>
        <w:ind w:firstLine="420" w:firstLineChars="200"/>
        <w:rPr>
          <w:color w:val="auto"/>
          <w:sz w:val="21"/>
          <w:szCs w:val="21"/>
          <w:highlight w:val="none"/>
        </w:rPr>
      </w:pPr>
      <w:r>
        <w:rPr>
          <w:rFonts w:hint="eastAsia"/>
          <w:color w:val="auto"/>
          <w:sz w:val="21"/>
          <w:szCs w:val="21"/>
          <w:highlight w:val="none"/>
        </w:rPr>
        <w:t>三档（5分）：主要工程的施工方案、方法与技术措施符合项目实际，有施工技术方案，工艺及方法基本可行，能指导具体施工。投入的施工材料有组织计划，满足施工需要。</w:t>
      </w:r>
    </w:p>
    <w:p w14:paraId="71C2D672">
      <w:pPr>
        <w:spacing w:line="360" w:lineRule="auto"/>
        <w:ind w:firstLine="420" w:firstLineChars="200"/>
        <w:rPr>
          <w:color w:val="auto"/>
          <w:sz w:val="21"/>
          <w:szCs w:val="21"/>
          <w:highlight w:val="none"/>
        </w:rPr>
      </w:pPr>
      <w:r>
        <w:rPr>
          <w:rFonts w:hint="eastAsia"/>
          <w:color w:val="auto"/>
          <w:sz w:val="21"/>
          <w:szCs w:val="21"/>
          <w:highlight w:val="none"/>
        </w:rPr>
        <w:t>四档（0分）：不提供主要工程项目的施工方案、方法与技术措施或施工方案不合理，操作方法不可行，保证措施无保障的。</w:t>
      </w:r>
    </w:p>
    <w:p w14:paraId="6B24579E">
      <w:pPr>
        <w:spacing w:line="360" w:lineRule="auto"/>
        <w:ind w:firstLine="422" w:firstLineChars="200"/>
        <w:rPr>
          <w:b/>
          <w:bCs/>
          <w:color w:val="auto"/>
          <w:sz w:val="21"/>
          <w:szCs w:val="21"/>
          <w:highlight w:val="none"/>
        </w:rPr>
      </w:pPr>
      <w:r>
        <w:rPr>
          <w:rFonts w:hint="eastAsia"/>
          <w:b/>
          <w:bCs/>
          <w:color w:val="auto"/>
          <w:sz w:val="21"/>
          <w:szCs w:val="21"/>
          <w:highlight w:val="none"/>
        </w:rPr>
        <w:t>（3）工期保证、工程质量管理体系及保证措施（满分</w:t>
      </w:r>
      <w:r>
        <w:rPr>
          <w:rFonts w:hint="eastAsia"/>
          <w:b/>
          <w:bCs/>
          <w:color w:val="auto"/>
          <w:sz w:val="21"/>
          <w:szCs w:val="21"/>
          <w:highlight w:val="none"/>
          <w:lang w:val="en-US" w:eastAsia="zh-CN"/>
        </w:rPr>
        <w:t>7</w:t>
      </w:r>
      <w:r>
        <w:rPr>
          <w:rFonts w:hint="eastAsia"/>
          <w:b/>
          <w:bCs/>
          <w:color w:val="auto"/>
          <w:sz w:val="21"/>
          <w:szCs w:val="21"/>
          <w:highlight w:val="none"/>
        </w:rPr>
        <w:t>分）</w:t>
      </w:r>
    </w:p>
    <w:p w14:paraId="5EE7DE9B">
      <w:pPr>
        <w:spacing w:line="360" w:lineRule="auto"/>
        <w:ind w:firstLine="420" w:firstLineChars="200"/>
        <w:rPr>
          <w:color w:val="auto"/>
          <w:sz w:val="21"/>
          <w:szCs w:val="21"/>
          <w:highlight w:val="none"/>
        </w:rPr>
      </w:pPr>
      <w:r>
        <w:rPr>
          <w:rFonts w:hint="eastAsia"/>
          <w:color w:val="auto"/>
          <w:sz w:val="21"/>
          <w:szCs w:val="21"/>
          <w:highlight w:val="none"/>
        </w:rPr>
        <w:t>一档（</w:t>
      </w:r>
      <w:r>
        <w:rPr>
          <w:rFonts w:hint="eastAsia"/>
          <w:color w:val="auto"/>
          <w:sz w:val="21"/>
          <w:szCs w:val="21"/>
          <w:highlight w:val="none"/>
          <w:lang w:val="en-US" w:eastAsia="zh-CN"/>
        </w:rPr>
        <w:t>7</w:t>
      </w:r>
      <w:r>
        <w:rPr>
          <w:rFonts w:hint="eastAsia"/>
          <w:color w:val="auto"/>
          <w:sz w:val="21"/>
          <w:szCs w:val="21"/>
          <w:highlight w:val="none"/>
        </w:rPr>
        <w:t>分）：有工期保证体系，且工期保证措施合理得当。有控制工期的施工进度计划。有施工总进度表或施工网络图，各项计划图表编制详细且完善，安排科学合理，完全符合本项目施工实际要求。</w:t>
      </w:r>
    </w:p>
    <w:p w14:paraId="63B278F5">
      <w:pPr>
        <w:spacing w:line="360" w:lineRule="auto"/>
        <w:ind w:firstLine="420" w:firstLineChars="200"/>
        <w:rPr>
          <w:color w:val="auto"/>
          <w:sz w:val="21"/>
          <w:szCs w:val="21"/>
          <w:highlight w:val="none"/>
        </w:rPr>
      </w:pPr>
      <w:r>
        <w:rPr>
          <w:rFonts w:hint="eastAsia"/>
          <w:color w:val="auto"/>
          <w:sz w:val="21"/>
          <w:szCs w:val="21"/>
          <w:highlight w:val="none"/>
        </w:rPr>
        <w:t>二档（5分）：有工期保证体系，且工期保证措施基本满足要求。有控制工期的施工进度计划。有施工总进度表或施工网络图，各项计划图表编制基本完善，安排基本满足要求，基本符合本项目施工实际要求。</w:t>
      </w:r>
    </w:p>
    <w:p w14:paraId="0CE7D99B">
      <w:pPr>
        <w:spacing w:line="360" w:lineRule="auto"/>
        <w:ind w:firstLine="420" w:firstLineChars="200"/>
        <w:rPr>
          <w:color w:val="auto"/>
          <w:sz w:val="21"/>
          <w:szCs w:val="21"/>
          <w:highlight w:val="none"/>
        </w:rPr>
      </w:pPr>
      <w:r>
        <w:rPr>
          <w:rFonts w:hint="eastAsia"/>
          <w:color w:val="auto"/>
          <w:sz w:val="21"/>
          <w:szCs w:val="21"/>
          <w:highlight w:val="none"/>
        </w:rPr>
        <w:t>三档（4分）：有工期保证体系、工期保证措施欠合理。有控制工期的施工进度计划。有施工总进度表或施工网络图，各项计划图表编制基本完善但欠合理，安排基本合理，基本符合本项目施工实际要求。</w:t>
      </w:r>
    </w:p>
    <w:p w14:paraId="44A121FF">
      <w:pPr>
        <w:spacing w:line="360" w:lineRule="auto"/>
        <w:ind w:firstLine="420" w:firstLineChars="200"/>
        <w:rPr>
          <w:color w:val="auto"/>
          <w:sz w:val="21"/>
          <w:szCs w:val="21"/>
          <w:highlight w:val="none"/>
        </w:rPr>
      </w:pPr>
      <w:r>
        <w:rPr>
          <w:rFonts w:hint="eastAsia"/>
          <w:color w:val="auto"/>
          <w:sz w:val="21"/>
          <w:szCs w:val="21"/>
          <w:highlight w:val="none"/>
        </w:rPr>
        <w:t>四档（0分）：不提供工期保证、工程质量管理体系及保证措施或工期保证体系、工期保证措不合理，控制工期的施工进度计划不合理，不符合本项目施工实际要求。</w:t>
      </w:r>
    </w:p>
    <w:p w14:paraId="6CCD3A53">
      <w:pPr>
        <w:spacing w:line="360" w:lineRule="auto"/>
        <w:ind w:firstLine="422" w:firstLineChars="200"/>
        <w:rPr>
          <w:b/>
          <w:bCs/>
          <w:color w:val="auto"/>
          <w:sz w:val="21"/>
          <w:szCs w:val="21"/>
          <w:highlight w:val="none"/>
        </w:rPr>
      </w:pPr>
      <w:r>
        <w:rPr>
          <w:rFonts w:hint="eastAsia"/>
          <w:b/>
          <w:bCs/>
          <w:color w:val="auto"/>
          <w:sz w:val="21"/>
          <w:szCs w:val="21"/>
          <w:highlight w:val="none"/>
        </w:rPr>
        <w:t>（4）安全生产、文明施工管理体系及保证措施（满分</w:t>
      </w:r>
      <w:r>
        <w:rPr>
          <w:rFonts w:hint="eastAsia"/>
          <w:b/>
          <w:bCs/>
          <w:color w:val="auto"/>
          <w:sz w:val="21"/>
          <w:szCs w:val="21"/>
          <w:highlight w:val="none"/>
          <w:lang w:val="en-US" w:eastAsia="zh-CN"/>
        </w:rPr>
        <w:t>6</w:t>
      </w:r>
      <w:r>
        <w:rPr>
          <w:rFonts w:hint="eastAsia"/>
          <w:b/>
          <w:bCs/>
          <w:color w:val="auto"/>
          <w:sz w:val="21"/>
          <w:szCs w:val="21"/>
          <w:highlight w:val="none"/>
        </w:rPr>
        <w:t>分）</w:t>
      </w:r>
    </w:p>
    <w:p w14:paraId="37FBD54D">
      <w:pPr>
        <w:spacing w:line="360" w:lineRule="auto"/>
        <w:ind w:firstLine="420" w:firstLineChars="200"/>
        <w:rPr>
          <w:color w:val="auto"/>
          <w:sz w:val="21"/>
          <w:szCs w:val="21"/>
          <w:highlight w:val="none"/>
        </w:rPr>
      </w:pPr>
      <w:r>
        <w:rPr>
          <w:rFonts w:hint="eastAsia"/>
          <w:color w:val="auto"/>
          <w:sz w:val="21"/>
          <w:szCs w:val="21"/>
          <w:highlight w:val="none"/>
        </w:rPr>
        <w:t>一档（</w:t>
      </w:r>
      <w:r>
        <w:rPr>
          <w:rFonts w:hint="eastAsia"/>
          <w:color w:val="auto"/>
          <w:sz w:val="21"/>
          <w:szCs w:val="21"/>
          <w:highlight w:val="none"/>
          <w:lang w:val="en-US" w:eastAsia="zh-CN"/>
        </w:rPr>
        <w:t>6</w:t>
      </w:r>
      <w:r>
        <w:rPr>
          <w:rFonts w:hint="eastAsia"/>
          <w:color w:val="auto"/>
          <w:sz w:val="21"/>
          <w:szCs w:val="21"/>
          <w:highlight w:val="none"/>
        </w:rPr>
        <w:t>分）：有安全生产管理体系、保证措施可行合理，各道工序安全技术措施针对性强，符合实际且满足有关安全技术标准要求。现场防火、应急救援、社会治安安全措施得力。</w:t>
      </w:r>
    </w:p>
    <w:p w14:paraId="69C72F0B">
      <w:pPr>
        <w:spacing w:line="360" w:lineRule="auto"/>
        <w:ind w:firstLine="420" w:firstLineChars="200"/>
        <w:rPr>
          <w:color w:val="auto"/>
          <w:sz w:val="21"/>
          <w:szCs w:val="21"/>
          <w:highlight w:val="none"/>
        </w:rPr>
      </w:pPr>
      <w:r>
        <w:rPr>
          <w:rFonts w:hint="eastAsia"/>
          <w:color w:val="auto"/>
          <w:sz w:val="21"/>
          <w:szCs w:val="21"/>
          <w:highlight w:val="none"/>
        </w:rPr>
        <w:t>二档（4分）：有安全生产管理体系、保证措施可行合理，有各道工序安全技术措施，基本符合实际且有关安全技术标准要求。有现场防火、应急救援、社会治安安全措施。</w:t>
      </w:r>
    </w:p>
    <w:p w14:paraId="3B4006D9">
      <w:pPr>
        <w:spacing w:line="360" w:lineRule="auto"/>
        <w:ind w:firstLine="420" w:firstLineChars="200"/>
        <w:rPr>
          <w:color w:val="auto"/>
          <w:sz w:val="21"/>
          <w:szCs w:val="21"/>
          <w:highlight w:val="none"/>
        </w:rPr>
      </w:pPr>
      <w:r>
        <w:rPr>
          <w:rFonts w:hint="eastAsia"/>
          <w:color w:val="auto"/>
          <w:sz w:val="21"/>
          <w:szCs w:val="21"/>
          <w:highlight w:val="none"/>
        </w:rPr>
        <w:t>三档（3分）：有安全生产管理体系、保证措施基本可行，符合实际且基本满足有关安全技术标准要求。有现场防火、应急救援、社会治安安全措施。</w:t>
      </w:r>
    </w:p>
    <w:p w14:paraId="3EBFD8D4">
      <w:pPr>
        <w:spacing w:line="360" w:lineRule="auto"/>
        <w:ind w:firstLine="420" w:firstLineChars="200"/>
        <w:rPr>
          <w:color w:val="auto"/>
          <w:sz w:val="21"/>
          <w:szCs w:val="21"/>
          <w:highlight w:val="none"/>
        </w:rPr>
      </w:pPr>
      <w:r>
        <w:rPr>
          <w:rFonts w:hint="eastAsia"/>
          <w:color w:val="auto"/>
          <w:sz w:val="21"/>
          <w:szCs w:val="21"/>
          <w:highlight w:val="none"/>
        </w:rPr>
        <w:t>四档（0分）：不提供安全生产、文明施工管理体系及保证措施或安全生产、文明施工管理体系及保证措施不合理，不符合本项目施工实际要求。</w:t>
      </w:r>
    </w:p>
    <w:p w14:paraId="226B66ED">
      <w:pPr>
        <w:spacing w:line="360" w:lineRule="auto"/>
        <w:ind w:firstLine="422" w:firstLineChars="200"/>
        <w:rPr>
          <w:b/>
          <w:bCs/>
          <w:color w:val="auto"/>
          <w:sz w:val="21"/>
          <w:szCs w:val="21"/>
          <w:highlight w:val="none"/>
        </w:rPr>
      </w:pPr>
      <w:r>
        <w:rPr>
          <w:rFonts w:hint="eastAsia"/>
          <w:b/>
          <w:bCs/>
          <w:color w:val="auto"/>
          <w:sz w:val="21"/>
          <w:szCs w:val="21"/>
          <w:highlight w:val="none"/>
        </w:rPr>
        <w:t>（5）项目风险预测与防范，事故应急预案（满分</w:t>
      </w:r>
      <w:r>
        <w:rPr>
          <w:rFonts w:hint="eastAsia"/>
          <w:b/>
          <w:bCs/>
          <w:color w:val="auto"/>
          <w:sz w:val="21"/>
          <w:szCs w:val="21"/>
          <w:highlight w:val="none"/>
          <w:lang w:val="en-US" w:eastAsia="zh-CN"/>
        </w:rPr>
        <w:t>6</w:t>
      </w:r>
      <w:r>
        <w:rPr>
          <w:rFonts w:hint="eastAsia"/>
          <w:b/>
          <w:bCs/>
          <w:color w:val="auto"/>
          <w:sz w:val="21"/>
          <w:szCs w:val="21"/>
          <w:highlight w:val="none"/>
        </w:rPr>
        <w:t>分）</w:t>
      </w:r>
    </w:p>
    <w:p w14:paraId="65F76601">
      <w:pPr>
        <w:spacing w:line="360" w:lineRule="auto"/>
        <w:ind w:firstLine="420" w:firstLineChars="200"/>
        <w:rPr>
          <w:color w:val="auto"/>
          <w:sz w:val="21"/>
          <w:szCs w:val="21"/>
          <w:highlight w:val="none"/>
        </w:rPr>
      </w:pPr>
      <w:r>
        <w:rPr>
          <w:rFonts w:hint="eastAsia"/>
          <w:color w:val="auto"/>
          <w:sz w:val="21"/>
          <w:szCs w:val="21"/>
          <w:highlight w:val="none"/>
        </w:rPr>
        <w:t>一档（</w:t>
      </w:r>
      <w:r>
        <w:rPr>
          <w:rFonts w:hint="eastAsia"/>
          <w:color w:val="auto"/>
          <w:sz w:val="21"/>
          <w:szCs w:val="21"/>
          <w:highlight w:val="none"/>
          <w:lang w:val="en-US" w:eastAsia="zh-CN"/>
        </w:rPr>
        <w:t>6</w:t>
      </w:r>
      <w:r>
        <w:rPr>
          <w:rFonts w:hint="eastAsia"/>
          <w:color w:val="auto"/>
          <w:sz w:val="21"/>
          <w:szCs w:val="21"/>
          <w:highlight w:val="none"/>
        </w:rPr>
        <w:t>分）：有项目风险预测与防范，事故应急预案。针对本工程项目特点，有较好的风险预测和应急预案及防范风险事故措施，且各项措施周全、具体、有效。</w:t>
      </w:r>
    </w:p>
    <w:p w14:paraId="05EC9DA4">
      <w:pPr>
        <w:spacing w:line="360" w:lineRule="auto"/>
        <w:ind w:firstLine="420" w:firstLineChars="200"/>
        <w:rPr>
          <w:color w:val="auto"/>
          <w:sz w:val="21"/>
          <w:szCs w:val="21"/>
          <w:highlight w:val="none"/>
        </w:rPr>
      </w:pPr>
      <w:r>
        <w:rPr>
          <w:rFonts w:hint="eastAsia"/>
          <w:color w:val="auto"/>
          <w:sz w:val="21"/>
          <w:szCs w:val="21"/>
          <w:highlight w:val="none"/>
        </w:rPr>
        <w:t>二档（4分）：有项目风险预测与防范，事故应急预案。针对本工程项目特点，有风险预测和应急预案及防范风险事故措施，且各项措施具体。</w:t>
      </w:r>
    </w:p>
    <w:p w14:paraId="21E74BB8">
      <w:pPr>
        <w:spacing w:line="360" w:lineRule="auto"/>
        <w:ind w:firstLine="420" w:firstLineChars="200"/>
        <w:rPr>
          <w:color w:val="auto"/>
          <w:sz w:val="21"/>
          <w:szCs w:val="21"/>
          <w:highlight w:val="none"/>
        </w:rPr>
      </w:pPr>
      <w:r>
        <w:rPr>
          <w:rFonts w:hint="eastAsia"/>
          <w:color w:val="auto"/>
          <w:sz w:val="21"/>
          <w:szCs w:val="21"/>
          <w:highlight w:val="none"/>
        </w:rPr>
        <w:t>三档（3分）：有项目风险预测与防范，事故应急预案。有风险预测和应急预案及防范风险事故措施。</w:t>
      </w:r>
    </w:p>
    <w:p w14:paraId="732A5158">
      <w:pPr>
        <w:spacing w:line="360" w:lineRule="auto"/>
        <w:ind w:firstLine="420" w:firstLineChars="200"/>
        <w:rPr>
          <w:color w:val="auto"/>
          <w:sz w:val="21"/>
          <w:szCs w:val="21"/>
          <w:highlight w:val="none"/>
        </w:rPr>
      </w:pPr>
      <w:r>
        <w:rPr>
          <w:rFonts w:hint="eastAsia"/>
          <w:color w:val="auto"/>
          <w:sz w:val="21"/>
          <w:szCs w:val="21"/>
          <w:highlight w:val="none"/>
        </w:rPr>
        <w:t>四档（0分）：不提供项目风险预测与防范，事故应急预案或项目风险预测与防范，事故应急预案不合理，不符合本项目施工实际要求。</w:t>
      </w:r>
    </w:p>
    <w:p w14:paraId="046583DE">
      <w:pPr>
        <w:spacing w:line="360" w:lineRule="auto"/>
        <w:ind w:firstLine="422" w:firstLineChars="200"/>
        <w:rPr>
          <w:b/>
          <w:bCs/>
          <w:color w:val="auto"/>
          <w:sz w:val="21"/>
          <w:szCs w:val="21"/>
          <w:highlight w:val="none"/>
        </w:rPr>
      </w:pPr>
      <w:r>
        <w:rPr>
          <w:rFonts w:hint="eastAsia"/>
          <w:b/>
          <w:bCs/>
          <w:color w:val="auto"/>
          <w:sz w:val="21"/>
          <w:szCs w:val="21"/>
          <w:highlight w:val="none"/>
        </w:rPr>
        <w:t>3、主要人员分</w:t>
      </w:r>
      <w:r>
        <w:rPr>
          <w:rFonts w:hint="eastAsia"/>
          <w:b/>
          <w:bCs/>
          <w:color w:val="auto"/>
          <w:highlight w:val="none"/>
        </w:rPr>
        <w:t>……………………………………………………………………………</w:t>
      </w:r>
      <w:r>
        <w:rPr>
          <w:rFonts w:hint="eastAsia"/>
          <w:b/>
          <w:bCs/>
          <w:color w:val="auto"/>
          <w:sz w:val="21"/>
          <w:szCs w:val="21"/>
          <w:highlight w:val="none"/>
        </w:rPr>
        <w:t>满分20分</w:t>
      </w:r>
    </w:p>
    <w:p w14:paraId="1F27A6E0">
      <w:pPr>
        <w:spacing w:line="360" w:lineRule="auto"/>
        <w:ind w:firstLine="422" w:firstLineChars="200"/>
        <w:rPr>
          <w:b/>
          <w:bCs/>
          <w:color w:val="auto"/>
          <w:sz w:val="21"/>
          <w:szCs w:val="21"/>
          <w:highlight w:val="none"/>
        </w:rPr>
      </w:pPr>
      <w:r>
        <w:rPr>
          <w:rFonts w:hint="eastAsia"/>
          <w:b/>
          <w:bCs/>
          <w:color w:val="auto"/>
          <w:sz w:val="21"/>
          <w:szCs w:val="21"/>
          <w:highlight w:val="none"/>
        </w:rPr>
        <w:t>（1）项目经理任职资格与业绩（满分10分）</w:t>
      </w:r>
    </w:p>
    <w:p w14:paraId="13F8EC8E">
      <w:pPr>
        <w:spacing w:line="360" w:lineRule="auto"/>
        <w:ind w:firstLine="420" w:firstLineChars="200"/>
        <w:rPr>
          <w:rFonts w:hint="eastAsia"/>
          <w:color w:val="auto"/>
          <w:sz w:val="21"/>
          <w:szCs w:val="21"/>
          <w:highlight w:val="none"/>
        </w:rPr>
      </w:pPr>
      <w:bookmarkStart w:id="103" w:name="OLE_LINK50"/>
      <w:bookmarkStart w:id="104" w:name="OLE_LINK49"/>
      <w:bookmarkStart w:id="105" w:name="OLE_LINK68"/>
      <w:bookmarkStart w:id="106" w:name="OLE_LINK96"/>
      <w:bookmarkStart w:id="107" w:name="OLE_LINK69"/>
      <w:bookmarkStart w:id="108" w:name="OLE_LINK97"/>
      <w:r>
        <w:rPr>
          <w:rFonts w:hint="eastAsia"/>
          <w:color w:val="auto"/>
          <w:sz w:val="21"/>
          <w:szCs w:val="21"/>
          <w:highlight w:val="none"/>
          <w:lang w:val="en-US" w:eastAsia="zh-CN"/>
        </w:rPr>
        <w:t>项目经</w:t>
      </w:r>
      <w:r>
        <w:rPr>
          <w:rFonts w:hint="eastAsia" w:ascii="宋体" w:hAnsi="宋体" w:eastAsia="宋体" w:cs="宋体"/>
          <w:color w:val="auto"/>
          <w:sz w:val="21"/>
          <w:szCs w:val="21"/>
          <w:highlight w:val="none"/>
          <w:lang w:val="en-US" w:eastAsia="zh-CN"/>
        </w:rPr>
        <w:t>理</w:t>
      </w:r>
      <w:r>
        <w:rPr>
          <w:rFonts w:hint="eastAsia" w:ascii="宋体" w:hAnsi="宋体" w:eastAsia="宋体" w:cs="宋体"/>
          <w:color w:val="auto"/>
          <w:sz w:val="21"/>
          <w:szCs w:val="21"/>
          <w:highlight w:val="none"/>
        </w:rPr>
        <w:t>在最近</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年内（以项目交工验收时间为准，从</w:t>
      </w:r>
      <w:r>
        <w:rPr>
          <w:rFonts w:ascii="宋体" w:hAnsi="宋体" w:eastAsia="宋体" w:cs="宋体"/>
          <w:color w:val="auto"/>
          <w:sz w:val="21"/>
          <w:szCs w:val="21"/>
          <w:highlight w:val="none"/>
        </w:rPr>
        <w:t>202</w:t>
      </w:r>
      <w:r>
        <w:rPr>
          <w:rFonts w:hint="eastAsia" w:ascii="宋体" w:hAnsi="宋体" w:eastAsia="宋体" w:cs="宋体"/>
          <w:color w:val="auto"/>
          <w:sz w:val="21"/>
          <w:szCs w:val="21"/>
          <w:highlight w:val="none"/>
        </w:rPr>
        <w:t>1年03月01日算起至今），</w:t>
      </w:r>
      <w:bookmarkStart w:id="109" w:name="OLE_LINK36"/>
      <w:bookmarkStart w:id="110" w:name="OLE_LINK25"/>
      <w:bookmarkStart w:id="111" w:name="OLE_LINK19"/>
      <w:bookmarkStart w:id="112" w:name="OLE_LINK37"/>
      <w:r>
        <w:rPr>
          <w:rFonts w:ascii="宋体" w:hAnsi="宋体" w:eastAsia="宋体" w:cs="宋体"/>
          <w:color w:val="auto"/>
          <w:sz w:val="21"/>
          <w:szCs w:val="21"/>
          <w:highlight w:val="none"/>
        </w:rPr>
        <w:t>每以项目经理或项目副经理身份</w:t>
      </w:r>
      <w:r>
        <w:rPr>
          <w:rFonts w:hint="eastAsia" w:ascii="宋体" w:hAnsi="宋体" w:eastAsia="宋体" w:cs="宋体"/>
          <w:color w:val="auto"/>
          <w:sz w:val="21"/>
          <w:szCs w:val="21"/>
          <w:highlight w:val="none"/>
          <w:lang w:val="en-US" w:eastAsia="zh-CN"/>
        </w:rPr>
        <w:t>成功完成</w:t>
      </w:r>
      <w:r>
        <w:rPr>
          <w:rFonts w:ascii="宋体" w:hAnsi="宋体" w:eastAsia="宋体" w:cs="宋体"/>
          <w:color w:val="auto"/>
          <w:sz w:val="21"/>
          <w:szCs w:val="21"/>
          <w:highlight w:val="none"/>
        </w:rPr>
        <w:t>1个</w:t>
      </w:r>
      <w:r>
        <w:rPr>
          <w:rFonts w:hint="eastAsia" w:cs="宋体"/>
          <w:color w:val="auto"/>
          <w:sz w:val="21"/>
          <w:szCs w:val="21"/>
          <w:highlight w:val="none"/>
          <w:lang w:val="en-US" w:eastAsia="zh-CN"/>
        </w:rPr>
        <w:t>类似项目</w:t>
      </w:r>
      <w:r>
        <w:rPr>
          <w:rFonts w:ascii="宋体" w:hAnsi="宋体" w:eastAsia="宋体" w:cs="宋体"/>
          <w:color w:val="auto"/>
          <w:sz w:val="21"/>
          <w:szCs w:val="21"/>
          <w:highlight w:val="none"/>
        </w:rPr>
        <w:t>单个合同段项目得5分，</w:t>
      </w:r>
      <w:r>
        <w:rPr>
          <w:rFonts w:hint="eastAsia" w:ascii="宋体" w:hAnsi="宋体" w:eastAsia="宋体" w:cs="宋体"/>
          <w:color w:val="auto"/>
          <w:sz w:val="21"/>
          <w:szCs w:val="21"/>
          <w:highlight w:val="none"/>
          <w:lang w:val="en-US" w:eastAsia="zh-CN"/>
        </w:rPr>
        <w:t>满分10分</w:t>
      </w:r>
      <w:r>
        <w:rPr>
          <w:rFonts w:ascii="宋体" w:hAnsi="宋体" w:eastAsia="宋体" w:cs="宋体"/>
          <w:color w:val="auto"/>
          <w:sz w:val="21"/>
          <w:szCs w:val="21"/>
          <w:highlight w:val="none"/>
        </w:rPr>
        <w:t>。</w:t>
      </w:r>
    </w:p>
    <w:bookmarkEnd w:id="103"/>
    <w:bookmarkEnd w:id="104"/>
    <w:bookmarkEnd w:id="105"/>
    <w:bookmarkEnd w:id="106"/>
    <w:bookmarkEnd w:id="107"/>
    <w:bookmarkEnd w:id="108"/>
    <w:bookmarkEnd w:id="109"/>
    <w:bookmarkEnd w:id="110"/>
    <w:bookmarkEnd w:id="111"/>
    <w:bookmarkEnd w:id="112"/>
    <w:p w14:paraId="77D05A0C">
      <w:pPr>
        <w:spacing w:line="360" w:lineRule="auto"/>
        <w:ind w:firstLine="422" w:firstLineChars="200"/>
        <w:rPr>
          <w:b/>
          <w:bCs/>
          <w:color w:val="auto"/>
          <w:sz w:val="21"/>
          <w:szCs w:val="21"/>
          <w:highlight w:val="none"/>
        </w:rPr>
      </w:pPr>
      <w:r>
        <w:rPr>
          <w:rFonts w:hint="eastAsia"/>
          <w:b/>
          <w:bCs/>
          <w:color w:val="auto"/>
          <w:sz w:val="21"/>
          <w:szCs w:val="21"/>
          <w:highlight w:val="none"/>
        </w:rPr>
        <w:t>（2）项目总工任职资格与业绩（满分10分）</w:t>
      </w:r>
    </w:p>
    <w:p w14:paraId="3DCC52E0">
      <w:pPr>
        <w:spacing w:line="360" w:lineRule="auto"/>
        <w:ind w:firstLine="422" w:firstLineChars="200"/>
        <w:rPr>
          <w:rFonts w:hint="eastAsia"/>
          <w:b/>
          <w:bCs/>
          <w:color w:val="auto"/>
          <w:sz w:val="21"/>
          <w:szCs w:val="21"/>
          <w:highlight w:val="none"/>
        </w:rPr>
      </w:pPr>
      <w:bookmarkStart w:id="113" w:name="OLE_LINK99"/>
      <w:bookmarkStart w:id="114" w:name="OLE_LINK98"/>
      <w:bookmarkStart w:id="115" w:name="OLE_LINK70"/>
      <w:r>
        <w:rPr>
          <w:rFonts w:hint="eastAsia"/>
          <w:b/>
          <w:bCs/>
          <w:color w:val="auto"/>
          <w:sz w:val="21"/>
          <w:szCs w:val="21"/>
          <w:highlight w:val="none"/>
        </w:rPr>
        <w:t>项目总工</w:t>
      </w:r>
      <w:r>
        <w:rPr>
          <w:rFonts w:hint="eastAsia"/>
          <w:color w:val="auto"/>
          <w:sz w:val="21"/>
          <w:szCs w:val="21"/>
          <w:highlight w:val="none"/>
        </w:rPr>
        <w:t>在最近5年内（以项目交工验收时间为准，从2021年03月01日算起至今），</w:t>
      </w:r>
      <w:r>
        <w:rPr>
          <w:rFonts w:ascii="宋体" w:hAnsi="宋体" w:eastAsia="宋体" w:cs="宋体"/>
          <w:color w:val="auto"/>
          <w:sz w:val="21"/>
          <w:szCs w:val="21"/>
          <w:highlight w:val="none"/>
        </w:rPr>
        <w:t>每以</w:t>
      </w:r>
      <w:r>
        <w:rPr>
          <w:rFonts w:hint="eastAsia"/>
          <w:color w:val="auto"/>
          <w:sz w:val="21"/>
          <w:szCs w:val="21"/>
          <w:highlight w:val="none"/>
        </w:rPr>
        <w:t>总工程师或技术负责人或副总工程师</w:t>
      </w:r>
      <w:r>
        <w:rPr>
          <w:rFonts w:ascii="宋体" w:hAnsi="宋体" w:eastAsia="宋体" w:cs="宋体"/>
          <w:color w:val="auto"/>
          <w:sz w:val="21"/>
          <w:szCs w:val="21"/>
          <w:highlight w:val="none"/>
        </w:rPr>
        <w:t>身份</w:t>
      </w:r>
      <w:r>
        <w:rPr>
          <w:rFonts w:hint="eastAsia" w:ascii="宋体" w:hAnsi="宋体" w:eastAsia="宋体" w:cs="宋体"/>
          <w:color w:val="auto"/>
          <w:sz w:val="21"/>
          <w:szCs w:val="21"/>
          <w:highlight w:val="none"/>
          <w:lang w:val="en-US" w:eastAsia="zh-CN"/>
        </w:rPr>
        <w:t>成功完成</w:t>
      </w:r>
      <w:r>
        <w:rPr>
          <w:rFonts w:ascii="宋体" w:hAnsi="宋体" w:eastAsia="宋体" w:cs="宋体"/>
          <w:color w:val="auto"/>
          <w:sz w:val="21"/>
          <w:szCs w:val="21"/>
          <w:highlight w:val="none"/>
        </w:rPr>
        <w:t>1个</w:t>
      </w:r>
      <w:r>
        <w:rPr>
          <w:rFonts w:hint="eastAsia" w:cs="宋体"/>
          <w:color w:val="auto"/>
          <w:sz w:val="21"/>
          <w:szCs w:val="21"/>
          <w:highlight w:val="none"/>
          <w:lang w:val="en-US" w:eastAsia="zh-CN"/>
        </w:rPr>
        <w:t>类似项目</w:t>
      </w:r>
      <w:r>
        <w:rPr>
          <w:rFonts w:ascii="宋体" w:hAnsi="宋体" w:eastAsia="宋体" w:cs="宋体"/>
          <w:color w:val="auto"/>
          <w:sz w:val="21"/>
          <w:szCs w:val="21"/>
          <w:highlight w:val="none"/>
        </w:rPr>
        <w:t>单个合同段项目得5分，</w:t>
      </w:r>
      <w:r>
        <w:rPr>
          <w:rFonts w:hint="eastAsia" w:ascii="宋体" w:hAnsi="宋体" w:eastAsia="宋体" w:cs="宋体"/>
          <w:color w:val="auto"/>
          <w:sz w:val="21"/>
          <w:szCs w:val="21"/>
          <w:highlight w:val="none"/>
          <w:lang w:val="en-US" w:eastAsia="zh-CN"/>
        </w:rPr>
        <w:t>满分10分</w:t>
      </w:r>
      <w:r>
        <w:rPr>
          <w:rFonts w:ascii="宋体" w:hAnsi="宋体" w:eastAsia="宋体" w:cs="宋体"/>
          <w:color w:val="auto"/>
          <w:sz w:val="21"/>
          <w:szCs w:val="21"/>
          <w:highlight w:val="none"/>
        </w:rPr>
        <w:t>。</w:t>
      </w:r>
    </w:p>
    <w:bookmarkEnd w:id="113"/>
    <w:bookmarkEnd w:id="114"/>
    <w:bookmarkEnd w:id="115"/>
    <w:p w14:paraId="59C63587">
      <w:pPr>
        <w:wordWrap w:val="0"/>
        <w:spacing w:line="360" w:lineRule="auto"/>
        <w:ind w:firstLine="422" w:firstLineChars="200"/>
        <w:rPr>
          <w:b/>
          <w:bCs/>
          <w:color w:val="auto"/>
          <w:spacing w:val="-5"/>
          <w:highlight w:val="none"/>
        </w:rPr>
      </w:pPr>
      <w:r>
        <w:rPr>
          <w:rFonts w:hint="eastAsia"/>
          <w:b/>
          <w:bCs/>
          <w:color w:val="auto"/>
          <w:sz w:val="21"/>
          <w:szCs w:val="21"/>
          <w:highlight w:val="none"/>
        </w:rPr>
        <w:t>注：①“路桥类 ”专业是指职称证上的专业，为路桥、公路工程、桥梁工程、交通土建、交通工程、铁路、土木工程、隧道工程、市政桥梁工程等</w:t>
      </w:r>
      <w:r>
        <w:rPr>
          <w:rFonts w:hint="eastAsia"/>
          <w:b/>
          <w:bCs/>
          <w:color w:val="auto"/>
          <w:sz w:val="21"/>
          <w:szCs w:val="21"/>
          <w:highlight w:val="none"/>
          <w:lang w:val="en-US" w:eastAsia="zh-CN"/>
        </w:rPr>
        <w:t>相关</w:t>
      </w:r>
      <w:r>
        <w:rPr>
          <w:rFonts w:hint="eastAsia"/>
          <w:b/>
          <w:bCs/>
          <w:color w:val="auto"/>
          <w:sz w:val="21"/>
          <w:szCs w:val="21"/>
          <w:highlight w:val="none"/>
        </w:rPr>
        <w:t>专业均可。</w:t>
      </w:r>
      <w:r>
        <w:rPr>
          <w:rFonts w:hint="eastAsia"/>
          <w:b/>
          <w:bCs/>
          <w:color w:val="auto"/>
          <w:kern w:val="2"/>
          <w:sz w:val="21"/>
          <w:szCs w:val="21"/>
          <w:highlight w:val="none"/>
        </w:rPr>
        <w:t>②项目经理或总工</w:t>
      </w:r>
      <w:r>
        <w:rPr>
          <w:rFonts w:hint="eastAsia" w:ascii="宋体" w:hAnsi="宋体" w:eastAsia="宋体" w:cs="宋体"/>
          <w:color w:val="auto"/>
          <w:szCs w:val="21"/>
          <w:highlight w:val="none"/>
          <w:lang w:eastAsia="zh-CN"/>
        </w:rPr>
        <w:t>无在岗项目(指目前未在其他项目上任职，或有在建项目任职的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应提供随时撤离承诺书。</w:t>
      </w:r>
      <w:r>
        <w:rPr>
          <w:rFonts w:hint="eastAsia" w:cs="宋体"/>
          <w:color w:val="auto"/>
          <w:szCs w:val="21"/>
          <w:highlight w:val="none"/>
          <w:lang w:val="en-US" w:eastAsia="zh-CN"/>
        </w:rPr>
        <w:t>③</w:t>
      </w:r>
      <w:r>
        <w:rPr>
          <w:rFonts w:hint="eastAsia"/>
          <w:b/>
          <w:bCs/>
          <w:color w:val="auto"/>
          <w:kern w:val="2"/>
          <w:sz w:val="21"/>
          <w:szCs w:val="21"/>
          <w:highlight w:val="none"/>
          <w:lang w:eastAsia="zh-CN"/>
        </w:rPr>
        <w:t>项目经理或者项目总工应是本单位员工</w:t>
      </w:r>
      <w:r>
        <w:rPr>
          <w:rFonts w:hint="eastAsia"/>
          <w:b/>
          <w:bCs/>
          <w:color w:val="auto"/>
          <w:kern w:val="2"/>
          <w:sz w:val="21"/>
          <w:szCs w:val="21"/>
          <w:highlight w:val="none"/>
        </w:rPr>
        <w:t>（提供劳动合同），如不是本单位人员的，该供应商的磋商作废标处理</w:t>
      </w:r>
      <w:r>
        <w:rPr>
          <w:rFonts w:hint="eastAsia"/>
          <w:b/>
          <w:bCs/>
          <w:color w:val="auto"/>
          <w:kern w:val="2"/>
          <w:sz w:val="21"/>
          <w:szCs w:val="21"/>
          <w:highlight w:val="none"/>
          <w:lang w:eastAsia="zh-CN"/>
        </w:rPr>
        <w:t>】。</w:t>
      </w:r>
      <w:r>
        <w:rPr>
          <w:rFonts w:hint="eastAsia"/>
          <w:b/>
          <w:bCs/>
          <w:color w:val="auto"/>
          <w:spacing w:val="-5"/>
          <w:sz w:val="21"/>
          <w:szCs w:val="21"/>
          <w:highlight w:val="none"/>
          <w:lang w:val="en-US" w:eastAsia="zh-CN"/>
        </w:rPr>
        <w:t>④</w:t>
      </w:r>
      <w:r>
        <w:rPr>
          <w:b/>
          <w:bCs/>
          <w:color w:val="auto"/>
          <w:spacing w:val="-5"/>
          <w:sz w:val="21"/>
          <w:szCs w:val="21"/>
          <w:highlight w:val="none"/>
        </w:rPr>
        <w:t>项目经理或总工在业绩中担任职务必须在</w:t>
      </w:r>
      <w:r>
        <w:rPr>
          <w:rFonts w:hint="eastAsia"/>
          <w:b/>
          <w:bCs/>
          <w:color w:val="auto"/>
          <w:sz w:val="21"/>
          <w:szCs w:val="21"/>
          <w:highlight w:val="none"/>
        </w:rPr>
        <w:t>2021年03月01日</w:t>
      </w:r>
      <w:r>
        <w:rPr>
          <w:b/>
          <w:bCs/>
          <w:color w:val="auto"/>
          <w:spacing w:val="-5"/>
          <w:sz w:val="21"/>
          <w:szCs w:val="21"/>
          <w:highlight w:val="none"/>
        </w:rPr>
        <w:t>之后，担任职务的时间在</w:t>
      </w:r>
      <w:r>
        <w:rPr>
          <w:rFonts w:hint="eastAsia"/>
          <w:b/>
          <w:bCs/>
          <w:color w:val="auto"/>
          <w:sz w:val="21"/>
          <w:szCs w:val="21"/>
          <w:highlight w:val="none"/>
        </w:rPr>
        <w:t>2021年03月01日</w:t>
      </w:r>
      <w:r>
        <w:rPr>
          <w:b/>
          <w:bCs/>
          <w:color w:val="auto"/>
          <w:spacing w:val="-5"/>
          <w:sz w:val="21"/>
          <w:szCs w:val="21"/>
          <w:highlight w:val="none"/>
        </w:rPr>
        <w:t>之前的不符合要求。</w:t>
      </w:r>
      <w:r>
        <w:rPr>
          <w:rFonts w:hint="eastAsia"/>
          <w:b/>
          <w:bCs/>
          <w:color w:val="auto"/>
          <w:spacing w:val="-5"/>
          <w:sz w:val="21"/>
          <w:szCs w:val="21"/>
          <w:highlight w:val="none"/>
        </w:rPr>
        <w:t>⑤</w:t>
      </w:r>
      <w:r>
        <w:rPr>
          <w:b/>
          <w:bCs/>
          <w:color w:val="auto"/>
          <w:spacing w:val="-5"/>
          <w:sz w:val="21"/>
          <w:szCs w:val="21"/>
          <w:highlight w:val="none"/>
        </w:rPr>
        <w:t>项目经理或总工业绩应按《公路工程竣（交）工验收办法》（交通部令2004 年第 3 号）及其相关实施细则的规定通过交工验收或竣工验收， 以通过交工验收的时间为准。</w:t>
      </w:r>
      <w:r>
        <w:rPr>
          <w:rFonts w:hint="eastAsia"/>
          <w:b/>
          <w:bCs/>
          <w:color w:val="auto"/>
          <w:spacing w:val="-5"/>
          <w:sz w:val="21"/>
          <w:szCs w:val="21"/>
          <w:highlight w:val="none"/>
        </w:rPr>
        <w:t>⑥“拟委任的项目经理和项目总工资历表 ”必须提供全国公路建设市场监督管理系 统（</w:t>
      </w:r>
      <w:r>
        <w:rPr>
          <w:color w:val="auto"/>
          <w:highlight w:val="none"/>
        </w:rPr>
        <w:fldChar w:fldCharType="begin"/>
      </w:r>
      <w:r>
        <w:rPr>
          <w:color w:val="auto"/>
          <w:highlight w:val="none"/>
        </w:rPr>
        <w:instrText xml:space="preserve"> HYPERLINK "https://hwdms.mot.gov.cn/BMWebSite" </w:instrText>
      </w:r>
      <w:r>
        <w:rPr>
          <w:color w:val="auto"/>
          <w:highlight w:val="none"/>
        </w:rPr>
        <w:fldChar w:fldCharType="separate"/>
      </w:r>
      <w:r>
        <w:rPr>
          <w:rFonts w:hint="eastAsia"/>
          <w:b/>
          <w:bCs/>
          <w:color w:val="auto"/>
          <w:spacing w:val="-5"/>
          <w:sz w:val="21"/>
          <w:szCs w:val="21"/>
          <w:highlight w:val="none"/>
        </w:rPr>
        <w:t>https://hwdms.mot.gov.cn/BMWebSite</w:t>
      </w:r>
      <w:r>
        <w:rPr>
          <w:rFonts w:hint="eastAsia"/>
          <w:b/>
          <w:bCs/>
          <w:color w:val="auto"/>
          <w:spacing w:val="-5"/>
          <w:sz w:val="21"/>
          <w:szCs w:val="21"/>
          <w:highlight w:val="none"/>
        </w:rPr>
        <w:fldChar w:fldCharType="end"/>
      </w:r>
      <w:r>
        <w:rPr>
          <w:rFonts w:hint="eastAsia"/>
          <w:b/>
          <w:bCs/>
          <w:color w:val="auto"/>
          <w:spacing w:val="-5"/>
          <w:sz w:val="21"/>
          <w:szCs w:val="21"/>
          <w:highlight w:val="none"/>
        </w:rPr>
        <w:t>）或公路养护作业单位资质管理模块（</w:t>
      </w:r>
      <w:r>
        <w:rPr>
          <w:color w:val="auto"/>
          <w:highlight w:val="none"/>
        </w:rPr>
        <w:fldChar w:fldCharType="begin"/>
      </w:r>
      <w:r>
        <w:rPr>
          <w:color w:val="auto"/>
          <w:highlight w:val="none"/>
        </w:rPr>
        <w:instrText xml:space="preserve"> HYPERLINK "https://hwdms.mot.gov.cn:6060/hmeq/portal/company" </w:instrText>
      </w:r>
      <w:r>
        <w:rPr>
          <w:color w:val="auto"/>
          <w:highlight w:val="none"/>
        </w:rPr>
        <w:fldChar w:fldCharType="separate"/>
      </w:r>
      <w:r>
        <w:rPr>
          <w:rFonts w:hint="eastAsia"/>
          <w:b/>
          <w:bCs/>
          <w:color w:val="auto"/>
          <w:spacing w:val="-5"/>
          <w:sz w:val="21"/>
          <w:szCs w:val="21"/>
          <w:highlight w:val="none"/>
        </w:rPr>
        <w:t>https://hwdms.mot.gov.cn:6060/hmeq/portal/company</w:t>
      </w:r>
      <w:r>
        <w:rPr>
          <w:rFonts w:hint="eastAsia"/>
          <w:b/>
          <w:bCs/>
          <w:color w:val="auto"/>
          <w:spacing w:val="-5"/>
          <w:sz w:val="21"/>
          <w:szCs w:val="21"/>
          <w:highlight w:val="none"/>
        </w:rPr>
        <w:fldChar w:fldCharType="end"/>
      </w:r>
      <w:r>
        <w:rPr>
          <w:rFonts w:hint="eastAsia"/>
          <w:b/>
          <w:bCs/>
          <w:color w:val="auto"/>
          <w:spacing w:val="-5"/>
          <w:sz w:val="21"/>
          <w:szCs w:val="21"/>
          <w:highlight w:val="none"/>
        </w:rPr>
        <w:t>） 中载明的、能够证明项目经理和项目总工具有相关业绩的网页截图、合同文件和交工（或竣工）验收证明材料。如</w:t>
      </w:r>
      <w:r>
        <w:rPr>
          <w:rFonts w:hint="eastAsia"/>
          <w:b/>
          <w:bCs/>
          <w:color w:val="auto"/>
          <w:spacing w:val="-5"/>
          <w:sz w:val="21"/>
          <w:szCs w:val="21"/>
          <w:highlight w:val="none"/>
          <w:lang w:eastAsia="zh-CN"/>
        </w:rPr>
        <w:t>供应商</w:t>
      </w:r>
      <w:r>
        <w:rPr>
          <w:rFonts w:hint="eastAsia"/>
          <w:b/>
          <w:bCs/>
          <w:color w:val="auto"/>
          <w:spacing w:val="-5"/>
          <w:sz w:val="21"/>
          <w:szCs w:val="21"/>
          <w:highlight w:val="none"/>
        </w:rPr>
        <w:t>未提供相关业绩的网页截图，或相关业绩网页截图、合同文件和交竣工验收证明材料无法证实供应商满足</w:t>
      </w:r>
      <w:r>
        <w:rPr>
          <w:rFonts w:hint="eastAsia"/>
          <w:b/>
          <w:bCs/>
          <w:color w:val="auto"/>
          <w:spacing w:val="-5"/>
          <w:sz w:val="21"/>
          <w:szCs w:val="21"/>
          <w:highlight w:val="none"/>
          <w:lang w:eastAsia="zh-CN"/>
        </w:rPr>
        <w:t>竞争性磋商文件</w:t>
      </w:r>
      <w:r>
        <w:rPr>
          <w:rFonts w:hint="eastAsia"/>
          <w:b/>
          <w:bCs/>
          <w:color w:val="auto"/>
          <w:spacing w:val="-5"/>
          <w:sz w:val="21"/>
          <w:szCs w:val="21"/>
          <w:highlight w:val="none"/>
        </w:rPr>
        <w:t>规定的审查条件（项目经理和项目总工最低要求），则该业绩不予认定。】</w:t>
      </w:r>
    </w:p>
    <w:p w14:paraId="1470506F">
      <w:pPr>
        <w:spacing w:line="360" w:lineRule="auto"/>
        <w:ind w:firstLine="422" w:firstLineChars="200"/>
        <w:rPr>
          <w:b/>
          <w:bCs/>
          <w:color w:val="auto"/>
          <w:sz w:val="21"/>
          <w:szCs w:val="21"/>
          <w:highlight w:val="none"/>
        </w:rPr>
      </w:pPr>
      <w:r>
        <w:rPr>
          <w:rFonts w:hint="eastAsia"/>
          <w:b/>
          <w:bCs/>
          <w:color w:val="auto"/>
          <w:sz w:val="21"/>
          <w:szCs w:val="21"/>
          <w:highlight w:val="none"/>
        </w:rPr>
        <w:t>4、履约信誉分</w:t>
      </w:r>
      <w:r>
        <w:rPr>
          <w:rFonts w:hint="eastAsia"/>
          <w:b/>
          <w:bCs/>
          <w:color w:val="auto"/>
          <w:highlight w:val="none"/>
        </w:rPr>
        <w:t>……………………………………………………………………………</w:t>
      </w:r>
      <w:r>
        <w:rPr>
          <w:rFonts w:hint="eastAsia"/>
          <w:b/>
          <w:bCs/>
          <w:color w:val="auto"/>
          <w:sz w:val="21"/>
          <w:szCs w:val="21"/>
          <w:highlight w:val="none"/>
        </w:rPr>
        <w:t>满分10分</w:t>
      </w:r>
    </w:p>
    <w:p w14:paraId="1A607143">
      <w:pPr>
        <w:wordWrap w:val="0"/>
        <w:spacing w:line="360" w:lineRule="auto"/>
        <w:ind w:firstLine="420" w:firstLineChars="200"/>
        <w:rPr>
          <w:color w:val="auto"/>
          <w:sz w:val="21"/>
          <w:szCs w:val="21"/>
          <w:highlight w:val="none"/>
        </w:rPr>
      </w:pPr>
      <w:bookmarkStart w:id="116" w:name="OLE_LINK117"/>
      <w:bookmarkStart w:id="117" w:name="OLE_LINK118"/>
      <w:r>
        <w:rPr>
          <w:rFonts w:hint="eastAsia"/>
          <w:color w:val="auto"/>
          <w:sz w:val="21"/>
          <w:szCs w:val="21"/>
          <w:highlight w:val="none"/>
        </w:rPr>
        <w:t>（1）无</w:t>
      </w:r>
      <w:bookmarkStart w:id="118" w:name="OLE_LINK32"/>
      <w:r>
        <w:rPr>
          <w:rFonts w:hint="eastAsia"/>
          <w:color w:val="auto"/>
          <w:sz w:val="21"/>
          <w:szCs w:val="21"/>
          <w:highlight w:val="none"/>
        </w:rPr>
        <w:t>不良信用记录</w:t>
      </w:r>
      <w:bookmarkEnd w:id="118"/>
      <w:r>
        <w:rPr>
          <w:rFonts w:hint="eastAsia"/>
          <w:color w:val="auto"/>
          <w:sz w:val="21"/>
          <w:szCs w:val="21"/>
          <w:highlight w:val="none"/>
        </w:rPr>
        <w:t>的得7分，在全国公路建设市场信用信息管理系统(http//glxy.mot.gov.cn)的不良行为记录中自2023年1月1日起（以对外公布时间为准）存在一项不良行为记录的扣1分（以评标期间核查为准），扣完7分为止。</w:t>
      </w:r>
    </w:p>
    <w:p w14:paraId="08B1BD00">
      <w:pPr>
        <w:spacing w:line="360" w:lineRule="auto"/>
        <w:ind w:firstLine="420" w:firstLineChars="200"/>
        <w:rPr>
          <w:color w:val="auto"/>
          <w:sz w:val="21"/>
          <w:szCs w:val="21"/>
          <w:highlight w:val="none"/>
        </w:rPr>
      </w:pPr>
      <w:r>
        <w:rPr>
          <w:rFonts w:hint="eastAsia"/>
          <w:color w:val="auto"/>
          <w:sz w:val="21"/>
          <w:szCs w:val="21"/>
          <w:highlight w:val="none"/>
        </w:rPr>
        <w:t>（2）以广西壮族自治区交通运输厅最新公布的广西公路养护工程施工企业信用评价等级评定（以磋商文件发布截止日期当日</w:t>
      </w:r>
      <w:r>
        <w:rPr>
          <w:rFonts w:hint="eastAsia"/>
          <w:color w:val="auto"/>
          <w:sz w:val="21"/>
          <w:szCs w:val="21"/>
          <w:highlight w:val="none"/>
          <w:u w:val="single"/>
        </w:rPr>
        <w:t>（2026年</w:t>
      </w:r>
      <w:r>
        <w:rPr>
          <w:rFonts w:hint="eastAsia"/>
          <w:color w:val="auto"/>
          <w:sz w:val="21"/>
          <w:szCs w:val="21"/>
          <w:highlight w:val="none"/>
          <w:u w:val="single"/>
          <w:lang w:val="en-US" w:eastAsia="zh-CN"/>
        </w:rPr>
        <w:t>6</w:t>
      </w:r>
      <w:r>
        <w:rPr>
          <w:rFonts w:hint="eastAsia"/>
          <w:color w:val="auto"/>
          <w:sz w:val="21"/>
          <w:szCs w:val="21"/>
          <w:highlight w:val="none"/>
          <w:u w:val="single"/>
        </w:rPr>
        <w:t>月</w:t>
      </w:r>
      <w:r>
        <w:rPr>
          <w:rFonts w:hint="eastAsia"/>
          <w:color w:val="auto"/>
          <w:sz w:val="21"/>
          <w:szCs w:val="21"/>
          <w:highlight w:val="none"/>
          <w:u w:val="single"/>
          <w:lang w:val="en-US" w:eastAsia="zh-CN"/>
        </w:rPr>
        <w:t>24</w:t>
      </w:r>
      <w:r>
        <w:rPr>
          <w:rFonts w:hint="eastAsia"/>
          <w:color w:val="auto"/>
          <w:sz w:val="21"/>
          <w:szCs w:val="21"/>
          <w:highlight w:val="none"/>
          <w:u w:val="single"/>
        </w:rPr>
        <w:t>日）</w:t>
      </w:r>
      <w:r>
        <w:rPr>
          <w:rFonts w:hint="eastAsia"/>
          <w:color w:val="auto"/>
          <w:sz w:val="21"/>
          <w:szCs w:val="21"/>
          <w:highlight w:val="none"/>
          <w:lang w:eastAsia="zh-CN"/>
        </w:rPr>
        <w:t>供应商</w:t>
      </w:r>
      <w:r>
        <w:rPr>
          <w:rFonts w:hint="eastAsia"/>
          <w:color w:val="auto"/>
          <w:sz w:val="21"/>
          <w:szCs w:val="21"/>
          <w:highlight w:val="none"/>
        </w:rPr>
        <w:t>所具备的信用等级）为准，获得广西公路养护工程施工企业信用评价等级“AA”级的得3分，“A”级的得2分，“B”级的得0.5分，“C”级的得0分。（1.施工企业初次进入广西公路养护工程市场时，其信用等级按照广西公路建设市场信用评价结果确定；2.施工企业初次进入广西公路养护工程市场时，无广西公路建设市场信用评价结果的，其信用等级按照全国综合评价结果确定；3.施工企业初次进入广西公路养护工程市场时，无广西公路建设市场评信用评价结果和全国综合评价结果的，其信用等级参照企业注册地省级综合评价结果确定，但施工单位信用等级最高为A级；4.施工企业初次进入广西公路养护工程市场时，无广西公路建设市场、全国和企业注册地省级综合评价结果的，无不良信用记录，按B级确定，若有不良信用记录，按C级确定）。</w:t>
      </w:r>
    </w:p>
    <w:bookmarkEnd w:id="116"/>
    <w:bookmarkEnd w:id="117"/>
    <w:p w14:paraId="177091CE">
      <w:pPr>
        <w:spacing w:line="360" w:lineRule="auto"/>
        <w:ind w:firstLine="422" w:firstLineChars="200"/>
        <w:rPr>
          <w:b/>
          <w:bCs/>
          <w:color w:val="auto"/>
          <w:sz w:val="21"/>
          <w:szCs w:val="21"/>
          <w:highlight w:val="none"/>
        </w:rPr>
      </w:pPr>
      <w:r>
        <w:rPr>
          <w:rFonts w:hint="eastAsia"/>
          <w:b/>
          <w:bCs/>
          <w:color w:val="auto"/>
          <w:sz w:val="21"/>
          <w:szCs w:val="21"/>
          <w:highlight w:val="none"/>
        </w:rPr>
        <w:t>5、</w:t>
      </w:r>
      <w:r>
        <w:rPr>
          <w:rFonts w:hint="eastAsia"/>
          <w:b/>
          <w:bCs/>
          <w:color w:val="auto"/>
          <w:sz w:val="21"/>
          <w:szCs w:val="21"/>
          <w:highlight w:val="none"/>
          <w:lang w:eastAsia="zh-CN"/>
        </w:rPr>
        <w:t>供应商</w:t>
      </w:r>
      <w:r>
        <w:rPr>
          <w:rFonts w:hint="eastAsia"/>
          <w:b/>
          <w:bCs/>
          <w:color w:val="auto"/>
          <w:sz w:val="21"/>
          <w:szCs w:val="21"/>
          <w:highlight w:val="none"/>
        </w:rPr>
        <w:t>业绩分</w:t>
      </w:r>
      <w:r>
        <w:rPr>
          <w:rFonts w:hint="eastAsia"/>
          <w:b/>
          <w:bCs/>
          <w:color w:val="auto"/>
          <w:highlight w:val="none"/>
        </w:rPr>
        <w:t>…………………………………………………………………………</w:t>
      </w:r>
      <w:r>
        <w:rPr>
          <w:rFonts w:hint="eastAsia"/>
          <w:b/>
          <w:bCs/>
          <w:color w:val="auto"/>
          <w:sz w:val="21"/>
          <w:szCs w:val="21"/>
          <w:highlight w:val="none"/>
        </w:rPr>
        <w:t>满分10分</w:t>
      </w:r>
    </w:p>
    <w:p w14:paraId="3E9CBB2D">
      <w:pPr>
        <w:spacing w:line="360" w:lineRule="auto"/>
        <w:ind w:firstLine="420" w:firstLineChars="200"/>
        <w:rPr>
          <w:color w:val="auto"/>
          <w:sz w:val="21"/>
          <w:szCs w:val="21"/>
          <w:highlight w:val="none"/>
        </w:rPr>
      </w:pPr>
      <w:bookmarkStart w:id="119" w:name="OLE_LINK119"/>
      <w:r>
        <w:rPr>
          <w:rFonts w:hint="eastAsia"/>
          <w:color w:val="auto"/>
          <w:sz w:val="21"/>
          <w:szCs w:val="21"/>
          <w:highlight w:val="none"/>
          <w:lang w:val="en-US" w:eastAsia="zh-CN"/>
        </w:rPr>
        <w:t>供应商</w:t>
      </w:r>
      <w:r>
        <w:rPr>
          <w:rFonts w:hint="eastAsia"/>
          <w:color w:val="auto"/>
          <w:sz w:val="21"/>
          <w:szCs w:val="21"/>
          <w:highlight w:val="none"/>
        </w:rPr>
        <w:t>在最近</w:t>
      </w:r>
      <w:r>
        <w:rPr>
          <w:color w:val="auto"/>
          <w:sz w:val="21"/>
          <w:szCs w:val="21"/>
          <w:highlight w:val="none"/>
        </w:rPr>
        <w:t>5</w:t>
      </w:r>
      <w:r>
        <w:rPr>
          <w:rFonts w:hint="eastAsia"/>
          <w:color w:val="auto"/>
          <w:sz w:val="21"/>
          <w:szCs w:val="21"/>
          <w:highlight w:val="none"/>
        </w:rPr>
        <w:t>年内（以项目交工验收时间为准，从</w:t>
      </w:r>
      <w:r>
        <w:rPr>
          <w:color w:val="auto"/>
          <w:sz w:val="21"/>
          <w:szCs w:val="21"/>
          <w:highlight w:val="none"/>
        </w:rPr>
        <w:t>202</w:t>
      </w:r>
      <w:r>
        <w:rPr>
          <w:rFonts w:hint="eastAsia"/>
          <w:color w:val="auto"/>
          <w:sz w:val="21"/>
          <w:szCs w:val="21"/>
          <w:highlight w:val="none"/>
        </w:rPr>
        <w:t>1年03月01日算起至今），按单个合同段</w:t>
      </w:r>
      <w:r>
        <w:rPr>
          <w:rFonts w:hint="eastAsia"/>
          <w:color w:val="auto"/>
          <w:sz w:val="21"/>
          <w:szCs w:val="21"/>
          <w:highlight w:val="none"/>
          <w:lang w:val="en-US" w:eastAsia="zh-CN"/>
        </w:rPr>
        <w:t>每</w:t>
      </w:r>
      <w:r>
        <w:rPr>
          <w:rFonts w:hint="eastAsia"/>
          <w:color w:val="auto"/>
          <w:sz w:val="21"/>
          <w:szCs w:val="21"/>
          <w:highlight w:val="none"/>
        </w:rPr>
        <w:t>完成过一个</w:t>
      </w:r>
      <w:r>
        <w:rPr>
          <w:rFonts w:hint="eastAsia"/>
          <w:b/>
          <w:bCs/>
          <w:color w:val="auto"/>
          <w:kern w:val="2"/>
          <w:sz w:val="21"/>
          <w:szCs w:val="21"/>
          <w:highlight w:val="none"/>
          <w:lang w:val="en-US" w:eastAsia="zh-CN"/>
        </w:rPr>
        <w:t>类似项目</w:t>
      </w:r>
      <w:r>
        <w:rPr>
          <w:rFonts w:hint="eastAsia"/>
          <w:color w:val="auto"/>
          <w:sz w:val="21"/>
          <w:szCs w:val="21"/>
          <w:highlight w:val="none"/>
        </w:rPr>
        <w:t>的得2分，满分10分。</w:t>
      </w:r>
    </w:p>
    <w:p w14:paraId="120B99A2">
      <w:pPr>
        <w:pStyle w:val="13"/>
        <w:spacing w:before="58" w:line="369" w:lineRule="auto"/>
        <w:ind w:right="38" w:firstLine="412"/>
        <w:jc w:val="both"/>
        <w:rPr>
          <w:rFonts w:asciiTheme="minorEastAsia" w:hAnsiTheme="minorEastAsia" w:eastAsiaTheme="minorEastAsia"/>
          <w:color w:val="auto"/>
          <w:highlight w:val="none"/>
        </w:rPr>
      </w:pPr>
      <w:r>
        <w:rPr>
          <w:color w:val="auto"/>
          <w:spacing w:val="-5"/>
          <w:highlight w:val="none"/>
        </w:rPr>
        <w:t>【注：①</w:t>
      </w:r>
      <w:r>
        <w:rPr>
          <w:color w:val="auto"/>
          <w:spacing w:val="-4"/>
          <w:highlight w:val="none"/>
        </w:rPr>
        <w:t>成功完成是指工程按交通运输部令2004年第3号《</w:t>
      </w:r>
      <w:r>
        <w:rPr>
          <w:color w:val="auto"/>
          <w:spacing w:val="-5"/>
          <w:highlight w:val="none"/>
        </w:rPr>
        <w:t>公路工程竣</w:t>
      </w:r>
      <w:r>
        <w:rPr>
          <w:color w:val="auto"/>
          <w:spacing w:val="-2"/>
          <w:highlight w:val="none"/>
        </w:rPr>
        <w:t>（交）工验收办法》及其相关实施细则的规定通过交工验收或竣工验收。</w:t>
      </w:r>
      <w:r>
        <w:rPr>
          <w:rFonts w:hint="eastAsia"/>
          <w:color w:val="auto"/>
          <w:spacing w:val="-5"/>
          <w:highlight w:val="none"/>
          <w:lang w:val="en-US" w:eastAsia="zh-CN"/>
        </w:rPr>
        <w:t>②</w:t>
      </w:r>
      <w:r>
        <w:rPr>
          <w:rFonts w:hint="eastAsia"/>
          <w:color w:val="auto"/>
          <w:spacing w:val="-5"/>
          <w:highlight w:val="none"/>
          <w:lang w:eastAsia="zh-CN"/>
        </w:rPr>
        <w:t>供应商</w:t>
      </w:r>
      <w:r>
        <w:rPr>
          <w:color w:val="auto"/>
          <w:spacing w:val="4"/>
          <w:highlight w:val="none"/>
        </w:rPr>
        <w:t>在</w:t>
      </w:r>
      <w:r>
        <w:rPr>
          <w:rFonts w:hint="eastAsia"/>
          <w:color w:val="auto"/>
          <w:spacing w:val="4"/>
          <w:highlight w:val="none"/>
        </w:rPr>
        <w:t>响应文件</w:t>
      </w:r>
      <w:r>
        <w:rPr>
          <w:color w:val="auto"/>
          <w:spacing w:val="4"/>
          <w:highlight w:val="none"/>
        </w:rPr>
        <w:t>中填报的业绩应当与其在交通运输主管部门公路建设市场</w:t>
      </w:r>
      <w:r>
        <w:rPr>
          <w:color w:val="auto"/>
          <w:highlight w:val="none"/>
        </w:rPr>
        <w:t>监督管理系统上填报并通过交通运输主管部门审核发布的相关信息一致,</w:t>
      </w:r>
      <w:r>
        <w:rPr>
          <w:color w:val="auto"/>
          <w:spacing w:val="-14"/>
          <w:highlight w:val="none"/>
        </w:rPr>
        <w:t>必须提供全国公路建设市场监督管理系统</w:t>
      </w:r>
      <w:r>
        <w:rPr>
          <w:color w:val="auto"/>
          <w:spacing w:val="-3"/>
          <w:highlight w:val="none"/>
        </w:rPr>
        <w:t>（</w:t>
      </w:r>
      <w:r>
        <w:rPr>
          <w:color w:val="auto"/>
          <w:highlight w:val="none"/>
        </w:rPr>
        <w:fldChar w:fldCharType="begin"/>
      </w:r>
      <w:r>
        <w:rPr>
          <w:color w:val="auto"/>
          <w:highlight w:val="none"/>
        </w:rPr>
        <w:instrText xml:space="preserve"> HYPERLINK "https://hwdms.mot.gov.cn/BMWebSite" </w:instrText>
      </w:r>
      <w:r>
        <w:rPr>
          <w:color w:val="auto"/>
          <w:highlight w:val="none"/>
        </w:rPr>
        <w:fldChar w:fldCharType="separate"/>
      </w:r>
      <w:r>
        <w:rPr>
          <w:color w:val="auto"/>
          <w:spacing w:val="-3"/>
          <w:highlight w:val="none"/>
        </w:rPr>
        <w:t>https://hwdms.mot.gov.cn/BMWebSite</w:t>
      </w:r>
      <w:r>
        <w:rPr>
          <w:color w:val="auto"/>
          <w:spacing w:val="-3"/>
          <w:highlight w:val="none"/>
        </w:rPr>
        <w:fldChar w:fldCharType="end"/>
      </w:r>
      <w:r>
        <w:rPr>
          <w:color w:val="auto"/>
          <w:spacing w:val="-3"/>
          <w:highlight w:val="none"/>
        </w:rPr>
        <w:t>）或公路养护作业单位资质管理</w:t>
      </w:r>
      <w:r>
        <w:rPr>
          <w:color w:val="auto"/>
          <w:highlight w:val="none"/>
        </w:rPr>
        <w:t>模块（</w:t>
      </w:r>
      <w:r>
        <w:rPr>
          <w:color w:val="auto"/>
          <w:highlight w:val="none"/>
        </w:rPr>
        <w:fldChar w:fldCharType="begin"/>
      </w:r>
      <w:r>
        <w:rPr>
          <w:color w:val="auto"/>
          <w:highlight w:val="none"/>
        </w:rPr>
        <w:instrText xml:space="preserve"> HYPERLINK "https://hwdms.mot.gov.cn:" </w:instrText>
      </w:r>
      <w:r>
        <w:rPr>
          <w:color w:val="auto"/>
          <w:highlight w:val="none"/>
        </w:rPr>
        <w:fldChar w:fldCharType="separate"/>
      </w:r>
      <w:r>
        <w:rPr>
          <w:color w:val="auto"/>
          <w:highlight w:val="none"/>
        </w:rPr>
        <w:t>https://hwdms.mot.gov.cn:</w:t>
      </w:r>
      <w:r>
        <w:rPr>
          <w:color w:val="auto"/>
          <w:highlight w:val="none"/>
        </w:rPr>
        <w:fldChar w:fldCharType="end"/>
      </w:r>
      <w:r>
        <w:rPr>
          <w:color w:val="auto"/>
          <w:highlight w:val="none"/>
        </w:rPr>
        <w:t>6060/hmeq/portal/company）查</w:t>
      </w:r>
      <w:r>
        <w:rPr>
          <w:color w:val="auto"/>
          <w:spacing w:val="-1"/>
          <w:highlight w:val="none"/>
        </w:rPr>
        <w:t>询到</w:t>
      </w:r>
      <w:r>
        <w:rPr>
          <w:color w:val="auto"/>
          <w:spacing w:val="-6"/>
          <w:highlight w:val="none"/>
        </w:rPr>
        <w:t>的企业“业绩信息”相关项目网页截图、合同文件和交工（或竣工）验收</w:t>
      </w:r>
      <w:r>
        <w:rPr>
          <w:color w:val="auto"/>
          <w:spacing w:val="1"/>
          <w:highlight w:val="none"/>
        </w:rPr>
        <w:t>证明材料。除“全国公路建设市场监督管理系统”相关项目网页截图、</w:t>
      </w:r>
      <w:r>
        <w:rPr>
          <w:color w:val="auto"/>
          <w:spacing w:val="-5"/>
          <w:highlight w:val="none"/>
        </w:rPr>
        <w:t>合同文件和交竣工验收证明材料外，</w:t>
      </w:r>
      <w:r>
        <w:rPr>
          <w:rFonts w:hint="eastAsia"/>
          <w:color w:val="auto"/>
          <w:spacing w:val="-5"/>
          <w:highlight w:val="none"/>
          <w:lang w:eastAsia="zh-CN"/>
        </w:rPr>
        <w:t>供应商</w:t>
      </w:r>
      <w:r>
        <w:rPr>
          <w:color w:val="auto"/>
          <w:spacing w:val="-5"/>
          <w:highlight w:val="none"/>
        </w:rPr>
        <w:t>无需再提供其他任何业绩证明材料。如</w:t>
      </w:r>
      <w:r>
        <w:rPr>
          <w:rFonts w:hint="eastAsia"/>
          <w:color w:val="auto"/>
          <w:spacing w:val="-5"/>
          <w:highlight w:val="none"/>
          <w:lang w:eastAsia="zh-CN"/>
        </w:rPr>
        <w:t>供应商</w:t>
      </w:r>
      <w:r>
        <w:rPr>
          <w:color w:val="auto"/>
          <w:spacing w:val="-5"/>
          <w:highlight w:val="none"/>
        </w:rPr>
        <w:t>未提供相关项目网页截图，或相关项目网页截图、合同文</w:t>
      </w:r>
      <w:r>
        <w:rPr>
          <w:color w:val="auto"/>
          <w:spacing w:val="4"/>
          <w:highlight w:val="none"/>
        </w:rPr>
        <w:t>件和交竣工验收证明材料中的信息无法证实</w:t>
      </w:r>
      <w:r>
        <w:rPr>
          <w:rFonts w:hint="eastAsia"/>
          <w:color w:val="auto"/>
          <w:spacing w:val="4"/>
          <w:highlight w:val="none"/>
          <w:lang w:eastAsia="zh-CN"/>
        </w:rPr>
        <w:t>供应商</w:t>
      </w:r>
      <w:r>
        <w:rPr>
          <w:color w:val="auto"/>
          <w:spacing w:val="4"/>
          <w:highlight w:val="none"/>
        </w:rPr>
        <w:t>满足</w:t>
      </w:r>
      <w:r>
        <w:rPr>
          <w:rFonts w:hint="eastAsia"/>
          <w:color w:val="auto"/>
          <w:spacing w:val="4"/>
          <w:highlight w:val="none"/>
          <w:lang w:eastAsia="zh-CN"/>
        </w:rPr>
        <w:t>竞争性磋商文件</w:t>
      </w:r>
      <w:r>
        <w:rPr>
          <w:color w:val="auto"/>
          <w:spacing w:val="4"/>
          <w:highlight w:val="none"/>
        </w:rPr>
        <w:t>规定的</w:t>
      </w:r>
      <w:r>
        <w:rPr>
          <w:rFonts w:hint="eastAsia"/>
          <w:color w:val="auto"/>
          <w:spacing w:val="-2"/>
          <w:highlight w:val="none"/>
          <w:lang w:eastAsia="zh-CN"/>
        </w:rPr>
        <w:t>审查条件</w:t>
      </w:r>
      <w:r>
        <w:rPr>
          <w:color w:val="auto"/>
          <w:spacing w:val="14"/>
          <w:highlight w:val="none"/>
        </w:rPr>
        <w:t>，</w:t>
      </w:r>
      <w:r>
        <w:rPr>
          <w:color w:val="auto"/>
          <w:spacing w:val="-2"/>
          <w:highlight w:val="none"/>
        </w:rPr>
        <w:t>则该项目业绩不予认定。】</w:t>
      </w:r>
    </w:p>
    <w:bookmarkEnd w:id="119"/>
    <w:p w14:paraId="7CAA4BBF">
      <w:pPr>
        <w:spacing w:line="360" w:lineRule="auto"/>
        <w:ind w:firstLine="422" w:firstLineChars="200"/>
        <w:rPr>
          <w:b/>
          <w:bCs/>
          <w:color w:val="auto"/>
          <w:sz w:val="21"/>
          <w:szCs w:val="21"/>
          <w:highlight w:val="none"/>
        </w:rPr>
      </w:pPr>
      <w:r>
        <w:rPr>
          <w:rFonts w:hint="eastAsia"/>
          <w:b/>
          <w:bCs/>
          <w:color w:val="auto"/>
          <w:sz w:val="21"/>
          <w:szCs w:val="21"/>
          <w:highlight w:val="none"/>
        </w:rPr>
        <w:t>6、综合得分＝1+2+3+4+5</w:t>
      </w:r>
    </w:p>
    <w:p w14:paraId="6889822D">
      <w:pPr>
        <w:spacing w:line="360" w:lineRule="auto"/>
        <w:ind w:firstLine="422" w:firstLineChars="200"/>
        <w:rPr>
          <w:b/>
          <w:bCs/>
          <w:color w:val="auto"/>
          <w:sz w:val="21"/>
          <w:szCs w:val="21"/>
          <w:highlight w:val="none"/>
        </w:rPr>
      </w:pPr>
      <w:r>
        <w:rPr>
          <w:rFonts w:hint="eastAsia"/>
          <w:b/>
          <w:bCs/>
          <w:color w:val="auto"/>
          <w:sz w:val="21"/>
          <w:szCs w:val="21"/>
          <w:highlight w:val="none"/>
        </w:rPr>
        <w:t>三、推荐及确定成交候选供应商原则</w:t>
      </w:r>
    </w:p>
    <w:p w14:paraId="1C27235C">
      <w:pPr>
        <w:spacing w:line="360" w:lineRule="auto"/>
        <w:ind w:firstLine="420" w:firstLineChars="200"/>
        <w:rPr>
          <w:color w:val="auto"/>
          <w:sz w:val="21"/>
          <w:szCs w:val="21"/>
          <w:highlight w:val="none"/>
        </w:rPr>
      </w:pPr>
      <w:r>
        <w:rPr>
          <w:rFonts w:hint="eastAsia"/>
          <w:color w:val="auto"/>
          <w:sz w:val="21"/>
          <w:szCs w:val="21"/>
          <w:highlight w:val="none"/>
        </w:rPr>
        <w:t>（1）磋商小组应当根据综合得分情况，按照综合得分由高到低顺序推荐三名成交候选供应商，并编写评审报告。磋商小组根据综合得分由高到低排列次序；综合评分相等时，以最后一次报价低的优先；投标报价也相等的，采购人可采用被招标项目所在地省级交通主管部门评为较高信用等级的</w:t>
      </w:r>
      <w:r>
        <w:rPr>
          <w:rFonts w:hint="eastAsia"/>
          <w:color w:val="auto"/>
          <w:sz w:val="21"/>
          <w:szCs w:val="21"/>
          <w:highlight w:val="none"/>
          <w:lang w:eastAsia="zh-CN"/>
        </w:rPr>
        <w:t>供应商</w:t>
      </w:r>
      <w:r>
        <w:rPr>
          <w:rFonts w:hint="eastAsia"/>
          <w:color w:val="auto"/>
          <w:sz w:val="21"/>
          <w:szCs w:val="21"/>
          <w:highlight w:val="none"/>
        </w:rPr>
        <w:t>优先或其他方法确定第一成交候选人。</w:t>
      </w:r>
    </w:p>
    <w:p w14:paraId="7AEA1C26">
      <w:pPr>
        <w:spacing w:line="360" w:lineRule="auto"/>
        <w:ind w:firstLine="420" w:firstLineChars="200"/>
        <w:rPr>
          <w:color w:val="auto"/>
          <w:sz w:val="21"/>
          <w:szCs w:val="21"/>
          <w:highlight w:val="none"/>
        </w:rPr>
      </w:pPr>
      <w:r>
        <w:rPr>
          <w:rFonts w:hint="eastAsia"/>
          <w:color w:val="auto"/>
          <w:sz w:val="21"/>
          <w:szCs w:val="21"/>
          <w:highlight w:val="none"/>
        </w:rPr>
        <w:t>（2）</w:t>
      </w:r>
      <w:bookmarkStart w:id="120" w:name="OLE_LINK40"/>
      <w:bookmarkStart w:id="121" w:name="OLE_LINK39"/>
      <w:r>
        <w:rPr>
          <w:rFonts w:hint="eastAsia"/>
          <w:b/>
          <w:bCs/>
          <w:color w:val="auto"/>
          <w:sz w:val="21"/>
          <w:szCs w:val="21"/>
          <w:highlight w:val="none"/>
        </w:rPr>
        <w:t>本项目确定一名成交供应商。由采购人依法确定成交供应商。</w:t>
      </w:r>
      <w:bookmarkEnd w:id="120"/>
      <w:bookmarkEnd w:id="121"/>
    </w:p>
    <w:p w14:paraId="287BB7D8">
      <w:pPr>
        <w:tabs>
          <w:tab w:val="left" w:pos="1305"/>
        </w:tabs>
        <w:spacing w:line="360" w:lineRule="auto"/>
        <w:ind w:firstLine="420" w:firstLineChars="200"/>
        <w:rPr>
          <w:color w:val="auto"/>
          <w:sz w:val="21"/>
          <w:szCs w:val="21"/>
          <w:highlight w:val="none"/>
        </w:rPr>
      </w:pPr>
      <w:r>
        <w:rPr>
          <w:rFonts w:hint="eastAsia"/>
          <w:color w:val="auto"/>
          <w:sz w:val="21"/>
          <w:szCs w:val="21"/>
          <w:highlight w:val="none"/>
        </w:rPr>
        <w:t>（3）排名第一的成交候选供应商放弃成交、因不可抗力提出不能履行合同，或者竞争性磋商采购文件规定应当提交履约保证金而在规定的期限内未能提交的，采购人可以按照评审报告推荐的成交候选供应商名单排序，确定下一候选供应商为成交供应商，也可以重新开展政府采购活动。</w:t>
      </w:r>
    </w:p>
    <w:p w14:paraId="5319DEB7">
      <w:pPr>
        <w:tabs>
          <w:tab w:val="left" w:pos="1305"/>
        </w:tabs>
        <w:spacing w:line="360" w:lineRule="auto"/>
        <w:ind w:firstLine="420" w:firstLineChars="200"/>
        <w:rPr>
          <w:color w:val="auto"/>
          <w:sz w:val="21"/>
          <w:szCs w:val="21"/>
          <w:highlight w:val="none"/>
        </w:rPr>
      </w:pPr>
      <w:r>
        <w:rPr>
          <w:rFonts w:hint="eastAsia"/>
          <w:color w:val="auto"/>
          <w:sz w:val="21"/>
          <w:szCs w:val="21"/>
          <w:highlight w:val="none"/>
        </w:rPr>
        <w:t>（4）</w:t>
      </w:r>
      <w:bookmarkStart w:id="122" w:name="OLE_LINK41"/>
      <w:bookmarkStart w:id="123" w:name="OLE_LINK42"/>
      <w:r>
        <w:rPr>
          <w:rFonts w:hint="eastAsia"/>
          <w:color w:val="auto"/>
          <w:sz w:val="21"/>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bookmarkEnd w:id="98"/>
    <w:bookmarkEnd w:id="99"/>
    <w:bookmarkEnd w:id="122"/>
    <w:bookmarkEnd w:id="123"/>
    <w:p w14:paraId="78FC5A31">
      <w:pPr>
        <w:spacing w:line="360" w:lineRule="auto"/>
        <w:ind w:firstLine="422"/>
        <w:rPr>
          <w:color w:val="auto"/>
          <w:sz w:val="21"/>
          <w:szCs w:val="21"/>
          <w:highlight w:val="none"/>
        </w:rPr>
        <w:sectPr>
          <w:footerReference r:id="rId6" w:type="default"/>
          <w:pgSz w:w="11911" w:h="16849"/>
          <w:pgMar w:top="1417" w:right="1417" w:bottom="1417" w:left="1417" w:header="720" w:footer="720" w:gutter="0"/>
          <w:cols w:space="0" w:num="1"/>
          <w:rtlGutter w:val="0"/>
          <w:docGrid w:linePitch="0" w:charSpace="0"/>
        </w:sectPr>
      </w:pPr>
    </w:p>
    <w:p w14:paraId="0CEE411B">
      <w:pPr>
        <w:pStyle w:val="2"/>
        <w:numPr>
          <w:ilvl w:val="0"/>
          <w:numId w:val="2"/>
        </w:numPr>
        <w:spacing w:before="35"/>
        <w:ind w:right="320" w:firstLine="723"/>
        <w:jc w:val="center"/>
        <w:rPr>
          <w:color w:val="auto"/>
          <w:sz w:val="36"/>
          <w:szCs w:val="36"/>
          <w:highlight w:val="none"/>
        </w:rPr>
      </w:pPr>
      <w:bookmarkStart w:id="124" w:name="第五章__政府采购合同（合同主要条款及格式）"/>
      <w:bookmarkEnd w:id="124"/>
      <w:bookmarkStart w:id="125" w:name="_Toc23683"/>
      <w:r>
        <w:rPr>
          <w:color w:val="auto"/>
          <w:sz w:val="36"/>
          <w:szCs w:val="36"/>
          <w:highlight w:val="none"/>
        </w:rPr>
        <w:t>合同条款及格式</w:t>
      </w:r>
      <w:bookmarkEnd w:id="125"/>
    </w:p>
    <w:p w14:paraId="0F4C2596">
      <w:pPr>
        <w:pStyle w:val="13"/>
        <w:spacing w:before="12"/>
        <w:ind w:firstLine="280"/>
        <w:rPr>
          <w:b/>
          <w:color w:val="auto"/>
          <w:sz w:val="14"/>
          <w:highlight w:val="none"/>
        </w:rPr>
      </w:pPr>
    </w:p>
    <w:p w14:paraId="0B76513B">
      <w:pPr>
        <w:spacing w:before="54"/>
        <w:ind w:left="118" w:right="235" w:firstLine="643"/>
        <w:jc w:val="center"/>
        <w:rPr>
          <w:b/>
          <w:color w:val="auto"/>
          <w:sz w:val="32"/>
          <w:highlight w:val="none"/>
        </w:rPr>
      </w:pPr>
      <w:bookmarkStart w:id="126" w:name="第一节__通用合同条款"/>
      <w:bookmarkEnd w:id="126"/>
      <w:bookmarkStart w:id="127" w:name="bookmark207"/>
      <w:bookmarkEnd w:id="127"/>
    </w:p>
    <w:p w14:paraId="3FC36DD8">
      <w:pPr>
        <w:spacing w:before="54"/>
        <w:ind w:left="118" w:right="235" w:firstLine="643"/>
        <w:jc w:val="center"/>
        <w:rPr>
          <w:b/>
          <w:color w:val="auto"/>
          <w:sz w:val="32"/>
          <w:highlight w:val="none"/>
        </w:rPr>
      </w:pPr>
    </w:p>
    <w:p w14:paraId="656E0A99">
      <w:pPr>
        <w:spacing w:before="54"/>
        <w:ind w:left="118" w:right="235" w:firstLine="643"/>
        <w:jc w:val="center"/>
        <w:rPr>
          <w:b/>
          <w:color w:val="auto"/>
          <w:sz w:val="32"/>
          <w:highlight w:val="none"/>
        </w:rPr>
      </w:pPr>
      <w:r>
        <w:rPr>
          <w:b/>
          <w:color w:val="auto"/>
          <w:sz w:val="32"/>
          <w:highlight w:val="none"/>
        </w:rPr>
        <w:t>第一节通用合同条款</w:t>
      </w:r>
    </w:p>
    <w:p w14:paraId="301B84D4">
      <w:pPr>
        <w:pStyle w:val="13"/>
        <w:ind w:firstLine="643"/>
        <w:rPr>
          <w:b/>
          <w:color w:val="auto"/>
          <w:sz w:val="32"/>
          <w:highlight w:val="none"/>
        </w:rPr>
      </w:pPr>
    </w:p>
    <w:p w14:paraId="4DC540DD">
      <w:pPr>
        <w:pStyle w:val="13"/>
        <w:spacing w:before="2"/>
        <w:ind w:firstLine="582"/>
        <w:rPr>
          <w:b/>
          <w:color w:val="auto"/>
          <w:sz w:val="29"/>
          <w:highlight w:val="none"/>
        </w:rPr>
      </w:pPr>
    </w:p>
    <w:p w14:paraId="5AA38383">
      <w:pPr>
        <w:tabs>
          <w:tab w:val="left" w:pos="0"/>
        </w:tabs>
        <w:ind w:firstLine="482"/>
        <w:rPr>
          <w:color w:val="auto"/>
          <w:sz w:val="24"/>
          <w:szCs w:val="24"/>
          <w:highlight w:val="none"/>
        </w:rPr>
      </w:pPr>
      <w:r>
        <w:rPr>
          <w:rFonts w:hint="eastAsia"/>
          <w:color w:val="auto"/>
          <w:sz w:val="24"/>
          <w:szCs w:val="24"/>
          <w:highlight w:val="none"/>
        </w:rPr>
        <w:t>本项目“通用合同条款”采用《交通运输部办公厅关于印发《公路养护项目合同范本》的通知》（交办公路函〔2025〕1819号）中</w:t>
      </w:r>
      <w:r>
        <w:rPr>
          <w:rFonts w:hint="eastAsia"/>
          <w:color w:val="auto"/>
          <w:kern w:val="44"/>
          <w:sz w:val="24"/>
          <w:szCs w:val="24"/>
          <w:highlight w:val="none"/>
        </w:rPr>
        <w:t>合同通用条款，清单计量规则、</w:t>
      </w:r>
      <w:r>
        <w:rPr>
          <w:rFonts w:hint="eastAsia"/>
          <w:color w:val="auto"/>
          <w:spacing w:val="-3"/>
          <w:sz w:val="24"/>
          <w:szCs w:val="24"/>
          <w:highlight w:val="none"/>
        </w:rPr>
        <w:t>养护绩效管理规则</w:t>
      </w:r>
      <w:r>
        <w:rPr>
          <w:rFonts w:hint="eastAsia"/>
          <w:color w:val="auto"/>
          <w:kern w:val="44"/>
          <w:sz w:val="24"/>
          <w:szCs w:val="24"/>
          <w:highlight w:val="none"/>
        </w:rPr>
        <w:t>和技术规范除专用合同条款另有约定外，均按</w:t>
      </w:r>
      <w:r>
        <w:rPr>
          <w:rFonts w:hint="eastAsia"/>
          <w:color w:val="auto"/>
          <w:sz w:val="24"/>
          <w:szCs w:val="24"/>
          <w:highlight w:val="none"/>
        </w:rPr>
        <w:t>《公路养护项目合同范本》中所列内容执行并作为本项目合同组成部分，本招标文件不再单独列出，《公路养护项目合同范本》中所列内容有不完善之处以中华人民共和国交通运输部《公路工程标准施工招标文件》（2018年版）相关内容为准。</w:t>
      </w:r>
    </w:p>
    <w:p w14:paraId="0BC2BACF">
      <w:pPr>
        <w:spacing w:line="436" w:lineRule="auto"/>
        <w:ind w:firstLine="420"/>
        <w:rPr>
          <w:color w:val="auto"/>
          <w:highlight w:val="none"/>
        </w:rPr>
        <w:sectPr>
          <w:headerReference r:id="rId7" w:type="default"/>
          <w:footerReference r:id="rId8" w:type="default"/>
          <w:pgSz w:w="11911" w:h="16849"/>
          <w:pgMar w:top="1417" w:right="1417" w:bottom="1417" w:left="1417" w:header="720" w:footer="720" w:gutter="0"/>
          <w:cols w:space="0" w:num="1"/>
          <w:rtlGutter w:val="0"/>
          <w:docGrid w:linePitch="0" w:charSpace="0"/>
        </w:sectPr>
      </w:pPr>
    </w:p>
    <w:p w14:paraId="0BD1F2F3">
      <w:pPr>
        <w:pStyle w:val="13"/>
        <w:spacing w:before="6"/>
        <w:ind w:firstLine="281"/>
        <w:rPr>
          <w:b/>
          <w:color w:val="auto"/>
          <w:sz w:val="14"/>
          <w:highlight w:val="none"/>
        </w:rPr>
      </w:pPr>
    </w:p>
    <w:p w14:paraId="1326B747">
      <w:pPr>
        <w:spacing w:before="54"/>
        <w:ind w:left="118" w:right="235" w:firstLine="643"/>
        <w:jc w:val="center"/>
        <w:rPr>
          <w:b/>
          <w:color w:val="auto"/>
          <w:sz w:val="32"/>
          <w:highlight w:val="none"/>
        </w:rPr>
      </w:pPr>
      <w:r>
        <w:rPr>
          <w:b/>
          <w:color w:val="auto"/>
          <w:sz w:val="32"/>
          <w:highlight w:val="none"/>
        </w:rPr>
        <w:t>第二节专用合同条款</w:t>
      </w:r>
    </w:p>
    <w:p w14:paraId="2B0BEE78">
      <w:pPr>
        <w:pStyle w:val="13"/>
        <w:ind w:firstLine="402"/>
        <w:rPr>
          <w:b/>
          <w:color w:val="auto"/>
          <w:sz w:val="20"/>
          <w:highlight w:val="none"/>
        </w:rPr>
      </w:pPr>
    </w:p>
    <w:p w14:paraId="7F549AA3">
      <w:pPr>
        <w:pStyle w:val="13"/>
        <w:ind w:firstLine="402"/>
        <w:rPr>
          <w:b/>
          <w:color w:val="auto"/>
          <w:sz w:val="20"/>
          <w:highlight w:val="none"/>
        </w:rPr>
      </w:pPr>
      <w:r>
        <w:rPr>
          <w:rFonts w:hint="eastAsia"/>
          <w:b/>
          <w:color w:val="auto"/>
          <w:sz w:val="20"/>
          <w:highlight w:val="none"/>
        </w:rPr>
        <w:t>说明</w:t>
      </w:r>
    </w:p>
    <w:p w14:paraId="285E64C4">
      <w:pPr>
        <w:pStyle w:val="13"/>
        <w:ind w:firstLine="361"/>
        <w:rPr>
          <w:b/>
          <w:color w:val="auto"/>
          <w:sz w:val="18"/>
          <w:highlight w:val="none"/>
        </w:rPr>
      </w:pPr>
    </w:p>
    <w:p w14:paraId="27884C94">
      <w:pPr>
        <w:tabs>
          <w:tab w:val="left" w:pos="0"/>
        </w:tabs>
        <w:autoSpaceDE/>
        <w:autoSpaceDN/>
        <w:spacing w:line="360" w:lineRule="auto"/>
        <w:ind w:firstLine="482"/>
        <w:rPr>
          <w:color w:val="auto"/>
          <w:sz w:val="24"/>
          <w:szCs w:val="24"/>
          <w:highlight w:val="none"/>
        </w:rPr>
      </w:pPr>
      <w:r>
        <w:rPr>
          <w:rFonts w:hint="eastAsia"/>
          <w:color w:val="auto"/>
          <w:sz w:val="24"/>
          <w:szCs w:val="24"/>
          <w:highlight w:val="none"/>
        </w:rPr>
        <w:t>1.发包人在编制“专用合同条款 ”时，“通用合同条款 ”内容宜不加修改地直接引用，“专用合同条款 ”可以根据项目的具体特点和实际需要，对“通用合同条款 ”进行补充、修改或约定。发包人补充、修改或约定的内容，不得违反法律、行政法规的强制性规定和平等、 自愿、公平、诚实信用原则。</w:t>
      </w:r>
    </w:p>
    <w:p w14:paraId="19674639">
      <w:pPr>
        <w:tabs>
          <w:tab w:val="left" w:pos="0"/>
        </w:tabs>
        <w:autoSpaceDE/>
        <w:autoSpaceDN/>
        <w:spacing w:line="360" w:lineRule="auto"/>
        <w:ind w:firstLine="482"/>
        <w:rPr>
          <w:color w:val="auto"/>
          <w:sz w:val="24"/>
          <w:szCs w:val="24"/>
          <w:highlight w:val="none"/>
        </w:rPr>
      </w:pPr>
      <w:r>
        <w:rPr>
          <w:rFonts w:hint="eastAsia"/>
          <w:color w:val="auto"/>
          <w:sz w:val="24"/>
          <w:szCs w:val="24"/>
          <w:highlight w:val="none"/>
        </w:rPr>
        <w:t>2.专用合同条款的编号应与通用合同条款编号一致。</w:t>
      </w:r>
    </w:p>
    <w:p w14:paraId="46F6EF28">
      <w:pPr>
        <w:tabs>
          <w:tab w:val="left" w:pos="0"/>
        </w:tabs>
        <w:autoSpaceDE/>
        <w:autoSpaceDN/>
        <w:spacing w:line="360" w:lineRule="auto"/>
        <w:ind w:firstLine="482"/>
        <w:rPr>
          <w:color w:val="auto"/>
          <w:sz w:val="24"/>
          <w:szCs w:val="24"/>
          <w:highlight w:val="none"/>
        </w:rPr>
      </w:pPr>
      <w:r>
        <w:rPr>
          <w:rFonts w:hint="eastAsia"/>
          <w:color w:val="auto"/>
          <w:sz w:val="24"/>
          <w:szCs w:val="24"/>
          <w:highlight w:val="none"/>
        </w:rPr>
        <w:t>3.专用合同条款可对下列内容进行补充和细化：</w:t>
      </w:r>
    </w:p>
    <w:p w14:paraId="5B324DA7">
      <w:pPr>
        <w:tabs>
          <w:tab w:val="left" w:pos="0"/>
        </w:tabs>
        <w:autoSpaceDE/>
        <w:autoSpaceDN/>
        <w:spacing w:line="360" w:lineRule="auto"/>
        <w:ind w:firstLine="482"/>
        <w:rPr>
          <w:color w:val="auto"/>
          <w:sz w:val="24"/>
          <w:szCs w:val="24"/>
          <w:highlight w:val="none"/>
        </w:rPr>
      </w:pPr>
      <w:r>
        <w:rPr>
          <w:rFonts w:hint="eastAsia"/>
          <w:color w:val="auto"/>
          <w:sz w:val="24"/>
          <w:szCs w:val="24"/>
          <w:highlight w:val="none"/>
        </w:rPr>
        <w:t>（1）“通用合同条款 ”中明确指出“专用合同条款 ”可对“通用合同条款 ”进行修改的内容（在“通用合同条款 ”中用“应按合同约定 ”“应按专用合同条款约定 ”“除合同另有约定外 ”“除专用合同条款另有约定外 ”“在专用合同条款中约定 ”等多种文字形式表达）；</w:t>
      </w:r>
    </w:p>
    <w:p w14:paraId="234B15B9">
      <w:pPr>
        <w:tabs>
          <w:tab w:val="left" w:pos="0"/>
        </w:tabs>
        <w:autoSpaceDE/>
        <w:autoSpaceDN/>
        <w:spacing w:line="360" w:lineRule="auto"/>
        <w:ind w:firstLine="482"/>
        <w:rPr>
          <w:color w:val="auto"/>
          <w:sz w:val="24"/>
          <w:szCs w:val="24"/>
          <w:highlight w:val="none"/>
        </w:rPr>
      </w:pPr>
      <w:r>
        <w:rPr>
          <w:rFonts w:hint="eastAsia"/>
          <w:color w:val="auto"/>
          <w:sz w:val="24"/>
          <w:szCs w:val="24"/>
          <w:highlight w:val="none"/>
        </w:rPr>
        <w:t>（2）其他需要补充、细化的内容。</w:t>
      </w:r>
    </w:p>
    <w:p w14:paraId="408F137E">
      <w:pPr>
        <w:pStyle w:val="13"/>
        <w:ind w:firstLine="402"/>
        <w:rPr>
          <w:b/>
          <w:color w:val="auto"/>
          <w:sz w:val="20"/>
          <w:highlight w:val="none"/>
        </w:rPr>
      </w:pPr>
    </w:p>
    <w:p w14:paraId="5FEDEE77">
      <w:pPr>
        <w:pStyle w:val="13"/>
        <w:spacing w:before="1"/>
        <w:ind w:firstLine="341"/>
        <w:rPr>
          <w:b/>
          <w:color w:val="auto"/>
          <w:sz w:val="17"/>
          <w:highlight w:val="none"/>
        </w:rPr>
      </w:pPr>
    </w:p>
    <w:p w14:paraId="2E75CE01">
      <w:pPr>
        <w:rPr>
          <w:color w:val="auto"/>
          <w:sz w:val="24"/>
          <w:szCs w:val="24"/>
          <w:highlight w:val="none"/>
        </w:rPr>
      </w:pPr>
      <w:r>
        <w:rPr>
          <w:rFonts w:hint="eastAsia"/>
          <w:color w:val="auto"/>
          <w:sz w:val="24"/>
          <w:szCs w:val="24"/>
          <w:highlight w:val="none"/>
        </w:rPr>
        <w:br w:type="page"/>
      </w:r>
    </w:p>
    <w:p w14:paraId="30DA0B58">
      <w:pPr>
        <w:spacing w:before="64" w:line="360" w:lineRule="auto"/>
        <w:ind w:left="2960" w:firstLine="480"/>
        <w:rPr>
          <w:color w:val="auto"/>
          <w:sz w:val="24"/>
          <w:szCs w:val="24"/>
          <w:highlight w:val="none"/>
        </w:rPr>
      </w:pPr>
      <w:r>
        <w:rPr>
          <w:rFonts w:hint="eastAsia"/>
          <w:color w:val="auto"/>
          <w:sz w:val="24"/>
          <w:szCs w:val="24"/>
          <w:highlight w:val="none"/>
        </w:rPr>
        <w:t>项目专用合同条款数据表</w:t>
      </w:r>
    </w:p>
    <w:p w14:paraId="24C803F1">
      <w:pPr>
        <w:spacing w:before="83" w:line="360" w:lineRule="auto"/>
        <w:ind w:left="33" w:right="110" w:firstLine="420"/>
        <w:jc w:val="both"/>
        <w:rPr>
          <w:color w:val="auto"/>
          <w:sz w:val="21"/>
          <w:szCs w:val="21"/>
          <w:highlight w:val="none"/>
        </w:rPr>
      </w:pPr>
      <w:r>
        <w:rPr>
          <w:rFonts w:hint="eastAsia"/>
          <w:color w:val="auto"/>
          <w:sz w:val="21"/>
          <w:szCs w:val="21"/>
          <w:highlight w:val="none"/>
        </w:rPr>
        <w:t>说明：本数据表是项目专用合同条款中适用于本项目的信息和数据的归纳与提示，是项目专用合同条款的组成部分。第八章“响应文件格式”的竞标函附录中的数据（供应商确认）与本表所列有重复。编写采购文件的单位应仔细校核，不使数据出现差错或不一致。</w:t>
      </w:r>
    </w:p>
    <w:tbl>
      <w:tblPr>
        <w:tblStyle w:val="31"/>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271"/>
        <w:gridCol w:w="7268"/>
      </w:tblGrid>
      <w:tr w14:paraId="17C36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820" w:type="dxa"/>
            <w:vAlign w:val="center"/>
          </w:tcPr>
          <w:p w14:paraId="63BFF5FB">
            <w:pPr>
              <w:pStyle w:val="13"/>
              <w:ind w:firstLine="400"/>
              <w:jc w:val="both"/>
              <w:rPr>
                <w:color w:val="auto"/>
                <w:sz w:val="20"/>
                <w:highlight w:val="none"/>
              </w:rPr>
            </w:pPr>
            <w:r>
              <w:rPr>
                <w:rFonts w:hint="eastAsia"/>
                <w:color w:val="auto"/>
                <w:sz w:val="20"/>
                <w:highlight w:val="none"/>
              </w:rPr>
              <w:t>序号</w:t>
            </w:r>
          </w:p>
        </w:tc>
        <w:tc>
          <w:tcPr>
            <w:tcW w:w="1271" w:type="dxa"/>
            <w:vAlign w:val="center"/>
          </w:tcPr>
          <w:p w14:paraId="0C22A465">
            <w:pPr>
              <w:pStyle w:val="13"/>
              <w:ind w:firstLine="400"/>
              <w:jc w:val="both"/>
              <w:rPr>
                <w:color w:val="auto"/>
                <w:sz w:val="20"/>
                <w:highlight w:val="none"/>
              </w:rPr>
            </w:pPr>
            <w:r>
              <w:rPr>
                <w:rFonts w:hint="eastAsia"/>
                <w:color w:val="auto"/>
                <w:sz w:val="20"/>
                <w:highlight w:val="none"/>
              </w:rPr>
              <w:t>条目号</w:t>
            </w:r>
          </w:p>
        </w:tc>
        <w:tc>
          <w:tcPr>
            <w:tcW w:w="7268" w:type="dxa"/>
            <w:vAlign w:val="center"/>
          </w:tcPr>
          <w:p w14:paraId="74134F57">
            <w:pPr>
              <w:pStyle w:val="13"/>
              <w:ind w:firstLine="400"/>
              <w:jc w:val="both"/>
              <w:rPr>
                <w:color w:val="auto"/>
                <w:sz w:val="20"/>
                <w:highlight w:val="none"/>
              </w:rPr>
            </w:pPr>
            <w:r>
              <w:rPr>
                <w:rFonts w:hint="eastAsia"/>
                <w:color w:val="auto"/>
                <w:sz w:val="20"/>
                <w:highlight w:val="none"/>
              </w:rPr>
              <w:t>信息或数据</w:t>
            </w:r>
          </w:p>
        </w:tc>
      </w:tr>
      <w:tr w14:paraId="24D28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20" w:type="dxa"/>
            <w:vAlign w:val="center"/>
          </w:tcPr>
          <w:p w14:paraId="4D420E78">
            <w:pPr>
              <w:pStyle w:val="13"/>
              <w:ind w:firstLine="400"/>
              <w:jc w:val="both"/>
              <w:rPr>
                <w:color w:val="auto"/>
                <w:sz w:val="20"/>
                <w:highlight w:val="none"/>
              </w:rPr>
            </w:pPr>
            <w:r>
              <w:rPr>
                <w:rFonts w:hint="eastAsia"/>
                <w:color w:val="auto"/>
                <w:sz w:val="20"/>
                <w:highlight w:val="none"/>
              </w:rPr>
              <w:t>1</w:t>
            </w:r>
          </w:p>
        </w:tc>
        <w:tc>
          <w:tcPr>
            <w:tcW w:w="1271" w:type="dxa"/>
            <w:vAlign w:val="center"/>
          </w:tcPr>
          <w:p w14:paraId="5DC664A3">
            <w:pPr>
              <w:pStyle w:val="13"/>
              <w:ind w:firstLine="400"/>
              <w:jc w:val="both"/>
              <w:rPr>
                <w:color w:val="auto"/>
                <w:sz w:val="20"/>
                <w:highlight w:val="none"/>
              </w:rPr>
            </w:pPr>
            <w:r>
              <w:rPr>
                <w:color w:val="auto"/>
                <w:highlight w:val="none"/>
              </w:rPr>
              <w:fldChar w:fldCharType="begin"/>
            </w:r>
            <w:r>
              <w:rPr>
                <w:color w:val="auto"/>
                <w:highlight w:val="none"/>
              </w:rPr>
              <w:instrText xml:space="preserve"> HYPERLINK "file:///C:\\Users\\Administrator\\Documents\\xwechat_files\\wxid_c326fgwadpqc21_1669\\msg\\file\\2026-05\\1.1.2.2" </w:instrText>
            </w:r>
            <w:r>
              <w:rPr>
                <w:color w:val="auto"/>
                <w:highlight w:val="none"/>
              </w:rPr>
              <w:fldChar w:fldCharType="separate"/>
            </w:r>
            <w:r>
              <w:rPr>
                <w:rFonts w:hint="eastAsia"/>
                <w:color w:val="auto"/>
                <w:sz w:val="20"/>
                <w:highlight w:val="none"/>
              </w:rPr>
              <w:t>1.1.2.2</w:t>
            </w:r>
            <w:r>
              <w:rPr>
                <w:rFonts w:hint="eastAsia"/>
                <w:color w:val="auto"/>
                <w:sz w:val="20"/>
                <w:highlight w:val="none"/>
              </w:rPr>
              <w:fldChar w:fldCharType="end"/>
            </w:r>
          </w:p>
        </w:tc>
        <w:tc>
          <w:tcPr>
            <w:tcW w:w="7268" w:type="dxa"/>
            <w:vAlign w:val="center"/>
          </w:tcPr>
          <w:p w14:paraId="39CBDDCF">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广西壮族自治区恭城公路养护中心</w:t>
            </w:r>
          </w:p>
          <w:p w14:paraId="53A6D68F">
            <w:pPr>
              <w:rPr>
                <w:color w:val="auto"/>
                <w:sz w:val="20"/>
                <w:highlight w:val="none"/>
              </w:rPr>
            </w:pPr>
            <w:r>
              <w:rPr>
                <w:rFonts w:hint="eastAsia" w:ascii="宋体" w:hAnsi="宋体" w:eastAsia="宋体" w:cs="宋体"/>
                <w:color w:val="auto"/>
                <w:sz w:val="21"/>
                <w:szCs w:val="21"/>
                <w:highlight w:val="none"/>
              </w:rPr>
              <w:t>地址：恭城镇城中西路八巷3号</w:t>
            </w:r>
          </w:p>
        </w:tc>
      </w:tr>
      <w:tr w14:paraId="0E85B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20" w:type="dxa"/>
            <w:vAlign w:val="center"/>
          </w:tcPr>
          <w:p w14:paraId="5E175501">
            <w:pPr>
              <w:pStyle w:val="13"/>
              <w:ind w:firstLine="400"/>
              <w:jc w:val="both"/>
              <w:rPr>
                <w:color w:val="auto"/>
                <w:sz w:val="20"/>
                <w:highlight w:val="none"/>
              </w:rPr>
            </w:pPr>
            <w:r>
              <w:rPr>
                <w:rFonts w:hint="eastAsia"/>
                <w:color w:val="auto"/>
                <w:sz w:val="20"/>
                <w:highlight w:val="none"/>
              </w:rPr>
              <w:t>2</w:t>
            </w:r>
          </w:p>
        </w:tc>
        <w:tc>
          <w:tcPr>
            <w:tcW w:w="1271" w:type="dxa"/>
            <w:vAlign w:val="center"/>
          </w:tcPr>
          <w:p w14:paraId="76B6FFE4">
            <w:pPr>
              <w:pStyle w:val="13"/>
              <w:ind w:firstLine="400"/>
              <w:jc w:val="both"/>
              <w:rPr>
                <w:color w:val="auto"/>
                <w:sz w:val="20"/>
                <w:highlight w:val="none"/>
              </w:rPr>
            </w:pPr>
            <w:r>
              <w:rPr>
                <w:color w:val="auto"/>
                <w:highlight w:val="none"/>
              </w:rPr>
              <w:fldChar w:fldCharType="begin"/>
            </w:r>
            <w:r>
              <w:rPr>
                <w:color w:val="auto"/>
                <w:highlight w:val="none"/>
              </w:rPr>
              <w:instrText xml:space="preserve"> HYPERLINK "file:///C:\\Users\\Administrator\\Documents\\xwechat_files\\wxid_c326fgwadpqc21_1669\\msg\\file\\2026-05\\1.1.2.6" </w:instrText>
            </w:r>
            <w:r>
              <w:rPr>
                <w:color w:val="auto"/>
                <w:highlight w:val="none"/>
              </w:rPr>
              <w:fldChar w:fldCharType="separate"/>
            </w:r>
            <w:r>
              <w:rPr>
                <w:rFonts w:hint="eastAsia"/>
                <w:color w:val="auto"/>
                <w:sz w:val="20"/>
                <w:highlight w:val="none"/>
              </w:rPr>
              <w:t>1.1.2.7</w:t>
            </w:r>
            <w:r>
              <w:rPr>
                <w:rFonts w:hint="eastAsia"/>
                <w:color w:val="auto"/>
                <w:sz w:val="20"/>
                <w:highlight w:val="none"/>
              </w:rPr>
              <w:fldChar w:fldCharType="end"/>
            </w:r>
          </w:p>
        </w:tc>
        <w:tc>
          <w:tcPr>
            <w:tcW w:w="7268" w:type="dxa"/>
            <w:vAlign w:val="center"/>
          </w:tcPr>
          <w:p w14:paraId="0C926186">
            <w:pPr>
              <w:spacing w:before="83" w:line="360" w:lineRule="auto"/>
              <w:ind w:right="110"/>
              <w:jc w:val="both"/>
              <w:rPr>
                <w:color w:val="auto"/>
                <w:sz w:val="21"/>
                <w:szCs w:val="21"/>
                <w:highlight w:val="none"/>
              </w:rPr>
            </w:pPr>
            <w:r>
              <w:rPr>
                <w:rFonts w:hint="eastAsia"/>
                <w:color w:val="auto"/>
                <w:sz w:val="21"/>
                <w:szCs w:val="21"/>
                <w:highlight w:val="none"/>
              </w:rPr>
              <w:t>监理人：待定</w:t>
            </w:r>
          </w:p>
          <w:p w14:paraId="19CE18A2">
            <w:pPr>
              <w:spacing w:before="83" w:line="360" w:lineRule="auto"/>
              <w:ind w:right="110"/>
              <w:jc w:val="both"/>
              <w:rPr>
                <w:color w:val="auto"/>
                <w:sz w:val="20"/>
                <w:highlight w:val="none"/>
              </w:rPr>
            </w:pPr>
            <w:r>
              <w:rPr>
                <w:rFonts w:hint="eastAsia"/>
                <w:color w:val="auto"/>
                <w:sz w:val="21"/>
                <w:szCs w:val="21"/>
                <w:highlight w:val="none"/>
              </w:rPr>
              <w:t>地址：邮政编码：</w:t>
            </w:r>
          </w:p>
        </w:tc>
      </w:tr>
      <w:tr w14:paraId="536E4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vAlign w:val="center"/>
          </w:tcPr>
          <w:p w14:paraId="429EC408">
            <w:pPr>
              <w:pStyle w:val="13"/>
              <w:ind w:firstLine="400"/>
              <w:jc w:val="both"/>
              <w:rPr>
                <w:color w:val="auto"/>
                <w:sz w:val="20"/>
                <w:highlight w:val="none"/>
              </w:rPr>
            </w:pPr>
            <w:r>
              <w:rPr>
                <w:rFonts w:hint="eastAsia"/>
                <w:color w:val="auto"/>
                <w:sz w:val="20"/>
                <w:highlight w:val="none"/>
              </w:rPr>
              <w:t>3</w:t>
            </w:r>
          </w:p>
        </w:tc>
        <w:tc>
          <w:tcPr>
            <w:tcW w:w="1271" w:type="dxa"/>
            <w:vAlign w:val="center"/>
          </w:tcPr>
          <w:p w14:paraId="24C1FE5E">
            <w:pPr>
              <w:pStyle w:val="13"/>
              <w:ind w:firstLine="400"/>
              <w:jc w:val="both"/>
              <w:rPr>
                <w:color w:val="auto"/>
                <w:sz w:val="20"/>
                <w:highlight w:val="none"/>
              </w:rPr>
            </w:pPr>
            <w:r>
              <w:rPr>
                <w:color w:val="auto"/>
                <w:highlight w:val="none"/>
              </w:rPr>
              <w:fldChar w:fldCharType="begin"/>
            </w:r>
            <w:r>
              <w:rPr>
                <w:color w:val="auto"/>
                <w:highlight w:val="none"/>
              </w:rPr>
              <w:instrText xml:space="preserve"> HYPERLINK "file:///C:\\Users\\Administrator\\Documents\\xwechat_files\\wxid_c326fgwadpqc21_1669\\msg\\file\\2026-05\\1.1.4.5" </w:instrText>
            </w:r>
            <w:r>
              <w:rPr>
                <w:color w:val="auto"/>
                <w:highlight w:val="none"/>
              </w:rPr>
              <w:fldChar w:fldCharType="separate"/>
            </w:r>
            <w:r>
              <w:rPr>
                <w:rFonts w:hint="eastAsia"/>
                <w:color w:val="auto"/>
                <w:sz w:val="20"/>
                <w:highlight w:val="none"/>
              </w:rPr>
              <w:t>1.1.4.5</w:t>
            </w:r>
            <w:r>
              <w:rPr>
                <w:rFonts w:hint="eastAsia"/>
                <w:color w:val="auto"/>
                <w:sz w:val="20"/>
                <w:highlight w:val="none"/>
              </w:rPr>
              <w:fldChar w:fldCharType="end"/>
            </w:r>
          </w:p>
        </w:tc>
        <w:tc>
          <w:tcPr>
            <w:tcW w:w="7268" w:type="dxa"/>
            <w:vAlign w:val="center"/>
          </w:tcPr>
          <w:p w14:paraId="520DDE7A">
            <w:pPr>
              <w:pStyle w:val="13"/>
              <w:ind w:firstLine="400"/>
              <w:jc w:val="both"/>
              <w:rPr>
                <w:color w:val="auto"/>
                <w:sz w:val="20"/>
                <w:highlight w:val="none"/>
              </w:rPr>
            </w:pPr>
            <w:r>
              <w:rPr>
                <w:rFonts w:hint="eastAsia"/>
                <w:color w:val="auto"/>
                <w:sz w:val="20"/>
                <w:highlight w:val="none"/>
              </w:rPr>
              <w:t>缺陷责任期：自实际交工日期起计算12个月</w:t>
            </w:r>
          </w:p>
        </w:tc>
      </w:tr>
      <w:tr w14:paraId="41E4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vAlign w:val="center"/>
          </w:tcPr>
          <w:p w14:paraId="043F34C4">
            <w:pPr>
              <w:pStyle w:val="13"/>
              <w:ind w:firstLine="400"/>
              <w:jc w:val="both"/>
              <w:rPr>
                <w:color w:val="auto"/>
                <w:sz w:val="20"/>
                <w:highlight w:val="none"/>
              </w:rPr>
            </w:pPr>
            <w:r>
              <w:rPr>
                <w:rFonts w:hint="eastAsia"/>
                <w:color w:val="auto"/>
                <w:sz w:val="20"/>
                <w:highlight w:val="none"/>
              </w:rPr>
              <w:t>4</w:t>
            </w:r>
          </w:p>
        </w:tc>
        <w:tc>
          <w:tcPr>
            <w:tcW w:w="1271" w:type="dxa"/>
            <w:vAlign w:val="center"/>
          </w:tcPr>
          <w:p w14:paraId="002CA699">
            <w:pPr>
              <w:pStyle w:val="13"/>
              <w:ind w:firstLine="400"/>
              <w:jc w:val="both"/>
              <w:rPr>
                <w:color w:val="auto"/>
                <w:sz w:val="20"/>
                <w:highlight w:val="none"/>
              </w:rPr>
            </w:pPr>
            <w:r>
              <w:rPr>
                <w:rFonts w:hint="eastAsia"/>
                <w:color w:val="auto"/>
                <w:sz w:val="20"/>
                <w:highlight w:val="none"/>
              </w:rPr>
              <w:t>1.5.1</w:t>
            </w:r>
          </w:p>
        </w:tc>
        <w:tc>
          <w:tcPr>
            <w:tcW w:w="7268" w:type="dxa"/>
            <w:vAlign w:val="center"/>
          </w:tcPr>
          <w:p w14:paraId="779862F5">
            <w:pPr>
              <w:pStyle w:val="13"/>
              <w:ind w:firstLine="400"/>
              <w:jc w:val="both"/>
              <w:rPr>
                <w:color w:val="auto"/>
                <w:sz w:val="20"/>
                <w:highlight w:val="none"/>
              </w:rPr>
            </w:pPr>
            <w:r>
              <w:rPr>
                <w:rFonts w:hint="eastAsia"/>
                <w:color w:val="auto"/>
                <w:sz w:val="20"/>
                <w:highlight w:val="none"/>
              </w:rPr>
              <w:t>提供图纸的期限：</w:t>
            </w:r>
            <w:r>
              <w:rPr>
                <w:rFonts w:hint="eastAsia"/>
                <w:color w:val="auto"/>
                <w:sz w:val="20"/>
                <w:highlight w:val="none"/>
                <w:u w:val="single"/>
              </w:rPr>
              <w:t>14</w:t>
            </w:r>
            <w:r>
              <w:rPr>
                <w:rFonts w:hint="eastAsia"/>
                <w:color w:val="auto"/>
                <w:sz w:val="20"/>
                <w:highlight w:val="none"/>
              </w:rPr>
              <w:t>天</w:t>
            </w:r>
          </w:p>
        </w:tc>
      </w:tr>
      <w:tr w14:paraId="16F9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0AC9934">
            <w:pPr>
              <w:pStyle w:val="13"/>
              <w:ind w:firstLine="400"/>
              <w:jc w:val="both"/>
              <w:rPr>
                <w:color w:val="auto"/>
                <w:sz w:val="20"/>
                <w:highlight w:val="none"/>
              </w:rPr>
            </w:pPr>
          </w:p>
          <w:p w14:paraId="5A973140">
            <w:pPr>
              <w:pStyle w:val="13"/>
              <w:ind w:firstLine="400"/>
              <w:jc w:val="both"/>
              <w:rPr>
                <w:color w:val="auto"/>
                <w:sz w:val="20"/>
                <w:highlight w:val="none"/>
              </w:rPr>
            </w:pPr>
            <w:r>
              <w:rPr>
                <w:rFonts w:hint="eastAsia"/>
                <w:color w:val="auto"/>
                <w:sz w:val="20"/>
                <w:highlight w:val="none"/>
              </w:rPr>
              <w:t>5</w:t>
            </w:r>
          </w:p>
        </w:tc>
        <w:tc>
          <w:tcPr>
            <w:tcW w:w="1271" w:type="dxa"/>
            <w:vAlign w:val="center"/>
          </w:tcPr>
          <w:p w14:paraId="319F80BC">
            <w:pPr>
              <w:pStyle w:val="13"/>
              <w:ind w:firstLine="400"/>
              <w:jc w:val="both"/>
              <w:rPr>
                <w:color w:val="auto"/>
                <w:sz w:val="20"/>
                <w:highlight w:val="none"/>
              </w:rPr>
            </w:pPr>
          </w:p>
          <w:p w14:paraId="186652AF">
            <w:pPr>
              <w:pStyle w:val="13"/>
              <w:ind w:firstLine="400"/>
              <w:jc w:val="both"/>
              <w:rPr>
                <w:color w:val="auto"/>
                <w:sz w:val="20"/>
                <w:highlight w:val="none"/>
              </w:rPr>
            </w:pPr>
            <w:r>
              <w:rPr>
                <w:rFonts w:hint="eastAsia"/>
                <w:color w:val="auto"/>
                <w:sz w:val="20"/>
                <w:highlight w:val="none"/>
              </w:rPr>
              <w:t>1.5.3</w:t>
            </w:r>
          </w:p>
        </w:tc>
        <w:tc>
          <w:tcPr>
            <w:tcW w:w="7268" w:type="dxa"/>
            <w:vAlign w:val="center"/>
          </w:tcPr>
          <w:p w14:paraId="7FB08FC5">
            <w:pPr>
              <w:spacing w:before="83" w:line="360" w:lineRule="auto"/>
              <w:ind w:left="33" w:right="110" w:firstLine="420"/>
              <w:jc w:val="both"/>
              <w:rPr>
                <w:color w:val="auto"/>
                <w:sz w:val="20"/>
                <w:highlight w:val="none"/>
              </w:rPr>
            </w:pPr>
            <w:r>
              <w:rPr>
                <w:rFonts w:hint="eastAsia"/>
                <w:color w:val="auto"/>
                <w:sz w:val="21"/>
                <w:szCs w:val="21"/>
                <w:highlight w:val="none"/>
              </w:rPr>
              <w:t>图纸需要修改和补充的，应取得发包人同意后，在该养护工程或养护工程相应部位施工前的</w:t>
            </w:r>
            <w:r>
              <w:rPr>
                <w:rFonts w:hint="eastAsia"/>
                <w:color w:val="auto"/>
                <w:sz w:val="21"/>
                <w:szCs w:val="21"/>
                <w:highlight w:val="none"/>
                <w:u w:val="single"/>
              </w:rPr>
              <w:t xml:space="preserve">  14   </w:t>
            </w:r>
            <w:r>
              <w:rPr>
                <w:rFonts w:hint="eastAsia"/>
                <w:color w:val="auto"/>
                <w:sz w:val="21"/>
                <w:szCs w:val="21"/>
                <w:highlight w:val="none"/>
              </w:rPr>
              <w:t>天签发图纸修改图给承包人</w:t>
            </w:r>
          </w:p>
        </w:tc>
      </w:tr>
      <w:tr w14:paraId="775A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B058892">
            <w:pPr>
              <w:pStyle w:val="13"/>
              <w:ind w:firstLine="400"/>
              <w:jc w:val="both"/>
              <w:rPr>
                <w:color w:val="auto"/>
                <w:sz w:val="20"/>
                <w:highlight w:val="none"/>
              </w:rPr>
            </w:pPr>
            <w:r>
              <w:rPr>
                <w:rFonts w:hint="eastAsia"/>
                <w:color w:val="auto"/>
                <w:sz w:val="20"/>
                <w:highlight w:val="none"/>
              </w:rPr>
              <w:t>6</w:t>
            </w:r>
          </w:p>
        </w:tc>
        <w:tc>
          <w:tcPr>
            <w:tcW w:w="1271" w:type="dxa"/>
            <w:vAlign w:val="center"/>
          </w:tcPr>
          <w:p w14:paraId="4E17246B">
            <w:pPr>
              <w:pStyle w:val="13"/>
              <w:ind w:firstLine="400"/>
              <w:jc w:val="both"/>
              <w:rPr>
                <w:color w:val="auto"/>
                <w:sz w:val="20"/>
                <w:highlight w:val="none"/>
              </w:rPr>
            </w:pPr>
            <w:r>
              <w:rPr>
                <w:rFonts w:hint="eastAsia"/>
                <w:color w:val="auto"/>
                <w:sz w:val="20"/>
                <w:highlight w:val="none"/>
              </w:rPr>
              <w:t>4.6.3</w:t>
            </w:r>
          </w:p>
        </w:tc>
        <w:tc>
          <w:tcPr>
            <w:tcW w:w="7268" w:type="dxa"/>
            <w:vAlign w:val="center"/>
          </w:tcPr>
          <w:p w14:paraId="7D858596">
            <w:pPr>
              <w:spacing w:before="83" w:line="360" w:lineRule="auto"/>
              <w:ind w:left="33" w:right="110" w:firstLine="420"/>
              <w:jc w:val="both"/>
              <w:rPr>
                <w:color w:val="auto"/>
                <w:sz w:val="20"/>
                <w:highlight w:val="none"/>
              </w:rPr>
            </w:pPr>
            <w:r>
              <w:rPr>
                <w:rFonts w:hint="eastAsia"/>
                <w:color w:val="auto"/>
                <w:sz w:val="21"/>
                <w:szCs w:val="21"/>
                <w:highlight w:val="none"/>
              </w:rPr>
              <w:t>承包人安排在养护作业场地的主要管理人员、技术骨干和专职安全生产管理人员每月在养护作业场地时间不得少于 22 天。</w:t>
            </w:r>
          </w:p>
        </w:tc>
      </w:tr>
      <w:tr w14:paraId="7848D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19E95321">
            <w:pPr>
              <w:pStyle w:val="13"/>
              <w:ind w:firstLine="400"/>
              <w:jc w:val="both"/>
              <w:rPr>
                <w:color w:val="auto"/>
                <w:sz w:val="20"/>
                <w:highlight w:val="none"/>
              </w:rPr>
            </w:pPr>
            <w:r>
              <w:rPr>
                <w:rFonts w:hint="eastAsia"/>
                <w:color w:val="auto"/>
                <w:sz w:val="20"/>
                <w:highlight w:val="none"/>
              </w:rPr>
              <w:t>7</w:t>
            </w:r>
          </w:p>
        </w:tc>
        <w:tc>
          <w:tcPr>
            <w:tcW w:w="1271" w:type="dxa"/>
            <w:vAlign w:val="center"/>
          </w:tcPr>
          <w:p w14:paraId="5DA3849E">
            <w:pPr>
              <w:pStyle w:val="13"/>
              <w:ind w:firstLine="400"/>
              <w:jc w:val="both"/>
              <w:rPr>
                <w:color w:val="auto"/>
                <w:sz w:val="20"/>
                <w:highlight w:val="none"/>
              </w:rPr>
            </w:pPr>
            <w:r>
              <w:rPr>
                <w:rFonts w:hint="eastAsia"/>
                <w:color w:val="auto"/>
                <w:sz w:val="20"/>
                <w:highlight w:val="none"/>
              </w:rPr>
              <w:t>4.2</w:t>
            </w:r>
          </w:p>
        </w:tc>
        <w:tc>
          <w:tcPr>
            <w:tcW w:w="7268" w:type="dxa"/>
            <w:vAlign w:val="center"/>
          </w:tcPr>
          <w:p w14:paraId="27FC0280">
            <w:pPr>
              <w:spacing w:before="83" w:line="360" w:lineRule="auto"/>
              <w:ind w:left="33" w:right="110" w:firstLine="420"/>
              <w:jc w:val="both"/>
              <w:rPr>
                <w:color w:val="auto"/>
                <w:sz w:val="21"/>
                <w:szCs w:val="21"/>
                <w:highlight w:val="none"/>
              </w:rPr>
            </w:pPr>
            <w:r>
              <w:rPr>
                <w:rFonts w:hint="eastAsia"/>
                <w:color w:val="auto"/>
                <w:sz w:val="21"/>
                <w:szCs w:val="21"/>
                <w:highlight w:val="none"/>
              </w:rPr>
              <w:t>发包人是否提供材料或工程设备：</w:t>
            </w:r>
            <w:r>
              <w:rPr>
                <w:rFonts w:hint="eastAsia"/>
                <w:color w:val="auto"/>
                <w:sz w:val="21"/>
                <w:szCs w:val="21"/>
                <w:highlight w:val="none"/>
                <w:u w:val="single"/>
              </w:rPr>
              <w:t xml:space="preserve">  否</w:t>
            </w:r>
          </w:p>
          <w:p w14:paraId="2E6C8217">
            <w:pPr>
              <w:spacing w:before="83" w:line="360" w:lineRule="auto"/>
              <w:ind w:left="33" w:right="110" w:firstLine="420"/>
              <w:jc w:val="both"/>
              <w:rPr>
                <w:color w:val="auto"/>
                <w:sz w:val="20"/>
                <w:highlight w:val="none"/>
              </w:rPr>
            </w:pPr>
            <w:r>
              <w:rPr>
                <w:rFonts w:hint="eastAsia"/>
                <w:color w:val="auto"/>
                <w:sz w:val="21"/>
                <w:szCs w:val="21"/>
                <w:highlight w:val="none"/>
              </w:rPr>
              <w:t>如发包人负责提供部分材料或工程设备，相关规定如下：</w:t>
            </w:r>
            <w:r>
              <w:rPr>
                <w:rFonts w:hint="eastAsia"/>
                <w:color w:val="auto"/>
                <w:sz w:val="21"/>
                <w:szCs w:val="21"/>
                <w:highlight w:val="none"/>
                <w:u w:val="single"/>
              </w:rPr>
              <w:t xml:space="preserve">   /</w:t>
            </w:r>
          </w:p>
        </w:tc>
      </w:tr>
      <w:tr w14:paraId="0AD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C552EF5">
            <w:pPr>
              <w:pStyle w:val="13"/>
              <w:ind w:firstLine="400"/>
              <w:jc w:val="both"/>
              <w:rPr>
                <w:color w:val="auto"/>
                <w:sz w:val="20"/>
                <w:highlight w:val="none"/>
              </w:rPr>
            </w:pPr>
            <w:r>
              <w:rPr>
                <w:rFonts w:hint="eastAsia"/>
                <w:color w:val="auto"/>
                <w:sz w:val="20"/>
                <w:highlight w:val="none"/>
              </w:rPr>
              <w:t>8</w:t>
            </w:r>
          </w:p>
        </w:tc>
        <w:tc>
          <w:tcPr>
            <w:tcW w:w="1271" w:type="dxa"/>
            <w:vAlign w:val="center"/>
          </w:tcPr>
          <w:p w14:paraId="22D86BA0">
            <w:pPr>
              <w:pStyle w:val="13"/>
              <w:ind w:firstLine="400"/>
              <w:jc w:val="both"/>
              <w:rPr>
                <w:color w:val="auto"/>
                <w:sz w:val="20"/>
                <w:highlight w:val="none"/>
              </w:rPr>
            </w:pPr>
            <w:r>
              <w:rPr>
                <w:rFonts w:hint="eastAsia"/>
                <w:color w:val="auto"/>
                <w:sz w:val="20"/>
                <w:highlight w:val="none"/>
              </w:rPr>
              <w:t>6.2</w:t>
            </w:r>
          </w:p>
        </w:tc>
        <w:tc>
          <w:tcPr>
            <w:tcW w:w="7268" w:type="dxa"/>
            <w:vAlign w:val="center"/>
          </w:tcPr>
          <w:p w14:paraId="54F36053">
            <w:pPr>
              <w:spacing w:before="83" w:line="360" w:lineRule="auto"/>
              <w:ind w:left="33" w:right="110" w:firstLine="420"/>
              <w:jc w:val="both"/>
              <w:rPr>
                <w:color w:val="auto"/>
                <w:sz w:val="21"/>
                <w:szCs w:val="21"/>
                <w:highlight w:val="none"/>
              </w:rPr>
            </w:pPr>
            <w:r>
              <w:rPr>
                <w:rFonts w:hint="eastAsia"/>
                <w:color w:val="auto"/>
                <w:sz w:val="21"/>
                <w:szCs w:val="21"/>
                <w:highlight w:val="none"/>
              </w:rPr>
              <w:t>发包人是否提供养护作业设备和临时设施：</w:t>
            </w:r>
            <w:r>
              <w:rPr>
                <w:rFonts w:hint="eastAsia"/>
                <w:color w:val="auto"/>
                <w:sz w:val="21"/>
                <w:szCs w:val="21"/>
                <w:highlight w:val="none"/>
                <w:u w:val="single"/>
              </w:rPr>
              <w:t xml:space="preserve">  否</w:t>
            </w:r>
          </w:p>
          <w:p w14:paraId="7301A7C9">
            <w:pPr>
              <w:spacing w:before="83" w:line="360" w:lineRule="auto"/>
              <w:ind w:left="33" w:right="110" w:firstLine="420"/>
              <w:jc w:val="both"/>
              <w:rPr>
                <w:color w:val="auto"/>
                <w:sz w:val="20"/>
                <w:highlight w:val="none"/>
              </w:rPr>
            </w:pPr>
            <w:r>
              <w:rPr>
                <w:rFonts w:hint="eastAsia"/>
                <w:color w:val="auto"/>
                <w:sz w:val="21"/>
                <w:szCs w:val="21"/>
                <w:highlight w:val="none"/>
              </w:rPr>
              <w:t>如发包人负责提供部分养护作业设备和临时设施，相关规定如下：</w:t>
            </w:r>
            <w:r>
              <w:rPr>
                <w:rFonts w:hint="eastAsia"/>
                <w:color w:val="auto"/>
                <w:sz w:val="21"/>
                <w:szCs w:val="21"/>
                <w:highlight w:val="none"/>
                <w:u w:val="single"/>
              </w:rPr>
              <w:t xml:space="preserve"> /</w:t>
            </w:r>
          </w:p>
        </w:tc>
      </w:tr>
      <w:tr w14:paraId="24CE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661A099">
            <w:pPr>
              <w:pStyle w:val="13"/>
              <w:ind w:firstLine="400"/>
              <w:jc w:val="both"/>
              <w:rPr>
                <w:color w:val="auto"/>
                <w:sz w:val="20"/>
                <w:highlight w:val="none"/>
              </w:rPr>
            </w:pPr>
            <w:r>
              <w:rPr>
                <w:rFonts w:hint="eastAsia"/>
                <w:color w:val="auto"/>
                <w:sz w:val="20"/>
                <w:highlight w:val="none"/>
              </w:rPr>
              <w:t>9</w:t>
            </w:r>
          </w:p>
        </w:tc>
        <w:tc>
          <w:tcPr>
            <w:tcW w:w="1271" w:type="dxa"/>
            <w:vAlign w:val="center"/>
          </w:tcPr>
          <w:p w14:paraId="1C35345B">
            <w:pPr>
              <w:pStyle w:val="13"/>
              <w:ind w:firstLine="400"/>
              <w:jc w:val="both"/>
              <w:rPr>
                <w:color w:val="auto"/>
                <w:sz w:val="20"/>
                <w:highlight w:val="none"/>
              </w:rPr>
            </w:pPr>
            <w:r>
              <w:rPr>
                <w:rFonts w:hint="eastAsia"/>
                <w:color w:val="auto"/>
                <w:sz w:val="20"/>
                <w:highlight w:val="none"/>
              </w:rPr>
              <w:t>8.1.1</w:t>
            </w:r>
          </w:p>
        </w:tc>
        <w:tc>
          <w:tcPr>
            <w:tcW w:w="7268" w:type="dxa"/>
            <w:vAlign w:val="center"/>
          </w:tcPr>
          <w:p w14:paraId="78513944">
            <w:pPr>
              <w:spacing w:before="83" w:line="360" w:lineRule="auto"/>
              <w:ind w:left="33" w:right="110" w:firstLine="420"/>
              <w:jc w:val="both"/>
              <w:rPr>
                <w:color w:val="auto"/>
                <w:sz w:val="21"/>
                <w:szCs w:val="21"/>
                <w:highlight w:val="none"/>
              </w:rPr>
            </w:pPr>
            <w:r>
              <w:rPr>
                <w:rFonts w:hint="eastAsia"/>
                <w:color w:val="auto"/>
                <w:sz w:val="21"/>
                <w:szCs w:val="21"/>
                <w:highlight w:val="none"/>
              </w:rPr>
              <w:t>发包人提供测量基准点、基准线和水准点及其书面资料的期限：不提供</w:t>
            </w:r>
          </w:p>
          <w:p w14:paraId="372188E1">
            <w:pPr>
              <w:spacing w:before="83" w:line="360" w:lineRule="auto"/>
              <w:ind w:left="33" w:right="110" w:firstLine="420"/>
              <w:jc w:val="both"/>
              <w:rPr>
                <w:color w:val="auto"/>
                <w:sz w:val="20"/>
                <w:highlight w:val="none"/>
              </w:rPr>
            </w:pPr>
            <w:r>
              <w:rPr>
                <w:rFonts w:hint="eastAsia"/>
                <w:color w:val="auto"/>
                <w:sz w:val="21"/>
                <w:szCs w:val="21"/>
                <w:highlight w:val="none"/>
              </w:rPr>
              <w:t>承包人将施工控制网资料报送发包人审批的期限：</w:t>
            </w:r>
            <w:r>
              <w:rPr>
                <w:rFonts w:hint="eastAsia"/>
                <w:color w:val="auto"/>
                <w:sz w:val="21"/>
                <w:szCs w:val="21"/>
                <w:highlight w:val="none"/>
                <w:u w:val="single"/>
              </w:rPr>
              <w:t>7天</w:t>
            </w:r>
          </w:p>
        </w:tc>
      </w:tr>
      <w:tr w14:paraId="4592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434CF94A">
            <w:pPr>
              <w:pStyle w:val="13"/>
              <w:ind w:firstLine="400"/>
              <w:jc w:val="both"/>
              <w:rPr>
                <w:color w:val="auto"/>
                <w:sz w:val="20"/>
                <w:highlight w:val="none"/>
              </w:rPr>
            </w:pPr>
            <w:r>
              <w:rPr>
                <w:rFonts w:hint="eastAsia"/>
                <w:color w:val="auto"/>
                <w:sz w:val="20"/>
                <w:highlight w:val="none"/>
              </w:rPr>
              <w:t>10</w:t>
            </w:r>
          </w:p>
        </w:tc>
        <w:tc>
          <w:tcPr>
            <w:tcW w:w="1271" w:type="dxa"/>
            <w:vAlign w:val="center"/>
          </w:tcPr>
          <w:p w14:paraId="7D5A4459">
            <w:pPr>
              <w:pStyle w:val="13"/>
              <w:ind w:firstLine="400"/>
              <w:jc w:val="both"/>
              <w:rPr>
                <w:color w:val="auto"/>
                <w:sz w:val="20"/>
                <w:highlight w:val="none"/>
              </w:rPr>
            </w:pPr>
            <w:r>
              <w:rPr>
                <w:rFonts w:hint="eastAsia"/>
                <w:color w:val="auto"/>
                <w:sz w:val="20"/>
                <w:highlight w:val="none"/>
              </w:rPr>
              <w:t>9.2.5</w:t>
            </w:r>
          </w:p>
        </w:tc>
        <w:tc>
          <w:tcPr>
            <w:tcW w:w="7268" w:type="dxa"/>
            <w:vAlign w:val="center"/>
          </w:tcPr>
          <w:p w14:paraId="13B77C73">
            <w:pPr>
              <w:pStyle w:val="13"/>
              <w:ind w:firstLine="400"/>
              <w:jc w:val="both"/>
              <w:rPr>
                <w:color w:val="auto"/>
                <w:sz w:val="20"/>
                <w:highlight w:val="none"/>
              </w:rPr>
            </w:pPr>
            <w:r>
              <w:rPr>
                <w:rFonts w:hint="eastAsia"/>
                <w:color w:val="auto"/>
                <w:sz w:val="20"/>
                <w:highlight w:val="none"/>
              </w:rPr>
              <w:t>安全生产费用按</w:t>
            </w:r>
            <w:r>
              <w:rPr>
                <w:rFonts w:hint="eastAsia"/>
                <w:color w:val="auto"/>
                <w:sz w:val="20"/>
                <w:highlight w:val="none"/>
                <w:lang w:eastAsia="zh-CN"/>
              </w:rPr>
              <w:t>最高限价</w:t>
            </w:r>
            <w:r>
              <w:rPr>
                <w:rFonts w:hint="eastAsia"/>
                <w:color w:val="auto"/>
                <w:sz w:val="20"/>
                <w:highlight w:val="none"/>
              </w:rPr>
              <w:t xml:space="preserve">的 </w:t>
            </w:r>
            <w:r>
              <w:rPr>
                <w:rFonts w:hint="eastAsia"/>
                <w:color w:val="auto"/>
                <w:sz w:val="20"/>
                <w:highlight w:val="none"/>
                <w:u w:val="single"/>
              </w:rPr>
              <w:t xml:space="preserve"> 1.5  </w:t>
            </w:r>
            <w:r>
              <w:rPr>
                <w:rFonts w:hint="eastAsia"/>
                <w:color w:val="auto"/>
                <w:sz w:val="20"/>
                <w:highlight w:val="none"/>
              </w:rPr>
              <w:t>%计取。</w:t>
            </w:r>
          </w:p>
        </w:tc>
      </w:tr>
      <w:tr w14:paraId="2B36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23C52718">
            <w:pPr>
              <w:pStyle w:val="13"/>
              <w:ind w:firstLine="400"/>
              <w:jc w:val="both"/>
              <w:rPr>
                <w:color w:val="auto"/>
                <w:sz w:val="20"/>
                <w:highlight w:val="none"/>
              </w:rPr>
            </w:pPr>
            <w:r>
              <w:rPr>
                <w:rFonts w:hint="eastAsia"/>
                <w:color w:val="auto"/>
                <w:sz w:val="20"/>
                <w:highlight w:val="none"/>
              </w:rPr>
              <w:t>11</w:t>
            </w:r>
          </w:p>
        </w:tc>
        <w:tc>
          <w:tcPr>
            <w:tcW w:w="1271" w:type="dxa"/>
            <w:vAlign w:val="center"/>
          </w:tcPr>
          <w:p w14:paraId="16862D8A">
            <w:pPr>
              <w:pStyle w:val="13"/>
              <w:ind w:firstLine="400"/>
              <w:jc w:val="both"/>
              <w:rPr>
                <w:color w:val="auto"/>
                <w:sz w:val="20"/>
                <w:highlight w:val="none"/>
              </w:rPr>
            </w:pPr>
            <w:r>
              <w:rPr>
                <w:rFonts w:hint="eastAsia"/>
                <w:color w:val="auto"/>
                <w:sz w:val="20"/>
                <w:highlight w:val="none"/>
              </w:rPr>
              <w:t>11.5</w:t>
            </w:r>
          </w:p>
        </w:tc>
        <w:tc>
          <w:tcPr>
            <w:tcW w:w="7268" w:type="dxa"/>
            <w:vAlign w:val="center"/>
          </w:tcPr>
          <w:p w14:paraId="2D4216D4">
            <w:pPr>
              <w:pStyle w:val="13"/>
              <w:ind w:firstLine="400"/>
              <w:jc w:val="both"/>
              <w:rPr>
                <w:color w:val="auto"/>
                <w:sz w:val="20"/>
                <w:highlight w:val="none"/>
              </w:rPr>
            </w:pPr>
            <w:r>
              <w:rPr>
                <w:rFonts w:hint="eastAsia"/>
                <w:color w:val="auto"/>
                <w:sz w:val="20"/>
                <w:highlight w:val="none"/>
              </w:rPr>
              <w:t>逾期交工违约金：</w:t>
            </w:r>
            <w:r>
              <w:rPr>
                <w:rFonts w:hint="eastAsia"/>
                <w:color w:val="auto"/>
                <w:sz w:val="20"/>
                <w:highlight w:val="none"/>
                <w:u w:val="single"/>
              </w:rPr>
              <w:t xml:space="preserve">  5000   </w:t>
            </w:r>
            <w:r>
              <w:rPr>
                <w:rFonts w:hint="eastAsia"/>
                <w:color w:val="auto"/>
                <w:sz w:val="20"/>
                <w:highlight w:val="none"/>
              </w:rPr>
              <w:t>元/天</w:t>
            </w:r>
          </w:p>
        </w:tc>
      </w:tr>
      <w:tr w14:paraId="2A3E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3C3D8AEF">
            <w:pPr>
              <w:pStyle w:val="13"/>
              <w:ind w:firstLine="400"/>
              <w:jc w:val="both"/>
              <w:rPr>
                <w:color w:val="auto"/>
                <w:sz w:val="20"/>
                <w:highlight w:val="none"/>
              </w:rPr>
            </w:pPr>
            <w:r>
              <w:rPr>
                <w:rFonts w:hint="eastAsia"/>
                <w:color w:val="auto"/>
                <w:sz w:val="20"/>
                <w:highlight w:val="none"/>
              </w:rPr>
              <w:t>12</w:t>
            </w:r>
          </w:p>
        </w:tc>
        <w:tc>
          <w:tcPr>
            <w:tcW w:w="1271" w:type="dxa"/>
            <w:vAlign w:val="center"/>
          </w:tcPr>
          <w:p w14:paraId="5DDE7CC3">
            <w:pPr>
              <w:pStyle w:val="13"/>
              <w:ind w:firstLine="400"/>
              <w:jc w:val="both"/>
              <w:rPr>
                <w:color w:val="auto"/>
                <w:sz w:val="20"/>
                <w:highlight w:val="none"/>
              </w:rPr>
            </w:pPr>
            <w:r>
              <w:rPr>
                <w:rFonts w:hint="eastAsia"/>
                <w:color w:val="auto"/>
                <w:sz w:val="20"/>
                <w:highlight w:val="none"/>
              </w:rPr>
              <w:t>11.5</w:t>
            </w:r>
          </w:p>
        </w:tc>
        <w:tc>
          <w:tcPr>
            <w:tcW w:w="7268" w:type="dxa"/>
            <w:vAlign w:val="center"/>
          </w:tcPr>
          <w:p w14:paraId="51FDFE7A">
            <w:pPr>
              <w:pStyle w:val="13"/>
              <w:ind w:firstLine="400"/>
              <w:jc w:val="both"/>
              <w:rPr>
                <w:color w:val="auto"/>
                <w:sz w:val="20"/>
                <w:highlight w:val="none"/>
              </w:rPr>
            </w:pPr>
            <w:r>
              <w:rPr>
                <w:rFonts w:hint="eastAsia"/>
                <w:color w:val="auto"/>
                <w:sz w:val="20"/>
                <w:highlight w:val="none"/>
              </w:rPr>
              <w:t>逾期交工违约金限额：</w:t>
            </w:r>
            <w:r>
              <w:rPr>
                <w:rFonts w:hint="eastAsia"/>
                <w:color w:val="auto"/>
                <w:sz w:val="20"/>
                <w:highlight w:val="none"/>
                <w:u w:val="single"/>
              </w:rPr>
              <w:t xml:space="preserve">10%  </w:t>
            </w:r>
            <w:r>
              <w:rPr>
                <w:rFonts w:hint="eastAsia"/>
                <w:color w:val="auto"/>
                <w:sz w:val="20"/>
                <w:highlight w:val="none"/>
              </w:rPr>
              <w:t>签约合同价</w:t>
            </w:r>
          </w:p>
        </w:tc>
      </w:tr>
      <w:tr w14:paraId="7C69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38376C3F">
            <w:pPr>
              <w:pStyle w:val="13"/>
              <w:ind w:firstLine="400"/>
              <w:jc w:val="both"/>
              <w:rPr>
                <w:color w:val="auto"/>
                <w:sz w:val="20"/>
                <w:highlight w:val="none"/>
              </w:rPr>
            </w:pPr>
            <w:r>
              <w:rPr>
                <w:rFonts w:hint="eastAsia"/>
                <w:color w:val="auto"/>
                <w:sz w:val="20"/>
                <w:highlight w:val="none"/>
              </w:rPr>
              <w:t>13</w:t>
            </w:r>
          </w:p>
        </w:tc>
        <w:tc>
          <w:tcPr>
            <w:tcW w:w="1271" w:type="dxa"/>
            <w:vAlign w:val="center"/>
          </w:tcPr>
          <w:p w14:paraId="5B57C446">
            <w:pPr>
              <w:pStyle w:val="13"/>
              <w:ind w:firstLine="400"/>
              <w:jc w:val="both"/>
              <w:rPr>
                <w:color w:val="auto"/>
                <w:sz w:val="20"/>
                <w:highlight w:val="none"/>
              </w:rPr>
            </w:pPr>
            <w:r>
              <w:rPr>
                <w:rFonts w:hint="eastAsia"/>
                <w:color w:val="auto"/>
                <w:sz w:val="20"/>
                <w:highlight w:val="none"/>
              </w:rPr>
              <w:t>15.5.2</w:t>
            </w:r>
          </w:p>
        </w:tc>
        <w:tc>
          <w:tcPr>
            <w:tcW w:w="7268" w:type="dxa"/>
            <w:vAlign w:val="center"/>
          </w:tcPr>
          <w:p w14:paraId="535AE33F">
            <w:pPr>
              <w:spacing w:before="83" w:line="360" w:lineRule="auto"/>
              <w:ind w:left="33" w:right="110" w:firstLine="420"/>
              <w:jc w:val="both"/>
              <w:rPr>
                <w:color w:val="auto"/>
                <w:sz w:val="20"/>
                <w:highlight w:val="none"/>
              </w:rPr>
            </w:pPr>
            <w:r>
              <w:rPr>
                <w:rFonts w:hint="eastAsia"/>
                <w:color w:val="auto"/>
                <w:sz w:val="21"/>
                <w:szCs w:val="21"/>
                <w:highlight w:val="none"/>
              </w:rPr>
              <w:t>承包人提出的合理化建议降低了合同价格或者提高了工程经济效益的，发包人按所节约成本的</w:t>
            </w:r>
            <w:r>
              <w:rPr>
                <w:rFonts w:hint="eastAsia"/>
                <w:color w:val="auto"/>
                <w:sz w:val="21"/>
                <w:szCs w:val="21"/>
                <w:highlight w:val="none"/>
                <w:u w:val="single"/>
              </w:rPr>
              <w:t xml:space="preserve">  / %</w:t>
            </w:r>
            <w:r>
              <w:rPr>
                <w:rFonts w:hint="eastAsia"/>
                <w:color w:val="auto"/>
                <w:sz w:val="21"/>
                <w:szCs w:val="21"/>
                <w:highlight w:val="none"/>
              </w:rPr>
              <w:t xml:space="preserve">或增加收益的 </w:t>
            </w:r>
            <w:r>
              <w:rPr>
                <w:rFonts w:hint="eastAsia"/>
                <w:color w:val="auto"/>
                <w:sz w:val="21"/>
                <w:szCs w:val="21"/>
                <w:highlight w:val="none"/>
                <w:u w:val="single"/>
              </w:rPr>
              <w:t xml:space="preserve"> /  %</w:t>
            </w:r>
            <w:r>
              <w:rPr>
                <w:rFonts w:hint="eastAsia"/>
                <w:color w:val="auto"/>
                <w:sz w:val="21"/>
                <w:szCs w:val="21"/>
                <w:highlight w:val="none"/>
              </w:rPr>
              <w:t>给予奖励</w:t>
            </w:r>
          </w:p>
        </w:tc>
      </w:tr>
      <w:tr w14:paraId="0570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53942D11">
            <w:pPr>
              <w:pStyle w:val="13"/>
              <w:ind w:firstLine="400"/>
              <w:jc w:val="both"/>
              <w:rPr>
                <w:color w:val="auto"/>
                <w:sz w:val="20"/>
                <w:highlight w:val="none"/>
              </w:rPr>
            </w:pPr>
          </w:p>
          <w:p w14:paraId="403A8E94">
            <w:pPr>
              <w:pStyle w:val="13"/>
              <w:ind w:firstLine="400"/>
              <w:jc w:val="both"/>
              <w:rPr>
                <w:color w:val="auto"/>
                <w:sz w:val="20"/>
                <w:highlight w:val="none"/>
              </w:rPr>
            </w:pPr>
            <w:r>
              <w:rPr>
                <w:rFonts w:hint="eastAsia"/>
                <w:color w:val="auto"/>
                <w:sz w:val="20"/>
                <w:highlight w:val="none"/>
              </w:rPr>
              <w:t>14</w:t>
            </w:r>
          </w:p>
        </w:tc>
        <w:tc>
          <w:tcPr>
            <w:tcW w:w="1271" w:type="dxa"/>
            <w:vAlign w:val="center"/>
          </w:tcPr>
          <w:p w14:paraId="004E6CA8">
            <w:pPr>
              <w:pStyle w:val="13"/>
              <w:ind w:firstLine="400"/>
              <w:jc w:val="both"/>
              <w:rPr>
                <w:color w:val="auto"/>
                <w:sz w:val="20"/>
                <w:highlight w:val="none"/>
              </w:rPr>
            </w:pPr>
            <w:r>
              <w:rPr>
                <w:rFonts w:hint="eastAsia"/>
                <w:color w:val="auto"/>
                <w:sz w:val="20"/>
                <w:highlight w:val="none"/>
              </w:rPr>
              <w:t>16.1</w:t>
            </w:r>
          </w:p>
        </w:tc>
        <w:tc>
          <w:tcPr>
            <w:tcW w:w="7268" w:type="dxa"/>
            <w:vAlign w:val="center"/>
          </w:tcPr>
          <w:p w14:paraId="4D7AD426">
            <w:pPr>
              <w:spacing w:before="83" w:line="360" w:lineRule="auto"/>
              <w:ind w:left="33" w:right="110" w:firstLine="420"/>
              <w:jc w:val="both"/>
              <w:rPr>
                <w:color w:val="auto"/>
                <w:sz w:val="21"/>
                <w:szCs w:val="21"/>
                <w:highlight w:val="none"/>
              </w:rPr>
            </w:pPr>
            <w:r>
              <w:rPr>
                <w:rFonts w:hint="eastAsia"/>
                <w:color w:val="auto"/>
                <w:sz w:val="21"/>
                <w:szCs w:val="21"/>
                <w:highlight w:val="none"/>
              </w:rPr>
              <w:t>因物价波动引起的价格调整按照以下原则处理：</w:t>
            </w:r>
          </w:p>
          <w:p w14:paraId="4F014773">
            <w:pPr>
              <w:spacing w:before="83" w:line="360" w:lineRule="auto"/>
              <w:ind w:left="33" w:right="110" w:firstLine="420"/>
              <w:jc w:val="both"/>
              <w:rPr>
                <w:color w:val="auto"/>
                <w:sz w:val="21"/>
                <w:szCs w:val="21"/>
                <w:highlight w:val="none"/>
              </w:rPr>
            </w:pPr>
            <w:r>
              <w:rPr>
                <w:rFonts w:hint="eastAsia"/>
                <w:color w:val="auto"/>
                <w:sz w:val="21"/>
                <w:szCs w:val="21"/>
                <w:highlight w:val="none"/>
              </w:rPr>
              <w:t>□按第16.1.1 项调价，相关约定为：</w:t>
            </w:r>
            <w:r>
              <w:rPr>
                <w:rFonts w:hint="eastAsia"/>
                <w:color w:val="auto"/>
                <w:sz w:val="21"/>
                <w:szCs w:val="21"/>
                <w:highlight w:val="none"/>
                <w:u w:val="single"/>
              </w:rPr>
              <w:t xml:space="preserve">         /</w:t>
            </w:r>
          </w:p>
          <w:p w14:paraId="47805D55">
            <w:pPr>
              <w:spacing w:before="83" w:line="360" w:lineRule="auto"/>
              <w:ind w:left="33" w:right="110" w:firstLine="420"/>
              <w:jc w:val="both"/>
              <w:rPr>
                <w:color w:val="auto"/>
                <w:sz w:val="21"/>
                <w:szCs w:val="21"/>
                <w:highlight w:val="none"/>
              </w:rPr>
            </w:pPr>
            <w:r>
              <w:rPr>
                <w:rFonts w:hint="eastAsia"/>
                <w:color w:val="auto"/>
                <w:sz w:val="21"/>
                <w:szCs w:val="21"/>
                <w:highlight w:val="none"/>
              </w:rPr>
              <w:t>□按第16.1.2 项调价，相关约定为：</w:t>
            </w:r>
            <w:r>
              <w:rPr>
                <w:rFonts w:hint="eastAsia"/>
                <w:color w:val="auto"/>
                <w:sz w:val="21"/>
                <w:szCs w:val="21"/>
                <w:highlight w:val="none"/>
                <w:u w:val="single"/>
              </w:rPr>
              <w:t xml:space="preserve">         /</w:t>
            </w:r>
          </w:p>
          <w:p w14:paraId="4772FFED">
            <w:pPr>
              <w:spacing w:before="83" w:line="360" w:lineRule="auto"/>
              <w:ind w:left="33" w:right="110" w:firstLine="420"/>
              <w:jc w:val="both"/>
              <w:rPr>
                <w:color w:val="auto"/>
                <w:sz w:val="20"/>
                <w:highlight w:val="none"/>
              </w:rPr>
            </w:pPr>
            <w:r>
              <w:rPr>
                <w:rFonts w:hint="eastAsia"/>
                <w:color w:val="auto"/>
                <w:sz w:val="21"/>
                <w:szCs w:val="21"/>
                <w:highlight w:val="none"/>
              </w:rPr>
              <w:t>☑按第16.1.3 项约定不调价。</w:t>
            </w:r>
          </w:p>
        </w:tc>
      </w:tr>
      <w:tr w14:paraId="3F13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02CE5B4">
            <w:pPr>
              <w:pStyle w:val="13"/>
              <w:ind w:firstLine="400"/>
              <w:jc w:val="both"/>
              <w:rPr>
                <w:color w:val="auto"/>
                <w:sz w:val="20"/>
                <w:highlight w:val="none"/>
              </w:rPr>
            </w:pPr>
            <w:r>
              <w:rPr>
                <w:rFonts w:hint="eastAsia"/>
                <w:color w:val="auto"/>
                <w:sz w:val="20"/>
                <w:highlight w:val="none"/>
              </w:rPr>
              <w:t>15</w:t>
            </w:r>
          </w:p>
        </w:tc>
        <w:tc>
          <w:tcPr>
            <w:tcW w:w="1271" w:type="dxa"/>
            <w:vAlign w:val="center"/>
          </w:tcPr>
          <w:p w14:paraId="5ED54192">
            <w:pPr>
              <w:pStyle w:val="13"/>
              <w:ind w:firstLine="400"/>
              <w:jc w:val="both"/>
              <w:rPr>
                <w:color w:val="auto"/>
                <w:sz w:val="20"/>
                <w:highlight w:val="none"/>
              </w:rPr>
            </w:pPr>
            <w:r>
              <w:rPr>
                <w:rFonts w:hint="eastAsia"/>
                <w:color w:val="auto"/>
                <w:sz w:val="20"/>
                <w:highlight w:val="none"/>
              </w:rPr>
              <w:t>17.2.1</w:t>
            </w:r>
          </w:p>
          <w:p w14:paraId="7C4D5008">
            <w:pPr>
              <w:pStyle w:val="13"/>
              <w:ind w:firstLine="400"/>
              <w:jc w:val="both"/>
              <w:rPr>
                <w:color w:val="auto"/>
                <w:sz w:val="20"/>
                <w:highlight w:val="none"/>
              </w:rPr>
            </w:pPr>
            <w:r>
              <w:rPr>
                <w:rFonts w:hint="eastAsia"/>
                <w:color w:val="auto"/>
                <w:sz w:val="20"/>
                <w:highlight w:val="none"/>
              </w:rPr>
              <w:t>（1）</w:t>
            </w:r>
          </w:p>
        </w:tc>
        <w:tc>
          <w:tcPr>
            <w:tcW w:w="7268" w:type="dxa"/>
            <w:vAlign w:val="center"/>
          </w:tcPr>
          <w:p w14:paraId="35446C73">
            <w:pPr>
              <w:pStyle w:val="13"/>
              <w:ind w:firstLine="400"/>
              <w:jc w:val="both"/>
              <w:rPr>
                <w:color w:val="auto"/>
                <w:sz w:val="20"/>
                <w:highlight w:val="none"/>
              </w:rPr>
            </w:pPr>
            <w:r>
              <w:rPr>
                <w:rFonts w:hint="eastAsia"/>
                <w:color w:val="auto"/>
                <w:sz w:val="20"/>
                <w:highlight w:val="none"/>
              </w:rPr>
              <w:t>开工预付款金额：</w:t>
            </w:r>
            <w:r>
              <w:rPr>
                <w:rFonts w:hint="eastAsia"/>
                <w:color w:val="auto"/>
                <w:sz w:val="20"/>
                <w:highlight w:val="none"/>
                <w:u w:val="single"/>
                <w:lang w:val="en-US" w:eastAsia="zh-CN"/>
              </w:rPr>
              <w:t>30</w:t>
            </w:r>
            <w:r>
              <w:rPr>
                <w:rFonts w:hint="eastAsia"/>
                <w:color w:val="auto"/>
                <w:sz w:val="20"/>
                <w:highlight w:val="none"/>
                <w:u w:val="single"/>
              </w:rPr>
              <w:t>%</w:t>
            </w:r>
            <w:r>
              <w:rPr>
                <w:rFonts w:hint="eastAsia"/>
                <w:color w:val="auto"/>
                <w:sz w:val="20"/>
                <w:highlight w:val="none"/>
              </w:rPr>
              <w:t>签约合同价。</w:t>
            </w:r>
          </w:p>
        </w:tc>
      </w:tr>
      <w:tr w14:paraId="08B3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19CF806">
            <w:pPr>
              <w:pStyle w:val="13"/>
              <w:ind w:firstLine="400"/>
              <w:jc w:val="both"/>
              <w:rPr>
                <w:color w:val="auto"/>
                <w:sz w:val="20"/>
                <w:highlight w:val="none"/>
              </w:rPr>
            </w:pPr>
            <w:r>
              <w:rPr>
                <w:rFonts w:hint="eastAsia"/>
                <w:color w:val="auto"/>
                <w:sz w:val="20"/>
                <w:highlight w:val="none"/>
              </w:rPr>
              <w:t>16</w:t>
            </w:r>
          </w:p>
        </w:tc>
        <w:tc>
          <w:tcPr>
            <w:tcW w:w="1271" w:type="dxa"/>
            <w:vAlign w:val="center"/>
          </w:tcPr>
          <w:p w14:paraId="590C8F3D">
            <w:pPr>
              <w:pStyle w:val="13"/>
              <w:ind w:firstLine="400"/>
              <w:jc w:val="both"/>
              <w:rPr>
                <w:color w:val="auto"/>
                <w:sz w:val="20"/>
                <w:highlight w:val="none"/>
              </w:rPr>
            </w:pPr>
            <w:r>
              <w:rPr>
                <w:rFonts w:hint="eastAsia"/>
                <w:color w:val="auto"/>
                <w:sz w:val="20"/>
                <w:highlight w:val="none"/>
              </w:rPr>
              <w:t>17.2.1</w:t>
            </w:r>
          </w:p>
        </w:tc>
        <w:tc>
          <w:tcPr>
            <w:tcW w:w="7268" w:type="dxa"/>
            <w:vAlign w:val="center"/>
          </w:tcPr>
          <w:p w14:paraId="7B844A3B">
            <w:pPr>
              <w:spacing w:before="83" w:line="360" w:lineRule="auto"/>
              <w:ind w:left="33" w:right="110" w:firstLine="420"/>
              <w:jc w:val="both"/>
              <w:rPr>
                <w:color w:val="auto"/>
                <w:sz w:val="20"/>
                <w:highlight w:val="none"/>
              </w:rPr>
            </w:pPr>
            <w:r>
              <w:rPr>
                <w:rFonts w:hint="eastAsia"/>
                <w:color w:val="auto"/>
                <w:sz w:val="21"/>
                <w:szCs w:val="21"/>
                <w:highlight w:val="none"/>
              </w:rPr>
              <w:t>材料、设备预付款比例：钢筋、水泥、沥青、砂、石等主要材料、设备单据所列费用的</w:t>
            </w:r>
            <w:r>
              <w:rPr>
                <w:rFonts w:hint="eastAsia"/>
                <w:color w:val="auto"/>
                <w:sz w:val="21"/>
                <w:szCs w:val="21"/>
                <w:highlight w:val="none"/>
                <w:u w:val="single"/>
              </w:rPr>
              <w:t>70%</w:t>
            </w:r>
          </w:p>
        </w:tc>
      </w:tr>
      <w:tr w14:paraId="0D6C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73DBF992">
            <w:pPr>
              <w:pStyle w:val="13"/>
              <w:ind w:firstLine="400"/>
              <w:jc w:val="both"/>
              <w:rPr>
                <w:color w:val="auto"/>
                <w:sz w:val="20"/>
                <w:highlight w:val="none"/>
              </w:rPr>
            </w:pPr>
            <w:r>
              <w:rPr>
                <w:rFonts w:hint="eastAsia"/>
                <w:color w:val="auto"/>
                <w:sz w:val="20"/>
                <w:highlight w:val="none"/>
              </w:rPr>
              <w:t>17</w:t>
            </w:r>
          </w:p>
        </w:tc>
        <w:tc>
          <w:tcPr>
            <w:tcW w:w="1271" w:type="dxa"/>
            <w:vAlign w:val="center"/>
          </w:tcPr>
          <w:p w14:paraId="07C1F7BC">
            <w:pPr>
              <w:pStyle w:val="13"/>
              <w:ind w:firstLine="400"/>
              <w:jc w:val="both"/>
              <w:rPr>
                <w:color w:val="auto"/>
                <w:sz w:val="20"/>
                <w:highlight w:val="none"/>
              </w:rPr>
            </w:pPr>
            <w:r>
              <w:rPr>
                <w:rFonts w:hint="eastAsia"/>
                <w:color w:val="auto"/>
                <w:sz w:val="20"/>
                <w:highlight w:val="none"/>
              </w:rPr>
              <w:t>17.3.2</w:t>
            </w:r>
          </w:p>
        </w:tc>
        <w:tc>
          <w:tcPr>
            <w:tcW w:w="7268" w:type="dxa"/>
            <w:vAlign w:val="center"/>
          </w:tcPr>
          <w:p w14:paraId="70FAEB40">
            <w:pPr>
              <w:pStyle w:val="13"/>
              <w:ind w:firstLine="400"/>
              <w:jc w:val="both"/>
              <w:rPr>
                <w:color w:val="auto"/>
                <w:sz w:val="20"/>
                <w:highlight w:val="none"/>
              </w:rPr>
            </w:pPr>
            <w:r>
              <w:rPr>
                <w:rFonts w:hint="eastAsia"/>
                <w:color w:val="auto"/>
                <w:sz w:val="20"/>
                <w:highlight w:val="none"/>
              </w:rPr>
              <w:t>承包人在每个付款周期末向发包人提交进度付款申请单的份数：</w:t>
            </w:r>
            <w:r>
              <w:rPr>
                <w:rFonts w:hint="eastAsia"/>
                <w:color w:val="auto"/>
                <w:sz w:val="20"/>
                <w:highlight w:val="none"/>
                <w:u w:val="single"/>
              </w:rPr>
              <w:t>4份</w:t>
            </w:r>
          </w:p>
        </w:tc>
      </w:tr>
      <w:tr w14:paraId="45C37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4E08D424">
            <w:pPr>
              <w:pStyle w:val="13"/>
              <w:ind w:firstLine="400"/>
              <w:jc w:val="both"/>
              <w:rPr>
                <w:color w:val="auto"/>
                <w:sz w:val="20"/>
                <w:highlight w:val="none"/>
              </w:rPr>
            </w:pPr>
            <w:r>
              <w:rPr>
                <w:rFonts w:hint="eastAsia"/>
                <w:color w:val="auto"/>
                <w:sz w:val="20"/>
                <w:highlight w:val="none"/>
              </w:rPr>
              <w:t>18</w:t>
            </w:r>
          </w:p>
        </w:tc>
        <w:tc>
          <w:tcPr>
            <w:tcW w:w="1271" w:type="dxa"/>
            <w:vAlign w:val="center"/>
          </w:tcPr>
          <w:p w14:paraId="6D24C55E">
            <w:pPr>
              <w:pStyle w:val="13"/>
              <w:ind w:firstLine="400"/>
              <w:jc w:val="both"/>
              <w:rPr>
                <w:color w:val="auto"/>
                <w:sz w:val="20"/>
                <w:highlight w:val="none"/>
              </w:rPr>
            </w:pPr>
            <w:r>
              <w:rPr>
                <w:rFonts w:hint="eastAsia"/>
                <w:color w:val="auto"/>
                <w:sz w:val="20"/>
                <w:highlight w:val="none"/>
              </w:rPr>
              <w:t>17.3.3(2)</w:t>
            </w:r>
          </w:p>
        </w:tc>
        <w:tc>
          <w:tcPr>
            <w:tcW w:w="7268" w:type="dxa"/>
            <w:vAlign w:val="center"/>
          </w:tcPr>
          <w:p w14:paraId="1FBB87C5">
            <w:pPr>
              <w:pStyle w:val="13"/>
              <w:ind w:firstLine="400"/>
              <w:jc w:val="both"/>
              <w:rPr>
                <w:color w:val="auto"/>
                <w:sz w:val="20"/>
                <w:highlight w:val="none"/>
              </w:rPr>
            </w:pPr>
            <w:r>
              <w:rPr>
                <w:rFonts w:hint="eastAsia"/>
                <w:color w:val="auto"/>
                <w:sz w:val="20"/>
                <w:highlight w:val="none"/>
              </w:rPr>
              <w:t>逾期付款违约金的利率：</w:t>
            </w:r>
            <w:r>
              <w:rPr>
                <w:rFonts w:hint="eastAsia"/>
                <w:color w:val="auto"/>
                <w:sz w:val="20"/>
                <w:highlight w:val="none"/>
                <w:u w:val="single"/>
              </w:rPr>
              <w:t>0.15‰/天</w:t>
            </w:r>
          </w:p>
        </w:tc>
      </w:tr>
      <w:tr w14:paraId="6E298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7593FF72">
            <w:pPr>
              <w:pStyle w:val="13"/>
              <w:ind w:firstLine="400"/>
              <w:jc w:val="both"/>
              <w:rPr>
                <w:color w:val="auto"/>
                <w:sz w:val="20"/>
                <w:highlight w:val="none"/>
              </w:rPr>
            </w:pPr>
          </w:p>
          <w:p w14:paraId="47380F56">
            <w:pPr>
              <w:pStyle w:val="13"/>
              <w:ind w:firstLine="400"/>
              <w:jc w:val="both"/>
              <w:rPr>
                <w:color w:val="auto"/>
                <w:sz w:val="20"/>
                <w:highlight w:val="none"/>
              </w:rPr>
            </w:pPr>
          </w:p>
          <w:p w14:paraId="2B8C9709">
            <w:pPr>
              <w:pStyle w:val="13"/>
              <w:ind w:firstLine="400"/>
              <w:jc w:val="both"/>
              <w:rPr>
                <w:color w:val="auto"/>
                <w:sz w:val="20"/>
                <w:highlight w:val="none"/>
              </w:rPr>
            </w:pPr>
            <w:r>
              <w:rPr>
                <w:rFonts w:hint="eastAsia"/>
                <w:color w:val="auto"/>
                <w:sz w:val="20"/>
                <w:highlight w:val="none"/>
              </w:rPr>
              <w:t>19</w:t>
            </w:r>
          </w:p>
        </w:tc>
        <w:tc>
          <w:tcPr>
            <w:tcW w:w="1271" w:type="dxa"/>
            <w:vAlign w:val="center"/>
          </w:tcPr>
          <w:p w14:paraId="5799538D">
            <w:pPr>
              <w:pStyle w:val="13"/>
              <w:ind w:firstLine="400"/>
              <w:jc w:val="both"/>
              <w:rPr>
                <w:color w:val="auto"/>
                <w:sz w:val="20"/>
                <w:highlight w:val="none"/>
              </w:rPr>
            </w:pPr>
          </w:p>
          <w:p w14:paraId="164104B1">
            <w:pPr>
              <w:pStyle w:val="13"/>
              <w:ind w:firstLine="400"/>
              <w:jc w:val="both"/>
              <w:rPr>
                <w:color w:val="auto"/>
                <w:sz w:val="20"/>
                <w:highlight w:val="none"/>
              </w:rPr>
            </w:pPr>
          </w:p>
          <w:p w14:paraId="767D0793">
            <w:pPr>
              <w:pStyle w:val="13"/>
              <w:ind w:firstLine="400"/>
              <w:jc w:val="both"/>
              <w:rPr>
                <w:color w:val="auto"/>
                <w:sz w:val="20"/>
                <w:highlight w:val="none"/>
              </w:rPr>
            </w:pPr>
            <w:r>
              <w:rPr>
                <w:rFonts w:hint="eastAsia"/>
                <w:color w:val="auto"/>
                <w:sz w:val="20"/>
                <w:highlight w:val="none"/>
              </w:rPr>
              <w:t>17.4.1</w:t>
            </w:r>
          </w:p>
        </w:tc>
        <w:tc>
          <w:tcPr>
            <w:tcW w:w="7268" w:type="dxa"/>
            <w:vAlign w:val="center"/>
          </w:tcPr>
          <w:p w14:paraId="59185D66">
            <w:pPr>
              <w:spacing w:before="83" w:line="360" w:lineRule="auto"/>
              <w:ind w:left="33" w:right="110" w:firstLine="420"/>
              <w:jc w:val="both"/>
              <w:rPr>
                <w:color w:val="auto"/>
                <w:sz w:val="21"/>
                <w:szCs w:val="21"/>
                <w:highlight w:val="none"/>
              </w:rPr>
            </w:pPr>
            <w:r>
              <w:rPr>
                <w:rFonts w:hint="eastAsia"/>
                <w:color w:val="auto"/>
                <w:sz w:val="21"/>
                <w:szCs w:val="21"/>
                <w:highlight w:val="none"/>
              </w:rPr>
              <w:t>质量保证金金额：</w:t>
            </w:r>
            <w:r>
              <w:rPr>
                <w:rFonts w:hint="eastAsia"/>
                <w:color w:val="auto"/>
                <w:sz w:val="21"/>
                <w:szCs w:val="21"/>
                <w:highlight w:val="none"/>
                <w:u w:val="single"/>
              </w:rPr>
              <w:t>2%</w:t>
            </w:r>
            <w:r>
              <w:rPr>
                <w:rFonts w:hint="eastAsia"/>
                <w:color w:val="auto"/>
                <w:sz w:val="21"/>
                <w:szCs w:val="21"/>
                <w:highlight w:val="none"/>
              </w:rPr>
              <w:t>签约合同价格，每次计量支付前按支付比例2%，转入建设单位指定银行账号。</w:t>
            </w:r>
          </w:p>
          <w:p w14:paraId="34CF5375">
            <w:pPr>
              <w:spacing w:before="83" w:line="360" w:lineRule="auto"/>
              <w:ind w:left="33" w:right="110" w:firstLine="420"/>
              <w:jc w:val="both"/>
              <w:rPr>
                <w:color w:val="auto"/>
                <w:sz w:val="21"/>
                <w:szCs w:val="21"/>
                <w:highlight w:val="none"/>
              </w:rPr>
            </w:pPr>
            <w:r>
              <w:rPr>
                <w:rFonts w:hint="eastAsia"/>
                <w:color w:val="auto"/>
                <w:sz w:val="21"/>
                <w:szCs w:val="21"/>
                <w:highlight w:val="none"/>
              </w:rPr>
              <w:t>质量保证金是否计付利息：</w:t>
            </w:r>
            <w:r>
              <w:rPr>
                <w:rFonts w:hint="eastAsia"/>
                <w:color w:val="auto"/>
                <w:sz w:val="21"/>
                <w:szCs w:val="21"/>
                <w:highlight w:val="none"/>
                <w:u w:val="single"/>
              </w:rPr>
              <w:t xml:space="preserve">    否</w:t>
            </w:r>
          </w:p>
          <w:p w14:paraId="2F75CFF8">
            <w:pPr>
              <w:spacing w:before="83" w:line="360" w:lineRule="auto"/>
              <w:ind w:left="33" w:right="110" w:firstLine="420"/>
              <w:jc w:val="both"/>
              <w:rPr>
                <w:color w:val="auto"/>
                <w:sz w:val="20"/>
                <w:highlight w:val="none"/>
              </w:rPr>
            </w:pPr>
            <w:r>
              <w:rPr>
                <w:rFonts w:hint="eastAsia"/>
                <w:color w:val="auto"/>
                <w:sz w:val="21"/>
                <w:szCs w:val="21"/>
                <w:highlight w:val="none"/>
              </w:rPr>
              <w:t>质量保证金利息的计算方式：</w:t>
            </w:r>
            <w:r>
              <w:rPr>
                <w:rFonts w:hint="eastAsia"/>
                <w:color w:val="auto"/>
                <w:sz w:val="21"/>
                <w:szCs w:val="21"/>
                <w:highlight w:val="none"/>
                <w:u w:val="single"/>
              </w:rPr>
              <w:t xml:space="preserve">     /</w:t>
            </w:r>
          </w:p>
        </w:tc>
      </w:tr>
      <w:tr w14:paraId="2721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4EA0E49">
            <w:pPr>
              <w:pStyle w:val="13"/>
              <w:ind w:firstLine="400"/>
              <w:jc w:val="both"/>
              <w:rPr>
                <w:color w:val="auto"/>
                <w:sz w:val="20"/>
                <w:highlight w:val="none"/>
              </w:rPr>
            </w:pPr>
            <w:r>
              <w:rPr>
                <w:rFonts w:hint="eastAsia"/>
                <w:color w:val="auto"/>
                <w:sz w:val="20"/>
                <w:highlight w:val="none"/>
              </w:rPr>
              <w:t>20</w:t>
            </w:r>
          </w:p>
        </w:tc>
        <w:tc>
          <w:tcPr>
            <w:tcW w:w="1271" w:type="dxa"/>
            <w:vAlign w:val="center"/>
          </w:tcPr>
          <w:p w14:paraId="40D7D962">
            <w:pPr>
              <w:pStyle w:val="13"/>
              <w:ind w:firstLine="400"/>
              <w:jc w:val="both"/>
              <w:rPr>
                <w:color w:val="auto"/>
                <w:sz w:val="20"/>
                <w:highlight w:val="none"/>
              </w:rPr>
            </w:pPr>
            <w:r>
              <w:rPr>
                <w:rFonts w:hint="eastAsia"/>
                <w:color w:val="auto"/>
                <w:sz w:val="20"/>
                <w:highlight w:val="none"/>
              </w:rPr>
              <w:t>17.5.1</w:t>
            </w:r>
          </w:p>
        </w:tc>
        <w:tc>
          <w:tcPr>
            <w:tcW w:w="7268" w:type="dxa"/>
            <w:vAlign w:val="center"/>
          </w:tcPr>
          <w:p w14:paraId="243B0D2D">
            <w:pPr>
              <w:pStyle w:val="13"/>
              <w:ind w:firstLine="400"/>
              <w:jc w:val="both"/>
              <w:rPr>
                <w:color w:val="auto"/>
                <w:sz w:val="20"/>
                <w:highlight w:val="none"/>
              </w:rPr>
            </w:pPr>
            <w:r>
              <w:rPr>
                <w:rFonts w:hint="eastAsia"/>
                <w:color w:val="auto"/>
                <w:sz w:val="20"/>
                <w:highlight w:val="none"/>
              </w:rPr>
              <w:t>承包人向发包人提交交工付款申请单（包括相关证明材料）的份数：</w:t>
            </w:r>
            <w:r>
              <w:rPr>
                <w:rFonts w:hint="eastAsia"/>
                <w:color w:val="auto"/>
                <w:sz w:val="20"/>
                <w:highlight w:val="none"/>
                <w:u w:val="single"/>
              </w:rPr>
              <w:t>5份</w:t>
            </w:r>
          </w:p>
        </w:tc>
      </w:tr>
      <w:tr w14:paraId="74F7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1424FF4F">
            <w:pPr>
              <w:pStyle w:val="13"/>
              <w:ind w:firstLine="400"/>
              <w:jc w:val="both"/>
              <w:rPr>
                <w:color w:val="auto"/>
                <w:sz w:val="20"/>
                <w:highlight w:val="none"/>
              </w:rPr>
            </w:pPr>
            <w:r>
              <w:rPr>
                <w:rFonts w:hint="eastAsia"/>
                <w:color w:val="auto"/>
                <w:sz w:val="20"/>
                <w:highlight w:val="none"/>
              </w:rPr>
              <w:t>21</w:t>
            </w:r>
          </w:p>
        </w:tc>
        <w:tc>
          <w:tcPr>
            <w:tcW w:w="1271" w:type="dxa"/>
            <w:vAlign w:val="center"/>
          </w:tcPr>
          <w:p w14:paraId="4E685ABB">
            <w:pPr>
              <w:pStyle w:val="13"/>
              <w:ind w:firstLine="400"/>
              <w:jc w:val="both"/>
              <w:rPr>
                <w:color w:val="auto"/>
                <w:sz w:val="20"/>
                <w:highlight w:val="none"/>
              </w:rPr>
            </w:pPr>
            <w:r>
              <w:rPr>
                <w:rFonts w:hint="eastAsia"/>
                <w:color w:val="auto"/>
                <w:sz w:val="20"/>
                <w:highlight w:val="none"/>
              </w:rPr>
              <w:t>17.6.1（1）</w:t>
            </w:r>
          </w:p>
        </w:tc>
        <w:tc>
          <w:tcPr>
            <w:tcW w:w="7268" w:type="dxa"/>
            <w:vAlign w:val="center"/>
          </w:tcPr>
          <w:p w14:paraId="785BBBF3">
            <w:pPr>
              <w:pStyle w:val="13"/>
              <w:ind w:firstLine="400"/>
              <w:jc w:val="both"/>
              <w:rPr>
                <w:color w:val="auto"/>
                <w:sz w:val="20"/>
                <w:highlight w:val="none"/>
              </w:rPr>
            </w:pPr>
            <w:r>
              <w:rPr>
                <w:rFonts w:hint="eastAsia"/>
                <w:color w:val="auto"/>
                <w:sz w:val="20"/>
                <w:highlight w:val="none"/>
              </w:rPr>
              <w:t>承包人向发包人提交最终结清申请单（包括相关证明材料）的份数：</w:t>
            </w:r>
            <w:r>
              <w:rPr>
                <w:rFonts w:hint="eastAsia"/>
                <w:color w:val="auto"/>
                <w:sz w:val="20"/>
                <w:highlight w:val="none"/>
                <w:u w:val="single"/>
              </w:rPr>
              <w:t>5份</w:t>
            </w:r>
          </w:p>
        </w:tc>
      </w:tr>
      <w:tr w14:paraId="67AB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BC1AAEE">
            <w:pPr>
              <w:pStyle w:val="13"/>
              <w:ind w:firstLine="400"/>
              <w:jc w:val="both"/>
              <w:rPr>
                <w:color w:val="auto"/>
                <w:sz w:val="20"/>
                <w:highlight w:val="none"/>
              </w:rPr>
            </w:pPr>
            <w:r>
              <w:rPr>
                <w:rFonts w:hint="eastAsia"/>
                <w:color w:val="auto"/>
                <w:sz w:val="20"/>
                <w:highlight w:val="none"/>
              </w:rPr>
              <w:t>22</w:t>
            </w:r>
          </w:p>
        </w:tc>
        <w:tc>
          <w:tcPr>
            <w:tcW w:w="1271" w:type="dxa"/>
            <w:vAlign w:val="center"/>
          </w:tcPr>
          <w:p w14:paraId="7A2931E5">
            <w:pPr>
              <w:pStyle w:val="13"/>
              <w:ind w:firstLine="400"/>
              <w:jc w:val="both"/>
              <w:rPr>
                <w:color w:val="auto"/>
                <w:sz w:val="20"/>
                <w:highlight w:val="none"/>
              </w:rPr>
            </w:pPr>
            <w:r>
              <w:rPr>
                <w:rFonts w:hint="eastAsia"/>
                <w:color w:val="auto"/>
                <w:sz w:val="20"/>
                <w:highlight w:val="none"/>
              </w:rPr>
              <w:t>18.3.1</w:t>
            </w:r>
          </w:p>
        </w:tc>
        <w:tc>
          <w:tcPr>
            <w:tcW w:w="7268" w:type="dxa"/>
            <w:vAlign w:val="center"/>
          </w:tcPr>
          <w:p w14:paraId="51A2755E">
            <w:pPr>
              <w:spacing w:before="83" w:line="360" w:lineRule="auto"/>
              <w:ind w:left="33" w:right="110" w:firstLine="420"/>
              <w:jc w:val="both"/>
              <w:rPr>
                <w:color w:val="auto"/>
                <w:sz w:val="21"/>
                <w:szCs w:val="21"/>
                <w:highlight w:val="none"/>
              </w:rPr>
            </w:pPr>
            <w:r>
              <w:rPr>
                <w:rFonts w:hint="eastAsia"/>
                <w:color w:val="auto"/>
                <w:sz w:val="21"/>
                <w:szCs w:val="21"/>
                <w:highlight w:val="none"/>
              </w:rPr>
              <w:t>承包人提供工程验收资料和验收申请报告的期限：</w:t>
            </w:r>
            <w:r>
              <w:rPr>
                <w:rFonts w:hint="eastAsia"/>
                <w:color w:val="auto"/>
                <w:sz w:val="21"/>
                <w:szCs w:val="21"/>
                <w:highlight w:val="none"/>
                <w:u w:val="single"/>
              </w:rPr>
              <w:t>工程完工3个月内。</w:t>
            </w:r>
          </w:p>
          <w:p w14:paraId="1AEF3146">
            <w:pPr>
              <w:spacing w:before="83" w:line="360" w:lineRule="auto"/>
              <w:ind w:left="33" w:right="110" w:firstLine="420"/>
              <w:jc w:val="both"/>
              <w:rPr>
                <w:color w:val="auto"/>
                <w:sz w:val="20"/>
                <w:highlight w:val="none"/>
              </w:rPr>
            </w:pPr>
            <w:r>
              <w:rPr>
                <w:rFonts w:hint="eastAsia"/>
                <w:color w:val="auto"/>
                <w:sz w:val="21"/>
                <w:szCs w:val="21"/>
                <w:highlight w:val="none"/>
              </w:rPr>
              <w:t>承包人提供工程验收资料和验收申请报告的份数：</w:t>
            </w:r>
            <w:r>
              <w:rPr>
                <w:rFonts w:hint="eastAsia"/>
                <w:color w:val="auto"/>
                <w:sz w:val="21"/>
                <w:szCs w:val="21"/>
                <w:highlight w:val="none"/>
                <w:u w:val="single"/>
              </w:rPr>
              <w:t xml:space="preserve">   5    </w:t>
            </w:r>
            <w:r>
              <w:rPr>
                <w:rFonts w:hint="eastAsia"/>
                <w:color w:val="auto"/>
                <w:sz w:val="21"/>
                <w:szCs w:val="21"/>
                <w:highlight w:val="none"/>
              </w:rPr>
              <w:t>份</w:t>
            </w:r>
          </w:p>
        </w:tc>
      </w:tr>
      <w:tr w14:paraId="584B4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1FDC2F57">
            <w:pPr>
              <w:pStyle w:val="13"/>
              <w:ind w:firstLine="400"/>
              <w:jc w:val="both"/>
              <w:rPr>
                <w:color w:val="auto"/>
                <w:sz w:val="20"/>
                <w:highlight w:val="none"/>
              </w:rPr>
            </w:pPr>
            <w:r>
              <w:rPr>
                <w:rFonts w:hint="eastAsia"/>
                <w:color w:val="auto"/>
                <w:sz w:val="20"/>
                <w:highlight w:val="none"/>
              </w:rPr>
              <w:t>23</w:t>
            </w:r>
          </w:p>
        </w:tc>
        <w:tc>
          <w:tcPr>
            <w:tcW w:w="1271" w:type="dxa"/>
            <w:vAlign w:val="center"/>
          </w:tcPr>
          <w:p w14:paraId="14E8B357">
            <w:pPr>
              <w:pStyle w:val="13"/>
              <w:ind w:firstLine="400"/>
              <w:jc w:val="both"/>
              <w:rPr>
                <w:color w:val="auto"/>
                <w:sz w:val="20"/>
                <w:highlight w:val="none"/>
              </w:rPr>
            </w:pPr>
            <w:r>
              <w:rPr>
                <w:rFonts w:hint="eastAsia"/>
                <w:color w:val="auto"/>
                <w:sz w:val="20"/>
                <w:highlight w:val="none"/>
              </w:rPr>
              <w:t>19.1.2</w:t>
            </w:r>
          </w:p>
        </w:tc>
        <w:tc>
          <w:tcPr>
            <w:tcW w:w="7268" w:type="dxa"/>
            <w:vAlign w:val="center"/>
          </w:tcPr>
          <w:p w14:paraId="1BD5B503">
            <w:pPr>
              <w:pStyle w:val="13"/>
              <w:ind w:firstLine="400"/>
              <w:jc w:val="both"/>
              <w:rPr>
                <w:color w:val="auto"/>
                <w:sz w:val="20"/>
                <w:highlight w:val="none"/>
              </w:rPr>
            </w:pPr>
            <w:r>
              <w:rPr>
                <w:rFonts w:hint="eastAsia"/>
                <w:color w:val="auto"/>
                <w:sz w:val="20"/>
                <w:highlight w:val="none"/>
              </w:rPr>
              <w:t>缺陷责任期：</w:t>
            </w:r>
            <w:r>
              <w:rPr>
                <w:rFonts w:hint="eastAsia"/>
                <w:color w:val="auto"/>
                <w:sz w:val="20"/>
                <w:highlight w:val="none"/>
                <w:u w:val="single"/>
              </w:rPr>
              <w:t>12个月</w:t>
            </w:r>
          </w:p>
        </w:tc>
      </w:tr>
      <w:tr w14:paraId="1443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048F5E88">
            <w:pPr>
              <w:pStyle w:val="13"/>
              <w:ind w:firstLine="400"/>
              <w:jc w:val="both"/>
              <w:rPr>
                <w:color w:val="auto"/>
                <w:sz w:val="20"/>
                <w:highlight w:val="none"/>
              </w:rPr>
            </w:pPr>
          </w:p>
          <w:p w14:paraId="0EB4E3C5">
            <w:pPr>
              <w:pStyle w:val="13"/>
              <w:ind w:firstLine="400"/>
              <w:jc w:val="both"/>
              <w:rPr>
                <w:color w:val="auto"/>
                <w:sz w:val="20"/>
                <w:highlight w:val="none"/>
              </w:rPr>
            </w:pPr>
            <w:r>
              <w:rPr>
                <w:rFonts w:hint="eastAsia"/>
                <w:color w:val="auto"/>
                <w:sz w:val="20"/>
                <w:highlight w:val="none"/>
              </w:rPr>
              <w:t>24</w:t>
            </w:r>
          </w:p>
        </w:tc>
        <w:tc>
          <w:tcPr>
            <w:tcW w:w="1271" w:type="dxa"/>
            <w:vAlign w:val="center"/>
          </w:tcPr>
          <w:p w14:paraId="4966838E">
            <w:pPr>
              <w:pStyle w:val="13"/>
              <w:ind w:firstLine="400"/>
              <w:jc w:val="both"/>
              <w:rPr>
                <w:color w:val="auto"/>
                <w:sz w:val="20"/>
                <w:highlight w:val="none"/>
              </w:rPr>
            </w:pPr>
          </w:p>
          <w:p w14:paraId="1A12CEC8">
            <w:pPr>
              <w:pStyle w:val="13"/>
              <w:ind w:firstLine="400"/>
              <w:jc w:val="both"/>
              <w:rPr>
                <w:color w:val="auto"/>
                <w:sz w:val="20"/>
                <w:highlight w:val="none"/>
              </w:rPr>
            </w:pPr>
            <w:r>
              <w:rPr>
                <w:rFonts w:hint="eastAsia"/>
                <w:color w:val="auto"/>
                <w:sz w:val="20"/>
                <w:highlight w:val="none"/>
              </w:rPr>
              <w:t>20.1</w:t>
            </w:r>
          </w:p>
        </w:tc>
        <w:tc>
          <w:tcPr>
            <w:tcW w:w="7268" w:type="dxa"/>
            <w:vAlign w:val="center"/>
          </w:tcPr>
          <w:p w14:paraId="68F93F72">
            <w:pPr>
              <w:spacing w:before="83" w:line="360" w:lineRule="auto"/>
              <w:ind w:left="33" w:right="110" w:firstLine="420"/>
              <w:jc w:val="both"/>
              <w:rPr>
                <w:color w:val="auto"/>
                <w:sz w:val="20"/>
                <w:highlight w:val="none"/>
              </w:rPr>
            </w:pPr>
            <w:r>
              <w:rPr>
                <w:rFonts w:hint="eastAsia"/>
                <w:color w:val="auto"/>
                <w:sz w:val="21"/>
                <w:szCs w:val="21"/>
                <w:highlight w:val="none"/>
              </w:rPr>
              <w:t>承包人应根据《广西壮族自治区交通运输厅关于推进实施行业工程建设领域安全生产责任保险工作的通知》（桂交安监函〔2021〕89号）要求购买安全生产责任保险。</w:t>
            </w:r>
          </w:p>
        </w:tc>
      </w:tr>
      <w:tr w14:paraId="22E9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20" w:type="dxa"/>
            <w:vAlign w:val="center"/>
          </w:tcPr>
          <w:p w14:paraId="6B94C6AA">
            <w:pPr>
              <w:pStyle w:val="13"/>
              <w:ind w:firstLine="400"/>
              <w:jc w:val="both"/>
              <w:rPr>
                <w:color w:val="auto"/>
                <w:sz w:val="20"/>
                <w:highlight w:val="none"/>
              </w:rPr>
            </w:pPr>
            <w:r>
              <w:rPr>
                <w:rFonts w:hint="eastAsia"/>
                <w:color w:val="auto"/>
                <w:sz w:val="20"/>
                <w:highlight w:val="none"/>
              </w:rPr>
              <w:t>25</w:t>
            </w:r>
          </w:p>
        </w:tc>
        <w:tc>
          <w:tcPr>
            <w:tcW w:w="1271" w:type="dxa"/>
            <w:vAlign w:val="center"/>
          </w:tcPr>
          <w:p w14:paraId="0A9C4CE2">
            <w:pPr>
              <w:pStyle w:val="13"/>
              <w:ind w:firstLine="400"/>
              <w:jc w:val="both"/>
              <w:rPr>
                <w:color w:val="auto"/>
                <w:sz w:val="20"/>
                <w:highlight w:val="none"/>
              </w:rPr>
            </w:pPr>
            <w:r>
              <w:rPr>
                <w:rFonts w:hint="eastAsia"/>
                <w:color w:val="auto"/>
                <w:sz w:val="20"/>
                <w:highlight w:val="none"/>
              </w:rPr>
              <w:t>24.1</w:t>
            </w:r>
          </w:p>
        </w:tc>
        <w:tc>
          <w:tcPr>
            <w:tcW w:w="7268" w:type="dxa"/>
            <w:vAlign w:val="center"/>
          </w:tcPr>
          <w:p w14:paraId="195B5BBC">
            <w:pPr>
              <w:spacing w:before="83" w:line="360" w:lineRule="auto"/>
              <w:ind w:left="33" w:right="110" w:firstLine="420"/>
              <w:jc w:val="both"/>
              <w:rPr>
                <w:color w:val="auto"/>
                <w:sz w:val="21"/>
                <w:szCs w:val="21"/>
                <w:highlight w:val="none"/>
              </w:rPr>
            </w:pPr>
            <w:r>
              <w:rPr>
                <w:rFonts w:hint="eastAsia"/>
                <w:color w:val="auto"/>
                <w:sz w:val="21"/>
                <w:szCs w:val="21"/>
                <w:highlight w:val="none"/>
              </w:rPr>
              <w:t>争议的最终解决方式：发包人所在地的人民法院诉讼。</w:t>
            </w:r>
          </w:p>
          <w:p w14:paraId="77297030">
            <w:pPr>
              <w:spacing w:before="83" w:line="360" w:lineRule="auto"/>
              <w:ind w:left="33" w:right="110" w:firstLine="420"/>
              <w:jc w:val="both"/>
              <w:rPr>
                <w:color w:val="auto"/>
                <w:sz w:val="20"/>
                <w:highlight w:val="none"/>
              </w:rPr>
            </w:pPr>
            <w:r>
              <w:rPr>
                <w:rFonts w:hint="eastAsia"/>
                <w:color w:val="auto"/>
                <w:sz w:val="21"/>
                <w:szCs w:val="21"/>
                <w:highlight w:val="none"/>
              </w:rPr>
              <w:t>如采用仲裁，仲裁委员会名称：</w:t>
            </w:r>
            <w:r>
              <w:rPr>
                <w:rFonts w:hint="eastAsia"/>
                <w:color w:val="auto"/>
                <w:sz w:val="21"/>
                <w:szCs w:val="21"/>
                <w:highlight w:val="none"/>
                <w:u w:val="single"/>
              </w:rPr>
              <w:t xml:space="preserve">     /</w:t>
            </w:r>
          </w:p>
        </w:tc>
      </w:tr>
    </w:tbl>
    <w:p w14:paraId="2D892D48">
      <w:pPr>
        <w:pStyle w:val="13"/>
        <w:ind w:firstLine="400"/>
        <w:rPr>
          <w:color w:val="auto"/>
          <w:sz w:val="20"/>
          <w:highlight w:val="none"/>
        </w:rPr>
      </w:pPr>
    </w:p>
    <w:p w14:paraId="04E88FC5">
      <w:pPr>
        <w:rPr>
          <w:color w:val="auto"/>
          <w:sz w:val="32"/>
          <w:szCs w:val="32"/>
          <w:highlight w:val="none"/>
        </w:rPr>
      </w:pPr>
      <w:r>
        <w:rPr>
          <w:rFonts w:hint="eastAsia"/>
          <w:color w:val="auto"/>
          <w:sz w:val="32"/>
          <w:szCs w:val="32"/>
          <w:highlight w:val="none"/>
        </w:rPr>
        <w:br w:type="page"/>
      </w:r>
    </w:p>
    <w:p w14:paraId="100BCABC">
      <w:pPr>
        <w:spacing w:before="65" w:line="360" w:lineRule="auto"/>
        <w:ind w:left="3428" w:firstLine="640"/>
        <w:rPr>
          <w:color w:val="auto"/>
          <w:sz w:val="32"/>
          <w:szCs w:val="32"/>
          <w:highlight w:val="none"/>
        </w:rPr>
      </w:pPr>
      <w:r>
        <w:rPr>
          <w:rFonts w:hint="eastAsia"/>
          <w:color w:val="auto"/>
          <w:sz w:val="32"/>
          <w:szCs w:val="32"/>
          <w:highlight w:val="none"/>
        </w:rPr>
        <w:t>项目专用合同条款</w:t>
      </w:r>
    </w:p>
    <w:p w14:paraId="3B88AAE2">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color w:val="auto"/>
          <w:spacing w:val="-7"/>
          <w:sz w:val="24"/>
          <w:szCs w:val="24"/>
          <w:highlight w:val="none"/>
        </w:rPr>
      </w:pPr>
      <w:bookmarkStart w:id="128" w:name="OLE_LINK48"/>
      <w:bookmarkStart w:id="129" w:name="OLE_LINK47"/>
      <w:r>
        <w:rPr>
          <w:rFonts w:hint="eastAsia"/>
          <w:color w:val="auto"/>
          <w:sz w:val="24"/>
          <w:szCs w:val="24"/>
          <w:highlight w:val="none"/>
        </w:rPr>
        <w:t>说明：本部分所列的专用合同条款是对“通用合同条款</w:t>
      </w:r>
      <w:r>
        <w:rPr>
          <w:rFonts w:hint="eastAsia"/>
          <w:color w:val="auto"/>
          <w:spacing w:val="-1"/>
          <w:sz w:val="24"/>
          <w:szCs w:val="24"/>
          <w:highlight w:val="none"/>
        </w:rPr>
        <w:t>”中规定必须在专用合</w:t>
      </w:r>
      <w:r>
        <w:rPr>
          <w:rFonts w:hint="eastAsia"/>
          <w:color w:val="auto"/>
          <w:sz w:val="24"/>
          <w:szCs w:val="24"/>
          <w:highlight w:val="none"/>
        </w:rPr>
        <w:t>同条款中明确的内容的集中，发包人编制的“专</w:t>
      </w:r>
      <w:r>
        <w:rPr>
          <w:rFonts w:hint="eastAsia"/>
          <w:color w:val="auto"/>
          <w:spacing w:val="-1"/>
          <w:sz w:val="24"/>
          <w:szCs w:val="24"/>
          <w:highlight w:val="none"/>
        </w:rPr>
        <w:t>用合同条款”不限于本部分所列内</w:t>
      </w:r>
      <w:r>
        <w:rPr>
          <w:rFonts w:hint="eastAsia"/>
          <w:color w:val="auto"/>
          <w:spacing w:val="-7"/>
          <w:sz w:val="24"/>
          <w:szCs w:val="24"/>
          <w:highlight w:val="none"/>
        </w:rPr>
        <w:t>容。</w:t>
      </w:r>
    </w:p>
    <w:p w14:paraId="1CFE1942">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color w:val="auto"/>
          <w:sz w:val="24"/>
          <w:szCs w:val="24"/>
          <w:highlight w:val="none"/>
        </w:rPr>
      </w:pPr>
    </w:p>
    <w:p w14:paraId="02B0B6A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4.1承包人的一般义务</w:t>
      </w:r>
    </w:p>
    <w:p w14:paraId="5CA061B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4.1.11其他义务</w:t>
      </w:r>
    </w:p>
    <w:p w14:paraId="4D7950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37D6381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增加）承包人还应执行广西壮族自治区公路管理局《关于印发广西壮族自治区公路管理局公路工程建设农民工管理实施细则（修订）的通知》(桂路工程发[2014]300号)要求（注：文件内容附后）。各供应商必须对农民工工资保障金的问题作出以下承诺，格式见第八章响应文件格式“农民工工资保证金承诺书”。</w:t>
      </w:r>
    </w:p>
    <w:p w14:paraId="78A324B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（3）（增加）承包人应履行的其他义务：</w:t>
      </w:r>
    </w:p>
    <w:p w14:paraId="5F849E4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a.与本工程项目相关的审计和稽查、检查、视察等活动，承包人应高度重视并有义务委派专人积极予以配合。</w:t>
      </w:r>
    </w:p>
    <w:p w14:paraId="586C14E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b.发包人有权监督检查承包人的供货合同。</w:t>
      </w:r>
    </w:p>
    <w:p w14:paraId="09AE4EA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c.对项目使用的原有道路的维护和管理，以确保正常通行。</w:t>
      </w:r>
    </w:p>
    <w:p w14:paraId="3C58D9F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d.维护社会稳定，避免发生因承包人原因引起施工队伍或施工引起周边群众等群体上访事件。</w:t>
      </w:r>
    </w:p>
    <w:p w14:paraId="773799D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e.承包人应自觉接受交通主管部门、质量监督单位、公路管理机构的监督，对指出的问题进行认真的整改，及时报告处理结果。</w:t>
      </w:r>
    </w:p>
    <w:p w14:paraId="488DDA5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3BBC06F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4.1.12(增加)承包人响应“美丽广西·清洁乡村”行动</w:t>
      </w:r>
    </w:p>
    <w:p w14:paraId="4CC6234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1935BC6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0F32949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4.1.13（增加）</w:t>
      </w:r>
    </w:p>
    <w:p w14:paraId="0902572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发包人有权对承包人已标价工程量清单中的项目单价进行审查，如存在严重不平衡报价、损害发包人利益，则认为该项不平衡报价违反诚实信用原则，有损社会公共利益、扰乱社会经济秩序，认定该项不平衡报价无效；发包人有权在保持投标报价总价不变的情况下进行调价或要求承包人重新组价。</w:t>
      </w:r>
    </w:p>
    <w:p w14:paraId="5AAEB5B8">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4.2  履约保证金</w:t>
      </w:r>
    </w:p>
    <w:p w14:paraId="4E1976BB">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eastAsia"/>
          <w:color w:val="auto"/>
          <w:sz w:val="21"/>
          <w:szCs w:val="21"/>
          <w:highlight w:val="none"/>
          <w:u w:val="single"/>
          <w:lang w:eastAsia="zh-CN"/>
        </w:rPr>
      </w:pPr>
      <w:r>
        <w:rPr>
          <w:rFonts w:hint="eastAsia"/>
          <w:color w:val="auto"/>
          <w:spacing w:val="0"/>
          <w:sz w:val="21"/>
          <w:szCs w:val="21"/>
          <w:highlight w:val="none"/>
        </w:rPr>
        <w:t>4.2.1</w:t>
      </w:r>
      <w:r>
        <w:rPr>
          <w:rFonts w:hint="eastAsia"/>
          <w:color w:val="auto"/>
          <w:sz w:val="21"/>
          <w:szCs w:val="21"/>
          <w:highlight w:val="none"/>
        </w:rPr>
        <w:t>承包人提交履约保证金的形式为：</w:t>
      </w:r>
      <w:r>
        <w:rPr>
          <w:rFonts w:hint="eastAsia"/>
          <w:color w:val="auto"/>
          <w:sz w:val="21"/>
          <w:szCs w:val="21"/>
          <w:highlight w:val="none"/>
          <w:u w:val="single"/>
        </w:rPr>
        <w:t>银行保函/现金/担保机构保函/保险担保保函，金额为 合同价的1%，期限为签订合同开始至合同履行完毕且验收合格，履约保证金需在合同签订前完成提交</w:t>
      </w:r>
      <w:r>
        <w:rPr>
          <w:rFonts w:hint="eastAsia"/>
          <w:color w:val="auto"/>
          <w:sz w:val="21"/>
          <w:szCs w:val="21"/>
          <w:highlight w:val="none"/>
          <w:u w:val="single"/>
          <w:lang w:eastAsia="zh-CN"/>
        </w:rPr>
        <w:t>。</w:t>
      </w:r>
      <w:r>
        <w:rPr>
          <w:rFonts w:ascii="宋体" w:hAnsi="宋体" w:eastAsia="宋体" w:cs="宋体"/>
          <w:color w:val="auto"/>
          <w:sz w:val="24"/>
          <w:szCs w:val="24"/>
          <w:highlight w:val="none"/>
        </w:rPr>
        <w:t>工程项目竣工前，承包人已缴纳履约保证金的，发包人不得同时预留工程质量保证金。</w:t>
      </w:r>
    </w:p>
    <w:p w14:paraId="7EBB5663">
      <w:pPr>
        <w:pStyle w:val="12"/>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4.5  承包人项目经理和项目总工</w:t>
      </w:r>
    </w:p>
    <w:p w14:paraId="7A73C06F">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u w:val="single"/>
        </w:rPr>
      </w:pPr>
      <w:bookmarkStart w:id="130" w:name="bookmark251"/>
      <w:bookmarkEnd w:id="130"/>
      <w:r>
        <w:rPr>
          <w:rFonts w:hint="eastAsia"/>
          <w:color w:val="auto"/>
          <w:spacing w:val="-1"/>
          <w:sz w:val="21"/>
          <w:szCs w:val="21"/>
          <w:highlight w:val="none"/>
        </w:rPr>
        <w:t>4.5.1  承包人项目经理和项目总工的驻场要求：</w:t>
      </w:r>
      <w:r>
        <w:rPr>
          <w:rFonts w:hint="eastAsia"/>
          <w:color w:val="auto"/>
          <w:spacing w:val="-1"/>
          <w:sz w:val="21"/>
          <w:szCs w:val="21"/>
          <w:highlight w:val="none"/>
          <w:u w:val="single"/>
        </w:rPr>
        <w:t>每月不少于22天，项目经理、总工离开工地必须向采购人书面请假，并经项目建设管理机构相关负责人书面同意方能离开，否则视为违约。</w:t>
      </w:r>
    </w:p>
    <w:p w14:paraId="12E83C9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pacing w:val="-1"/>
          <w:sz w:val="21"/>
          <w:szCs w:val="21"/>
          <w:highlight w:val="none"/>
          <w:u w:val="single"/>
        </w:rPr>
      </w:pPr>
      <w:r>
        <w:rPr>
          <w:rFonts w:hint="eastAsia"/>
          <w:color w:val="auto"/>
          <w:sz w:val="21"/>
          <w:szCs w:val="21"/>
          <w:highlight w:val="none"/>
        </w:rPr>
        <w:t>4.5.5（增加）</w:t>
      </w:r>
      <w:bookmarkStart w:id="131" w:name="OLE_LINK114"/>
      <w:bookmarkStart w:id="132" w:name="OLE_LINK115"/>
      <w:r>
        <w:rPr>
          <w:rFonts w:hint="eastAsia"/>
          <w:color w:val="auto"/>
          <w:sz w:val="21"/>
          <w:szCs w:val="21"/>
          <w:highlight w:val="none"/>
        </w:rPr>
        <w:t>承包人更换主要人员的（不管是否经项目法人同意），项目经理处10万元/人次，总工（或技术负责人）处5万元/人次罚款；</w:t>
      </w:r>
      <w:bookmarkEnd w:id="131"/>
      <w:bookmarkEnd w:id="132"/>
    </w:p>
    <w:p w14:paraId="6B7E7EA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outlineLvl w:val="4"/>
        <w:rPr>
          <w:color w:val="auto"/>
          <w:sz w:val="21"/>
          <w:szCs w:val="21"/>
          <w:highlight w:val="none"/>
        </w:rPr>
      </w:pPr>
      <w:r>
        <w:rPr>
          <w:rFonts w:hint="eastAsia"/>
          <w:color w:val="auto"/>
          <w:sz w:val="21"/>
          <w:szCs w:val="21"/>
          <w:highlight w:val="none"/>
        </w:rPr>
        <w:t>4.6承包人</w:t>
      </w:r>
      <w:r>
        <w:rPr>
          <w:rFonts w:hint="eastAsia"/>
          <w:color w:val="auto"/>
          <w:spacing w:val="-1"/>
          <w:sz w:val="21"/>
          <w:szCs w:val="21"/>
          <w:highlight w:val="none"/>
        </w:rPr>
        <w:t>人员</w:t>
      </w:r>
      <w:r>
        <w:rPr>
          <w:rFonts w:hint="eastAsia"/>
          <w:color w:val="auto"/>
          <w:sz w:val="21"/>
          <w:szCs w:val="21"/>
          <w:highlight w:val="none"/>
        </w:rPr>
        <w:t>的管理</w:t>
      </w:r>
    </w:p>
    <w:p w14:paraId="3913086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u w:val="single"/>
        </w:rPr>
      </w:pPr>
      <w:r>
        <w:rPr>
          <w:rFonts w:hint="eastAsia"/>
          <w:color w:val="auto"/>
          <w:sz w:val="21"/>
          <w:szCs w:val="21"/>
          <w:highlight w:val="none"/>
        </w:rPr>
        <w:t>4.6.3 承包人安排在养护作业场地的</w:t>
      </w:r>
      <w:bookmarkStart w:id="133" w:name="OLE_LINK120"/>
      <w:bookmarkStart w:id="134" w:name="OLE_LINK116"/>
      <w:r>
        <w:rPr>
          <w:rFonts w:hint="eastAsia"/>
          <w:color w:val="auto"/>
          <w:sz w:val="21"/>
          <w:szCs w:val="21"/>
          <w:highlight w:val="none"/>
        </w:rPr>
        <w:t>主要管理人员和技术骨干等人员</w:t>
      </w:r>
      <w:bookmarkEnd w:id="133"/>
      <w:bookmarkEnd w:id="134"/>
      <w:r>
        <w:rPr>
          <w:rFonts w:hint="eastAsia"/>
          <w:color w:val="auto"/>
          <w:sz w:val="21"/>
          <w:szCs w:val="21"/>
          <w:highlight w:val="none"/>
        </w:rPr>
        <w:t>的管理要求：</w:t>
      </w:r>
      <w:r>
        <w:rPr>
          <w:rFonts w:hint="eastAsia"/>
          <w:color w:val="auto"/>
          <w:sz w:val="21"/>
          <w:szCs w:val="21"/>
          <w:highlight w:val="none"/>
          <w:u w:val="single"/>
        </w:rPr>
        <w:t>每月驻工地现场时间不应少于22天，</w:t>
      </w:r>
      <w:bookmarkStart w:id="135" w:name="OLE_LINK111"/>
      <w:bookmarkStart w:id="136" w:name="OLE_LINK110"/>
      <w:r>
        <w:rPr>
          <w:rFonts w:hint="eastAsia"/>
          <w:color w:val="auto"/>
          <w:sz w:val="21"/>
          <w:szCs w:val="21"/>
          <w:highlight w:val="none"/>
          <w:u w:val="single"/>
        </w:rPr>
        <w:t>主要管理人员、技术骨干离开工地必须向采购人书面请假，并经项目建设管理机构相关负责人书面同意方能离开，否则视为违约。</w:t>
      </w:r>
    </w:p>
    <w:p w14:paraId="6A73342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4.6.6（增加）承包人更换主要人员的（不管是否经项目法人同意），主要管理人员和技术骨干等人员）处2万元/人次罚款；</w:t>
      </w:r>
    </w:p>
    <w:bookmarkEnd w:id="135"/>
    <w:bookmarkEnd w:id="136"/>
    <w:p w14:paraId="3D41673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outlineLvl w:val="4"/>
        <w:rPr>
          <w:color w:val="auto"/>
          <w:sz w:val="21"/>
          <w:szCs w:val="21"/>
          <w:highlight w:val="none"/>
        </w:rPr>
      </w:pPr>
      <w:r>
        <w:rPr>
          <w:rFonts w:hint="eastAsia"/>
          <w:color w:val="auto"/>
          <w:sz w:val="21"/>
          <w:szCs w:val="21"/>
          <w:highlight w:val="none"/>
        </w:rPr>
        <w:t>4.11合同价款应专款专用</w:t>
      </w:r>
    </w:p>
    <w:p w14:paraId="5252A5C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在原条款末增加：项目法人向承包人支付的工程进度款等为本工程的专款专用资金，承包人违反下述规定的，项目法人将中止其任何款项的支付。</w:t>
      </w:r>
    </w:p>
    <w:p w14:paraId="76F24BE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（1）凡不在项目法人指定银行开户的承包人，项目法人将不对其支付任何款项。</w:t>
      </w:r>
    </w:p>
    <w:p w14:paraId="461E844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3758FDF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6A9F6AA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321F0A6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（5）项目法人有权监督承包人对其雇员的工资发放，项目法人支付的计量支付款，承包人首先应支付民工工资，并做好记录备案。</w:t>
      </w:r>
    </w:p>
    <w:p w14:paraId="3401B6D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4.13不利物质条件</w:t>
      </w:r>
    </w:p>
    <w:p w14:paraId="3FE97B4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4.13.1不利物质条件的范围：</w:t>
      </w:r>
      <w:r>
        <w:rPr>
          <w:rFonts w:hint="eastAsia"/>
          <w:color w:val="auto"/>
          <w:sz w:val="21"/>
          <w:szCs w:val="21"/>
          <w:highlight w:val="none"/>
          <w:u w:val="single"/>
        </w:rPr>
        <w:t>/</w:t>
      </w:r>
    </w:p>
    <w:p w14:paraId="01A0A67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7.交通运输</w:t>
      </w:r>
    </w:p>
    <w:p w14:paraId="213926E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7.3养护路段外交通</w:t>
      </w:r>
    </w:p>
    <w:p w14:paraId="47D448E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（增加）7.3.3为保证道路交通安全及运输畅通，承包人应采取以下措施：</w:t>
      </w:r>
    </w:p>
    <w:p w14:paraId="0100EF7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22.2.3款等相关条款处理，同时发包人可指令采取任何措施疏通，一切费用由承包人承担。</w:t>
      </w:r>
    </w:p>
    <w:p w14:paraId="279D281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7.3.4承包人应加强文明施工，保障道路通畅的管理</w:t>
      </w:r>
    </w:p>
    <w:p w14:paraId="4E07078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（1）承包人在施工期内应按国家、交通主管部门与公路管理机构有关文明施工，保障畅通的规定组织施工，对出现的交通堵塞无条件地采取措施进行疏通。</w:t>
      </w:r>
    </w:p>
    <w:p w14:paraId="08BBDB0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对于施工工程项目：破坏旧路必须作出交通维持与恢复路面通行条件方案并必须取得项目法人的书面批准，未经批准进行旧路开挖与填筑的，项目法人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0C7EDE7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9.2承包人的养护作业安全责任</w:t>
      </w:r>
    </w:p>
    <w:p w14:paraId="513A976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（增加）9.2.11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p>
    <w:p w14:paraId="23B2ABF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9.6运营中的公路道路施工安全（增加）</w:t>
      </w:r>
    </w:p>
    <w:p w14:paraId="67BFFDE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9.6.1承包人进场施工前需到路政部门和安监部门办理上路施工许可证和安全监督等手续，签订路上施工安全协议书，并接受监督。</w:t>
      </w:r>
    </w:p>
    <w:p w14:paraId="585093F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9.6.2在运营公路上进行施工，必须严格执行国家颁布的《公路法》、《安全生产法》、《道路交通标志和标线》（GB5768-1999）、《公路工程施工安全技术规程》（JTJ076）、《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供应商报价时要充分考虑上述设施所需费用，以及施工、生活用水用电的费用，所需费用由供应商考虑在有关报价中，业主不单独进行计量支付。施工标志牌的制作应符合国家有关标准的规定，标志牌版面的反光膜应不低于国标GB5768-1999《道路交通标志和标线》的三级标准。</w:t>
      </w:r>
    </w:p>
    <w:p w14:paraId="0236835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77C1658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9.6.6破除的公路废弃材料应集中废弃到弃土场。</w:t>
      </w:r>
    </w:p>
    <w:p w14:paraId="50D7705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9.6.7日常养护工程施工时，应设置相应防护措施确保公路行人及车流的安全畅通。安全生产发生的一切费用由供应商考虑在有关报价中，业主不单独进行计量支付。由于未采用防护措施或防护措施不力而造成公路下行人、车流受影响的，由承包人承担其责任。</w:t>
      </w:r>
    </w:p>
    <w:p w14:paraId="1BA6386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9.6.8承包人不得在公路路面上拌和公路材料。</w:t>
      </w:r>
    </w:p>
    <w:p w14:paraId="2137C42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9.6.9承包人须将拟施工点报发包人审批后，方可进行施工。</w:t>
      </w:r>
    </w:p>
    <w:p w14:paraId="742A204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10.1合同进度计划</w:t>
      </w:r>
    </w:p>
    <w:p w14:paraId="4CF5F20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承包人编制施工计划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CCF4F4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11.4异常恶劣的气候条件</w:t>
      </w:r>
    </w:p>
    <w:p w14:paraId="13836A3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异常恶劣的气候条件的范围：对本项目而言，指发生烈度7度（含7度）以上地震、龙卷风、施工场地受淹超过项目法人提供的设计图纸指明的设计洪水水位引起的延误的情况。</w:t>
      </w:r>
    </w:p>
    <w:p w14:paraId="5816729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增加：异常恶劣的气候条件，政府及有关部门预先有预报的，由于承包人没有应急措施或没有采取应急措施的，造成的损失和工期延误，由承包人负责。</w:t>
      </w:r>
    </w:p>
    <w:p w14:paraId="0730F15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（增加）11.7其它进度要求</w:t>
      </w:r>
    </w:p>
    <w:p w14:paraId="51BA864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（1）承包人应加强工程进度计划管理，努力实现均衡组织施工的目标。</w:t>
      </w:r>
    </w:p>
    <w:p w14:paraId="7830F10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a.养护工作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693C9B9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b.路面碎石材料的采备应与路基施工进度同步，以保证路面施工进度。</w:t>
      </w:r>
    </w:p>
    <w:p w14:paraId="141DD84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c.桥梁、主要涵洞、高大支挡结构、旧路改建（破坏旧路路面）的路面等关键工程及分项应有独立详细的施工组织设计，并采取措施确保落实。</w:t>
      </w:r>
    </w:p>
    <w:p w14:paraId="4684F39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12．暂停养护作业</w:t>
      </w:r>
    </w:p>
    <w:p w14:paraId="1EF313A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12.1承包人暂停养护作业的责任</w:t>
      </w:r>
    </w:p>
    <w:p w14:paraId="4268C8D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 xml:space="preserve"> 12.1(6）由承包人承担的其他暂停养护作业的情形：/</w:t>
      </w:r>
    </w:p>
    <w:p w14:paraId="48B1717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13.2承包人的质量检查</w:t>
      </w:r>
    </w:p>
    <w:p w14:paraId="5AFFF4A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增加内容：（1）落实质量责任制和质量保证体系</w:t>
      </w:r>
    </w:p>
    <w:p w14:paraId="03FA445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分项工程施工现场应实行质量责任牌管理，写明作业内容、项目质量管理责任人（施工单位、建设管理机构）和质量管理举报电话；</w:t>
      </w:r>
    </w:p>
    <w:p w14:paraId="649DA94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（2）认真执行质量检查制度：</w:t>
      </w:r>
    </w:p>
    <w:p w14:paraId="76F87EBC">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bCs/>
          <w:color w:val="auto"/>
          <w:sz w:val="21"/>
          <w:szCs w:val="21"/>
          <w:highlight w:val="none"/>
        </w:rPr>
      </w:pPr>
      <w:r>
        <w:rPr>
          <w:rFonts w:hint="eastAsia"/>
          <w:b/>
          <w:bCs/>
          <w:color w:val="auto"/>
          <w:sz w:val="21"/>
          <w:szCs w:val="21"/>
          <w:highlight w:val="none"/>
        </w:rPr>
        <w:t>按照《公路养护技术规范》（JTGH10-2009）、《公路桥涵养护规范》（JTGH11-2004）、《公路隧道养护技术规范》（JTGH12-2015）、《公路养护安全作业规程》（JTGH30-2015）、《公路养护工程质量检验评定标准》第一册土建工程(JTG5220—2020)、《公路工程质量检验评定标准》（JTGF80/1-2017）、《公路养护技术标椎》（JTG5110-2023）等要求对公路进行路基路面小修保养工程。</w:t>
      </w:r>
    </w:p>
    <w:p w14:paraId="6C16783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(3)承包人应加强文明施工，保障道路通畅的管理</w:t>
      </w:r>
    </w:p>
    <w:p w14:paraId="1587F84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a.承包人在施工期内应按国家、交通主管部门与公路管理机构文明施工，保障畅通的有关规定组织施工，对出现的交通堵塞无条件地采取措施进行疏通。</w:t>
      </w:r>
    </w:p>
    <w:p w14:paraId="142F0C2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b.破坏旧路必须作出交通维持与恢复路面通行条件方案并必须取得业主的批准，未经批准进行旧路开挖与填筑的，业主有权责令停工，并由承包人恢复原良好的通车条件，并需承担一切费用。</w:t>
      </w:r>
    </w:p>
    <w:p w14:paraId="1218F55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c.不得在道路上堆放材料或占道施工影响交通。</w:t>
      </w:r>
    </w:p>
    <w:p w14:paraId="6E101E5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路基、路面施工应避免出现晴天扬尘，雨天打滑影响安全与交通和影响群众生活、生产的现象。维持交通的路基施工应保证表面平整，保证通畅。</w:t>
      </w:r>
    </w:p>
    <w:p w14:paraId="3867C7EC">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bCs/>
          <w:color w:val="auto"/>
          <w:sz w:val="21"/>
          <w:szCs w:val="21"/>
          <w:highlight w:val="none"/>
        </w:rPr>
      </w:pPr>
      <w:r>
        <w:rPr>
          <w:rFonts w:hint="eastAsia"/>
          <w:b/>
          <w:bCs/>
          <w:color w:val="auto"/>
          <w:sz w:val="21"/>
          <w:szCs w:val="21"/>
          <w:highlight w:val="none"/>
        </w:rPr>
        <w:t>（4）承包人应在拌合站或关键施工点建立云监控影像视频。</w:t>
      </w:r>
    </w:p>
    <w:p w14:paraId="1414E6A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（5）承包人应自觉接受交通主管部门、质量监督单位、公路管理机构的监督，对指出的问题进行认真的整改，及时报告处理结果。</w:t>
      </w:r>
    </w:p>
    <w:p w14:paraId="7D275E1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在整个施工过程中，项目业主对承包人履行责任有权进行监督，并向承包人提出整改要求。承包人应认真履行责任，执行业主的指令，否则将按第22.1.1款视为承包人违约。</w:t>
      </w:r>
    </w:p>
    <w:p w14:paraId="34EB41A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13.5工程隐蔽部位覆盖前的检查</w:t>
      </w:r>
    </w:p>
    <w:p w14:paraId="7A50D38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  路面修补隐蔽部位覆盖前应经发包人检查确认,分阶段(工序)进行拍摄或照相,并向发包人提供相关影像相片等书面资料作为计量支付的依据，否则不应给予计量.</w:t>
      </w:r>
    </w:p>
    <w:p w14:paraId="65E02B5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15.3变更</w:t>
      </w:r>
    </w:p>
    <w:p w14:paraId="6372377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（增加）15.3.3项补充：因工作需要发生工程量变化的，由项目业主根据实际情况对工程量清单中的工程数量作出调整，并列入计划下达给承包方。</w:t>
      </w:r>
    </w:p>
    <w:p w14:paraId="527AD49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15.4.4  变更工作在已标价工程量清单中无适用或类似子目的单价时，确定其单</w:t>
      </w:r>
      <w:r>
        <w:rPr>
          <w:rFonts w:hint="eastAsia"/>
          <w:color w:val="auto"/>
          <w:spacing w:val="-1"/>
          <w:sz w:val="21"/>
          <w:szCs w:val="21"/>
          <w:highlight w:val="none"/>
        </w:rPr>
        <w:t>价遵循的原则为：</w:t>
      </w:r>
      <w:r>
        <w:rPr>
          <w:rFonts w:hint="eastAsia"/>
          <w:color w:val="auto"/>
          <w:sz w:val="21"/>
          <w:szCs w:val="21"/>
          <w:highlight w:val="none"/>
          <w:u w:val="single"/>
        </w:rPr>
        <w:t xml:space="preserve">由发包人与承包人双方商定或确定单价。  </w:t>
      </w:r>
    </w:p>
    <w:p w14:paraId="0035426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15.8暂估价</w:t>
      </w:r>
    </w:p>
    <w:p w14:paraId="594BB53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按暂估价确定</w:t>
      </w:r>
      <w:r>
        <w:rPr>
          <w:rFonts w:hint="eastAsia"/>
          <w:color w:val="auto"/>
          <w:spacing w:val="-1"/>
          <w:sz w:val="21"/>
          <w:szCs w:val="21"/>
          <w:highlight w:val="none"/>
        </w:rPr>
        <w:t>的工程、材料、工程设备、服务的实施主体为：</w:t>
      </w:r>
      <w:r>
        <w:rPr>
          <w:rFonts w:hint="eastAsia"/>
          <w:b/>
          <w:bCs/>
          <w:color w:val="auto"/>
          <w:spacing w:val="-2"/>
          <w:sz w:val="21"/>
          <w:szCs w:val="21"/>
          <w:highlight w:val="none"/>
          <w:u w:val="single"/>
        </w:rPr>
        <w:t>承包人。</w:t>
      </w:r>
    </w:p>
    <w:p w14:paraId="377387C4">
      <w:pPr>
        <w:keepNext w:val="0"/>
        <w:keepLines w:val="0"/>
        <w:pageBreakBefore w:val="0"/>
        <w:widowControl w:val="0"/>
        <w:kinsoku/>
        <w:wordWrap/>
        <w:overflowPunct/>
        <w:topLinePunct w:val="0"/>
        <w:autoSpaceDE w:val="0"/>
        <w:autoSpaceDN w:val="0"/>
        <w:bidi w:val="0"/>
        <w:adjustRightInd/>
        <w:snapToGrid/>
        <w:spacing w:line="360" w:lineRule="auto"/>
        <w:ind w:left="0" w:right="0" w:firstLine="402" w:firstLineChars="200"/>
        <w:textAlignment w:val="auto"/>
        <w:outlineLvl w:val="3"/>
        <w:rPr>
          <w:color w:val="auto"/>
          <w:sz w:val="21"/>
          <w:szCs w:val="21"/>
          <w:highlight w:val="none"/>
        </w:rPr>
      </w:pPr>
      <w:r>
        <w:rPr>
          <w:rFonts w:hint="eastAsia"/>
          <w:b/>
          <w:bCs/>
          <w:color w:val="auto"/>
          <w:spacing w:val="-5"/>
          <w:sz w:val="21"/>
          <w:szCs w:val="21"/>
          <w:highlight w:val="none"/>
        </w:rPr>
        <w:t>16.价格调整</w:t>
      </w:r>
    </w:p>
    <w:p w14:paraId="4BAE0FF2">
      <w:pPr>
        <w:keepNext w:val="0"/>
        <w:keepLines w:val="0"/>
        <w:pageBreakBefore w:val="0"/>
        <w:widowControl w:val="0"/>
        <w:kinsoku/>
        <w:wordWrap/>
        <w:overflowPunct/>
        <w:topLinePunct w:val="0"/>
        <w:autoSpaceDE w:val="0"/>
        <w:autoSpaceDN w:val="0"/>
        <w:bidi w:val="0"/>
        <w:adjustRightInd/>
        <w:snapToGrid/>
        <w:spacing w:line="360" w:lineRule="auto"/>
        <w:ind w:left="0" w:right="0" w:firstLine="414" w:firstLineChars="200"/>
        <w:textAlignment w:val="auto"/>
        <w:outlineLvl w:val="4"/>
        <w:rPr>
          <w:b/>
          <w:bCs/>
          <w:color w:val="auto"/>
          <w:spacing w:val="-2"/>
          <w:sz w:val="21"/>
          <w:szCs w:val="21"/>
          <w:highlight w:val="none"/>
        </w:rPr>
      </w:pPr>
      <w:r>
        <w:rPr>
          <w:rFonts w:hint="eastAsia"/>
          <w:b/>
          <w:bCs/>
          <w:color w:val="auto"/>
          <w:spacing w:val="-2"/>
          <w:sz w:val="21"/>
          <w:szCs w:val="21"/>
          <w:highlight w:val="none"/>
        </w:rPr>
        <w:t>16.1  物价波动引起的价格调整</w:t>
      </w:r>
    </w:p>
    <w:p w14:paraId="74E0AEE1">
      <w:pPr>
        <w:keepNext w:val="0"/>
        <w:keepLines w:val="0"/>
        <w:pageBreakBefore w:val="0"/>
        <w:widowControl w:val="0"/>
        <w:kinsoku/>
        <w:wordWrap/>
        <w:overflowPunct/>
        <w:topLinePunct w:val="0"/>
        <w:autoSpaceDE w:val="0"/>
        <w:autoSpaceDN w:val="0"/>
        <w:bidi w:val="0"/>
        <w:adjustRightInd/>
        <w:snapToGrid/>
        <w:spacing w:line="360" w:lineRule="auto"/>
        <w:ind w:left="0" w:right="0" w:firstLine="414" w:firstLineChars="200"/>
        <w:textAlignment w:val="auto"/>
        <w:outlineLvl w:val="4"/>
        <w:rPr>
          <w:b/>
          <w:bCs/>
          <w:color w:val="auto"/>
          <w:spacing w:val="-2"/>
          <w:sz w:val="21"/>
          <w:szCs w:val="21"/>
          <w:highlight w:val="none"/>
        </w:rPr>
      </w:pPr>
      <w:r>
        <w:rPr>
          <w:rFonts w:hint="eastAsia"/>
          <w:b/>
          <w:bCs/>
          <w:color w:val="auto"/>
          <w:spacing w:val="-2"/>
          <w:sz w:val="21"/>
          <w:szCs w:val="21"/>
          <w:highlight w:val="none"/>
        </w:rPr>
        <w:t>本款修改为：</w:t>
      </w:r>
    </w:p>
    <w:p w14:paraId="327C89BB">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在合同履行期间，由于人工、材料和设备价格的上涨而引起养护成本增加的风险由承包人自行承担，合同价不予调整。</w:t>
      </w:r>
    </w:p>
    <w:p w14:paraId="518E4518">
      <w:pPr>
        <w:keepNext w:val="0"/>
        <w:keepLines w:val="0"/>
        <w:pageBreakBefore w:val="0"/>
        <w:widowControl w:val="0"/>
        <w:kinsoku/>
        <w:wordWrap/>
        <w:overflowPunct/>
        <w:topLinePunct w:val="0"/>
        <w:autoSpaceDE w:val="0"/>
        <w:autoSpaceDN w:val="0"/>
        <w:bidi w:val="0"/>
        <w:adjustRightInd/>
        <w:snapToGrid/>
        <w:spacing w:line="360" w:lineRule="auto"/>
        <w:ind w:left="0" w:right="0" w:firstLine="412" w:firstLineChars="200"/>
        <w:textAlignment w:val="auto"/>
        <w:rPr>
          <w:color w:val="auto"/>
          <w:sz w:val="21"/>
          <w:szCs w:val="21"/>
          <w:highlight w:val="none"/>
        </w:rPr>
      </w:pPr>
      <w:r>
        <w:rPr>
          <w:rFonts w:hint="eastAsia"/>
          <w:color w:val="auto"/>
          <w:spacing w:val="-2"/>
          <w:sz w:val="21"/>
          <w:szCs w:val="21"/>
          <w:highlight w:val="none"/>
        </w:rPr>
        <w:t>16.1.1  采用造价信息调整价格差额</w:t>
      </w:r>
    </w:p>
    <w:p w14:paraId="7829F386">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z w:val="21"/>
          <w:szCs w:val="21"/>
          <w:highlight w:val="none"/>
        </w:rPr>
      </w:pPr>
      <w:r>
        <w:rPr>
          <w:rFonts w:hint="eastAsia"/>
          <w:color w:val="auto"/>
          <w:spacing w:val="-1"/>
          <w:sz w:val="21"/>
          <w:szCs w:val="21"/>
          <w:highlight w:val="none"/>
        </w:rPr>
        <w:t>16.1.1.1  需要进行价格调整的材</w:t>
      </w:r>
      <w:r>
        <w:rPr>
          <w:rFonts w:hint="eastAsia"/>
          <w:color w:val="auto"/>
          <w:spacing w:val="-2"/>
          <w:sz w:val="21"/>
          <w:szCs w:val="21"/>
          <w:highlight w:val="none"/>
        </w:rPr>
        <w:t>料的种类为</w:t>
      </w:r>
      <w:r>
        <w:rPr>
          <w:rFonts w:hint="eastAsia"/>
          <w:color w:val="auto"/>
          <w:sz w:val="21"/>
          <w:szCs w:val="21"/>
          <w:highlight w:val="none"/>
        </w:rPr>
        <w:t>：</w:t>
      </w:r>
      <w:r>
        <w:rPr>
          <w:rFonts w:hint="eastAsia"/>
          <w:color w:val="auto"/>
          <w:sz w:val="21"/>
          <w:szCs w:val="21"/>
          <w:highlight w:val="none"/>
          <w:u w:val="single"/>
        </w:rPr>
        <w:t>/</w:t>
      </w:r>
      <w:r>
        <w:rPr>
          <w:rFonts w:hint="eastAsia"/>
          <w:color w:val="auto"/>
          <w:sz w:val="21"/>
          <w:szCs w:val="21"/>
          <w:highlight w:val="none"/>
        </w:rPr>
        <w:t>；</w:t>
      </w:r>
    </w:p>
    <w:p w14:paraId="415CD991">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z w:val="21"/>
          <w:szCs w:val="21"/>
          <w:highlight w:val="none"/>
        </w:rPr>
      </w:pPr>
      <w:r>
        <w:rPr>
          <w:rFonts w:hint="eastAsia"/>
          <w:color w:val="auto"/>
          <w:spacing w:val="-1"/>
          <w:sz w:val="21"/>
          <w:szCs w:val="21"/>
          <w:highlight w:val="none"/>
        </w:rPr>
        <w:t>发布的养护项目所在地的材料信息价机构</w:t>
      </w:r>
      <w:r>
        <w:rPr>
          <w:rFonts w:hint="eastAsia"/>
          <w:color w:val="auto"/>
          <w:spacing w:val="1"/>
          <w:sz w:val="21"/>
          <w:szCs w:val="21"/>
          <w:highlight w:val="none"/>
        </w:rPr>
        <w:t>：</w:t>
      </w:r>
      <w:r>
        <w:rPr>
          <w:rFonts w:hint="eastAsia"/>
          <w:color w:val="auto"/>
          <w:sz w:val="21"/>
          <w:szCs w:val="21"/>
          <w:highlight w:val="none"/>
          <w:u w:val="single"/>
        </w:rPr>
        <w:t>/</w:t>
      </w:r>
      <w:r>
        <w:rPr>
          <w:rFonts w:hint="eastAsia"/>
          <w:color w:val="auto"/>
          <w:spacing w:val="1"/>
          <w:sz w:val="21"/>
          <w:szCs w:val="21"/>
          <w:highlight w:val="none"/>
        </w:rPr>
        <w:t>；</w:t>
      </w:r>
    </w:p>
    <w:p w14:paraId="55A14BCE">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z w:val="21"/>
          <w:szCs w:val="21"/>
          <w:highlight w:val="none"/>
        </w:rPr>
      </w:pPr>
      <w:r>
        <w:rPr>
          <w:rFonts w:hint="eastAsia"/>
          <w:color w:val="auto"/>
          <w:spacing w:val="-1"/>
          <w:sz w:val="21"/>
          <w:szCs w:val="21"/>
          <w:highlight w:val="none"/>
        </w:rPr>
        <w:t>承包人在本计量周期内已完成实体工程量的材料数量</w:t>
      </w:r>
      <w:r>
        <w:rPr>
          <w:rFonts w:hint="eastAsia"/>
          <w:color w:val="auto"/>
          <w:spacing w:val="6"/>
          <w:sz w:val="21"/>
          <w:szCs w:val="21"/>
          <w:highlight w:val="none"/>
        </w:rPr>
        <w:t>：</w:t>
      </w:r>
      <w:r>
        <w:rPr>
          <w:rFonts w:hint="eastAsia"/>
          <w:color w:val="auto"/>
          <w:sz w:val="21"/>
          <w:szCs w:val="21"/>
          <w:highlight w:val="none"/>
          <w:u w:val="single"/>
        </w:rPr>
        <w:t>/</w:t>
      </w:r>
      <w:r>
        <w:rPr>
          <w:rFonts w:hint="eastAsia"/>
          <w:color w:val="auto"/>
          <w:spacing w:val="6"/>
          <w:sz w:val="21"/>
          <w:szCs w:val="21"/>
          <w:highlight w:val="none"/>
        </w:rPr>
        <w:t>；</w:t>
      </w:r>
    </w:p>
    <w:p w14:paraId="2ABC6E30">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b/>
          <w:bCs/>
          <w:color w:val="auto"/>
          <w:spacing w:val="-3"/>
          <w:sz w:val="21"/>
          <w:szCs w:val="21"/>
          <w:highlight w:val="none"/>
        </w:rPr>
      </w:pPr>
      <w:r>
        <w:rPr>
          <w:rFonts w:hint="eastAsia"/>
          <w:color w:val="auto"/>
          <w:spacing w:val="-1"/>
          <w:sz w:val="21"/>
          <w:szCs w:val="21"/>
          <w:highlight w:val="none"/>
        </w:rPr>
        <w:t>风险幅度系数：</w:t>
      </w:r>
      <w:r>
        <w:rPr>
          <w:rFonts w:hint="eastAsia"/>
          <w:color w:val="auto"/>
          <w:spacing w:val="-1"/>
          <w:sz w:val="21"/>
          <w:szCs w:val="21"/>
          <w:highlight w:val="none"/>
          <w:u w:val="single"/>
        </w:rPr>
        <w:t>/</w:t>
      </w:r>
      <w:r>
        <w:rPr>
          <w:rFonts w:hint="eastAsia"/>
          <w:color w:val="auto"/>
          <w:spacing w:val="-1"/>
          <w:sz w:val="21"/>
          <w:szCs w:val="21"/>
          <w:highlight w:val="none"/>
        </w:rPr>
        <w:t>。</w:t>
      </w:r>
    </w:p>
    <w:p w14:paraId="1E70F151">
      <w:pPr>
        <w:keepNext w:val="0"/>
        <w:keepLines w:val="0"/>
        <w:pageBreakBefore w:val="0"/>
        <w:widowControl w:val="0"/>
        <w:kinsoku/>
        <w:wordWrap/>
        <w:overflowPunct/>
        <w:topLinePunct w:val="0"/>
        <w:autoSpaceDE w:val="0"/>
        <w:autoSpaceDN w:val="0"/>
        <w:bidi w:val="0"/>
        <w:adjustRightInd/>
        <w:snapToGrid/>
        <w:spacing w:line="360" w:lineRule="auto"/>
        <w:ind w:left="0" w:right="0" w:firstLine="398" w:firstLineChars="200"/>
        <w:textAlignment w:val="auto"/>
        <w:outlineLvl w:val="4"/>
        <w:rPr>
          <w:color w:val="auto"/>
          <w:sz w:val="21"/>
          <w:szCs w:val="21"/>
          <w:highlight w:val="none"/>
        </w:rPr>
      </w:pPr>
      <w:r>
        <w:rPr>
          <w:rFonts w:hint="eastAsia"/>
          <w:b/>
          <w:bCs/>
          <w:color w:val="auto"/>
          <w:spacing w:val="-6"/>
          <w:sz w:val="21"/>
          <w:szCs w:val="21"/>
          <w:highlight w:val="none"/>
        </w:rPr>
        <w:t>17.1计量</w:t>
      </w:r>
    </w:p>
    <w:p w14:paraId="5A38F975">
      <w:pPr>
        <w:keepNext w:val="0"/>
        <w:keepLines w:val="0"/>
        <w:pageBreakBefore w:val="0"/>
        <w:widowControl w:val="0"/>
        <w:kinsoku/>
        <w:wordWrap/>
        <w:overflowPunct/>
        <w:topLinePunct w:val="0"/>
        <w:autoSpaceDE w:val="0"/>
        <w:autoSpaceDN w:val="0"/>
        <w:bidi w:val="0"/>
        <w:adjustRightInd/>
        <w:snapToGrid/>
        <w:spacing w:line="360" w:lineRule="auto"/>
        <w:ind w:left="0" w:right="0" w:firstLine="408" w:firstLineChars="200"/>
        <w:textAlignment w:val="auto"/>
        <w:rPr>
          <w:color w:val="auto"/>
          <w:sz w:val="21"/>
          <w:szCs w:val="21"/>
          <w:highlight w:val="none"/>
        </w:rPr>
      </w:pPr>
      <w:r>
        <w:rPr>
          <w:rFonts w:hint="eastAsia"/>
          <w:color w:val="auto"/>
          <w:spacing w:val="-3"/>
          <w:sz w:val="21"/>
          <w:szCs w:val="21"/>
          <w:highlight w:val="none"/>
        </w:rPr>
        <w:t>17.1.3  计量周期</w:t>
      </w:r>
    </w:p>
    <w:p w14:paraId="504F4B49">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z w:val="21"/>
          <w:szCs w:val="21"/>
          <w:highlight w:val="none"/>
        </w:rPr>
      </w:pPr>
      <w:r>
        <w:rPr>
          <w:rFonts w:hint="eastAsia"/>
          <w:color w:val="auto"/>
          <w:spacing w:val="-1"/>
          <w:sz w:val="21"/>
          <w:szCs w:val="21"/>
          <w:highlight w:val="none"/>
        </w:rPr>
        <w:t>（2）总价子目的计量周期：</w:t>
      </w:r>
      <w:r>
        <w:rPr>
          <w:rFonts w:hint="eastAsia"/>
          <w:color w:val="auto"/>
          <w:spacing w:val="4"/>
          <w:sz w:val="21"/>
          <w:szCs w:val="21"/>
          <w:highlight w:val="none"/>
          <w:u w:val="single"/>
        </w:rPr>
        <w:t>按实际支出进度。</w:t>
      </w:r>
    </w:p>
    <w:p w14:paraId="2AC51EB4">
      <w:pPr>
        <w:keepNext w:val="0"/>
        <w:keepLines w:val="0"/>
        <w:pageBreakBefore w:val="0"/>
        <w:widowControl w:val="0"/>
        <w:kinsoku/>
        <w:wordWrap/>
        <w:overflowPunct/>
        <w:topLinePunct w:val="0"/>
        <w:autoSpaceDE w:val="0"/>
        <w:autoSpaceDN w:val="0"/>
        <w:bidi w:val="0"/>
        <w:adjustRightInd/>
        <w:snapToGrid/>
        <w:spacing w:line="360" w:lineRule="auto"/>
        <w:ind w:left="0" w:right="0" w:firstLine="412" w:firstLineChars="200"/>
        <w:textAlignment w:val="auto"/>
        <w:rPr>
          <w:color w:val="auto"/>
          <w:sz w:val="21"/>
          <w:szCs w:val="21"/>
          <w:highlight w:val="none"/>
        </w:rPr>
      </w:pPr>
      <w:r>
        <w:rPr>
          <w:rFonts w:hint="eastAsia"/>
          <w:color w:val="auto"/>
          <w:spacing w:val="-2"/>
          <w:sz w:val="21"/>
          <w:szCs w:val="21"/>
          <w:highlight w:val="none"/>
        </w:rPr>
        <w:t>17.1.5  总价子目的计量</w:t>
      </w:r>
    </w:p>
    <w:p w14:paraId="7DB27AFD">
      <w:pPr>
        <w:keepNext w:val="0"/>
        <w:keepLines w:val="0"/>
        <w:pageBreakBefore w:val="0"/>
        <w:widowControl w:val="0"/>
        <w:kinsoku/>
        <w:wordWrap/>
        <w:overflowPunct/>
        <w:topLinePunct w:val="0"/>
        <w:autoSpaceDE w:val="0"/>
        <w:autoSpaceDN w:val="0"/>
        <w:bidi w:val="0"/>
        <w:adjustRightInd/>
        <w:snapToGrid/>
        <w:spacing w:line="360" w:lineRule="auto"/>
        <w:ind w:left="0" w:right="0" w:firstLine="412" w:firstLineChars="200"/>
        <w:textAlignment w:val="auto"/>
        <w:rPr>
          <w:color w:val="auto"/>
          <w:sz w:val="21"/>
          <w:szCs w:val="21"/>
          <w:highlight w:val="none"/>
        </w:rPr>
      </w:pPr>
      <w:r>
        <w:rPr>
          <w:rFonts w:hint="eastAsia"/>
          <w:color w:val="auto"/>
          <w:spacing w:val="-2"/>
          <w:sz w:val="21"/>
          <w:szCs w:val="21"/>
          <w:highlight w:val="none"/>
        </w:rPr>
        <w:t>本项第（2）目补充：合同总价支付分解表为：</w:t>
      </w:r>
      <w:r>
        <w:rPr>
          <w:rFonts w:hint="eastAsia"/>
          <w:color w:val="auto"/>
          <w:spacing w:val="-1"/>
          <w:sz w:val="21"/>
          <w:szCs w:val="21"/>
          <w:highlight w:val="none"/>
          <w:u w:val="single"/>
        </w:rPr>
        <w:t>/</w:t>
      </w:r>
      <w:r>
        <w:rPr>
          <w:rFonts w:hint="eastAsia"/>
          <w:color w:val="auto"/>
          <w:spacing w:val="-2"/>
          <w:sz w:val="21"/>
          <w:szCs w:val="21"/>
          <w:highlight w:val="none"/>
        </w:rPr>
        <w:t>。</w:t>
      </w:r>
    </w:p>
    <w:p w14:paraId="2BAF6E15">
      <w:pPr>
        <w:keepNext w:val="0"/>
        <w:keepLines w:val="0"/>
        <w:pageBreakBefore w:val="0"/>
        <w:widowControl w:val="0"/>
        <w:tabs>
          <w:tab w:val="left" w:pos="0"/>
        </w:tabs>
        <w:kinsoku/>
        <w:wordWrap/>
        <w:overflowPunct/>
        <w:topLinePunct w:val="0"/>
        <w:autoSpaceDE w:val="0"/>
        <w:autoSpaceDN w:val="0"/>
        <w:bidi w:val="0"/>
        <w:adjustRightInd/>
        <w:snapToGrid/>
        <w:spacing w:line="360" w:lineRule="auto"/>
        <w:ind w:left="0" w:right="0" w:firstLine="412" w:firstLineChars="200"/>
        <w:textAlignment w:val="auto"/>
        <w:rPr>
          <w:color w:val="auto"/>
          <w:spacing w:val="4"/>
          <w:sz w:val="21"/>
          <w:szCs w:val="21"/>
          <w:highlight w:val="none"/>
          <w:u w:val="single"/>
        </w:rPr>
      </w:pPr>
      <w:r>
        <w:rPr>
          <w:rFonts w:hint="eastAsia"/>
          <w:color w:val="auto"/>
          <w:spacing w:val="-2"/>
          <w:sz w:val="21"/>
          <w:szCs w:val="21"/>
          <w:highlight w:val="none"/>
        </w:rPr>
        <w:t>本项第（5）目补充：总价子目的支付原则和支付进度为：</w:t>
      </w:r>
      <w:r>
        <w:rPr>
          <w:rFonts w:hint="eastAsia"/>
          <w:color w:val="auto"/>
          <w:spacing w:val="4"/>
          <w:sz w:val="21"/>
          <w:szCs w:val="21"/>
          <w:highlight w:val="none"/>
          <w:u w:val="single"/>
        </w:rPr>
        <w:t xml:space="preserve">按实际支出费用和进度计量，计量总额不得超过总价子目合同价。由承包人提供相关证明材料，保险费需提供符合要求的保险合同及发票；安全生产费需提供现场安全作业设施有效发票及实物验收单，现场安全维护人员工资薪酬等证明材料； </w:t>
      </w:r>
    </w:p>
    <w:p w14:paraId="1A10AAF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17.2预付款</w:t>
      </w:r>
    </w:p>
    <w:p w14:paraId="3114B97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（1）（修改）开工预付款的金额在项目专用合同条款数据表中约定。</w:t>
      </w:r>
    </w:p>
    <w:p w14:paraId="7FCFBC0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20.2.1 工程保险</w:t>
      </w:r>
    </w:p>
    <w:p w14:paraId="40108EF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本项目取消建筑工程一切险</w:t>
      </w:r>
    </w:p>
    <w:p w14:paraId="19B0C97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20.2.2 第三者责任险</w:t>
      </w:r>
    </w:p>
    <w:p w14:paraId="0CA02C4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（2）款为：第三者责任险由承包人以承包人与项目法人的名义联名投保，保险费由承包人承担并支付，供应商应在所报的单价或总额价中对该保险费予以考虑，发包人不单独进行计量与支付。</w:t>
      </w:r>
    </w:p>
    <w:p w14:paraId="6D17076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20.3 工伤保险</w:t>
      </w:r>
    </w:p>
    <w:p w14:paraId="49A1E3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20.3.1承包人员工伤事故的保险</w:t>
      </w:r>
    </w:p>
    <w:p w14:paraId="75117E4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增加内容：</w:t>
      </w:r>
    </w:p>
    <w:p w14:paraId="3A693AC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办理保险的一切费用均由承包人承担，并包括在工程量清单的单价及总额价中，发包人不单独支付。</w:t>
      </w:r>
    </w:p>
    <w:p w14:paraId="548C63C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20.4人身意外伤害险</w:t>
      </w:r>
    </w:p>
    <w:p w14:paraId="1030099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20.4.2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3763562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其中：人身意外伤害险每位被保险人的最低保险金额为</w:t>
      </w:r>
      <w:r>
        <w:rPr>
          <w:rFonts w:hint="eastAsia"/>
          <w:b/>
          <w:bCs/>
          <w:color w:val="auto"/>
          <w:sz w:val="21"/>
          <w:szCs w:val="21"/>
          <w:highlight w:val="none"/>
        </w:rPr>
        <w:t>60万元</w:t>
      </w:r>
      <w:r>
        <w:rPr>
          <w:rFonts w:hint="eastAsia"/>
          <w:color w:val="auto"/>
          <w:sz w:val="21"/>
          <w:szCs w:val="21"/>
          <w:highlight w:val="none"/>
        </w:rPr>
        <w:t>人民币，附加意外伤害险医疗险的保险金额为</w:t>
      </w:r>
      <w:r>
        <w:rPr>
          <w:rFonts w:hint="eastAsia"/>
          <w:b/>
          <w:bCs/>
          <w:color w:val="auto"/>
          <w:sz w:val="21"/>
          <w:szCs w:val="21"/>
          <w:highlight w:val="none"/>
        </w:rPr>
        <w:t>5万元</w:t>
      </w:r>
      <w:r>
        <w:rPr>
          <w:rFonts w:hint="eastAsia"/>
          <w:color w:val="auto"/>
          <w:sz w:val="21"/>
          <w:szCs w:val="21"/>
          <w:highlight w:val="none"/>
        </w:rPr>
        <w:t>人民币，每合同段的人身意外伤害险和附加意外伤害医疗险保险费按合同价（不含该保险费）的</w:t>
      </w:r>
      <w:r>
        <w:rPr>
          <w:rFonts w:hint="eastAsia"/>
          <w:b/>
          <w:bCs/>
          <w:color w:val="auto"/>
          <w:sz w:val="21"/>
          <w:szCs w:val="21"/>
          <w:highlight w:val="none"/>
        </w:rPr>
        <w:t>3‰</w:t>
      </w:r>
      <w:r>
        <w:rPr>
          <w:rFonts w:hint="eastAsia"/>
          <w:color w:val="auto"/>
          <w:sz w:val="21"/>
          <w:szCs w:val="21"/>
          <w:highlight w:val="none"/>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68C7841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施工合同签订后工程开工前15日，承包人必须按有关规定与保险公司签订人身意外伤害险和附加意外伤害医疗险以及其他需要投保的保险的保险合同。</w:t>
      </w:r>
    </w:p>
    <w:p w14:paraId="1109ACF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21.1不可抗力的确认</w:t>
      </w:r>
    </w:p>
    <w:p w14:paraId="7D9C6F3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21.1.1(5）项目专用合同条款约定的其他情形：/</w:t>
      </w:r>
    </w:p>
    <w:p w14:paraId="1F0648A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22.1承包人违约</w:t>
      </w:r>
    </w:p>
    <w:p w14:paraId="7D90F3B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22.1.1承包人违约的情形</w:t>
      </w:r>
    </w:p>
    <w:p w14:paraId="67F341F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(1)承包人违反约定，私自将合同的全部或部分权利转让给其他人，或私自将合同的全部或部分义务转移给其他人；</w:t>
      </w:r>
    </w:p>
    <w:p w14:paraId="3EFE4E7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(2)承包人违反约定，未经发包人批准，私自将已按合同约定进入施工场地的施工设备、临时设施、材料或工程设备撤离施工场地；</w:t>
      </w:r>
    </w:p>
    <w:p w14:paraId="19E4687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(3)承包人违反约定使用了不合格材料或工程设备，养护质量达不到标准要求，又拒绝清理不合格养护工程；</w:t>
      </w:r>
    </w:p>
    <w:p w14:paraId="33CE66D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(4)承包人未能按合同进度计划及时完成合同约定的工作，己造成或预期造成工期延误；</w:t>
      </w:r>
    </w:p>
    <w:p w14:paraId="7667833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(5)承包人在缺陷责任期内，未能对工程接受证书所列的缺陷清单的内容或缺陷责任期内发生的缺陷进行修复，而又拒绝按发包人指示再进行修补；</w:t>
      </w:r>
    </w:p>
    <w:p w14:paraId="216B2E0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(6）承包人无法继续履行或明确表示不履行或实质上己停止履行合同；</w:t>
      </w:r>
    </w:p>
    <w:p w14:paraId="27DE4A4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(7)承包人未能按期开工；</w:t>
      </w:r>
    </w:p>
    <w:p w14:paraId="2F10E72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(8)承包人违反第4.6款或第6.3款的规定，未按承诺或未按发包人的要求及时配备称职的主要管理人员、技术骨干、专职安全生产管理人员或关键养护作业设备；</w:t>
      </w:r>
    </w:p>
    <w:p w14:paraId="59338A8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(9)经发包人检查，发现承包人有安全问题或有违反安全管理规章制度的情况；</w:t>
      </w:r>
    </w:p>
    <w:p w14:paraId="5CDD3EA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(10）承包人不按合同约定履行义务的其他情况。</w:t>
      </w:r>
    </w:p>
    <w:p w14:paraId="43EC32F7">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bCs/>
          <w:color w:val="auto"/>
          <w:sz w:val="21"/>
          <w:szCs w:val="21"/>
          <w:highlight w:val="none"/>
        </w:rPr>
      </w:pPr>
      <w:r>
        <w:rPr>
          <w:rFonts w:hint="eastAsia"/>
          <w:b/>
          <w:bCs/>
          <w:color w:val="auto"/>
          <w:sz w:val="21"/>
          <w:szCs w:val="21"/>
          <w:highlight w:val="none"/>
        </w:rPr>
        <w:t>22.1.2对承包人违约的处理</w:t>
      </w:r>
    </w:p>
    <w:p w14:paraId="245CE21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（1）承包人发生第22.1.1⑹目约定的违约情形时，发包人可通知承包人立即解除合同，并按有关法律处理。</w:t>
      </w:r>
    </w:p>
    <w:p w14:paraId="64AB160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（2）承包人发生第22.1.1⑹目约定以外的违约情形时，发包人可向承包人发出整改通知，要求其在指定的期限内改正。承包人应承担其违约所引起的费用增加和（或）工期延误。</w:t>
      </w:r>
    </w:p>
    <w:p w14:paraId="56F348A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（3）经检查证明承包人已采取了有效措施纠正违约行为，具备复工条件的可由发包人签发复工通知进行复工。</w:t>
      </w:r>
    </w:p>
    <w:p w14:paraId="51CF22C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承包人发生第22.1.1项约定的违约情况时，无论发包人是否解除合同，发包人均有权向承包人课以专用合同条款中约定的违约金，并由发包人将其违约行为上报省级交通主管部门，作为不良记录纳人公路建设市场信用信息管理系统。</w:t>
      </w:r>
    </w:p>
    <w:p w14:paraId="1311E276">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color w:val="auto"/>
          <w:sz w:val="21"/>
          <w:szCs w:val="21"/>
          <w:highlight w:val="none"/>
        </w:rPr>
      </w:pPr>
      <w:bookmarkStart w:id="137" w:name="bookmark6"/>
      <w:bookmarkEnd w:id="137"/>
      <w:r>
        <w:rPr>
          <w:rFonts w:hint="eastAsia"/>
          <w:b/>
          <w:bCs/>
          <w:color w:val="auto"/>
          <w:sz w:val="21"/>
          <w:szCs w:val="21"/>
          <w:highlight w:val="none"/>
        </w:rPr>
        <w:t>(增加)处罚行为</w:t>
      </w:r>
    </w:p>
    <w:p w14:paraId="548524F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（5）因承包人管理不善，造成本合同约定的公路养护工作范围内在上级检查部门检查、验收扣分1分（不含1分）以上的，每超过0.5分扣工程款0.5%。</w:t>
      </w:r>
    </w:p>
    <w:p w14:paraId="5EF6E42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（6）上级检查组等部门对承包人养护公路进行检查，因承包人履行合同不力造成被发书面“警告”的扣200元/次；被发“黄牌”警告扣500元/张；被发“红牌”警告扣1000元/张。</w:t>
      </w:r>
    </w:p>
    <w:p w14:paraId="3D1A63C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（7）为强化承包人的履行合同职责，每月定期或不定期考核验收、每季度一次大检查和年终一次全面检查，存在以下情形的，发包人将承包人列为失信企业。</w:t>
      </w:r>
    </w:p>
    <w:p w14:paraId="188EFA8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①连续叁个月或年累计五个月月度平分低于90分的。</w:t>
      </w:r>
    </w:p>
    <w:p w14:paraId="120C228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②年内累计2个季度在上级部门检查中被扣分2分（含2分）以上的。</w:t>
      </w:r>
    </w:p>
    <w:p w14:paraId="34095CE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③上级部门年终检查中被扣2分（含2分）以上的。</w:t>
      </w:r>
    </w:p>
    <w:p w14:paraId="3ED3815C">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bCs/>
          <w:color w:val="auto"/>
          <w:sz w:val="21"/>
          <w:szCs w:val="21"/>
          <w:highlight w:val="none"/>
        </w:rPr>
      </w:pPr>
      <w:r>
        <w:rPr>
          <w:rFonts w:hint="eastAsia"/>
          <w:b/>
          <w:bCs/>
          <w:color w:val="auto"/>
          <w:sz w:val="21"/>
          <w:szCs w:val="21"/>
          <w:highlight w:val="none"/>
        </w:rPr>
        <w:t>（8）有以下行为的，视为承包人违约，可对承包人处以以下的违约金：</w:t>
      </w:r>
    </w:p>
    <w:p w14:paraId="4570A99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bookmarkStart w:id="138" w:name="OLE_LINK109"/>
      <w:r>
        <w:rPr>
          <w:rFonts w:hint="eastAsia"/>
          <w:color w:val="auto"/>
          <w:sz w:val="21"/>
          <w:szCs w:val="21"/>
          <w:highlight w:val="none"/>
        </w:rPr>
        <w:t>a.</w:t>
      </w:r>
      <w:bookmarkStart w:id="139" w:name="OLE_LINK113"/>
      <w:bookmarkStart w:id="140" w:name="OLE_LINK112"/>
      <w:r>
        <w:rPr>
          <w:rFonts w:hint="eastAsia"/>
          <w:color w:val="auto"/>
          <w:sz w:val="21"/>
          <w:szCs w:val="21"/>
          <w:highlight w:val="none"/>
        </w:rPr>
        <w:t>承包人更换主要人员的（不管是否经项目法人同意），项目经理处10万元/人次，总工（或技术负责人）处5万元/人次；</w:t>
      </w:r>
      <w:bookmarkEnd w:id="139"/>
      <w:bookmarkEnd w:id="140"/>
    </w:p>
    <w:p w14:paraId="6EDA29BF">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b．项目经理或项目技术负责人未经发包人同意擅自离开工地，每天课以违约金500元／人；若虽经批准离开工地但每月在工地天数不足22天（特殊情况经发包人批准报发包人同意例外）的，每不足一天课以违约金500元／人；</w:t>
      </w:r>
    </w:p>
    <w:bookmarkEnd w:id="138"/>
    <w:p w14:paraId="48D998D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c.主要设备没有按进度和合同规定承诺进场的处500元/日台。</w:t>
      </w:r>
    </w:p>
    <w:p w14:paraId="14EB198C">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color w:val="auto"/>
          <w:sz w:val="21"/>
          <w:szCs w:val="21"/>
          <w:highlight w:val="none"/>
        </w:rPr>
      </w:pPr>
      <w:r>
        <w:rPr>
          <w:rFonts w:hint="eastAsia"/>
          <w:b/>
          <w:bCs/>
          <w:color w:val="auto"/>
          <w:sz w:val="21"/>
          <w:szCs w:val="21"/>
          <w:highlight w:val="none"/>
        </w:rPr>
        <w:t>（9）承包人存在以下情形的，可对承包人处以以下违约金：</w:t>
      </w:r>
    </w:p>
    <w:p w14:paraId="1ACE819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a.发生质量事故，未按有关规定和时间向有关部门报告的,处2000元/次；</w:t>
      </w:r>
    </w:p>
    <w:p w14:paraId="2F0E0A8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b.出现二、三级一般质量事故，且承包人负有直接责任，或不能证明其履行其职责的,可处5000元/次；</w:t>
      </w:r>
    </w:p>
    <w:p w14:paraId="08F1791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c.发生一级一般质量事故或重大质量事故，且承包人负有直接责任，或不能证明其履行其职责的,可处10000元/次；</w:t>
      </w:r>
    </w:p>
    <w:p w14:paraId="541B03D8">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d.因质量问题被地市级及以上交通主管部门、质量监督单位、公路管理机构通报（批评）的，可对承包人处以20000元违约金/次，红牌警告10000元/次，黄牌警告5000元/次。</w:t>
      </w:r>
    </w:p>
    <w:p w14:paraId="6757643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e．出现一般安全生事故负有责任的或发生重大安全事故不按规定报告的,可处1000元/处·次。f.出现重大安全生产事故负有责任的，可处10000元/处·次。</w:t>
      </w:r>
    </w:p>
    <w:p w14:paraId="25EFDA03">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g．由于施工原因造成污染、破坏被群众向政府、主管单位投诉或被环保、水利部门责令整改的，处1000元/次。</w:t>
      </w:r>
    </w:p>
    <w:p w14:paraId="3080D044">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1ACCDCF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j．劳务人员未按规定签订聘用合同并向项目法人报备的,处500元/人次。</w:t>
      </w:r>
    </w:p>
    <w:p w14:paraId="029ABB58">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b/>
          <w:bCs/>
          <w:color w:val="auto"/>
          <w:sz w:val="21"/>
          <w:szCs w:val="21"/>
          <w:highlight w:val="none"/>
        </w:rPr>
      </w:pPr>
      <w:r>
        <w:rPr>
          <w:rFonts w:hint="eastAsia"/>
          <w:b/>
          <w:bCs/>
          <w:color w:val="auto"/>
          <w:sz w:val="21"/>
          <w:szCs w:val="21"/>
          <w:highlight w:val="none"/>
        </w:rPr>
        <w:t>22.2发包人违约</w:t>
      </w:r>
    </w:p>
    <w:p w14:paraId="3D7F02D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22.2.2发包人无正当理由不按时返还质量保证金或农民工资保证金的，发包人应向承包人支付的违约金如下：/</w:t>
      </w:r>
    </w:p>
    <w:p w14:paraId="3C9E358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sectPr>
          <w:footerReference r:id="rId9" w:type="default"/>
          <w:pgSz w:w="11911" w:h="16849"/>
          <w:pgMar w:top="1417" w:right="1417" w:bottom="1417" w:left="1417" w:header="720" w:footer="720" w:gutter="0"/>
          <w:cols w:space="0" w:num="1"/>
          <w:rtlGutter w:val="0"/>
          <w:docGrid w:linePitch="0" w:charSpace="0"/>
        </w:sectPr>
      </w:pPr>
    </w:p>
    <w:p w14:paraId="5E73AD55">
      <w:pPr>
        <w:spacing w:line="360" w:lineRule="auto"/>
        <w:ind w:firstLine="422" w:firstLineChars="200"/>
        <w:rPr>
          <w:b/>
          <w:bCs/>
          <w:color w:val="auto"/>
          <w:sz w:val="21"/>
          <w:szCs w:val="21"/>
          <w:highlight w:val="none"/>
        </w:rPr>
      </w:pPr>
      <w:r>
        <w:rPr>
          <w:rFonts w:hint="eastAsia"/>
          <w:b/>
          <w:bCs/>
          <w:color w:val="auto"/>
          <w:sz w:val="21"/>
          <w:szCs w:val="21"/>
          <w:highlight w:val="none"/>
        </w:rPr>
        <w:t>补充以下项目专用条款：</w:t>
      </w:r>
    </w:p>
    <w:p w14:paraId="28E8C0E3">
      <w:pPr>
        <w:pStyle w:val="13"/>
        <w:spacing w:line="360" w:lineRule="auto"/>
        <w:ind w:firstLine="422" w:firstLineChars="200"/>
        <w:rPr>
          <w:b/>
          <w:bCs/>
          <w:color w:val="auto"/>
          <w:highlight w:val="none"/>
        </w:rPr>
      </w:pPr>
      <w:r>
        <w:rPr>
          <w:rFonts w:hint="eastAsia"/>
          <w:b/>
          <w:bCs/>
          <w:color w:val="auto"/>
          <w:highlight w:val="none"/>
        </w:rPr>
        <w:t>25、技术规范新增加内容：道路交通标线</w:t>
      </w:r>
    </w:p>
    <w:p w14:paraId="2D479189">
      <w:pPr>
        <w:spacing w:line="440" w:lineRule="exact"/>
        <w:ind w:firstLine="422" w:firstLineChars="200"/>
        <w:rPr>
          <w:b/>
          <w:bCs/>
          <w:color w:val="auto"/>
          <w:sz w:val="21"/>
          <w:szCs w:val="21"/>
          <w:highlight w:val="none"/>
        </w:rPr>
      </w:pPr>
      <w:bookmarkStart w:id="141" w:name="_Toc34838410"/>
      <w:bookmarkStart w:id="142" w:name="_Toc16915"/>
      <w:bookmarkStart w:id="143" w:name="_Toc25928"/>
      <w:bookmarkStart w:id="144" w:name="_Toc26177982"/>
      <w:r>
        <w:rPr>
          <w:rFonts w:hint="eastAsia"/>
          <w:b/>
          <w:bCs/>
          <w:color w:val="auto"/>
          <w:sz w:val="21"/>
          <w:szCs w:val="21"/>
          <w:highlight w:val="none"/>
        </w:rPr>
        <w:t>25.1 材 料</w:t>
      </w:r>
      <w:bookmarkEnd w:id="141"/>
      <w:bookmarkEnd w:id="142"/>
      <w:bookmarkEnd w:id="143"/>
      <w:bookmarkEnd w:id="144"/>
    </w:p>
    <w:p w14:paraId="27D7E0FB">
      <w:pPr>
        <w:spacing w:line="440" w:lineRule="exact"/>
        <w:ind w:firstLine="420" w:firstLineChars="200"/>
        <w:rPr>
          <w:color w:val="auto"/>
          <w:sz w:val="21"/>
          <w:szCs w:val="21"/>
          <w:highlight w:val="none"/>
        </w:rPr>
      </w:pPr>
      <w:r>
        <w:rPr>
          <w:rFonts w:hint="eastAsia"/>
          <w:color w:val="auto"/>
          <w:sz w:val="21"/>
          <w:szCs w:val="21"/>
          <w:highlight w:val="none"/>
        </w:rPr>
        <w:t>25.1.1  路面标线所用涂料应符合《路面标线涂料》（JT/T 280-2004）的规定，应能满足在沥青混凝土、水泥混凝土路面上耐久使用的要求，且应有合适的施工机械与之配套。</w:t>
      </w:r>
    </w:p>
    <w:p w14:paraId="3409472C">
      <w:pPr>
        <w:spacing w:line="440" w:lineRule="exact"/>
        <w:ind w:firstLine="420" w:firstLineChars="200"/>
        <w:rPr>
          <w:color w:val="auto"/>
          <w:sz w:val="21"/>
          <w:szCs w:val="21"/>
          <w:highlight w:val="none"/>
        </w:rPr>
      </w:pPr>
      <w:r>
        <w:rPr>
          <w:rFonts w:hint="eastAsia"/>
          <w:color w:val="auto"/>
          <w:sz w:val="21"/>
          <w:szCs w:val="21"/>
          <w:highlight w:val="none"/>
        </w:rPr>
        <w:t>25.1.2  路面标线涂料的色度性能应符合《安全色》（GB 2893-2008）的要求，其色品坐标应符合《路面标线涂料》（JT/T 280-2004）表6和图1中规定的范围。</w:t>
      </w:r>
    </w:p>
    <w:p w14:paraId="53278DE9">
      <w:pPr>
        <w:spacing w:line="440" w:lineRule="exact"/>
        <w:ind w:firstLine="420" w:firstLineChars="200"/>
        <w:rPr>
          <w:color w:val="auto"/>
          <w:sz w:val="21"/>
          <w:szCs w:val="21"/>
          <w:highlight w:val="none"/>
        </w:rPr>
      </w:pPr>
      <w:r>
        <w:rPr>
          <w:rFonts w:hint="eastAsia"/>
          <w:color w:val="auto"/>
          <w:sz w:val="21"/>
          <w:szCs w:val="21"/>
          <w:highlight w:val="none"/>
        </w:rPr>
        <w:t>25.1.3 宜用1号玻璃珠作为面撒玻璃珠、2号玻璃珠作为预混玻璃珠，玻璃珠的各项指标应满足《路面标线用玻璃珠》（GB/T 24722-2009）的相关要求。</w:t>
      </w:r>
    </w:p>
    <w:p w14:paraId="2CD17D88">
      <w:pPr>
        <w:spacing w:line="440" w:lineRule="exact"/>
        <w:ind w:firstLine="420" w:firstLineChars="200"/>
        <w:rPr>
          <w:color w:val="auto"/>
          <w:sz w:val="21"/>
          <w:szCs w:val="21"/>
          <w:highlight w:val="none"/>
        </w:rPr>
      </w:pPr>
      <w:r>
        <w:rPr>
          <w:rFonts w:hint="eastAsia"/>
          <w:color w:val="auto"/>
          <w:sz w:val="21"/>
          <w:szCs w:val="21"/>
          <w:highlight w:val="none"/>
        </w:rPr>
        <w:t>25.1.4 所采用的热熔涂料及玻璃珠材料，在满足《路面标线涂料》（JT/T 280）、《路面标线用玻璃珠》（GB/T 24722）和《安全色》（GB 2893）标准的全部要求外，还应满足表1、表2规定的关键技术指标要求：</w:t>
      </w:r>
    </w:p>
    <w:p w14:paraId="43748E1C">
      <w:pPr>
        <w:spacing w:line="440" w:lineRule="exact"/>
        <w:ind w:firstLine="482"/>
        <w:jc w:val="center"/>
        <w:rPr>
          <w:color w:val="auto"/>
          <w:sz w:val="21"/>
          <w:szCs w:val="21"/>
          <w:highlight w:val="none"/>
        </w:rPr>
      </w:pPr>
      <w:r>
        <w:rPr>
          <w:rFonts w:hint="eastAsia"/>
          <w:color w:val="auto"/>
          <w:sz w:val="21"/>
          <w:szCs w:val="21"/>
          <w:highlight w:val="none"/>
        </w:rPr>
        <w:t>表1  热熔型涂料原材料关键技术指标</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50"/>
        <w:gridCol w:w="5053"/>
      </w:tblGrid>
      <w:tr w14:paraId="71C002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Align w:val="center"/>
          </w:tcPr>
          <w:p w14:paraId="3A7BB72F">
            <w:pPr>
              <w:spacing w:line="440" w:lineRule="exact"/>
              <w:ind w:firstLine="562"/>
              <w:rPr>
                <w:color w:val="auto"/>
                <w:sz w:val="21"/>
                <w:szCs w:val="21"/>
                <w:highlight w:val="none"/>
              </w:rPr>
            </w:pPr>
            <w:r>
              <w:rPr>
                <w:rFonts w:hint="eastAsia"/>
                <w:color w:val="auto"/>
                <w:sz w:val="21"/>
                <w:szCs w:val="21"/>
                <w:highlight w:val="none"/>
              </w:rPr>
              <w:t>材料名称</w:t>
            </w:r>
          </w:p>
        </w:tc>
        <w:tc>
          <w:tcPr>
            <w:tcW w:w="2050" w:type="dxa"/>
            <w:vAlign w:val="center"/>
          </w:tcPr>
          <w:p w14:paraId="7B634442">
            <w:pPr>
              <w:spacing w:line="440" w:lineRule="exact"/>
              <w:ind w:firstLine="562"/>
              <w:rPr>
                <w:color w:val="auto"/>
                <w:sz w:val="21"/>
                <w:szCs w:val="21"/>
                <w:highlight w:val="none"/>
              </w:rPr>
            </w:pPr>
            <w:r>
              <w:rPr>
                <w:rFonts w:hint="eastAsia"/>
                <w:color w:val="auto"/>
                <w:sz w:val="21"/>
                <w:szCs w:val="21"/>
                <w:highlight w:val="none"/>
              </w:rPr>
              <w:t>技术指标</w:t>
            </w:r>
          </w:p>
        </w:tc>
        <w:tc>
          <w:tcPr>
            <w:tcW w:w="5053" w:type="dxa"/>
            <w:vAlign w:val="center"/>
          </w:tcPr>
          <w:p w14:paraId="111948D2">
            <w:pPr>
              <w:spacing w:line="440" w:lineRule="exact"/>
              <w:ind w:firstLine="562"/>
              <w:rPr>
                <w:color w:val="auto"/>
                <w:sz w:val="21"/>
                <w:szCs w:val="21"/>
                <w:highlight w:val="none"/>
              </w:rPr>
            </w:pPr>
            <w:r>
              <w:rPr>
                <w:rFonts w:hint="eastAsia"/>
                <w:color w:val="auto"/>
                <w:sz w:val="21"/>
                <w:szCs w:val="21"/>
                <w:highlight w:val="none"/>
              </w:rPr>
              <w:t>技术要求</w:t>
            </w:r>
          </w:p>
        </w:tc>
      </w:tr>
      <w:tr w14:paraId="3175EF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Merge w:val="restart"/>
            <w:vAlign w:val="center"/>
          </w:tcPr>
          <w:p w14:paraId="69AEA4F2">
            <w:pPr>
              <w:spacing w:line="440" w:lineRule="exact"/>
              <w:ind w:firstLine="562"/>
              <w:rPr>
                <w:color w:val="auto"/>
                <w:sz w:val="21"/>
                <w:szCs w:val="21"/>
                <w:highlight w:val="none"/>
              </w:rPr>
            </w:pPr>
            <w:r>
              <w:rPr>
                <w:rFonts w:hint="eastAsia"/>
                <w:color w:val="auto"/>
                <w:sz w:val="21"/>
                <w:szCs w:val="21"/>
                <w:highlight w:val="none"/>
              </w:rPr>
              <w:t>标线涂料</w:t>
            </w:r>
          </w:p>
        </w:tc>
        <w:tc>
          <w:tcPr>
            <w:tcW w:w="2050" w:type="dxa"/>
            <w:vAlign w:val="center"/>
          </w:tcPr>
          <w:p w14:paraId="77645527">
            <w:pPr>
              <w:spacing w:line="440" w:lineRule="exact"/>
              <w:ind w:firstLine="562"/>
              <w:rPr>
                <w:color w:val="auto"/>
                <w:sz w:val="21"/>
                <w:szCs w:val="21"/>
                <w:highlight w:val="none"/>
              </w:rPr>
            </w:pPr>
            <w:r>
              <w:rPr>
                <w:rFonts w:hint="eastAsia"/>
                <w:color w:val="auto"/>
                <w:sz w:val="21"/>
                <w:szCs w:val="21"/>
                <w:highlight w:val="none"/>
              </w:rPr>
              <w:t>总有机物含量</w:t>
            </w:r>
          </w:p>
        </w:tc>
        <w:tc>
          <w:tcPr>
            <w:tcW w:w="5053" w:type="dxa"/>
            <w:vAlign w:val="center"/>
          </w:tcPr>
          <w:p w14:paraId="0D11F1BD">
            <w:pPr>
              <w:spacing w:line="440" w:lineRule="exact"/>
              <w:ind w:firstLine="562"/>
              <w:rPr>
                <w:color w:val="auto"/>
                <w:sz w:val="21"/>
                <w:szCs w:val="21"/>
                <w:highlight w:val="none"/>
              </w:rPr>
            </w:pPr>
            <w:r>
              <w:rPr>
                <w:rFonts w:hint="eastAsia"/>
                <w:color w:val="auto"/>
                <w:sz w:val="21"/>
                <w:szCs w:val="21"/>
                <w:highlight w:val="none"/>
              </w:rPr>
              <w:t>≥19%</w:t>
            </w:r>
          </w:p>
        </w:tc>
      </w:tr>
      <w:tr w14:paraId="377798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Merge w:val="continue"/>
            <w:vAlign w:val="center"/>
          </w:tcPr>
          <w:p w14:paraId="757822C3">
            <w:pPr>
              <w:spacing w:line="440" w:lineRule="exact"/>
              <w:ind w:firstLine="562"/>
              <w:rPr>
                <w:color w:val="auto"/>
                <w:sz w:val="21"/>
                <w:szCs w:val="21"/>
                <w:highlight w:val="none"/>
              </w:rPr>
            </w:pPr>
          </w:p>
        </w:tc>
        <w:tc>
          <w:tcPr>
            <w:tcW w:w="2050" w:type="dxa"/>
            <w:vAlign w:val="center"/>
          </w:tcPr>
          <w:p w14:paraId="79102AF4">
            <w:pPr>
              <w:spacing w:line="440" w:lineRule="exact"/>
              <w:ind w:firstLine="562"/>
              <w:rPr>
                <w:color w:val="auto"/>
                <w:sz w:val="21"/>
                <w:szCs w:val="21"/>
                <w:highlight w:val="none"/>
              </w:rPr>
            </w:pPr>
            <w:r>
              <w:rPr>
                <w:rFonts w:hint="eastAsia"/>
                <w:color w:val="auto"/>
                <w:sz w:val="21"/>
                <w:szCs w:val="21"/>
                <w:highlight w:val="none"/>
              </w:rPr>
              <w:t>钛白粉含量</w:t>
            </w:r>
          </w:p>
        </w:tc>
        <w:tc>
          <w:tcPr>
            <w:tcW w:w="5053" w:type="dxa"/>
            <w:vAlign w:val="center"/>
          </w:tcPr>
          <w:p w14:paraId="6D4DDB32">
            <w:pPr>
              <w:spacing w:line="440" w:lineRule="exact"/>
              <w:ind w:firstLine="562"/>
              <w:rPr>
                <w:color w:val="auto"/>
                <w:sz w:val="21"/>
                <w:szCs w:val="21"/>
                <w:highlight w:val="none"/>
              </w:rPr>
            </w:pPr>
            <w:r>
              <w:rPr>
                <w:rFonts w:hint="eastAsia"/>
                <w:color w:val="auto"/>
                <w:sz w:val="21"/>
                <w:szCs w:val="21"/>
                <w:highlight w:val="none"/>
              </w:rPr>
              <w:t>≥7%（重量比）</w:t>
            </w:r>
          </w:p>
        </w:tc>
      </w:tr>
      <w:tr w14:paraId="3381B5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78" w:type="dxa"/>
            <w:vAlign w:val="center"/>
          </w:tcPr>
          <w:p w14:paraId="0E8022C0">
            <w:pPr>
              <w:spacing w:line="440" w:lineRule="exact"/>
              <w:ind w:firstLine="562"/>
              <w:rPr>
                <w:color w:val="auto"/>
                <w:sz w:val="21"/>
                <w:szCs w:val="21"/>
                <w:highlight w:val="none"/>
              </w:rPr>
            </w:pPr>
            <w:r>
              <w:rPr>
                <w:rFonts w:hint="eastAsia"/>
                <w:color w:val="auto"/>
                <w:sz w:val="21"/>
                <w:szCs w:val="21"/>
                <w:highlight w:val="none"/>
              </w:rPr>
              <w:t>面撒及内混玻璃珠</w:t>
            </w:r>
          </w:p>
        </w:tc>
        <w:tc>
          <w:tcPr>
            <w:tcW w:w="2050" w:type="dxa"/>
            <w:vAlign w:val="center"/>
          </w:tcPr>
          <w:p w14:paraId="302DECA4">
            <w:pPr>
              <w:spacing w:line="440" w:lineRule="exact"/>
              <w:ind w:firstLine="562"/>
              <w:rPr>
                <w:color w:val="auto"/>
                <w:sz w:val="21"/>
                <w:szCs w:val="21"/>
                <w:highlight w:val="none"/>
              </w:rPr>
            </w:pPr>
            <w:r>
              <w:rPr>
                <w:rFonts w:hint="eastAsia"/>
                <w:color w:val="auto"/>
                <w:sz w:val="21"/>
                <w:szCs w:val="21"/>
                <w:highlight w:val="none"/>
              </w:rPr>
              <w:t>成圆率</w:t>
            </w:r>
          </w:p>
        </w:tc>
        <w:tc>
          <w:tcPr>
            <w:tcW w:w="5053" w:type="dxa"/>
            <w:vAlign w:val="center"/>
          </w:tcPr>
          <w:p w14:paraId="272EB426">
            <w:pPr>
              <w:spacing w:line="440" w:lineRule="exact"/>
              <w:ind w:firstLine="562"/>
              <w:rPr>
                <w:color w:val="auto"/>
                <w:sz w:val="21"/>
                <w:szCs w:val="21"/>
                <w:highlight w:val="none"/>
              </w:rPr>
            </w:pPr>
            <w:r>
              <w:rPr>
                <w:rFonts w:hint="eastAsia"/>
                <w:color w:val="auto"/>
                <w:sz w:val="21"/>
                <w:szCs w:val="21"/>
                <w:highlight w:val="none"/>
              </w:rPr>
              <w:t>≥90%（面撒玻璃珠）、≥80%（内混玻璃珠）</w:t>
            </w:r>
          </w:p>
        </w:tc>
      </w:tr>
    </w:tbl>
    <w:p w14:paraId="1A730124">
      <w:pPr>
        <w:spacing w:line="440" w:lineRule="exact"/>
        <w:ind w:firstLine="482"/>
        <w:jc w:val="center"/>
        <w:rPr>
          <w:color w:val="auto"/>
          <w:sz w:val="21"/>
          <w:szCs w:val="21"/>
          <w:highlight w:val="none"/>
        </w:rPr>
      </w:pPr>
      <w:r>
        <w:rPr>
          <w:rFonts w:hint="eastAsia"/>
          <w:color w:val="auto"/>
          <w:sz w:val="21"/>
          <w:szCs w:val="21"/>
          <w:highlight w:val="none"/>
        </w:rPr>
        <w:t>表2  热熔型涂料混合料的性能</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1"/>
        <w:gridCol w:w="1419"/>
        <w:gridCol w:w="3015"/>
        <w:gridCol w:w="242"/>
        <w:gridCol w:w="2972"/>
      </w:tblGrid>
      <w:tr w14:paraId="2D9EE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restart"/>
            <w:vAlign w:val="center"/>
          </w:tcPr>
          <w:p w14:paraId="3A2CFB2E">
            <w:pPr>
              <w:spacing w:line="440" w:lineRule="exact"/>
              <w:ind w:firstLine="562"/>
              <w:rPr>
                <w:color w:val="auto"/>
                <w:sz w:val="21"/>
                <w:szCs w:val="21"/>
                <w:highlight w:val="none"/>
              </w:rPr>
            </w:pPr>
            <w:r>
              <w:rPr>
                <w:rFonts w:hint="eastAsia"/>
                <w:color w:val="auto"/>
                <w:sz w:val="21"/>
                <w:szCs w:val="21"/>
                <w:highlight w:val="none"/>
              </w:rPr>
              <w:t>项目</w:t>
            </w:r>
          </w:p>
        </w:tc>
        <w:tc>
          <w:tcPr>
            <w:tcW w:w="6229" w:type="dxa"/>
            <w:gridSpan w:val="3"/>
            <w:vAlign w:val="center"/>
          </w:tcPr>
          <w:p w14:paraId="78D1B1B4">
            <w:pPr>
              <w:spacing w:line="440" w:lineRule="exact"/>
              <w:ind w:firstLine="562"/>
              <w:rPr>
                <w:color w:val="auto"/>
                <w:sz w:val="21"/>
                <w:szCs w:val="21"/>
                <w:highlight w:val="none"/>
              </w:rPr>
            </w:pPr>
            <w:r>
              <w:rPr>
                <w:rFonts w:hint="eastAsia"/>
                <w:color w:val="auto"/>
                <w:sz w:val="21"/>
                <w:szCs w:val="21"/>
                <w:highlight w:val="none"/>
              </w:rPr>
              <w:t xml:space="preserve">      热熔型</w:t>
            </w:r>
          </w:p>
        </w:tc>
      </w:tr>
      <w:tr w14:paraId="3C6914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Merge w:val="continue"/>
            <w:vAlign w:val="center"/>
          </w:tcPr>
          <w:p w14:paraId="127537B1">
            <w:pPr>
              <w:spacing w:line="440" w:lineRule="exact"/>
              <w:ind w:firstLine="562"/>
              <w:rPr>
                <w:color w:val="auto"/>
                <w:sz w:val="21"/>
                <w:szCs w:val="21"/>
                <w:highlight w:val="none"/>
              </w:rPr>
            </w:pPr>
          </w:p>
        </w:tc>
        <w:tc>
          <w:tcPr>
            <w:tcW w:w="3257" w:type="dxa"/>
            <w:gridSpan w:val="2"/>
            <w:tcBorders>
              <w:right w:val="single" w:color="auto" w:sz="4" w:space="0"/>
            </w:tcBorders>
            <w:vAlign w:val="center"/>
          </w:tcPr>
          <w:p w14:paraId="21EDDE20">
            <w:pPr>
              <w:spacing w:line="440" w:lineRule="exact"/>
              <w:ind w:firstLine="562"/>
              <w:rPr>
                <w:color w:val="auto"/>
                <w:sz w:val="21"/>
                <w:szCs w:val="21"/>
                <w:highlight w:val="none"/>
              </w:rPr>
            </w:pPr>
            <w:r>
              <w:rPr>
                <w:rFonts w:hint="eastAsia"/>
                <w:color w:val="auto"/>
                <w:sz w:val="21"/>
                <w:szCs w:val="21"/>
                <w:highlight w:val="none"/>
              </w:rPr>
              <w:t>反光型</w:t>
            </w:r>
          </w:p>
        </w:tc>
        <w:tc>
          <w:tcPr>
            <w:tcW w:w="2972" w:type="dxa"/>
            <w:tcBorders>
              <w:left w:val="single" w:color="auto" w:sz="4" w:space="0"/>
            </w:tcBorders>
            <w:vAlign w:val="center"/>
          </w:tcPr>
          <w:p w14:paraId="57AEAC2E">
            <w:pPr>
              <w:spacing w:line="440" w:lineRule="exact"/>
              <w:ind w:firstLine="562"/>
              <w:rPr>
                <w:color w:val="auto"/>
                <w:sz w:val="21"/>
                <w:szCs w:val="21"/>
                <w:highlight w:val="none"/>
              </w:rPr>
            </w:pPr>
            <w:r>
              <w:rPr>
                <w:rFonts w:hint="eastAsia"/>
                <w:color w:val="auto"/>
                <w:sz w:val="21"/>
                <w:szCs w:val="21"/>
                <w:highlight w:val="none"/>
              </w:rPr>
              <w:t>突起型</w:t>
            </w:r>
          </w:p>
        </w:tc>
      </w:tr>
      <w:tr w14:paraId="69579D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Align w:val="center"/>
          </w:tcPr>
          <w:p w14:paraId="60B3C6ED">
            <w:pPr>
              <w:spacing w:line="440" w:lineRule="exact"/>
              <w:ind w:firstLine="562"/>
              <w:rPr>
                <w:color w:val="auto"/>
                <w:sz w:val="21"/>
                <w:szCs w:val="21"/>
                <w:highlight w:val="none"/>
              </w:rPr>
            </w:pPr>
            <w:r>
              <w:rPr>
                <w:rFonts w:hint="eastAsia"/>
                <w:color w:val="auto"/>
                <w:sz w:val="21"/>
                <w:szCs w:val="21"/>
                <w:highlight w:val="none"/>
              </w:rPr>
              <w:t>软化点(℃)</w:t>
            </w:r>
          </w:p>
        </w:tc>
        <w:tc>
          <w:tcPr>
            <w:tcW w:w="6229" w:type="dxa"/>
            <w:gridSpan w:val="3"/>
            <w:vAlign w:val="center"/>
          </w:tcPr>
          <w:p w14:paraId="732BE34C">
            <w:pPr>
              <w:spacing w:line="440" w:lineRule="exact"/>
              <w:ind w:firstLine="562"/>
              <w:rPr>
                <w:color w:val="auto"/>
                <w:sz w:val="21"/>
                <w:szCs w:val="21"/>
                <w:highlight w:val="none"/>
              </w:rPr>
            </w:pPr>
            <w:r>
              <w:rPr>
                <w:rFonts w:hint="eastAsia"/>
                <w:color w:val="auto"/>
                <w:sz w:val="21"/>
                <w:szCs w:val="21"/>
                <w:highlight w:val="none"/>
              </w:rPr>
              <w:t>100～125</w:t>
            </w:r>
          </w:p>
          <w:p w14:paraId="23513294">
            <w:pPr>
              <w:spacing w:line="440" w:lineRule="exact"/>
              <w:ind w:firstLine="562"/>
              <w:rPr>
                <w:color w:val="auto"/>
                <w:sz w:val="21"/>
                <w:szCs w:val="21"/>
                <w:highlight w:val="none"/>
              </w:rPr>
            </w:pPr>
            <w:r>
              <w:rPr>
                <w:rFonts w:hint="eastAsia"/>
                <w:color w:val="auto"/>
                <w:sz w:val="21"/>
                <w:szCs w:val="21"/>
                <w:highlight w:val="none"/>
              </w:rPr>
              <w:t>100</w:t>
            </w:r>
          </w:p>
        </w:tc>
      </w:tr>
      <w:tr w14:paraId="3EF5A8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2680" w:type="dxa"/>
            <w:gridSpan w:val="2"/>
            <w:vAlign w:val="center"/>
          </w:tcPr>
          <w:p w14:paraId="445E3A71">
            <w:pPr>
              <w:spacing w:line="440" w:lineRule="exact"/>
              <w:ind w:firstLine="562"/>
              <w:rPr>
                <w:color w:val="auto"/>
                <w:sz w:val="21"/>
                <w:szCs w:val="21"/>
                <w:highlight w:val="none"/>
              </w:rPr>
            </w:pPr>
            <w:r>
              <w:rPr>
                <w:rFonts w:hint="eastAsia"/>
                <w:color w:val="auto"/>
                <w:sz w:val="21"/>
                <w:szCs w:val="21"/>
                <w:highlight w:val="none"/>
              </w:rPr>
              <w:t>内混玻璃珠含量(%)</w:t>
            </w:r>
          </w:p>
        </w:tc>
        <w:tc>
          <w:tcPr>
            <w:tcW w:w="6229" w:type="dxa"/>
            <w:gridSpan w:val="3"/>
            <w:vAlign w:val="center"/>
          </w:tcPr>
          <w:p w14:paraId="7028E94A">
            <w:pPr>
              <w:spacing w:line="440" w:lineRule="exact"/>
              <w:ind w:firstLine="562"/>
              <w:rPr>
                <w:color w:val="auto"/>
                <w:sz w:val="21"/>
                <w:szCs w:val="21"/>
                <w:highlight w:val="none"/>
              </w:rPr>
            </w:pPr>
            <w:r>
              <w:rPr>
                <w:rFonts w:hint="eastAsia"/>
                <w:color w:val="auto"/>
                <w:sz w:val="21"/>
                <w:szCs w:val="21"/>
                <w:highlight w:val="none"/>
              </w:rPr>
              <w:t>≥18</w:t>
            </w:r>
          </w:p>
        </w:tc>
      </w:tr>
      <w:tr w14:paraId="6B08B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restart"/>
            <w:vAlign w:val="center"/>
          </w:tcPr>
          <w:p w14:paraId="473CC3AC">
            <w:pPr>
              <w:spacing w:line="440" w:lineRule="exact"/>
              <w:ind w:firstLine="562"/>
              <w:rPr>
                <w:color w:val="auto"/>
                <w:sz w:val="21"/>
                <w:szCs w:val="21"/>
                <w:highlight w:val="none"/>
              </w:rPr>
            </w:pPr>
            <w:r>
              <w:rPr>
                <w:rFonts w:hint="eastAsia"/>
                <w:color w:val="auto"/>
                <w:sz w:val="21"/>
                <w:szCs w:val="21"/>
                <w:highlight w:val="none"/>
              </w:rPr>
              <w:t>亮度因素</w:t>
            </w:r>
          </w:p>
        </w:tc>
        <w:tc>
          <w:tcPr>
            <w:tcW w:w="1419" w:type="dxa"/>
            <w:vAlign w:val="center"/>
          </w:tcPr>
          <w:p w14:paraId="32E6DFD5">
            <w:pPr>
              <w:spacing w:line="440" w:lineRule="exact"/>
              <w:ind w:firstLine="562"/>
              <w:rPr>
                <w:color w:val="auto"/>
                <w:sz w:val="21"/>
                <w:szCs w:val="21"/>
                <w:highlight w:val="none"/>
              </w:rPr>
            </w:pPr>
            <w:r>
              <w:rPr>
                <w:rFonts w:hint="eastAsia"/>
                <w:color w:val="auto"/>
                <w:sz w:val="21"/>
                <w:szCs w:val="21"/>
                <w:highlight w:val="none"/>
              </w:rPr>
              <w:t>白色</w:t>
            </w:r>
          </w:p>
        </w:tc>
        <w:tc>
          <w:tcPr>
            <w:tcW w:w="3015" w:type="dxa"/>
            <w:tcBorders>
              <w:right w:val="single" w:color="auto" w:sz="4" w:space="0"/>
            </w:tcBorders>
            <w:vAlign w:val="center"/>
          </w:tcPr>
          <w:p w14:paraId="332A40BC">
            <w:pPr>
              <w:spacing w:line="440" w:lineRule="exact"/>
              <w:ind w:firstLine="562"/>
              <w:rPr>
                <w:color w:val="auto"/>
                <w:sz w:val="21"/>
                <w:szCs w:val="21"/>
                <w:highlight w:val="none"/>
              </w:rPr>
            </w:pPr>
            <w:r>
              <w:rPr>
                <w:rFonts w:hint="eastAsia"/>
                <w:color w:val="auto"/>
                <w:sz w:val="21"/>
                <w:szCs w:val="21"/>
                <w:highlight w:val="none"/>
              </w:rPr>
              <w:t>≥0.82</w:t>
            </w:r>
          </w:p>
        </w:tc>
        <w:tc>
          <w:tcPr>
            <w:tcW w:w="3214" w:type="dxa"/>
            <w:gridSpan w:val="2"/>
            <w:tcBorders>
              <w:left w:val="single" w:color="auto" w:sz="4" w:space="0"/>
              <w:bottom w:val="single" w:color="auto" w:sz="4" w:space="0"/>
            </w:tcBorders>
            <w:vAlign w:val="center"/>
          </w:tcPr>
          <w:p w14:paraId="23ADA1C2">
            <w:pPr>
              <w:spacing w:line="440" w:lineRule="exact"/>
              <w:ind w:firstLine="562"/>
              <w:rPr>
                <w:color w:val="auto"/>
                <w:sz w:val="21"/>
                <w:szCs w:val="21"/>
                <w:highlight w:val="none"/>
              </w:rPr>
            </w:pPr>
            <w:r>
              <w:rPr>
                <w:rFonts w:hint="eastAsia"/>
                <w:color w:val="auto"/>
                <w:sz w:val="21"/>
                <w:szCs w:val="21"/>
                <w:highlight w:val="none"/>
              </w:rPr>
              <w:t>≥0.80</w:t>
            </w:r>
          </w:p>
        </w:tc>
      </w:tr>
      <w:tr w14:paraId="2645DB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1261" w:type="dxa"/>
            <w:vMerge w:val="continue"/>
            <w:vAlign w:val="center"/>
          </w:tcPr>
          <w:p w14:paraId="577CC900">
            <w:pPr>
              <w:spacing w:line="440" w:lineRule="exact"/>
              <w:ind w:firstLine="562"/>
              <w:rPr>
                <w:color w:val="auto"/>
                <w:sz w:val="21"/>
                <w:szCs w:val="21"/>
                <w:highlight w:val="none"/>
              </w:rPr>
            </w:pPr>
          </w:p>
        </w:tc>
        <w:tc>
          <w:tcPr>
            <w:tcW w:w="1419" w:type="dxa"/>
            <w:vAlign w:val="center"/>
          </w:tcPr>
          <w:p w14:paraId="4D0D0B58">
            <w:pPr>
              <w:spacing w:line="440" w:lineRule="exact"/>
              <w:ind w:firstLine="562"/>
              <w:rPr>
                <w:color w:val="auto"/>
                <w:sz w:val="21"/>
                <w:szCs w:val="21"/>
                <w:highlight w:val="none"/>
              </w:rPr>
            </w:pPr>
            <w:r>
              <w:rPr>
                <w:rFonts w:hint="eastAsia"/>
                <w:color w:val="auto"/>
                <w:sz w:val="21"/>
                <w:szCs w:val="21"/>
                <w:highlight w:val="none"/>
              </w:rPr>
              <w:t>黄色</w:t>
            </w:r>
          </w:p>
        </w:tc>
        <w:tc>
          <w:tcPr>
            <w:tcW w:w="3015" w:type="dxa"/>
            <w:tcBorders>
              <w:right w:val="single" w:color="auto" w:sz="4" w:space="0"/>
            </w:tcBorders>
            <w:vAlign w:val="center"/>
          </w:tcPr>
          <w:p w14:paraId="38ED33E6">
            <w:pPr>
              <w:spacing w:line="440" w:lineRule="exact"/>
              <w:ind w:firstLine="562"/>
              <w:rPr>
                <w:color w:val="auto"/>
                <w:sz w:val="21"/>
                <w:szCs w:val="21"/>
                <w:highlight w:val="none"/>
              </w:rPr>
            </w:pPr>
            <w:r>
              <w:rPr>
                <w:rFonts w:hint="eastAsia"/>
                <w:color w:val="auto"/>
                <w:sz w:val="21"/>
                <w:szCs w:val="21"/>
                <w:highlight w:val="none"/>
              </w:rPr>
              <w:t xml:space="preserve">≥0.45  </w:t>
            </w:r>
          </w:p>
        </w:tc>
        <w:tc>
          <w:tcPr>
            <w:tcW w:w="3214" w:type="dxa"/>
            <w:gridSpan w:val="2"/>
            <w:tcBorders>
              <w:top w:val="single" w:color="auto" w:sz="4" w:space="0"/>
              <w:left w:val="single" w:color="auto" w:sz="4" w:space="0"/>
            </w:tcBorders>
            <w:vAlign w:val="center"/>
          </w:tcPr>
          <w:p w14:paraId="03DD2082">
            <w:pPr>
              <w:spacing w:line="440" w:lineRule="exact"/>
              <w:ind w:firstLine="562"/>
              <w:rPr>
                <w:color w:val="auto"/>
                <w:sz w:val="21"/>
                <w:szCs w:val="21"/>
                <w:highlight w:val="none"/>
              </w:rPr>
            </w:pPr>
            <w:r>
              <w:rPr>
                <w:rFonts w:hint="eastAsia"/>
                <w:color w:val="auto"/>
                <w:sz w:val="21"/>
                <w:szCs w:val="21"/>
                <w:highlight w:val="none"/>
              </w:rPr>
              <w:t>≥0.45</w:t>
            </w:r>
          </w:p>
        </w:tc>
      </w:tr>
      <w:tr w14:paraId="2D8CB9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90" w:hRule="exact"/>
          <w:jc w:val="center"/>
        </w:trPr>
        <w:tc>
          <w:tcPr>
            <w:tcW w:w="2680" w:type="dxa"/>
            <w:gridSpan w:val="2"/>
            <w:vAlign w:val="center"/>
          </w:tcPr>
          <w:p w14:paraId="064E9A5A">
            <w:pPr>
              <w:spacing w:line="440" w:lineRule="exact"/>
              <w:ind w:firstLine="562"/>
              <w:rPr>
                <w:color w:val="auto"/>
                <w:sz w:val="21"/>
                <w:szCs w:val="21"/>
                <w:highlight w:val="none"/>
              </w:rPr>
            </w:pPr>
            <w:r>
              <w:rPr>
                <w:rFonts w:hint="eastAsia"/>
                <w:color w:val="auto"/>
                <w:sz w:val="21"/>
                <w:szCs w:val="21"/>
                <w:highlight w:val="none"/>
              </w:rPr>
              <w:t>抗压强度(MPa)</w:t>
            </w:r>
          </w:p>
        </w:tc>
        <w:tc>
          <w:tcPr>
            <w:tcW w:w="3257" w:type="dxa"/>
            <w:gridSpan w:val="2"/>
            <w:vAlign w:val="center"/>
          </w:tcPr>
          <w:p w14:paraId="5A1EB6FE">
            <w:pPr>
              <w:spacing w:line="440" w:lineRule="exact"/>
              <w:ind w:firstLine="562"/>
              <w:rPr>
                <w:color w:val="auto"/>
                <w:sz w:val="21"/>
                <w:szCs w:val="21"/>
                <w:highlight w:val="none"/>
              </w:rPr>
            </w:pPr>
            <w:r>
              <w:rPr>
                <w:rFonts w:hint="eastAsia"/>
                <w:color w:val="auto"/>
                <w:sz w:val="21"/>
                <w:szCs w:val="21"/>
                <w:highlight w:val="none"/>
              </w:rPr>
              <w:t>≥15.0</w:t>
            </w:r>
          </w:p>
        </w:tc>
        <w:tc>
          <w:tcPr>
            <w:tcW w:w="2972" w:type="dxa"/>
            <w:vAlign w:val="center"/>
          </w:tcPr>
          <w:p w14:paraId="68CD8DFC">
            <w:pPr>
              <w:spacing w:line="440" w:lineRule="exact"/>
              <w:ind w:firstLine="562"/>
              <w:rPr>
                <w:color w:val="auto"/>
                <w:sz w:val="21"/>
                <w:szCs w:val="21"/>
                <w:highlight w:val="none"/>
                <w:vertAlign w:val="superscript"/>
              </w:rPr>
            </w:pPr>
            <w:r>
              <w:rPr>
                <w:rFonts w:hint="eastAsia"/>
                <w:color w:val="auto"/>
                <w:sz w:val="21"/>
                <w:szCs w:val="21"/>
                <w:highlight w:val="none"/>
              </w:rPr>
              <w:t>23℃±1℃时，≥15.0</w:t>
            </w:r>
          </w:p>
          <w:p w14:paraId="522C6FDF">
            <w:pPr>
              <w:spacing w:line="440" w:lineRule="exact"/>
              <w:ind w:firstLine="562"/>
              <w:rPr>
                <w:color w:val="auto"/>
                <w:sz w:val="21"/>
                <w:szCs w:val="21"/>
                <w:highlight w:val="none"/>
              </w:rPr>
            </w:pPr>
            <w:r>
              <w:rPr>
                <w:rFonts w:hint="eastAsia"/>
                <w:color w:val="auto"/>
                <w:sz w:val="21"/>
                <w:szCs w:val="21"/>
                <w:highlight w:val="none"/>
              </w:rPr>
              <w:t>50℃±2℃时，≥2.0（压下试块高度的20%）</w:t>
            </w:r>
          </w:p>
        </w:tc>
      </w:tr>
      <w:tr w14:paraId="2D5129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00" w:hRule="exact"/>
          <w:jc w:val="center"/>
        </w:trPr>
        <w:tc>
          <w:tcPr>
            <w:tcW w:w="2680" w:type="dxa"/>
            <w:gridSpan w:val="2"/>
            <w:vAlign w:val="center"/>
          </w:tcPr>
          <w:p w14:paraId="36501275">
            <w:pPr>
              <w:spacing w:line="440" w:lineRule="exact"/>
              <w:ind w:firstLine="562"/>
              <w:rPr>
                <w:color w:val="auto"/>
                <w:sz w:val="21"/>
                <w:szCs w:val="21"/>
                <w:highlight w:val="none"/>
              </w:rPr>
            </w:pPr>
            <w:r>
              <w:rPr>
                <w:rFonts w:hint="eastAsia"/>
                <w:color w:val="auto"/>
                <w:sz w:val="21"/>
                <w:szCs w:val="21"/>
                <w:highlight w:val="none"/>
              </w:rPr>
              <w:t>耐磨性（mg）</w:t>
            </w:r>
          </w:p>
          <w:p w14:paraId="659845D3">
            <w:pPr>
              <w:spacing w:line="440" w:lineRule="exact"/>
              <w:ind w:firstLine="562"/>
              <w:rPr>
                <w:color w:val="auto"/>
                <w:sz w:val="21"/>
                <w:szCs w:val="21"/>
                <w:highlight w:val="none"/>
              </w:rPr>
            </w:pPr>
            <w:r>
              <w:rPr>
                <w:rFonts w:hint="eastAsia"/>
                <w:color w:val="auto"/>
                <w:sz w:val="21"/>
                <w:szCs w:val="21"/>
                <w:highlight w:val="none"/>
              </w:rPr>
              <w:t>(200转/1000g后减重)</w:t>
            </w:r>
          </w:p>
        </w:tc>
        <w:tc>
          <w:tcPr>
            <w:tcW w:w="3257" w:type="dxa"/>
            <w:gridSpan w:val="2"/>
            <w:vAlign w:val="center"/>
          </w:tcPr>
          <w:p w14:paraId="210DB094">
            <w:pPr>
              <w:spacing w:line="440" w:lineRule="exact"/>
              <w:ind w:firstLine="562"/>
              <w:rPr>
                <w:color w:val="auto"/>
                <w:sz w:val="21"/>
                <w:szCs w:val="21"/>
                <w:highlight w:val="none"/>
              </w:rPr>
            </w:pPr>
            <w:r>
              <w:rPr>
                <w:rFonts w:hint="eastAsia"/>
                <w:color w:val="auto"/>
                <w:sz w:val="21"/>
                <w:szCs w:val="21"/>
                <w:highlight w:val="none"/>
              </w:rPr>
              <w:t>≤60（JM-100橡胶砂轮）</w:t>
            </w:r>
          </w:p>
        </w:tc>
        <w:tc>
          <w:tcPr>
            <w:tcW w:w="2972" w:type="dxa"/>
            <w:vAlign w:val="center"/>
          </w:tcPr>
          <w:p w14:paraId="156F2CD7">
            <w:pPr>
              <w:spacing w:line="440" w:lineRule="exact"/>
              <w:ind w:firstLine="562"/>
              <w:rPr>
                <w:color w:val="auto"/>
                <w:sz w:val="21"/>
                <w:szCs w:val="21"/>
                <w:highlight w:val="none"/>
              </w:rPr>
            </w:pPr>
            <w:r>
              <w:rPr>
                <w:rFonts w:hint="eastAsia"/>
                <w:color w:val="auto"/>
                <w:sz w:val="21"/>
                <w:szCs w:val="21"/>
                <w:highlight w:val="none"/>
              </w:rPr>
              <w:t>—</w:t>
            </w:r>
          </w:p>
        </w:tc>
      </w:tr>
    </w:tbl>
    <w:p w14:paraId="54BCAF95">
      <w:pPr>
        <w:spacing w:line="440" w:lineRule="exact"/>
        <w:ind w:firstLine="420" w:firstLineChars="200"/>
        <w:rPr>
          <w:color w:val="auto"/>
          <w:sz w:val="21"/>
          <w:szCs w:val="21"/>
          <w:highlight w:val="none"/>
        </w:rPr>
      </w:pPr>
      <w:r>
        <w:rPr>
          <w:rFonts w:hint="eastAsia"/>
          <w:color w:val="auto"/>
          <w:sz w:val="21"/>
          <w:szCs w:val="21"/>
          <w:highlight w:val="none"/>
        </w:rPr>
        <w:t>25.1.5 材料的检验、包装、运输和储存以及涂料的试验应满足《公路工程标准施工招标文件》（2018年版）的有关要求。</w:t>
      </w:r>
    </w:p>
    <w:p w14:paraId="2C25961C">
      <w:pPr>
        <w:spacing w:line="440" w:lineRule="exact"/>
        <w:ind w:firstLine="420" w:firstLineChars="200"/>
        <w:rPr>
          <w:color w:val="auto"/>
          <w:sz w:val="21"/>
          <w:szCs w:val="21"/>
          <w:highlight w:val="none"/>
          <w:u w:val="double"/>
        </w:rPr>
      </w:pPr>
      <w:r>
        <w:rPr>
          <w:rFonts w:hint="eastAsia"/>
          <w:color w:val="auto"/>
          <w:sz w:val="21"/>
          <w:szCs w:val="21"/>
          <w:highlight w:val="none"/>
          <w:u w:val="double"/>
        </w:rPr>
        <w:t>25.1.6  应对运至工地的涂料和玻璃珠等材料进行抽样检验，不合格产品，严禁使用。</w:t>
      </w:r>
    </w:p>
    <w:p w14:paraId="0CC7104B">
      <w:pPr>
        <w:spacing w:line="440" w:lineRule="exact"/>
        <w:ind w:firstLine="422" w:firstLineChars="200"/>
        <w:rPr>
          <w:b/>
          <w:bCs/>
          <w:color w:val="auto"/>
          <w:sz w:val="21"/>
          <w:szCs w:val="21"/>
          <w:highlight w:val="none"/>
        </w:rPr>
      </w:pPr>
      <w:bookmarkStart w:id="145" w:name="_Toc17671"/>
      <w:bookmarkStart w:id="146" w:name="_Toc30984"/>
      <w:bookmarkStart w:id="147" w:name="_Toc34838411"/>
      <w:bookmarkStart w:id="148" w:name="_Toc26177988"/>
      <w:r>
        <w:rPr>
          <w:rFonts w:hint="eastAsia"/>
          <w:b/>
          <w:bCs/>
          <w:color w:val="auto"/>
          <w:sz w:val="21"/>
          <w:szCs w:val="21"/>
          <w:highlight w:val="none"/>
        </w:rPr>
        <w:t>25.2 施工要求</w:t>
      </w:r>
      <w:bookmarkEnd w:id="145"/>
      <w:bookmarkEnd w:id="146"/>
      <w:bookmarkEnd w:id="147"/>
      <w:bookmarkEnd w:id="148"/>
      <w:bookmarkStart w:id="149" w:name="_Toc11817"/>
      <w:bookmarkStart w:id="150" w:name="_Toc26177989"/>
      <w:bookmarkStart w:id="151" w:name="_Toc22743"/>
      <w:bookmarkStart w:id="152" w:name="_Toc2661"/>
    </w:p>
    <w:p w14:paraId="782C704A">
      <w:pPr>
        <w:spacing w:line="440" w:lineRule="exact"/>
        <w:ind w:firstLine="420" w:firstLineChars="200"/>
        <w:rPr>
          <w:color w:val="auto"/>
          <w:sz w:val="21"/>
          <w:szCs w:val="21"/>
          <w:highlight w:val="none"/>
        </w:rPr>
      </w:pPr>
      <w:bookmarkStart w:id="153" w:name="_Toc34838412"/>
      <w:r>
        <w:rPr>
          <w:rFonts w:hint="eastAsia"/>
          <w:color w:val="auto"/>
          <w:sz w:val="21"/>
          <w:szCs w:val="21"/>
          <w:highlight w:val="none"/>
        </w:rPr>
        <w:t>25.2.1 旧标线清除</w:t>
      </w:r>
      <w:bookmarkEnd w:id="149"/>
      <w:bookmarkEnd w:id="150"/>
      <w:bookmarkEnd w:id="151"/>
      <w:bookmarkEnd w:id="152"/>
      <w:bookmarkEnd w:id="153"/>
      <w:r>
        <w:rPr>
          <w:rFonts w:hint="eastAsia"/>
          <w:color w:val="auto"/>
          <w:sz w:val="21"/>
          <w:szCs w:val="21"/>
          <w:highlight w:val="none"/>
        </w:rPr>
        <w:t>（如有）</w:t>
      </w:r>
    </w:p>
    <w:p w14:paraId="6C900104">
      <w:pPr>
        <w:spacing w:line="440" w:lineRule="exact"/>
        <w:ind w:firstLine="420" w:firstLineChars="200"/>
        <w:rPr>
          <w:color w:val="auto"/>
          <w:sz w:val="21"/>
          <w:szCs w:val="21"/>
          <w:highlight w:val="none"/>
          <w:u w:val="double"/>
        </w:rPr>
      </w:pPr>
      <w:r>
        <w:rPr>
          <w:rFonts w:hint="eastAsia"/>
          <w:color w:val="auto"/>
          <w:sz w:val="21"/>
          <w:szCs w:val="21"/>
          <w:highlight w:val="none"/>
          <w:u w:val="double"/>
        </w:rPr>
        <w:t>（1） 旧标线应采用除线机清除。除线机应运转正常，磨头损坏后应及时更换，以免在除线过程中损伤路面；</w:t>
      </w:r>
    </w:p>
    <w:p w14:paraId="5A92A53F">
      <w:pPr>
        <w:spacing w:line="440" w:lineRule="exact"/>
        <w:ind w:firstLine="420" w:firstLineChars="200"/>
        <w:rPr>
          <w:color w:val="auto"/>
          <w:sz w:val="21"/>
          <w:szCs w:val="21"/>
          <w:highlight w:val="none"/>
          <w:u w:val="double"/>
        </w:rPr>
      </w:pPr>
      <w:r>
        <w:rPr>
          <w:rFonts w:hint="eastAsia"/>
          <w:color w:val="auto"/>
          <w:sz w:val="21"/>
          <w:szCs w:val="21"/>
          <w:highlight w:val="none"/>
          <w:u w:val="double"/>
        </w:rPr>
        <w:t>（2） 清除旧标线时，每处以打磨两遍为宜，清除掉的旧标线废弃物应及时回收不得随意丢弃，避免污染环境；</w:t>
      </w:r>
    </w:p>
    <w:p w14:paraId="2D74EF84">
      <w:pPr>
        <w:spacing w:line="440" w:lineRule="exact"/>
        <w:ind w:firstLine="420" w:firstLineChars="200"/>
        <w:rPr>
          <w:color w:val="auto"/>
          <w:sz w:val="21"/>
          <w:szCs w:val="21"/>
          <w:highlight w:val="none"/>
          <w:u w:val="double"/>
        </w:rPr>
      </w:pPr>
      <w:r>
        <w:rPr>
          <w:rFonts w:hint="eastAsia"/>
          <w:color w:val="auto"/>
          <w:sz w:val="21"/>
          <w:szCs w:val="21"/>
          <w:highlight w:val="none"/>
          <w:u w:val="double"/>
        </w:rPr>
        <w:t>（3） 旧标线清除后，应使用带钢丝刷的扫地机清扫已除标线部位，然后采用吹风机将路面上的标线废弃物、沙石、尘埃等清扫干净；</w:t>
      </w:r>
    </w:p>
    <w:p w14:paraId="202BB404">
      <w:pPr>
        <w:spacing w:line="440" w:lineRule="exact"/>
        <w:ind w:firstLine="420" w:firstLineChars="200"/>
        <w:rPr>
          <w:color w:val="auto"/>
          <w:sz w:val="21"/>
          <w:szCs w:val="21"/>
          <w:highlight w:val="none"/>
          <w:u w:val="double"/>
        </w:rPr>
      </w:pPr>
      <w:r>
        <w:rPr>
          <w:rFonts w:hint="eastAsia"/>
          <w:color w:val="auto"/>
          <w:sz w:val="21"/>
          <w:szCs w:val="21"/>
          <w:highlight w:val="none"/>
          <w:u w:val="double"/>
        </w:rPr>
        <w:t>（4） 清除旧标线时应以保护原路面不受损坏为前提，清除面应保持与原路面相平，沥青路面清除面积应尽可能达到80%以上，水泥路面清除面积应尽可能达到95%以上，清除的旧标线应清扫干净。</w:t>
      </w:r>
    </w:p>
    <w:p w14:paraId="0ED80D67">
      <w:pPr>
        <w:spacing w:line="440" w:lineRule="exact"/>
        <w:ind w:firstLine="420" w:firstLineChars="200"/>
        <w:rPr>
          <w:color w:val="auto"/>
          <w:sz w:val="21"/>
          <w:szCs w:val="21"/>
          <w:highlight w:val="none"/>
        </w:rPr>
      </w:pPr>
      <w:bookmarkStart w:id="154" w:name="_Toc16836"/>
      <w:bookmarkStart w:id="155" w:name="_Toc34838413"/>
      <w:bookmarkStart w:id="156" w:name="_Toc25210"/>
      <w:bookmarkStart w:id="157" w:name="_Toc26177990"/>
      <w:bookmarkStart w:id="158" w:name="_Toc17275"/>
      <w:r>
        <w:rPr>
          <w:rFonts w:hint="eastAsia"/>
          <w:color w:val="auto"/>
          <w:sz w:val="21"/>
          <w:szCs w:val="21"/>
          <w:highlight w:val="none"/>
        </w:rPr>
        <w:t>25.2.2  路面标线施划</w:t>
      </w:r>
      <w:bookmarkEnd w:id="154"/>
      <w:bookmarkEnd w:id="155"/>
      <w:bookmarkEnd w:id="156"/>
      <w:bookmarkEnd w:id="157"/>
      <w:bookmarkEnd w:id="158"/>
    </w:p>
    <w:p w14:paraId="1F60195A">
      <w:pPr>
        <w:spacing w:line="440" w:lineRule="exact"/>
        <w:ind w:firstLine="420" w:firstLineChars="200"/>
        <w:rPr>
          <w:color w:val="auto"/>
          <w:sz w:val="21"/>
          <w:szCs w:val="21"/>
          <w:highlight w:val="none"/>
        </w:rPr>
      </w:pPr>
      <w:r>
        <w:rPr>
          <w:rFonts w:hint="eastAsia"/>
          <w:color w:val="auto"/>
          <w:sz w:val="21"/>
          <w:szCs w:val="21"/>
          <w:highlight w:val="none"/>
        </w:rPr>
        <w:t>25.2.2.1 标线施划前的准备</w:t>
      </w:r>
    </w:p>
    <w:p w14:paraId="6BE7C509">
      <w:pPr>
        <w:spacing w:line="440" w:lineRule="exact"/>
        <w:ind w:firstLine="420" w:firstLineChars="200"/>
        <w:rPr>
          <w:color w:val="auto"/>
          <w:sz w:val="21"/>
          <w:szCs w:val="21"/>
          <w:highlight w:val="none"/>
        </w:rPr>
      </w:pPr>
      <w:r>
        <w:rPr>
          <w:rFonts w:hint="eastAsia"/>
          <w:color w:val="auto"/>
          <w:sz w:val="21"/>
          <w:szCs w:val="21"/>
          <w:highlight w:val="none"/>
        </w:rPr>
        <w:t>（1）设置标线的路面表面应清洁干燥，无松散颗粒、灰尘、沥青、油污或其他有害物质。</w:t>
      </w:r>
    </w:p>
    <w:p w14:paraId="4F31C941">
      <w:pPr>
        <w:spacing w:line="440" w:lineRule="exact"/>
        <w:ind w:firstLine="420" w:firstLineChars="200"/>
        <w:rPr>
          <w:color w:val="auto"/>
          <w:sz w:val="21"/>
          <w:szCs w:val="21"/>
          <w:highlight w:val="none"/>
        </w:rPr>
      </w:pPr>
      <w:r>
        <w:rPr>
          <w:rFonts w:hint="eastAsia"/>
          <w:color w:val="auto"/>
          <w:sz w:val="21"/>
          <w:szCs w:val="21"/>
          <w:highlight w:val="none"/>
        </w:rPr>
        <w:t>（2） 应根据公路横断面的具体尺寸和设计文件的要求确定标线位置和标线宽度、长度，在路面上划出标线位置，</w:t>
      </w:r>
      <w:r>
        <w:rPr>
          <w:rFonts w:hint="eastAsia"/>
          <w:color w:val="auto"/>
          <w:sz w:val="21"/>
          <w:szCs w:val="21"/>
          <w:highlight w:val="none"/>
          <w:u w:val="double"/>
        </w:rPr>
        <w:t>保证线条顺直、流畅 ，线型美观。</w:t>
      </w:r>
    </w:p>
    <w:p w14:paraId="6339127B">
      <w:pPr>
        <w:spacing w:line="440" w:lineRule="exact"/>
        <w:ind w:firstLine="420" w:firstLineChars="200"/>
        <w:rPr>
          <w:color w:val="auto"/>
          <w:sz w:val="21"/>
          <w:szCs w:val="21"/>
          <w:highlight w:val="none"/>
        </w:rPr>
      </w:pPr>
      <w:r>
        <w:rPr>
          <w:rFonts w:hint="eastAsia"/>
          <w:color w:val="auto"/>
          <w:sz w:val="21"/>
          <w:szCs w:val="21"/>
          <w:highlight w:val="none"/>
        </w:rPr>
        <w:t>25.2.2.2 涂刷底油</w:t>
      </w:r>
    </w:p>
    <w:p w14:paraId="75C0AE2A">
      <w:pPr>
        <w:spacing w:line="440" w:lineRule="exact"/>
        <w:ind w:firstLine="420" w:firstLineChars="200"/>
        <w:rPr>
          <w:color w:val="auto"/>
          <w:sz w:val="21"/>
          <w:szCs w:val="21"/>
          <w:highlight w:val="none"/>
        </w:rPr>
      </w:pPr>
      <w:r>
        <w:rPr>
          <w:rFonts w:hint="eastAsia"/>
          <w:color w:val="auto"/>
          <w:sz w:val="21"/>
          <w:szCs w:val="21"/>
          <w:highlight w:val="none"/>
        </w:rPr>
        <w:t>（1）在水泥路面和旧的沥青路面施加标线需要预涂底油时，应先喷涂热熔底油下涂剂，按试验决定的间隔时间喷涂热熔涂料，以提高其粘结力。</w:t>
      </w:r>
    </w:p>
    <w:p w14:paraId="528D9D0D">
      <w:pPr>
        <w:spacing w:line="440" w:lineRule="exact"/>
        <w:ind w:firstLine="420" w:firstLineChars="200"/>
        <w:rPr>
          <w:color w:val="auto"/>
          <w:sz w:val="21"/>
          <w:szCs w:val="21"/>
          <w:highlight w:val="none"/>
          <w:u w:val="double"/>
        </w:rPr>
      </w:pPr>
      <w:r>
        <w:rPr>
          <w:rFonts w:hint="eastAsia"/>
          <w:color w:val="auto"/>
          <w:sz w:val="21"/>
          <w:szCs w:val="21"/>
          <w:highlight w:val="none"/>
        </w:rPr>
        <w:t>（2）为了确保标线涂料和路面材料完全相适应，底油的类型和用量应经监理人批准，</w:t>
      </w:r>
      <w:r>
        <w:rPr>
          <w:rFonts w:hint="eastAsia"/>
          <w:color w:val="auto"/>
          <w:sz w:val="21"/>
          <w:szCs w:val="21"/>
          <w:highlight w:val="none"/>
          <w:u w:val="double"/>
        </w:rPr>
        <w:t>原则上，底油用量为0.15kg/㎡～0.20kg/㎡，应使用涂料厂家提供的底油，严禁使用废机油。</w:t>
      </w:r>
    </w:p>
    <w:p w14:paraId="61172C56">
      <w:pPr>
        <w:spacing w:line="440" w:lineRule="exact"/>
        <w:ind w:firstLine="420" w:firstLineChars="200"/>
        <w:rPr>
          <w:color w:val="auto"/>
          <w:sz w:val="21"/>
          <w:szCs w:val="21"/>
          <w:highlight w:val="none"/>
          <w:u w:val="double"/>
        </w:rPr>
      </w:pPr>
      <w:r>
        <w:rPr>
          <w:rFonts w:hint="eastAsia"/>
          <w:color w:val="auto"/>
          <w:sz w:val="21"/>
          <w:szCs w:val="21"/>
          <w:highlight w:val="none"/>
          <w:u w:val="double"/>
        </w:rPr>
        <w:t>（3）底油应使用底油喷涂机进行喷涂，喷涂的底油应完全覆盖待划标线部位，且其边缘应较标线宽约1cm。</w:t>
      </w:r>
    </w:p>
    <w:p w14:paraId="34B9C561">
      <w:pPr>
        <w:spacing w:line="440" w:lineRule="exact"/>
        <w:ind w:firstLine="420" w:firstLineChars="200"/>
        <w:rPr>
          <w:color w:val="auto"/>
          <w:sz w:val="21"/>
          <w:szCs w:val="21"/>
          <w:highlight w:val="none"/>
        </w:rPr>
      </w:pPr>
      <w:r>
        <w:rPr>
          <w:rFonts w:hint="eastAsia"/>
          <w:color w:val="auto"/>
          <w:sz w:val="21"/>
          <w:szCs w:val="21"/>
          <w:highlight w:val="none"/>
        </w:rPr>
        <w:t>（4）待底油彻底干燥，不粘附灰尘、沙土时，方可进行标线施划，以避免产生气泡甚至脱落等严重质量问题。</w:t>
      </w:r>
    </w:p>
    <w:p w14:paraId="1023E694">
      <w:pPr>
        <w:spacing w:line="440" w:lineRule="exact"/>
        <w:ind w:firstLine="420" w:firstLineChars="200"/>
        <w:rPr>
          <w:color w:val="auto"/>
          <w:sz w:val="21"/>
          <w:szCs w:val="21"/>
          <w:highlight w:val="none"/>
        </w:rPr>
      </w:pPr>
      <w:r>
        <w:rPr>
          <w:rFonts w:hint="eastAsia"/>
          <w:color w:val="auto"/>
          <w:sz w:val="21"/>
          <w:szCs w:val="21"/>
          <w:highlight w:val="none"/>
        </w:rPr>
        <w:t>25.2.2.3  涂料加热</w:t>
      </w:r>
    </w:p>
    <w:p w14:paraId="11748113">
      <w:pPr>
        <w:spacing w:line="440" w:lineRule="exact"/>
        <w:ind w:firstLine="420" w:firstLineChars="200"/>
        <w:rPr>
          <w:color w:val="auto"/>
          <w:sz w:val="21"/>
          <w:szCs w:val="21"/>
          <w:highlight w:val="none"/>
          <w:u w:val="double"/>
        </w:rPr>
      </w:pPr>
      <w:r>
        <w:rPr>
          <w:rFonts w:hint="eastAsia"/>
          <w:color w:val="auto"/>
          <w:sz w:val="21"/>
          <w:szCs w:val="21"/>
          <w:highlight w:val="none"/>
          <w:u w:val="double"/>
        </w:rPr>
        <w:t>（1）根据环境气温和涂料特性，涂料熔融温度宜保持在215℃～240℃，涂料应在完全熔化，并搅拌均匀后方可使用，禁止使用烧焦的物料。</w:t>
      </w:r>
    </w:p>
    <w:p w14:paraId="02FFD0F3">
      <w:pPr>
        <w:spacing w:line="440" w:lineRule="exact"/>
        <w:ind w:firstLine="420" w:firstLineChars="200"/>
        <w:rPr>
          <w:color w:val="auto"/>
          <w:sz w:val="21"/>
          <w:szCs w:val="21"/>
          <w:highlight w:val="none"/>
        </w:rPr>
      </w:pPr>
      <w:r>
        <w:rPr>
          <w:rFonts w:hint="eastAsia"/>
          <w:color w:val="auto"/>
          <w:sz w:val="21"/>
          <w:szCs w:val="21"/>
          <w:highlight w:val="none"/>
        </w:rPr>
        <w:t>（2）涂料在容器内加热时，温度应控制在涂料生产商的使用说明规定值内，不得超过最高限制温度。烃树脂类材料，保持在熔融状态的时间不得大于6h，树胶树脂类材料，保持在熔融状态的时间不得大于4h。</w:t>
      </w:r>
    </w:p>
    <w:p w14:paraId="7F12819C">
      <w:pPr>
        <w:spacing w:line="440" w:lineRule="exact"/>
        <w:ind w:firstLine="420" w:firstLineChars="200"/>
        <w:rPr>
          <w:color w:val="auto"/>
          <w:sz w:val="21"/>
          <w:szCs w:val="21"/>
          <w:highlight w:val="none"/>
        </w:rPr>
      </w:pPr>
      <w:r>
        <w:rPr>
          <w:rFonts w:hint="eastAsia"/>
          <w:color w:val="auto"/>
          <w:sz w:val="21"/>
          <w:szCs w:val="21"/>
          <w:highlight w:val="none"/>
        </w:rPr>
        <w:t>25.2.2.4 标线施划</w:t>
      </w:r>
    </w:p>
    <w:p w14:paraId="31792811">
      <w:pPr>
        <w:spacing w:line="440" w:lineRule="exact"/>
        <w:ind w:firstLine="420" w:firstLineChars="200"/>
        <w:rPr>
          <w:color w:val="auto"/>
          <w:sz w:val="21"/>
          <w:szCs w:val="21"/>
          <w:highlight w:val="none"/>
        </w:rPr>
      </w:pPr>
      <w:r>
        <w:rPr>
          <w:rFonts w:hint="eastAsia"/>
          <w:color w:val="auto"/>
          <w:sz w:val="21"/>
          <w:szCs w:val="21"/>
          <w:highlight w:val="none"/>
        </w:rPr>
        <w:t>（1）标线施工应在白天进行，雨天、风大、灰尘大或气温低于10℃时应暂时停止施工。</w:t>
      </w:r>
    </w:p>
    <w:p w14:paraId="336EC439">
      <w:pPr>
        <w:spacing w:line="440" w:lineRule="exact"/>
        <w:ind w:firstLine="420" w:firstLineChars="200"/>
        <w:rPr>
          <w:color w:val="auto"/>
          <w:sz w:val="21"/>
          <w:szCs w:val="21"/>
          <w:highlight w:val="none"/>
        </w:rPr>
      </w:pPr>
      <w:r>
        <w:rPr>
          <w:rFonts w:hint="eastAsia"/>
          <w:color w:val="auto"/>
          <w:sz w:val="21"/>
          <w:szCs w:val="21"/>
          <w:highlight w:val="none"/>
        </w:rPr>
        <w:t>（2）正式施划前应进行试划，以检验划线车的行驶速度、线宽、标线厚度、玻璃珠撒布量等能否满足要求。调试合格后才能开始正式施工。</w:t>
      </w:r>
    </w:p>
    <w:p w14:paraId="69992398">
      <w:pPr>
        <w:spacing w:line="440" w:lineRule="exact"/>
        <w:ind w:firstLine="420" w:firstLineChars="200"/>
        <w:rPr>
          <w:color w:val="auto"/>
          <w:sz w:val="21"/>
          <w:szCs w:val="21"/>
          <w:highlight w:val="none"/>
          <w:u w:val="double"/>
        </w:rPr>
      </w:pPr>
      <w:r>
        <w:rPr>
          <w:rFonts w:hint="eastAsia"/>
          <w:color w:val="auto"/>
          <w:sz w:val="21"/>
          <w:szCs w:val="21"/>
          <w:highlight w:val="none"/>
          <w:u w:val="double"/>
        </w:rPr>
        <w:t>（3）应使用安装有玻璃珠双撒播器的热熔划线车施划热熔标线，撒布在标线涂层上的玻璃珠应分布均匀，其撒布量应大于0.5kg/㎡，玻璃珠的撒布应经试验确认后方可实施。施工时应根据环境气温和路面状况，将涂料粘度调整到适宜的状态，尽量使面撒的玻璃珠颗粒有约2/3的体积沉入到标线涂层中。</w:t>
      </w:r>
    </w:p>
    <w:p w14:paraId="4AE1A72E">
      <w:pPr>
        <w:spacing w:line="440" w:lineRule="exact"/>
        <w:ind w:firstLine="420" w:firstLineChars="200"/>
        <w:rPr>
          <w:color w:val="auto"/>
          <w:sz w:val="21"/>
          <w:szCs w:val="21"/>
          <w:highlight w:val="none"/>
        </w:rPr>
      </w:pPr>
      <w:r>
        <w:rPr>
          <w:rFonts w:hint="eastAsia"/>
          <w:color w:val="auto"/>
          <w:sz w:val="21"/>
          <w:szCs w:val="21"/>
          <w:highlight w:val="none"/>
        </w:rPr>
        <w:t>（4）连续设置的实线类标线，应每隔15m左右设置排水缝，其他标线有可能阻水时，应沿排水方向设置排水缝。排水缝宽度一般为3cm-5cm。</w:t>
      </w:r>
    </w:p>
    <w:p w14:paraId="336E3115">
      <w:pPr>
        <w:spacing w:line="440" w:lineRule="exact"/>
        <w:ind w:firstLine="420" w:firstLineChars="200"/>
        <w:rPr>
          <w:color w:val="auto"/>
          <w:sz w:val="21"/>
          <w:szCs w:val="21"/>
          <w:highlight w:val="none"/>
        </w:rPr>
      </w:pPr>
      <w:r>
        <w:rPr>
          <w:rFonts w:hint="eastAsia"/>
          <w:color w:val="auto"/>
          <w:sz w:val="21"/>
          <w:szCs w:val="21"/>
          <w:highlight w:val="none"/>
        </w:rPr>
        <w:t>（5）有缺陷的、施工不当、尺寸不正确或位置错误的标线均应清除，重新施划。</w:t>
      </w:r>
    </w:p>
    <w:p w14:paraId="24D0BC43">
      <w:pPr>
        <w:spacing w:line="440" w:lineRule="exact"/>
        <w:ind w:firstLine="420" w:firstLineChars="200"/>
        <w:rPr>
          <w:color w:val="auto"/>
          <w:sz w:val="21"/>
          <w:szCs w:val="21"/>
          <w:highlight w:val="none"/>
        </w:rPr>
      </w:pPr>
      <w:r>
        <w:rPr>
          <w:rFonts w:hint="eastAsia"/>
          <w:color w:val="auto"/>
          <w:sz w:val="21"/>
          <w:szCs w:val="21"/>
          <w:highlight w:val="none"/>
        </w:rPr>
        <w:t>（6）在作业区内通行，防止将涂料带出或形成车辙，直至标线充分干燥，方可开放交通。</w:t>
      </w:r>
    </w:p>
    <w:p w14:paraId="5F8DE415">
      <w:pPr>
        <w:spacing w:line="440" w:lineRule="exact"/>
        <w:ind w:firstLine="422" w:firstLineChars="200"/>
        <w:rPr>
          <w:b/>
          <w:bCs/>
          <w:color w:val="auto"/>
          <w:sz w:val="21"/>
          <w:szCs w:val="21"/>
          <w:highlight w:val="none"/>
        </w:rPr>
      </w:pPr>
      <w:bookmarkStart w:id="159" w:name="_Toc26177995"/>
      <w:bookmarkStart w:id="160" w:name="_Toc34838414"/>
      <w:bookmarkStart w:id="161" w:name="_Toc28247"/>
      <w:bookmarkStart w:id="162" w:name="_Toc2130"/>
      <w:r>
        <w:rPr>
          <w:rFonts w:hint="eastAsia"/>
          <w:b/>
          <w:bCs/>
          <w:color w:val="auto"/>
          <w:sz w:val="21"/>
          <w:szCs w:val="21"/>
          <w:highlight w:val="none"/>
        </w:rPr>
        <w:t>25.3 质量检验</w:t>
      </w:r>
      <w:bookmarkEnd w:id="159"/>
      <w:bookmarkEnd w:id="160"/>
      <w:bookmarkEnd w:id="161"/>
      <w:bookmarkEnd w:id="162"/>
    </w:p>
    <w:p w14:paraId="298A1C73">
      <w:pPr>
        <w:spacing w:line="440" w:lineRule="exact"/>
        <w:ind w:firstLine="420" w:firstLineChars="200"/>
        <w:rPr>
          <w:color w:val="auto"/>
          <w:sz w:val="21"/>
          <w:szCs w:val="21"/>
          <w:highlight w:val="none"/>
        </w:rPr>
      </w:pPr>
      <w:bookmarkStart w:id="163" w:name="_Toc5572"/>
      <w:bookmarkStart w:id="164" w:name="_Toc34838415"/>
      <w:bookmarkStart w:id="165" w:name="_Toc26177996"/>
      <w:bookmarkStart w:id="166" w:name="_Toc7400"/>
      <w:bookmarkStart w:id="167" w:name="_Toc32535"/>
      <w:r>
        <w:rPr>
          <w:rFonts w:hint="eastAsia"/>
          <w:color w:val="auto"/>
          <w:sz w:val="21"/>
          <w:szCs w:val="21"/>
          <w:highlight w:val="none"/>
        </w:rPr>
        <w:t>25.3.1 基本要求</w:t>
      </w:r>
      <w:bookmarkEnd w:id="163"/>
      <w:bookmarkEnd w:id="164"/>
      <w:bookmarkEnd w:id="165"/>
      <w:bookmarkEnd w:id="166"/>
      <w:bookmarkEnd w:id="167"/>
    </w:p>
    <w:p w14:paraId="7A7B2B22">
      <w:pPr>
        <w:spacing w:line="440" w:lineRule="exact"/>
        <w:ind w:firstLine="420" w:firstLineChars="200"/>
        <w:rPr>
          <w:color w:val="auto"/>
          <w:sz w:val="21"/>
          <w:szCs w:val="21"/>
          <w:highlight w:val="none"/>
        </w:rPr>
      </w:pPr>
      <w:r>
        <w:rPr>
          <w:rFonts w:hint="eastAsia"/>
          <w:color w:val="auto"/>
          <w:sz w:val="21"/>
          <w:szCs w:val="21"/>
          <w:highlight w:val="none"/>
        </w:rPr>
        <w:t>（1）标线的颜色、形状和位置应符合《道路交通标志和标线》（GB 5768）的规定并满足设计要求。</w:t>
      </w:r>
    </w:p>
    <w:p w14:paraId="57CB2291">
      <w:pPr>
        <w:spacing w:line="440" w:lineRule="exact"/>
        <w:ind w:firstLine="420" w:firstLineChars="200"/>
        <w:rPr>
          <w:color w:val="auto"/>
          <w:sz w:val="21"/>
          <w:szCs w:val="21"/>
          <w:highlight w:val="none"/>
        </w:rPr>
      </w:pPr>
      <w:r>
        <w:rPr>
          <w:rFonts w:hint="eastAsia"/>
          <w:color w:val="auto"/>
          <w:sz w:val="21"/>
          <w:szCs w:val="21"/>
          <w:highlight w:val="none"/>
        </w:rPr>
        <w:t>（2）施划后的标线应具有良好的全天候视认性，颜色均匀、边缘整齐、线型规则、线条流畅。</w:t>
      </w:r>
    </w:p>
    <w:p w14:paraId="5C00470F">
      <w:pPr>
        <w:spacing w:line="440" w:lineRule="exact"/>
        <w:ind w:firstLine="420" w:firstLineChars="200"/>
        <w:rPr>
          <w:color w:val="auto"/>
          <w:sz w:val="21"/>
          <w:szCs w:val="21"/>
          <w:highlight w:val="none"/>
        </w:rPr>
      </w:pPr>
      <w:r>
        <w:rPr>
          <w:rFonts w:hint="eastAsia"/>
          <w:color w:val="auto"/>
          <w:sz w:val="21"/>
          <w:szCs w:val="21"/>
          <w:highlight w:val="none"/>
        </w:rPr>
        <w:t>（3）标线面撒玻璃珠应撒布均匀。标线无明显起泡、皱纹、开裂、剥落等缺陷。</w:t>
      </w:r>
    </w:p>
    <w:p w14:paraId="53CD04A4">
      <w:pPr>
        <w:spacing w:line="440" w:lineRule="exact"/>
        <w:ind w:firstLine="420" w:firstLineChars="200"/>
        <w:rPr>
          <w:color w:val="auto"/>
          <w:sz w:val="21"/>
          <w:szCs w:val="21"/>
          <w:highlight w:val="none"/>
          <w:u w:val="double"/>
        </w:rPr>
      </w:pPr>
      <w:r>
        <w:rPr>
          <w:rFonts w:hint="eastAsia"/>
          <w:color w:val="auto"/>
          <w:sz w:val="21"/>
          <w:szCs w:val="21"/>
          <w:highlight w:val="none"/>
          <w:u w:val="double"/>
        </w:rPr>
        <w:t>（4）标线施工污染路面应及时清理。</w:t>
      </w:r>
    </w:p>
    <w:p w14:paraId="65580BDE">
      <w:pPr>
        <w:spacing w:line="440" w:lineRule="exact"/>
        <w:ind w:firstLine="420" w:firstLineChars="200"/>
        <w:rPr>
          <w:color w:val="auto"/>
          <w:sz w:val="21"/>
          <w:szCs w:val="21"/>
          <w:highlight w:val="none"/>
        </w:rPr>
      </w:pPr>
      <w:bookmarkStart w:id="168" w:name="_Toc31844"/>
      <w:bookmarkStart w:id="169" w:name="_Toc31345"/>
      <w:bookmarkStart w:id="170" w:name="_Toc6679"/>
      <w:r>
        <w:rPr>
          <w:rFonts w:hint="eastAsia"/>
          <w:color w:val="auto"/>
          <w:sz w:val="21"/>
          <w:szCs w:val="21"/>
          <w:highlight w:val="none"/>
        </w:rPr>
        <w:t>25.3.2 实测项目</w:t>
      </w:r>
      <w:bookmarkEnd w:id="168"/>
      <w:bookmarkEnd w:id="169"/>
      <w:bookmarkEnd w:id="170"/>
    </w:p>
    <w:p w14:paraId="1DA36EC3">
      <w:pPr>
        <w:spacing w:line="440" w:lineRule="exact"/>
        <w:ind w:firstLine="420" w:firstLineChars="200"/>
        <w:rPr>
          <w:color w:val="auto"/>
          <w:sz w:val="21"/>
          <w:szCs w:val="21"/>
          <w:highlight w:val="none"/>
        </w:rPr>
      </w:pPr>
      <w:r>
        <w:rPr>
          <w:rFonts w:hint="eastAsia"/>
          <w:color w:val="auto"/>
          <w:sz w:val="21"/>
          <w:szCs w:val="21"/>
          <w:highlight w:val="none"/>
        </w:rPr>
        <w:t>热熔标线实测项目见表3和表4。</w:t>
      </w:r>
    </w:p>
    <w:p w14:paraId="1C477A0B">
      <w:pPr>
        <w:rPr>
          <w:color w:val="auto"/>
          <w:sz w:val="21"/>
          <w:szCs w:val="21"/>
          <w:highlight w:val="none"/>
        </w:rPr>
      </w:pPr>
      <w:r>
        <w:rPr>
          <w:rFonts w:hint="eastAsia"/>
          <w:color w:val="auto"/>
          <w:sz w:val="21"/>
          <w:szCs w:val="21"/>
          <w:highlight w:val="none"/>
        </w:rPr>
        <w:br w:type="page"/>
      </w:r>
    </w:p>
    <w:p w14:paraId="313C41CF">
      <w:pPr>
        <w:spacing w:line="440" w:lineRule="exact"/>
        <w:ind w:firstLine="482"/>
        <w:jc w:val="center"/>
        <w:rPr>
          <w:color w:val="auto"/>
          <w:sz w:val="21"/>
          <w:szCs w:val="21"/>
          <w:highlight w:val="none"/>
        </w:rPr>
      </w:pPr>
      <w:r>
        <w:rPr>
          <w:rFonts w:hint="eastAsia"/>
          <w:color w:val="auto"/>
          <w:sz w:val="21"/>
          <w:szCs w:val="21"/>
          <w:highlight w:val="none"/>
        </w:rPr>
        <w:t>表3 热熔标线实测项目</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29"/>
        <w:gridCol w:w="1580"/>
        <w:gridCol w:w="817"/>
        <w:gridCol w:w="1196"/>
        <w:gridCol w:w="2011"/>
        <w:gridCol w:w="2471"/>
      </w:tblGrid>
      <w:tr w14:paraId="505465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9" w:hRule="exact"/>
          <w:jc w:val="center"/>
        </w:trPr>
        <w:tc>
          <w:tcPr>
            <w:tcW w:w="829" w:type="dxa"/>
            <w:vAlign w:val="center"/>
          </w:tcPr>
          <w:p w14:paraId="2B721BBE">
            <w:pPr>
              <w:spacing w:line="440" w:lineRule="exact"/>
              <w:ind w:firstLine="562"/>
              <w:jc w:val="center"/>
              <w:rPr>
                <w:color w:val="auto"/>
                <w:sz w:val="21"/>
                <w:szCs w:val="21"/>
                <w:highlight w:val="none"/>
              </w:rPr>
            </w:pPr>
            <w:r>
              <w:rPr>
                <w:rFonts w:hint="eastAsia"/>
                <w:color w:val="auto"/>
                <w:sz w:val="21"/>
                <w:szCs w:val="21"/>
                <w:highlight w:val="none"/>
              </w:rPr>
              <w:t>项次</w:t>
            </w:r>
          </w:p>
        </w:tc>
        <w:tc>
          <w:tcPr>
            <w:tcW w:w="3593" w:type="dxa"/>
            <w:gridSpan w:val="3"/>
            <w:vAlign w:val="center"/>
          </w:tcPr>
          <w:p w14:paraId="3A69EA39">
            <w:pPr>
              <w:spacing w:line="440" w:lineRule="exact"/>
              <w:ind w:firstLine="562"/>
              <w:jc w:val="center"/>
              <w:rPr>
                <w:color w:val="auto"/>
                <w:sz w:val="21"/>
                <w:szCs w:val="21"/>
                <w:highlight w:val="none"/>
              </w:rPr>
            </w:pPr>
            <w:r>
              <w:rPr>
                <w:rFonts w:hint="eastAsia"/>
                <w:color w:val="auto"/>
                <w:sz w:val="21"/>
                <w:szCs w:val="21"/>
                <w:highlight w:val="none"/>
              </w:rPr>
              <w:t>检查项目</w:t>
            </w:r>
          </w:p>
        </w:tc>
        <w:tc>
          <w:tcPr>
            <w:tcW w:w="2011" w:type="dxa"/>
            <w:vAlign w:val="center"/>
          </w:tcPr>
          <w:p w14:paraId="6EF3999A">
            <w:pPr>
              <w:spacing w:line="440" w:lineRule="exact"/>
              <w:ind w:firstLine="562"/>
              <w:jc w:val="center"/>
              <w:rPr>
                <w:color w:val="auto"/>
                <w:sz w:val="21"/>
                <w:szCs w:val="21"/>
                <w:highlight w:val="none"/>
              </w:rPr>
            </w:pPr>
            <w:r>
              <w:rPr>
                <w:rFonts w:hint="eastAsia"/>
                <w:color w:val="auto"/>
                <w:sz w:val="21"/>
                <w:szCs w:val="21"/>
                <w:highlight w:val="none"/>
              </w:rPr>
              <w:t>规定值或允许偏差</w:t>
            </w:r>
          </w:p>
        </w:tc>
        <w:tc>
          <w:tcPr>
            <w:tcW w:w="2471" w:type="dxa"/>
            <w:vAlign w:val="center"/>
          </w:tcPr>
          <w:p w14:paraId="143B58FB">
            <w:pPr>
              <w:spacing w:line="440" w:lineRule="exact"/>
              <w:ind w:firstLine="562"/>
              <w:jc w:val="center"/>
              <w:rPr>
                <w:color w:val="auto"/>
                <w:sz w:val="21"/>
                <w:szCs w:val="21"/>
                <w:highlight w:val="none"/>
              </w:rPr>
            </w:pPr>
            <w:r>
              <w:rPr>
                <w:rFonts w:hint="eastAsia"/>
                <w:color w:val="auto"/>
                <w:sz w:val="21"/>
                <w:szCs w:val="21"/>
                <w:highlight w:val="none"/>
              </w:rPr>
              <w:t>检查方法和频率</w:t>
            </w:r>
          </w:p>
        </w:tc>
      </w:tr>
      <w:tr w14:paraId="789731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1" w:hRule="exact"/>
          <w:jc w:val="center"/>
        </w:trPr>
        <w:tc>
          <w:tcPr>
            <w:tcW w:w="829" w:type="dxa"/>
            <w:vMerge w:val="restart"/>
            <w:vAlign w:val="center"/>
          </w:tcPr>
          <w:p w14:paraId="5A364C66">
            <w:pPr>
              <w:spacing w:line="440" w:lineRule="exact"/>
              <w:ind w:firstLine="562"/>
              <w:jc w:val="center"/>
              <w:rPr>
                <w:color w:val="auto"/>
                <w:sz w:val="21"/>
                <w:szCs w:val="21"/>
                <w:highlight w:val="none"/>
              </w:rPr>
            </w:pPr>
            <w:r>
              <w:rPr>
                <w:rFonts w:hint="eastAsia"/>
                <w:color w:val="auto"/>
                <w:sz w:val="21"/>
                <w:szCs w:val="21"/>
                <w:highlight w:val="none"/>
              </w:rPr>
              <w:t>1</w:t>
            </w:r>
          </w:p>
        </w:tc>
        <w:tc>
          <w:tcPr>
            <w:tcW w:w="1580" w:type="dxa"/>
            <w:vMerge w:val="restart"/>
            <w:vAlign w:val="center"/>
          </w:tcPr>
          <w:p w14:paraId="79BE0190">
            <w:pPr>
              <w:spacing w:line="440" w:lineRule="exact"/>
              <w:rPr>
                <w:color w:val="auto"/>
                <w:sz w:val="21"/>
                <w:szCs w:val="21"/>
                <w:highlight w:val="none"/>
              </w:rPr>
            </w:pPr>
            <w:r>
              <w:rPr>
                <w:rFonts w:hint="eastAsia"/>
                <w:color w:val="auto"/>
                <w:sz w:val="21"/>
                <w:szCs w:val="21"/>
                <w:highlight w:val="none"/>
              </w:rPr>
              <w:t>标线线段长度</w:t>
            </w:r>
          </w:p>
          <w:p w14:paraId="2BB2C471">
            <w:pPr>
              <w:spacing w:line="440" w:lineRule="exact"/>
              <w:ind w:firstLine="562"/>
              <w:rPr>
                <w:color w:val="auto"/>
                <w:sz w:val="21"/>
                <w:szCs w:val="21"/>
                <w:highlight w:val="none"/>
              </w:rPr>
            </w:pPr>
            <w:r>
              <w:rPr>
                <w:rFonts w:hint="eastAsia"/>
                <w:color w:val="auto"/>
                <w:sz w:val="21"/>
                <w:szCs w:val="21"/>
                <w:highlight w:val="none"/>
              </w:rPr>
              <w:t>（mm）</w:t>
            </w:r>
          </w:p>
        </w:tc>
        <w:tc>
          <w:tcPr>
            <w:tcW w:w="2012" w:type="dxa"/>
            <w:gridSpan w:val="2"/>
            <w:vAlign w:val="center"/>
          </w:tcPr>
          <w:p w14:paraId="29869877">
            <w:pPr>
              <w:spacing w:line="440" w:lineRule="exact"/>
              <w:ind w:firstLine="562"/>
              <w:rPr>
                <w:color w:val="auto"/>
                <w:sz w:val="21"/>
                <w:szCs w:val="21"/>
                <w:highlight w:val="none"/>
              </w:rPr>
            </w:pPr>
            <w:r>
              <w:rPr>
                <w:rFonts w:hint="eastAsia"/>
                <w:color w:val="auto"/>
                <w:sz w:val="21"/>
                <w:szCs w:val="21"/>
                <w:highlight w:val="none"/>
              </w:rPr>
              <w:t>6000</w:t>
            </w:r>
          </w:p>
        </w:tc>
        <w:tc>
          <w:tcPr>
            <w:tcW w:w="2011" w:type="dxa"/>
            <w:vAlign w:val="center"/>
          </w:tcPr>
          <w:p w14:paraId="330DC21A">
            <w:pPr>
              <w:spacing w:line="440" w:lineRule="exact"/>
              <w:ind w:firstLine="562"/>
              <w:rPr>
                <w:color w:val="auto"/>
                <w:sz w:val="21"/>
                <w:szCs w:val="21"/>
                <w:highlight w:val="none"/>
              </w:rPr>
            </w:pPr>
            <w:r>
              <w:rPr>
                <w:rFonts w:hint="eastAsia"/>
                <w:color w:val="auto"/>
                <w:sz w:val="21"/>
                <w:szCs w:val="21"/>
                <w:highlight w:val="none"/>
              </w:rPr>
              <w:t>±30</w:t>
            </w:r>
          </w:p>
        </w:tc>
        <w:tc>
          <w:tcPr>
            <w:tcW w:w="2471" w:type="dxa"/>
            <w:vMerge w:val="restart"/>
            <w:vAlign w:val="center"/>
          </w:tcPr>
          <w:p w14:paraId="10D4957A">
            <w:pPr>
              <w:spacing w:line="440" w:lineRule="exact"/>
              <w:rPr>
                <w:color w:val="auto"/>
                <w:sz w:val="21"/>
                <w:szCs w:val="21"/>
                <w:highlight w:val="none"/>
              </w:rPr>
            </w:pPr>
            <w:r>
              <w:rPr>
                <w:rFonts w:hint="eastAsia"/>
                <w:color w:val="auto"/>
                <w:sz w:val="21"/>
                <w:szCs w:val="21"/>
                <w:highlight w:val="none"/>
              </w:rPr>
              <w:t>尺量：每1km测3处，每处测3个线段</w:t>
            </w:r>
          </w:p>
        </w:tc>
      </w:tr>
      <w:tr w14:paraId="614214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1" w:hRule="exact"/>
          <w:jc w:val="center"/>
        </w:trPr>
        <w:tc>
          <w:tcPr>
            <w:tcW w:w="829" w:type="dxa"/>
            <w:vMerge w:val="continue"/>
            <w:vAlign w:val="center"/>
          </w:tcPr>
          <w:p w14:paraId="6C8A0E78">
            <w:pPr>
              <w:spacing w:line="440" w:lineRule="exact"/>
              <w:ind w:firstLine="562"/>
              <w:jc w:val="center"/>
              <w:rPr>
                <w:color w:val="auto"/>
                <w:sz w:val="21"/>
                <w:szCs w:val="21"/>
                <w:highlight w:val="none"/>
              </w:rPr>
            </w:pPr>
          </w:p>
        </w:tc>
        <w:tc>
          <w:tcPr>
            <w:tcW w:w="1580" w:type="dxa"/>
            <w:vMerge w:val="continue"/>
            <w:vAlign w:val="center"/>
          </w:tcPr>
          <w:p w14:paraId="43F892B5">
            <w:pPr>
              <w:spacing w:line="440" w:lineRule="exact"/>
              <w:ind w:firstLine="562"/>
              <w:rPr>
                <w:color w:val="auto"/>
                <w:sz w:val="21"/>
                <w:szCs w:val="21"/>
                <w:highlight w:val="none"/>
              </w:rPr>
            </w:pPr>
          </w:p>
        </w:tc>
        <w:tc>
          <w:tcPr>
            <w:tcW w:w="2012" w:type="dxa"/>
            <w:gridSpan w:val="2"/>
            <w:vAlign w:val="center"/>
          </w:tcPr>
          <w:p w14:paraId="5A8A5920">
            <w:pPr>
              <w:spacing w:line="440" w:lineRule="exact"/>
              <w:ind w:firstLine="562"/>
              <w:rPr>
                <w:color w:val="auto"/>
                <w:sz w:val="21"/>
                <w:szCs w:val="21"/>
                <w:highlight w:val="none"/>
              </w:rPr>
            </w:pPr>
            <w:r>
              <w:rPr>
                <w:rFonts w:hint="eastAsia"/>
                <w:color w:val="auto"/>
                <w:sz w:val="21"/>
                <w:szCs w:val="21"/>
                <w:highlight w:val="none"/>
              </w:rPr>
              <w:t>4000</w:t>
            </w:r>
          </w:p>
        </w:tc>
        <w:tc>
          <w:tcPr>
            <w:tcW w:w="2011" w:type="dxa"/>
            <w:vAlign w:val="center"/>
          </w:tcPr>
          <w:p w14:paraId="0F725FF0">
            <w:pPr>
              <w:spacing w:line="440" w:lineRule="exact"/>
              <w:ind w:firstLine="562"/>
              <w:rPr>
                <w:color w:val="auto"/>
                <w:sz w:val="21"/>
                <w:szCs w:val="21"/>
                <w:highlight w:val="none"/>
              </w:rPr>
            </w:pPr>
            <w:r>
              <w:rPr>
                <w:rFonts w:hint="eastAsia"/>
                <w:color w:val="auto"/>
                <w:sz w:val="21"/>
                <w:szCs w:val="21"/>
                <w:highlight w:val="none"/>
              </w:rPr>
              <w:t>±20</w:t>
            </w:r>
          </w:p>
        </w:tc>
        <w:tc>
          <w:tcPr>
            <w:tcW w:w="2471" w:type="dxa"/>
            <w:vMerge w:val="continue"/>
            <w:vAlign w:val="center"/>
          </w:tcPr>
          <w:p w14:paraId="0C5A80D9">
            <w:pPr>
              <w:spacing w:line="440" w:lineRule="exact"/>
              <w:ind w:firstLine="562"/>
              <w:rPr>
                <w:color w:val="auto"/>
                <w:sz w:val="21"/>
                <w:szCs w:val="21"/>
                <w:highlight w:val="none"/>
              </w:rPr>
            </w:pPr>
          </w:p>
        </w:tc>
      </w:tr>
      <w:tr w14:paraId="2504C0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6" w:hRule="exact"/>
          <w:jc w:val="center"/>
        </w:trPr>
        <w:tc>
          <w:tcPr>
            <w:tcW w:w="829" w:type="dxa"/>
            <w:vMerge w:val="continue"/>
            <w:vAlign w:val="center"/>
          </w:tcPr>
          <w:p w14:paraId="73314F34">
            <w:pPr>
              <w:spacing w:line="440" w:lineRule="exact"/>
              <w:ind w:firstLine="562"/>
              <w:jc w:val="center"/>
              <w:rPr>
                <w:color w:val="auto"/>
                <w:sz w:val="21"/>
                <w:szCs w:val="21"/>
                <w:highlight w:val="none"/>
              </w:rPr>
            </w:pPr>
          </w:p>
        </w:tc>
        <w:tc>
          <w:tcPr>
            <w:tcW w:w="1580" w:type="dxa"/>
            <w:vMerge w:val="continue"/>
            <w:vAlign w:val="center"/>
          </w:tcPr>
          <w:p w14:paraId="100DC8BD">
            <w:pPr>
              <w:spacing w:line="440" w:lineRule="exact"/>
              <w:ind w:firstLine="562"/>
              <w:rPr>
                <w:color w:val="auto"/>
                <w:sz w:val="21"/>
                <w:szCs w:val="21"/>
                <w:highlight w:val="none"/>
              </w:rPr>
            </w:pPr>
          </w:p>
        </w:tc>
        <w:tc>
          <w:tcPr>
            <w:tcW w:w="2012" w:type="dxa"/>
            <w:gridSpan w:val="2"/>
            <w:vAlign w:val="center"/>
          </w:tcPr>
          <w:p w14:paraId="52A384BC">
            <w:pPr>
              <w:spacing w:line="440" w:lineRule="exact"/>
              <w:ind w:firstLine="562"/>
              <w:rPr>
                <w:color w:val="auto"/>
                <w:sz w:val="21"/>
                <w:szCs w:val="21"/>
                <w:highlight w:val="none"/>
              </w:rPr>
            </w:pPr>
            <w:r>
              <w:rPr>
                <w:rFonts w:hint="eastAsia"/>
                <w:color w:val="auto"/>
                <w:sz w:val="21"/>
                <w:szCs w:val="21"/>
                <w:highlight w:val="none"/>
              </w:rPr>
              <w:t>3000</w:t>
            </w:r>
          </w:p>
        </w:tc>
        <w:tc>
          <w:tcPr>
            <w:tcW w:w="2011" w:type="dxa"/>
            <w:vAlign w:val="center"/>
          </w:tcPr>
          <w:p w14:paraId="75A6F162">
            <w:pPr>
              <w:spacing w:line="440" w:lineRule="exact"/>
              <w:ind w:firstLine="562"/>
              <w:rPr>
                <w:color w:val="auto"/>
                <w:sz w:val="21"/>
                <w:szCs w:val="21"/>
                <w:highlight w:val="none"/>
              </w:rPr>
            </w:pPr>
            <w:r>
              <w:rPr>
                <w:rFonts w:hint="eastAsia"/>
                <w:color w:val="auto"/>
                <w:sz w:val="21"/>
                <w:szCs w:val="21"/>
                <w:highlight w:val="none"/>
              </w:rPr>
              <w:t>±15</w:t>
            </w:r>
          </w:p>
        </w:tc>
        <w:tc>
          <w:tcPr>
            <w:tcW w:w="2471" w:type="dxa"/>
            <w:vMerge w:val="continue"/>
            <w:vAlign w:val="center"/>
          </w:tcPr>
          <w:p w14:paraId="647E038F">
            <w:pPr>
              <w:spacing w:line="440" w:lineRule="exact"/>
              <w:ind w:firstLine="562"/>
              <w:rPr>
                <w:color w:val="auto"/>
                <w:sz w:val="21"/>
                <w:szCs w:val="21"/>
                <w:highlight w:val="none"/>
              </w:rPr>
            </w:pPr>
          </w:p>
        </w:tc>
      </w:tr>
      <w:tr w14:paraId="3A0867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1" w:hRule="exact"/>
          <w:jc w:val="center"/>
        </w:trPr>
        <w:tc>
          <w:tcPr>
            <w:tcW w:w="829" w:type="dxa"/>
            <w:vMerge w:val="continue"/>
            <w:vAlign w:val="center"/>
          </w:tcPr>
          <w:p w14:paraId="3C6D9FAA">
            <w:pPr>
              <w:spacing w:line="440" w:lineRule="exact"/>
              <w:ind w:firstLine="562"/>
              <w:jc w:val="center"/>
              <w:rPr>
                <w:color w:val="auto"/>
                <w:sz w:val="21"/>
                <w:szCs w:val="21"/>
                <w:highlight w:val="none"/>
              </w:rPr>
            </w:pPr>
          </w:p>
        </w:tc>
        <w:tc>
          <w:tcPr>
            <w:tcW w:w="1580" w:type="dxa"/>
            <w:vMerge w:val="continue"/>
            <w:vAlign w:val="center"/>
          </w:tcPr>
          <w:p w14:paraId="3D48C9EB">
            <w:pPr>
              <w:spacing w:line="440" w:lineRule="exact"/>
              <w:ind w:firstLine="562"/>
              <w:rPr>
                <w:color w:val="auto"/>
                <w:sz w:val="21"/>
                <w:szCs w:val="21"/>
                <w:highlight w:val="none"/>
              </w:rPr>
            </w:pPr>
          </w:p>
        </w:tc>
        <w:tc>
          <w:tcPr>
            <w:tcW w:w="2012" w:type="dxa"/>
            <w:gridSpan w:val="2"/>
            <w:vAlign w:val="center"/>
          </w:tcPr>
          <w:p w14:paraId="3CB305B2">
            <w:pPr>
              <w:spacing w:line="440" w:lineRule="exact"/>
              <w:ind w:firstLine="562"/>
              <w:rPr>
                <w:color w:val="auto"/>
                <w:sz w:val="21"/>
                <w:szCs w:val="21"/>
                <w:highlight w:val="none"/>
              </w:rPr>
            </w:pPr>
            <w:r>
              <w:rPr>
                <w:rFonts w:hint="eastAsia"/>
                <w:color w:val="auto"/>
                <w:sz w:val="21"/>
                <w:szCs w:val="21"/>
                <w:highlight w:val="none"/>
              </w:rPr>
              <w:t>2000</w:t>
            </w:r>
          </w:p>
        </w:tc>
        <w:tc>
          <w:tcPr>
            <w:tcW w:w="2011" w:type="dxa"/>
            <w:vAlign w:val="center"/>
          </w:tcPr>
          <w:p w14:paraId="5AD6A78A">
            <w:pPr>
              <w:spacing w:line="440" w:lineRule="exact"/>
              <w:ind w:firstLine="562"/>
              <w:rPr>
                <w:color w:val="auto"/>
                <w:sz w:val="21"/>
                <w:szCs w:val="21"/>
                <w:highlight w:val="none"/>
              </w:rPr>
            </w:pPr>
            <w:r>
              <w:rPr>
                <w:rFonts w:hint="eastAsia"/>
                <w:color w:val="auto"/>
                <w:sz w:val="21"/>
                <w:szCs w:val="21"/>
                <w:highlight w:val="none"/>
              </w:rPr>
              <w:t>±10</w:t>
            </w:r>
          </w:p>
        </w:tc>
        <w:tc>
          <w:tcPr>
            <w:tcW w:w="2471" w:type="dxa"/>
            <w:vMerge w:val="continue"/>
            <w:vAlign w:val="center"/>
          </w:tcPr>
          <w:p w14:paraId="1FFEAC3F">
            <w:pPr>
              <w:spacing w:line="440" w:lineRule="exact"/>
              <w:ind w:firstLine="562"/>
              <w:rPr>
                <w:color w:val="auto"/>
                <w:sz w:val="21"/>
                <w:szCs w:val="21"/>
                <w:highlight w:val="none"/>
              </w:rPr>
            </w:pPr>
          </w:p>
        </w:tc>
      </w:tr>
      <w:tr w14:paraId="04EF65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6" w:hRule="exact"/>
          <w:jc w:val="center"/>
        </w:trPr>
        <w:tc>
          <w:tcPr>
            <w:tcW w:w="829" w:type="dxa"/>
            <w:vMerge w:val="continue"/>
            <w:vAlign w:val="center"/>
          </w:tcPr>
          <w:p w14:paraId="7DBAC4CA">
            <w:pPr>
              <w:spacing w:line="440" w:lineRule="exact"/>
              <w:ind w:firstLine="562"/>
              <w:jc w:val="center"/>
              <w:rPr>
                <w:color w:val="auto"/>
                <w:sz w:val="21"/>
                <w:szCs w:val="21"/>
                <w:highlight w:val="none"/>
              </w:rPr>
            </w:pPr>
          </w:p>
        </w:tc>
        <w:tc>
          <w:tcPr>
            <w:tcW w:w="1580" w:type="dxa"/>
            <w:vMerge w:val="continue"/>
            <w:vAlign w:val="center"/>
          </w:tcPr>
          <w:p w14:paraId="40BFEDE5">
            <w:pPr>
              <w:spacing w:line="440" w:lineRule="exact"/>
              <w:ind w:firstLine="562"/>
              <w:rPr>
                <w:color w:val="auto"/>
                <w:sz w:val="21"/>
                <w:szCs w:val="21"/>
                <w:highlight w:val="none"/>
              </w:rPr>
            </w:pPr>
          </w:p>
        </w:tc>
        <w:tc>
          <w:tcPr>
            <w:tcW w:w="2012" w:type="dxa"/>
            <w:gridSpan w:val="2"/>
            <w:vAlign w:val="center"/>
          </w:tcPr>
          <w:p w14:paraId="6DAFD7F8">
            <w:pPr>
              <w:spacing w:line="440" w:lineRule="exact"/>
              <w:ind w:firstLine="562"/>
              <w:rPr>
                <w:color w:val="auto"/>
                <w:sz w:val="21"/>
                <w:szCs w:val="21"/>
                <w:highlight w:val="none"/>
              </w:rPr>
            </w:pPr>
            <w:r>
              <w:rPr>
                <w:rFonts w:hint="eastAsia"/>
                <w:color w:val="auto"/>
                <w:sz w:val="21"/>
                <w:szCs w:val="21"/>
                <w:highlight w:val="none"/>
              </w:rPr>
              <w:t>1000</w:t>
            </w:r>
          </w:p>
        </w:tc>
        <w:tc>
          <w:tcPr>
            <w:tcW w:w="2011" w:type="dxa"/>
            <w:vAlign w:val="center"/>
          </w:tcPr>
          <w:p w14:paraId="0B1D6AE9">
            <w:pPr>
              <w:spacing w:line="440" w:lineRule="exact"/>
              <w:ind w:firstLine="562"/>
              <w:rPr>
                <w:color w:val="auto"/>
                <w:sz w:val="21"/>
                <w:szCs w:val="21"/>
                <w:highlight w:val="none"/>
              </w:rPr>
            </w:pPr>
            <w:r>
              <w:rPr>
                <w:rFonts w:hint="eastAsia"/>
                <w:color w:val="auto"/>
                <w:sz w:val="21"/>
                <w:szCs w:val="21"/>
                <w:highlight w:val="none"/>
              </w:rPr>
              <w:t>±10</w:t>
            </w:r>
          </w:p>
        </w:tc>
        <w:tc>
          <w:tcPr>
            <w:tcW w:w="2471" w:type="dxa"/>
            <w:vMerge w:val="continue"/>
            <w:vAlign w:val="center"/>
          </w:tcPr>
          <w:p w14:paraId="1E1C32BA">
            <w:pPr>
              <w:spacing w:line="440" w:lineRule="exact"/>
              <w:ind w:firstLine="562"/>
              <w:rPr>
                <w:color w:val="auto"/>
                <w:sz w:val="21"/>
                <w:szCs w:val="21"/>
                <w:highlight w:val="none"/>
              </w:rPr>
            </w:pPr>
          </w:p>
        </w:tc>
      </w:tr>
      <w:tr w14:paraId="24089D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7" w:hRule="exact"/>
          <w:jc w:val="center"/>
        </w:trPr>
        <w:tc>
          <w:tcPr>
            <w:tcW w:w="829" w:type="dxa"/>
            <w:vAlign w:val="center"/>
          </w:tcPr>
          <w:p w14:paraId="49992674">
            <w:pPr>
              <w:spacing w:line="440" w:lineRule="exact"/>
              <w:ind w:firstLine="562"/>
              <w:jc w:val="center"/>
              <w:rPr>
                <w:color w:val="auto"/>
                <w:sz w:val="21"/>
                <w:szCs w:val="21"/>
                <w:highlight w:val="none"/>
              </w:rPr>
            </w:pPr>
            <w:r>
              <w:rPr>
                <w:rFonts w:hint="eastAsia"/>
                <w:color w:val="auto"/>
                <w:sz w:val="21"/>
                <w:szCs w:val="21"/>
                <w:highlight w:val="none"/>
              </w:rPr>
              <w:t>2</w:t>
            </w:r>
          </w:p>
        </w:tc>
        <w:tc>
          <w:tcPr>
            <w:tcW w:w="3593" w:type="dxa"/>
            <w:gridSpan w:val="3"/>
            <w:vAlign w:val="center"/>
          </w:tcPr>
          <w:p w14:paraId="117BFCD1">
            <w:pPr>
              <w:spacing w:line="440" w:lineRule="exact"/>
              <w:ind w:firstLine="562"/>
              <w:rPr>
                <w:color w:val="auto"/>
                <w:sz w:val="21"/>
                <w:szCs w:val="21"/>
                <w:highlight w:val="none"/>
              </w:rPr>
            </w:pPr>
            <w:r>
              <w:rPr>
                <w:rFonts w:hint="eastAsia"/>
                <w:color w:val="auto"/>
                <w:sz w:val="21"/>
                <w:szCs w:val="21"/>
                <w:highlight w:val="none"/>
              </w:rPr>
              <w:t>标线宽度（mm）</w:t>
            </w:r>
          </w:p>
        </w:tc>
        <w:tc>
          <w:tcPr>
            <w:tcW w:w="2011" w:type="dxa"/>
            <w:vAlign w:val="center"/>
          </w:tcPr>
          <w:p w14:paraId="6AD54FB1">
            <w:pPr>
              <w:spacing w:line="440" w:lineRule="exact"/>
              <w:ind w:firstLine="562"/>
              <w:rPr>
                <w:color w:val="auto"/>
                <w:sz w:val="21"/>
                <w:szCs w:val="21"/>
                <w:highlight w:val="none"/>
              </w:rPr>
            </w:pPr>
            <w:r>
              <w:rPr>
                <w:rFonts w:hint="eastAsia"/>
                <w:color w:val="auto"/>
                <w:sz w:val="21"/>
                <w:szCs w:val="21"/>
                <w:highlight w:val="none"/>
              </w:rPr>
              <w:t>+5，0</w:t>
            </w:r>
          </w:p>
        </w:tc>
        <w:tc>
          <w:tcPr>
            <w:tcW w:w="2471" w:type="dxa"/>
            <w:vAlign w:val="center"/>
          </w:tcPr>
          <w:p w14:paraId="078BEDB9">
            <w:pPr>
              <w:spacing w:line="440" w:lineRule="exact"/>
              <w:ind w:firstLine="562"/>
              <w:rPr>
                <w:color w:val="auto"/>
                <w:sz w:val="21"/>
                <w:szCs w:val="21"/>
                <w:highlight w:val="none"/>
              </w:rPr>
            </w:pPr>
            <w:r>
              <w:rPr>
                <w:rFonts w:hint="eastAsia"/>
                <w:color w:val="auto"/>
                <w:sz w:val="21"/>
                <w:szCs w:val="21"/>
                <w:highlight w:val="none"/>
              </w:rPr>
              <w:t>尺量：每1km测3处，每处测</w:t>
            </w:r>
          </w:p>
          <w:p w14:paraId="1410CCBB">
            <w:pPr>
              <w:spacing w:line="440" w:lineRule="exact"/>
              <w:ind w:firstLine="562"/>
              <w:rPr>
                <w:color w:val="auto"/>
                <w:sz w:val="21"/>
                <w:szCs w:val="21"/>
                <w:highlight w:val="none"/>
              </w:rPr>
            </w:pPr>
            <w:r>
              <w:rPr>
                <w:rFonts w:hint="eastAsia"/>
                <w:color w:val="auto"/>
                <w:sz w:val="21"/>
                <w:szCs w:val="21"/>
                <w:highlight w:val="none"/>
              </w:rPr>
              <w:t>3点</w:t>
            </w:r>
          </w:p>
        </w:tc>
      </w:tr>
      <w:tr w14:paraId="178909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1" w:hRule="exact"/>
          <w:jc w:val="center"/>
        </w:trPr>
        <w:tc>
          <w:tcPr>
            <w:tcW w:w="829" w:type="dxa"/>
            <w:vMerge w:val="restart"/>
            <w:vAlign w:val="center"/>
          </w:tcPr>
          <w:p w14:paraId="74667D61">
            <w:pPr>
              <w:spacing w:line="440" w:lineRule="exact"/>
              <w:ind w:firstLine="562"/>
              <w:jc w:val="center"/>
              <w:rPr>
                <w:color w:val="auto"/>
                <w:sz w:val="21"/>
                <w:szCs w:val="21"/>
                <w:highlight w:val="none"/>
              </w:rPr>
            </w:pPr>
            <w:r>
              <w:rPr>
                <w:rFonts w:hint="eastAsia"/>
                <w:color w:val="auto"/>
                <w:sz w:val="21"/>
                <w:szCs w:val="21"/>
                <w:highlight w:val="none"/>
              </w:rPr>
              <w:t>3</w:t>
            </w:r>
          </w:p>
        </w:tc>
        <w:tc>
          <w:tcPr>
            <w:tcW w:w="1580" w:type="dxa"/>
            <w:vMerge w:val="restart"/>
            <w:vAlign w:val="center"/>
          </w:tcPr>
          <w:p w14:paraId="108F6C03">
            <w:pPr>
              <w:spacing w:line="440" w:lineRule="exact"/>
              <w:ind w:firstLine="420" w:firstLineChars="200"/>
              <w:rPr>
                <w:color w:val="auto"/>
                <w:sz w:val="21"/>
                <w:szCs w:val="21"/>
                <w:highlight w:val="none"/>
              </w:rPr>
            </w:pPr>
            <w:r>
              <w:rPr>
                <w:rFonts w:hint="eastAsia"/>
                <w:color w:val="auto"/>
                <w:sz w:val="21"/>
                <w:szCs w:val="21"/>
                <w:highlight w:val="none"/>
              </w:rPr>
              <w:t>标线厚度</w:t>
            </w:r>
          </w:p>
          <w:p w14:paraId="4289B05F">
            <w:pPr>
              <w:spacing w:line="440" w:lineRule="exact"/>
              <w:rPr>
                <w:color w:val="auto"/>
                <w:sz w:val="21"/>
                <w:szCs w:val="21"/>
                <w:highlight w:val="none"/>
              </w:rPr>
            </w:pPr>
            <w:r>
              <w:rPr>
                <w:rFonts w:hint="eastAsia"/>
                <w:color w:val="auto"/>
                <w:sz w:val="21"/>
                <w:szCs w:val="21"/>
                <w:highlight w:val="none"/>
              </w:rPr>
              <w:t>（干膜，mm）</w:t>
            </w:r>
          </w:p>
        </w:tc>
        <w:tc>
          <w:tcPr>
            <w:tcW w:w="2012" w:type="dxa"/>
            <w:gridSpan w:val="2"/>
            <w:vAlign w:val="center"/>
          </w:tcPr>
          <w:p w14:paraId="32555640">
            <w:pPr>
              <w:spacing w:line="440" w:lineRule="exact"/>
              <w:ind w:firstLine="562"/>
              <w:rPr>
                <w:color w:val="auto"/>
                <w:sz w:val="21"/>
                <w:szCs w:val="21"/>
                <w:highlight w:val="none"/>
              </w:rPr>
            </w:pPr>
            <w:r>
              <w:rPr>
                <w:rFonts w:hint="eastAsia"/>
                <w:color w:val="auto"/>
                <w:sz w:val="21"/>
                <w:szCs w:val="21"/>
                <w:highlight w:val="none"/>
              </w:rPr>
              <w:t>热熔型</w:t>
            </w:r>
          </w:p>
        </w:tc>
        <w:tc>
          <w:tcPr>
            <w:tcW w:w="2011" w:type="dxa"/>
            <w:vAlign w:val="center"/>
          </w:tcPr>
          <w:p w14:paraId="65DCA1B2">
            <w:pPr>
              <w:spacing w:line="440" w:lineRule="exact"/>
              <w:ind w:firstLine="562"/>
              <w:rPr>
                <w:color w:val="auto"/>
                <w:sz w:val="21"/>
                <w:szCs w:val="21"/>
                <w:highlight w:val="none"/>
              </w:rPr>
            </w:pPr>
            <w:r>
              <w:rPr>
                <w:rFonts w:hint="eastAsia"/>
                <w:color w:val="auto"/>
                <w:sz w:val="21"/>
                <w:szCs w:val="21"/>
                <w:highlight w:val="none"/>
              </w:rPr>
              <w:t>2.0mm(0,+0.5)</w:t>
            </w:r>
          </w:p>
        </w:tc>
        <w:tc>
          <w:tcPr>
            <w:tcW w:w="2471" w:type="dxa"/>
            <w:vMerge w:val="restart"/>
            <w:vAlign w:val="center"/>
          </w:tcPr>
          <w:p w14:paraId="129DE52B">
            <w:pPr>
              <w:spacing w:line="440" w:lineRule="exact"/>
              <w:rPr>
                <w:color w:val="auto"/>
                <w:sz w:val="21"/>
                <w:szCs w:val="21"/>
                <w:highlight w:val="none"/>
              </w:rPr>
            </w:pPr>
            <w:r>
              <w:rPr>
                <w:rFonts w:hint="eastAsia"/>
                <w:color w:val="auto"/>
                <w:sz w:val="21"/>
                <w:szCs w:val="21"/>
                <w:highlight w:val="none"/>
              </w:rPr>
              <w:t>标线厚度测量仪或卡尺：每1km测3处，每处测6点</w:t>
            </w:r>
          </w:p>
        </w:tc>
      </w:tr>
      <w:tr w14:paraId="1E8E80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6" w:hRule="exact"/>
          <w:jc w:val="center"/>
        </w:trPr>
        <w:tc>
          <w:tcPr>
            <w:tcW w:w="829" w:type="dxa"/>
            <w:vMerge w:val="continue"/>
            <w:vAlign w:val="center"/>
          </w:tcPr>
          <w:p w14:paraId="083A3901">
            <w:pPr>
              <w:spacing w:line="440" w:lineRule="exact"/>
              <w:ind w:firstLine="562"/>
              <w:jc w:val="center"/>
              <w:rPr>
                <w:color w:val="auto"/>
                <w:sz w:val="21"/>
                <w:szCs w:val="21"/>
                <w:highlight w:val="none"/>
              </w:rPr>
            </w:pPr>
          </w:p>
        </w:tc>
        <w:tc>
          <w:tcPr>
            <w:tcW w:w="1580" w:type="dxa"/>
            <w:vMerge w:val="continue"/>
            <w:vAlign w:val="center"/>
          </w:tcPr>
          <w:p w14:paraId="61D210ED">
            <w:pPr>
              <w:spacing w:line="440" w:lineRule="exact"/>
              <w:ind w:firstLine="562"/>
              <w:rPr>
                <w:color w:val="auto"/>
                <w:sz w:val="21"/>
                <w:szCs w:val="21"/>
                <w:highlight w:val="none"/>
              </w:rPr>
            </w:pPr>
          </w:p>
        </w:tc>
        <w:tc>
          <w:tcPr>
            <w:tcW w:w="817" w:type="dxa"/>
            <w:vMerge w:val="restart"/>
            <w:vAlign w:val="center"/>
          </w:tcPr>
          <w:p w14:paraId="31EBEED3">
            <w:pPr>
              <w:spacing w:line="440" w:lineRule="exact"/>
              <w:rPr>
                <w:color w:val="auto"/>
                <w:sz w:val="21"/>
                <w:szCs w:val="21"/>
                <w:highlight w:val="none"/>
              </w:rPr>
            </w:pPr>
            <w:r>
              <w:rPr>
                <w:rFonts w:hint="eastAsia"/>
                <w:color w:val="auto"/>
                <w:sz w:val="21"/>
                <w:szCs w:val="21"/>
                <w:highlight w:val="none"/>
              </w:rPr>
              <w:t>突起型</w:t>
            </w:r>
          </w:p>
        </w:tc>
        <w:tc>
          <w:tcPr>
            <w:tcW w:w="1195" w:type="dxa"/>
            <w:vAlign w:val="center"/>
          </w:tcPr>
          <w:p w14:paraId="2552783A">
            <w:pPr>
              <w:spacing w:line="440" w:lineRule="exact"/>
              <w:ind w:firstLine="562"/>
              <w:rPr>
                <w:color w:val="auto"/>
                <w:sz w:val="21"/>
                <w:szCs w:val="21"/>
                <w:highlight w:val="none"/>
              </w:rPr>
            </w:pPr>
            <w:r>
              <w:rPr>
                <w:rFonts w:hint="eastAsia"/>
                <w:color w:val="auto"/>
                <w:sz w:val="21"/>
                <w:szCs w:val="21"/>
                <w:highlight w:val="none"/>
              </w:rPr>
              <w:t>突起高度</w:t>
            </w:r>
          </w:p>
        </w:tc>
        <w:tc>
          <w:tcPr>
            <w:tcW w:w="2011" w:type="dxa"/>
            <w:vAlign w:val="center"/>
          </w:tcPr>
          <w:p w14:paraId="28E4FE22">
            <w:pPr>
              <w:spacing w:line="440" w:lineRule="exact"/>
              <w:ind w:firstLine="562"/>
              <w:rPr>
                <w:color w:val="auto"/>
                <w:sz w:val="21"/>
                <w:szCs w:val="21"/>
                <w:highlight w:val="none"/>
              </w:rPr>
            </w:pPr>
            <w:r>
              <w:rPr>
                <w:rFonts w:hint="eastAsia"/>
                <w:color w:val="auto"/>
                <w:sz w:val="21"/>
                <w:szCs w:val="21"/>
                <w:highlight w:val="none"/>
              </w:rPr>
              <w:t>不小于设计值</w:t>
            </w:r>
          </w:p>
        </w:tc>
        <w:tc>
          <w:tcPr>
            <w:tcW w:w="2471" w:type="dxa"/>
            <w:vMerge w:val="continue"/>
            <w:vAlign w:val="center"/>
          </w:tcPr>
          <w:p w14:paraId="46F1FA6F">
            <w:pPr>
              <w:spacing w:line="440" w:lineRule="exact"/>
              <w:ind w:firstLine="562"/>
              <w:rPr>
                <w:color w:val="auto"/>
                <w:sz w:val="21"/>
                <w:szCs w:val="21"/>
                <w:highlight w:val="none"/>
              </w:rPr>
            </w:pPr>
          </w:p>
        </w:tc>
      </w:tr>
      <w:tr w14:paraId="3058D3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exact"/>
          <w:jc w:val="center"/>
        </w:trPr>
        <w:tc>
          <w:tcPr>
            <w:tcW w:w="829" w:type="dxa"/>
            <w:vMerge w:val="continue"/>
            <w:vAlign w:val="center"/>
          </w:tcPr>
          <w:p w14:paraId="554A59C1">
            <w:pPr>
              <w:spacing w:line="440" w:lineRule="exact"/>
              <w:ind w:firstLine="562"/>
              <w:jc w:val="center"/>
              <w:rPr>
                <w:color w:val="auto"/>
                <w:sz w:val="21"/>
                <w:szCs w:val="21"/>
                <w:highlight w:val="none"/>
              </w:rPr>
            </w:pPr>
          </w:p>
        </w:tc>
        <w:tc>
          <w:tcPr>
            <w:tcW w:w="1580" w:type="dxa"/>
            <w:vMerge w:val="continue"/>
            <w:vAlign w:val="center"/>
          </w:tcPr>
          <w:p w14:paraId="5B4BD80D">
            <w:pPr>
              <w:spacing w:line="440" w:lineRule="exact"/>
              <w:ind w:firstLine="562"/>
              <w:rPr>
                <w:color w:val="auto"/>
                <w:sz w:val="21"/>
                <w:szCs w:val="21"/>
                <w:highlight w:val="none"/>
              </w:rPr>
            </w:pPr>
          </w:p>
        </w:tc>
        <w:tc>
          <w:tcPr>
            <w:tcW w:w="817" w:type="dxa"/>
            <w:vMerge w:val="continue"/>
            <w:vAlign w:val="center"/>
          </w:tcPr>
          <w:p w14:paraId="1208DC8C">
            <w:pPr>
              <w:spacing w:line="440" w:lineRule="exact"/>
              <w:ind w:firstLine="562"/>
              <w:rPr>
                <w:color w:val="auto"/>
                <w:sz w:val="21"/>
                <w:szCs w:val="21"/>
                <w:highlight w:val="none"/>
              </w:rPr>
            </w:pPr>
          </w:p>
        </w:tc>
        <w:tc>
          <w:tcPr>
            <w:tcW w:w="1195" w:type="dxa"/>
            <w:vAlign w:val="center"/>
          </w:tcPr>
          <w:p w14:paraId="32CA31B6">
            <w:pPr>
              <w:spacing w:line="440" w:lineRule="exact"/>
              <w:ind w:firstLine="562"/>
              <w:rPr>
                <w:color w:val="auto"/>
                <w:sz w:val="21"/>
                <w:szCs w:val="21"/>
                <w:highlight w:val="none"/>
              </w:rPr>
            </w:pPr>
            <w:r>
              <w:rPr>
                <w:rFonts w:hint="eastAsia"/>
                <w:color w:val="auto"/>
                <w:sz w:val="21"/>
                <w:szCs w:val="21"/>
                <w:highlight w:val="none"/>
              </w:rPr>
              <w:t>基线厚度</w:t>
            </w:r>
          </w:p>
        </w:tc>
        <w:tc>
          <w:tcPr>
            <w:tcW w:w="2011" w:type="dxa"/>
            <w:vAlign w:val="center"/>
          </w:tcPr>
          <w:p w14:paraId="2372E3C1">
            <w:pPr>
              <w:spacing w:line="440" w:lineRule="exact"/>
              <w:ind w:firstLine="562"/>
              <w:rPr>
                <w:color w:val="auto"/>
                <w:sz w:val="21"/>
                <w:szCs w:val="21"/>
                <w:highlight w:val="none"/>
              </w:rPr>
            </w:pPr>
            <w:r>
              <w:rPr>
                <w:rFonts w:hint="eastAsia"/>
                <w:color w:val="auto"/>
                <w:sz w:val="21"/>
                <w:szCs w:val="21"/>
                <w:highlight w:val="none"/>
              </w:rPr>
              <w:t>不小于设计值</w:t>
            </w:r>
          </w:p>
        </w:tc>
        <w:tc>
          <w:tcPr>
            <w:tcW w:w="2471" w:type="dxa"/>
            <w:vMerge w:val="continue"/>
            <w:vAlign w:val="center"/>
          </w:tcPr>
          <w:p w14:paraId="3FAA0E4F">
            <w:pPr>
              <w:spacing w:line="440" w:lineRule="exact"/>
              <w:ind w:firstLine="562"/>
              <w:rPr>
                <w:color w:val="auto"/>
                <w:sz w:val="21"/>
                <w:szCs w:val="21"/>
                <w:highlight w:val="none"/>
              </w:rPr>
            </w:pPr>
          </w:p>
        </w:tc>
      </w:tr>
      <w:tr w14:paraId="0DC505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79" w:hRule="exact"/>
          <w:jc w:val="center"/>
        </w:trPr>
        <w:tc>
          <w:tcPr>
            <w:tcW w:w="829" w:type="dxa"/>
            <w:vAlign w:val="center"/>
          </w:tcPr>
          <w:p w14:paraId="47B93369">
            <w:pPr>
              <w:spacing w:line="440" w:lineRule="exact"/>
              <w:ind w:firstLine="562"/>
              <w:jc w:val="center"/>
              <w:rPr>
                <w:color w:val="auto"/>
                <w:sz w:val="21"/>
                <w:szCs w:val="21"/>
                <w:highlight w:val="none"/>
              </w:rPr>
            </w:pPr>
            <w:r>
              <w:rPr>
                <w:rFonts w:hint="eastAsia"/>
                <w:color w:val="auto"/>
                <w:sz w:val="21"/>
                <w:szCs w:val="21"/>
                <w:highlight w:val="none"/>
              </w:rPr>
              <w:t>4</w:t>
            </w:r>
          </w:p>
        </w:tc>
        <w:tc>
          <w:tcPr>
            <w:tcW w:w="3593" w:type="dxa"/>
            <w:gridSpan w:val="3"/>
            <w:vAlign w:val="center"/>
          </w:tcPr>
          <w:p w14:paraId="668DF59B">
            <w:pPr>
              <w:spacing w:line="440" w:lineRule="exact"/>
              <w:ind w:firstLine="562"/>
              <w:rPr>
                <w:color w:val="auto"/>
                <w:sz w:val="21"/>
                <w:szCs w:val="21"/>
                <w:highlight w:val="none"/>
              </w:rPr>
            </w:pPr>
            <w:r>
              <w:rPr>
                <w:rFonts w:hint="eastAsia"/>
                <w:color w:val="auto"/>
                <w:sz w:val="21"/>
                <w:szCs w:val="21"/>
                <w:highlight w:val="none"/>
              </w:rPr>
              <w:t>标线横向偏位（mm）</w:t>
            </w:r>
          </w:p>
        </w:tc>
        <w:tc>
          <w:tcPr>
            <w:tcW w:w="2011" w:type="dxa"/>
            <w:vAlign w:val="center"/>
          </w:tcPr>
          <w:p w14:paraId="638B0DE3">
            <w:pPr>
              <w:spacing w:line="440" w:lineRule="exact"/>
              <w:ind w:firstLine="562"/>
              <w:rPr>
                <w:color w:val="auto"/>
                <w:sz w:val="21"/>
                <w:szCs w:val="21"/>
                <w:highlight w:val="none"/>
              </w:rPr>
            </w:pPr>
            <w:r>
              <w:rPr>
                <w:rFonts w:hint="eastAsia"/>
                <w:color w:val="auto"/>
                <w:sz w:val="21"/>
                <w:szCs w:val="21"/>
                <w:highlight w:val="none"/>
              </w:rPr>
              <w:t>≤30</w:t>
            </w:r>
          </w:p>
        </w:tc>
        <w:tc>
          <w:tcPr>
            <w:tcW w:w="2471" w:type="dxa"/>
            <w:vAlign w:val="center"/>
          </w:tcPr>
          <w:p w14:paraId="3C5783F5">
            <w:pPr>
              <w:spacing w:line="440" w:lineRule="exact"/>
              <w:ind w:firstLine="562"/>
              <w:rPr>
                <w:color w:val="auto"/>
                <w:sz w:val="21"/>
                <w:szCs w:val="21"/>
                <w:highlight w:val="none"/>
              </w:rPr>
            </w:pPr>
            <w:r>
              <w:rPr>
                <w:rFonts w:hint="eastAsia"/>
                <w:color w:val="auto"/>
                <w:sz w:val="21"/>
                <w:szCs w:val="21"/>
                <w:highlight w:val="none"/>
              </w:rPr>
              <w:t>尺量：每1km测3处，每处测</w:t>
            </w:r>
          </w:p>
          <w:p w14:paraId="71CBCDCD">
            <w:pPr>
              <w:spacing w:line="440" w:lineRule="exact"/>
              <w:ind w:firstLine="562"/>
              <w:rPr>
                <w:color w:val="auto"/>
                <w:sz w:val="21"/>
                <w:szCs w:val="21"/>
                <w:highlight w:val="none"/>
              </w:rPr>
            </w:pPr>
            <w:r>
              <w:rPr>
                <w:rFonts w:hint="eastAsia"/>
                <w:color w:val="auto"/>
                <w:sz w:val="21"/>
                <w:szCs w:val="21"/>
                <w:highlight w:val="none"/>
              </w:rPr>
              <w:t>3点</w:t>
            </w:r>
          </w:p>
        </w:tc>
      </w:tr>
      <w:tr w14:paraId="1DD118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1" w:hRule="exact"/>
          <w:jc w:val="center"/>
        </w:trPr>
        <w:tc>
          <w:tcPr>
            <w:tcW w:w="829" w:type="dxa"/>
            <w:vMerge w:val="restart"/>
            <w:vAlign w:val="center"/>
          </w:tcPr>
          <w:p w14:paraId="28F5EC91">
            <w:pPr>
              <w:spacing w:line="440" w:lineRule="exact"/>
              <w:ind w:firstLine="562"/>
              <w:jc w:val="center"/>
              <w:rPr>
                <w:color w:val="auto"/>
                <w:sz w:val="21"/>
                <w:szCs w:val="21"/>
                <w:highlight w:val="none"/>
              </w:rPr>
            </w:pPr>
            <w:r>
              <w:rPr>
                <w:rFonts w:hint="eastAsia"/>
                <w:color w:val="auto"/>
                <w:sz w:val="21"/>
                <w:szCs w:val="21"/>
                <w:highlight w:val="none"/>
              </w:rPr>
              <w:t>5</w:t>
            </w:r>
          </w:p>
        </w:tc>
        <w:tc>
          <w:tcPr>
            <w:tcW w:w="1580" w:type="dxa"/>
            <w:vMerge w:val="restart"/>
            <w:vAlign w:val="center"/>
          </w:tcPr>
          <w:p w14:paraId="3CF4BB66">
            <w:pPr>
              <w:spacing w:line="440" w:lineRule="exact"/>
              <w:ind w:firstLine="562"/>
              <w:rPr>
                <w:color w:val="auto"/>
                <w:sz w:val="21"/>
                <w:szCs w:val="21"/>
                <w:highlight w:val="none"/>
              </w:rPr>
            </w:pPr>
            <w:r>
              <w:rPr>
                <w:rFonts w:hint="eastAsia"/>
                <w:color w:val="auto"/>
                <w:sz w:val="21"/>
                <w:szCs w:val="21"/>
                <w:highlight w:val="none"/>
              </w:rPr>
              <w:t>标线纵向间距</w:t>
            </w:r>
          </w:p>
          <w:p w14:paraId="6ED65E42">
            <w:pPr>
              <w:spacing w:line="440" w:lineRule="exact"/>
              <w:ind w:firstLine="562"/>
              <w:rPr>
                <w:color w:val="auto"/>
                <w:sz w:val="21"/>
                <w:szCs w:val="21"/>
                <w:highlight w:val="none"/>
              </w:rPr>
            </w:pPr>
            <w:r>
              <w:rPr>
                <w:rFonts w:hint="eastAsia"/>
                <w:color w:val="auto"/>
                <w:sz w:val="21"/>
                <w:szCs w:val="21"/>
                <w:highlight w:val="none"/>
              </w:rPr>
              <w:t>（mm）</w:t>
            </w:r>
          </w:p>
        </w:tc>
        <w:tc>
          <w:tcPr>
            <w:tcW w:w="2012" w:type="dxa"/>
            <w:gridSpan w:val="2"/>
            <w:vAlign w:val="center"/>
          </w:tcPr>
          <w:p w14:paraId="4881A797">
            <w:pPr>
              <w:spacing w:line="440" w:lineRule="exact"/>
              <w:ind w:firstLine="562"/>
              <w:rPr>
                <w:color w:val="auto"/>
                <w:sz w:val="21"/>
                <w:szCs w:val="21"/>
                <w:highlight w:val="none"/>
              </w:rPr>
            </w:pPr>
            <w:r>
              <w:rPr>
                <w:rFonts w:hint="eastAsia"/>
                <w:color w:val="auto"/>
                <w:sz w:val="21"/>
                <w:szCs w:val="21"/>
                <w:highlight w:val="none"/>
              </w:rPr>
              <w:t>9000</w:t>
            </w:r>
          </w:p>
        </w:tc>
        <w:tc>
          <w:tcPr>
            <w:tcW w:w="2011" w:type="dxa"/>
            <w:vAlign w:val="center"/>
          </w:tcPr>
          <w:p w14:paraId="55C89CB4">
            <w:pPr>
              <w:spacing w:line="440" w:lineRule="exact"/>
              <w:ind w:firstLine="562"/>
              <w:rPr>
                <w:color w:val="auto"/>
                <w:sz w:val="21"/>
                <w:szCs w:val="21"/>
                <w:highlight w:val="none"/>
              </w:rPr>
            </w:pPr>
            <w:r>
              <w:rPr>
                <w:rFonts w:hint="eastAsia"/>
                <w:color w:val="auto"/>
                <w:sz w:val="21"/>
                <w:szCs w:val="21"/>
                <w:highlight w:val="none"/>
              </w:rPr>
              <w:t>±45</w:t>
            </w:r>
          </w:p>
        </w:tc>
        <w:tc>
          <w:tcPr>
            <w:tcW w:w="2471" w:type="dxa"/>
            <w:vMerge w:val="restart"/>
            <w:vAlign w:val="center"/>
          </w:tcPr>
          <w:p w14:paraId="1A9DB488">
            <w:pPr>
              <w:spacing w:line="440" w:lineRule="exact"/>
              <w:ind w:firstLine="562"/>
              <w:rPr>
                <w:color w:val="auto"/>
                <w:sz w:val="21"/>
                <w:szCs w:val="21"/>
                <w:highlight w:val="none"/>
              </w:rPr>
            </w:pPr>
            <w:r>
              <w:rPr>
                <w:rFonts w:hint="eastAsia"/>
                <w:color w:val="auto"/>
                <w:sz w:val="21"/>
                <w:szCs w:val="21"/>
                <w:highlight w:val="none"/>
              </w:rPr>
              <w:t>尺量：每1km测3处，每处测</w:t>
            </w:r>
          </w:p>
          <w:p w14:paraId="6BBB0A13">
            <w:pPr>
              <w:spacing w:line="440" w:lineRule="exact"/>
              <w:ind w:firstLine="562"/>
              <w:rPr>
                <w:color w:val="auto"/>
                <w:sz w:val="21"/>
                <w:szCs w:val="21"/>
                <w:highlight w:val="none"/>
              </w:rPr>
            </w:pPr>
            <w:r>
              <w:rPr>
                <w:rFonts w:hint="eastAsia"/>
                <w:color w:val="auto"/>
                <w:sz w:val="21"/>
                <w:szCs w:val="21"/>
                <w:highlight w:val="none"/>
              </w:rPr>
              <w:t>3个线段</w:t>
            </w:r>
          </w:p>
        </w:tc>
      </w:tr>
      <w:tr w14:paraId="19153E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1" w:hRule="exact"/>
          <w:jc w:val="center"/>
        </w:trPr>
        <w:tc>
          <w:tcPr>
            <w:tcW w:w="829" w:type="dxa"/>
            <w:vMerge w:val="continue"/>
            <w:vAlign w:val="center"/>
          </w:tcPr>
          <w:p w14:paraId="2DB0FAD5">
            <w:pPr>
              <w:spacing w:line="440" w:lineRule="exact"/>
              <w:ind w:firstLine="562"/>
              <w:jc w:val="center"/>
              <w:rPr>
                <w:color w:val="auto"/>
                <w:sz w:val="21"/>
                <w:szCs w:val="21"/>
                <w:highlight w:val="none"/>
              </w:rPr>
            </w:pPr>
          </w:p>
        </w:tc>
        <w:tc>
          <w:tcPr>
            <w:tcW w:w="1580" w:type="dxa"/>
            <w:vMerge w:val="continue"/>
            <w:vAlign w:val="center"/>
          </w:tcPr>
          <w:p w14:paraId="7C8D0E81">
            <w:pPr>
              <w:spacing w:line="440" w:lineRule="exact"/>
              <w:ind w:firstLine="562"/>
              <w:rPr>
                <w:color w:val="auto"/>
                <w:sz w:val="21"/>
                <w:szCs w:val="21"/>
                <w:highlight w:val="none"/>
              </w:rPr>
            </w:pPr>
          </w:p>
        </w:tc>
        <w:tc>
          <w:tcPr>
            <w:tcW w:w="2012" w:type="dxa"/>
            <w:gridSpan w:val="2"/>
            <w:vAlign w:val="center"/>
          </w:tcPr>
          <w:p w14:paraId="055941E0">
            <w:pPr>
              <w:spacing w:line="440" w:lineRule="exact"/>
              <w:ind w:firstLine="562"/>
              <w:rPr>
                <w:color w:val="auto"/>
                <w:sz w:val="21"/>
                <w:szCs w:val="21"/>
                <w:highlight w:val="none"/>
              </w:rPr>
            </w:pPr>
            <w:r>
              <w:rPr>
                <w:rFonts w:hint="eastAsia"/>
                <w:color w:val="auto"/>
                <w:sz w:val="21"/>
                <w:szCs w:val="21"/>
                <w:highlight w:val="none"/>
              </w:rPr>
              <w:t>6000</w:t>
            </w:r>
          </w:p>
        </w:tc>
        <w:tc>
          <w:tcPr>
            <w:tcW w:w="2011" w:type="dxa"/>
            <w:vAlign w:val="center"/>
          </w:tcPr>
          <w:p w14:paraId="73B9DC6B">
            <w:pPr>
              <w:spacing w:line="440" w:lineRule="exact"/>
              <w:ind w:firstLine="562"/>
              <w:rPr>
                <w:color w:val="auto"/>
                <w:sz w:val="21"/>
                <w:szCs w:val="21"/>
                <w:highlight w:val="none"/>
              </w:rPr>
            </w:pPr>
            <w:r>
              <w:rPr>
                <w:rFonts w:hint="eastAsia"/>
                <w:color w:val="auto"/>
                <w:sz w:val="21"/>
                <w:szCs w:val="21"/>
                <w:highlight w:val="none"/>
              </w:rPr>
              <w:t>±30</w:t>
            </w:r>
          </w:p>
        </w:tc>
        <w:tc>
          <w:tcPr>
            <w:tcW w:w="2471" w:type="dxa"/>
            <w:vMerge w:val="continue"/>
            <w:vAlign w:val="center"/>
          </w:tcPr>
          <w:p w14:paraId="3593505F">
            <w:pPr>
              <w:spacing w:line="440" w:lineRule="exact"/>
              <w:ind w:firstLine="562"/>
              <w:rPr>
                <w:color w:val="auto"/>
                <w:sz w:val="21"/>
                <w:szCs w:val="21"/>
                <w:highlight w:val="none"/>
              </w:rPr>
            </w:pPr>
          </w:p>
        </w:tc>
      </w:tr>
      <w:tr w14:paraId="7BA1DF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6" w:hRule="exact"/>
          <w:jc w:val="center"/>
        </w:trPr>
        <w:tc>
          <w:tcPr>
            <w:tcW w:w="829" w:type="dxa"/>
            <w:vMerge w:val="continue"/>
            <w:vAlign w:val="center"/>
          </w:tcPr>
          <w:p w14:paraId="077A49B9">
            <w:pPr>
              <w:spacing w:line="440" w:lineRule="exact"/>
              <w:ind w:firstLine="562"/>
              <w:jc w:val="center"/>
              <w:rPr>
                <w:color w:val="auto"/>
                <w:sz w:val="21"/>
                <w:szCs w:val="21"/>
                <w:highlight w:val="none"/>
              </w:rPr>
            </w:pPr>
          </w:p>
        </w:tc>
        <w:tc>
          <w:tcPr>
            <w:tcW w:w="1580" w:type="dxa"/>
            <w:vMerge w:val="continue"/>
            <w:vAlign w:val="center"/>
          </w:tcPr>
          <w:p w14:paraId="3CD624DE">
            <w:pPr>
              <w:spacing w:line="440" w:lineRule="exact"/>
              <w:ind w:firstLine="562"/>
              <w:rPr>
                <w:color w:val="auto"/>
                <w:sz w:val="21"/>
                <w:szCs w:val="21"/>
                <w:highlight w:val="none"/>
              </w:rPr>
            </w:pPr>
          </w:p>
        </w:tc>
        <w:tc>
          <w:tcPr>
            <w:tcW w:w="2012" w:type="dxa"/>
            <w:gridSpan w:val="2"/>
            <w:vAlign w:val="center"/>
          </w:tcPr>
          <w:p w14:paraId="58C8D9DC">
            <w:pPr>
              <w:spacing w:line="440" w:lineRule="exact"/>
              <w:ind w:firstLine="562"/>
              <w:rPr>
                <w:color w:val="auto"/>
                <w:sz w:val="21"/>
                <w:szCs w:val="21"/>
                <w:highlight w:val="none"/>
              </w:rPr>
            </w:pPr>
            <w:r>
              <w:rPr>
                <w:rFonts w:hint="eastAsia"/>
                <w:color w:val="auto"/>
                <w:sz w:val="21"/>
                <w:szCs w:val="21"/>
                <w:highlight w:val="none"/>
              </w:rPr>
              <w:t>4000</w:t>
            </w:r>
          </w:p>
        </w:tc>
        <w:tc>
          <w:tcPr>
            <w:tcW w:w="2011" w:type="dxa"/>
            <w:vAlign w:val="center"/>
          </w:tcPr>
          <w:p w14:paraId="0FC77E2E">
            <w:pPr>
              <w:spacing w:line="440" w:lineRule="exact"/>
              <w:ind w:firstLine="562"/>
              <w:rPr>
                <w:color w:val="auto"/>
                <w:sz w:val="21"/>
                <w:szCs w:val="21"/>
                <w:highlight w:val="none"/>
              </w:rPr>
            </w:pPr>
            <w:r>
              <w:rPr>
                <w:rFonts w:hint="eastAsia"/>
                <w:color w:val="auto"/>
                <w:sz w:val="21"/>
                <w:szCs w:val="21"/>
                <w:highlight w:val="none"/>
              </w:rPr>
              <w:t>±20</w:t>
            </w:r>
          </w:p>
        </w:tc>
        <w:tc>
          <w:tcPr>
            <w:tcW w:w="2471" w:type="dxa"/>
            <w:vMerge w:val="continue"/>
            <w:vAlign w:val="center"/>
          </w:tcPr>
          <w:p w14:paraId="3DAC0E9E">
            <w:pPr>
              <w:spacing w:line="440" w:lineRule="exact"/>
              <w:ind w:firstLine="562"/>
              <w:rPr>
                <w:color w:val="auto"/>
                <w:sz w:val="21"/>
                <w:szCs w:val="21"/>
                <w:highlight w:val="none"/>
              </w:rPr>
            </w:pPr>
          </w:p>
        </w:tc>
      </w:tr>
      <w:tr w14:paraId="77DBE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6" w:hRule="exact"/>
          <w:jc w:val="center"/>
        </w:trPr>
        <w:tc>
          <w:tcPr>
            <w:tcW w:w="829" w:type="dxa"/>
            <w:vMerge w:val="continue"/>
            <w:vAlign w:val="center"/>
          </w:tcPr>
          <w:p w14:paraId="322DAB07">
            <w:pPr>
              <w:spacing w:line="440" w:lineRule="exact"/>
              <w:ind w:firstLine="562"/>
              <w:jc w:val="center"/>
              <w:rPr>
                <w:color w:val="auto"/>
                <w:sz w:val="21"/>
                <w:szCs w:val="21"/>
                <w:highlight w:val="none"/>
              </w:rPr>
            </w:pPr>
          </w:p>
        </w:tc>
        <w:tc>
          <w:tcPr>
            <w:tcW w:w="1580" w:type="dxa"/>
            <w:vMerge w:val="continue"/>
            <w:vAlign w:val="center"/>
          </w:tcPr>
          <w:p w14:paraId="499BDA4A">
            <w:pPr>
              <w:spacing w:line="440" w:lineRule="exact"/>
              <w:ind w:firstLine="562"/>
              <w:rPr>
                <w:color w:val="auto"/>
                <w:sz w:val="21"/>
                <w:szCs w:val="21"/>
                <w:highlight w:val="none"/>
              </w:rPr>
            </w:pPr>
          </w:p>
        </w:tc>
        <w:tc>
          <w:tcPr>
            <w:tcW w:w="2012" w:type="dxa"/>
            <w:gridSpan w:val="2"/>
            <w:vAlign w:val="center"/>
          </w:tcPr>
          <w:p w14:paraId="385F5E22">
            <w:pPr>
              <w:spacing w:line="440" w:lineRule="exact"/>
              <w:ind w:firstLine="562"/>
              <w:rPr>
                <w:color w:val="auto"/>
                <w:sz w:val="21"/>
                <w:szCs w:val="21"/>
                <w:highlight w:val="none"/>
              </w:rPr>
            </w:pPr>
            <w:r>
              <w:rPr>
                <w:rFonts w:hint="eastAsia"/>
                <w:color w:val="auto"/>
                <w:sz w:val="21"/>
                <w:szCs w:val="21"/>
                <w:highlight w:val="none"/>
              </w:rPr>
              <w:t>3000</w:t>
            </w:r>
          </w:p>
        </w:tc>
        <w:tc>
          <w:tcPr>
            <w:tcW w:w="2011" w:type="dxa"/>
            <w:vAlign w:val="center"/>
          </w:tcPr>
          <w:p w14:paraId="68C290A4">
            <w:pPr>
              <w:spacing w:line="440" w:lineRule="exact"/>
              <w:ind w:firstLine="562"/>
              <w:rPr>
                <w:color w:val="auto"/>
                <w:sz w:val="21"/>
                <w:szCs w:val="21"/>
                <w:highlight w:val="none"/>
              </w:rPr>
            </w:pPr>
            <w:r>
              <w:rPr>
                <w:rFonts w:hint="eastAsia"/>
                <w:color w:val="auto"/>
                <w:sz w:val="21"/>
                <w:szCs w:val="21"/>
                <w:highlight w:val="none"/>
              </w:rPr>
              <w:t>±15</w:t>
            </w:r>
          </w:p>
        </w:tc>
        <w:tc>
          <w:tcPr>
            <w:tcW w:w="2471" w:type="dxa"/>
            <w:vMerge w:val="continue"/>
            <w:vAlign w:val="center"/>
          </w:tcPr>
          <w:p w14:paraId="779C177E">
            <w:pPr>
              <w:spacing w:line="440" w:lineRule="exact"/>
              <w:ind w:firstLine="562"/>
              <w:rPr>
                <w:color w:val="auto"/>
                <w:sz w:val="21"/>
                <w:szCs w:val="21"/>
                <w:highlight w:val="none"/>
              </w:rPr>
            </w:pPr>
          </w:p>
        </w:tc>
      </w:tr>
      <w:tr w14:paraId="64A692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7" w:hRule="exact"/>
          <w:jc w:val="center"/>
        </w:trPr>
        <w:tc>
          <w:tcPr>
            <w:tcW w:w="829" w:type="dxa"/>
            <w:vAlign w:val="center"/>
          </w:tcPr>
          <w:p w14:paraId="0A03ABE7">
            <w:pPr>
              <w:spacing w:line="440" w:lineRule="exact"/>
              <w:ind w:firstLine="562"/>
              <w:jc w:val="center"/>
              <w:rPr>
                <w:color w:val="auto"/>
                <w:sz w:val="21"/>
                <w:szCs w:val="21"/>
                <w:highlight w:val="none"/>
              </w:rPr>
            </w:pPr>
            <w:r>
              <w:rPr>
                <w:rFonts w:hint="eastAsia"/>
                <w:color w:val="auto"/>
                <w:sz w:val="21"/>
                <w:szCs w:val="21"/>
                <w:highlight w:val="none"/>
              </w:rPr>
              <w:t>6</w:t>
            </w:r>
          </w:p>
        </w:tc>
        <w:tc>
          <w:tcPr>
            <w:tcW w:w="1580" w:type="dxa"/>
            <w:vAlign w:val="center"/>
          </w:tcPr>
          <w:p w14:paraId="7E13A240">
            <w:pPr>
              <w:spacing w:line="440" w:lineRule="exact"/>
              <w:ind w:firstLine="562"/>
              <w:rPr>
                <w:color w:val="auto"/>
                <w:sz w:val="21"/>
                <w:szCs w:val="21"/>
                <w:highlight w:val="none"/>
              </w:rPr>
            </w:pPr>
            <w:r>
              <w:rPr>
                <w:rFonts w:hint="eastAsia"/>
                <w:color w:val="auto"/>
                <w:sz w:val="21"/>
                <w:szCs w:val="21"/>
                <w:highlight w:val="none"/>
              </w:rPr>
              <w:t>抗滑值</w:t>
            </w:r>
          </w:p>
          <w:p w14:paraId="532550B2">
            <w:pPr>
              <w:spacing w:line="440" w:lineRule="exact"/>
              <w:ind w:firstLine="562"/>
              <w:rPr>
                <w:color w:val="auto"/>
                <w:sz w:val="21"/>
                <w:szCs w:val="21"/>
                <w:highlight w:val="none"/>
              </w:rPr>
            </w:pPr>
            <w:r>
              <w:rPr>
                <w:rFonts w:hint="eastAsia"/>
                <w:color w:val="auto"/>
                <w:sz w:val="21"/>
                <w:szCs w:val="21"/>
                <w:highlight w:val="none"/>
              </w:rPr>
              <w:t>（BPN）</w:t>
            </w:r>
          </w:p>
        </w:tc>
        <w:tc>
          <w:tcPr>
            <w:tcW w:w="2012" w:type="dxa"/>
            <w:gridSpan w:val="2"/>
            <w:vAlign w:val="center"/>
          </w:tcPr>
          <w:p w14:paraId="3CA833EB">
            <w:pPr>
              <w:spacing w:line="440" w:lineRule="exact"/>
              <w:ind w:firstLine="562"/>
              <w:rPr>
                <w:color w:val="auto"/>
                <w:sz w:val="21"/>
                <w:szCs w:val="21"/>
                <w:highlight w:val="none"/>
              </w:rPr>
            </w:pPr>
            <w:r>
              <w:rPr>
                <w:rFonts w:hint="eastAsia"/>
                <w:color w:val="auto"/>
                <w:sz w:val="21"/>
                <w:szCs w:val="21"/>
                <w:highlight w:val="none"/>
              </w:rPr>
              <w:t>防滑标线</w:t>
            </w:r>
          </w:p>
        </w:tc>
        <w:tc>
          <w:tcPr>
            <w:tcW w:w="2011" w:type="dxa"/>
            <w:vAlign w:val="center"/>
          </w:tcPr>
          <w:p w14:paraId="25AC2C12">
            <w:pPr>
              <w:spacing w:line="440" w:lineRule="exact"/>
              <w:ind w:firstLine="562"/>
              <w:rPr>
                <w:color w:val="auto"/>
                <w:sz w:val="21"/>
                <w:szCs w:val="21"/>
                <w:highlight w:val="none"/>
              </w:rPr>
            </w:pPr>
            <w:r>
              <w:rPr>
                <w:rFonts w:hint="eastAsia"/>
                <w:color w:val="auto"/>
                <w:sz w:val="21"/>
                <w:szCs w:val="21"/>
                <w:highlight w:val="none"/>
              </w:rPr>
              <w:t>≥45</w:t>
            </w:r>
          </w:p>
        </w:tc>
        <w:tc>
          <w:tcPr>
            <w:tcW w:w="2471" w:type="dxa"/>
            <w:vAlign w:val="center"/>
          </w:tcPr>
          <w:p w14:paraId="2BB1E0D2">
            <w:pPr>
              <w:spacing w:line="440" w:lineRule="exact"/>
              <w:rPr>
                <w:color w:val="auto"/>
                <w:sz w:val="21"/>
                <w:szCs w:val="21"/>
                <w:highlight w:val="none"/>
              </w:rPr>
            </w:pPr>
            <w:r>
              <w:rPr>
                <w:rFonts w:hint="eastAsia"/>
                <w:color w:val="auto"/>
                <w:sz w:val="21"/>
                <w:szCs w:val="21"/>
                <w:highlight w:val="none"/>
              </w:rPr>
              <w:t>摆式摩擦系数测试仪：每</w:t>
            </w:r>
          </w:p>
          <w:p w14:paraId="206584F3">
            <w:pPr>
              <w:spacing w:line="440" w:lineRule="exact"/>
              <w:ind w:firstLine="562"/>
              <w:rPr>
                <w:color w:val="auto"/>
                <w:sz w:val="21"/>
                <w:szCs w:val="21"/>
                <w:highlight w:val="none"/>
              </w:rPr>
            </w:pPr>
            <w:r>
              <w:rPr>
                <w:rFonts w:hint="eastAsia"/>
                <w:color w:val="auto"/>
                <w:sz w:val="21"/>
                <w:szCs w:val="21"/>
                <w:highlight w:val="none"/>
              </w:rPr>
              <w:t>1km测3处</w:t>
            </w:r>
          </w:p>
        </w:tc>
      </w:tr>
    </w:tbl>
    <w:p w14:paraId="72C6EEC3">
      <w:pPr>
        <w:spacing w:line="440" w:lineRule="exact"/>
        <w:ind w:firstLine="562"/>
        <w:jc w:val="center"/>
        <w:rPr>
          <w:color w:val="auto"/>
          <w:sz w:val="21"/>
          <w:szCs w:val="21"/>
          <w:highlight w:val="none"/>
        </w:rPr>
      </w:pPr>
      <w:r>
        <w:rPr>
          <w:rFonts w:hint="eastAsia"/>
          <w:color w:val="auto"/>
          <w:sz w:val="21"/>
          <w:szCs w:val="21"/>
          <w:highlight w:val="none"/>
        </w:rPr>
        <w:t>表4 热熔标线逆反射亮度系数RL技术要求</w:t>
      </w:r>
    </w:p>
    <w:tbl>
      <w:tblPr>
        <w:tblStyle w:val="25"/>
        <w:tblW w:w="88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979"/>
        <w:gridCol w:w="3262"/>
        <w:gridCol w:w="2598"/>
      </w:tblGrid>
      <w:tr w14:paraId="0B6452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6" w:hRule="atLeast"/>
          <w:jc w:val="center"/>
        </w:trPr>
        <w:tc>
          <w:tcPr>
            <w:tcW w:w="2979" w:type="dxa"/>
            <w:vAlign w:val="center"/>
          </w:tcPr>
          <w:p w14:paraId="55E9F4AE">
            <w:pPr>
              <w:spacing w:line="440" w:lineRule="exact"/>
              <w:ind w:firstLine="562"/>
              <w:jc w:val="center"/>
              <w:rPr>
                <w:color w:val="auto"/>
                <w:sz w:val="21"/>
                <w:szCs w:val="21"/>
                <w:highlight w:val="none"/>
              </w:rPr>
            </w:pPr>
            <w:r>
              <w:rPr>
                <w:rFonts w:hint="eastAsia"/>
                <w:color w:val="auto"/>
                <w:sz w:val="21"/>
                <w:szCs w:val="21"/>
                <w:highlight w:val="none"/>
              </w:rPr>
              <w:t>检测项目</w:t>
            </w:r>
          </w:p>
        </w:tc>
        <w:tc>
          <w:tcPr>
            <w:tcW w:w="3262" w:type="dxa"/>
            <w:vAlign w:val="center"/>
          </w:tcPr>
          <w:p w14:paraId="09371A96">
            <w:pPr>
              <w:spacing w:line="440" w:lineRule="exact"/>
              <w:ind w:firstLine="562"/>
              <w:jc w:val="center"/>
              <w:rPr>
                <w:color w:val="auto"/>
                <w:sz w:val="21"/>
                <w:szCs w:val="21"/>
                <w:highlight w:val="none"/>
              </w:rPr>
            </w:pPr>
            <w:r>
              <w:rPr>
                <w:rFonts w:hint="eastAsia"/>
                <w:color w:val="auto"/>
                <w:sz w:val="21"/>
                <w:szCs w:val="21"/>
                <w:highlight w:val="none"/>
              </w:rPr>
              <w:t>检测时间</w:t>
            </w:r>
          </w:p>
        </w:tc>
        <w:tc>
          <w:tcPr>
            <w:tcW w:w="2598" w:type="dxa"/>
            <w:vAlign w:val="center"/>
          </w:tcPr>
          <w:p w14:paraId="1648D891">
            <w:pPr>
              <w:spacing w:line="440" w:lineRule="exact"/>
              <w:ind w:firstLine="562"/>
              <w:jc w:val="center"/>
              <w:rPr>
                <w:color w:val="auto"/>
                <w:sz w:val="21"/>
                <w:szCs w:val="21"/>
                <w:highlight w:val="none"/>
              </w:rPr>
            </w:pPr>
            <w:r>
              <w:rPr>
                <w:rFonts w:hint="eastAsia"/>
                <w:color w:val="auto"/>
                <w:sz w:val="21"/>
                <w:szCs w:val="21"/>
                <w:highlight w:val="none"/>
              </w:rPr>
              <w:t>合格标准</w:t>
            </w:r>
          </w:p>
        </w:tc>
      </w:tr>
      <w:tr w14:paraId="4D3D36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vAlign w:val="center"/>
          </w:tcPr>
          <w:p w14:paraId="5890AF2F">
            <w:pPr>
              <w:spacing w:line="440" w:lineRule="exact"/>
              <w:ind w:firstLine="562"/>
              <w:rPr>
                <w:color w:val="auto"/>
                <w:sz w:val="21"/>
                <w:szCs w:val="21"/>
                <w:highlight w:val="none"/>
              </w:rPr>
            </w:pPr>
            <w:r>
              <w:rPr>
                <w:rFonts w:hint="eastAsia"/>
                <w:color w:val="auto"/>
                <w:sz w:val="21"/>
                <w:szCs w:val="21"/>
                <w:highlight w:val="none"/>
              </w:rPr>
              <w:t>白色标线R</w:t>
            </w:r>
            <w:r>
              <w:rPr>
                <w:rFonts w:hint="eastAsia"/>
                <w:color w:val="auto"/>
                <w:sz w:val="21"/>
                <w:szCs w:val="21"/>
                <w:highlight w:val="none"/>
                <w:vertAlign w:val="subscript"/>
              </w:rPr>
              <w:t>L</w:t>
            </w:r>
            <w:r>
              <w:rPr>
                <w:rFonts w:hint="eastAsia"/>
                <w:color w:val="auto"/>
                <w:sz w:val="21"/>
                <w:szCs w:val="21"/>
                <w:highlight w:val="none"/>
              </w:rPr>
              <w:t>（干态））</w:t>
            </w:r>
          </w:p>
          <w:p w14:paraId="1E9CF9F6">
            <w:pPr>
              <w:spacing w:line="440" w:lineRule="exact"/>
              <w:ind w:firstLine="562"/>
              <w:rPr>
                <w:color w:val="auto"/>
                <w:sz w:val="21"/>
                <w:szCs w:val="21"/>
                <w:highlight w:val="none"/>
              </w:rPr>
            </w:pPr>
            <w:r>
              <w:rPr>
                <w:rFonts w:hint="eastAsia"/>
                <w:color w:val="auto"/>
                <w:sz w:val="21"/>
                <w:szCs w:val="21"/>
                <w:highlight w:val="none"/>
              </w:rPr>
              <w:t>mcd• m</w:t>
            </w:r>
            <w:r>
              <w:rPr>
                <w:rFonts w:hint="eastAsia"/>
                <w:color w:val="auto"/>
                <w:sz w:val="21"/>
                <w:szCs w:val="21"/>
                <w:highlight w:val="none"/>
                <w:vertAlign w:val="superscript"/>
              </w:rPr>
              <w:t>-2</w:t>
            </w:r>
            <w:r>
              <w:rPr>
                <w:rFonts w:hint="eastAsia"/>
                <w:color w:val="auto"/>
                <w:sz w:val="21"/>
                <w:szCs w:val="21"/>
                <w:highlight w:val="none"/>
              </w:rPr>
              <w:t>•lx</w:t>
            </w:r>
            <w:r>
              <w:rPr>
                <w:rFonts w:hint="eastAsia"/>
                <w:color w:val="auto"/>
                <w:sz w:val="21"/>
                <w:szCs w:val="21"/>
                <w:highlight w:val="none"/>
                <w:vertAlign w:val="superscript"/>
              </w:rPr>
              <w:t>-1</w:t>
            </w:r>
          </w:p>
        </w:tc>
        <w:tc>
          <w:tcPr>
            <w:tcW w:w="3262" w:type="dxa"/>
            <w:vAlign w:val="center"/>
          </w:tcPr>
          <w:p w14:paraId="3DE7AD4D">
            <w:pPr>
              <w:pStyle w:val="21"/>
              <w:spacing w:line="360" w:lineRule="auto"/>
              <w:ind w:right="-20" w:firstLine="420" w:firstLineChars="200"/>
              <w:jc w:val="center"/>
              <w:rPr>
                <w:color w:val="auto"/>
                <w:kern w:val="2"/>
                <w:sz w:val="21"/>
                <w:szCs w:val="21"/>
                <w:highlight w:val="none"/>
              </w:rPr>
            </w:pPr>
            <w:r>
              <w:rPr>
                <w:rFonts w:hint="eastAsia"/>
                <w:color w:val="auto"/>
                <w:sz w:val="21"/>
                <w:szCs w:val="21"/>
                <w:highlight w:val="none"/>
              </w:rPr>
              <w:t>交工验收前的任何时间</w:t>
            </w:r>
          </w:p>
        </w:tc>
        <w:tc>
          <w:tcPr>
            <w:tcW w:w="2598" w:type="dxa"/>
            <w:vAlign w:val="center"/>
          </w:tcPr>
          <w:p w14:paraId="4023F1E9">
            <w:pPr>
              <w:pStyle w:val="21"/>
              <w:spacing w:line="360" w:lineRule="auto"/>
              <w:ind w:right="-20" w:firstLine="420" w:firstLineChars="200"/>
              <w:jc w:val="center"/>
              <w:rPr>
                <w:color w:val="auto"/>
                <w:kern w:val="2"/>
                <w:sz w:val="21"/>
                <w:szCs w:val="21"/>
                <w:highlight w:val="none"/>
              </w:rPr>
            </w:pPr>
            <w:r>
              <w:rPr>
                <w:rFonts w:hint="eastAsia"/>
                <w:color w:val="auto"/>
                <w:kern w:val="2"/>
                <w:sz w:val="21"/>
                <w:szCs w:val="21"/>
                <w:highlight w:val="none"/>
              </w:rPr>
              <w:t xml:space="preserve">≥150 </w:t>
            </w:r>
          </w:p>
        </w:tc>
      </w:tr>
      <w:tr w14:paraId="43C3D5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2979" w:type="dxa"/>
            <w:vMerge w:val="continue"/>
            <w:vAlign w:val="center"/>
          </w:tcPr>
          <w:p w14:paraId="5FBCD6C5">
            <w:pPr>
              <w:spacing w:line="440" w:lineRule="exact"/>
              <w:ind w:firstLine="562"/>
              <w:rPr>
                <w:color w:val="auto"/>
                <w:sz w:val="21"/>
                <w:szCs w:val="21"/>
                <w:highlight w:val="none"/>
              </w:rPr>
            </w:pPr>
          </w:p>
        </w:tc>
        <w:tc>
          <w:tcPr>
            <w:tcW w:w="3262" w:type="dxa"/>
            <w:vAlign w:val="center"/>
          </w:tcPr>
          <w:p w14:paraId="15242B2E">
            <w:pPr>
              <w:pStyle w:val="21"/>
              <w:spacing w:line="360" w:lineRule="auto"/>
              <w:ind w:right="-20" w:firstLine="420" w:firstLineChars="200"/>
              <w:jc w:val="center"/>
              <w:rPr>
                <w:color w:val="auto"/>
                <w:kern w:val="2"/>
                <w:sz w:val="21"/>
                <w:szCs w:val="21"/>
                <w:highlight w:val="none"/>
              </w:rPr>
            </w:pPr>
            <w:r>
              <w:rPr>
                <w:rFonts w:hint="eastAsia"/>
                <w:color w:val="auto"/>
                <w:sz w:val="21"/>
                <w:szCs w:val="21"/>
                <w:highlight w:val="none"/>
              </w:rPr>
              <w:t>正常使用一年后</w:t>
            </w:r>
          </w:p>
        </w:tc>
        <w:tc>
          <w:tcPr>
            <w:tcW w:w="2598" w:type="dxa"/>
            <w:vAlign w:val="center"/>
          </w:tcPr>
          <w:p w14:paraId="5C9115F2">
            <w:pPr>
              <w:pStyle w:val="21"/>
              <w:spacing w:line="360" w:lineRule="auto"/>
              <w:ind w:right="-20" w:firstLine="420" w:firstLineChars="200"/>
              <w:jc w:val="center"/>
              <w:rPr>
                <w:color w:val="auto"/>
                <w:kern w:val="2"/>
                <w:sz w:val="21"/>
                <w:szCs w:val="21"/>
                <w:highlight w:val="none"/>
              </w:rPr>
            </w:pPr>
            <w:r>
              <w:rPr>
                <w:rFonts w:hint="eastAsia"/>
                <w:color w:val="auto"/>
                <w:kern w:val="2"/>
                <w:sz w:val="21"/>
                <w:szCs w:val="21"/>
                <w:highlight w:val="none"/>
              </w:rPr>
              <w:t>≥80</w:t>
            </w:r>
          </w:p>
        </w:tc>
      </w:tr>
      <w:tr w14:paraId="31A7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2979" w:type="dxa"/>
            <w:vMerge w:val="restart"/>
            <w:vAlign w:val="center"/>
          </w:tcPr>
          <w:p w14:paraId="21308DF1">
            <w:pPr>
              <w:spacing w:line="440" w:lineRule="exact"/>
              <w:ind w:firstLine="562"/>
              <w:rPr>
                <w:color w:val="auto"/>
                <w:sz w:val="21"/>
                <w:szCs w:val="21"/>
                <w:highlight w:val="none"/>
              </w:rPr>
            </w:pPr>
          </w:p>
          <w:p w14:paraId="45F4CE18">
            <w:pPr>
              <w:spacing w:line="440" w:lineRule="exact"/>
              <w:ind w:firstLine="562"/>
              <w:rPr>
                <w:color w:val="auto"/>
                <w:sz w:val="21"/>
                <w:szCs w:val="21"/>
                <w:highlight w:val="none"/>
              </w:rPr>
            </w:pPr>
            <w:r>
              <w:rPr>
                <w:rFonts w:hint="eastAsia"/>
                <w:color w:val="auto"/>
                <w:sz w:val="21"/>
                <w:szCs w:val="21"/>
                <w:highlight w:val="none"/>
              </w:rPr>
              <w:t xml:space="preserve">黄色标线RL（干态）） </w:t>
            </w:r>
          </w:p>
          <w:p w14:paraId="3159C191">
            <w:pPr>
              <w:spacing w:line="440" w:lineRule="exact"/>
              <w:ind w:firstLine="562"/>
              <w:rPr>
                <w:color w:val="auto"/>
                <w:sz w:val="21"/>
                <w:szCs w:val="21"/>
                <w:highlight w:val="none"/>
              </w:rPr>
            </w:pPr>
            <w:r>
              <w:rPr>
                <w:rFonts w:hint="eastAsia"/>
                <w:color w:val="auto"/>
                <w:sz w:val="21"/>
                <w:szCs w:val="21"/>
                <w:highlight w:val="none"/>
              </w:rPr>
              <w:t xml:space="preserve">mcd• m-2•lx-1 </w:t>
            </w:r>
          </w:p>
          <w:p w14:paraId="0F226EBC">
            <w:pPr>
              <w:spacing w:line="440" w:lineRule="exact"/>
              <w:ind w:firstLine="562"/>
              <w:rPr>
                <w:color w:val="auto"/>
                <w:sz w:val="21"/>
                <w:szCs w:val="21"/>
                <w:highlight w:val="none"/>
              </w:rPr>
            </w:pPr>
          </w:p>
        </w:tc>
        <w:tc>
          <w:tcPr>
            <w:tcW w:w="3262" w:type="dxa"/>
            <w:vAlign w:val="center"/>
          </w:tcPr>
          <w:p w14:paraId="47CACDDD">
            <w:pPr>
              <w:pStyle w:val="21"/>
              <w:spacing w:line="360" w:lineRule="auto"/>
              <w:ind w:right="-20" w:firstLine="420" w:firstLineChars="200"/>
              <w:jc w:val="center"/>
              <w:rPr>
                <w:color w:val="auto"/>
                <w:kern w:val="2"/>
                <w:sz w:val="21"/>
                <w:szCs w:val="21"/>
                <w:highlight w:val="none"/>
              </w:rPr>
            </w:pPr>
            <w:r>
              <w:rPr>
                <w:rFonts w:hint="eastAsia"/>
                <w:color w:val="auto"/>
                <w:sz w:val="21"/>
                <w:szCs w:val="21"/>
                <w:highlight w:val="none"/>
              </w:rPr>
              <w:t>交工验收前的任何时间</w:t>
            </w:r>
          </w:p>
        </w:tc>
        <w:tc>
          <w:tcPr>
            <w:tcW w:w="2598" w:type="dxa"/>
            <w:vAlign w:val="center"/>
          </w:tcPr>
          <w:p w14:paraId="2A95C6DC">
            <w:pPr>
              <w:pStyle w:val="21"/>
              <w:spacing w:line="360" w:lineRule="auto"/>
              <w:ind w:right="-20" w:firstLine="420" w:firstLineChars="200"/>
              <w:jc w:val="center"/>
              <w:rPr>
                <w:color w:val="auto"/>
                <w:kern w:val="2"/>
                <w:sz w:val="21"/>
                <w:szCs w:val="21"/>
                <w:highlight w:val="none"/>
              </w:rPr>
            </w:pPr>
            <w:r>
              <w:rPr>
                <w:rFonts w:hint="eastAsia"/>
                <w:color w:val="auto"/>
                <w:kern w:val="2"/>
                <w:sz w:val="21"/>
                <w:szCs w:val="21"/>
                <w:highlight w:val="none"/>
              </w:rPr>
              <w:t>≥100</w:t>
            </w:r>
          </w:p>
        </w:tc>
      </w:tr>
      <w:tr w14:paraId="2EC7E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2979" w:type="dxa"/>
            <w:vMerge w:val="continue"/>
            <w:vAlign w:val="center"/>
          </w:tcPr>
          <w:p w14:paraId="1E96927F">
            <w:pPr>
              <w:spacing w:line="440" w:lineRule="exact"/>
              <w:ind w:firstLine="562"/>
              <w:rPr>
                <w:color w:val="auto"/>
                <w:sz w:val="21"/>
                <w:szCs w:val="21"/>
                <w:highlight w:val="none"/>
              </w:rPr>
            </w:pPr>
          </w:p>
        </w:tc>
        <w:tc>
          <w:tcPr>
            <w:tcW w:w="3262" w:type="dxa"/>
            <w:vAlign w:val="center"/>
          </w:tcPr>
          <w:p w14:paraId="66D96368">
            <w:pPr>
              <w:pStyle w:val="21"/>
              <w:spacing w:line="360" w:lineRule="auto"/>
              <w:ind w:right="-20" w:firstLine="420" w:firstLineChars="200"/>
              <w:jc w:val="center"/>
              <w:rPr>
                <w:color w:val="auto"/>
                <w:kern w:val="2"/>
                <w:sz w:val="21"/>
                <w:szCs w:val="21"/>
                <w:highlight w:val="none"/>
              </w:rPr>
            </w:pPr>
            <w:r>
              <w:rPr>
                <w:rFonts w:hint="eastAsia"/>
                <w:color w:val="auto"/>
                <w:sz w:val="21"/>
                <w:szCs w:val="21"/>
                <w:highlight w:val="none"/>
              </w:rPr>
              <w:t>正常使用一年后</w:t>
            </w:r>
          </w:p>
        </w:tc>
        <w:tc>
          <w:tcPr>
            <w:tcW w:w="2598" w:type="dxa"/>
            <w:vAlign w:val="center"/>
          </w:tcPr>
          <w:p w14:paraId="2FE6824B">
            <w:pPr>
              <w:pStyle w:val="21"/>
              <w:spacing w:line="360" w:lineRule="auto"/>
              <w:ind w:right="-20" w:firstLine="420" w:firstLineChars="200"/>
              <w:jc w:val="center"/>
              <w:rPr>
                <w:color w:val="auto"/>
                <w:kern w:val="2"/>
                <w:sz w:val="21"/>
                <w:szCs w:val="21"/>
                <w:highlight w:val="none"/>
              </w:rPr>
            </w:pPr>
            <w:r>
              <w:rPr>
                <w:rFonts w:hint="eastAsia"/>
                <w:color w:val="auto"/>
                <w:kern w:val="2"/>
                <w:sz w:val="21"/>
                <w:szCs w:val="21"/>
                <w:highlight w:val="none"/>
              </w:rPr>
              <w:t>≥50</w:t>
            </w:r>
          </w:p>
        </w:tc>
      </w:tr>
    </w:tbl>
    <w:p w14:paraId="78C45C70">
      <w:pPr>
        <w:spacing w:line="440" w:lineRule="exact"/>
        <w:ind w:firstLine="562"/>
        <w:rPr>
          <w:rFonts w:ascii="仿宋_GB2312" w:eastAsia="仿宋_GB2312"/>
          <w:color w:val="auto"/>
          <w:sz w:val="28"/>
          <w:szCs w:val="28"/>
          <w:highlight w:val="none"/>
        </w:rPr>
      </w:pPr>
    </w:p>
    <w:p w14:paraId="38B5395E">
      <w:pPr>
        <w:pStyle w:val="13"/>
        <w:spacing w:line="296" w:lineRule="auto"/>
        <w:rPr>
          <w:color w:val="auto"/>
          <w:highlight w:val="none"/>
        </w:rPr>
      </w:pPr>
    </w:p>
    <w:p w14:paraId="77F9CCE2">
      <w:pPr>
        <w:ind w:firstLine="420"/>
        <w:rPr>
          <w:color w:val="auto"/>
          <w:highlight w:val="none"/>
        </w:rPr>
      </w:pPr>
    </w:p>
    <w:bookmarkEnd w:id="128"/>
    <w:bookmarkEnd w:id="129"/>
    <w:p w14:paraId="47E99C57">
      <w:pPr>
        <w:pStyle w:val="13"/>
        <w:spacing w:line="296" w:lineRule="auto"/>
        <w:rPr>
          <w:color w:val="auto"/>
          <w:highlight w:val="none"/>
        </w:rPr>
      </w:pPr>
    </w:p>
    <w:p w14:paraId="3EE42FAC">
      <w:pPr>
        <w:spacing w:before="155" w:line="186" w:lineRule="auto"/>
        <w:ind w:left="2429" w:firstLine="720"/>
        <w:rPr>
          <w:color w:val="auto"/>
          <w:sz w:val="36"/>
          <w:szCs w:val="36"/>
          <w:highlight w:val="none"/>
        </w:rPr>
      </w:pPr>
    </w:p>
    <w:p w14:paraId="2907E4CB">
      <w:pPr>
        <w:spacing w:before="155" w:line="186" w:lineRule="auto"/>
        <w:ind w:left="2429" w:firstLine="720"/>
        <w:rPr>
          <w:color w:val="auto"/>
          <w:sz w:val="36"/>
          <w:szCs w:val="36"/>
          <w:highlight w:val="none"/>
        </w:rPr>
      </w:pPr>
      <w:r>
        <w:rPr>
          <w:rFonts w:hint="eastAsia"/>
          <w:color w:val="auto"/>
          <w:sz w:val="36"/>
          <w:szCs w:val="36"/>
          <w:highlight w:val="none"/>
        </w:rPr>
        <w:t>第三节合同附件格式</w:t>
      </w:r>
    </w:p>
    <w:p w14:paraId="606158E3">
      <w:pPr>
        <w:spacing w:before="278" w:line="181" w:lineRule="auto"/>
        <w:ind w:left="1" w:firstLine="2209" w:firstLineChars="917"/>
        <w:rPr>
          <w:color w:val="auto"/>
          <w:sz w:val="24"/>
          <w:szCs w:val="24"/>
          <w:highlight w:val="none"/>
        </w:rPr>
      </w:pPr>
      <w:r>
        <w:rPr>
          <w:rFonts w:hint="eastAsia"/>
          <w:b/>
          <w:bCs/>
          <w:color w:val="auto"/>
          <w:sz w:val="24"/>
          <w:szCs w:val="24"/>
          <w:highlight w:val="none"/>
        </w:rPr>
        <w:t>均采用交通运输部《养护项目合同范本》的格式。</w:t>
      </w:r>
    </w:p>
    <w:p w14:paraId="7414960F">
      <w:pPr>
        <w:spacing w:line="181" w:lineRule="auto"/>
        <w:ind w:firstLine="480"/>
        <w:rPr>
          <w:color w:val="auto"/>
          <w:sz w:val="24"/>
          <w:szCs w:val="24"/>
          <w:highlight w:val="none"/>
        </w:rPr>
        <w:sectPr>
          <w:footerReference r:id="rId10" w:type="default"/>
          <w:pgSz w:w="11911" w:h="16849"/>
          <w:pgMar w:top="1417" w:right="1417" w:bottom="1417" w:left="1417" w:header="720" w:footer="720" w:gutter="0"/>
          <w:cols w:space="0" w:num="1"/>
          <w:rtlGutter w:val="0"/>
          <w:docGrid w:linePitch="0" w:charSpace="0"/>
        </w:sectPr>
      </w:pPr>
    </w:p>
    <w:p w14:paraId="5FAE2D7F">
      <w:pPr>
        <w:spacing w:before="64" w:line="360" w:lineRule="auto"/>
        <w:ind w:left="30" w:firstLine="640"/>
        <w:rPr>
          <w:color w:val="auto"/>
          <w:sz w:val="32"/>
          <w:szCs w:val="32"/>
          <w:highlight w:val="none"/>
        </w:rPr>
      </w:pPr>
      <w:r>
        <w:rPr>
          <w:rFonts w:hint="eastAsia"/>
          <w:color w:val="auto"/>
          <w:sz w:val="32"/>
          <w:szCs w:val="32"/>
          <w:highlight w:val="none"/>
        </w:rPr>
        <w:t>附件一合同协议书</w:t>
      </w:r>
    </w:p>
    <w:p w14:paraId="5D695DCD">
      <w:pPr>
        <w:spacing w:before="1" w:line="360" w:lineRule="auto"/>
        <w:jc w:val="center"/>
        <w:rPr>
          <w:color w:val="auto"/>
          <w:sz w:val="36"/>
          <w:szCs w:val="36"/>
          <w:highlight w:val="none"/>
        </w:rPr>
      </w:pPr>
      <w:r>
        <w:rPr>
          <w:rFonts w:hint="eastAsia"/>
          <w:color w:val="auto"/>
          <w:sz w:val="36"/>
          <w:szCs w:val="36"/>
          <w:highlight w:val="none"/>
        </w:rPr>
        <w:t>合同协议书</w:t>
      </w:r>
    </w:p>
    <w:p w14:paraId="32519C2C">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为实施</w:t>
      </w:r>
      <w:r>
        <w:rPr>
          <w:rFonts w:hint="eastAsia"/>
          <w:color w:val="auto"/>
          <w:sz w:val="21"/>
          <w:szCs w:val="21"/>
          <w:highlight w:val="none"/>
          <w:u w:val="single"/>
          <w:lang w:eastAsia="zh-CN"/>
        </w:rPr>
        <w:t>广西壮族自治区恭城公路养护中心G357线K1265+300～K1272+300公路灾害防治工程</w:t>
      </w:r>
      <w:r>
        <w:rPr>
          <w:rFonts w:hint="eastAsia"/>
          <w:color w:val="auto"/>
          <w:sz w:val="21"/>
          <w:szCs w:val="21"/>
          <w:highlight w:val="none"/>
        </w:rPr>
        <w:t>（养护项目名称），发包人</w:t>
      </w:r>
      <w:r>
        <w:rPr>
          <w:rFonts w:hint="eastAsia"/>
          <w:color w:val="auto"/>
          <w:sz w:val="21"/>
          <w:szCs w:val="21"/>
          <w:highlight w:val="none"/>
          <w:u w:val="single"/>
          <w:lang w:eastAsia="zh-CN"/>
        </w:rPr>
        <w:t>广西壮族自治区恭城公路养护中心</w:t>
      </w:r>
      <w:r>
        <w:rPr>
          <w:rFonts w:hint="eastAsia"/>
          <w:color w:val="auto"/>
          <w:sz w:val="21"/>
          <w:szCs w:val="21"/>
          <w:highlight w:val="none"/>
        </w:rPr>
        <w:t>（发包人名称，以下简称“发包人”）与</w:t>
      </w:r>
      <w:r>
        <w:rPr>
          <w:rFonts w:hint="eastAsia"/>
          <w:color w:val="auto"/>
          <w:sz w:val="21"/>
          <w:szCs w:val="21"/>
          <w:highlight w:val="none"/>
          <w:u w:val="single"/>
        </w:rPr>
        <w:tab/>
      </w:r>
      <w:r>
        <w:rPr>
          <w:rFonts w:hint="eastAsia"/>
          <w:color w:val="auto"/>
          <w:sz w:val="21"/>
          <w:szCs w:val="21"/>
          <w:highlight w:val="none"/>
          <w:u w:val="single"/>
        </w:rPr>
        <w:t xml:space="preserve">  </w:t>
      </w:r>
      <w:r>
        <w:rPr>
          <w:rFonts w:hint="eastAsia"/>
          <w:color w:val="auto"/>
          <w:sz w:val="21"/>
          <w:szCs w:val="21"/>
          <w:highlight w:val="none"/>
        </w:rPr>
        <w:t>（承包人名称，以下简称“承包人”）共同达成如下协议。</w:t>
      </w:r>
    </w:p>
    <w:p w14:paraId="3D6C19A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1.项目概况与承包范围</w:t>
      </w:r>
    </w:p>
    <w:p w14:paraId="515BB31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（1）项目概况</w:t>
      </w:r>
    </w:p>
    <w:p w14:paraId="42F406A5">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该项目为</w:t>
      </w:r>
      <w:r>
        <w:rPr>
          <w:rFonts w:hint="eastAsia"/>
          <w:color w:val="auto"/>
          <w:sz w:val="21"/>
          <w:szCs w:val="21"/>
          <w:highlight w:val="none"/>
          <w:lang w:eastAsia="zh-CN"/>
        </w:rPr>
        <w:t>广西壮族自治区恭城公路养护中心G357线K1265+300～K1272+300公路灾害防治工程</w:t>
      </w:r>
      <w:r>
        <w:rPr>
          <w:rFonts w:hint="eastAsia"/>
          <w:color w:val="auto"/>
          <w:sz w:val="21"/>
          <w:szCs w:val="21"/>
          <w:highlight w:val="none"/>
        </w:rPr>
        <w:t>施工。</w:t>
      </w:r>
    </w:p>
    <w:p w14:paraId="6A691E7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（2）养护承包范围：</w:t>
      </w:r>
      <w:r>
        <w:rPr>
          <w:rFonts w:hint="eastAsia"/>
          <w:color w:val="auto"/>
          <w:sz w:val="21"/>
          <w:szCs w:val="21"/>
          <w:highlight w:val="none"/>
          <w:lang w:eastAsia="zh-CN"/>
        </w:rPr>
        <w:t>广西壮族自治区恭城公路养护中心G357线K1265+300～K1272+300公路灾害防治工程</w:t>
      </w:r>
      <w:r>
        <w:rPr>
          <w:rFonts w:hint="eastAsia"/>
          <w:color w:val="auto"/>
          <w:sz w:val="21"/>
          <w:szCs w:val="21"/>
          <w:highlight w:val="none"/>
        </w:rPr>
        <w:t>施工</w:t>
      </w:r>
      <w:r>
        <w:rPr>
          <w:rFonts w:hint="eastAsia"/>
          <w:color w:val="auto"/>
          <w:sz w:val="21"/>
          <w:szCs w:val="21"/>
          <w:highlight w:val="none"/>
          <w:lang w:val="en-US" w:eastAsia="zh-CN"/>
        </w:rPr>
        <w:t>1</w:t>
      </w:r>
      <w:r>
        <w:rPr>
          <w:rFonts w:hint="eastAsia"/>
          <w:color w:val="auto"/>
          <w:sz w:val="21"/>
          <w:szCs w:val="21"/>
          <w:highlight w:val="none"/>
        </w:rPr>
        <w:t>项，详见工程量清单和图纸。</w:t>
      </w:r>
    </w:p>
    <w:p w14:paraId="3A3F5F91">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2.下列文件应视为构成合同文件的组成部分：</w:t>
      </w:r>
    </w:p>
    <w:p w14:paraId="363DB0D8">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本协议书及各种合同附件（含评标期间和合同谈判过程中的澄清文件和补充资料）；</w:t>
      </w:r>
    </w:p>
    <w:p w14:paraId="6AAC3D9D">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成交通知书；</w:t>
      </w:r>
    </w:p>
    <w:p w14:paraId="3D954727">
      <w:pPr>
        <w:keepNext w:val="0"/>
        <w:keepLines w:val="0"/>
        <w:pageBreakBefore w:val="0"/>
        <w:widowControl w:val="0"/>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投标函及投标函附录；</w:t>
      </w:r>
    </w:p>
    <w:p w14:paraId="17AFB60C">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专用合同条款；</w:t>
      </w:r>
    </w:p>
    <w:p w14:paraId="0689023F">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通用合同条款；</w:t>
      </w:r>
    </w:p>
    <w:p w14:paraId="1850BD5F">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工程量清单计量规则；</w:t>
      </w:r>
    </w:p>
    <w:p w14:paraId="43B765AE">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技术规范；</w:t>
      </w:r>
    </w:p>
    <w:p w14:paraId="3D6C3324">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图纸；</w:t>
      </w:r>
    </w:p>
    <w:p w14:paraId="4FE5E48C">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已标价工程量清单；</w:t>
      </w:r>
    </w:p>
    <w:p w14:paraId="4BF2EDC6">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承包人有关人员、设备投入的承诺及响应文件中的施工组织设计；</w:t>
      </w:r>
    </w:p>
    <w:p w14:paraId="335F464C">
      <w:pPr>
        <w:pStyle w:val="39"/>
        <w:keepNext w:val="0"/>
        <w:keepLines w:val="0"/>
        <w:pageBreakBefore w:val="0"/>
        <w:widowControl w:val="0"/>
        <w:numPr>
          <w:ilvl w:val="0"/>
          <w:numId w:val="3"/>
        </w:numPr>
        <w:tabs>
          <w:tab w:val="left" w:pos="1643"/>
        </w:tabs>
        <w:kinsoku/>
        <w:wordWrap/>
        <w:overflowPunct/>
        <w:topLinePunct w:val="0"/>
        <w:autoSpaceDE w:val="0"/>
        <w:autoSpaceDN w:val="0"/>
        <w:bidi w:val="0"/>
        <w:adjustRightInd/>
        <w:snapToGrid/>
        <w:spacing w:line="360" w:lineRule="auto"/>
        <w:ind w:left="0" w:right="0" w:firstLine="416" w:firstLineChars="200"/>
        <w:textAlignment w:val="auto"/>
        <w:rPr>
          <w:color w:val="auto"/>
          <w:spacing w:val="-1"/>
          <w:sz w:val="21"/>
          <w:szCs w:val="21"/>
          <w:highlight w:val="none"/>
        </w:rPr>
      </w:pPr>
      <w:r>
        <w:rPr>
          <w:rFonts w:hint="eastAsia"/>
          <w:color w:val="auto"/>
          <w:spacing w:val="-1"/>
          <w:sz w:val="21"/>
          <w:szCs w:val="21"/>
          <w:highlight w:val="none"/>
        </w:rPr>
        <w:t>其他合同文件。</w:t>
      </w:r>
    </w:p>
    <w:p w14:paraId="5513116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上述合同文件互相补充和解释。如果合同文件之间存在矛盾或不一致之处，以上述文件的排列顺序在先者为准。</w:t>
      </w:r>
    </w:p>
    <w:p w14:paraId="142D4E0D">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3.根据工程量清单所列的预计数量和单价或总额价计算的签约合同价：人民币_________（大写）</w:t>
      </w:r>
      <w:r>
        <w:rPr>
          <w:rFonts w:hint="eastAsia"/>
          <w:color w:val="auto"/>
          <w:sz w:val="21"/>
          <w:szCs w:val="21"/>
          <w:highlight w:val="none"/>
          <w:u w:val="single"/>
        </w:rPr>
        <w:tab/>
      </w:r>
      <w:r>
        <w:rPr>
          <w:rFonts w:hint="eastAsia"/>
          <w:color w:val="auto"/>
          <w:sz w:val="21"/>
          <w:szCs w:val="21"/>
          <w:highlight w:val="none"/>
        </w:rPr>
        <w:t>元（¥</w:t>
      </w:r>
      <w:r>
        <w:rPr>
          <w:rFonts w:hint="eastAsia"/>
          <w:color w:val="auto"/>
          <w:sz w:val="21"/>
          <w:szCs w:val="21"/>
          <w:highlight w:val="none"/>
        </w:rPr>
        <w:tab/>
      </w:r>
      <w:r>
        <w:rPr>
          <w:rFonts w:hint="eastAsia"/>
          <w:color w:val="auto"/>
          <w:sz w:val="21"/>
          <w:szCs w:val="21"/>
          <w:highlight w:val="none"/>
        </w:rPr>
        <w:t xml:space="preserve">  ）。</w:t>
      </w:r>
    </w:p>
    <w:p w14:paraId="09312832">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4.承包人项目经理：</w:t>
      </w:r>
      <w:r>
        <w:rPr>
          <w:rFonts w:hint="eastAsia"/>
          <w:color w:val="auto"/>
          <w:sz w:val="21"/>
          <w:szCs w:val="21"/>
          <w:highlight w:val="none"/>
          <w:u w:val="single"/>
        </w:rPr>
        <w:tab/>
      </w:r>
      <w:r>
        <w:rPr>
          <w:rFonts w:hint="eastAsia"/>
          <w:color w:val="auto"/>
          <w:sz w:val="21"/>
          <w:szCs w:val="21"/>
          <w:highlight w:val="none"/>
          <w:u w:val="single"/>
        </w:rPr>
        <w:t xml:space="preserve">    </w:t>
      </w:r>
      <w:r>
        <w:rPr>
          <w:rFonts w:hint="eastAsia"/>
          <w:color w:val="auto"/>
          <w:sz w:val="21"/>
          <w:szCs w:val="21"/>
          <w:highlight w:val="none"/>
        </w:rPr>
        <w:t>。承包人项目总工：</w:t>
      </w:r>
      <w:r>
        <w:rPr>
          <w:rFonts w:hint="eastAsia"/>
          <w:color w:val="auto"/>
          <w:sz w:val="21"/>
          <w:szCs w:val="21"/>
          <w:highlight w:val="none"/>
          <w:u w:val="single"/>
        </w:rPr>
        <w:tab/>
      </w:r>
      <w:r>
        <w:rPr>
          <w:rFonts w:hint="eastAsia"/>
          <w:color w:val="auto"/>
          <w:sz w:val="21"/>
          <w:szCs w:val="21"/>
          <w:highlight w:val="none"/>
          <w:u w:val="single"/>
        </w:rPr>
        <w:t xml:space="preserve">   </w:t>
      </w:r>
      <w:r>
        <w:rPr>
          <w:rFonts w:hint="eastAsia"/>
          <w:color w:val="auto"/>
          <w:sz w:val="21"/>
          <w:szCs w:val="21"/>
          <w:highlight w:val="none"/>
        </w:rPr>
        <w:t>。</w:t>
      </w:r>
    </w:p>
    <w:p w14:paraId="51B596EA">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5.工程质量:</w:t>
      </w:r>
      <w:r>
        <w:rPr>
          <w:rFonts w:hint="eastAsia"/>
          <w:color w:val="auto"/>
          <w:sz w:val="21"/>
          <w:szCs w:val="21"/>
          <w:highlight w:val="none"/>
          <w:u w:val="single"/>
        </w:rPr>
        <w:t xml:space="preserve"> 交工验收的质量评定合格,竣工验收的质量评定优良 </w:t>
      </w:r>
      <w:r>
        <w:rPr>
          <w:rFonts w:hint="eastAsia"/>
          <w:color w:val="auto"/>
          <w:sz w:val="21"/>
          <w:szCs w:val="21"/>
          <w:highlight w:val="none"/>
        </w:rPr>
        <w:t xml:space="preserve">标准。养护安全目标： </w:t>
      </w:r>
      <w:r>
        <w:rPr>
          <w:rFonts w:hint="eastAsia"/>
          <w:color w:val="auto"/>
          <w:sz w:val="21"/>
          <w:szCs w:val="21"/>
          <w:highlight w:val="none"/>
          <w:u w:val="single"/>
        </w:rPr>
        <w:t xml:space="preserve">无安全生产责任事故 </w:t>
      </w:r>
      <w:r>
        <w:rPr>
          <w:rFonts w:hint="eastAsia"/>
          <w:color w:val="auto"/>
          <w:sz w:val="21"/>
          <w:szCs w:val="21"/>
          <w:highlight w:val="none"/>
        </w:rPr>
        <w:t>；养护环保目标：</w:t>
      </w:r>
      <w:r>
        <w:rPr>
          <w:color w:val="auto"/>
          <w:sz w:val="21"/>
          <w:szCs w:val="21"/>
          <w:highlight w:val="none"/>
          <w:u w:val="single"/>
        </w:rPr>
        <w:t>生态保护</w:t>
      </w:r>
      <w:r>
        <w:rPr>
          <w:rFonts w:hint="eastAsia"/>
          <w:color w:val="auto"/>
          <w:sz w:val="21"/>
          <w:szCs w:val="21"/>
          <w:highlight w:val="none"/>
          <w:u w:val="single"/>
        </w:rPr>
        <w:t>、</w:t>
      </w:r>
      <w:r>
        <w:rPr>
          <w:color w:val="auto"/>
          <w:sz w:val="21"/>
          <w:szCs w:val="21"/>
          <w:highlight w:val="none"/>
          <w:u w:val="single"/>
        </w:rPr>
        <w:t>扬尘控制</w:t>
      </w:r>
      <w:r>
        <w:rPr>
          <w:rFonts w:hint="eastAsia"/>
          <w:color w:val="auto"/>
          <w:sz w:val="21"/>
          <w:szCs w:val="21"/>
          <w:highlight w:val="none"/>
          <w:u w:val="single"/>
        </w:rPr>
        <w:t>、</w:t>
      </w:r>
      <w:r>
        <w:rPr>
          <w:color w:val="auto"/>
          <w:sz w:val="21"/>
          <w:szCs w:val="21"/>
          <w:highlight w:val="none"/>
          <w:u w:val="single"/>
        </w:rPr>
        <w:t>噪声控制</w:t>
      </w:r>
      <w:r>
        <w:rPr>
          <w:rFonts w:hint="eastAsia"/>
          <w:color w:val="auto"/>
          <w:sz w:val="21"/>
          <w:szCs w:val="21"/>
          <w:highlight w:val="none"/>
          <w:u w:val="single"/>
        </w:rPr>
        <w:t>符合有个规定</w:t>
      </w:r>
      <w:r>
        <w:rPr>
          <w:rFonts w:hint="eastAsia"/>
          <w:color w:val="auto"/>
          <w:sz w:val="21"/>
          <w:szCs w:val="21"/>
          <w:highlight w:val="none"/>
        </w:rPr>
        <w:t>。</w:t>
      </w:r>
    </w:p>
    <w:p w14:paraId="7B74ED56">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6</w:t>
      </w:r>
      <w:r>
        <w:rPr>
          <w:rFonts w:hint="eastAsia"/>
          <w:color w:val="auto"/>
          <w:sz w:val="21"/>
          <w:szCs w:val="21"/>
          <w:highlight w:val="none"/>
          <w:lang w:val="zh-CN"/>
        </w:rPr>
        <w:t>.</w:t>
      </w:r>
      <w:r>
        <w:rPr>
          <w:rFonts w:hint="eastAsia"/>
          <w:color w:val="auto"/>
          <w:sz w:val="21"/>
          <w:szCs w:val="21"/>
          <w:highlight w:val="none"/>
        </w:rPr>
        <w:t>承包人承诺按合同约定承担工程的实施、完成及缺陷修复。</w:t>
      </w:r>
    </w:p>
    <w:p w14:paraId="5879ECDB">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7</w:t>
      </w:r>
      <w:r>
        <w:rPr>
          <w:rFonts w:hint="eastAsia"/>
          <w:color w:val="auto"/>
          <w:sz w:val="21"/>
          <w:szCs w:val="21"/>
          <w:highlight w:val="none"/>
          <w:lang w:val="zh-CN"/>
        </w:rPr>
        <w:t>.</w:t>
      </w:r>
      <w:r>
        <w:rPr>
          <w:rFonts w:hint="eastAsia"/>
          <w:color w:val="auto"/>
          <w:sz w:val="21"/>
          <w:szCs w:val="21"/>
          <w:highlight w:val="none"/>
        </w:rPr>
        <w:t>发包人承诺按合同约定的条件、时间和方式向承包人支付合同价款。</w:t>
      </w:r>
    </w:p>
    <w:p w14:paraId="3A8921C7">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8</w:t>
      </w:r>
      <w:r>
        <w:rPr>
          <w:rFonts w:hint="eastAsia"/>
          <w:color w:val="auto"/>
          <w:sz w:val="21"/>
          <w:szCs w:val="21"/>
          <w:highlight w:val="none"/>
          <w:lang w:val="zh-CN"/>
        </w:rPr>
        <w:t>.</w:t>
      </w:r>
      <w:r>
        <w:rPr>
          <w:rFonts w:hint="eastAsia"/>
          <w:color w:val="auto"/>
          <w:sz w:val="21"/>
          <w:szCs w:val="21"/>
          <w:highlight w:val="none"/>
        </w:rPr>
        <w:t>承包人应按照监理人指示开工，工期为</w:t>
      </w:r>
      <w:r>
        <w:rPr>
          <w:rFonts w:hint="eastAsia"/>
          <w:color w:val="auto"/>
          <w:sz w:val="21"/>
          <w:szCs w:val="21"/>
          <w:highlight w:val="none"/>
          <w:u w:val="single"/>
        </w:rPr>
        <w:tab/>
      </w:r>
      <w:r>
        <w:rPr>
          <w:rFonts w:hint="eastAsia"/>
          <w:color w:val="auto"/>
          <w:sz w:val="21"/>
          <w:szCs w:val="21"/>
          <w:highlight w:val="none"/>
        </w:rPr>
        <w:t>日历天。</w:t>
      </w:r>
    </w:p>
    <w:p w14:paraId="76355930">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9</w:t>
      </w:r>
      <w:r>
        <w:rPr>
          <w:rFonts w:hint="eastAsia"/>
          <w:color w:val="auto"/>
          <w:sz w:val="21"/>
          <w:szCs w:val="21"/>
          <w:highlight w:val="none"/>
          <w:lang w:val="zh-CN"/>
        </w:rPr>
        <w:t>.</w:t>
      </w:r>
      <w:r>
        <w:rPr>
          <w:rFonts w:hint="eastAsia"/>
          <w:color w:val="auto"/>
          <w:sz w:val="21"/>
          <w:szCs w:val="21"/>
          <w:highlight w:val="none"/>
        </w:rPr>
        <w:t>本协议书在承包人提供履约保证金后，由双方法定代表人或其委托代理人签署并加盖单位章后生效。全部工程完工后经交工验收合格、缺陷责任期满签发缺陷责任终止证书后失效。</w:t>
      </w:r>
    </w:p>
    <w:p w14:paraId="54FA5E69">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10</w:t>
      </w:r>
      <w:r>
        <w:rPr>
          <w:rFonts w:hint="eastAsia"/>
          <w:color w:val="auto"/>
          <w:sz w:val="21"/>
          <w:szCs w:val="21"/>
          <w:highlight w:val="none"/>
          <w:lang w:val="zh-CN"/>
        </w:rPr>
        <w:t>.</w:t>
      </w:r>
      <w:r>
        <w:rPr>
          <w:rFonts w:hint="eastAsia"/>
          <w:color w:val="auto"/>
          <w:sz w:val="21"/>
          <w:szCs w:val="21"/>
          <w:highlight w:val="none"/>
        </w:rPr>
        <w:t>本协议书一式六份，合同双方各执三份。</w:t>
      </w:r>
    </w:p>
    <w:p w14:paraId="57F39A4E">
      <w:pPr>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sz w:val="21"/>
          <w:szCs w:val="21"/>
          <w:highlight w:val="none"/>
        </w:rPr>
      </w:pPr>
      <w:r>
        <w:rPr>
          <w:rFonts w:hint="eastAsia"/>
          <w:color w:val="auto"/>
          <w:sz w:val="21"/>
          <w:szCs w:val="21"/>
          <w:highlight w:val="none"/>
        </w:rPr>
        <w:t>11</w:t>
      </w:r>
      <w:r>
        <w:rPr>
          <w:rFonts w:hint="eastAsia"/>
          <w:color w:val="auto"/>
          <w:sz w:val="21"/>
          <w:szCs w:val="21"/>
          <w:highlight w:val="none"/>
          <w:lang w:val="zh-CN"/>
        </w:rPr>
        <w:t>.</w:t>
      </w:r>
      <w:r>
        <w:rPr>
          <w:rFonts w:hint="eastAsia"/>
          <w:color w:val="auto"/>
          <w:sz w:val="21"/>
          <w:szCs w:val="21"/>
          <w:highlight w:val="none"/>
        </w:rPr>
        <w:t>合同未尽事宜，双方另行签订补充协议。补充协议是合同的组成部分。</w:t>
      </w:r>
    </w:p>
    <w:p w14:paraId="75E764EB">
      <w:pPr>
        <w:pStyle w:val="13"/>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color w:val="auto"/>
          <w:highlight w:val="none"/>
        </w:rPr>
      </w:pPr>
    </w:p>
    <w:p w14:paraId="28BDAC02">
      <w:pPr>
        <w:pStyle w:val="13"/>
        <w:spacing w:before="7" w:line="500" w:lineRule="exact"/>
        <w:ind w:firstLine="442"/>
        <w:rPr>
          <w:color w:val="auto"/>
          <w:highlight w:val="none"/>
        </w:rPr>
      </w:pPr>
    </w:p>
    <w:p w14:paraId="43CBE807">
      <w:pPr>
        <w:pStyle w:val="13"/>
        <w:tabs>
          <w:tab w:val="left" w:pos="3151"/>
          <w:tab w:val="left" w:pos="4934"/>
          <w:tab w:val="left" w:pos="5174"/>
          <w:tab w:val="left" w:pos="7781"/>
        </w:tabs>
        <w:spacing w:line="500" w:lineRule="exact"/>
        <w:ind w:left="424" w:right="262" w:firstLine="442"/>
        <w:rPr>
          <w:color w:val="auto"/>
          <w:spacing w:val="-17"/>
          <w:highlight w:val="none"/>
        </w:rPr>
      </w:pPr>
      <w:r>
        <w:rPr>
          <w:rFonts w:hint="eastAsia"/>
          <w:color w:val="auto"/>
          <w:highlight w:val="none"/>
        </w:rPr>
        <w:t>发包人</w:t>
      </w:r>
      <w:r>
        <w:rPr>
          <w:rFonts w:hint="eastAsia"/>
          <w:color w:val="auto"/>
          <w:spacing w:val="-17"/>
          <w:highlight w:val="none"/>
        </w:rPr>
        <w:t>：</w:t>
      </w:r>
      <w:r>
        <w:rPr>
          <w:rFonts w:hint="eastAsia"/>
          <w:color w:val="auto"/>
          <w:highlight w:val="none"/>
        </w:rPr>
        <w:t>（盖单位章）                      承包人</w:t>
      </w:r>
      <w:r>
        <w:rPr>
          <w:rFonts w:hint="eastAsia"/>
          <w:color w:val="auto"/>
          <w:spacing w:val="-17"/>
          <w:highlight w:val="none"/>
        </w:rPr>
        <w:t>：</w:t>
      </w:r>
      <w:r>
        <w:rPr>
          <w:rFonts w:hint="eastAsia"/>
          <w:color w:val="auto"/>
          <w:highlight w:val="none"/>
        </w:rPr>
        <w:t>（盖单位章</w:t>
      </w:r>
      <w:r>
        <w:rPr>
          <w:rFonts w:hint="eastAsia"/>
          <w:color w:val="auto"/>
          <w:spacing w:val="-17"/>
          <w:highlight w:val="none"/>
        </w:rPr>
        <w:t xml:space="preserve">） </w:t>
      </w:r>
    </w:p>
    <w:p w14:paraId="0B219A7F">
      <w:pPr>
        <w:pStyle w:val="13"/>
        <w:tabs>
          <w:tab w:val="left" w:pos="3151"/>
          <w:tab w:val="left" w:pos="4934"/>
          <w:tab w:val="left" w:pos="5174"/>
          <w:tab w:val="left" w:pos="7781"/>
        </w:tabs>
        <w:spacing w:line="500" w:lineRule="exact"/>
        <w:ind w:left="424" w:right="37" w:firstLine="442"/>
        <w:rPr>
          <w:color w:val="auto"/>
          <w:highlight w:val="none"/>
        </w:rPr>
      </w:pPr>
      <w:r>
        <w:rPr>
          <w:rFonts w:hint="eastAsia"/>
          <w:color w:val="auto"/>
          <w:highlight w:val="none"/>
        </w:rPr>
        <w:t>法定代表人或其委托代理人</w:t>
      </w:r>
      <w:r>
        <w:rPr>
          <w:rFonts w:hint="eastAsia"/>
          <w:color w:val="auto"/>
          <w:spacing w:val="-17"/>
          <w:highlight w:val="none"/>
        </w:rPr>
        <w:t>：</w:t>
      </w:r>
      <w:r>
        <w:rPr>
          <w:rFonts w:hint="eastAsia"/>
          <w:color w:val="auto"/>
          <w:highlight w:val="none"/>
        </w:rPr>
        <w:t>（签字）        法定代表人或其委托代理人</w:t>
      </w:r>
      <w:r>
        <w:rPr>
          <w:rFonts w:hint="eastAsia"/>
          <w:color w:val="auto"/>
          <w:spacing w:val="-16"/>
          <w:highlight w:val="none"/>
        </w:rPr>
        <w:t>：</w:t>
      </w:r>
      <w:r>
        <w:rPr>
          <w:rFonts w:hint="eastAsia"/>
          <w:color w:val="auto"/>
          <w:highlight w:val="none"/>
        </w:rPr>
        <w:t>（签字</w:t>
      </w:r>
      <w:r>
        <w:rPr>
          <w:rFonts w:hint="eastAsia"/>
          <w:color w:val="auto"/>
          <w:spacing w:val="-17"/>
          <w:highlight w:val="none"/>
        </w:rPr>
        <w:t>）</w:t>
      </w:r>
    </w:p>
    <w:p w14:paraId="6382F0AD">
      <w:pPr>
        <w:pStyle w:val="13"/>
        <w:tabs>
          <w:tab w:val="left" w:pos="2344"/>
          <w:tab w:val="left" w:pos="3184"/>
          <w:tab w:val="left" w:pos="4024"/>
          <w:tab w:val="left" w:pos="5945"/>
          <w:tab w:val="left" w:pos="7025"/>
          <w:tab w:val="left" w:pos="7865"/>
          <w:tab w:val="left" w:pos="8705"/>
        </w:tabs>
        <w:spacing w:line="500" w:lineRule="exact"/>
        <w:ind w:left="1264" w:firstLine="442"/>
        <w:rPr>
          <w:color w:val="auto"/>
          <w:highlight w:val="none"/>
        </w:rPr>
        <w:sectPr>
          <w:pgSz w:w="11911" w:h="16849"/>
          <w:pgMar w:top="1417" w:right="1417" w:bottom="1417" w:left="1417" w:header="720" w:footer="720" w:gutter="0"/>
          <w:cols w:space="0" w:num="1"/>
          <w:rtlGutter w:val="0"/>
          <w:docGrid w:linePitch="0" w:charSpace="0"/>
        </w:sectPr>
      </w:pP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r>
        <w:rPr>
          <w:rFonts w:hint="eastAsia"/>
          <w:color w:val="auto"/>
          <w:highlight w:val="none"/>
        </w:rPr>
        <w:tab/>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14:paraId="70E7D77D">
      <w:pPr>
        <w:spacing w:line="420" w:lineRule="exact"/>
        <w:ind w:firstLine="480"/>
        <w:rPr>
          <w:b/>
          <w:color w:val="auto"/>
          <w:sz w:val="24"/>
          <w:highlight w:val="none"/>
        </w:rPr>
      </w:pPr>
      <w:r>
        <w:rPr>
          <w:rFonts w:hint="eastAsia"/>
          <w:b/>
          <w:color w:val="auto"/>
          <w:sz w:val="24"/>
          <w:highlight w:val="none"/>
        </w:rPr>
        <w:t>附件二：廉政合同</w:t>
      </w:r>
    </w:p>
    <w:p w14:paraId="2844A2B3">
      <w:pPr>
        <w:spacing w:line="420" w:lineRule="exact"/>
        <w:ind w:firstLine="640"/>
        <w:jc w:val="center"/>
        <w:rPr>
          <w:b/>
          <w:color w:val="auto"/>
          <w:sz w:val="21"/>
          <w:szCs w:val="21"/>
          <w:highlight w:val="none"/>
        </w:rPr>
      </w:pPr>
      <w:r>
        <w:rPr>
          <w:rFonts w:hint="eastAsia"/>
          <w:b/>
          <w:color w:val="auto"/>
          <w:sz w:val="32"/>
          <w:szCs w:val="32"/>
          <w:highlight w:val="none"/>
        </w:rPr>
        <w:t xml:space="preserve">  廉政合同</w:t>
      </w:r>
    </w:p>
    <w:p w14:paraId="170BE1AC">
      <w:pPr>
        <w:spacing w:line="500" w:lineRule="exact"/>
        <w:ind w:firstLine="420" w:firstLineChars="200"/>
        <w:rPr>
          <w:color w:val="auto"/>
          <w:sz w:val="21"/>
          <w:szCs w:val="21"/>
          <w:highlight w:val="none"/>
        </w:rPr>
      </w:pPr>
      <w:r>
        <w:rPr>
          <w:rFonts w:hint="eastAsia"/>
          <w:color w:val="auto"/>
          <w:sz w:val="21"/>
          <w:szCs w:val="21"/>
          <w:highlight w:val="none"/>
        </w:rPr>
        <w:t>根据国家以及地方有关廉政建设的规定，为做好公路养护项目中的党风廉政建设，保证养护质量高效优质，</w:t>
      </w:r>
      <w:r>
        <w:rPr>
          <w:rFonts w:hint="eastAsia"/>
          <w:color w:val="auto"/>
          <w:sz w:val="21"/>
          <w:szCs w:val="21"/>
          <w:highlight w:val="none"/>
          <w:u w:val="single"/>
        </w:rPr>
        <w:t xml:space="preserve">              </w:t>
      </w:r>
      <w:r>
        <w:rPr>
          <w:rFonts w:hint="eastAsia"/>
          <w:color w:val="auto"/>
          <w:sz w:val="21"/>
          <w:szCs w:val="21"/>
          <w:highlight w:val="none"/>
        </w:rPr>
        <w:t xml:space="preserve"> </w:t>
      </w:r>
      <w:r>
        <w:rPr>
          <w:color w:val="auto"/>
          <w:sz w:val="21"/>
          <w:szCs w:val="21"/>
          <w:highlight w:val="none"/>
        </w:rPr>
        <w:t>(项目名</w:t>
      </w:r>
      <w:r>
        <w:rPr>
          <w:rFonts w:hint="eastAsia"/>
          <w:color w:val="auto"/>
          <w:sz w:val="21"/>
          <w:szCs w:val="21"/>
          <w:highlight w:val="none"/>
        </w:rPr>
        <w:t>称</w:t>
      </w:r>
      <w:r>
        <w:rPr>
          <w:color w:val="auto"/>
          <w:sz w:val="21"/>
          <w:szCs w:val="21"/>
          <w:highlight w:val="none"/>
        </w:rPr>
        <w:t>)的发包人</w:t>
      </w:r>
      <w:r>
        <w:rPr>
          <w:rFonts w:hint="eastAsia"/>
          <w:color w:val="auto"/>
          <w:sz w:val="21"/>
          <w:szCs w:val="21"/>
          <w:highlight w:val="none"/>
          <w:u w:val="single"/>
        </w:rPr>
        <w:t xml:space="preserve">            </w:t>
      </w:r>
      <w:r>
        <w:rPr>
          <w:color w:val="auto"/>
          <w:sz w:val="21"/>
          <w:szCs w:val="21"/>
          <w:highlight w:val="none"/>
        </w:rPr>
        <w:t xml:space="preserve"> (发包人名称，以下简称“发包人”)与</w:t>
      </w:r>
      <w:r>
        <w:rPr>
          <w:rFonts w:hint="eastAsia"/>
          <w:color w:val="auto"/>
          <w:sz w:val="21"/>
          <w:szCs w:val="21"/>
          <w:highlight w:val="none"/>
        </w:rPr>
        <w:t xml:space="preserve"> </w:t>
      </w:r>
      <w:r>
        <w:rPr>
          <w:rFonts w:hint="eastAsia"/>
          <w:color w:val="auto"/>
          <w:sz w:val="21"/>
          <w:szCs w:val="21"/>
          <w:highlight w:val="none"/>
          <w:u w:val="single"/>
        </w:rPr>
        <w:t xml:space="preserve">   </w:t>
      </w:r>
      <w:r>
        <w:rPr>
          <w:color w:val="auto"/>
          <w:sz w:val="21"/>
          <w:szCs w:val="21"/>
          <w:highlight w:val="none"/>
          <w:u w:val="single"/>
        </w:rPr>
        <w:t>(该养护项目)</w:t>
      </w:r>
      <w:r>
        <w:rPr>
          <w:rFonts w:hint="eastAsia"/>
          <w:color w:val="auto"/>
          <w:sz w:val="21"/>
          <w:szCs w:val="21"/>
          <w:highlight w:val="none"/>
          <w:u w:val="single"/>
        </w:rPr>
        <w:t xml:space="preserve">    </w:t>
      </w:r>
      <w:r>
        <w:rPr>
          <w:color w:val="auto"/>
          <w:sz w:val="21"/>
          <w:szCs w:val="21"/>
          <w:highlight w:val="none"/>
        </w:rPr>
        <w:t>的</w:t>
      </w:r>
      <w:r>
        <w:rPr>
          <w:rFonts w:hint="eastAsia"/>
          <w:color w:val="auto"/>
          <w:sz w:val="21"/>
          <w:szCs w:val="21"/>
          <w:highlight w:val="none"/>
        </w:rPr>
        <w:t xml:space="preserve">承包人 </w:t>
      </w:r>
      <w:r>
        <w:rPr>
          <w:rFonts w:hint="eastAsia"/>
          <w:color w:val="auto"/>
          <w:sz w:val="21"/>
          <w:szCs w:val="21"/>
          <w:highlight w:val="none"/>
          <w:u w:val="single"/>
        </w:rPr>
        <w:t xml:space="preserve">            </w:t>
      </w:r>
      <w:r>
        <w:rPr>
          <w:rFonts w:hint="eastAsia"/>
          <w:color w:val="auto"/>
          <w:sz w:val="21"/>
          <w:szCs w:val="21"/>
          <w:highlight w:val="none"/>
        </w:rPr>
        <w:t>（承包人名称，以下简称“承包人”），特订立如下合同。</w:t>
      </w:r>
    </w:p>
    <w:p w14:paraId="64D8E8C1">
      <w:pPr>
        <w:spacing w:line="500" w:lineRule="exact"/>
        <w:ind w:firstLine="420" w:firstLineChars="200"/>
        <w:rPr>
          <w:color w:val="auto"/>
          <w:sz w:val="21"/>
          <w:szCs w:val="21"/>
          <w:highlight w:val="none"/>
        </w:rPr>
      </w:pPr>
      <w:r>
        <w:rPr>
          <w:rFonts w:hint="eastAsia"/>
          <w:color w:val="auto"/>
          <w:sz w:val="21"/>
          <w:szCs w:val="21"/>
          <w:highlight w:val="none"/>
        </w:rPr>
        <w:t>1.发包人和承包人双方的权利和义务</w:t>
      </w:r>
    </w:p>
    <w:p w14:paraId="26E35357">
      <w:pPr>
        <w:spacing w:line="500" w:lineRule="exact"/>
        <w:ind w:firstLine="210" w:firstLineChars="100"/>
        <w:rPr>
          <w:color w:val="auto"/>
          <w:sz w:val="21"/>
          <w:szCs w:val="21"/>
          <w:highlight w:val="none"/>
        </w:rPr>
      </w:pPr>
      <w:r>
        <w:rPr>
          <w:rFonts w:hint="eastAsia"/>
          <w:color w:val="auto"/>
          <w:sz w:val="21"/>
          <w:szCs w:val="21"/>
          <w:highlight w:val="none"/>
        </w:rPr>
        <w:t>（1）严格遵守党的政策规定和国家有关法律法规及交通运输部的有关规定。</w:t>
      </w:r>
    </w:p>
    <w:p w14:paraId="75EA804B">
      <w:pPr>
        <w:spacing w:line="500" w:lineRule="exact"/>
        <w:ind w:firstLine="210" w:firstLineChars="100"/>
        <w:rPr>
          <w:color w:val="auto"/>
          <w:sz w:val="21"/>
          <w:szCs w:val="21"/>
          <w:highlight w:val="none"/>
        </w:rPr>
      </w:pPr>
      <w:r>
        <w:rPr>
          <w:rFonts w:hint="eastAsia"/>
          <w:color w:val="auto"/>
          <w:sz w:val="21"/>
          <w:szCs w:val="21"/>
          <w:highlight w:val="none"/>
        </w:rPr>
        <w:t>（2）严格执行</w:t>
      </w:r>
      <w:r>
        <w:rPr>
          <w:rFonts w:hint="eastAsia"/>
          <w:color w:val="auto"/>
          <w:sz w:val="21"/>
          <w:szCs w:val="21"/>
          <w:highlight w:val="none"/>
          <w:u w:val="single"/>
        </w:rPr>
        <w:t xml:space="preserve">          </w:t>
      </w:r>
      <w:r>
        <w:rPr>
          <w:rFonts w:hint="eastAsia"/>
          <w:color w:val="auto"/>
          <w:sz w:val="21"/>
          <w:szCs w:val="21"/>
          <w:highlight w:val="none"/>
        </w:rPr>
        <w:t>（项目名称）养护合同文件，自觉按合同办事。</w:t>
      </w:r>
    </w:p>
    <w:p w14:paraId="386F6BF6">
      <w:pPr>
        <w:spacing w:line="500" w:lineRule="exact"/>
        <w:ind w:firstLine="210" w:firstLineChars="100"/>
        <w:rPr>
          <w:color w:val="auto"/>
          <w:sz w:val="21"/>
          <w:szCs w:val="21"/>
          <w:highlight w:val="none"/>
        </w:rPr>
      </w:pPr>
      <w:r>
        <w:rPr>
          <w:rFonts w:hint="eastAsia"/>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6B46FEB3">
      <w:pPr>
        <w:spacing w:line="500" w:lineRule="exact"/>
        <w:ind w:firstLine="210" w:firstLineChars="100"/>
        <w:rPr>
          <w:color w:val="auto"/>
          <w:sz w:val="21"/>
          <w:szCs w:val="21"/>
          <w:highlight w:val="none"/>
        </w:rPr>
      </w:pPr>
      <w:r>
        <w:rPr>
          <w:rFonts w:hint="eastAsia"/>
          <w:color w:val="auto"/>
          <w:sz w:val="21"/>
          <w:szCs w:val="21"/>
          <w:highlight w:val="none"/>
        </w:rPr>
        <w:t>（4）建立健全廉政制度，开展廉政教育，设立廉政告示牌，公布举报电话， 监督并认真查处违法违纪行为。</w:t>
      </w:r>
    </w:p>
    <w:p w14:paraId="7540F44F">
      <w:pPr>
        <w:spacing w:line="500" w:lineRule="exact"/>
        <w:ind w:firstLine="210" w:firstLineChars="100"/>
        <w:rPr>
          <w:color w:val="auto"/>
          <w:sz w:val="21"/>
          <w:szCs w:val="21"/>
          <w:highlight w:val="none"/>
        </w:rPr>
      </w:pPr>
      <w:r>
        <w:rPr>
          <w:rFonts w:hint="eastAsia"/>
          <w:color w:val="auto"/>
          <w:sz w:val="21"/>
          <w:szCs w:val="21"/>
          <w:highlight w:val="none"/>
        </w:rPr>
        <w:t>（5）发现对方在业务活动中有违反廉政规定的行为，有及时提醒对方纠正的权利和义务。</w:t>
      </w:r>
    </w:p>
    <w:p w14:paraId="2B36458C">
      <w:pPr>
        <w:spacing w:line="500" w:lineRule="exact"/>
        <w:ind w:firstLine="210" w:firstLineChars="100"/>
        <w:rPr>
          <w:color w:val="auto"/>
          <w:sz w:val="21"/>
          <w:szCs w:val="21"/>
          <w:highlight w:val="none"/>
        </w:rPr>
      </w:pPr>
      <w:r>
        <w:rPr>
          <w:rFonts w:hint="eastAsia"/>
          <w:color w:val="auto"/>
          <w:sz w:val="21"/>
          <w:szCs w:val="21"/>
          <w:highlight w:val="none"/>
        </w:rPr>
        <w:t>（6）发现对方严重违反本合同义务条款的行为，有向其上级有关部门举报、建议给予处理并要求告知处理结果的权利。</w:t>
      </w:r>
    </w:p>
    <w:p w14:paraId="161E5DD0">
      <w:pPr>
        <w:spacing w:line="500" w:lineRule="exact"/>
        <w:ind w:firstLine="420" w:firstLineChars="200"/>
        <w:rPr>
          <w:color w:val="auto"/>
          <w:sz w:val="21"/>
          <w:szCs w:val="21"/>
          <w:highlight w:val="none"/>
        </w:rPr>
      </w:pPr>
      <w:r>
        <w:rPr>
          <w:rFonts w:hint="eastAsia"/>
          <w:color w:val="auto"/>
          <w:sz w:val="21"/>
          <w:szCs w:val="21"/>
          <w:highlight w:val="none"/>
        </w:rPr>
        <w:t>2.发包人的义务</w:t>
      </w:r>
    </w:p>
    <w:p w14:paraId="221F48AA">
      <w:pPr>
        <w:spacing w:line="500" w:lineRule="exact"/>
        <w:ind w:firstLine="210" w:firstLineChars="100"/>
        <w:rPr>
          <w:color w:val="auto"/>
          <w:sz w:val="21"/>
          <w:szCs w:val="21"/>
          <w:highlight w:val="none"/>
        </w:rPr>
      </w:pPr>
      <w:r>
        <w:rPr>
          <w:rFonts w:hint="eastAsia"/>
          <w:color w:val="auto"/>
          <w:sz w:val="21"/>
          <w:szCs w:val="21"/>
          <w:highlight w:val="none"/>
        </w:rPr>
        <w:t>（1）发包人及其工作人员不得索要或接受承包人的礼金、有价证券和贵重物品，不得让承包人报销任何应由发包人或发包人工作人员个人支付的费用等。</w:t>
      </w:r>
    </w:p>
    <w:p w14:paraId="6DA7F78C">
      <w:pPr>
        <w:spacing w:line="500" w:lineRule="exact"/>
        <w:ind w:firstLine="210" w:firstLineChars="100"/>
        <w:rPr>
          <w:color w:val="auto"/>
          <w:sz w:val="21"/>
          <w:szCs w:val="21"/>
          <w:highlight w:val="none"/>
        </w:rPr>
      </w:pPr>
      <w:r>
        <w:rPr>
          <w:rFonts w:hint="eastAsia"/>
          <w:color w:val="auto"/>
          <w:sz w:val="21"/>
          <w:szCs w:val="21"/>
          <w:highlight w:val="none"/>
        </w:rPr>
        <w:t>（2）发包人工作人员不得参加承包人安排的超标准宴请和娱乐活动；不得接受承包人提供的通信工具、交通工具和高档办公用品等。</w:t>
      </w:r>
    </w:p>
    <w:p w14:paraId="20D56F5D">
      <w:pPr>
        <w:spacing w:line="500" w:lineRule="exact"/>
        <w:ind w:firstLine="210" w:firstLineChars="100"/>
        <w:rPr>
          <w:color w:val="auto"/>
          <w:sz w:val="21"/>
          <w:szCs w:val="21"/>
          <w:highlight w:val="none"/>
        </w:rPr>
      </w:pPr>
      <w:r>
        <w:rPr>
          <w:rFonts w:hint="eastAsia"/>
          <w:color w:val="auto"/>
          <w:sz w:val="21"/>
          <w:szCs w:val="21"/>
          <w:highlight w:val="none"/>
        </w:rPr>
        <w:t>（3）发包人及其工作人员不得要求或者接受承包人为其住房装修、婚丧嫁娶活动、配偶子女的工作安排以及出国出境、旅游等提供方便等。</w:t>
      </w:r>
    </w:p>
    <w:p w14:paraId="0728C387">
      <w:pPr>
        <w:spacing w:line="500" w:lineRule="exact"/>
        <w:ind w:firstLine="210" w:firstLineChars="100"/>
        <w:rPr>
          <w:color w:val="auto"/>
          <w:sz w:val="21"/>
          <w:szCs w:val="21"/>
          <w:highlight w:val="none"/>
        </w:rPr>
      </w:pPr>
      <w:r>
        <w:rPr>
          <w:rFonts w:hint="eastAsia"/>
          <w:color w:val="auto"/>
          <w:sz w:val="21"/>
          <w:szCs w:val="21"/>
          <w:highlight w:val="none"/>
        </w:rPr>
        <w:t>（4）发包人工作人员及其配偶、子女不得从事与发包人工程有关的材料设备供应、工程分包、劳务等经济活动等。</w:t>
      </w:r>
    </w:p>
    <w:p w14:paraId="19C82A88">
      <w:pPr>
        <w:spacing w:line="500" w:lineRule="exact"/>
        <w:ind w:firstLine="210" w:firstLineChars="100"/>
        <w:rPr>
          <w:color w:val="auto"/>
          <w:sz w:val="21"/>
          <w:szCs w:val="21"/>
          <w:highlight w:val="none"/>
        </w:rPr>
      </w:pPr>
      <w:r>
        <w:rPr>
          <w:rFonts w:hint="eastAsia"/>
          <w:color w:val="auto"/>
          <w:sz w:val="21"/>
          <w:szCs w:val="21"/>
          <w:highlight w:val="none"/>
        </w:rPr>
        <w:t>（5）发包人及其工作人员不得以任何理由向承包人推荐分包单位或推销材料，不得要求承包人购买合同规定外的材料和设备。</w:t>
      </w:r>
    </w:p>
    <w:p w14:paraId="0CD33217">
      <w:pPr>
        <w:spacing w:line="500" w:lineRule="exact"/>
        <w:ind w:firstLine="210" w:firstLineChars="100"/>
        <w:rPr>
          <w:color w:val="auto"/>
          <w:sz w:val="21"/>
          <w:szCs w:val="21"/>
          <w:highlight w:val="none"/>
        </w:rPr>
      </w:pPr>
      <w:r>
        <w:rPr>
          <w:rFonts w:hint="eastAsia"/>
          <w:color w:val="auto"/>
          <w:sz w:val="21"/>
          <w:szCs w:val="21"/>
          <w:highlight w:val="none"/>
        </w:rPr>
        <w:t>（6）发包人工作人员要秉公办事，不准营私舞弊，不准利用职权从事各种个人有偿中介活动和安排个人施工队伍。</w:t>
      </w:r>
    </w:p>
    <w:p w14:paraId="63774722">
      <w:pPr>
        <w:spacing w:line="500" w:lineRule="exact"/>
        <w:ind w:firstLine="420" w:firstLineChars="200"/>
        <w:rPr>
          <w:color w:val="auto"/>
          <w:sz w:val="21"/>
          <w:szCs w:val="21"/>
          <w:highlight w:val="none"/>
        </w:rPr>
      </w:pPr>
      <w:r>
        <w:rPr>
          <w:rFonts w:hint="eastAsia"/>
          <w:color w:val="auto"/>
          <w:sz w:val="21"/>
          <w:szCs w:val="21"/>
          <w:highlight w:val="none"/>
        </w:rPr>
        <w:t>3.承包人的义务</w:t>
      </w:r>
    </w:p>
    <w:p w14:paraId="5D554B6E">
      <w:pPr>
        <w:spacing w:line="500" w:lineRule="exact"/>
        <w:ind w:firstLine="210" w:firstLineChars="100"/>
        <w:rPr>
          <w:color w:val="auto"/>
          <w:sz w:val="21"/>
          <w:szCs w:val="21"/>
          <w:highlight w:val="none"/>
        </w:rPr>
      </w:pPr>
      <w:r>
        <w:rPr>
          <w:rFonts w:hint="eastAsia"/>
          <w:color w:val="auto"/>
          <w:sz w:val="21"/>
          <w:szCs w:val="21"/>
          <w:highlight w:val="none"/>
        </w:rPr>
        <w:t>（1）承包人不得以任何理由向发包人及其工作人员行贿或馈赠礼金、有价证券、贵重礼品。</w:t>
      </w:r>
    </w:p>
    <w:p w14:paraId="3071E4BC">
      <w:pPr>
        <w:spacing w:line="500" w:lineRule="exact"/>
        <w:ind w:firstLine="210" w:firstLineChars="100"/>
        <w:rPr>
          <w:color w:val="auto"/>
          <w:sz w:val="21"/>
          <w:szCs w:val="21"/>
          <w:highlight w:val="none"/>
        </w:rPr>
      </w:pPr>
      <w:r>
        <w:rPr>
          <w:rFonts w:hint="eastAsia"/>
          <w:color w:val="auto"/>
          <w:sz w:val="21"/>
          <w:szCs w:val="21"/>
          <w:highlight w:val="none"/>
        </w:rPr>
        <w:t>（2）承包人不得以任何名义为发包人及其工作人员报销应由发包人单位或个人支付的任何费用。</w:t>
      </w:r>
    </w:p>
    <w:p w14:paraId="565884DE">
      <w:pPr>
        <w:spacing w:line="500" w:lineRule="exact"/>
        <w:ind w:firstLine="210" w:firstLineChars="100"/>
        <w:rPr>
          <w:color w:val="auto"/>
          <w:sz w:val="21"/>
          <w:szCs w:val="21"/>
          <w:highlight w:val="none"/>
        </w:rPr>
      </w:pPr>
      <w:r>
        <w:rPr>
          <w:rFonts w:hint="eastAsia"/>
          <w:color w:val="auto"/>
          <w:sz w:val="21"/>
          <w:szCs w:val="21"/>
          <w:highlight w:val="none"/>
        </w:rPr>
        <w:t>（3）承包人不得以任何理由安排发包人工作人员参加超标准宴请及娱乐活动。</w:t>
      </w:r>
    </w:p>
    <w:p w14:paraId="0847315B">
      <w:pPr>
        <w:spacing w:line="500" w:lineRule="exact"/>
        <w:ind w:firstLine="210" w:firstLineChars="100"/>
        <w:rPr>
          <w:color w:val="auto"/>
          <w:sz w:val="21"/>
          <w:szCs w:val="21"/>
          <w:highlight w:val="none"/>
        </w:rPr>
      </w:pPr>
      <w:r>
        <w:rPr>
          <w:rFonts w:hint="eastAsia"/>
          <w:color w:val="auto"/>
          <w:sz w:val="21"/>
          <w:szCs w:val="21"/>
          <w:highlight w:val="none"/>
        </w:rPr>
        <w:t>（4）承包人不得为发包人单位和个人购置或提供通信工具、交通工具和高档办公用品等。</w:t>
      </w:r>
    </w:p>
    <w:p w14:paraId="14D4110E">
      <w:pPr>
        <w:spacing w:line="500" w:lineRule="exact"/>
        <w:ind w:firstLine="420" w:firstLineChars="200"/>
        <w:rPr>
          <w:color w:val="auto"/>
          <w:sz w:val="21"/>
          <w:szCs w:val="21"/>
          <w:highlight w:val="none"/>
        </w:rPr>
      </w:pPr>
      <w:r>
        <w:rPr>
          <w:rFonts w:hint="eastAsia"/>
          <w:color w:val="auto"/>
          <w:sz w:val="21"/>
          <w:szCs w:val="21"/>
          <w:highlight w:val="none"/>
        </w:rPr>
        <w:t>4.违约责任</w:t>
      </w:r>
    </w:p>
    <w:p w14:paraId="1BD8D27A">
      <w:pPr>
        <w:spacing w:line="500" w:lineRule="exact"/>
        <w:ind w:firstLine="210" w:firstLineChars="100"/>
        <w:rPr>
          <w:color w:val="auto"/>
          <w:sz w:val="21"/>
          <w:szCs w:val="21"/>
          <w:highlight w:val="none"/>
        </w:rPr>
      </w:pPr>
      <w:r>
        <w:rPr>
          <w:rFonts w:hint="eastAsia"/>
          <w:color w:val="auto"/>
          <w:sz w:val="21"/>
          <w:szCs w:val="21"/>
          <w:highlight w:val="none"/>
        </w:rPr>
        <w:t>（1）发包人及其工作人员违反本合同第 1、2 条，按管理权限，依据有关规定给予党纪、政纪或组织处理；涉嫌犯罪的，移交司法机关追究刑事责任；给承包人单位造成经济损失的，应予以赔偿。</w:t>
      </w:r>
    </w:p>
    <w:p w14:paraId="0E0997D3">
      <w:pPr>
        <w:spacing w:line="500" w:lineRule="exact"/>
        <w:ind w:firstLine="210" w:firstLineChars="100"/>
        <w:rPr>
          <w:color w:val="auto"/>
          <w:sz w:val="21"/>
          <w:szCs w:val="21"/>
          <w:highlight w:val="none"/>
        </w:rPr>
      </w:pPr>
      <w:r>
        <w:rPr>
          <w:rFonts w:hint="eastAsia"/>
          <w:color w:val="auto"/>
          <w:sz w:val="21"/>
          <w:szCs w:val="21"/>
          <w:highlight w:val="none"/>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73625B5">
      <w:pPr>
        <w:spacing w:line="500" w:lineRule="exact"/>
        <w:ind w:firstLine="420" w:firstLineChars="200"/>
        <w:rPr>
          <w:color w:val="auto"/>
          <w:sz w:val="21"/>
          <w:szCs w:val="21"/>
          <w:highlight w:val="none"/>
        </w:rPr>
      </w:pPr>
      <w:r>
        <w:rPr>
          <w:rFonts w:hint="eastAsia"/>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377BF05">
      <w:pPr>
        <w:spacing w:line="500" w:lineRule="exact"/>
        <w:ind w:firstLine="420" w:firstLineChars="200"/>
        <w:rPr>
          <w:color w:val="auto"/>
          <w:sz w:val="21"/>
          <w:szCs w:val="21"/>
          <w:highlight w:val="none"/>
        </w:rPr>
      </w:pPr>
      <w:r>
        <w:rPr>
          <w:rFonts w:hint="eastAsia"/>
          <w:color w:val="auto"/>
          <w:sz w:val="21"/>
          <w:szCs w:val="21"/>
          <w:highlight w:val="none"/>
        </w:rPr>
        <w:t>6.本合同有效期为发包人和承包人签署之日起至该工程项目竣工验收后止。</w:t>
      </w:r>
    </w:p>
    <w:p w14:paraId="26115CA6">
      <w:pPr>
        <w:spacing w:line="500" w:lineRule="exact"/>
        <w:ind w:firstLine="420" w:firstLineChars="200"/>
        <w:rPr>
          <w:color w:val="auto"/>
          <w:sz w:val="21"/>
          <w:szCs w:val="21"/>
          <w:highlight w:val="none"/>
        </w:rPr>
      </w:pPr>
      <w:r>
        <w:rPr>
          <w:rFonts w:hint="eastAsia"/>
          <w:color w:val="auto"/>
          <w:sz w:val="21"/>
          <w:szCs w:val="21"/>
          <w:highlight w:val="none"/>
        </w:rPr>
        <w:t>7.本合同作为</w:t>
      </w:r>
      <w:r>
        <w:rPr>
          <w:rFonts w:hint="eastAsia"/>
          <w:color w:val="auto"/>
          <w:sz w:val="21"/>
          <w:szCs w:val="21"/>
          <w:highlight w:val="none"/>
          <w:u w:val="single"/>
        </w:rPr>
        <w:t xml:space="preserve">         </w:t>
      </w:r>
      <w:r>
        <w:rPr>
          <w:rFonts w:hint="eastAsia"/>
          <w:color w:val="auto"/>
          <w:sz w:val="21"/>
          <w:szCs w:val="21"/>
          <w:highlight w:val="none"/>
        </w:rPr>
        <w:t>（项目名称）养护合同的附件，与养护合同具有同等的法律效力，自合同双方法定代表人或其委托的代理人签名并加盖</w:t>
      </w:r>
      <w:r>
        <w:rPr>
          <w:rFonts w:hint="eastAsia"/>
          <w:color w:val="auto"/>
          <w:sz w:val="21"/>
          <w:szCs w:val="21"/>
          <w:highlight w:val="none"/>
          <w:lang w:val="en-US" w:eastAsia="zh-CN"/>
        </w:rPr>
        <w:t>公章</w:t>
      </w:r>
      <w:r>
        <w:rPr>
          <w:rFonts w:hint="eastAsia"/>
          <w:color w:val="auto"/>
          <w:sz w:val="21"/>
          <w:szCs w:val="21"/>
          <w:highlight w:val="none"/>
        </w:rPr>
        <w:t>之日起生效。</w:t>
      </w:r>
    </w:p>
    <w:p w14:paraId="1D2F374F">
      <w:pPr>
        <w:spacing w:line="500" w:lineRule="exact"/>
        <w:ind w:firstLine="420" w:firstLineChars="200"/>
        <w:rPr>
          <w:color w:val="auto"/>
          <w:sz w:val="21"/>
          <w:szCs w:val="21"/>
          <w:highlight w:val="none"/>
        </w:rPr>
      </w:pPr>
      <w:r>
        <w:rPr>
          <w:rFonts w:hint="eastAsia"/>
          <w:color w:val="auto"/>
          <w:sz w:val="21"/>
          <w:szCs w:val="21"/>
          <w:highlight w:val="none"/>
        </w:rPr>
        <w:t>8.本协议书一式六份，合同双方各执三份。</w:t>
      </w:r>
    </w:p>
    <w:p w14:paraId="18FCF3BD">
      <w:pPr>
        <w:spacing w:line="500" w:lineRule="exact"/>
        <w:ind w:firstLine="420" w:firstLineChars="200"/>
        <w:rPr>
          <w:color w:val="auto"/>
          <w:sz w:val="21"/>
          <w:szCs w:val="21"/>
          <w:highlight w:val="none"/>
        </w:rPr>
      </w:pPr>
    </w:p>
    <w:p w14:paraId="0181844B">
      <w:pPr>
        <w:spacing w:line="500" w:lineRule="exact"/>
        <w:ind w:firstLine="562"/>
        <w:rPr>
          <w:color w:val="auto"/>
          <w:sz w:val="21"/>
          <w:szCs w:val="21"/>
          <w:highlight w:val="none"/>
        </w:rPr>
      </w:pPr>
    </w:p>
    <w:p w14:paraId="4F93E7A8">
      <w:pPr>
        <w:spacing w:line="500" w:lineRule="exact"/>
        <w:ind w:firstLine="420" w:firstLineChars="200"/>
        <w:rPr>
          <w:color w:val="auto"/>
          <w:sz w:val="21"/>
          <w:szCs w:val="21"/>
          <w:highlight w:val="none"/>
          <w:u w:val="single"/>
        </w:rPr>
      </w:pPr>
      <w:r>
        <w:rPr>
          <w:rFonts w:hint="eastAsia"/>
          <w:color w:val="auto"/>
          <w:sz w:val="21"/>
          <w:szCs w:val="21"/>
          <w:highlight w:val="none"/>
        </w:rPr>
        <w:t>发包人：                                    承包人</w:t>
      </w:r>
      <w:r>
        <w:rPr>
          <w:rFonts w:hint="eastAsia"/>
          <w:color w:val="auto"/>
          <w:spacing w:val="-17"/>
          <w:sz w:val="21"/>
          <w:szCs w:val="21"/>
          <w:highlight w:val="none"/>
        </w:rPr>
        <w:t>：</w:t>
      </w:r>
    </w:p>
    <w:p w14:paraId="1EBB4F9E">
      <w:pPr>
        <w:spacing w:line="500" w:lineRule="exact"/>
        <w:ind w:firstLine="1680" w:firstLineChars="800"/>
        <w:rPr>
          <w:color w:val="auto"/>
          <w:sz w:val="21"/>
          <w:szCs w:val="21"/>
          <w:highlight w:val="none"/>
        </w:rPr>
      </w:pPr>
      <w:r>
        <w:rPr>
          <w:rFonts w:hint="eastAsia"/>
          <w:color w:val="auto"/>
          <w:sz w:val="21"/>
          <w:szCs w:val="21"/>
          <w:highlight w:val="none"/>
        </w:rPr>
        <w:t>（盖单位章）                              （盖单位章）</w:t>
      </w:r>
    </w:p>
    <w:p w14:paraId="7EAD21F5">
      <w:pPr>
        <w:spacing w:line="500" w:lineRule="exact"/>
        <w:ind w:firstLine="420" w:firstLineChars="200"/>
        <w:rPr>
          <w:color w:val="auto"/>
          <w:sz w:val="21"/>
          <w:szCs w:val="21"/>
          <w:highlight w:val="none"/>
        </w:rPr>
      </w:pPr>
      <w:r>
        <w:rPr>
          <w:rFonts w:hint="eastAsia"/>
          <w:color w:val="auto"/>
          <w:sz w:val="21"/>
          <w:szCs w:val="21"/>
          <w:highlight w:val="none"/>
        </w:rPr>
        <w:t>法定代表人：                                 法定代表人：</w:t>
      </w:r>
    </w:p>
    <w:p w14:paraId="4DB649EC">
      <w:pPr>
        <w:spacing w:line="500" w:lineRule="exact"/>
        <w:ind w:firstLine="420" w:firstLineChars="200"/>
        <w:rPr>
          <w:color w:val="auto"/>
          <w:sz w:val="21"/>
          <w:szCs w:val="21"/>
          <w:highlight w:val="none"/>
        </w:rPr>
      </w:pPr>
      <w:r>
        <w:rPr>
          <w:rFonts w:hint="eastAsia"/>
          <w:color w:val="auto"/>
          <w:sz w:val="21"/>
          <w:szCs w:val="21"/>
          <w:highlight w:val="none"/>
        </w:rPr>
        <w:t>或其委托代理人：（签字）                     或其委托代理人：（签字）</w:t>
      </w:r>
    </w:p>
    <w:p w14:paraId="4B3FD819">
      <w:pPr>
        <w:spacing w:line="500" w:lineRule="exact"/>
        <w:ind w:firstLine="420" w:firstLineChars="200"/>
        <w:rPr>
          <w:color w:val="auto"/>
          <w:sz w:val="21"/>
          <w:szCs w:val="21"/>
          <w:highlight w:val="none"/>
        </w:rPr>
      </w:pPr>
      <w:r>
        <w:rPr>
          <w:rFonts w:hint="eastAsia"/>
          <w:color w:val="auto"/>
          <w:sz w:val="21"/>
          <w:szCs w:val="21"/>
          <w:highlight w:val="none"/>
        </w:rPr>
        <w:t xml:space="preserve">        年   月   日                               年   月    日</w:t>
      </w:r>
    </w:p>
    <w:p w14:paraId="7A4218C5">
      <w:pPr>
        <w:pStyle w:val="13"/>
        <w:ind w:firstLine="400"/>
        <w:rPr>
          <w:b/>
          <w:color w:val="auto"/>
          <w:sz w:val="20"/>
          <w:highlight w:val="none"/>
        </w:rPr>
      </w:pPr>
    </w:p>
    <w:p w14:paraId="496258E1">
      <w:pPr>
        <w:widowControl/>
        <w:spacing w:line="420" w:lineRule="exact"/>
        <w:rPr>
          <w:color w:val="auto"/>
          <w:sz w:val="24"/>
          <w:highlight w:val="none"/>
        </w:rPr>
      </w:pPr>
      <w:r>
        <w:rPr>
          <w:rFonts w:hint="eastAsia"/>
          <w:b/>
          <w:bCs/>
          <w:color w:val="auto"/>
          <w:sz w:val="24"/>
          <w:highlight w:val="none"/>
        </w:rPr>
        <w:t>附件三：安全生产合同</w:t>
      </w:r>
    </w:p>
    <w:p w14:paraId="3BD81565">
      <w:pPr>
        <w:widowControl/>
        <w:spacing w:line="420" w:lineRule="exact"/>
        <w:ind w:firstLine="643" w:firstLineChars="200"/>
        <w:jc w:val="center"/>
        <w:rPr>
          <w:b/>
          <w:color w:val="auto"/>
          <w:sz w:val="32"/>
          <w:szCs w:val="32"/>
          <w:highlight w:val="none"/>
        </w:rPr>
      </w:pPr>
      <w:r>
        <w:rPr>
          <w:rFonts w:hint="eastAsia"/>
          <w:b/>
          <w:color w:val="auto"/>
          <w:sz w:val="32"/>
          <w:szCs w:val="32"/>
          <w:highlight w:val="none"/>
        </w:rPr>
        <w:t>安全生产合同</w:t>
      </w:r>
    </w:p>
    <w:p w14:paraId="490921FA">
      <w:pPr>
        <w:widowControl/>
        <w:spacing w:line="420" w:lineRule="exact"/>
        <w:ind w:firstLine="643" w:firstLineChars="200"/>
        <w:jc w:val="center"/>
        <w:rPr>
          <w:b/>
          <w:color w:val="auto"/>
          <w:sz w:val="32"/>
          <w:szCs w:val="32"/>
          <w:highlight w:val="none"/>
        </w:rPr>
      </w:pPr>
    </w:p>
    <w:p w14:paraId="2B84A9D7">
      <w:pPr>
        <w:spacing w:line="500" w:lineRule="exact"/>
        <w:ind w:firstLine="420" w:firstLineChars="200"/>
        <w:rPr>
          <w:color w:val="auto"/>
          <w:sz w:val="21"/>
          <w:szCs w:val="21"/>
          <w:highlight w:val="none"/>
        </w:rPr>
      </w:pPr>
      <w:r>
        <w:rPr>
          <w:rFonts w:hint="eastAsia"/>
          <w:color w:val="auto"/>
          <w:sz w:val="21"/>
          <w:szCs w:val="21"/>
          <w:highlight w:val="none"/>
        </w:rPr>
        <w:t xml:space="preserve">为在 </w:t>
      </w:r>
      <w:r>
        <w:rPr>
          <w:rFonts w:hint="eastAsia"/>
          <w:color w:val="auto"/>
          <w:sz w:val="21"/>
          <w:szCs w:val="21"/>
          <w:highlight w:val="none"/>
          <w:u w:val="single"/>
        </w:rPr>
        <w:t xml:space="preserve">          </w:t>
      </w:r>
      <w:r>
        <w:rPr>
          <w:rFonts w:hint="eastAsia"/>
          <w:color w:val="auto"/>
          <w:sz w:val="21"/>
          <w:szCs w:val="21"/>
          <w:highlight w:val="none"/>
        </w:rPr>
        <w:t>（项目名称）养护合同的实施过程中创造安全、高效的养护作业环境，切实做好本项目的安全管理工作，本项目发包人</w:t>
      </w:r>
      <w:r>
        <w:rPr>
          <w:rFonts w:hint="eastAsia"/>
          <w:color w:val="auto"/>
          <w:sz w:val="21"/>
          <w:szCs w:val="21"/>
          <w:highlight w:val="none"/>
          <w:u w:val="single"/>
        </w:rPr>
        <w:t xml:space="preserve">      </w:t>
      </w:r>
      <w:r>
        <w:rPr>
          <w:rFonts w:hint="eastAsia"/>
          <w:color w:val="auto"/>
          <w:sz w:val="21"/>
          <w:szCs w:val="21"/>
          <w:highlight w:val="none"/>
        </w:rPr>
        <w:t>（发包人名称，以下简称“发包人”）与承包人</w:t>
      </w:r>
      <w:r>
        <w:rPr>
          <w:rFonts w:hint="eastAsia"/>
          <w:color w:val="auto"/>
          <w:sz w:val="21"/>
          <w:szCs w:val="21"/>
          <w:highlight w:val="none"/>
          <w:u w:val="single"/>
        </w:rPr>
        <w:t xml:space="preserve">        </w:t>
      </w:r>
      <w:r>
        <w:rPr>
          <w:rFonts w:hint="eastAsia"/>
          <w:color w:val="auto"/>
          <w:sz w:val="21"/>
          <w:szCs w:val="21"/>
          <w:highlight w:val="none"/>
        </w:rPr>
        <w:t xml:space="preserve">（承包人名称，以下简称“承包人”）特此签订安全生产合同。 </w:t>
      </w:r>
    </w:p>
    <w:p w14:paraId="567015FD">
      <w:pPr>
        <w:spacing w:line="500" w:lineRule="exact"/>
        <w:ind w:firstLine="420" w:firstLineChars="200"/>
        <w:rPr>
          <w:color w:val="auto"/>
          <w:sz w:val="21"/>
          <w:szCs w:val="21"/>
          <w:highlight w:val="none"/>
        </w:rPr>
      </w:pPr>
      <w:r>
        <w:rPr>
          <w:rFonts w:hint="eastAsia"/>
          <w:color w:val="auto"/>
          <w:sz w:val="21"/>
          <w:szCs w:val="21"/>
          <w:highlight w:val="none"/>
        </w:rPr>
        <w:t>1.发包人职责</w:t>
      </w:r>
    </w:p>
    <w:p w14:paraId="10422F8D">
      <w:pPr>
        <w:spacing w:line="500" w:lineRule="exact"/>
        <w:ind w:firstLine="210" w:firstLineChars="100"/>
        <w:rPr>
          <w:color w:val="auto"/>
          <w:sz w:val="21"/>
          <w:szCs w:val="21"/>
          <w:highlight w:val="none"/>
        </w:rPr>
      </w:pPr>
      <w:r>
        <w:rPr>
          <w:rFonts w:hint="eastAsia"/>
          <w:color w:val="auto"/>
          <w:sz w:val="21"/>
          <w:szCs w:val="21"/>
          <w:highlight w:val="none"/>
        </w:rPr>
        <w:t>（1）严格遵守国家有关安全生产的法律法规，认真执行工程承包合同中的有关安全要求。</w:t>
      </w:r>
    </w:p>
    <w:p w14:paraId="5433D420">
      <w:pPr>
        <w:spacing w:line="500" w:lineRule="exact"/>
        <w:ind w:firstLine="210" w:firstLineChars="100"/>
        <w:rPr>
          <w:color w:val="auto"/>
          <w:sz w:val="21"/>
          <w:szCs w:val="21"/>
          <w:highlight w:val="none"/>
        </w:rPr>
      </w:pPr>
      <w:r>
        <w:rPr>
          <w:rFonts w:hint="eastAsia"/>
          <w:color w:val="auto"/>
          <w:sz w:val="21"/>
          <w:szCs w:val="21"/>
          <w:highlight w:val="none"/>
        </w:rPr>
        <w:t>（2）按照“安全第一、预防为主、综合治理”和坚持“管生产必须管安全”的原则进行安全生产管理，做到生产与安全工作同时计划、布置、检查、总结和评比。</w:t>
      </w:r>
    </w:p>
    <w:p w14:paraId="1C2CBC00">
      <w:pPr>
        <w:spacing w:line="500" w:lineRule="exact"/>
        <w:ind w:firstLine="210" w:firstLineChars="100"/>
        <w:rPr>
          <w:color w:val="auto"/>
          <w:sz w:val="21"/>
          <w:szCs w:val="21"/>
          <w:highlight w:val="none"/>
        </w:rPr>
      </w:pPr>
      <w:r>
        <w:rPr>
          <w:rFonts w:hint="eastAsia"/>
          <w:color w:val="auto"/>
          <w:sz w:val="21"/>
          <w:szCs w:val="21"/>
          <w:highlight w:val="none"/>
        </w:rPr>
        <w:t>（3）重要的安全设施必须坚持与养护作业设备同时投入使用。</w:t>
      </w:r>
    </w:p>
    <w:p w14:paraId="4272C090">
      <w:pPr>
        <w:spacing w:line="500" w:lineRule="exact"/>
        <w:ind w:firstLine="210" w:firstLineChars="100"/>
        <w:rPr>
          <w:color w:val="auto"/>
          <w:sz w:val="21"/>
          <w:szCs w:val="21"/>
          <w:highlight w:val="none"/>
        </w:rPr>
      </w:pPr>
      <w:r>
        <w:rPr>
          <w:rFonts w:hint="eastAsia"/>
          <w:color w:val="auto"/>
          <w:sz w:val="21"/>
          <w:szCs w:val="21"/>
          <w:highlight w:val="none"/>
        </w:rPr>
        <w:t>（4）定期召开安全生产调度会，及时传达中央及地方有关安全生产的精神。</w:t>
      </w:r>
    </w:p>
    <w:p w14:paraId="64037597">
      <w:pPr>
        <w:spacing w:line="500" w:lineRule="exact"/>
        <w:ind w:firstLine="210" w:firstLineChars="100"/>
        <w:rPr>
          <w:color w:val="auto"/>
          <w:sz w:val="21"/>
          <w:szCs w:val="21"/>
          <w:highlight w:val="none"/>
        </w:rPr>
      </w:pPr>
      <w:r>
        <w:rPr>
          <w:rFonts w:hint="eastAsia"/>
          <w:color w:val="auto"/>
          <w:sz w:val="21"/>
          <w:szCs w:val="21"/>
          <w:highlight w:val="none"/>
        </w:rPr>
        <w:t>（5）组织对承包人养护作业场地进行安全生产检查，监督承包人及时处理发现的各种安全隐患。</w:t>
      </w:r>
    </w:p>
    <w:p w14:paraId="3B8DFFD1">
      <w:pPr>
        <w:spacing w:line="500" w:lineRule="exact"/>
        <w:ind w:firstLine="420" w:firstLineChars="200"/>
        <w:rPr>
          <w:color w:val="auto"/>
          <w:sz w:val="21"/>
          <w:szCs w:val="21"/>
          <w:highlight w:val="none"/>
        </w:rPr>
      </w:pPr>
      <w:r>
        <w:rPr>
          <w:rFonts w:hint="eastAsia"/>
          <w:color w:val="auto"/>
          <w:sz w:val="21"/>
          <w:szCs w:val="21"/>
          <w:highlight w:val="none"/>
        </w:rPr>
        <w:t>2.承包人职责</w:t>
      </w:r>
    </w:p>
    <w:p w14:paraId="3041CC07">
      <w:pPr>
        <w:spacing w:line="500" w:lineRule="exact"/>
        <w:ind w:firstLine="210" w:firstLineChars="100"/>
        <w:rPr>
          <w:color w:val="auto"/>
          <w:sz w:val="21"/>
          <w:szCs w:val="21"/>
          <w:highlight w:val="none"/>
        </w:rPr>
      </w:pPr>
      <w:r>
        <w:rPr>
          <w:rFonts w:hint="eastAsia"/>
          <w:color w:val="auto"/>
          <w:sz w:val="21"/>
          <w:szCs w:val="21"/>
          <w:highlight w:val="none"/>
        </w:rPr>
        <w:t>（1）严格遵守《中华人民共和国安全生产法》等国家有关安全生产的法律法规、《公路水运工程安全生产监督管理办法》、《公路养护作业安全规程》和《公路工程施工安全技术规范》等有关安全生产的规定。认真执行养护合同中的有关安全要求。</w:t>
      </w:r>
    </w:p>
    <w:p w14:paraId="712D5128">
      <w:pPr>
        <w:spacing w:line="500" w:lineRule="exact"/>
        <w:ind w:firstLine="210" w:firstLineChars="100"/>
        <w:rPr>
          <w:color w:val="auto"/>
          <w:sz w:val="21"/>
          <w:szCs w:val="21"/>
          <w:highlight w:val="none"/>
        </w:rPr>
      </w:pPr>
      <w:r>
        <w:rPr>
          <w:rFonts w:hint="eastAsia"/>
          <w:color w:val="auto"/>
          <w:sz w:val="21"/>
          <w:szCs w:val="21"/>
          <w:highlight w:val="none"/>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6C4146A">
      <w:pPr>
        <w:spacing w:line="500" w:lineRule="exact"/>
        <w:ind w:firstLine="210" w:firstLineChars="100"/>
        <w:rPr>
          <w:color w:val="auto"/>
          <w:sz w:val="21"/>
          <w:szCs w:val="21"/>
          <w:highlight w:val="none"/>
        </w:rPr>
      </w:pPr>
      <w:r>
        <w:rPr>
          <w:rFonts w:hint="eastAsia"/>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A47F7D4">
      <w:pPr>
        <w:spacing w:line="500" w:lineRule="exact"/>
        <w:ind w:firstLine="210" w:firstLineChars="100"/>
        <w:rPr>
          <w:color w:val="auto"/>
          <w:sz w:val="21"/>
          <w:szCs w:val="21"/>
          <w:highlight w:val="none"/>
        </w:rPr>
      </w:pPr>
      <w:r>
        <w:rPr>
          <w:rFonts w:hint="eastAsia"/>
          <w:color w:val="auto"/>
          <w:sz w:val="21"/>
          <w:szCs w:val="21"/>
          <w:highlight w:val="none"/>
        </w:rPr>
        <w:t>（4）承包人在任何时候都应采取各种合理的预防措施，防止其员工发生任何违法、违禁、暴力或妨碍治安的行为。</w:t>
      </w:r>
    </w:p>
    <w:p w14:paraId="6AD3C79F">
      <w:pPr>
        <w:spacing w:line="500" w:lineRule="exact"/>
        <w:ind w:firstLine="210" w:firstLineChars="100"/>
        <w:rPr>
          <w:color w:val="auto"/>
          <w:sz w:val="21"/>
          <w:szCs w:val="21"/>
          <w:highlight w:val="none"/>
        </w:rPr>
      </w:pPr>
      <w:r>
        <w:rPr>
          <w:rFonts w:hint="eastAsia"/>
          <w:color w:val="auto"/>
          <w:sz w:val="21"/>
          <w:szCs w:val="21"/>
          <w:highlight w:val="none"/>
        </w:rPr>
        <w:t>（5）承包人参加养护作业实施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养护作业场地如出现特种作业无证操作现象时，项目经理必须承担管理责任。</w:t>
      </w:r>
    </w:p>
    <w:p w14:paraId="7964201F">
      <w:pPr>
        <w:spacing w:line="500" w:lineRule="exact"/>
        <w:ind w:firstLine="210" w:firstLineChars="100"/>
        <w:rPr>
          <w:color w:val="auto"/>
          <w:sz w:val="21"/>
          <w:szCs w:val="21"/>
          <w:highlight w:val="none"/>
        </w:rPr>
      </w:pPr>
      <w:r>
        <w:rPr>
          <w:rFonts w:hint="eastAsia"/>
          <w:color w:val="auto"/>
          <w:sz w:val="21"/>
          <w:szCs w:val="21"/>
          <w:highlight w:val="none"/>
        </w:rPr>
        <w:t>（6）对于易燃易爆的材料除应专门妥善保管之外，还应配备有足够的消防设施，所有养护人员都应熟悉消防设备的性能和使用方法；承包人不得将任何种类的爆炸物给予、易货或以其他方式转让给任何其他人，或允许、容忍上述同样行为。</w:t>
      </w:r>
    </w:p>
    <w:p w14:paraId="33F2D19B">
      <w:pPr>
        <w:spacing w:line="500" w:lineRule="exact"/>
        <w:ind w:firstLine="210" w:firstLineChars="100"/>
        <w:rPr>
          <w:color w:val="auto"/>
          <w:sz w:val="21"/>
          <w:szCs w:val="21"/>
          <w:highlight w:val="none"/>
        </w:rPr>
      </w:pPr>
      <w:r>
        <w:rPr>
          <w:rFonts w:hint="eastAsia"/>
          <w:color w:val="auto"/>
          <w:sz w:val="21"/>
          <w:szCs w:val="21"/>
          <w:highlight w:val="none"/>
        </w:rPr>
        <w:t>（7）操作人员上岗，必须按规定穿戴防护用品。养护项目负责人和安全检查员应随时检查劳动防护用品的穿戴情况，不按规定穿戴防护用品的人员不得上岗。</w:t>
      </w:r>
    </w:p>
    <w:p w14:paraId="70E90041">
      <w:pPr>
        <w:spacing w:line="500" w:lineRule="exact"/>
        <w:ind w:firstLine="210" w:firstLineChars="100"/>
        <w:rPr>
          <w:color w:val="auto"/>
          <w:sz w:val="21"/>
          <w:szCs w:val="21"/>
          <w:highlight w:val="none"/>
        </w:rPr>
      </w:pPr>
      <w:r>
        <w:rPr>
          <w:rFonts w:hint="eastAsia"/>
          <w:color w:val="auto"/>
          <w:sz w:val="21"/>
          <w:szCs w:val="21"/>
          <w:highlight w:val="none"/>
        </w:rPr>
        <w:t>（8）所有养护作业机具设备和高空作业的设备均应定期检查，并有安全员的签字记录，保证其经常处于完好状态；不合格的机具、设备和劳动保护用品严禁使用。</w:t>
      </w:r>
    </w:p>
    <w:p w14:paraId="598251D8">
      <w:pPr>
        <w:spacing w:line="500" w:lineRule="exact"/>
        <w:ind w:firstLine="210" w:firstLineChars="100"/>
        <w:rPr>
          <w:color w:val="auto"/>
          <w:sz w:val="21"/>
          <w:szCs w:val="21"/>
          <w:highlight w:val="none"/>
        </w:rPr>
      </w:pPr>
      <w:r>
        <w:rPr>
          <w:rFonts w:hint="eastAsia"/>
          <w:color w:val="auto"/>
          <w:sz w:val="21"/>
          <w:szCs w:val="21"/>
          <w:highlight w:val="none"/>
        </w:rPr>
        <w:t>（9）养护作业中采用新技术、新工艺、新设备、新材料时，必须制定相应的安全技术措施，养护作业现场必须具有相关的安全标志牌。</w:t>
      </w:r>
    </w:p>
    <w:p w14:paraId="7443C4A7">
      <w:pPr>
        <w:spacing w:line="500" w:lineRule="exact"/>
        <w:ind w:firstLine="210" w:firstLineChars="100"/>
        <w:rPr>
          <w:color w:val="auto"/>
          <w:sz w:val="21"/>
          <w:szCs w:val="21"/>
          <w:highlight w:val="none"/>
        </w:rPr>
      </w:pPr>
      <w:r>
        <w:rPr>
          <w:rFonts w:hint="eastAsia"/>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7F0309D">
      <w:pPr>
        <w:spacing w:line="500" w:lineRule="exact"/>
        <w:ind w:firstLine="210" w:firstLineChars="100"/>
        <w:rPr>
          <w:color w:val="auto"/>
          <w:sz w:val="21"/>
          <w:szCs w:val="21"/>
          <w:highlight w:val="none"/>
        </w:rPr>
      </w:pPr>
      <w:r>
        <w:rPr>
          <w:rFonts w:hint="eastAsia"/>
          <w:color w:val="auto"/>
          <w:sz w:val="21"/>
          <w:szCs w:val="21"/>
          <w:highlight w:val="none"/>
        </w:rPr>
        <w:t>（11）安全生产费用按照《公路水运工程安全生产监督管理办法》的相关规定使用和管理。</w:t>
      </w:r>
    </w:p>
    <w:p w14:paraId="6E17FA5C">
      <w:pPr>
        <w:spacing w:line="500" w:lineRule="exact"/>
        <w:ind w:firstLine="420" w:firstLineChars="200"/>
        <w:rPr>
          <w:color w:val="auto"/>
          <w:sz w:val="21"/>
          <w:szCs w:val="21"/>
          <w:highlight w:val="none"/>
        </w:rPr>
      </w:pPr>
      <w:r>
        <w:rPr>
          <w:rFonts w:hint="eastAsia"/>
          <w:color w:val="auto"/>
          <w:sz w:val="21"/>
          <w:szCs w:val="21"/>
          <w:highlight w:val="none"/>
        </w:rPr>
        <w:t>3.违约责任</w:t>
      </w:r>
    </w:p>
    <w:p w14:paraId="5F48B9DC">
      <w:pPr>
        <w:spacing w:line="500" w:lineRule="exact"/>
        <w:ind w:firstLine="420" w:firstLineChars="200"/>
        <w:rPr>
          <w:color w:val="auto"/>
          <w:sz w:val="21"/>
          <w:szCs w:val="21"/>
          <w:highlight w:val="none"/>
        </w:rPr>
      </w:pPr>
      <w:r>
        <w:rPr>
          <w:rFonts w:hint="eastAsia"/>
          <w:color w:val="auto"/>
          <w:sz w:val="21"/>
          <w:szCs w:val="21"/>
          <w:highlight w:val="none"/>
        </w:rPr>
        <w:t>如因发包人或承包人违约造成安全事故，应赔偿对方收到的全部损失并依法追究责任。</w:t>
      </w:r>
    </w:p>
    <w:p w14:paraId="0C40F37B">
      <w:pPr>
        <w:spacing w:line="500" w:lineRule="exact"/>
        <w:ind w:firstLine="420" w:firstLineChars="200"/>
        <w:rPr>
          <w:color w:val="auto"/>
          <w:sz w:val="21"/>
          <w:szCs w:val="21"/>
          <w:highlight w:val="none"/>
        </w:rPr>
      </w:pPr>
      <w:r>
        <w:rPr>
          <w:rFonts w:hint="eastAsia"/>
          <w:color w:val="auto"/>
          <w:sz w:val="21"/>
          <w:szCs w:val="21"/>
          <w:highlight w:val="none"/>
        </w:rPr>
        <w:t>4.本合同由双方法定代表人或其授权的代理人签署并加盖单位章后生效， 全部工程竣工验收后失效。</w:t>
      </w:r>
    </w:p>
    <w:p w14:paraId="35E110FD">
      <w:pPr>
        <w:spacing w:line="500" w:lineRule="exact"/>
        <w:ind w:firstLine="420" w:firstLineChars="200"/>
        <w:rPr>
          <w:color w:val="auto"/>
          <w:sz w:val="21"/>
          <w:szCs w:val="21"/>
          <w:highlight w:val="none"/>
        </w:rPr>
      </w:pPr>
      <w:r>
        <w:rPr>
          <w:rFonts w:hint="eastAsia"/>
          <w:color w:val="auto"/>
          <w:sz w:val="21"/>
          <w:szCs w:val="21"/>
          <w:highlight w:val="none"/>
        </w:rPr>
        <w:t>5.本合同一式六份，由发包人和承包人各执三份。</w:t>
      </w:r>
    </w:p>
    <w:p w14:paraId="45D8E92D">
      <w:pPr>
        <w:spacing w:line="500" w:lineRule="exact"/>
        <w:ind w:firstLine="210" w:firstLineChars="100"/>
        <w:rPr>
          <w:color w:val="auto"/>
          <w:sz w:val="21"/>
          <w:szCs w:val="21"/>
          <w:highlight w:val="none"/>
          <w:u w:val="single"/>
        </w:rPr>
      </w:pPr>
      <w:r>
        <w:rPr>
          <w:rFonts w:hint="eastAsia"/>
          <w:color w:val="auto"/>
          <w:sz w:val="21"/>
          <w:szCs w:val="21"/>
          <w:highlight w:val="none"/>
        </w:rPr>
        <w:t>发包人：                                     承包人：</w:t>
      </w:r>
    </w:p>
    <w:p w14:paraId="60C1FFE0">
      <w:pPr>
        <w:spacing w:line="500" w:lineRule="exact"/>
        <w:ind w:firstLine="1680" w:firstLineChars="800"/>
        <w:rPr>
          <w:color w:val="auto"/>
          <w:sz w:val="21"/>
          <w:szCs w:val="21"/>
          <w:highlight w:val="none"/>
        </w:rPr>
      </w:pPr>
      <w:r>
        <w:rPr>
          <w:rFonts w:hint="eastAsia"/>
          <w:color w:val="auto"/>
          <w:sz w:val="21"/>
          <w:szCs w:val="21"/>
          <w:highlight w:val="none"/>
        </w:rPr>
        <w:t>（盖单位章）                              （盖单位章）</w:t>
      </w:r>
    </w:p>
    <w:p w14:paraId="5785A2C1">
      <w:pPr>
        <w:spacing w:line="500" w:lineRule="exact"/>
        <w:ind w:firstLine="210" w:firstLineChars="100"/>
        <w:rPr>
          <w:color w:val="auto"/>
          <w:sz w:val="21"/>
          <w:szCs w:val="21"/>
          <w:highlight w:val="none"/>
        </w:rPr>
      </w:pPr>
      <w:r>
        <w:rPr>
          <w:rFonts w:hint="eastAsia"/>
          <w:color w:val="auto"/>
          <w:sz w:val="21"/>
          <w:szCs w:val="21"/>
          <w:highlight w:val="none"/>
        </w:rPr>
        <w:t>法定代表人：                                 法定代表人：</w:t>
      </w:r>
    </w:p>
    <w:p w14:paraId="0797D101">
      <w:pPr>
        <w:spacing w:line="500" w:lineRule="exact"/>
        <w:ind w:firstLine="210" w:firstLineChars="100"/>
        <w:rPr>
          <w:color w:val="auto"/>
          <w:sz w:val="21"/>
          <w:szCs w:val="21"/>
          <w:highlight w:val="none"/>
        </w:rPr>
      </w:pPr>
      <w:r>
        <w:rPr>
          <w:rFonts w:hint="eastAsia"/>
          <w:color w:val="auto"/>
          <w:sz w:val="21"/>
          <w:szCs w:val="21"/>
          <w:highlight w:val="none"/>
        </w:rPr>
        <w:t>或其委托代理人：（签字）                     或其委托代理人：（签字）</w:t>
      </w:r>
    </w:p>
    <w:p w14:paraId="4F0B0CFF">
      <w:pPr>
        <w:spacing w:line="500" w:lineRule="exact"/>
        <w:ind w:firstLine="420" w:firstLineChars="200"/>
        <w:rPr>
          <w:color w:val="auto"/>
          <w:sz w:val="21"/>
          <w:szCs w:val="21"/>
          <w:highlight w:val="none"/>
        </w:rPr>
      </w:pPr>
      <w:r>
        <w:rPr>
          <w:rFonts w:hint="eastAsia"/>
          <w:color w:val="auto"/>
          <w:sz w:val="21"/>
          <w:szCs w:val="21"/>
          <w:highlight w:val="none"/>
        </w:rPr>
        <w:t>年   月   日                                   年   月    日</w:t>
      </w:r>
    </w:p>
    <w:p w14:paraId="15C2F0A2">
      <w:pPr>
        <w:tabs>
          <w:tab w:val="left" w:pos="1080"/>
        </w:tabs>
        <w:spacing w:line="280" w:lineRule="exact"/>
        <w:rPr>
          <w:color w:val="auto"/>
          <w:szCs w:val="21"/>
          <w:highlight w:val="none"/>
        </w:rPr>
      </w:pPr>
      <w:r>
        <w:rPr>
          <w:rFonts w:hint="eastAsia"/>
          <w:color w:val="auto"/>
          <w:szCs w:val="21"/>
          <w:highlight w:val="none"/>
        </w:rPr>
        <w:br w:type="page"/>
      </w:r>
    </w:p>
    <w:p w14:paraId="0CADD50F">
      <w:pPr>
        <w:spacing w:before="41" w:line="186" w:lineRule="auto"/>
        <w:ind w:firstLine="420"/>
        <w:rPr>
          <w:rFonts w:ascii="微软雅黑" w:hAnsi="微软雅黑" w:eastAsia="微软雅黑" w:cs="微软雅黑"/>
          <w:color w:val="auto"/>
          <w:sz w:val="21"/>
          <w:szCs w:val="21"/>
          <w:highlight w:val="none"/>
        </w:rPr>
      </w:pPr>
    </w:p>
    <w:p w14:paraId="6DBCED84">
      <w:pPr>
        <w:spacing w:before="41" w:line="186" w:lineRule="auto"/>
        <w:ind w:left="12" w:firstLine="420"/>
        <w:rPr>
          <w:b/>
          <w:bCs/>
          <w:color w:val="auto"/>
          <w:sz w:val="28"/>
          <w:szCs w:val="28"/>
          <w:highlight w:val="none"/>
        </w:rPr>
      </w:pPr>
      <w:r>
        <w:rPr>
          <w:rFonts w:hint="eastAsia"/>
          <w:b/>
          <w:bCs/>
          <w:color w:val="auto"/>
          <w:sz w:val="28"/>
          <w:szCs w:val="28"/>
          <w:highlight w:val="none"/>
        </w:rPr>
        <w:t>附件四其他主要管理人员和技术人员最低要求</w:t>
      </w:r>
    </w:p>
    <w:p w14:paraId="0F14CDCA">
      <w:pPr>
        <w:spacing w:line="238" w:lineRule="exact"/>
        <w:ind w:firstLine="420"/>
        <w:rPr>
          <w:color w:val="auto"/>
          <w:highlight w:val="none"/>
        </w:rPr>
      </w:pPr>
    </w:p>
    <w:tbl>
      <w:tblPr>
        <w:tblStyle w:val="31"/>
        <w:tblW w:w="8458"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3"/>
        <w:gridCol w:w="1745"/>
        <w:gridCol w:w="4040"/>
      </w:tblGrid>
      <w:tr w14:paraId="037D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673" w:type="dxa"/>
          </w:tcPr>
          <w:p w14:paraId="2AAC497C">
            <w:pPr>
              <w:pStyle w:val="34"/>
              <w:spacing w:before="230" w:line="186" w:lineRule="auto"/>
              <w:jc w:val="center"/>
              <w:rPr>
                <w:color w:val="auto"/>
                <w:sz w:val="21"/>
                <w:szCs w:val="21"/>
                <w:highlight w:val="none"/>
              </w:rPr>
            </w:pPr>
            <w:r>
              <w:rPr>
                <w:color w:val="auto"/>
                <w:sz w:val="21"/>
                <w:szCs w:val="21"/>
                <w:highlight w:val="none"/>
              </w:rPr>
              <w:t>人员</w:t>
            </w:r>
          </w:p>
        </w:tc>
        <w:tc>
          <w:tcPr>
            <w:tcW w:w="1745" w:type="dxa"/>
          </w:tcPr>
          <w:p w14:paraId="694E5C50">
            <w:pPr>
              <w:pStyle w:val="34"/>
              <w:spacing w:before="231" w:line="185" w:lineRule="auto"/>
              <w:jc w:val="center"/>
              <w:rPr>
                <w:color w:val="auto"/>
                <w:sz w:val="21"/>
                <w:szCs w:val="21"/>
                <w:highlight w:val="none"/>
              </w:rPr>
            </w:pPr>
            <w:r>
              <w:rPr>
                <w:color w:val="auto"/>
                <w:sz w:val="21"/>
                <w:szCs w:val="21"/>
                <w:highlight w:val="none"/>
              </w:rPr>
              <w:t>数量</w:t>
            </w:r>
          </w:p>
        </w:tc>
        <w:tc>
          <w:tcPr>
            <w:tcW w:w="4040" w:type="dxa"/>
          </w:tcPr>
          <w:p w14:paraId="45582541">
            <w:pPr>
              <w:pStyle w:val="34"/>
              <w:spacing w:before="231" w:line="186" w:lineRule="auto"/>
              <w:jc w:val="center"/>
              <w:rPr>
                <w:color w:val="auto"/>
                <w:sz w:val="21"/>
                <w:szCs w:val="21"/>
                <w:highlight w:val="none"/>
              </w:rPr>
            </w:pPr>
            <w:r>
              <w:rPr>
                <w:color w:val="auto"/>
                <w:sz w:val="21"/>
                <w:szCs w:val="21"/>
                <w:highlight w:val="none"/>
              </w:rPr>
              <w:t>资格要求</w:t>
            </w:r>
          </w:p>
        </w:tc>
      </w:tr>
      <w:tr w14:paraId="7AAB7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2673" w:type="dxa"/>
            <w:vAlign w:val="center"/>
          </w:tcPr>
          <w:p w14:paraId="6BE03675">
            <w:pPr>
              <w:widowControl/>
              <w:jc w:val="center"/>
              <w:rPr>
                <w:color w:val="auto"/>
                <w:sz w:val="21"/>
                <w:szCs w:val="21"/>
                <w:highlight w:val="none"/>
              </w:rPr>
            </w:pPr>
            <w:r>
              <w:rPr>
                <w:rFonts w:hint="eastAsia"/>
                <w:bCs/>
                <w:color w:val="auto"/>
                <w:sz w:val="21"/>
                <w:szCs w:val="21"/>
                <w:highlight w:val="none"/>
              </w:rPr>
              <w:t>专职安全员</w:t>
            </w:r>
          </w:p>
        </w:tc>
        <w:tc>
          <w:tcPr>
            <w:tcW w:w="1745" w:type="dxa"/>
            <w:vAlign w:val="center"/>
          </w:tcPr>
          <w:p w14:paraId="1F0FEBFF">
            <w:pPr>
              <w:widowControl/>
              <w:jc w:val="center"/>
              <w:rPr>
                <w:color w:val="auto"/>
                <w:sz w:val="21"/>
                <w:szCs w:val="21"/>
                <w:highlight w:val="none"/>
              </w:rPr>
            </w:pPr>
            <w:r>
              <w:rPr>
                <w:rFonts w:hint="eastAsia"/>
                <w:bCs/>
                <w:color w:val="auto"/>
                <w:sz w:val="21"/>
                <w:szCs w:val="21"/>
                <w:highlight w:val="none"/>
              </w:rPr>
              <w:t>1</w:t>
            </w:r>
          </w:p>
        </w:tc>
        <w:tc>
          <w:tcPr>
            <w:tcW w:w="4040" w:type="dxa"/>
            <w:vAlign w:val="center"/>
          </w:tcPr>
          <w:p w14:paraId="29AB4387">
            <w:pPr>
              <w:widowControl/>
              <w:rPr>
                <w:color w:val="auto"/>
                <w:sz w:val="21"/>
                <w:szCs w:val="21"/>
                <w:highlight w:val="none"/>
              </w:rPr>
            </w:pPr>
            <w:r>
              <w:rPr>
                <w:rFonts w:hint="eastAsia"/>
                <w:color w:val="auto"/>
                <w:sz w:val="21"/>
                <w:szCs w:val="21"/>
                <w:highlight w:val="none"/>
              </w:rPr>
              <w:t>具有省级（或以上）交通主管部门或建设行政主管部门颁发的《安全生产考核合格证书》C证。</w:t>
            </w:r>
          </w:p>
        </w:tc>
      </w:tr>
      <w:tr w14:paraId="4B983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2673" w:type="dxa"/>
          </w:tcPr>
          <w:p w14:paraId="2594A44C">
            <w:pPr>
              <w:ind w:firstLine="420"/>
              <w:rPr>
                <w:rFonts w:ascii="Arial"/>
                <w:color w:val="auto"/>
                <w:sz w:val="21"/>
                <w:highlight w:val="none"/>
              </w:rPr>
            </w:pPr>
          </w:p>
        </w:tc>
        <w:tc>
          <w:tcPr>
            <w:tcW w:w="1745" w:type="dxa"/>
          </w:tcPr>
          <w:p w14:paraId="6E4EDF9A">
            <w:pPr>
              <w:ind w:firstLine="420"/>
              <w:rPr>
                <w:rFonts w:ascii="Arial"/>
                <w:color w:val="auto"/>
                <w:sz w:val="21"/>
                <w:highlight w:val="none"/>
              </w:rPr>
            </w:pPr>
          </w:p>
        </w:tc>
        <w:tc>
          <w:tcPr>
            <w:tcW w:w="4040" w:type="dxa"/>
          </w:tcPr>
          <w:p w14:paraId="6F92AA77">
            <w:pPr>
              <w:ind w:firstLine="420"/>
              <w:rPr>
                <w:rFonts w:ascii="Arial"/>
                <w:color w:val="auto"/>
                <w:sz w:val="21"/>
                <w:highlight w:val="none"/>
              </w:rPr>
            </w:pPr>
          </w:p>
        </w:tc>
      </w:tr>
      <w:tr w14:paraId="2961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trPr>
        <w:tc>
          <w:tcPr>
            <w:tcW w:w="2673" w:type="dxa"/>
          </w:tcPr>
          <w:p w14:paraId="1E5C4DE3">
            <w:pPr>
              <w:ind w:firstLine="420"/>
              <w:rPr>
                <w:rFonts w:ascii="Arial"/>
                <w:color w:val="auto"/>
                <w:sz w:val="21"/>
                <w:highlight w:val="none"/>
              </w:rPr>
            </w:pPr>
          </w:p>
        </w:tc>
        <w:tc>
          <w:tcPr>
            <w:tcW w:w="1745" w:type="dxa"/>
          </w:tcPr>
          <w:p w14:paraId="4FEC1F50">
            <w:pPr>
              <w:ind w:firstLine="420"/>
              <w:rPr>
                <w:rFonts w:ascii="Arial"/>
                <w:color w:val="auto"/>
                <w:sz w:val="21"/>
                <w:highlight w:val="none"/>
              </w:rPr>
            </w:pPr>
          </w:p>
        </w:tc>
        <w:tc>
          <w:tcPr>
            <w:tcW w:w="4040" w:type="dxa"/>
          </w:tcPr>
          <w:p w14:paraId="7D987BCE">
            <w:pPr>
              <w:ind w:firstLine="420"/>
              <w:rPr>
                <w:rFonts w:ascii="Arial"/>
                <w:color w:val="auto"/>
                <w:sz w:val="21"/>
                <w:highlight w:val="none"/>
              </w:rPr>
            </w:pPr>
          </w:p>
        </w:tc>
      </w:tr>
      <w:tr w14:paraId="0FD4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2673" w:type="dxa"/>
          </w:tcPr>
          <w:p w14:paraId="5D4EC78F">
            <w:pPr>
              <w:ind w:firstLine="420"/>
              <w:rPr>
                <w:rFonts w:ascii="Arial"/>
                <w:color w:val="auto"/>
                <w:sz w:val="21"/>
                <w:highlight w:val="none"/>
              </w:rPr>
            </w:pPr>
          </w:p>
        </w:tc>
        <w:tc>
          <w:tcPr>
            <w:tcW w:w="1745" w:type="dxa"/>
          </w:tcPr>
          <w:p w14:paraId="47CE0FF3">
            <w:pPr>
              <w:ind w:firstLine="420"/>
              <w:rPr>
                <w:rFonts w:ascii="Arial"/>
                <w:color w:val="auto"/>
                <w:sz w:val="21"/>
                <w:highlight w:val="none"/>
              </w:rPr>
            </w:pPr>
          </w:p>
        </w:tc>
        <w:tc>
          <w:tcPr>
            <w:tcW w:w="4040" w:type="dxa"/>
          </w:tcPr>
          <w:p w14:paraId="3901D3BD">
            <w:pPr>
              <w:ind w:firstLine="420"/>
              <w:rPr>
                <w:rFonts w:ascii="Arial"/>
                <w:color w:val="auto"/>
                <w:sz w:val="21"/>
                <w:highlight w:val="none"/>
              </w:rPr>
            </w:pPr>
          </w:p>
        </w:tc>
      </w:tr>
    </w:tbl>
    <w:p w14:paraId="09B256F0">
      <w:pPr>
        <w:spacing w:before="298" w:line="184" w:lineRule="auto"/>
        <w:ind w:firstLine="420"/>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rPr>
        <w:t>注：采购人将在发出成交通知书之前要求成交人按照本表的最低要求填报派驻本标段的其他主要管理人员，在经采购人审批后，作为派驻本标段的项目管理机构主要人员且不允许更换。</w:t>
      </w:r>
    </w:p>
    <w:p w14:paraId="79A228A5">
      <w:pPr>
        <w:spacing w:line="184" w:lineRule="auto"/>
        <w:ind w:firstLine="420"/>
        <w:rPr>
          <w:rFonts w:ascii="微软雅黑" w:hAnsi="微软雅黑" w:eastAsia="微软雅黑" w:cs="微软雅黑"/>
          <w:color w:val="auto"/>
          <w:sz w:val="21"/>
          <w:szCs w:val="21"/>
          <w:highlight w:val="none"/>
        </w:rPr>
        <w:sectPr>
          <w:footerReference r:id="rId11" w:type="default"/>
          <w:pgSz w:w="11911" w:h="16849"/>
          <w:pgMar w:top="1417" w:right="1417" w:bottom="1417" w:left="1417" w:header="720" w:footer="720" w:gutter="0"/>
          <w:cols w:space="0" w:num="1"/>
          <w:rtlGutter w:val="0"/>
          <w:docGrid w:linePitch="0" w:charSpace="0"/>
        </w:sectPr>
      </w:pPr>
    </w:p>
    <w:p w14:paraId="3756C730">
      <w:pPr>
        <w:pStyle w:val="5"/>
        <w:rPr>
          <w:color w:val="auto"/>
          <w:highlight w:val="none"/>
        </w:rPr>
      </w:pPr>
      <w:r>
        <w:rPr>
          <w:rFonts w:hint="eastAsia"/>
          <w:color w:val="auto"/>
          <w:highlight w:val="none"/>
        </w:rPr>
        <w:t>附件五主要机械设备和试验检测设备最低要求</w:t>
      </w:r>
    </w:p>
    <w:p w14:paraId="2D8FF569">
      <w:pPr>
        <w:spacing w:line="237" w:lineRule="exact"/>
        <w:ind w:firstLine="420"/>
        <w:rPr>
          <w:color w:val="auto"/>
          <w:highlight w:val="none"/>
        </w:rPr>
      </w:pPr>
    </w:p>
    <w:tbl>
      <w:tblPr>
        <w:tblStyle w:val="31"/>
        <w:tblW w:w="8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0"/>
        <w:gridCol w:w="2159"/>
        <w:gridCol w:w="1257"/>
        <w:gridCol w:w="2350"/>
      </w:tblGrid>
      <w:tr w14:paraId="2182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vAlign w:val="center"/>
          </w:tcPr>
          <w:p w14:paraId="5B2E7DD6">
            <w:pPr>
              <w:jc w:val="center"/>
              <w:rPr>
                <w:color w:val="auto"/>
                <w:highlight w:val="none"/>
              </w:rPr>
            </w:pPr>
          </w:p>
          <w:p w14:paraId="6773BD84">
            <w:pPr>
              <w:jc w:val="center"/>
              <w:rPr>
                <w:color w:val="auto"/>
                <w:highlight w:val="none"/>
              </w:rPr>
            </w:pPr>
            <w:r>
              <w:rPr>
                <w:rFonts w:hint="eastAsia"/>
                <w:color w:val="auto"/>
                <w:highlight w:val="none"/>
              </w:rPr>
              <w:t>设备名称</w:t>
            </w:r>
          </w:p>
        </w:tc>
        <w:tc>
          <w:tcPr>
            <w:tcW w:w="2159" w:type="dxa"/>
            <w:vAlign w:val="center"/>
          </w:tcPr>
          <w:p w14:paraId="3F3405CF">
            <w:pPr>
              <w:jc w:val="center"/>
              <w:rPr>
                <w:color w:val="auto"/>
                <w:highlight w:val="none"/>
              </w:rPr>
            </w:pPr>
          </w:p>
          <w:p w14:paraId="00574E01">
            <w:pPr>
              <w:jc w:val="center"/>
              <w:rPr>
                <w:color w:val="auto"/>
                <w:highlight w:val="none"/>
              </w:rPr>
            </w:pPr>
            <w:r>
              <w:rPr>
                <w:rFonts w:hint="eastAsia"/>
                <w:color w:val="auto"/>
                <w:highlight w:val="none"/>
              </w:rPr>
              <w:t>规格、功率及容量</w:t>
            </w:r>
          </w:p>
        </w:tc>
        <w:tc>
          <w:tcPr>
            <w:tcW w:w="1257" w:type="dxa"/>
            <w:vAlign w:val="center"/>
          </w:tcPr>
          <w:p w14:paraId="01C5BEB8">
            <w:pPr>
              <w:jc w:val="center"/>
              <w:rPr>
                <w:color w:val="auto"/>
                <w:highlight w:val="none"/>
              </w:rPr>
            </w:pPr>
          </w:p>
          <w:p w14:paraId="6DFC4005">
            <w:pPr>
              <w:jc w:val="center"/>
              <w:rPr>
                <w:color w:val="auto"/>
                <w:highlight w:val="none"/>
              </w:rPr>
            </w:pPr>
            <w:r>
              <w:rPr>
                <w:rFonts w:hint="eastAsia"/>
                <w:color w:val="auto"/>
                <w:highlight w:val="none"/>
              </w:rPr>
              <w:t>单位</w:t>
            </w:r>
          </w:p>
        </w:tc>
        <w:tc>
          <w:tcPr>
            <w:tcW w:w="2350" w:type="dxa"/>
            <w:vAlign w:val="center"/>
          </w:tcPr>
          <w:p w14:paraId="44932802">
            <w:pPr>
              <w:jc w:val="center"/>
              <w:rPr>
                <w:color w:val="auto"/>
                <w:highlight w:val="none"/>
              </w:rPr>
            </w:pPr>
            <w:r>
              <w:rPr>
                <w:rFonts w:hint="eastAsia"/>
                <w:color w:val="auto"/>
                <w:highlight w:val="none"/>
              </w:rPr>
              <w:t>要求（注根据工作量情况的最低配备）</w:t>
            </w:r>
          </w:p>
        </w:tc>
      </w:tr>
      <w:tr w14:paraId="36754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010C5CBD">
            <w:pPr>
              <w:pStyle w:val="34"/>
              <w:spacing w:before="288" w:line="186" w:lineRule="auto"/>
              <w:ind w:left="829" w:firstLine="48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tc>
        <w:tc>
          <w:tcPr>
            <w:tcW w:w="2159" w:type="dxa"/>
          </w:tcPr>
          <w:p w14:paraId="3B8F2933">
            <w:pPr>
              <w:pStyle w:val="34"/>
              <w:spacing w:before="326" w:line="176" w:lineRule="auto"/>
              <w:ind w:left="715" w:firstLine="48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tc>
        <w:tc>
          <w:tcPr>
            <w:tcW w:w="1257" w:type="dxa"/>
          </w:tcPr>
          <w:p w14:paraId="7ACB8ED7">
            <w:pPr>
              <w:pStyle w:val="34"/>
              <w:spacing w:before="288" w:line="187" w:lineRule="auto"/>
              <w:ind w:left="529" w:firstLine="48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tc>
        <w:tc>
          <w:tcPr>
            <w:tcW w:w="2350" w:type="dxa"/>
          </w:tcPr>
          <w:p w14:paraId="2189EDDB">
            <w:pPr>
              <w:pStyle w:val="34"/>
              <w:spacing w:before="326" w:line="160" w:lineRule="auto"/>
              <w:ind w:left="1124" w:firstLine="48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tc>
      </w:tr>
      <w:tr w14:paraId="53F7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A31F2D2">
            <w:pPr>
              <w:pStyle w:val="34"/>
              <w:spacing w:before="124" w:line="186" w:lineRule="auto"/>
              <w:ind w:left="1064" w:firstLine="480"/>
              <w:rPr>
                <w:rFonts w:asciiTheme="minorEastAsia" w:hAnsiTheme="minorEastAsia" w:eastAsiaTheme="minorEastAsia" w:cstheme="minorEastAsia"/>
                <w:color w:val="auto"/>
                <w:highlight w:val="none"/>
                <w:lang w:eastAsia="zh-CN"/>
              </w:rPr>
            </w:pPr>
          </w:p>
        </w:tc>
        <w:tc>
          <w:tcPr>
            <w:tcW w:w="2159" w:type="dxa"/>
          </w:tcPr>
          <w:p w14:paraId="40E0613A">
            <w:pPr>
              <w:pStyle w:val="34"/>
              <w:spacing w:before="125" w:line="186" w:lineRule="auto"/>
              <w:ind w:left="604" w:firstLine="480"/>
              <w:rPr>
                <w:rFonts w:asciiTheme="minorEastAsia" w:hAnsiTheme="minorEastAsia" w:eastAsiaTheme="minorEastAsia" w:cstheme="minorEastAsia"/>
                <w:color w:val="auto"/>
                <w:highlight w:val="none"/>
                <w:lang w:eastAsia="zh-CN"/>
              </w:rPr>
            </w:pPr>
          </w:p>
        </w:tc>
        <w:tc>
          <w:tcPr>
            <w:tcW w:w="1257" w:type="dxa"/>
          </w:tcPr>
          <w:p w14:paraId="6F3A94F1">
            <w:pPr>
              <w:pStyle w:val="34"/>
              <w:spacing w:before="125"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4F1883A2">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2B41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D1F1C75">
            <w:pPr>
              <w:pStyle w:val="34"/>
              <w:spacing w:before="125"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065D8840">
            <w:pPr>
              <w:pStyle w:val="34"/>
              <w:spacing w:before="126" w:line="193" w:lineRule="auto"/>
              <w:ind w:left="801" w:firstLine="480"/>
              <w:rPr>
                <w:rFonts w:asciiTheme="minorEastAsia" w:hAnsiTheme="minorEastAsia" w:eastAsiaTheme="minorEastAsia" w:cstheme="minorEastAsia"/>
                <w:color w:val="auto"/>
                <w:highlight w:val="none"/>
                <w:lang w:eastAsia="zh-CN"/>
              </w:rPr>
            </w:pPr>
          </w:p>
        </w:tc>
        <w:tc>
          <w:tcPr>
            <w:tcW w:w="1257" w:type="dxa"/>
          </w:tcPr>
          <w:p w14:paraId="2D76FBC9">
            <w:pPr>
              <w:pStyle w:val="34"/>
              <w:spacing w:before="126"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0ED6CC86">
            <w:pPr>
              <w:pStyle w:val="34"/>
              <w:spacing w:before="164" w:line="160" w:lineRule="auto"/>
              <w:ind w:left="1124" w:firstLine="480"/>
              <w:rPr>
                <w:rFonts w:asciiTheme="minorEastAsia" w:hAnsiTheme="minorEastAsia" w:eastAsiaTheme="minorEastAsia" w:cstheme="minorEastAsia"/>
                <w:color w:val="auto"/>
                <w:highlight w:val="none"/>
                <w:lang w:eastAsia="zh-CN"/>
              </w:rPr>
            </w:pPr>
          </w:p>
        </w:tc>
      </w:tr>
      <w:tr w14:paraId="5B642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D9DFC47">
            <w:pPr>
              <w:pStyle w:val="34"/>
              <w:spacing w:before="126"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5A114631">
            <w:pPr>
              <w:pStyle w:val="34"/>
              <w:spacing w:before="126" w:line="186" w:lineRule="auto"/>
              <w:ind w:left="652" w:firstLine="480"/>
              <w:rPr>
                <w:rFonts w:asciiTheme="minorEastAsia" w:hAnsiTheme="minorEastAsia" w:eastAsiaTheme="minorEastAsia" w:cstheme="minorEastAsia"/>
                <w:color w:val="auto"/>
                <w:highlight w:val="none"/>
                <w:lang w:eastAsia="zh-CN"/>
              </w:rPr>
            </w:pPr>
          </w:p>
        </w:tc>
        <w:tc>
          <w:tcPr>
            <w:tcW w:w="1257" w:type="dxa"/>
          </w:tcPr>
          <w:p w14:paraId="5288A2A4">
            <w:pPr>
              <w:pStyle w:val="34"/>
              <w:spacing w:before="127"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6EEE9C3A">
            <w:pPr>
              <w:pStyle w:val="34"/>
              <w:spacing w:before="165" w:line="160" w:lineRule="auto"/>
              <w:ind w:left="1124" w:firstLine="480"/>
              <w:rPr>
                <w:rFonts w:asciiTheme="minorEastAsia" w:hAnsiTheme="minorEastAsia" w:eastAsiaTheme="minorEastAsia" w:cstheme="minorEastAsia"/>
                <w:color w:val="auto"/>
                <w:highlight w:val="none"/>
                <w:lang w:eastAsia="zh-CN"/>
              </w:rPr>
            </w:pPr>
          </w:p>
        </w:tc>
      </w:tr>
      <w:tr w14:paraId="0CD2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594B373">
            <w:pPr>
              <w:pStyle w:val="34"/>
              <w:spacing w:before="127"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5A59C275">
            <w:pPr>
              <w:pStyle w:val="34"/>
              <w:spacing w:before="164" w:line="160" w:lineRule="auto"/>
              <w:ind w:left="475" w:firstLine="480"/>
              <w:rPr>
                <w:rFonts w:asciiTheme="minorEastAsia" w:hAnsiTheme="minorEastAsia" w:eastAsiaTheme="minorEastAsia" w:cstheme="minorEastAsia"/>
                <w:color w:val="auto"/>
                <w:highlight w:val="none"/>
                <w:lang w:eastAsia="zh-CN"/>
              </w:rPr>
            </w:pPr>
          </w:p>
        </w:tc>
        <w:tc>
          <w:tcPr>
            <w:tcW w:w="1257" w:type="dxa"/>
          </w:tcPr>
          <w:p w14:paraId="190AA3DE">
            <w:pPr>
              <w:pStyle w:val="34"/>
              <w:spacing w:before="127"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7950CDC3">
            <w:pPr>
              <w:pStyle w:val="34"/>
              <w:spacing w:before="166" w:line="160" w:lineRule="auto"/>
              <w:ind w:left="1124" w:firstLine="480"/>
              <w:rPr>
                <w:rFonts w:asciiTheme="minorEastAsia" w:hAnsiTheme="minorEastAsia" w:eastAsiaTheme="minorEastAsia" w:cstheme="minorEastAsia"/>
                <w:color w:val="auto"/>
                <w:highlight w:val="none"/>
                <w:lang w:eastAsia="zh-CN"/>
              </w:rPr>
            </w:pPr>
          </w:p>
        </w:tc>
      </w:tr>
      <w:tr w14:paraId="357A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71A9E37D">
            <w:pPr>
              <w:pStyle w:val="34"/>
              <w:spacing w:before="128"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2AF46AA0">
            <w:pPr>
              <w:pStyle w:val="34"/>
              <w:spacing w:before="167" w:line="159" w:lineRule="auto"/>
              <w:ind w:left="840" w:firstLine="480"/>
              <w:rPr>
                <w:rFonts w:asciiTheme="minorEastAsia" w:hAnsiTheme="minorEastAsia" w:eastAsiaTheme="minorEastAsia" w:cstheme="minorEastAsia"/>
                <w:color w:val="auto"/>
                <w:highlight w:val="none"/>
                <w:lang w:eastAsia="zh-CN"/>
              </w:rPr>
            </w:pPr>
          </w:p>
        </w:tc>
        <w:tc>
          <w:tcPr>
            <w:tcW w:w="1257" w:type="dxa"/>
          </w:tcPr>
          <w:p w14:paraId="574225CD">
            <w:pPr>
              <w:pStyle w:val="34"/>
              <w:spacing w:before="128"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1FAFF4FB">
            <w:pPr>
              <w:pStyle w:val="34"/>
              <w:spacing w:before="169" w:line="158" w:lineRule="auto"/>
              <w:ind w:left="1125" w:firstLine="480"/>
              <w:rPr>
                <w:rFonts w:asciiTheme="minorEastAsia" w:hAnsiTheme="minorEastAsia" w:eastAsiaTheme="minorEastAsia" w:cstheme="minorEastAsia"/>
                <w:color w:val="auto"/>
                <w:highlight w:val="none"/>
                <w:lang w:eastAsia="zh-CN"/>
              </w:rPr>
            </w:pPr>
          </w:p>
        </w:tc>
      </w:tr>
      <w:tr w14:paraId="1561B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052994AC">
            <w:pPr>
              <w:pStyle w:val="34"/>
              <w:spacing w:before="128"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57EA95F0">
            <w:pPr>
              <w:ind w:firstLine="480"/>
              <w:rPr>
                <w:rFonts w:asciiTheme="minorEastAsia" w:hAnsiTheme="minorEastAsia" w:eastAsiaTheme="minorEastAsia" w:cstheme="minorEastAsia"/>
                <w:color w:val="auto"/>
                <w:sz w:val="24"/>
                <w:szCs w:val="24"/>
                <w:highlight w:val="none"/>
              </w:rPr>
            </w:pPr>
          </w:p>
        </w:tc>
        <w:tc>
          <w:tcPr>
            <w:tcW w:w="1257" w:type="dxa"/>
          </w:tcPr>
          <w:p w14:paraId="21EE1300">
            <w:pPr>
              <w:pStyle w:val="34"/>
              <w:spacing w:before="129"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528E28A2">
            <w:pPr>
              <w:pStyle w:val="34"/>
              <w:spacing w:before="167" w:line="160" w:lineRule="auto"/>
              <w:ind w:left="1124" w:firstLine="480"/>
              <w:rPr>
                <w:rFonts w:asciiTheme="minorEastAsia" w:hAnsiTheme="minorEastAsia" w:eastAsiaTheme="minorEastAsia" w:cstheme="minorEastAsia"/>
                <w:color w:val="auto"/>
                <w:highlight w:val="none"/>
                <w:lang w:eastAsia="zh-CN"/>
              </w:rPr>
            </w:pPr>
          </w:p>
        </w:tc>
      </w:tr>
      <w:tr w14:paraId="5C5C2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4444723B">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452EE3AB">
            <w:pPr>
              <w:ind w:firstLine="480"/>
              <w:rPr>
                <w:rFonts w:asciiTheme="minorEastAsia" w:hAnsiTheme="minorEastAsia" w:eastAsiaTheme="minorEastAsia" w:cstheme="minorEastAsia"/>
                <w:color w:val="auto"/>
                <w:sz w:val="24"/>
                <w:szCs w:val="24"/>
                <w:highlight w:val="none"/>
              </w:rPr>
            </w:pPr>
          </w:p>
        </w:tc>
        <w:tc>
          <w:tcPr>
            <w:tcW w:w="1257" w:type="dxa"/>
          </w:tcPr>
          <w:p w14:paraId="3D3997FB">
            <w:pPr>
              <w:pStyle w:val="34"/>
              <w:spacing w:before="125" w:line="186" w:lineRule="auto"/>
              <w:ind w:left="509" w:firstLine="480"/>
              <w:rPr>
                <w:rFonts w:asciiTheme="minorEastAsia" w:hAnsiTheme="minorEastAsia" w:eastAsiaTheme="minorEastAsia" w:cstheme="minorEastAsia"/>
                <w:color w:val="auto"/>
                <w:highlight w:val="none"/>
                <w:lang w:eastAsia="zh-CN"/>
              </w:rPr>
            </w:pPr>
          </w:p>
        </w:tc>
        <w:tc>
          <w:tcPr>
            <w:tcW w:w="2350" w:type="dxa"/>
          </w:tcPr>
          <w:p w14:paraId="363D9374">
            <w:pPr>
              <w:pStyle w:val="34"/>
              <w:spacing w:before="165" w:line="158" w:lineRule="auto"/>
              <w:ind w:left="1125" w:firstLine="480"/>
              <w:rPr>
                <w:rFonts w:asciiTheme="minorEastAsia" w:hAnsiTheme="minorEastAsia" w:eastAsiaTheme="minorEastAsia" w:cstheme="minorEastAsia"/>
                <w:color w:val="auto"/>
                <w:highlight w:val="none"/>
                <w:lang w:eastAsia="zh-CN"/>
              </w:rPr>
            </w:pPr>
          </w:p>
        </w:tc>
      </w:tr>
      <w:tr w14:paraId="45CF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906CAC5">
            <w:pPr>
              <w:pStyle w:val="34"/>
              <w:spacing w:before="125" w:line="186" w:lineRule="auto"/>
              <w:ind w:left="1069" w:firstLine="480"/>
              <w:rPr>
                <w:rFonts w:asciiTheme="minorEastAsia" w:hAnsiTheme="minorEastAsia" w:eastAsiaTheme="minorEastAsia" w:cstheme="minorEastAsia"/>
                <w:color w:val="auto"/>
                <w:highlight w:val="none"/>
                <w:lang w:eastAsia="zh-CN"/>
              </w:rPr>
            </w:pPr>
          </w:p>
        </w:tc>
        <w:tc>
          <w:tcPr>
            <w:tcW w:w="2159" w:type="dxa"/>
          </w:tcPr>
          <w:p w14:paraId="66881B19">
            <w:pPr>
              <w:ind w:firstLine="480"/>
              <w:rPr>
                <w:rFonts w:asciiTheme="minorEastAsia" w:hAnsiTheme="minorEastAsia" w:eastAsiaTheme="minorEastAsia" w:cstheme="minorEastAsia"/>
                <w:color w:val="auto"/>
                <w:sz w:val="24"/>
                <w:szCs w:val="24"/>
                <w:highlight w:val="none"/>
              </w:rPr>
            </w:pPr>
          </w:p>
        </w:tc>
        <w:tc>
          <w:tcPr>
            <w:tcW w:w="1257" w:type="dxa"/>
          </w:tcPr>
          <w:p w14:paraId="4A24C613">
            <w:pPr>
              <w:pStyle w:val="34"/>
              <w:spacing w:before="125"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4A6B76CC">
            <w:pPr>
              <w:pStyle w:val="34"/>
              <w:spacing w:before="162" w:line="161" w:lineRule="auto"/>
              <w:ind w:left="1138" w:firstLine="480"/>
              <w:rPr>
                <w:rFonts w:asciiTheme="minorEastAsia" w:hAnsiTheme="minorEastAsia" w:eastAsiaTheme="minorEastAsia" w:cstheme="minorEastAsia"/>
                <w:color w:val="auto"/>
                <w:highlight w:val="none"/>
                <w:lang w:eastAsia="zh-CN"/>
              </w:rPr>
            </w:pPr>
          </w:p>
        </w:tc>
      </w:tr>
      <w:tr w14:paraId="57402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0AE54CBE">
            <w:pPr>
              <w:pStyle w:val="34"/>
              <w:spacing w:before="125" w:line="186" w:lineRule="auto"/>
              <w:ind w:left="1069" w:firstLine="480"/>
              <w:rPr>
                <w:rFonts w:asciiTheme="minorEastAsia" w:hAnsiTheme="minorEastAsia" w:eastAsiaTheme="minorEastAsia" w:cstheme="minorEastAsia"/>
                <w:color w:val="auto"/>
                <w:highlight w:val="none"/>
                <w:lang w:eastAsia="zh-CN"/>
              </w:rPr>
            </w:pPr>
          </w:p>
        </w:tc>
        <w:tc>
          <w:tcPr>
            <w:tcW w:w="2159" w:type="dxa"/>
          </w:tcPr>
          <w:p w14:paraId="73AD05D2">
            <w:pPr>
              <w:ind w:firstLine="480"/>
              <w:jc w:val="center"/>
              <w:rPr>
                <w:rFonts w:asciiTheme="minorEastAsia" w:hAnsiTheme="minorEastAsia" w:eastAsiaTheme="minorEastAsia" w:cstheme="minorEastAsia"/>
                <w:color w:val="auto"/>
                <w:sz w:val="24"/>
                <w:szCs w:val="24"/>
                <w:highlight w:val="none"/>
              </w:rPr>
            </w:pPr>
          </w:p>
        </w:tc>
        <w:tc>
          <w:tcPr>
            <w:tcW w:w="1257" w:type="dxa"/>
          </w:tcPr>
          <w:p w14:paraId="4CED38BD">
            <w:pPr>
              <w:pStyle w:val="34"/>
              <w:spacing w:before="125"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49CA1271">
            <w:pPr>
              <w:pStyle w:val="34"/>
              <w:spacing w:before="162" w:line="161" w:lineRule="auto"/>
              <w:ind w:left="1138" w:firstLine="480"/>
              <w:rPr>
                <w:rFonts w:asciiTheme="minorEastAsia" w:hAnsiTheme="minorEastAsia" w:eastAsiaTheme="minorEastAsia" w:cstheme="minorEastAsia"/>
                <w:color w:val="auto"/>
                <w:highlight w:val="none"/>
                <w:lang w:eastAsia="zh-CN"/>
              </w:rPr>
            </w:pPr>
          </w:p>
        </w:tc>
      </w:tr>
      <w:tr w14:paraId="7D3EA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5797AC8">
            <w:pPr>
              <w:pStyle w:val="34"/>
              <w:spacing w:before="125"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49C05A4C">
            <w:pPr>
              <w:ind w:firstLine="480"/>
              <w:jc w:val="center"/>
              <w:rPr>
                <w:rFonts w:asciiTheme="minorEastAsia" w:hAnsiTheme="minorEastAsia" w:eastAsiaTheme="minorEastAsia" w:cstheme="minorEastAsia"/>
                <w:color w:val="auto"/>
                <w:sz w:val="24"/>
                <w:szCs w:val="24"/>
                <w:highlight w:val="none"/>
              </w:rPr>
            </w:pPr>
          </w:p>
        </w:tc>
        <w:tc>
          <w:tcPr>
            <w:tcW w:w="1257" w:type="dxa"/>
          </w:tcPr>
          <w:p w14:paraId="42A8EAF5">
            <w:pPr>
              <w:pStyle w:val="34"/>
              <w:spacing w:before="125"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4F78A8DC">
            <w:pPr>
              <w:pStyle w:val="34"/>
              <w:spacing w:before="162" w:line="161" w:lineRule="auto"/>
              <w:ind w:left="1138" w:firstLine="480"/>
              <w:rPr>
                <w:rFonts w:asciiTheme="minorEastAsia" w:hAnsiTheme="minorEastAsia" w:eastAsiaTheme="minorEastAsia" w:cstheme="minorEastAsia"/>
                <w:color w:val="auto"/>
                <w:highlight w:val="none"/>
                <w:lang w:eastAsia="zh-CN"/>
              </w:rPr>
            </w:pPr>
          </w:p>
        </w:tc>
      </w:tr>
      <w:tr w14:paraId="7906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3C8FD3C">
            <w:pPr>
              <w:pStyle w:val="34"/>
              <w:spacing w:before="126" w:line="184"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1AC9A206">
            <w:pPr>
              <w:ind w:firstLine="480"/>
              <w:jc w:val="center"/>
              <w:rPr>
                <w:rFonts w:asciiTheme="minorEastAsia" w:hAnsiTheme="minorEastAsia" w:eastAsiaTheme="minorEastAsia" w:cstheme="minorEastAsia"/>
                <w:color w:val="auto"/>
                <w:sz w:val="24"/>
                <w:szCs w:val="24"/>
                <w:highlight w:val="none"/>
              </w:rPr>
            </w:pPr>
          </w:p>
        </w:tc>
        <w:tc>
          <w:tcPr>
            <w:tcW w:w="1257" w:type="dxa"/>
          </w:tcPr>
          <w:p w14:paraId="66CC23C7">
            <w:pPr>
              <w:pStyle w:val="34"/>
              <w:spacing w:before="126" w:line="188" w:lineRule="auto"/>
              <w:ind w:left="510" w:firstLine="480"/>
              <w:rPr>
                <w:rFonts w:asciiTheme="minorEastAsia" w:hAnsiTheme="minorEastAsia" w:eastAsiaTheme="minorEastAsia" w:cstheme="minorEastAsia"/>
                <w:color w:val="auto"/>
                <w:highlight w:val="none"/>
                <w:lang w:eastAsia="zh-CN"/>
              </w:rPr>
            </w:pPr>
          </w:p>
        </w:tc>
        <w:tc>
          <w:tcPr>
            <w:tcW w:w="2350" w:type="dxa"/>
          </w:tcPr>
          <w:p w14:paraId="7A729F48">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5D75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E5D092A">
            <w:pPr>
              <w:pStyle w:val="34"/>
              <w:spacing w:before="125" w:line="181"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746C44D8">
            <w:pPr>
              <w:ind w:firstLine="480"/>
              <w:jc w:val="center"/>
              <w:rPr>
                <w:rFonts w:asciiTheme="minorEastAsia" w:hAnsiTheme="minorEastAsia" w:eastAsiaTheme="minorEastAsia" w:cstheme="minorEastAsia"/>
                <w:color w:val="auto"/>
                <w:sz w:val="24"/>
                <w:szCs w:val="24"/>
                <w:highlight w:val="none"/>
              </w:rPr>
            </w:pPr>
          </w:p>
        </w:tc>
        <w:tc>
          <w:tcPr>
            <w:tcW w:w="1257" w:type="dxa"/>
          </w:tcPr>
          <w:p w14:paraId="56B47605">
            <w:pPr>
              <w:pStyle w:val="34"/>
              <w:spacing w:before="125"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08A08F90">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30BB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57A2C8A2">
            <w:pPr>
              <w:pStyle w:val="34"/>
              <w:spacing w:before="126" w:line="184"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039D71A1">
            <w:pPr>
              <w:ind w:firstLine="480"/>
              <w:jc w:val="center"/>
              <w:rPr>
                <w:rFonts w:asciiTheme="minorEastAsia" w:hAnsiTheme="minorEastAsia" w:eastAsiaTheme="minorEastAsia" w:cstheme="minorEastAsia"/>
                <w:color w:val="auto"/>
                <w:sz w:val="24"/>
                <w:szCs w:val="24"/>
                <w:highlight w:val="none"/>
              </w:rPr>
            </w:pPr>
          </w:p>
        </w:tc>
        <w:tc>
          <w:tcPr>
            <w:tcW w:w="1257" w:type="dxa"/>
          </w:tcPr>
          <w:p w14:paraId="753FB4F8">
            <w:pPr>
              <w:pStyle w:val="34"/>
              <w:spacing w:before="125"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19C687F6">
            <w:pPr>
              <w:pStyle w:val="34"/>
              <w:spacing w:before="163" w:line="160" w:lineRule="auto"/>
              <w:ind w:firstLine="480"/>
              <w:jc w:val="center"/>
              <w:rPr>
                <w:rFonts w:asciiTheme="minorEastAsia" w:hAnsiTheme="minorEastAsia" w:eastAsiaTheme="minorEastAsia" w:cstheme="minorEastAsia"/>
                <w:color w:val="auto"/>
                <w:highlight w:val="none"/>
                <w:lang w:eastAsia="zh-CN"/>
              </w:rPr>
            </w:pPr>
          </w:p>
        </w:tc>
      </w:tr>
      <w:tr w14:paraId="0F8B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7EDE0E61">
            <w:pPr>
              <w:pStyle w:val="34"/>
              <w:spacing w:before="124" w:line="186"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0198D6AD">
            <w:pPr>
              <w:ind w:firstLine="480"/>
              <w:jc w:val="center"/>
              <w:rPr>
                <w:rFonts w:asciiTheme="minorEastAsia" w:hAnsiTheme="minorEastAsia" w:eastAsiaTheme="minorEastAsia" w:cstheme="minorEastAsia"/>
                <w:color w:val="auto"/>
                <w:sz w:val="24"/>
                <w:szCs w:val="24"/>
                <w:highlight w:val="none"/>
              </w:rPr>
            </w:pPr>
          </w:p>
        </w:tc>
        <w:tc>
          <w:tcPr>
            <w:tcW w:w="1257" w:type="dxa"/>
          </w:tcPr>
          <w:p w14:paraId="449A15E5">
            <w:pPr>
              <w:pStyle w:val="34"/>
              <w:spacing w:before="125" w:line="187" w:lineRule="auto"/>
              <w:ind w:left="529" w:firstLine="480"/>
              <w:rPr>
                <w:rFonts w:asciiTheme="minorEastAsia" w:hAnsiTheme="minorEastAsia" w:eastAsiaTheme="minorEastAsia" w:cstheme="minorEastAsia"/>
                <w:color w:val="auto"/>
                <w:highlight w:val="none"/>
                <w:lang w:eastAsia="zh-CN"/>
              </w:rPr>
            </w:pPr>
          </w:p>
        </w:tc>
        <w:tc>
          <w:tcPr>
            <w:tcW w:w="2350" w:type="dxa"/>
          </w:tcPr>
          <w:p w14:paraId="7AE48AC5">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54FE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6BF48A5">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300BB842">
            <w:pPr>
              <w:ind w:firstLine="480"/>
              <w:jc w:val="center"/>
              <w:rPr>
                <w:rFonts w:asciiTheme="minorEastAsia" w:hAnsiTheme="minorEastAsia" w:eastAsiaTheme="minorEastAsia" w:cstheme="minorEastAsia"/>
                <w:color w:val="auto"/>
                <w:sz w:val="24"/>
                <w:szCs w:val="24"/>
                <w:highlight w:val="none"/>
              </w:rPr>
            </w:pPr>
          </w:p>
        </w:tc>
        <w:tc>
          <w:tcPr>
            <w:tcW w:w="1257" w:type="dxa"/>
          </w:tcPr>
          <w:p w14:paraId="7CBC957E">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6B1E47A2">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2F080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2497CA8B">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1C2B8946">
            <w:pPr>
              <w:ind w:firstLine="480"/>
              <w:jc w:val="center"/>
              <w:rPr>
                <w:rFonts w:asciiTheme="minorEastAsia" w:hAnsiTheme="minorEastAsia" w:eastAsiaTheme="minorEastAsia" w:cstheme="minorEastAsia"/>
                <w:color w:val="auto"/>
                <w:sz w:val="24"/>
                <w:szCs w:val="24"/>
                <w:highlight w:val="none"/>
              </w:rPr>
            </w:pPr>
          </w:p>
        </w:tc>
        <w:tc>
          <w:tcPr>
            <w:tcW w:w="1257" w:type="dxa"/>
          </w:tcPr>
          <w:p w14:paraId="4DF099D4">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3CC27703">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6B61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E594478">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782F3FB8">
            <w:pPr>
              <w:ind w:firstLine="480"/>
              <w:jc w:val="center"/>
              <w:rPr>
                <w:rFonts w:asciiTheme="minorEastAsia" w:hAnsiTheme="minorEastAsia" w:eastAsiaTheme="minorEastAsia" w:cstheme="minorEastAsia"/>
                <w:color w:val="auto"/>
                <w:sz w:val="24"/>
                <w:szCs w:val="24"/>
                <w:highlight w:val="none"/>
              </w:rPr>
            </w:pPr>
          </w:p>
        </w:tc>
        <w:tc>
          <w:tcPr>
            <w:tcW w:w="1257" w:type="dxa"/>
          </w:tcPr>
          <w:p w14:paraId="75D1BB08">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75FB1534">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5B3E9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39B3A08D">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11948E7B">
            <w:pPr>
              <w:ind w:firstLine="480"/>
              <w:jc w:val="center"/>
              <w:rPr>
                <w:rFonts w:asciiTheme="minorEastAsia" w:hAnsiTheme="minorEastAsia" w:eastAsiaTheme="minorEastAsia" w:cstheme="minorEastAsia"/>
                <w:color w:val="auto"/>
                <w:sz w:val="24"/>
                <w:szCs w:val="24"/>
                <w:highlight w:val="none"/>
              </w:rPr>
            </w:pPr>
          </w:p>
        </w:tc>
        <w:tc>
          <w:tcPr>
            <w:tcW w:w="1257" w:type="dxa"/>
          </w:tcPr>
          <w:p w14:paraId="00022071">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1B890FFA">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48C6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00737FEC">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7DC55200">
            <w:pPr>
              <w:ind w:firstLine="480"/>
              <w:jc w:val="center"/>
              <w:rPr>
                <w:rFonts w:asciiTheme="minorEastAsia" w:hAnsiTheme="minorEastAsia" w:eastAsiaTheme="minorEastAsia" w:cstheme="minorEastAsia"/>
                <w:color w:val="auto"/>
                <w:sz w:val="24"/>
                <w:szCs w:val="24"/>
                <w:highlight w:val="none"/>
              </w:rPr>
            </w:pPr>
          </w:p>
        </w:tc>
        <w:tc>
          <w:tcPr>
            <w:tcW w:w="1257" w:type="dxa"/>
          </w:tcPr>
          <w:p w14:paraId="51B5F50B">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42C409DD">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3BD7D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16D44179">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083952CC">
            <w:pPr>
              <w:ind w:firstLine="480"/>
              <w:jc w:val="center"/>
              <w:rPr>
                <w:rFonts w:asciiTheme="minorEastAsia" w:hAnsiTheme="minorEastAsia" w:eastAsiaTheme="minorEastAsia" w:cstheme="minorEastAsia"/>
                <w:color w:val="auto"/>
                <w:sz w:val="24"/>
                <w:szCs w:val="24"/>
                <w:highlight w:val="none"/>
              </w:rPr>
            </w:pPr>
          </w:p>
        </w:tc>
        <w:tc>
          <w:tcPr>
            <w:tcW w:w="1257" w:type="dxa"/>
          </w:tcPr>
          <w:p w14:paraId="68403EE1">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3B26F50F">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517AA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748D870A">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727BF08B">
            <w:pPr>
              <w:ind w:firstLine="480"/>
              <w:rPr>
                <w:rFonts w:asciiTheme="minorEastAsia" w:hAnsiTheme="minorEastAsia" w:eastAsiaTheme="minorEastAsia" w:cstheme="minorEastAsia"/>
                <w:color w:val="auto"/>
                <w:sz w:val="24"/>
                <w:szCs w:val="24"/>
                <w:highlight w:val="none"/>
              </w:rPr>
            </w:pPr>
          </w:p>
        </w:tc>
        <w:tc>
          <w:tcPr>
            <w:tcW w:w="1257" w:type="dxa"/>
          </w:tcPr>
          <w:p w14:paraId="481EE3E1">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406CB439">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r w14:paraId="2CC86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080" w:type="dxa"/>
          </w:tcPr>
          <w:p w14:paraId="3AEB379C">
            <w:pPr>
              <w:pStyle w:val="34"/>
              <w:spacing w:before="125" w:line="185" w:lineRule="auto"/>
              <w:ind w:firstLine="480"/>
              <w:jc w:val="center"/>
              <w:rPr>
                <w:rFonts w:asciiTheme="minorEastAsia" w:hAnsiTheme="minorEastAsia" w:eastAsiaTheme="minorEastAsia" w:cstheme="minorEastAsia"/>
                <w:color w:val="auto"/>
                <w:highlight w:val="none"/>
                <w:lang w:eastAsia="zh-CN"/>
              </w:rPr>
            </w:pPr>
          </w:p>
        </w:tc>
        <w:tc>
          <w:tcPr>
            <w:tcW w:w="2159" w:type="dxa"/>
          </w:tcPr>
          <w:p w14:paraId="59C36E5F">
            <w:pPr>
              <w:ind w:firstLine="480"/>
              <w:rPr>
                <w:rFonts w:asciiTheme="minorEastAsia" w:hAnsiTheme="minorEastAsia" w:eastAsiaTheme="minorEastAsia" w:cstheme="minorEastAsia"/>
                <w:color w:val="auto"/>
                <w:sz w:val="24"/>
                <w:szCs w:val="24"/>
                <w:highlight w:val="none"/>
              </w:rPr>
            </w:pPr>
          </w:p>
        </w:tc>
        <w:tc>
          <w:tcPr>
            <w:tcW w:w="1257" w:type="dxa"/>
          </w:tcPr>
          <w:p w14:paraId="329875A3">
            <w:pPr>
              <w:pStyle w:val="34"/>
              <w:spacing w:before="124" w:line="186" w:lineRule="auto"/>
              <w:ind w:left="511" w:firstLine="480"/>
              <w:rPr>
                <w:rFonts w:asciiTheme="minorEastAsia" w:hAnsiTheme="minorEastAsia" w:eastAsiaTheme="minorEastAsia" w:cstheme="minorEastAsia"/>
                <w:color w:val="auto"/>
                <w:highlight w:val="none"/>
                <w:lang w:eastAsia="zh-CN"/>
              </w:rPr>
            </w:pPr>
          </w:p>
        </w:tc>
        <w:tc>
          <w:tcPr>
            <w:tcW w:w="2350" w:type="dxa"/>
          </w:tcPr>
          <w:p w14:paraId="350E2A1D">
            <w:pPr>
              <w:pStyle w:val="34"/>
              <w:spacing w:before="163" w:line="160" w:lineRule="auto"/>
              <w:ind w:left="1124" w:firstLine="480"/>
              <w:rPr>
                <w:rFonts w:asciiTheme="minorEastAsia" w:hAnsiTheme="minorEastAsia" w:eastAsiaTheme="minorEastAsia" w:cstheme="minorEastAsia"/>
                <w:color w:val="auto"/>
                <w:highlight w:val="none"/>
                <w:lang w:eastAsia="zh-CN"/>
              </w:rPr>
            </w:pPr>
          </w:p>
        </w:tc>
      </w:tr>
    </w:tbl>
    <w:p w14:paraId="565C9696">
      <w:pPr>
        <w:spacing w:before="299" w:line="182" w:lineRule="auto"/>
        <w:ind w:left="29" w:firstLine="420"/>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rPr>
        <w:t>注：采购人将在发出成交通知书之前要求成交人按照本表的最低要求填报为本标段配备的主要设备，在经采购人审批后作为投入本标段的主要设备且不允许更换。</w:t>
      </w:r>
    </w:p>
    <w:p w14:paraId="1162FD32">
      <w:pPr>
        <w:spacing w:line="182" w:lineRule="auto"/>
        <w:ind w:firstLine="420"/>
        <w:rPr>
          <w:rFonts w:ascii="微软雅黑" w:hAnsi="微软雅黑" w:eastAsia="微软雅黑" w:cs="微软雅黑"/>
          <w:color w:val="auto"/>
          <w:sz w:val="21"/>
          <w:szCs w:val="21"/>
          <w:highlight w:val="none"/>
        </w:rPr>
        <w:sectPr>
          <w:footerReference r:id="rId12" w:type="default"/>
          <w:pgSz w:w="11911" w:h="16849"/>
          <w:pgMar w:top="1417" w:right="1417" w:bottom="1417" w:left="1417" w:header="720" w:footer="720" w:gutter="0"/>
          <w:cols w:space="0" w:num="1"/>
          <w:rtlGutter w:val="0"/>
          <w:docGrid w:linePitch="0" w:charSpace="0"/>
        </w:sectPr>
      </w:pPr>
    </w:p>
    <w:p w14:paraId="034B3B54">
      <w:pPr>
        <w:pStyle w:val="5"/>
        <w:ind w:firstLine="562"/>
        <w:rPr>
          <w:color w:val="auto"/>
          <w:highlight w:val="none"/>
        </w:rPr>
      </w:pPr>
      <w:bookmarkStart w:id="171" w:name="_Toc394929421"/>
      <w:r>
        <w:rPr>
          <w:rFonts w:hint="eastAsia"/>
          <w:color w:val="auto"/>
          <w:highlight w:val="none"/>
        </w:rPr>
        <w:t>附件六  项目经理委任书</w:t>
      </w:r>
      <w:bookmarkEnd w:id="171"/>
    </w:p>
    <w:p w14:paraId="3EF161C2">
      <w:pPr>
        <w:spacing w:line="360" w:lineRule="auto"/>
        <w:ind w:firstLine="440"/>
        <w:jc w:val="center"/>
        <w:rPr>
          <w:color w:val="auto"/>
          <w:szCs w:val="21"/>
          <w:highlight w:val="none"/>
        </w:rPr>
      </w:pPr>
      <w:bookmarkStart w:id="172" w:name="bookmark197"/>
      <w:r>
        <w:rPr>
          <w:rStyle w:val="40"/>
          <w:rFonts w:hint="eastAsia" w:ascii="宋体" w:hAnsi="宋体" w:eastAsia="宋体" w:cs="宋体"/>
          <w:color w:val="auto"/>
          <w:sz w:val="21"/>
          <w:szCs w:val="21"/>
          <w:highlight w:val="none"/>
        </w:rPr>
        <w:t>(承包人全称）</w:t>
      </w:r>
      <w:bookmarkEnd w:id="172"/>
    </w:p>
    <w:p w14:paraId="6076A261">
      <w:pPr>
        <w:spacing w:line="360" w:lineRule="auto"/>
        <w:ind w:firstLine="440"/>
        <w:jc w:val="center"/>
        <w:rPr>
          <w:color w:val="auto"/>
          <w:szCs w:val="21"/>
          <w:highlight w:val="none"/>
        </w:rPr>
      </w:pPr>
      <w:bookmarkStart w:id="173" w:name="bookmark198"/>
      <w:r>
        <w:rPr>
          <w:rStyle w:val="40"/>
          <w:rFonts w:hint="eastAsia" w:ascii="宋体" w:hAnsi="宋体" w:eastAsia="宋体" w:cs="宋体"/>
          <w:color w:val="auto"/>
          <w:sz w:val="21"/>
          <w:szCs w:val="21"/>
          <w:highlight w:val="none"/>
        </w:rPr>
        <w:t>(合同工程名称）</w:t>
      </w:r>
      <w:r>
        <w:rPr>
          <w:rStyle w:val="41"/>
          <w:rFonts w:hint="eastAsia" w:ascii="宋体" w:hAnsi="宋体" w:eastAsia="宋体" w:cs="宋体"/>
          <w:color w:val="auto"/>
          <w:sz w:val="21"/>
          <w:szCs w:val="21"/>
          <w:highlight w:val="none"/>
        </w:rPr>
        <w:t>项目经理委任书</w:t>
      </w:r>
      <w:bookmarkEnd w:id="173"/>
    </w:p>
    <w:p w14:paraId="15E5A149">
      <w:pPr>
        <w:pStyle w:val="42"/>
        <w:shd w:val="clear" w:color="auto" w:fill="auto"/>
        <w:spacing w:before="0" w:line="360" w:lineRule="auto"/>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致：</w:t>
      </w:r>
      <w:r>
        <w:rPr>
          <w:rStyle w:val="44"/>
          <w:rFonts w:hint="eastAsia" w:ascii="宋体" w:hAnsi="宋体" w:eastAsia="宋体" w:cs="宋体"/>
          <w:color w:val="auto"/>
          <w:sz w:val="21"/>
          <w:szCs w:val="21"/>
          <w:highlight w:val="none"/>
        </w:rPr>
        <w:t>（发包人全称）</w:t>
      </w:r>
    </w:p>
    <w:p w14:paraId="0404952C">
      <w:pPr>
        <w:pStyle w:val="42"/>
        <w:shd w:val="clear" w:color="auto" w:fill="auto"/>
        <w:spacing w:before="0" w:after="360" w:line="360" w:lineRule="auto"/>
        <w:ind w:firstLine="420"/>
        <w:jc w:val="both"/>
        <w:rPr>
          <w:rFonts w:ascii="宋体" w:hAnsi="宋体" w:eastAsia="宋体"/>
          <w:color w:val="auto"/>
          <w:sz w:val="21"/>
          <w:szCs w:val="21"/>
          <w:highlight w:val="none"/>
        </w:rPr>
      </w:pPr>
      <w:r>
        <w:rPr>
          <w:rStyle w:val="44"/>
          <w:rFonts w:hint="eastAsia" w:ascii="宋体" w:hAnsi="宋体" w:eastAsia="宋体" w:cs="宋体"/>
          <w:color w:val="auto"/>
          <w:sz w:val="21"/>
          <w:szCs w:val="21"/>
          <w:highlight w:val="none"/>
        </w:rPr>
        <w:t>(承包人全称）</w:t>
      </w:r>
      <w:r>
        <w:rPr>
          <w:rStyle w:val="43"/>
          <w:rFonts w:hint="eastAsia" w:ascii="宋体" w:hAnsi="宋体" w:eastAsia="宋体" w:cs="宋体"/>
          <w:color w:val="auto"/>
          <w:sz w:val="21"/>
          <w:szCs w:val="21"/>
          <w:highlight w:val="none"/>
        </w:rPr>
        <w:t>法定代表人</w:t>
      </w:r>
      <w:r>
        <w:rPr>
          <w:rStyle w:val="44"/>
          <w:rFonts w:hint="eastAsia" w:ascii="宋体" w:hAnsi="宋体" w:eastAsia="宋体" w:cs="宋体"/>
          <w:color w:val="auto"/>
          <w:sz w:val="21"/>
          <w:szCs w:val="21"/>
          <w:highlight w:val="none"/>
        </w:rPr>
        <w:t>（职务、姓名）</w:t>
      </w:r>
      <w:r>
        <w:rPr>
          <w:rStyle w:val="43"/>
          <w:rFonts w:hint="eastAsia" w:ascii="宋体" w:hAnsi="宋体" w:eastAsia="宋体" w:cs="宋体"/>
          <w:color w:val="auto"/>
          <w:sz w:val="21"/>
          <w:szCs w:val="21"/>
          <w:highlight w:val="none"/>
        </w:rPr>
        <w:t>代表本单位委任</w:t>
      </w:r>
      <w:r>
        <w:rPr>
          <w:rStyle w:val="44"/>
          <w:rFonts w:hint="eastAsia" w:ascii="宋体" w:hAnsi="宋体" w:eastAsia="宋体" w:cs="宋体"/>
          <w:color w:val="auto"/>
          <w:sz w:val="21"/>
          <w:szCs w:val="21"/>
          <w:highlight w:val="none"/>
        </w:rPr>
        <w:t>（职务、姓 名）</w:t>
      </w:r>
      <w:r>
        <w:rPr>
          <w:rStyle w:val="43"/>
          <w:rFonts w:hint="eastAsia" w:ascii="宋体" w:hAnsi="宋体" w:eastAsia="宋体" w:cs="宋体"/>
          <w:color w:val="auto"/>
          <w:sz w:val="21"/>
          <w:szCs w:val="21"/>
          <w:highlight w:val="none"/>
        </w:rPr>
        <w:t>为</w:t>
      </w:r>
      <w:r>
        <w:rPr>
          <w:rStyle w:val="44"/>
          <w:rFonts w:hint="eastAsia" w:ascii="宋体" w:hAnsi="宋体" w:eastAsia="宋体" w:cs="宋体"/>
          <w:color w:val="auto"/>
          <w:sz w:val="21"/>
          <w:szCs w:val="21"/>
          <w:highlight w:val="none"/>
        </w:rPr>
        <w:t>（合同工程名称）</w:t>
      </w:r>
      <w:r>
        <w:rPr>
          <w:rStyle w:val="43"/>
          <w:rFonts w:hint="eastAsia" w:ascii="宋体" w:hAnsi="宋体" w:eastAsia="宋体" w:cs="宋体"/>
          <w:color w:val="auto"/>
          <w:sz w:val="21"/>
          <w:szCs w:val="21"/>
          <w:highlight w:val="none"/>
        </w:rPr>
        <w:t>的项目经理。凡本合同执行中的有关技术、工程进度、现 场管理、质量检验、结算与支付等方面工作，由</w:t>
      </w:r>
      <w:r>
        <w:rPr>
          <w:rStyle w:val="44"/>
          <w:rFonts w:hint="eastAsia" w:ascii="宋体" w:hAnsi="宋体" w:eastAsia="宋体" w:cs="宋体"/>
          <w:color w:val="auto"/>
          <w:sz w:val="21"/>
          <w:szCs w:val="21"/>
          <w:highlight w:val="none"/>
        </w:rPr>
        <w:t>（姓名）</w:t>
      </w:r>
      <w:r>
        <w:rPr>
          <w:rStyle w:val="43"/>
          <w:rFonts w:hint="eastAsia" w:ascii="宋体" w:hAnsi="宋体" w:eastAsia="宋体" w:cs="宋体"/>
          <w:color w:val="auto"/>
          <w:sz w:val="21"/>
          <w:szCs w:val="21"/>
          <w:highlight w:val="none"/>
        </w:rPr>
        <w:t>代表本单位全面负责。</w:t>
      </w:r>
    </w:p>
    <w:p w14:paraId="010DAD98">
      <w:pPr>
        <w:pStyle w:val="42"/>
        <w:shd w:val="clear" w:color="auto" w:fill="auto"/>
        <w:tabs>
          <w:tab w:val="left" w:leader="underscore" w:pos="7348"/>
        </w:tabs>
        <w:spacing w:before="0" w:line="360" w:lineRule="auto"/>
        <w:ind w:left="388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承包人：</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(盖单位章）</w:t>
      </w:r>
    </w:p>
    <w:p w14:paraId="1422BC7B">
      <w:pPr>
        <w:pStyle w:val="42"/>
        <w:shd w:val="clear" w:color="auto" w:fill="auto"/>
        <w:tabs>
          <w:tab w:val="center" w:pos="7411"/>
        </w:tabs>
        <w:spacing w:before="0" w:line="360" w:lineRule="auto"/>
        <w:ind w:left="686" w:leftChars="312" w:firstLine="3168" w:firstLineChars="1509"/>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法定代表人：</w:t>
      </w:r>
      <w:r>
        <w:rPr>
          <w:rStyle w:val="43"/>
          <w:rFonts w:hint="eastAsia" w:ascii="宋体" w:hAnsi="宋体" w:eastAsia="宋体" w:cs="宋体"/>
          <w:color w:val="auto"/>
          <w:sz w:val="21"/>
          <w:szCs w:val="21"/>
          <w:highlight w:val="none"/>
          <w:u w:val="single"/>
        </w:rPr>
        <w:tab/>
      </w:r>
      <w:r>
        <w:rPr>
          <w:rStyle w:val="44"/>
          <w:rFonts w:hint="eastAsia" w:ascii="宋体" w:hAnsi="宋体" w:eastAsia="宋体" w:cs="宋体"/>
          <w:color w:val="auto"/>
          <w:sz w:val="21"/>
          <w:szCs w:val="21"/>
          <w:highlight w:val="none"/>
        </w:rPr>
        <w:t>(职务）</w:t>
      </w:r>
    </w:p>
    <w:p w14:paraId="0E957799">
      <w:pPr>
        <w:pStyle w:val="42"/>
        <w:shd w:val="clear" w:color="auto" w:fill="auto"/>
        <w:tabs>
          <w:tab w:val="center" w:leader="underscore" w:pos="7411"/>
        </w:tabs>
        <w:spacing w:before="0" w:line="360" w:lineRule="auto"/>
        <w:ind w:left="614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ab/>
      </w:r>
      <w:r>
        <w:rPr>
          <w:rStyle w:val="44"/>
          <w:rFonts w:hint="eastAsia" w:ascii="宋体" w:hAnsi="宋体" w:eastAsia="宋体" w:cs="宋体"/>
          <w:color w:val="auto"/>
          <w:sz w:val="21"/>
          <w:szCs w:val="21"/>
          <w:highlight w:val="none"/>
        </w:rPr>
        <w:t>(姓名）</w:t>
      </w:r>
    </w:p>
    <w:p w14:paraId="33CCE642">
      <w:pPr>
        <w:pStyle w:val="45"/>
        <w:shd w:val="clear" w:color="auto" w:fill="auto"/>
        <w:tabs>
          <w:tab w:val="center" w:leader="underscore" w:pos="7411"/>
          <w:tab w:val="left" w:leader="underscore" w:pos="8698"/>
        </w:tabs>
        <w:spacing w:line="360" w:lineRule="auto"/>
        <w:ind w:left="6140" w:firstLine="422"/>
        <w:jc w:val="both"/>
        <w:rPr>
          <w:rFonts w:ascii="宋体" w:hAnsi="宋体" w:eastAsia="宋体"/>
          <w:color w:val="auto"/>
          <w:sz w:val="21"/>
          <w:szCs w:val="21"/>
          <w:highlight w:val="none"/>
        </w:rPr>
      </w:pPr>
      <w:r>
        <w:rPr>
          <w:rFonts w:hint="eastAsia" w:ascii="宋体" w:hAnsi="宋体" w:eastAsia="宋体"/>
          <w:color w:val="auto"/>
          <w:sz w:val="21"/>
          <w:szCs w:val="21"/>
          <w:highlight w:val="none"/>
        </w:rPr>
        <w:tab/>
      </w:r>
      <w:r>
        <w:rPr>
          <w:rStyle w:val="46"/>
          <w:rFonts w:hint="eastAsia" w:ascii="宋体" w:hAnsi="宋体" w:eastAsia="宋体" w:cs="宋体"/>
          <w:b w:val="0"/>
          <w:bCs w:val="0"/>
          <w:color w:val="auto"/>
          <w:sz w:val="21"/>
          <w:szCs w:val="21"/>
          <w:highlight w:val="none"/>
        </w:rPr>
        <w:t>(签字)</w:t>
      </w:r>
      <w:r>
        <w:rPr>
          <w:rFonts w:hint="eastAsia" w:ascii="宋体" w:hAnsi="宋体" w:eastAsia="宋体"/>
          <w:color w:val="auto"/>
          <w:sz w:val="21"/>
          <w:szCs w:val="21"/>
          <w:highlight w:val="none"/>
        </w:rPr>
        <w:tab/>
      </w:r>
    </w:p>
    <w:p w14:paraId="4C74F0E0">
      <w:pPr>
        <w:pStyle w:val="42"/>
        <w:shd w:val="clear" w:color="auto" w:fill="auto"/>
        <w:tabs>
          <w:tab w:val="left" w:leader="underscore" w:pos="6502"/>
          <w:tab w:val="left" w:leader="underscore" w:pos="7348"/>
          <w:tab w:val="left" w:leader="underscore" w:pos="8182"/>
        </w:tabs>
        <w:spacing w:before="0" w:after="1283" w:line="360" w:lineRule="auto"/>
        <w:ind w:left="5660" w:firstLine="420"/>
        <w:jc w:val="both"/>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年</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日</w:t>
      </w:r>
    </w:p>
    <w:p w14:paraId="0BE4DF0A">
      <w:pPr>
        <w:pStyle w:val="42"/>
        <w:shd w:val="clear" w:color="auto" w:fill="auto"/>
        <w:tabs>
          <w:tab w:val="left" w:leader="underscore" w:pos="6502"/>
          <w:tab w:val="left" w:leader="underscore" w:pos="7348"/>
          <w:tab w:val="left" w:leader="underscore" w:pos="8182"/>
        </w:tabs>
        <w:spacing w:before="0" w:after="1283" w:line="240" w:lineRule="auto"/>
        <w:ind w:firstLine="440"/>
        <w:jc w:val="both"/>
        <w:rPr>
          <w:rStyle w:val="43"/>
          <w:rFonts w:ascii="宋体" w:hAnsi="宋体" w:eastAsia="宋体" w:cs="宋体"/>
          <w:color w:val="auto"/>
          <w:highlight w:val="none"/>
        </w:rPr>
      </w:pPr>
    </w:p>
    <w:p w14:paraId="270D97D3">
      <w:pPr>
        <w:ind w:firstLine="440"/>
        <w:rPr>
          <w:color w:val="auto"/>
          <w:highlight w:val="none"/>
        </w:rPr>
      </w:pPr>
      <w:r>
        <w:rPr>
          <w:rStyle w:val="43"/>
          <w:rFonts w:hint="eastAsia" w:ascii="宋体" w:hAnsi="宋体" w:eastAsia="宋体" w:cs="宋体"/>
          <w:color w:val="auto"/>
          <w:highlight w:val="none"/>
        </w:rPr>
        <w:t>抄送：</w:t>
      </w:r>
      <w:r>
        <w:rPr>
          <w:rStyle w:val="43"/>
          <w:rFonts w:hint="eastAsia" w:ascii="宋体" w:hAnsi="宋体" w:eastAsia="宋体" w:cs="宋体"/>
          <w:color w:val="auto"/>
          <w:highlight w:val="none"/>
        </w:rPr>
        <w:tab/>
      </w:r>
      <w:r>
        <w:rPr>
          <w:rStyle w:val="44"/>
          <w:rFonts w:hint="eastAsia" w:ascii="宋体" w:hAnsi="宋体" w:eastAsia="宋体" w:cs="宋体"/>
          <w:color w:val="auto"/>
          <w:highlight w:val="none"/>
        </w:rPr>
        <w:t>(监理人)</w:t>
      </w:r>
      <w:bookmarkStart w:id="174" w:name="第六章_响应文件（格式）"/>
      <w:bookmarkEnd w:id="174"/>
    </w:p>
    <w:p w14:paraId="453DB896">
      <w:pPr>
        <w:ind w:firstLine="420"/>
        <w:rPr>
          <w:color w:val="auto"/>
          <w:highlight w:val="none"/>
        </w:rPr>
      </w:pPr>
    </w:p>
    <w:p w14:paraId="6FBCCB56">
      <w:pPr>
        <w:pStyle w:val="13"/>
        <w:rPr>
          <w:color w:val="auto"/>
          <w:highlight w:val="none"/>
        </w:rPr>
      </w:pPr>
    </w:p>
    <w:p w14:paraId="4FCACBB9">
      <w:pPr>
        <w:ind w:firstLine="420"/>
        <w:rPr>
          <w:color w:val="auto"/>
          <w:highlight w:val="none"/>
        </w:rPr>
      </w:pPr>
    </w:p>
    <w:p w14:paraId="658ECD65">
      <w:pPr>
        <w:pStyle w:val="13"/>
        <w:rPr>
          <w:color w:val="auto"/>
          <w:highlight w:val="none"/>
        </w:rPr>
      </w:pPr>
    </w:p>
    <w:p w14:paraId="1D3871BD">
      <w:pPr>
        <w:ind w:firstLine="420"/>
        <w:rPr>
          <w:color w:val="auto"/>
          <w:highlight w:val="none"/>
        </w:rPr>
      </w:pPr>
    </w:p>
    <w:p w14:paraId="0E4E92A1">
      <w:pPr>
        <w:pStyle w:val="13"/>
        <w:rPr>
          <w:color w:val="auto"/>
          <w:highlight w:val="none"/>
        </w:rPr>
      </w:pPr>
    </w:p>
    <w:p w14:paraId="2CFC3DEC">
      <w:pPr>
        <w:ind w:firstLine="420"/>
        <w:rPr>
          <w:color w:val="auto"/>
          <w:highlight w:val="none"/>
        </w:rPr>
      </w:pPr>
    </w:p>
    <w:p w14:paraId="4D4A77E7">
      <w:pPr>
        <w:pStyle w:val="13"/>
        <w:rPr>
          <w:color w:val="auto"/>
          <w:highlight w:val="none"/>
        </w:rPr>
      </w:pPr>
    </w:p>
    <w:p w14:paraId="05044BDB">
      <w:pPr>
        <w:ind w:firstLine="420"/>
        <w:rPr>
          <w:color w:val="auto"/>
          <w:highlight w:val="none"/>
        </w:rPr>
      </w:pPr>
    </w:p>
    <w:p w14:paraId="7B1E91E2">
      <w:pPr>
        <w:pStyle w:val="13"/>
        <w:rPr>
          <w:color w:val="auto"/>
          <w:highlight w:val="none"/>
        </w:rPr>
      </w:pPr>
    </w:p>
    <w:p w14:paraId="0694E7E9">
      <w:pPr>
        <w:ind w:firstLine="420"/>
        <w:rPr>
          <w:color w:val="auto"/>
          <w:highlight w:val="none"/>
        </w:rPr>
      </w:pPr>
    </w:p>
    <w:p w14:paraId="3A26AB51">
      <w:pPr>
        <w:pStyle w:val="13"/>
        <w:rPr>
          <w:color w:val="auto"/>
          <w:highlight w:val="none"/>
        </w:rPr>
      </w:pPr>
    </w:p>
    <w:p w14:paraId="43C69AA6">
      <w:pPr>
        <w:ind w:firstLine="420"/>
        <w:rPr>
          <w:color w:val="auto"/>
          <w:highlight w:val="none"/>
        </w:rPr>
      </w:pPr>
    </w:p>
    <w:p w14:paraId="7FF6974E">
      <w:pPr>
        <w:pStyle w:val="13"/>
        <w:rPr>
          <w:color w:val="auto"/>
          <w:highlight w:val="none"/>
        </w:rPr>
      </w:pPr>
    </w:p>
    <w:p w14:paraId="3076F39D">
      <w:pPr>
        <w:ind w:firstLine="420"/>
        <w:rPr>
          <w:color w:val="auto"/>
          <w:highlight w:val="none"/>
        </w:rPr>
      </w:pPr>
    </w:p>
    <w:p w14:paraId="7EE3035C">
      <w:pPr>
        <w:pStyle w:val="13"/>
        <w:rPr>
          <w:color w:val="auto"/>
          <w:highlight w:val="none"/>
        </w:rPr>
      </w:pPr>
    </w:p>
    <w:p w14:paraId="3C2776B5">
      <w:pPr>
        <w:ind w:firstLine="420"/>
        <w:rPr>
          <w:color w:val="auto"/>
          <w:highlight w:val="none"/>
        </w:rPr>
      </w:pPr>
    </w:p>
    <w:p w14:paraId="7D491810">
      <w:pPr>
        <w:pStyle w:val="13"/>
        <w:rPr>
          <w:color w:val="auto"/>
          <w:highlight w:val="none"/>
        </w:rPr>
      </w:pPr>
    </w:p>
    <w:p w14:paraId="4551ADDF">
      <w:pPr>
        <w:ind w:firstLine="420"/>
        <w:rPr>
          <w:color w:val="auto"/>
          <w:highlight w:val="none"/>
        </w:rPr>
      </w:pPr>
    </w:p>
    <w:p w14:paraId="566E5F82">
      <w:pPr>
        <w:pStyle w:val="13"/>
        <w:rPr>
          <w:color w:val="auto"/>
          <w:highlight w:val="none"/>
        </w:rPr>
      </w:pPr>
    </w:p>
    <w:p w14:paraId="456E3640">
      <w:pPr>
        <w:pStyle w:val="5"/>
        <w:ind w:firstLine="422"/>
        <w:rPr>
          <w:color w:val="auto"/>
          <w:sz w:val="21"/>
          <w:szCs w:val="21"/>
          <w:highlight w:val="none"/>
        </w:rPr>
      </w:pPr>
      <w:bookmarkStart w:id="175" w:name="_Toc394929422"/>
      <w:r>
        <w:rPr>
          <w:rFonts w:hint="eastAsia"/>
          <w:color w:val="auto"/>
          <w:sz w:val="21"/>
          <w:szCs w:val="21"/>
          <w:highlight w:val="none"/>
        </w:rPr>
        <w:t>附件七  履约担保格式</w:t>
      </w:r>
      <w:bookmarkEnd w:id="175"/>
    </w:p>
    <w:p w14:paraId="6495972F">
      <w:pPr>
        <w:pStyle w:val="42"/>
        <w:shd w:val="clear" w:color="auto" w:fill="auto"/>
        <w:spacing w:before="0" w:after="508" w:line="440" w:lineRule="exact"/>
        <w:ind w:firstLine="42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如采用银行保函，格式如下。</w:t>
      </w:r>
    </w:p>
    <w:p w14:paraId="058C34BF">
      <w:pPr>
        <w:spacing w:line="440" w:lineRule="exact"/>
        <w:ind w:firstLine="420"/>
        <w:jc w:val="center"/>
        <w:rPr>
          <w:color w:val="auto"/>
          <w:sz w:val="21"/>
          <w:szCs w:val="21"/>
          <w:highlight w:val="none"/>
        </w:rPr>
      </w:pPr>
      <w:bookmarkStart w:id="176" w:name="bookmark200"/>
      <w:r>
        <w:rPr>
          <w:rStyle w:val="47"/>
          <w:rFonts w:hint="eastAsia" w:ascii="宋体" w:hAnsi="宋体" w:eastAsia="宋体" w:cs="宋体"/>
          <w:color w:val="auto"/>
          <w:sz w:val="21"/>
          <w:szCs w:val="21"/>
          <w:highlight w:val="none"/>
        </w:rPr>
        <w:t>履约保证金</w:t>
      </w:r>
      <w:bookmarkEnd w:id="176"/>
    </w:p>
    <w:p w14:paraId="496A692D">
      <w:pPr>
        <w:pStyle w:val="42"/>
        <w:shd w:val="clear" w:color="auto" w:fill="auto"/>
        <w:tabs>
          <w:tab w:val="left" w:leader="underscore" w:pos="2222"/>
        </w:tabs>
        <w:spacing w:before="0" w:after="388" w:line="440" w:lineRule="exact"/>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 xml:space="preserve"> (发包人名称）：</w:t>
      </w:r>
    </w:p>
    <w:p w14:paraId="5E069B84">
      <w:pPr>
        <w:pStyle w:val="42"/>
        <w:shd w:val="clear" w:color="auto" w:fill="auto"/>
        <w:tabs>
          <w:tab w:val="left" w:leader="underscore" w:pos="2964"/>
          <w:tab w:val="left" w:leader="underscore" w:pos="8141"/>
        </w:tabs>
        <w:spacing w:before="0" w:line="440" w:lineRule="exact"/>
        <w:ind w:left="54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鉴于</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 xml:space="preserve"> (发包人名称，以下简称“发包人”）接受</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 xml:space="preserve"> (承</w:t>
      </w:r>
    </w:p>
    <w:p w14:paraId="13B42ABB">
      <w:pPr>
        <w:pStyle w:val="42"/>
        <w:shd w:val="clear" w:color="auto" w:fill="auto"/>
        <w:tabs>
          <w:tab w:val="left" w:leader="underscore" w:pos="4142"/>
          <w:tab w:val="left" w:leader="underscore" w:pos="7690"/>
        </w:tabs>
        <w:spacing w:before="0" w:line="440" w:lineRule="exact"/>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包人名称，以下简称“承包人”）于</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年_月_日参加</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 xml:space="preserve"> (项目名</w:t>
      </w:r>
    </w:p>
    <w:p w14:paraId="21F69CE8">
      <w:pPr>
        <w:pStyle w:val="42"/>
        <w:shd w:val="clear" w:color="auto" w:fill="auto"/>
        <w:tabs>
          <w:tab w:val="left" w:leader="underscore" w:pos="1594"/>
        </w:tabs>
        <w:spacing w:before="0" w:line="440" w:lineRule="exact"/>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称）</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235D0A28">
      <w:pPr>
        <w:pStyle w:val="42"/>
        <w:numPr>
          <w:ilvl w:val="0"/>
          <w:numId w:val="4"/>
        </w:numPr>
        <w:shd w:val="clear" w:color="auto" w:fill="auto"/>
        <w:tabs>
          <w:tab w:val="left" w:leader="underscore" w:pos="5374"/>
          <w:tab w:val="left" w:leader="underscore" w:pos="7690"/>
        </w:tabs>
        <w:spacing w:before="0" w:line="440" w:lineRule="exact"/>
        <w:ind w:left="54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 xml:space="preserve"> 担保金额人民币（大写）</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元（¥</w:t>
      </w:r>
      <w:r>
        <w:rPr>
          <w:rStyle w:val="43"/>
          <w:rFonts w:hint="eastAsia" w:ascii="宋体" w:hAnsi="宋体" w:eastAsia="宋体" w:cs="宋体"/>
          <w:color w:val="auto"/>
          <w:sz w:val="21"/>
          <w:szCs w:val="21"/>
          <w:highlight w:val="none"/>
        </w:rPr>
        <w:tab/>
      </w:r>
      <w:r>
        <w:rPr>
          <w:rStyle w:val="43"/>
          <w:rFonts w:hint="eastAsia" w:ascii="宋体" w:hAnsi="宋体" w:eastAsia="宋体" w:cs="宋体"/>
          <w:color w:val="auto"/>
          <w:sz w:val="21"/>
          <w:szCs w:val="21"/>
          <w:highlight w:val="none"/>
        </w:rPr>
        <w:t>)。</w:t>
      </w:r>
    </w:p>
    <w:p w14:paraId="6FEACC49">
      <w:pPr>
        <w:pStyle w:val="42"/>
        <w:numPr>
          <w:ilvl w:val="0"/>
          <w:numId w:val="4"/>
        </w:numPr>
        <w:shd w:val="clear" w:color="auto" w:fill="auto"/>
        <w:tabs>
          <w:tab w:val="left" w:pos="824"/>
        </w:tabs>
        <w:spacing w:before="0" w:line="440" w:lineRule="exact"/>
        <w:ind w:firstLine="420"/>
        <w:jc w:val="left"/>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担保有效期自发包人与承包人签订的合同生效之日起至发包人签发交工验收证书且承包人按照合同约定缴纳质量保证金之日止。</w:t>
      </w:r>
    </w:p>
    <w:p w14:paraId="5A72D9D3">
      <w:pPr>
        <w:pStyle w:val="42"/>
        <w:numPr>
          <w:ilvl w:val="0"/>
          <w:numId w:val="4"/>
        </w:numPr>
        <w:shd w:val="clear" w:color="auto" w:fill="auto"/>
        <w:tabs>
          <w:tab w:val="left" w:pos="838"/>
        </w:tabs>
        <w:spacing w:before="0" w:line="440" w:lineRule="exact"/>
        <w:ind w:firstLine="420"/>
        <w:jc w:val="left"/>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在本担保有效期内，因承包人违反合同约定的义务给你方造成经济损失时，我方在收到你方以书面形式提出的在担保金额内的赔偿要求后，在7日内无条件支付，无须你方出具证明或陈述理由。</w:t>
      </w:r>
    </w:p>
    <w:p w14:paraId="4C170CD7">
      <w:pPr>
        <w:pStyle w:val="42"/>
        <w:numPr>
          <w:ilvl w:val="0"/>
          <w:numId w:val="4"/>
        </w:numPr>
        <w:shd w:val="clear" w:color="auto" w:fill="auto"/>
        <w:tabs>
          <w:tab w:val="left" w:pos="831"/>
        </w:tabs>
        <w:spacing w:before="0" w:after="782" w:line="440" w:lineRule="exact"/>
        <w:ind w:firstLine="420"/>
        <w:jc w:val="left"/>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发包人和承包人按合同条款第15条变更合同时，无论我方是否收到该变更，我方承担本担保规定的义务不变。</w:t>
      </w:r>
    </w:p>
    <w:p w14:paraId="3651F184">
      <w:pPr>
        <w:pStyle w:val="42"/>
        <w:shd w:val="clear" w:color="auto" w:fill="auto"/>
        <w:tabs>
          <w:tab w:val="left" w:leader="underscore" w:pos="6557"/>
        </w:tabs>
        <w:spacing w:before="0" w:line="440" w:lineRule="exact"/>
        <w:ind w:left="3540"/>
        <w:jc w:val="both"/>
        <w:rPr>
          <w:rFonts w:ascii="宋体" w:hAnsi="宋体" w:eastAsia="宋体"/>
          <w:color w:val="auto"/>
          <w:sz w:val="21"/>
          <w:szCs w:val="21"/>
          <w:highlight w:val="none"/>
        </w:rPr>
      </w:pPr>
      <w:r>
        <w:rPr>
          <w:rFonts w:ascii="宋体" w:hAnsi="宋体" w:eastAsia="宋体"/>
          <w:color w:val="auto"/>
          <w:sz w:val="21"/>
          <w:szCs w:val="21"/>
          <w:highlight w:val="none"/>
        </w:rPr>
        <mc:AlternateContent>
          <mc:Choice Requires="wps">
            <w:drawing>
              <wp:anchor distT="0" distB="413385" distL="567055" distR="63500" simplePos="0" relativeHeight="251669504" behindDoc="1" locked="0" layoutInCell="1" allowOverlap="1">
                <wp:simplePos x="0" y="0"/>
                <wp:positionH relativeFrom="margin">
                  <wp:posOffset>4727575</wp:posOffset>
                </wp:positionH>
                <wp:positionV relativeFrom="paragraph">
                  <wp:posOffset>-67310</wp:posOffset>
                </wp:positionV>
                <wp:extent cx="841375" cy="502920"/>
                <wp:effectExtent l="0" t="0" r="0" b="0"/>
                <wp:wrapSquare wrapText="left"/>
                <wp:docPr id="4" name="文本框 3"/>
                <wp:cNvGraphicFramePr/>
                <a:graphic xmlns:a="http://schemas.openxmlformats.org/drawingml/2006/main">
                  <a:graphicData uri="http://schemas.microsoft.com/office/word/2010/wordprocessingShape">
                    <wps:wsp>
                      <wps:cNvSpPr txBox="1"/>
                      <wps:spPr>
                        <a:xfrm>
                          <a:off x="0" y="0"/>
                          <a:ext cx="841375" cy="502920"/>
                        </a:xfrm>
                        <a:prstGeom prst="rect">
                          <a:avLst/>
                        </a:prstGeom>
                        <a:noFill/>
                        <a:ln>
                          <a:noFill/>
                        </a:ln>
                        <a:effectLst/>
                      </wps:spPr>
                      <wps:txbx>
                        <w:txbxContent>
                          <w:p w14:paraId="63D88F62">
                            <w:pPr>
                              <w:pStyle w:val="42"/>
                              <w:shd w:val="clear" w:color="auto" w:fill="auto"/>
                              <w:tabs>
                                <w:tab w:val="left" w:leader="underscore" w:pos="470"/>
                              </w:tabs>
                              <w:spacing w:before="0" w:line="396" w:lineRule="exact"/>
                              <w:jc w:val="both"/>
                            </w:pPr>
                            <w:r>
                              <w:rPr>
                                <w:rStyle w:val="50"/>
                              </w:rPr>
                              <w:t>(</w:t>
                            </w:r>
                            <w:r>
                              <w:rPr>
                                <w:rStyle w:val="50"/>
                                <w:rFonts w:hint="eastAsia"/>
                              </w:rPr>
                              <w:t>盖单位章）</w:t>
                            </w:r>
                            <w:r>
                              <w:rPr>
                                <w:rStyle w:val="50"/>
                              </w:rPr>
                              <w:tab/>
                            </w:r>
                            <w:r>
                              <w:rPr>
                                <w:rStyle w:val="50"/>
                              </w:rPr>
                              <w:t>(</w:t>
                            </w:r>
                            <w:r>
                              <w:rPr>
                                <w:rStyle w:val="50"/>
                                <w:rFonts w:hint="eastAsia"/>
                              </w:rPr>
                              <w:t>签字</w:t>
                            </w:r>
                            <w:r>
                              <w:rPr>
                                <w:rStyle w:val="50"/>
                                <w:rFonts w:hint="eastAsia"/>
                                <w:lang w:eastAsia="en-US"/>
                              </w:rPr>
                              <w:t>）</w:t>
                            </w:r>
                          </w:p>
                        </w:txbxContent>
                      </wps:txbx>
                      <wps:bodyPr vert="horz" wrap="square" lIns="0" tIns="0" rIns="0" bIns="0" anchor="t" anchorCtr="0" upright="1">
                        <a:spAutoFit/>
                      </wps:bodyPr>
                    </wps:wsp>
                  </a:graphicData>
                </a:graphic>
              </wp:anchor>
            </w:drawing>
          </mc:Choice>
          <mc:Fallback>
            <w:pict>
              <v:shape id="文本框 3" o:spid="_x0000_s1026" o:spt="202" type="#_x0000_t202" style="position:absolute;left:0pt;margin-left:372.25pt;margin-top:-5.3pt;height:39.6pt;width:66.25pt;mso-position-horizontal-relative:margin;mso-wrap-distance-bottom:32.55pt;mso-wrap-distance-left:44.65pt;mso-wrap-distance-right:5pt;mso-wrap-distance-top:0pt;z-index:-251646976;mso-width-relative:page;mso-height-relative:page;" filled="f" stroked="f" coordsize="21600,21600" o:gfxdata="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MbEH1wAAAAoBAAAPAAAAAAAAAAEAIAAAACIAAABkcnMvZG93bnJldi54bWxQSwECFAAUAAAACACH&#10;TuJA13LrIuwBAADMAwAADgAAAAAAAAABACAAAAAmAQAAZHJzL2Uyb0RvYy54bWxQSwUGAAAAAAYA&#10;BgBZAQAAhAUAAAAA&#10;">
                <v:fill on="f" focussize="0,0"/>
                <v:stroke on="f"/>
                <v:imagedata o:title=""/>
                <o:lock v:ext="edit" aspectratio="f"/>
                <v:textbox inset="0mm,0mm,0mm,0mm" style="mso-fit-shape-to-text:t;">
                  <w:txbxContent>
                    <w:p w14:paraId="63D88F62">
                      <w:pPr>
                        <w:pStyle w:val="42"/>
                        <w:shd w:val="clear" w:color="auto" w:fill="auto"/>
                        <w:tabs>
                          <w:tab w:val="left" w:leader="underscore" w:pos="470"/>
                        </w:tabs>
                        <w:spacing w:before="0" w:line="396" w:lineRule="exact"/>
                        <w:jc w:val="both"/>
                      </w:pPr>
                      <w:r>
                        <w:rPr>
                          <w:rStyle w:val="50"/>
                        </w:rPr>
                        <w:t>(</w:t>
                      </w:r>
                      <w:r>
                        <w:rPr>
                          <w:rStyle w:val="50"/>
                          <w:rFonts w:hint="eastAsia"/>
                        </w:rPr>
                        <w:t>盖单位章）</w:t>
                      </w:r>
                      <w:r>
                        <w:rPr>
                          <w:rStyle w:val="50"/>
                        </w:rPr>
                        <w:tab/>
                      </w:r>
                      <w:r>
                        <w:rPr>
                          <w:rStyle w:val="50"/>
                        </w:rPr>
                        <w:t>(</w:t>
                      </w:r>
                      <w:r>
                        <w:rPr>
                          <w:rStyle w:val="50"/>
                          <w:rFonts w:hint="eastAsia"/>
                        </w:rPr>
                        <w:t>签字</w:t>
                      </w:r>
                      <w:r>
                        <w:rPr>
                          <w:rStyle w:val="50"/>
                          <w:rFonts w:hint="eastAsia"/>
                          <w:lang w:eastAsia="en-US"/>
                        </w:rPr>
                        <w:t>）</w:t>
                      </w:r>
                    </w:p>
                  </w:txbxContent>
                </v:textbox>
                <w10:wrap type="square" side="left"/>
              </v:shape>
            </w:pict>
          </mc:Fallback>
        </mc:AlternateContent>
      </w:r>
      <w:r>
        <w:rPr>
          <w:rStyle w:val="43"/>
          <w:rFonts w:hint="eastAsia" w:ascii="宋体" w:hAnsi="宋体" w:eastAsia="宋体" w:cs="宋体"/>
          <w:color w:val="auto"/>
          <w:sz w:val="21"/>
          <w:szCs w:val="21"/>
          <w:highlight w:val="none"/>
        </w:rPr>
        <w:t>担保人名称:</w:t>
      </w:r>
      <w:r>
        <w:rPr>
          <w:rStyle w:val="43"/>
          <w:rFonts w:hint="eastAsia" w:ascii="宋体" w:hAnsi="宋体" w:eastAsia="宋体" w:cs="宋体"/>
          <w:color w:val="auto"/>
          <w:sz w:val="21"/>
          <w:szCs w:val="21"/>
          <w:highlight w:val="none"/>
        </w:rPr>
        <w:tab/>
      </w:r>
    </w:p>
    <w:p w14:paraId="2A3C1221">
      <w:pPr>
        <w:pStyle w:val="42"/>
        <w:shd w:val="clear" w:color="auto" w:fill="auto"/>
        <w:spacing w:before="0" w:line="440" w:lineRule="exact"/>
        <w:ind w:left="3540"/>
        <w:jc w:val="both"/>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法定代表人或其委托代理人:</w:t>
      </w:r>
    </w:p>
    <w:p w14:paraId="6F83A419">
      <w:pPr>
        <w:pStyle w:val="42"/>
        <w:shd w:val="clear" w:color="auto" w:fill="auto"/>
        <w:spacing w:before="0" w:line="440" w:lineRule="exact"/>
        <w:ind w:left="3540"/>
        <w:jc w:val="both"/>
        <w:rPr>
          <w:rFonts w:ascii="宋体" w:hAnsi="宋体" w:eastAsia="宋体"/>
          <w:color w:val="auto"/>
          <w:sz w:val="21"/>
          <w:szCs w:val="21"/>
          <w:highlight w:val="none"/>
        </w:rPr>
      </w:pPr>
      <w:r>
        <w:rPr>
          <w:rStyle w:val="43"/>
          <w:rFonts w:hint="eastAsia" w:ascii="宋体" w:hAnsi="宋体" w:eastAsia="宋体" w:cs="宋体"/>
          <w:color w:val="auto"/>
          <w:sz w:val="21"/>
          <w:szCs w:val="21"/>
          <w:highlight w:val="none"/>
        </w:rPr>
        <w:t xml:space="preserve"> 地 址：</w:t>
      </w:r>
    </w:p>
    <w:p w14:paraId="30100DB8">
      <w:pPr>
        <w:pStyle w:val="42"/>
        <w:shd w:val="clear" w:color="auto" w:fill="auto"/>
        <w:spacing w:before="0" w:line="440" w:lineRule="exact"/>
        <w:ind w:left="3709" w:leftChars="1686"/>
        <w:jc w:val="both"/>
        <w:rPr>
          <w:rFonts w:ascii="宋体" w:hAnsi="宋体" w:eastAsia="宋体"/>
          <w:color w:val="auto"/>
          <w:sz w:val="21"/>
          <w:szCs w:val="21"/>
          <w:highlight w:val="none"/>
        </w:rPr>
      </w:pPr>
      <w:r>
        <w:rPr>
          <w:rFonts w:ascii="宋体" w:hAnsi="宋体" w:eastAsia="宋体"/>
          <w:color w:val="auto"/>
          <w:sz w:val="21"/>
          <w:szCs w:val="21"/>
          <w:highlight w:val="none"/>
        </w:rPr>
        <mc:AlternateContent>
          <mc:Choice Requires="wps">
            <w:drawing>
              <wp:anchor distT="0" distB="222250" distL="114300" distR="114300" simplePos="0" relativeHeight="251670528" behindDoc="1" locked="0" layoutInCell="1" allowOverlap="1">
                <wp:simplePos x="0" y="0"/>
                <wp:positionH relativeFrom="margin">
                  <wp:posOffset>2197735</wp:posOffset>
                </wp:positionH>
                <wp:positionV relativeFrom="paragraph">
                  <wp:posOffset>224155</wp:posOffset>
                </wp:positionV>
                <wp:extent cx="231775" cy="356235"/>
                <wp:effectExtent l="0" t="0" r="0" b="0"/>
                <wp:wrapTopAndBottom/>
                <wp:docPr id="11" name="文本框 4"/>
                <wp:cNvGraphicFramePr/>
                <a:graphic xmlns:a="http://schemas.openxmlformats.org/drawingml/2006/main">
                  <a:graphicData uri="http://schemas.microsoft.com/office/word/2010/wordprocessingShape">
                    <wps:wsp>
                      <wps:cNvSpPr txBox="1"/>
                      <wps:spPr>
                        <a:xfrm>
                          <a:off x="0" y="0"/>
                          <a:ext cx="231775" cy="356235"/>
                        </a:xfrm>
                        <a:prstGeom prst="rect">
                          <a:avLst/>
                        </a:prstGeom>
                        <a:noFill/>
                        <a:ln>
                          <a:noFill/>
                        </a:ln>
                        <a:effectLst/>
                      </wps:spPr>
                      <wps:txbx>
                        <w:txbxContent>
                          <w:p w14:paraId="69B04684">
                            <w:pPr>
                              <w:pStyle w:val="42"/>
                              <w:shd w:val="clear" w:color="auto" w:fill="auto"/>
                              <w:spacing w:before="0" w:after="121" w:line="220" w:lineRule="exact"/>
                              <w:jc w:val="left"/>
                            </w:pPr>
                            <w:r>
                              <w:rPr>
                                <w:rStyle w:val="50"/>
                                <w:rFonts w:hint="eastAsia"/>
                              </w:rPr>
                              <w:t>电</w:t>
                            </w:r>
                          </w:p>
                          <w:p w14:paraId="2BB08C7A">
                            <w:pPr>
                              <w:pStyle w:val="42"/>
                              <w:shd w:val="clear" w:color="auto" w:fill="auto"/>
                              <w:spacing w:before="0" w:line="220" w:lineRule="exact"/>
                              <w:jc w:val="left"/>
                            </w:pPr>
                            <w:r>
                              <w:rPr>
                                <w:rStyle w:val="50"/>
                                <w:rFonts w:hint="eastAsia"/>
                              </w:rPr>
                              <w:t>传</w:t>
                            </w:r>
                          </w:p>
                        </w:txbxContent>
                      </wps:txbx>
                      <wps:bodyPr wrap="square" lIns="0" tIns="0" rIns="0" bIns="0" upright="1">
                        <a:spAutoFit/>
                      </wps:bodyPr>
                    </wps:wsp>
                  </a:graphicData>
                </a:graphic>
              </wp:anchor>
            </w:drawing>
          </mc:Choice>
          <mc:Fallback>
            <w:pict>
              <v:shape id="文本框 4" o:spid="_x0000_s1026" o:spt="202" type="#_x0000_t202" style="position:absolute;left:0pt;margin-left:173.05pt;margin-top:17.65pt;height:28.05pt;width:18.25pt;mso-position-horizontal-relative:margin;mso-wrap-distance-bottom:17.5pt;mso-wrap-distance-top:0pt;z-index:-251645952;mso-width-relative:page;mso-height-relative:page;" filled="f" stroked="f" coordsize="21600,21600" o:gfxdata="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0d2XHXAAAACQEAAA8AAAAAAAAAAQAg&#10;AAAAIgAAAGRycy9kb3ducmV2LnhtbFBLAQIUABQAAAAIAIdO4kAjYQha1gEAAKgDAAAOAAAAAAAA&#10;AAEAIAAAACYBAABkcnMvZTJvRG9jLnhtbFBLBQYAAAAABgAGAFkBAABuBQAAAAA=&#10;">
                <v:fill on="f" focussize="0,0"/>
                <v:stroke on="f"/>
                <v:imagedata o:title=""/>
                <o:lock v:ext="edit" aspectratio="f"/>
                <v:textbox inset="0mm,0mm,0mm,0mm" style="mso-fit-shape-to-text:t;">
                  <w:txbxContent>
                    <w:p w14:paraId="69B04684">
                      <w:pPr>
                        <w:pStyle w:val="42"/>
                        <w:shd w:val="clear" w:color="auto" w:fill="auto"/>
                        <w:spacing w:before="0" w:after="121" w:line="220" w:lineRule="exact"/>
                        <w:jc w:val="left"/>
                      </w:pPr>
                      <w:r>
                        <w:rPr>
                          <w:rStyle w:val="50"/>
                          <w:rFonts w:hint="eastAsia"/>
                        </w:rPr>
                        <w:t>电</w:t>
                      </w:r>
                    </w:p>
                    <w:p w14:paraId="2BB08C7A">
                      <w:pPr>
                        <w:pStyle w:val="42"/>
                        <w:shd w:val="clear" w:color="auto" w:fill="auto"/>
                        <w:spacing w:before="0" w:line="220" w:lineRule="exact"/>
                        <w:jc w:val="left"/>
                      </w:pPr>
                      <w:r>
                        <w:rPr>
                          <w:rStyle w:val="50"/>
                          <w:rFonts w:hint="eastAsia"/>
                        </w:rPr>
                        <w:t>传</w:t>
                      </w:r>
                    </w:p>
                  </w:txbxContent>
                </v:textbox>
                <w10:wrap type="topAndBottom"/>
              </v:shape>
            </w:pict>
          </mc:Fallback>
        </mc:AlternateContent>
      </w:r>
      <w:r>
        <w:rPr>
          <w:rFonts w:ascii="宋体" w:hAnsi="宋体" w:eastAsia="宋体"/>
          <w:color w:val="auto"/>
          <w:sz w:val="21"/>
          <w:szCs w:val="21"/>
          <w:highlight w:val="none"/>
        </w:rPr>
        <mc:AlternateContent>
          <mc:Choice Requires="wps">
            <w:drawing>
              <wp:anchor distT="0" distB="222250" distL="114300" distR="114300" simplePos="0" relativeHeight="251671552" behindDoc="1" locked="0" layoutInCell="1" allowOverlap="1">
                <wp:simplePos x="0" y="0"/>
                <wp:positionH relativeFrom="margin">
                  <wp:posOffset>2654935</wp:posOffset>
                </wp:positionH>
                <wp:positionV relativeFrom="paragraph">
                  <wp:posOffset>224155</wp:posOffset>
                </wp:positionV>
                <wp:extent cx="201295" cy="356235"/>
                <wp:effectExtent l="0" t="0" r="0" b="0"/>
                <wp:wrapTopAndBottom/>
                <wp:docPr id="12" name="文本框 5"/>
                <wp:cNvGraphicFramePr/>
                <a:graphic xmlns:a="http://schemas.openxmlformats.org/drawingml/2006/main">
                  <a:graphicData uri="http://schemas.microsoft.com/office/word/2010/wordprocessingShape">
                    <wps:wsp>
                      <wps:cNvSpPr txBox="1"/>
                      <wps:spPr>
                        <a:xfrm>
                          <a:off x="0" y="0"/>
                          <a:ext cx="201295" cy="356235"/>
                        </a:xfrm>
                        <a:prstGeom prst="rect">
                          <a:avLst/>
                        </a:prstGeom>
                        <a:noFill/>
                        <a:ln>
                          <a:noFill/>
                        </a:ln>
                        <a:effectLst/>
                      </wps:spPr>
                      <wps:txbx>
                        <w:txbxContent>
                          <w:p w14:paraId="41BB24CB">
                            <w:pPr>
                              <w:pStyle w:val="42"/>
                              <w:shd w:val="clear" w:color="auto" w:fill="auto"/>
                              <w:spacing w:before="0" w:after="121" w:line="220" w:lineRule="exact"/>
                              <w:jc w:val="left"/>
                            </w:pPr>
                            <w:r>
                              <w:rPr>
                                <w:rStyle w:val="50"/>
                                <w:rFonts w:hint="eastAsia"/>
                              </w:rPr>
                              <w:t>话</w:t>
                            </w:r>
                          </w:p>
                          <w:p w14:paraId="0FF42213">
                            <w:pPr>
                              <w:pStyle w:val="42"/>
                              <w:shd w:val="clear" w:color="auto" w:fill="auto"/>
                              <w:spacing w:before="0" w:line="220" w:lineRule="exact"/>
                              <w:jc w:val="left"/>
                            </w:pPr>
                            <w:r>
                              <w:rPr>
                                <w:rStyle w:val="50"/>
                                <w:rFonts w:hint="eastAsia"/>
                              </w:rPr>
                              <w:t>真</w:t>
                            </w:r>
                          </w:p>
                        </w:txbxContent>
                      </wps:txbx>
                      <wps:bodyPr wrap="square" lIns="0" tIns="0" rIns="0" bIns="0" upright="1">
                        <a:spAutoFit/>
                      </wps:bodyPr>
                    </wps:wsp>
                  </a:graphicData>
                </a:graphic>
              </wp:anchor>
            </w:drawing>
          </mc:Choice>
          <mc:Fallback>
            <w:pict>
              <v:shape id="文本框 5" o:spid="_x0000_s1026" o:spt="202" type="#_x0000_t202" style="position:absolute;left:0pt;margin-left:209.05pt;margin-top:17.65pt;height:28.05pt;width:15.85pt;mso-position-horizontal-relative:margin;mso-wrap-distance-bottom:17.5pt;mso-wrap-distance-top:0pt;z-index:-251644928;mso-width-relative:page;mso-height-relative:page;" filled="f" stroked="f" coordsize="21600,21600" o:gfxdata="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0eE7HWAAAACQEAAA8AAAAAAAAAAQAgAAAA&#10;IgAAAGRycy9kb3ducmV2LnhtbFBLAQIUABQAAAAIAIdO4kACqqnJ1AEAAKgDAAAOAAAAAAAAAAEA&#10;IAAAACUBAABkcnMvZTJvRG9jLnhtbFBLBQYAAAAABgAGAFkBAABrBQAAAAA=&#10;">
                <v:fill on="f" focussize="0,0"/>
                <v:stroke on="f"/>
                <v:imagedata o:title=""/>
                <o:lock v:ext="edit" aspectratio="f"/>
                <v:textbox inset="0mm,0mm,0mm,0mm" style="mso-fit-shape-to-text:t;">
                  <w:txbxContent>
                    <w:p w14:paraId="41BB24CB">
                      <w:pPr>
                        <w:pStyle w:val="42"/>
                        <w:shd w:val="clear" w:color="auto" w:fill="auto"/>
                        <w:spacing w:before="0" w:after="121" w:line="220" w:lineRule="exact"/>
                        <w:jc w:val="left"/>
                      </w:pPr>
                      <w:r>
                        <w:rPr>
                          <w:rStyle w:val="50"/>
                          <w:rFonts w:hint="eastAsia"/>
                        </w:rPr>
                        <w:t>话</w:t>
                      </w:r>
                    </w:p>
                    <w:p w14:paraId="0FF42213">
                      <w:pPr>
                        <w:pStyle w:val="42"/>
                        <w:shd w:val="clear" w:color="auto" w:fill="auto"/>
                        <w:spacing w:before="0" w:line="220" w:lineRule="exact"/>
                        <w:jc w:val="left"/>
                      </w:pPr>
                      <w:r>
                        <w:rPr>
                          <w:rStyle w:val="50"/>
                          <w:rFonts w:hint="eastAsia"/>
                        </w:rPr>
                        <w:t>真</w:t>
                      </w:r>
                    </w:p>
                  </w:txbxContent>
                </v:textbox>
                <w10:wrap type="topAndBottom"/>
              </v:shape>
            </w:pict>
          </mc:Fallback>
        </mc:AlternateContent>
      </w:r>
      <w:r>
        <w:rPr>
          <w:rFonts w:ascii="宋体" w:hAnsi="宋体" w:eastAsia="宋体"/>
          <w:color w:val="auto"/>
          <w:sz w:val="21"/>
          <w:szCs w:val="21"/>
          <w:highlight w:val="none"/>
        </w:rPr>
        <mc:AlternateContent>
          <mc:Choice Requires="wps">
            <w:drawing>
              <wp:anchor distT="0" distB="0" distL="114300" distR="114300" simplePos="0" relativeHeight="251672576" behindDoc="1" locked="0" layoutInCell="1" allowOverlap="1">
                <wp:simplePos x="0" y="0"/>
                <wp:positionH relativeFrom="margin">
                  <wp:posOffset>4117975</wp:posOffset>
                </wp:positionH>
                <wp:positionV relativeFrom="paragraph">
                  <wp:posOffset>735965</wp:posOffset>
                </wp:positionV>
                <wp:extent cx="231775" cy="139700"/>
                <wp:effectExtent l="0" t="0" r="0" b="0"/>
                <wp:wrapTopAndBottom/>
                <wp:docPr id="13" name="文本框 6"/>
                <wp:cNvGraphicFramePr/>
                <a:graphic xmlns:a="http://schemas.openxmlformats.org/drawingml/2006/main">
                  <a:graphicData uri="http://schemas.microsoft.com/office/word/2010/wordprocessingShape">
                    <wps:wsp>
                      <wps:cNvSpPr txBox="1"/>
                      <wps:spPr>
                        <a:xfrm>
                          <a:off x="0" y="0"/>
                          <a:ext cx="231775" cy="139700"/>
                        </a:xfrm>
                        <a:prstGeom prst="rect">
                          <a:avLst/>
                        </a:prstGeom>
                        <a:noFill/>
                        <a:ln>
                          <a:noFill/>
                        </a:ln>
                        <a:effectLst/>
                      </wps:spPr>
                      <wps:txbx>
                        <w:txbxContent>
                          <w:p w14:paraId="491C3D2E">
                            <w:pPr>
                              <w:pStyle w:val="42"/>
                              <w:shd w:val="clear" w:color="auto" w:fill="auto"/>
                              <w:spacing w:before="0" w:line="220" w:lineRule="exact"/>
                              <w:jc w:val="left"/>
                            </w:pPr>
                            <w:r>
                              <w:rPr>
                                <w:rStyle w:val="50"/>
                                <w:rFonts w:hint="eastAsia"/>
                              </w:rPr>
                              <w:t>年</w:t>
                            </w:r>
                          </w:p>
                        </w:txbxContent>
                      </wps:txbx>
                      <wps:bodyPr wrap="square" lIns="0" tIns="0" rIns="0" bIns="0" upright="1">
                        <a:spAutoFit/>
                      </wps:bodyPr>
                    </wps:wsp>
                  </a:graphicData>
                </a:graphic>
              </wp:anchor>
            </w:drawing>
          </mc:Choice>
          <mc:Fallback>
            <w:pict>
              <v:shape id="文本框 6" o:spid="_x0000_s1026" o:spt="202" type="#_x0000_t202" style="position:absolute;left:0pt;margin-left:324.25pt;margin-top:57.95pt;height:11pt;width:18.25pt;mso-position-horizontal-relative:margin;mso-wrap-distance-bottom:0pt;mso-wrap-distance-top:0pt;z-index:-251643904;mso-width-relative:page;mso-height-relative:page;" filled="f" stroked="f" coordsize="21600,21600" o:gfxdata="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u6Ti9cAAAALAQAADwAAAAAAAAABACAA&#10;AAAiAAAAZHJzL2Rvd25yZXYueG1sUEsBAhQAFAAAAAgAh07iQCP/pGDVAQAAqAMAAA4AAAAAAAAA&#10;AQAgAAAAJgEAAGRycy9lMm9Eb2MueG1sUEsFBgAAAAAGAAYAWQEAAG0FAAAAAA==&#10;">
                <v:fill on="f" focussize="0,0"/>
                <v:stroke on="f"/>
                <v:imagedata o:title=""/>
                <o:lock v:ext="edit" aspectratio="f"/>
                <v:textbox inset="0mm,0mm,0mm,0mm" style="mso-fit-shape-to-text:t;">
                  <w:txbxContent>
                    <w:p w14:paraId="491C3D2E">
                      <w:pPr>
                        <w:pStyle w:val="42"/>
                        <w:shd w:val="clear" w:color="auto" w:fill="auto"/>
                        <w:spacing w:before="0" w:line="220" w:lineRule="exact"/>
                        <w:jc w:val="left"/>
                      </w:pPr>
                      <w:r>
                        <w:rPr>
                          <w:rStyle w:val="50"/>
                          <w:rFonts w:hint="eastAsia"/>
                        </w:rPr>
                        <w:t>年</w:t>
                      </w:r>
                    </w:p>
                  </w:txbxContent>
                </v:textbox>
                <w10:wrap type="topAndBottom"/>
              </v:shape>
            </w:pict>
          </mc:Fallback>
        </mc:AlternateContent>
      </w:r>
      <w:r>
        <w:rPr>
          <w:rFonts w:ascii="宋体" w:hAnsi="宋体" w:eastAsia="宋体"/>
          <w:color w:val="auto"/>
          <w:sz w:val="21"/>
          <w:szCs w:val="21"/>
          <w:highlight w:val="none"/>
        </w:rPr>
        <mc:AlternateContent>
          <mc:Choice Requires="wps">
            <w:drawing>
              <wp:anchor distT="0" distB="0" distL="114300" distR="114300" simplePos="0" relativeHeight="251673600" behindDoc="1" locked="0" layoutInCell="1" allowOverlap="1">
                <wp:simplePos x="0" y="0"/>
                <wp:positionH relativeFrom="margin">
                  <wp:posOffset>4727575</wp:posOffset>
                </wp:positionH>
                <wp:positionV relativeFrom="paragraph">
                  <wp:posOffset>735965</wp:posOffset>
                </wp:positionV>
                <wp:extent cx="207010" cy="139700"/>
                <wp:effectExtent l="0" t="0" r="0" b="0"/>
                <wp:wrapTopAndBottom/>
                <wp:docPr id="17" name="文本框 7"/>
                <wp:cNvGraphicFramePr/>
                <a:graphic xmlns:a="http://schemas.openxmlformats.org/drawingml/2006/main">
                  <a:graphicData uri="http://schemas.microsoft.com/office/word/2010/wordprocessingShape">
                    <wps:wsp>
                      <wps:cNvSpPr txBox="1"/>
                      <wps:spPr>
                        <a:xfrm>
                          <a:off x="0" y="0"/>
                          <a:ext cx="207010" cy="139700"/>
                        </a:xfrm>
                        <a:prstGeom prst="rect">
                          <a:avLst/>
                        </a:prstGeom>
                        <a:noFill/>
                        <a:ln>
                          <a:noFill/>
                        </a:ln>
                        <a:effectLst/>
                      </wps:spPr>
                      <wps:txbx>
                        <w:txbxContent>
                          <w:p w14:paraId="7C1AA52A">
                            <w:pPr>
                              <w:pStyle w:val="42"/>
                              <w:shd w:val="clear" w:color="auto" w:fill="auto"/>
                              <w:spacing w:before="0" w:line="220" w:lineRule="exact"/>
                              <w:jc w:val="left"/>
                            </w:pPr>
                            <w:r>
                              <w:rPr>
                                <w:rStyle w:val="50"/>
                                <w:rFonts w:hint="eastAsia"/>
                              </w:rPr>
                              <w:t>月</w:t>
                            </w:r>
                          </w:p>
                        </w:txbxContent>
                      </wps:txbx>
                      <wps:bodyPr wrap="square" lIns="0" tIns="0" rIns="0" bIns="0" upright="1">
                        <a:spAutoFit/>
                      </wps:bodyPr>
                    </wps:wsp>
                  </a:graphicData>
                </a:graphic>
              </wp:anchor>
            </w:drawing>
          </mc:Choice>
          <mc:Fallback>
            <w:pict>
              <v:shape id="文本框 7" o:spid="_x0000_s1026" o:spt="202" type="#_x0000_t202" style="position:absolute;left:0pt;margin-left:372.25pt;margin-top:57.95pt;height:11pt;width:16.3pt;mso-position-horizontal-relative:margin;mso-wrap-distance-bottom:0pt;mso-wrap-distance-top:0pt;z-index:-251642880;mso-width-relative:page;mso-height-relative:page;" filled="f" stroked="f" coordsize="21600,21600" o:gfxdata="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rX3D1wAAAAsBAAAPAAAAAAAAAAEAIAAA&#10;ACIAAABkcnMvZG93bnJldi54bWxQSwECFAAUAAAACACHTuJAeMgIvNQBAACoAwAADgAAAAAAAAAB&#10;ACAAAAAmAQAAZHJzL2Uyb0RvYy54bWxQSwUGAAAAAAYABgBZAQAAbAUAAAAA&#10;">
                <v:fill on="f" focussize="0,0"/>
                <v:stroke on="f"/>
                <v:imagedata o:title=""/>
                <o:lock v:ext="edit" aspectratio="f"/>
                <v:textbox inset="0mm,0mm,0mm,0mm" style="mso-fit-shape-to-text:t;">
                  <w:txbxContent>
                    <w:p w14:paraId="7C1AA52A">
                      <w:pPr>
                        <w:pStyle w:val="42"/>
                        <w:shd w:val="clear" w:color="auto" w:fill="auto"/>
                        <w:spacing w:before="0" w:line="220" w:lineRule="exact"/>
                        <w:jc w:val="left"/>
                      </w:pPr>
                      <w:r>
                        <w:rPr>
                          <w:rStyle w:val="50"/>
                          <w:rFonts w:hint="eastAsia"/>
                        </w:rPr>
                        <w:t>月</w:t>
                      </w:r>
                    </w:p>
                  </w:txbxContent>
                </v:textbox>
                <w10:wrap type="topAndBottom"/>
              </v:shape>
            </w:pict>
          </mc:Fallback>
        </mc:AlternateContent>
      </w:r>
      <w:r>
        <w:rPr>
          <w:rFonts w:ascii="宋体" w:hAnsi="宋体" w:eastAsia="宋体"/>
          <w:color w:val="auto"/>
          <w:sz w:val="21"/>
          <w:szCs w:val="21"/>
          <w:highlight w:val="none"/>
        </w:rPr>
        <mc:AlternateContent>
          <mc:Choice Requires="wps">
            <w:drawing>
              <wp:anchor distT="0" distB="0" distL="114300" distR="114300" simplePos="0" relativeHeight="251674624" behindDoc="1" locked="0" layoutInCell="1" allowOverlap="1">
                <wp:simplePos x="0" y="0"/>
                <wp:positionH relativeFrom="margin">
                  <wp:posOffset>5361305</wp:posOffset>
                </wp:positionH>
                <wp:positionV relativeFrom="paragraph">
                  <wp:posOffset>742315</wp:posOffset>
                </wp:positionV>
                <wp:extent cx="189230" cy="139700"/>
                <wp:effectExtent l="0" t="0" r="0" b="0"/>
                <wp:wrapTopAndBottom/>
                <wp:docPr id="18" name="文本框 8"/>
                <wp:cNvGraphicFramePr/>
                <a:graphic xmlns:a="http://schemas.openxmlformats.org/drawingml/2006/main">
                  <a:graphicData uri="http://schemas.microsoft.com/office/word/2010/wordprocessingShape">
                    <wps:wsp>
                      <wps:cNvSpPr txBox="1"/>
                      <wps:spPr>
                        <a:xfrm>
                          <a:off x="0" y="0"/>
                          <a:ext cx="189230" cy="139700"/>
                        </a:xfrm>
                        <a:prstGeom prst="rect">
                          <a:avLst/>
                        </a:prstGeom>
                        <a:noFill/>
                        <a:ln>
                          <a:noFill/>
                        </a:ln>
                        <a:effectLst/>
                      </wps:spPr>
                      <wps:txbx>
                        <w:txbxContent>
                          <w:p w14:paraId="1835EF2E">
                            <w:pPr>
                              <w:pStyle w:val="42"/>
                              <w:shd w:val="clear" w:color="auto" w:fill="auto"/>
                              <w:spacing w:before="0" w:line="220" w:lineRule="exact"/>
                              <w:jc w:val="left"/>
                            </w:pPr>
                            <w:r>
                              <w:rPr>
                                <w:rStyle w:val="50"/>
                                <w:rFonts w:hint="eastAsia"/>
                              </w:rPr>
                              <w:t>曰</w:t>
                            </w:r>
                          </w:p>
                        </w:txbxContent>
                      </wps:txbx>
                      <wps:bodyPr wrap="square" lIns="0" tIns="0" rIns="0" bIns="0" upright="1">
                        <a:spAutoFit/>
                      </wps:bodyPr>
                    </wps:wsp>
                  </a:graphicData>
                </a:graphic>
              </wp:anchor>
            </w:drawing>
          </mc:Choice>
          <mc:Fallback>
            <w:pict>
              <v:shape id="文本框 8" o:spid="_x0000_s1026" o:spt="202" type="#_x0000_t202" style="position:absolute;left:0pt;margin-left:422.15pt;margin-top:58.45pt;height:11pt;width:14.9pt;mso-position-horizontal-relative:margin;mso-wrap-distance-bottom:0pt;mso-wrap-distance-top:0pt;z-index:-251641856;mso-width-relative:page;mso-height-relative:page;" filled="f" stroked="f" coordsize="21600,21600" o:gfxdata="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mcNo1wAAAAsBAAAPAAAAAAAAAAEAIAAA&#10;ACIAAABkcnMvZG93bnJldi54bWxQSwECFAAUAAAACACHTuJAFzhORNQBAACoAwAADgAAAAAAAAAB&#10;ACAAAAAmAQAAZHJzL2Uyb0RvYy54bWxQSwUGAAAAAAYABgBZAQAAbAUAAAAA&#10;">
                <v:fill on="f" focussize="0,0"/>
                <v:stroke on="f"/>
                <v:imagedata o:title=""/>
                <o:lock v:ext="edit" aspectratio="f"/>
                <v:textbox inset="0mm,0mm,0mm,0mm" style="mso-fit-shape-to-text:t;">
                  <w:txbxContent>
                    <w:p w14:paraId="1835EF2E">
                      <w:pPr>
                        <w:pStyle w:val="42"/>
                        <w:shd w:val="clear" w:color="auto" w:fill="auto"/>
                        <w:spacing w:before="0" w:line="220" w:lineRule="exact"/>
                        <w:jc w:val="left"/>
                      </w:pPr>
                      <w:r>
                        <w:rPr>
                          <w:rStyle w:val="50"/>
                          <w:rFonts w:hint="eastAsia"/>
                        </w:rPr>
                        <w:t>曰</w:t>
                      </w:r>
                    </w:p>
                  </w:txbxContent>
                </v:textbox>
                <w10:wrap type="topAndBottom"/>
              </v:shape>
            </w:pict>
          </mc:Fallback>
        </mc:AlternateContent>
      </w:r>
      <w:r>
        <w:rPr>
          <w:rStyle w:val="43"/>
          <w:rFonts w:hint="eastAsia" w:ascii="宋体" w:hAnsi="宋体" w:eastAsia="宋体" w:cs="宋体"/>
          <w:color w:val="auto"/>
          <w:sz w:val="21"/>
          <w:szCs w:val="21"/>
          <w:highlight w:val="none"/>
        </w:rPr>
        <w:t>邮政编码</w:t>
      </w:r>
    </w:p>
    <w:p w14:paraId="6884F199">
      <w:pPr>
        <w:pStyle w:val="48"/>
        <w:shd w:val="clear" w:color="auto" w:fill="auto"/>
        <w:tabs>
          <w:tab w:val="left" w:leader="underscore" w:pos="3434"/>
          <w:tab w:val="left" w:leader="underscore" w:pos="6547"/>
        </w:tabs>
        <w:spacing w:before="0" w:line="440" w:lineRule="exact"/>
        <w:jc w:val="both"/>
        <w:rPr>
          <w:rFonts w:ascii="宋体" w:hAnsi="宋体" w:eastAsia="宋体"/>
          <w:color w:val="auto"/>
          <w:sz w:val="21"/>
          <w:szCs w:val="21"/>
          <w:highlight w:val="none"/>
        </w:rPr>
      </w:pPr>
    </w:p>
    <w:p w14:paraId="6570051A">
      <w:pPr>
        <w:pStyle w:val="48"/>
        <w:shd w:val="clear" w:color="auto" w:fill="auto"/>
        <w:tabs>
          <w:tab w:val="left" w:leader="underscore" w:pos="3434"/>
          <w:tab w:val="left" w:leader="underscore" w:pos="6547"/>
        </w:tabs>
        <w:spacing w:before="0" w:line="44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®本条内容可修改为：“本担保自</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(生效日期）之日起生效，至</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(失效日期）之日失效。”</w:t>
      </w:r>
    </w:p>
    <w:p w14:paraId="5A003CB6">
      <w:pPr>
        <w:spacing w:line="440" w:lineRule="exact"/>
        <w:ind w:firstLine="420"/>
        <w:rPr>
          <w:color w:val="auto"/>
          <w:szCs w:val="21"/>
          <w:highlight w:val="none"/>
        </w:rPr>
      </w:pPr>
      <w:r>
        <w:rPr>
          <w:rFonts w:hint="eastAsia"/>
          <w:color w:val="auto"/>
          <w:sz w:val="21"/>
          <w:szCs w:val="21"/>
          <w:highlight w:val="none"/>
        </w:rPr>
        <w:t>如发包人接受履约保函采用固定有效期，在项目专用合同条款中应增加保证承包人在履约保函失效日前向发 包人出具后续阶段履约保函的约束性条款，直至发包人签发交工验收证书且承包人按照</w:t>
      </w:r>
      <w:r>
        <w:rPr>
          <w:rFonts w:hint="eastAsia"/>
          <w:color w:val="auto"/>
          <w:szCs w:val="21"/>
          <w:highlight w:val="none"/>
        </w:rPr>
        <w:t>合同约定缴纳质量保 证金之日为止。</w:t>
      </w:r>
    </w:p>
    <w:p w14:paraId="273621A2">
      <w:pPr>
        <w:ind w:firstLine="420"/>
        <w:rPr>
          <w:color w:val="auto"/>
          <w:highlight w:val="none"/>
        </w:rPr>
      </w:pPr>
    </w:p>
    <w:p w14:paraId="4B84E3A8">
      <w:pPr>
        <w:pStyle w:val="5"/>
        <w:ind w:firstLine="562"/>
        <w:rPr>
          <w:color w:val="auto"/>
          <w:sz w:val="24"/>
          <w:szCs w:val="24"/>
          <w:highlight w:val="none"/>
        </w:rPr>
      </w:pPr>
      <w:r>
        <w:rPr>
          <w:rFonts w:hint="eastAsia"/>
          <w:color w:val="auto"/>
          <w:highlight w:val="none"/>
        </w:rPr>
        <w:br w:type="page"/>
      </w:r>
      <w:bookmarkStart w:id="177" w:name="_Toc394929424"/>
      <w:r>
        <w:rPr>
          <w:rFonts w:hint="eastAsia"/>
          <w:color w:val="auto"/>
          <w:sz w:val="21"/>
          <w:szCs w:val="21"/>
          <w:highlight w:val="none"/>
        </w:rPr>
        <w:t>附件八  工程资金监管协议格式</w:t>
      </w:r>
      <w:bookmarkEnd w:id="177"/>
    </w:p>
    <w:p w14:paraId="1596F59A">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Cs/>
          <w:color w:val="auto"/>
          <w:sz w:val="32"/>
          <w:szCs w:val="32"/>
          <w:highlight w:val="none"/>
        </w:rPr>
      </w:pPr>
    </w:p>
    <w:p w14:paraId="28A3DD51">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w:t>
      </w:r>
      <w:r>
        <w:rPr>
          <w:rFonts w:hint="eastAsia" w:ascii="宋体" w:hAnsi="宋体" w:eastAsia="宋体" w:cs="宋体"/>
          <w:color w:val="auto"/>
          <w:sz w:val="21"/>
          <w:szCs w:val="21"/>
          <w:highlight w:val="none"/>
          <w:u w:val="single"/>
          <w:lang w:eastAsia="zh-CN"/>
        </w:rPr>
        <w:t>广西壮族自治区恭城公路养护中心</w:t>
      </w:r>
      <w:r>
        <w:rPr>
          <w:rFonts w:hint="eastAsia" w:ascii="宋体" w:hAnsi="宋体" w:eastAsia="宋体" w:cs="宋体"/>
          <w:bCs/>
          <w:color w:val="auto"/>
          <w:sz w:val="21"/>
          <w:szCs w:val="21"/>
          <w:highlight w:val="none"/>
        </w:rPr>
        <w:t>（以下简称"甲方")</w:t>
      </w:r>
    </w:p>
    <w:p w14:paraId="4C754C22">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（以下简称"乙方")</w:t>
      </w:r>
    </w:p>
    <w:p w14:paraId="0562425D">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经办银行：</w:t>
      </w:r>
      <w:r>
        <w:rPr>
          <w:rFonts w:hint="eastAsia" w:ascii="宋体" w:hAnsi="宋体" w:eastAsia="宋体" w:cs="宋体"/>
          <w:color w:val="auto"/>
          <w:sz w:val="21"/>
          <w:szCs w:val="21"/>
          <w:highlight w:val="none"/>
          <w:u w:val="single"/>
          <w:lang w:eastAsia="zh-CN"/>
        </w:rPr>
        <w:t>广西恭城农村商业银行股份有限公司文武支行</w:t>
      </w:r>
      <w:r>
        <w:rPr>
          <w:rFonts w:hint="eastAsia" w:ascii="宋体" w:hAnsi="宋体" w:eastAsia="宋体" w:cs="宋体"/>
          <w:bCs/>
          <w:color w:val="auto"/>
          <w:sz w:val="21"/>
          <w:szCs w:val="21"/>
          <w:highlight w:val="none"/>
        </w:rPr>
        <w:t>（以下简称"</w:t>
      </w:r>
      <w:r>
        <w:rPr>
          <w:rFonts w:hint="eastAsia" w:ascii="宋体" w:hAnsi="宋体" w:eastAsia="宋体" w:cs="宋体"/>
          <w:bCs/>
          <w:color w:val="auto"/>
          <w:sz w:val="21"/>
          <w:szCs w:val="21"/>
          <w:highlight w:val="none"/>
          <w:lang w:eastAsia="zh-CN"/>
        </w:rPr>
        <w:t>丙</w:t>
      </w:r>
      <w:r>
        <w:rPr>
          <w:rFonts w:hint="eastAsia" w:ascii="宋体" w:hAnsi="宋体" w:eastAsia="宋体" w:cs="宋体"/>
          <w:bCs/>
          <w:color w:val="auto"/>
          <w:sz w:val="21"/>
          <w:szCs w:val="21"/>
          <w:highlight w:val="none"/>
        </w:rPr>
        <w:t>方")</w:t>
      </w:r>
    </w:p>
    <w:p w14:paraId="5F2B9C47">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为了促进</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r>
        <w:rPr>
          <w:rFonts w:hint="eastAsia" w:ascii="宋体" w:hAnsi="宋体" w:eastAsia="宋体" w:cs="宋体"/>
          <w:bCs/>
          <w:color w:val="auto"/>
          <w:sz w:val="21"/>
          <w:szCs w:val="21"/>
          <w:highlight w:val="none"/>
        </w:rPr>
        <w:t>的顺利实施，管好用好建设资金，确保工程资金专款专用，同时为承包人提供便捷有效的银行业务服务，根据</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r>
        <w:rPr>
          <w:rFonts w:hint="eastAsia" w:ascii="宋体" w:hAnsi="宋体" w:eastAsia="宋体" w:cs="宋体"/>
          <w:bCs/>
          <w:color w:val="auto"/>
          <w:sz w:val="21"/>
          <w:szCs w:val="21"/>
          <w:highlight w:val="none"/>
        </w:rPr>
        <w:t>合同条款有关规定，经甲、乙、丙三方协商，达成协议如下：</w:t>
      </w:r>
    </w:p>
    <w:p w14:paraId="511ACA18">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lang w:val="en-US" w:eastAsia="zh-CN"/>
        </w:rPr>
        <w:t>广西壮族自治区恭城公路养护中心G357线K1265+300～K1272+300公路灾害防治工程</w:t>
      </w:r>
    </w:p>
    <w:p w14:paraId="3B0E5A17">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1．资金管理的内容</w:t>
      </w:r>
    </w:p>
    <w:p w14:paraId="1431E63C">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(1）乙方为完成</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r>
        <w:rPr>
          <w:rFonts w:hint="eastAsia" w:ascii="宋体" w:hAnsi="宋体" w:eastAsia="宋体" w:cs="宋体"/>
          <w:bCs/>
          <w:color w:val="auto"/>
          <w:sz w:val="21"/>
          <w:szCs w:val="21"/>
          <w:highlight w:val="none"/>
        </w:rPr>
        <w:t>工程成立的项目经理部在丙方开设</w:t>
      </w:r>
      <w:r>
        <w:rPr>
          <w:rFonts w:hint="eastAsia" w:ascii="宋体" w:hAnsi="宋体" w:eastAsia="宋体" w:cs="宋体"/>
          <w:bCs/>
          <w:color w:val="auto"/>
          <w:sz w:val="21"/>
          <w:szCs w:val="21"/>
          <w:highlight w:val="none"/>
          <w:lang w:val="en-US" w:eastAsia="zh-CN"/>
        </w:rPr>
        <w:t>专用存款账户</w:t>
      </w:r>
      <w:r>
        <w:rPr>
          <w:rFonts w:hint="eastAsia" w:ascii="宋体" w:hAnsi="宋体" w:eastAsia="宋体" w:cs="宋体"/>
          <w:bCs/>
          <w:color w:val="auto"/>
          <w:sz w:val="21"/>
          <w:szCs w:val="21"/>
          <w:highlight w:val="none"/>
        </w:rPr>
        <w:t>（户名：；</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账号</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w:t>
      </w:r>
    </w:p>
    <w:p w14:paraId="18C50452">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(2）甲方应按合同规定将工程款汇入乙方在丙方开设的账户；丙方按照甲方出具的【授权冻结通知书】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上的金额予以冻结，后续再按照甲方的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授权解冻支付通知书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上的金额予以解冻支付</w:t>
      </w:r>
    </w:p>
    <w:p w14:paraId="788C4E2F">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(3）乙方应将流动资金及甲方所拨付资金专项用于</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p>
    <w:p w14:paraId="43BF2508">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(4）丙方应为乙方提供便捷有效的银行业务服务，并接受甲方委托对乙方在丙方开设的基本结算户资金使用情况进行监督。</w:t>
      </w:r>
    </w:p>
    <w:p w14:paraId="0BB34794">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2．甲方的权责</w:t>
      </w:r>
    </w:p>
    <w:p w14:paraId="450E2B73">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(1）按照</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r>
        <w:rPr>
          <w:rFonts w:hint="eastAsia" w:ascii="宋体" w:hAnsi="宋体" w:eastAsia="宋体" w:cs="宋体"/>
          <w:bCs/>
          <w:color w:val="auto"/>
          <w:sz w:val="21"/>
          <w:szCs w:val="21"/>
          <w:highlight w:val="none"/>
        </w:rPr>
        <w:t>合同有关条款规定的时间和方式，向乙方支付工程款</w:t>
      </w:r>
      <w:r>
        <w:rPr>
          <w:rFonts w:hint="eastAsia" w:ascii="宋体" w:hAnsi="宋体" w:eastAsia="宋体" w:cs="宋体"/>
          <w:bCs/>
          <w:color w:val="auto"/>
          <w:sz w:val="21"/>
          <w:szCs w:val="21"/>
          <w:highlight w:val="none"/>
          <w:lang w:eastAsia="zh-CN"/>
        </w:rPr>
        <w:t>；</w:t>
      </w:r>
    </w:p>
    <w:p w14:paraId="1C8C7F9D">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(2）在发现乙方将本项目资金挪用、转移时，甲方有权中止资金支付，直至乙方改正为止</w:t>
      </w:r>
      <w:r>
        <w:rPr>
          <w:rFonts w:hint="eastAsia" w:ascii="宋体" w:hAnsi="宋体" w:eastAsia="宋体" w:cs="宋体"/>
          <w:bCs/>
          <w:color w:val="auto"/>
          <w:sz w:val="21"/>
          <w:szCs w:val="21"/>
          <w:highlight w:val="none"/>
          <w:lang w:eastAsia="zh-CN"/>
        </w:rPr>
        <w:t>；</w:t>
      </w:r>
    </w:p>
    <w:p w14:paraId="7EF7DC0D">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(3）不定期审查丙方对乙方的资金使用监督情况，如丙方不能履行其责任，甲方有权随时终止本协议</w:t>
      </w:r>
      <w:r>
        <w:rPr>
          <w:rFonts w:hint="eastAsia" w:ascii="宋体" w:hAnsi="宋体" w:eastAsia="宋体" w:cs="宋体"/>
          <w:bCs/>
          <w:color w:val="auto"/>
          <w:sz w:val="21"/>
          <w:szCs w:val="21"/>
          <w:highlight w:val="none"/>
          <w:lang w:eastAsia="zh-CN"/>
        </w:rPr>
        <w:t>；</w:t>
      </w:r>
    </w:p>
    <w:p w14:paraId="78170F98">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(4）在乙、丙双方发生争议时，甲方应负责协调、解决。</w:t>
      </w:r>
    </w:p>
    <w:p w14:paraId="2BB47E21">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3．乙方的权责</w:t>
      </w:r>
    </w:p>
    <w:p w14:paraId="396BB012">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(1）项目经理部成立以后，乙方应尽快在丙方开设</w:t>
      </w:r>
      <w:r>
        <w:rPr>
          <w:rFonts w:hint="eastAsia" w:ascii="宋体" w:hAnsi="宋体" w:eastAsia="宋体" w:cs="宋体"/>
          <w:bCs/>
          <w:color w:val="auto"/>
          <w:sz w:val="21"/>
          <w:szCs w:val="21"/>
          <w:highlight w:val="none"/>
          <w:lang w:val="en-US" w:eastAsia="zh-CN"/>
        </w:rPr>
        <w:t>专用存款账户</w:t>
      </w:r>
      <w:r>
        <w:rPr>
          <w:rFonts w:hint="eastAsia" w:ascii="宋体" w:hAnsi="宋体" w:eastAsia="宋体" w:cs="宋体"/>
          <w:bCs/>
          <w:color w:val="auto"/>
          <w:sz w:val="21"/>
          <w:szCs w:val="21"/>
          <w:highlight w:val="none"/>
        </w:rPr>
        <w:t>；</w:t>
      </w:r>
    </w:p>
    <w:p w14:paraId="0905C58E">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(2)所支付的乙方工程款解冻及支付只能通过丙方柜台用银行转账支票办理，且须得到甲方审批指令。</w:t>
      </w:r>
    </w:p>
    <w:p w14:paraId="32CE27EF">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）确保本项目资金专款专用，不发生挪用、转移资金的现象；保证不通过权益转让、抵押、担保承担债务等任何其他方式使用基本结算户的资金；</w:t>
      </w:r>
    </w:p>
    <w:p w14:paraId="1CBA02BC">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）用银行转账支票办理支付款项时，必须将转账支票送交丙方，由丙方负责</w:t>
      </w:r>
      <w:r>
        <w:rPr>
          <w:rFonts w:hint="eastAsia" w:ascii="宋体" w:hAnsi="宋体" w:eastAsia="宋体" w:cs="宋体"/>
          <w:bCs/>
          <w:color w:val="auto"/>
          <w:sz w:val="21"/>
          <w:szCs w:val="21"/>
          <w:highlight w:val="none"/>
          <w:lang w:eastAsia="zh-CN"/>
        </w:rPr>
        <w:t>划转；</w:t>
      </w:r>
    </w:p>
    <w:p w14:paraId="63D71553">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）向分包单位支付工程进度款时，应附甲方批准分包的文件；</w:t>
      </w:r>
    </w:p>
    <w:p w14:paraId="3E390C19">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）向上级单位缴纳管理费、机械设备及周转材料租赁摊销费等款项时，应附上级单位出具的转账通知等有关资料，以确保资金专款专用。</w:t>
      </w:r>
    </w:p>
    <w:p w14:paraId="5B9A61D2">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4．丙方的权责</w:t>
      </w:r>
    </w:p>
    <w:p w14:paraId="61F0228A">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(1）成立（项目名称）工程资金管理服务小组，明确业务流程，提高工作效率，杜绝"压票"现象；</w:t>
      </w:r>
    </w:p>
    <w:p w14:paraId="7F5764FA">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 对甲方向乙方拨付的工程款，丙方柜台按照甲方提供的【授权冻结通知书】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上的金额予以冻结。之后付款时丙方柜台根据甲方提供的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授权解冻支付通知书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及乙方的银行转账支票进行办理。</w:t>
      </w:r>
    </w:p>
    <w:p w14:paraId="6F3C6607">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丙方于每月5个工作日前将提供监管账户（户名</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；账号：</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）上个月的银行对账单给甲方，如因丙方原因造成甲方工程款资金损失，由丙方承担赔偿责任。</w:t>
      </w:r>
    </w:p>
    <w:p w14:paraId="35C3C076">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)甲方提供的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授权冻结通知书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授权解冻支付通知书</w:t>
      </w:r>
      <w:r>
        <w:rPr>
          <w:rFonts w:hint="eastAsia" w:ascii="宋体" w:hAnsi="宋体" w:eastAsia="宋体" w:cs="宋体"/>
          <w:bCs/>
          <w:color w:val="auto"/>
          <w:sz w:val="21"/>
          <w:szCs w:val="21"/>
          <w:highlight w:val="none"/>
          <w:lang w:eastAsia="zh-CN"/>
        </w:rPr>
        <w:t>】（附件</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需</w:t>
      </w:r>
      <w:r>
        <w:rPr>
          <w:rFonts w:hint="eastAsia" w:ascii="宋体" w:hAnsi="宋体" w:eastAsia="宋体" w:cs="宋体"/>
          <w:bCs/>
          <w:color w:val="auto"/>
          <w:sz w:val="21"/>
          <w:szCs w:val="21"/>
          <w:highlight w:val="none"/>
          <w:lang w:eastAsia="zh-CN"/>
        </w:rPr>
        <w:t>甲方经办人、单位负责人签章以及盖</w:t>
      </w:r>
      <w:r>
        <w:rPr>
          <w:rFonts w:hint="eastAsia" w:ascii="宋体" w:hAnsi="宋体" w:eastAsia="宋体" w:cs="宋体"/>
          <w:bCs/>
          <w:color w:val="auto"/>
          <w:sz w:val="21"/>
          <w:szCs w:val="21"/>
          <w:highlight w:val="none"/>
        </w:rPr>
        <w:t>甲方</w:t>
      </w:r>
      <w:r>
        <w:rPr>
          <w:rFonts w:hint="eastAsia" w:ascii="宋体" w:hAnsi="宋体" w:eastAsia="宋体" w:cs="宋体"/>
          <w:bCs/>
          <w:color w:val="auto"/>
          <w:sz w:val="21"/>
          <w:szCs w:val="21"/>
          <w:highlight w:val="none"/>
          <w:lang w:eastAsia="zh-CN"/>
        </w:rPr>
        <w:t>财务专用</w:t>
      </w:r>
      <w:r>
        <w:rPr>
          <w:rFonts w:hint="eastAsia" w:ascii="宋体" w:hAnsi="宋体" w:eastAsia="宋体" w:cs="宋体"/>
          <w:bCs/>
          <w:color w:val="auto"/>
          <w:sz w:val="21"/>
          <w:szCs w:val="21"/>
          <w:highlight w:val="none"/>
        </w:rPr>
        <w:t>章</w:t>
      </w:r>
      <w:r>
        <w:rPr>
          <w:rFonts w:hint="eastAsia" w:ascii="宋体" w:hAnsi="宋体" w:eastAsia="宋体" w:cs="宋体"/>
          <w:bCs/>
          <w:color w:val="auto"/>
          <w:sz w:val="21"/>
          <w:szCs w:val="21"/>
          <w:highlight w:val="none"/>
          <w:lang w:eastAsia="zh-CN"/>
        </w:rPr>
        <w:t>和</w:t>
      </w:r>
      <w:r>
        <w:rPr>
          <w:rFonts w:hint="eastAsia" w:ascii="宋体" w:hAnsi="宋体" w:eastAsia="宋体" w:cs="宋体"/>
          <w:bCs/>
          <w:color w:val="auto"/>
          <w:sz w:val="21"/>
          <w:szCs w:val="21"/>
          <w:highlight w:val="none"/>
        </w:rPr>
        <w:t>公章,丙方需与甲方财务科长进行确认无误后方可支付。</w:t>
      </w:r>
    </w:p>
    <w:p w14:paraId="37202931">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）根据乙方提供的购货合同、协议和发票，检查其所购材料、设备是否用于</w:t>
      </w:r>
      <w:r>
        <w:rPr>
          <w:rFonts w:hint="eastAsia" w:ascii="宋体" w:hAnsi="宋体" w:eastAsia="宋体" w:cs="宋体"/>
          <w:color w:val="auto"/>
          <w:sz w:val="21"/>
          <w:szCs w:val="21"/>
          <w:highlight w:val="none"/>
          <w:u w:val="single"/>
          <w:lang w:val="en-US" w:eastAsia="zh-CN"/>
        </w:rPr>
        <w:t>广西壮族自治区恭城公路养护中心G357线K1265+300～K1272+300公路灾害防治工程</w:t>
      </w:r>
      <w:r>
        <w:rPr>
          <w:rFonts w:hint="eastAsia" w:ascii="宋体" w:hAnsi="宋体" w:eastAsia="宋体" w:cs="宋体"/>
          <w:bCs/>
          <w:color w:val="auto"/>
          <w:sz w:val="21"/>
          <w:szCs w:val="21"/>
          <w:highlight w:val="none"/>
        </w:rPr>
        <w:t>工程建设，对本标段以外的购货款项，有权拒绝办理，并及时报告甲方；</w:t>
      </w:r>
    </w:p>
    <w:p w14:paraId="16710C23">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）根据乙方与分包单位签订的合同及支付文件，检查其支付款项是否符合有关条件，向分包单位以外单位的支付有权拒绝办理，并及时报告甲方；</w:t>
      </w:r>
    </w:p>
    <w:p w14:paraId="21C9576E">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）根据乙方提供的上级单位出具的转账通知等有关资料，办理管理费、机械设备及周转材料租赁摊销费等款项的支付；对超出转账通知等有关资料以外的支付，有权拒绝办理，并及时报告甲方；</w:t>
      </w:r>
    </w:p>
    <w:p w14:paraId="4B580C7F">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5．甲、乙、丙三方都应履行保密责任，不得将其他两方的业务情况透露给三方以外的其他单位或个人。</w:t>
      </w:r>
    </w:p>
    <w:p w14:paraId="75E3A84E">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6．本协议有效期自乙方在丙方开户起，至工程交工验收甲方向乙方颁发交工验收证书后结束。</w:t>
      </w:r>
    </w:p>
    <w:p w14:paraId="765D5AC7">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7．本协议未尽事宜，由甲方牵头，三方协商解决。</w:t>
      </w:r>
      <w:r>
        <w:rPr>
          <w:rFonts w:hint="eastAsia" w:ascii="宋体" w:hAnsi="宋体" w:eastAsia="宋体" w:cs="宋体"/>
          <w:color w:val="auto"/>
          <w:kern w:val="0"/>
          <w:sz w:val="21"/>
          <w:szCs w:val="21"/>
          <w:highlight w:val="none"/>
          <w:lang w:val="en-US" w:eastAsia="zh-CN"/>
        </w:rPr>
        <w:t>协商不成，各方均可向项目所在地人民法院提起诉讼。</w:t>
      </w:r>
    </w:p>
    <w:p w14:paraId="21976826">
      <w:pPr>
        <w:keepNext w:val="0"/>
        <w:keepLines w:val="0"/>
        <w:pageBreakBefore w:val="0"/>
        <w:widowControl w:val="0"/>
        <w:tabs>
          <w:tab w:val="left" w:pos="0"/>
        </w:tabs>
        <w:kinsoku/>
        <w:wordWrap/>
        <w:overflowPunct/>
        <w:topLinePunct w:val="0"/>
        <w:autoSpaceDE w:val="0"/>
        <w:autoSpaceDN w:val="0"/>
        <w:bidi w:val="0"/>
        <w:adjustRightInd w:val="0"/>
        <w:snapToGrid w:val="0"/>
        <w:spacing w:line="530" w:lineRule="exact"/>
        <w:ind w:firstLine="420" w:firstLineChars="200"/>
        <w:jc w:val="both"/>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8．本协议三份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具有相同的法律效力，协议</w:t>
      </w:r>
      <w:r>
        <w:rPr>
          <w:rFonts w:hint="eastAsia" w:ascii="宋体" w:hAnsi="宋体" w:eastAsia="宋体" w:cs="宋体"/>
          <w:bCs/>
          <w:color w:val="auto"/>
          <w:sz w:val="21"/>
          <w:szCs w:val="21"/>
          <w:highlight w:val="none"/>
        </w:rPr>
        <w:t>三方各执一份</w:t>
      </w:r>
      <w:r>
        <w:rPr>
          <w:rFonts w:hint="eastAsia" w:ascii="宋体" w:hAnsi="宋体" w:eastAsia="宋体" w:cs="宋体"/>
          <w:bCs/>
          <w:color w:val="auto"/>
          <w:sz w:val="21"/>
          <w:szCs w:val="21"/>
          <w:highlight w:val="none"/>
          <w:lang w:val="en-US"/>
        </w:rPr>
        <w:t>。</w:t>
      </w:r>
    </w:p>
    <w:p w14:paraId="2D6CC076">
      <w:pPr>
        <w:keepNext w:val="0"/>
        <w:keepLines w:val="0"/>
        <w:pageBreakBefore w:val="0"/>
        <w:widowControl w:val="0"/>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p>
    <w:p w14:paraId="6C4F2116">
      <w:pPr>
        <w:keepNext w:val="0"/>
        <w:keepLines w:val="0"/>
        <w:pageBreakBefore w:val="0"/>
        <w:widowControl w:val="0"/>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p>
    <w:p w14:paraId="2C162999">
      <w:pPr>
        <w:keepNext w:val="0"/>
        <w:keepLines w:val="0"/>
        <w:pageBreakBefore w:val="0"/>
        <w:widowControl w:val="0"/>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p>
    <w:p w14:paraId="262FE788">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发包人：（盖单位章）</w:t>
      </w:r>
    </w:p>
    <w:p w14:paraId="748AC1DB">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法定代表人或其委托代理人：（签字）</w:t>
      </w:r>
    </w:p>
    <w:p w14:paraId="0D2F7A3C">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ind w:firstLine="840" w:firstLineChars="40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p w14:paraId="411D486E">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p>
    <w:p w14:paraId="144FEAC5">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承包人：（盖单位章）</w:t>
      </w:r>
    </w:p>
    <w:p w14:paraId="26467229">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法定代表人或其委托代理人：（签字）</w:t>
      </w:r>
    </w:p>
    <w:p w14:paraId="70670D01">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ind w:firstLine="840" w:firstLineChars="40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p w14:paraId="2ACBAB6C">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p>
    <w:p w14:paraId="77BF9CDA">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经办银行：（盖单位章）</w:t>
      </w:r>
    </w:p>
    <w:p w14:paraId="1465B8A1">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法定代表人或其委托代理人：（签字）</w:t>
      </w:r>
    </w:p>
    <w:p w14:paraId="3C535547">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ind w:firstLine="840" w:firstLineChars="400"/>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p w14:paraId="77905D3F">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9D15599">
      <w:pPr>
        <w:keepNext w:val="0"/>
        <w:keepLines w:val="0"/>
        <w:pageBreakBefore w:val="0"/>
        <w:widowControl/>
        <w:tabs>
          <w:tab w:val="left" w:pos="0"/>
        </w:tabs>
        <w:kinsoku w:val="0"/>
        <w:wordWrap/>
        <w:overflowPunct/>
        <w:topLinePunct w:val="0"/>
        <w:autoSpaceDE w:val="0"/>
        <w:autoSpaceDN w:val="0"/>
        <w:bidi w:val="0"/>
        <w:adjustRightInd w:val="0"/>
        <w:snapToGrid w:val="0"/>
        <w:spacing w:line="530" w:lineRule="exact"/>
        <w:ind w:firstLine="1280" w:firstLineChars="400"/>
        <w:jc w:val="left"/>
        <w:textAlignment w:val="baseline"/>
        <w:rPr>
          <w:rFonts w:hint="eastAsia" w:ascii="仿宋_GB2312" w:hAnsi="仿宋_GB2312" w:eastAsia="仿宋_GB2312" w:cs="仿宋_GB2312"/>
          <w:bCs/>
          <w:color w:val="auto"/>
          <w:sz w:val="32"/>
          <w:szCs w:val="32"/>
          <w:highlight w:val="none"/>
          <w:lang w:val="en-US" w:eastAsia="zh-CN"/>
        </w:rPr>
      </w:pPr>
    </w:p>
    <w:p w14:paraId="4D605E41">
      <w:pPr>
        <w:spacing w:before="120" w:after="120" w:line="0" w:lineRule="atLeast"/>
        <w:jc w:val="both"/>
        <w:rPr>
          <w:rFonts w:hint="eastAsia" w:ascii="仿宋" w:hAnsi="仿宋" w:eastAsia="仿宋"/>
          <w:b/>
          <w:bCs/>
          <w:color w:val="auto"/>
          <w:sz w:val="32"/>
          <w:szCs w:val="32"/>
          <w:highlight w:val="none"/>
          <w:lang w:val="en-US" w:eastAsia="zh-CN"/>
        </w:rPr>
      </w:pPr>
    </w:p>
    <w:p w14:paraId="487CFD1D">
      <w:pPr>
        <w:spacing w:before="120" w:after="120" w:line="0" w:lineRule="atLeast"/>
        <w:jc w:val="both"/>
        <w:rPr>
          <w:rFonts w:hint="eastAsia"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附件1</w:t>
      </w:r>
    </w:p>
    <w:p w14:paraId="166D0D3A">
      <w:pPr>
        <w:spacing w:before="120" w:after="120" w:line="0" w:lineRule="atLeast"/>
        <w:jc w:val="center"/>
        <w:rPr>
          <w:rFonts w:ascii="彩虹粗仿宋" w:eastAsia="彩虹粗仿宋"/>
          <w:color w:val="auto"/>
          <w:sz w:val="28"/>
          <w:highlight w:val="none"/>
        </w:rPr>
      </w:pPr>
      <w:r>
        <w:rPr>
          <w:rFonts w:hint="eastAsia" w:ascii="彩虹粗仿宋" w:eastAsia="彩虹粗仿宋"/>
          <w:b/>
          <w:color w:val="auto"/>
          <w:sz w:val="44"/>
          <w:szCs w:val="44"/>
          <w:highlight w:val="none"/>
        </w:rPr>
        <w:t xml:space="preserve">授权冻结通知书 </w:t>
      </w:r>
    </w:p>
    <w:p w14:paraId="4E2AC015">
      <w:pPr>
        <w:spacing w:before="120" w:after="120" w:line="560" w:lineRule="exact"/>
        <w:rPr>
          <w:rFonts w:ascii="宋体"/>
          <w:color w:val="auto"/>
          <w:sz w:val="24"/>
          <w:highlight w:val="none"/>
        </w:rPr>
      </w:pPr>
      <w:r>
        <w:rPr>
          <w:rStyle w:val="43"/>
          <w:rFonts w:hint="eastAsia" w:ascii="宋体" w:hAnsi="宋体" w:eastAsia="宋体"/>
          <w:color w:val="auto"/>
          <w:sz w:val="21"/>
          <w:szCs w:val="21"/>
          <w:highlight w:val="none"/>
          <w:u w:val="none"/>
        </w:rPr>
        <w:t>广西恭城农村商业银行股份有限公司文武支行</w:t>
      </w:r>
      <w:r>
        <w:rPr>
          <w:rFonts w:hint="eastAsia" w:ascii="宋体"/>
          <w:color w:val="auto"/>
          <w:sz w:val="24"/>
          <w:highlight w:val="none"/>
        </w:rPr>
        <w:t>：</w:t>
      </w:r>
    </w:p>
    <w:p w14:paraId="210DA510">
      <w:pPr>
        <w:spacing w:before="120" w:after="120" w:line="560" w:lineRule="exact"/>
        <w:ind w:firstLine="555"/>
        <w:jc w:val="left"/>
        <w:rPr>
          <w:rFonts w:ascii="宋体"/>
          <w:color w:val="auto"/>
          <w:sz w:val="24"/>
          <w:highlight w:val="none"/>
        </w:rPr>
      </w:pPr>
      <w:r>
        <w:rPr>
          <w:rFonts w:hint="eastAsia" w:ascii="宋体"/>
          <w:color w:val="auto"/>
          <w:sz w:val="24"/>
          <w:highlight w:val="none"/>
        </w:rPr>
        <w:t>依据</w:t>
      </w:r>
      <w:r>
        <w:rPr>
          <w:rFonts w:hint="eastAsia" w:ascii="宋体"/>
          <w:color w:val="auto"/>
          <w:sz w:val="24"/>
          <w:highlight w:val="none"/>
          <w:u w:val="single"/>
        </w:rPr>
        <w:t>项目资金监管协议</w:t>
      </w:r>
      <w:r>
        <w:rPr>
          <w:rFonts w:hint="eastAsia" w:ascii="宋体"/>
          <w:color w:val="auto"/>
          <w:sz w:val="24"/>
          <w:highlight w:val="none"/>
        </w:rPr>
        <w:t>（下称监管协议）的约定，现授权贵行将</w:t>
      </w:r>
      <w:r>
        <w:rPr>
          <w:rFonts w:hint="eastAsia" w:ascii="宋体"/>
          <w:color w:val="auto"/>
          <w:sz w:val="24"/>
          <w:highlight w:val="none"/>
          <w:lang w:eastAsia="zh-CN"/>
        </w:rPr>
        <w:t>中心</w:t>
      </w:r>
      <w:r>
        <w:rPr>
          <w:rFonts w:hint="eastAsia" w:ascii="宋体"/>
          <w:color w:val="auto"/>
          <w:sz w:val="24"/>
          <w:highlight w:val="none"/>
        </w:rPr>
        <w:t>于</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日转入监管协议中约定的监管账户：</w:t>
      </w:r>
      <w:r>
        <w:rPr>
          <w:rFonts w:hint="eastAsia" w:ascii="仿宋" w:hAnsi="仿宋" w:eastAsia="仿宋" w:cs="Times New Roman"/>
          <w:color w:val="auto"/>
          <w:sz w:val="28"/>
          <w:szCs w:val="28"/>
          <w:highlight w:val="none"/>
          <w:u w:val="single"/>
          <w:lang w:val="en-US" w:eastAsia="zh-CN"/>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账号：</w:t>
      </w:r>
      <w:r>
        <w:rPr>
          <w:rFonts w:hint="eastAsia" w:ascii="仿宋" w:hAnsi="仿宋" w:eastAsia="仿宋"/>
          <w:color w:val="auto"/>
          <w:sz w:val="28"/>
          <w:szCs w:val="28"/>
          <w:highlight w:val="none"/>
          <w:u w:val="single"/>
          <w:lang w:val="en-US" w:eastAsia="zh-CN"/>
        </w:rPr>
        <w:t xml:space="preserve">                 </w:t>
      </w:r>
      <w:r>
        <w:rPr>
          <w:rFonts w:hint="eastAsia" w:ascii="宋体"/>
          <w:color w:val="auto"/>
          <w:sz w:val="24"/>
          <w:highlight w:val="none"/>
        </w:rPr>
        <w:t>。金额：人民币</w:t>
      </w:r>
      <w:r>
        <w:rPr>
          <w:rFonts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ascii="宋体"/>
          <w:color w:val="auto"/>
          <w:sz w:val="24"/>
          <w:highlight w:val="none"/>
          <w:u w:val="single"/>
        </w:rPr>
        <w:t xml:space="preserve"> </w:t>
      </w:r>
      <w:r>
        <w:rPr>
          <w:rFonts w:hint="eastAsia" w:ascii="宋体"/>
          <w:color w:val="auto"/>
          <w:sz w:val="24"/>
          <w:highlight w:val="none"/>
        </w:rPr>
        <w:t>元（大写金额）</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w:t>
      </w:r>
      <w:r>
        <w:rPr>
          <w:rFonts w:hint="eastAsia" w:ascii="宋体"/>
          <w:color w:val="auto"/>
          <w:sz w:val="24"/>
          <w:highlight w:val="none"/>
        </w:rPr>
        <w:t>小写金额）的工程款予以冻结。</w:t>
      </w:r>
    </w:p>
    <w:p w14:paraId="26C34073">
      <w:pPr>
        <w:spacing w:before="120" w:after="120" w:line="560" w:lineRule="exact"/>
        <w:ind w:firstLine="555"/>
        <w:jc w:val="left"/>
        <w:rPr>
          <w:rFonts w:hint="eastAsia" w:ascii="宋体"/>
          <w:color w:val="auto"/>
          <w:sz w:val="24"/>
          <w:highlight w:val="none"/>
        </w:rPr>
      </w:pPr>
      <w:r>
        <w:rPr>
          <w:rFonts w:hint="eastAsia" w:ascii="宋体"/>
          <w:color w:val="auto"/>
          <w:sz w:val="24"/>
          <w:highlight w:val="none"/>
        </w:rPr>
        <w:t>特此授权。</w:t>
      </w:r>
    </w:p>
    <w:p w14:paraId="57401877">
      <w:pPr>
        <w:spacing w:before="120" w:after="120" w:line="560" w:lineRule="exact"/>
        <w:jc w:val="left"/>
        <w:rPr>
          <w:rFonts w:ascii="宋体"/>
          <w:color w:val="auto"/>
          <w:sz w:val="24"/>
          <w:highlight w:val="none"/>
        </w:rPr>
      </w:pPr>
      <w:r>
        <w:rPr>
          <w:rFonts w:hint="eastAsia" w:ascii="宋体"/>
          <w:color w:val="auto"/>
          <w:sz w:val="24"/>
          <w:highlight w:val="none"/>
        </w:rPr>
        <w:t xml:space="preserve">  经办人（签</w:t>
      </w:r>
      <w:r>
        <w:rPr>
          <w:rFonts w:hint="eastAsia" w:ascii="宋体"/>
          <w:color w:val="auto"/>
          <w:sz w:val="24"/>
          <w:highlight w:val="none"/>
          <w:lang w:eastAsia="zh-CN"/>
        </w:rPr>
        <w:t>章</w:t>
      </w:r>
      <w:r>
        <w:rPr>
          <w:rFonts w:hint="eastAsia" w:ascii="宋体"/>
          <w:color w:val="auto"/>
          <w:sz w:val="24"/>
          <w:highlight w:val="none"/>
        </w:rPr>
        <w:t>）：                        单位负责人（签</w:t>
      </w:r>
      <w:r>
        <w:rPr>
          <w:rFonts w:hint="eastAsia" w:ascii="宋体"/>
          <w:color w:val="auto"/>
          <w:sz w:val="24"/>
          <w:highlight w:val="none"/>
          <w:lang w:eastAsia="zh-CN"/>
        </w:rPr>
        <w:t>章</w:t>
      </w:r>
      <w:r>
        <w:rPr>
          <w:rFonts w:hint="eastAsia" w:ascii="宋体"/>
          <w:color w:val="auto"/>
          <w:sz w:val="24"/>
          <w:highlight w:val="none"/>
        </w:rPr>
        <w:t>）：</w:t>
      </w:r>
    </w:p>
    <w:p w14:paraId="0A087393">
      <w:pPr>
        <w:spacing w:before="120" w:after="120" w:line="560" w:lineRule="exact"/>
        <w:rPr>
          <w:rFonts w:hint="eastAsia" w:ascii="宋体" w:eastAsia="宋体"/>
          <w:color w:val="auto"/>
          <w:sz w:val="24"/>
          <w:highlight w:val="none"/>
          <w:lang w:eastAsia="zh-CN"/>
        </w:rPr>
      </w:pPr>
      <w:r>
        <w:rPr>
          <w:rFonts w:hint="eastAsia" w:ascii="宋体"/>
          <w:color w:val="auto"/>
          <w:sz w:val="24"/>
          <w:highlight w:val="none"/>
          <w:lang w:eastAsia="zh-CN"/>
        </w:rPr>
        <w:t>财务专用</w:t>
      </w:r>
      <w:r>
        <w:rPr>
          <w:rFonts w:hint="eastAsia" w:ascii="宋体"/>
          <w:color w:val="auto"/>
          <w:sz w:val="24"/>
          <w:highlight w:val="none"/>
        </w:rPr>
        <w:t>章</w:t>
      </w:r>
      <w:r>
        <w:rPr>
          <w:rFonts w:ascii="宋体"/>
          <w:color w:val="auto"/>
          <w:sz w:val="24"/>
          <w:highlight w:val="none"/>
        </w:rPr>
        <w:t xml:space="preserve"> </w:t>
      </w:r>
      <w:r>
        <w:rPr>
          <w:rFonts w:hint="eastAsia" w:ascii="宋体"/>
          <w:color w:val="auto"/>
          <w:sz w:val="24"/>
          <w:highlight w:val="none"/>
          <w:lang w:eastAsia="zh-CN"/>
        </w:rPr>
        <w:t>：</w:t>
      </w:r>
      <w:r>
        <w:rPr>
          <w:rFonts w:hint="eastAsia" w:ascii="宋体"/>
          <w:color w:val="auto"/>
          <w:sz w:val="24"/>
          <w:highlight w:val="none"/>
          <w:lang w:val="en-US" w:eastAsia="zh-CN"/>
        </w:rPr>
        <w:t xml:space="preserve">                                     </w:t>
      </w:r>
      <w:r>
        <w:rPr>
          <w:rFonts w:hint="eastAsia" w:ascii="宋体"/>
          <w:color w:val="auto"/>
          <w:sz w:val="24"/>
          <w:highlight w:val="none"/>
        </w:rPr>
        <w:t>公章</w:t>
      </w:r>
      <w:r>
        <w:rPr>
          <w:rFonts w:hint="eastAsia" w:ascii="宋体"/>
          <w:color w:val="auto"/>
          <w:sz w:val="24"/>
          <w:highlight w:val="none"/>
          <w:lang w:eastAsia="zh-CN"/>
        </w:rPr>
        <w:t>：</w:t>
      </w:r>
      <w:r>
        <w:rPr>
          <w:rFonts w:ascii="宋体"/>
          <w:color w:val="auto"/>
          <w:sz w:val="24"/>
          <w:highlight w:val="none"/>
        </w:rPr>
        <w:t xml:space="preserve"> </w:t>
      </w:r>
    </w:p>
    <w:p w14:paraId="4B4355F0">
      <w:pPr>
        <w:spacing w:before="120" w:after="120" w:line="560" w:lineRule="exact"/>
        <w:rPr>
          <w:rFonts w:hint="eastAsia" w:ascii="宋体"/>
          <w:color w:val="auto"/>
          <w:sz w:val="24"/>
          <w:highlight w:val="none"/>
        </w:rPr>
      </w:pPr>
      <w:r>
        <w:rPr>
          <w:rFonts w:ascii="宋体"/>
          <w:color w:val="auto"/>
          <w:sz w:val="24"/>
          <w:highlight w:val="none"/>
        </w:rPr>
        <w:t xml:space="preserve">                               </w:t>
      </w:r>
      <w:r>
        <w:rPr>
          <w:rFonts w:hint="eastAsia"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日</w:t>
      </w:r>
    </w:p>
    <w:p w14:paraId="503B57E5">
      <w:pPr>
        <w:spacing w:before="120" w:after="120" w:line="560" w:lineRule="exact"/>
        <w:rPr>
          <w:rFonts w:hint="eastAsia" w:ascii="宋体"/>
          <w:color w:val="auto"/>
          <w:sz w:val="24"/>
          <w:highlight w:val="none"/>
          <w:u w:val="single"/>
        </w:rPr>
      </w:pPr>
      <w:r>
        <w:rPr>
          <w:rFonts w:hint="eastAsia" w:ascii="宋体"/>
          <w:color w:val="auto"/>
          <w:sz w:val="24"/>
          <w:highlight w:val="none"/>
          <w:u w:val="single"/>
        </w:rPr>
        <w:t xml:space="preserve">                                                                     </w:t>
      </w:r>
    </w:p>
    <w:p w14:paraId="13212AD0">
      <w:pPr>
        <w:keepNext w:val="0"/>
        <w:keepLines w:val="0"/>
        <w:pageBreakBefore w:val="0"/>
        <w:widowControl w:val="0"/>
        <w:kinsoku/>
        <w:wordWrap/>
        <w:overflowPunct/>
        <w:topLinePunct w:val="0"/>
        <w:autoSpaceDE/>
        <w:autoSpaceDN/>
        <w:bidi w:val="0"/>
        <w:adjustRightInd/>
        <w:snapToGrid/>
        <w:spacing w:before="120" w:after="120" w:line="500" w:lineRule="exact"/>
        <w:jc w:val="center"/>
        <w:textAlignment w:val="auto"/>
        <w:rPr>
          <w:rFonts w:hint="eastAsia" w:ascii="宋体"/>
          <w:color w:val="auto"/>
          <w:sz w:val="24"/>
          <w:highlight w:val="none"/>
        </w:rPr>
      </w:pPr>
      <w:r>
        <w:rPr>
          <w:rFonts w:hint="eastAsia" w:ascii="宋体"/>
          <w:color w:val="auto"/>
          <w:sz w:val="24"/>
          <w:highlight w:val="none"/>
        </w:rPr>
        <w:t>回执</w:t>
      </w:r>
    </w:p>
    <w:p w14:paraId="5750B283">
      <w:pPr>
        <w:keepNext w:val="0"/>
        <w:keepLines w:val="0"/>
        <w:pageBreakBefore w:val="0"/>
        <w:widowControl w:val="0"/>
        <w:kinsoku/>
        <w:wordWrap/>
        <w:overflowPunct/>
        <w:topLinePunct w:val="0"/>
        <w:autoSpaceDE/>
        <w:autoSpaceDN/>
        <w:bidi w:val="0"/>
        <w:adjustRightInd/>
        <w:snapToGrid/>
        <w:spacing w:before="120" w:after="120" w:line="500" w:lineRule="exact"/>
        <w:jc w:val="left"/>
        <w:textAlignment w:val="auto"/>
        <w:rPr>
          <w:rFonts w:hint="eastAsia" w:ascii="宋体"/>
          <w:color w:val="auto"/>
          <w:sz w:val="24"/>
          <w:highlight w:val="none"/>
        </w:rPr>
      </w:pPr>
      <w:r>
        <w:rPr>
          <w:rStyle w:val="49"/>
          <w:rFonts w:hint="eastAsia" w:ascii="宋体" w:hAnsi="宋体" w:eastAsia="宋体"/>
          <w:i w:val="0"/>
          <w:color w:val="auto"/>
          <w:sz w:val="21"/>
          <w:szCs w:val="21"/>
          <w:highlight w:val="none"/>
          <w:u w:val="none"/>
        </w:rPr>
        <w:t>广西壮族自治区恭城公路养护中心</w:t>
      </w:r>
      <w:r>
        <w:rPr>
          <w:rFonts w:hint="eastAsia" w:ascii="宋体"/>
          <w:color w:val="auto"/>
          <w:sz w:val="24"/>
          <w:highlight w:val="none"/>
        </w:rPr>
        <w:t>：</w:t>
      </w:r>
    </w:p>
    <w:p w14:paraId="4E51E6DD">
      <w:pPr>
        <w:keepNext w:val="0"/>
        <w:keepLines w:val="0"/>
        <w:pageBreakBefore w:val="0"/>
        <w:widowControl w:val="0"/>
        <w:kinsoku/>
        <w:wordWrap/>
        <w:overflowPunct/>
        <w:topLinePunct w:val="0"/>
        <w:autoSpaceDE/>
        <w:autoSpaceDN/>
        <w:bidi w:val="0"/>
        <w:adjustRightInd/>
        <w:snapToGrid/>
        <w:spacing w:before="120" w:after="120" w:line="500" w:lineRule="exact"/>
        <w:ind w:firstLine="360" w:firstLineChars="150"/>
        <w:jc w:val="left"/>
        <w:textAlignment w:val="auto"/>
        <w:rPr>
          <w:rFonts w:hint="eastAsia" w:ascii="宋体"/>
          <w:color w:val="auto"/>
          <w:sz w:val="24"/>
          <w:highlight w:val="none"/>
        </w:rPr>
      </w:pPr>
      <w:r>
        <w:rPr>
          <w:rFonts w:hint="eastAsia" w:ascii="宋体"/>
          <w:color w:val="auto"/>
          <w:sz w:val="24"/>
          <w:highlight w:val="none"/>
        </w:rPr>
        <w:t>我支行依据贵</w:t>
      </w:r>
      <w:r>
        <w:rPr>
          <w:rFonts w:hint="eastAsia" w:ascii="宋体"/>
          <w:color w:val="auto"/>
          <w:sz w:val="24"/>
          <w:highlight w:val="none"/>
          <w:lang w:eastAsia="zh-CN"/>
        </w:rPr>
        <w:t>中心</w:t>
      </w:r>
      <w:r>
        <w:rPr>
          <w:rFonts w:hint="eastAsia" w:ascii="宋体"/>
          <w:color w:val="auto"/>
          <w:sz w:val="24"/>
          <w:highlight w:val="none"/>
        </w:rPr>
        <w:t>出具的授权冻结通知书于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日将监管账户的工程款人民币</w:t>
      </w:r>
      <w:r>
        <w:rPr>
          <w:rFonts w:hint="eastAsia" w:ascii="宋体"/>
          <w:color w:val="auto"/>
          <w:sz w:val="24"/>
          <w:highlight w:val="none"/>
          <w:u w:val="single"/>
        </w:rPr>
        <w:t xml:space="preserve">                </w:t>
      </w:r>
      <w:r>
        <w:rPr>
          <w:rFonts w:hint="eastAsia" w:ascii="宋体"/>
          <w:color w:val="auto"/>
          <w:sz w:val="24"/>
          <w:highlight w:val="none"/>
        </w:rPr>
        <w:t>元（大写金额）</w:t>
      </w:r>
      <w:r>
        <w:rPr>
          <w:rFonts w:hint="eastAsia" w:ascii="宋体"/>
          <w:color w:val="auto"/>
          <w:sz w:val="24"/>
          <w:highlight w:val="none"/>
          <w:u w:val="single"/>
        </w:rPr>
        <w:t xml:space="preserve">         （</w:t>
      </w:r>
      <w:r>
        <w:rPr>
          <w:rFonts w:hint="eastAsia" w:ascii="宋体"/>
          <w:color w:val="auto"/>
          <w:sz w:val="24"/>
          <w:highlight w:val="none"/>
        </w:rPr>
        <w:t>小写金额）予以冻结。</w:t>
      </w:r>
    </w:p>
    <w:p w14:paraId="55B691C3">
      <w:pPr>
        <w:keepNext w:val="0"/>
        <w:keepLines w:val="0"/>
        <w:pageBreakBefore w:val="0"/>
        <w:widowControl w:val="0"/>
        <w:kinsoku/>
        <w:wordWrap/>
        <w:overflowPunct/>
        <w:topLinePunct w:val="0"/>
        <w:autoSpaceDE/>
        <w:autoSpaceDN/>
        <w:bidi w:val="0"/>
        <w:adjustRightInd/>
        <w:snapToGrid/>
        <w:spacing w:before="120" w:after="120" w:line="500" w:lineRule="exact"/>
        <w:ind w:firstLine="360" w:firstLineChars="150"/>
        <w:jc w:val="left"/>
        <w:textAlignment w:val="auto"/>
        <w:rPr>
          <w:rFonts w:hint="eastAsia" w:ascii="宋体"/>
          <w:color w:val="auto"/>
          <w:sz w:val="24"/>
          <w:highlight w:val="none"/>
          <w:lang w:val="en-US" w:eastAsia="zh-CN"/>
        </w:rPr>
      </w:pPr>
      <w:r>
        <w:rPr>
          <w:rFonts w:hint="eastAsia" w:ascii="宋体"/>
          <w:color w:val="auto"/>
          <w:sz w:val="24"/>
          <w:highlight w:val="none"/>
        </w:rPr>
        <w:t>经办人：</w:t>
      </w:r>
      <w:r>
        <w:rPr>
          <w:rFonts w:hint="eastAsia" w:ascii="宋体"/>
          <w:color w:val="auto"/>
          <w:sz w:val="24"/>
          <w:highlight w:val="none"/>
          <w:lang w:val="en-US" w:eastAsia="zh-CN"/>
        </w:rPr>
        <w:t xml:space="preserve">                        </w:t>
      </w:r>
    </w:p>
    <w:p w14:paraId="4D2D99C4">
      <w:pPr>
        <w:keepNext w:val="0"/>
        <w:keepLines w:val="0"/>
        <w:pageBreakBefore w:val="0"/>
        <w:widowControl w:val="0"/>
        <w:kinsoku/>
        <w:wordWrap/>
        <w:overflowPunct/>
        <w:topLinePunct w:val="0"/>
        <w:autoSpaceDE/>
        <w:autoSpaceDN/>
        <w:bidi w:val="0"/>
        <w:adjustRightInd/>
        <w:snapToGrid/>
        <w:spacing w:before="120" w:after="120" w:line="500" w:lineRule="exact"/>
        <w:ind w:firstLine="3780" w:firstLineChars="1800"/>
        <w:jc w:val="left"/>
        <w:textAlignment w:val="auto"/>
        <w:rPr>
          <w:rStyle w:val="43"/>
          <w:rFonts w:hint="eastAsia" w:ascii="宋体" w:hAnsi="宋体" w:eastAsia="宋体"/>
          <w:color w:val="auto"/>
          <w:sz w:val="21"/>
          <w:szCs w:val="21"/>
          <w:highlight w:val="none"/>
          <w:u w:val="none"/>
        </w:rPr>
      </w:pPr>
      <w:r>
        <w:rPr>
          <w:rStyle w:val="43"/>
          <w:rFonts w:hint="eastAsia" w:ascii="宋体" w:hAnsi="宋体" w:eastAsia="宋体"/>
          <w:color w:val="auto"/>
          <w:sz w:val="21"/>
          <w:szCs w:val="21"/>
          <w:highlight w:val="none"/>
          <w:u w:val="none"/>
        </w:rPr>
        <w:t>广西恭城农村商业银行股份有限公司文武支行</w:t>
      </w:r>
    </w:p>
    <w:p w14:paraId="0502C0A4">
      <w:pPr>
        <w:wordWrap w:val="0"/>
        <w:spacing w:before="120" w:after="120" w:line="560" w:lineRule="exact"/>
        <w:ind w:right="480"/>
        <w:jc w:val="center"/>
        <w:rPr>
          <w:rFonts w:ascii="宋体"/>
          <w:color w:val="auto"/>
          <w:sz w:val="24"/>
          <w:highlight w:val="none"/>
        </w:rPr>
      </w:pPr>
      <w:r>
        <w:rPr>
          <w:rFonts w:hint="eastAsia" w:ascii="仿宋" w:hAnsi="仿宋" w:eastAsia="仿宋"/>
          <w:b/>
          <w:bCs/>
          <w:color w:val="auto"/>
          <w:sz w:val="32"/>
          <w:szCs w:val="32"/>
          <w:highlight w:val="none"/>
          <w:lang w:val="en-US" w:eastAsia="zh-CN"/>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日</w:t>
      </w:r>
    </w:p>
    <w:p w14:paraId="130E8E96">
      <w:pPr>
        <w:spacing w:before="120" w:after="120" w:line="0" w:lineRule="atLeast"/>
        <w:jc w:val="both"/>
        <w:rPr>
          <w:rFonts w:hint="default" w:ascii="仿宋" w:hAnsi="仿宋" w:eastAsia="仿宋"/>
          <w:b/>
          <w:bCs/>
          <w:color w:val="auto"/>
          <w:sz w:val="32"/>
          <w:szCs w:val="32"/>
          <w:highlight w:val="none"/>
          <w:lang w:val="en-US" w:eastAsia="zh-CN"/>
        </w:rPr>
      </w:pPr>
    </w:p>
    <w:p w14:paraId="2195F6B1">
      <w:pPr>
        <w:spacing w:before="120" w:after="120" w:line="0" w:lineRule="atLeast"/>
        <w:jc w:val="both"/>
        <w:rPr>
          <w:rFonts w:hint="eastAsia" w:ascii="仿宋" w:hAnsi="仿宋" w:eastAsia="仿宋"/>
          <w:b/>
          <w:bCs/>
          <w:color w:val="auto"/>
          <w:sz w:val="32"/>
          <w:szCs w:val="32"/>
          <w:highlight w:val="none"/>
          <w:lang w:val="en-US" w:eastAsia="zh-CN"/>
        </w:rPr>
      </w:pPr>
    </w:p>
    <w:p w14:paraId="2BBEDD38">
      <w:pPr>
        <w:spacing w:before="120" w:after="120" w:line="0" w:lineRule="atLeast"/>
        <w:jc w:val="both"/>
        <w:rPr>
          <w:rFonts w:hint="eastAsia" w:ascii="仿宋" w:hAnsi="仿宋" w:eastAsia="仿宋"/>
          <w:color w:val="auto"/>
          <w:sz w:val="28"/>
          <w:szCs w:val="28"/>
          <w:highlight w:val="none"/>
          <w:lang w:val="en-US" w:eastAsia="zh-CN"/>
        </w:rPr>
      </w:pPr>
      <w:r>
        <w:rPr>
          <w:rFonts w:hint="eastAsia" w:ascii="仿宋" w:hAnsi="仿宋" w:eastAsia="仿宋"/>
          <w:b/>
          <w:bCs/>
          <w:color w:val="auto"/>
          <w:sz w:val="32"/>
          <w:szCs w:val="32"/>
          <w:highlight w:val="none"/>
          <w:lang w:val="en-US" w:eastAsia="zh-CN"/>
        </w:rPr>
        <w:t>附件2</w:t>
      </w:r>
    </w:p>
    <w:p w14:paraId="07D5D3A9">
      <w:pPr>
        <w:spacing w:before="120" w:after="120" w:line="0" w:lineRule="atLeast"/>
        <w:ind w:firstLine="221" w:firstLineChars="50"/>
        <w:jc w:val="center"/>
        <w:rPr>
          <w:rFonts w:ascii="宋体" w:hAnsi="宋体"/>
          <w:color w:val="auto"/>
          <w:sz w:val="28"/>
          <w:highlight w:val="none"/>
        </w:rPr>
      </w:pPr>
      <w:r>
        <w:rPr>
          <w:rFonts w:hint="eastAsia" w:ascii="宋体" w:hAnsi="宋体"/>
          <w:b/>
          <w:color w:val="auto"/>
          <w:sz w:val="44"/>
          <w:szCs w:val="44"/>
          <w:highlight w:val="none"/>
        </w:rPr>
        <w:t>授权解冻支付通知书</w:t>
      </w:r>
    </w:p>
    <w:p w14:paraId="28AFD117">
      <w:pPr>
        <w:spacing w:before="120" w:after="120" w:line="560" w:lineRule="exact"/>
        <w:rPr>
          <w:rFonts w:ascii="宋体"/>
          <w:color w:val="auto"/>
          <w:sz w:val="24"/>
          <w:highlight w:val="none"/>
        </w:rPr>
      </w:pPr>
      <w:r>
        <w:rPr>
          <w:rStyle w:val="43"/>
          <w:rFonts w:hint="eastAsia" w:ascii="宋体" w:hAnsi="宋体" w:eastAsia="宋体"/>
          <w:color w:val="auto"/>
          <w:sz w:val="21"/>
          <w:szCs w:val="21"/>
          <w:highlight w:val="none"/>
          <w:u w:val="none"/>
        </w:rPr>
        <w:t>广西恭城农村商业银行股份有限公司文武支行</w:t>
      </w:r>
      <w:r>
        <w:rPr>
          <w:rFonts w:hint="eastAsia" w:ascii="宋体"/>
          <w:color w:val="auto"/>
          <w:sz w:val="24"/>
          <w:highlight w:val="none"/>
        </w:rPr>
        <w:t>：</w:t>
      </w:r>
    </w:p>
    <w:p w14:paraId="2885C319">
      <w:pPr>
        <w:spacing w:before="120" w:after="120"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依据</w:t>
      </w:r>
      <w:r>
        <w:rPr>
          <w:rFonts w:hint="eastAsia" w:ascii="宋体"/>
          <w:color w:val="auto"/>
          <w:sz w:val="24"/>
          <w:highlight w:val="none"/>
          <w:u w:val="single"/>
        </w:rPr>
        <w:t>项目资金监管协议</w:t>
      </w:r>
      <w:r>
        <w:rPr>
          <w:rFonts w:hint="eastAsia" w:ascii="宋体" w:hAnsi="宋体"/>
          <w:color w:val="auto"/>
          <w:sz w:val="24"/>
          <w:highlight w:val="none"/>
        </w:rPr>
        <w:t>（下称监管协议）的约定，现授权贵行将监管账户中的监管资金人民币</w:t>
      </w:r>
      <w:r>
        <w:rPr>
          <w:rFonts w:hint="eastAsia" w:ascii="宋体" w:hAnsi="宋体"/>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hAnsi="宋体"/>
          <w:color w:val="auto"/>
          <w:sz w:val="24"/>
          <w:highlight w:val="none"/>
        </w:rPr>
        <w:t>（大写金额）</w:t>
      </w:r>
      <w:r>
        <w:rPr>
          <w:rFonts w:hint="eastAsia" w:ascii="宋体" w:hAns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hAnsi="宋体"/>
          <w:color w:val="auto"/>
          <w:sz w:val="24"/>
          <w:highlight w:val="none"/>
        </w:rPr>
        <w:t>（小写金额）解冻并划至乙方指定账户（户名：</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，账号：</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190D3A97">
      <w:pPr>
        <w:spacing w:before="120" w:after="120" w:line="560" w:lineRule="exact"/>
        <w:jc w:val="left"/>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特此授权。</w:t>
      </w:r>
    </w:p>
    <w:p w14:paraId="60152CAE">
      <w:pPr>
        <w:spacing w:before="120" w:after="120" w:line="560" w:lineRule="exact"/>
        <w:ind w:firstLine="240" w:firstLineChars="100"/>
        <w:jc w:val="left"/>
        <w:rPr>
          <w:rFonts w:ascii="宋体"/>
          <w:color w:val="auto"/>
          <w:sz w:val="24"/>
          <w:highlight w:val="none"/>
        </w:rPr>
      </w:pPr>
      <w:r>
        <w:rPr>
          <w:rFonts w:hint="eastAsia" w:ascii="宋体"/>
          <w:color w:val="auto"/>
          <w:sz w:val="24"/>
          <w:highlight w:val="none"/>
        </w:rPr>
        <w:t>经办人（签字）：                         单位负责人（签字）：</w:t>
      </w:r>
    </w:p>
    <w:p w14:paraId="0912F291">
      <w:pPr>
        <w:spacing w:before="120" w:after="120" w:line="560" w:lineRule="exact"/>
        <w:ind w:firstLine="240" w:firstLineChars="100"/>
        <w:jc w:val="left"/>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财务专用章：                                   公章：</w:t>
      </w:r>
    </w:p>
    <w:p w14:paraId="25988360">
      <w:pPr>
        <w:spacing w:before="120" w:after="120" w:line="560" w:lineRule="exact"/>
        <w:ind w:right="240"/>
        <w:jc w:val="right"/>
        <w:rPr>
          <w:rFonts w:hint="eastAsia" w:ascii="宋体"/>
          <w:color w:val="auto"/>
          <w:sz w:val="24"/>
          <w:highlight w:val="none"/>
        </w:rPr>
      </w:pPr>
      <w:r>
        <w:rPr>
          <w:rFonts w:ascii="宋体"/>
          <w:color w:val="auto"/>
          <w:sz w:val="24"/>
          <w:highlight w:val="none"/>
          <w:u w:val="single"/>
        </w:rPr>
        <w:t xml:space="preserve">  </w:t>
      </w:r>
      <w:r>
        <w:rPr>
          <w:rFonts w:hint="eastAsia" w:ascii="宋体"/>
          <w:color w:val="auto"/>
          <w:sz w:val="24"/>
          <w:highlight w:val="none"/>
          <w:u w:val="single"/>
          <w:lang w:val="en-US" w:eastAsia="zh-CN"/>
        </w:rPr>
        <w:t>2024</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u w:val="single"/>
          <w:lang w:val="en-US" w:eastAsia="zh-CN"/>
        </w:rPr>
        <w:t>8</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u w:val="single"/>
          <w:lang w:val="en-US" w:eastAsia="zh-CN"/>
        </w:rPr>
        <w:t xml:space="preserve">30 </w:t>
      </w:r>
      <w:r>
        <w:rPr>
          <w:rFonts w:hint="eastAsia" w:ascii="宋体"/>
          <w:color w:val="auto"/>
          <w:sz w:val="24"/>
          <w:highlight w:val="none"/>
        </w:rPr>
        <w:t>日</w:t>
      </w:r>
    </w:p>
    <w:p w14:paraId="3DD1B5A0">
      <w:pPr>
        <w:spacing w:before="120" w:after="120" w:line="560" w:lineRule="exact"/>
        <w:rPr>
          <w:rFonts w:hint="eastAsia" w:ascii="宋体"/>
          <w:color w:val="auto"/>
          <w:sz w:val="24"/>
          <w:highlight w:val="none"/>
          <w:u w:val="single"/>
        </w:rPr>
      </w:pPr>
      <w:r>
        <w:rPr>
          <w:rFonts w:hint="eastAsia" w:ascii="宋体"/>
          <w:color w:val="auto"/>
          <w:sz w:val="24"/>
          <w:highlight w:val="none"/>
          <w:u w:val="single"/>
        </w:rPr>
        <w:t xml:space="preserve">                                                                   </w:t>
      </w:r>
    </w:p>
    <w:p w14:paraId="31669338">
      <w:pPr>
        <w:spacing w:before="120" w:after="120" w:line="560" w:lineRule="exact"/>
        <w:jc w:val="center"/>
        <w:rPr>
          <w:rFonts w:hint="eastAsia" w:ascii="宋体"/>
          <w:color w:val="auto"/>
          <w:sz w:val="24"/>
          <w:highlight w:val="none"/>
        </w:rPr>
      </w:pPr>
      <w:r>
        <w:rPr>
          <w:rFonts w:hint="eastAsia" w:ascii="宋体"/>
          <w:color w:val="auto"/>
          <w:sz w:val="24"/>
          <w:highlight w:val="none"/>
        </w:rPr>
        <w:t>回执</w:t>
      </w:r>
    </w:p>
    <w:p w14:paraId="6D3231D6">
      <w:pPr>
        <w:keepNext w:val="0"/>
        <w:keepLines w:val="0"/>
        <w:pageBreakBefore w:val="0"/>
        <w:widowControl w:val="0"/>
        <w:kinsoku/>
        <w:wordWrap/>
        <w:overflowPunct/>
        <w:topLinePunct w:val="0"/>
        <w:autoSpaceDE/>
        <w:autoSpaceDN/>
        <w:bidi w:val="0"/>
        <w:adjustRightInd/>
        <w:snapToGrid/>
        <w:spacing w:before="120" w:after="120" w:line="500" w:lineRule="exact"/>
        <w:jc w:val="left"/>
        <w:textAlignment w:val="auto"/>
        <w:rPr>
          <w:rFonts w:hint="eastAsia" w:ascii="宋体"/>
          <w:color w:val="auto"/>
          <w:sz w:val="24"/>
          <w:highlight w:val="none"/>
        </w:rPr>
      </w:pPr>
      <w:r>
        <w:rPr>
          <w:rStyle w:val="49"/>
          <w:rFonts w:hint="eastAsia" w:ascii="宋体" w:hAnsi="宋体" w:eastAsia="宋体"/>
          <w:i w:val="0"/>
          <w:color w:val="auto"/>
          <w:sz w:val="21"/>
          <w:szCs w:val="21"/>
          <w:highlight w:val="none"/>
          <w:u w:val="none"/>
        </w:rPr>
        <w:t>广西壮族自治区恭城公路养护中心</w:t>
      </w:r>
      <w:r>
        <w:rPr>
          <w:rFonts w:hint="eastAsia" w:ascii="宋体"/>
          <w:color w:val="auto"/>
          <w:sz w:val="24"/>
          <w:highlight w:val="none"/>
        </w:rPr>
        <w:t>：</w:t>
      </w:r>
    </w:p>
    <w:p w14:paraId="3B64DD60">
      <w:pPr>
        <w:spacing w:before="120" w:after="120" w:line="560" w:lineRule="exact"/>
        <w:ind w:firstLine="480" w:firstLineChars="200"/>
        <w:jc w:val="left"/>
        <w:rPr>
          <w:rFonts w:hint="eastAsia" w:ascii="宋体"/>
          <w:color w:val="auto"/>
          <w:sz w:val="24"/>
          <w:highlight w:val="none"/>
        </w:rPr>
      </w:pPr>
      <w:r>
        <w:rPr>
          <w:rFonts w:hint="eastAsia" w:ascii="宋体"/>
          <w:color w:val="auto"/>
          <w:sz w:val="24"/>
          <w:highlight w:val="none"/>
        </w:rPr>
        <w:t>我支行依据贵单位出具的授权解冻支付通知书（编号：</w:t>
      </w:r>
      <w:r>
        <w:rPr>
          <w:rFonts w:ascii="宋体"/>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ascii="宋体"/>
          <w:color w:val="auto"/>
          <w:sz w:val="24"/>
          <w:highlight w:val="none"/>
        </w:rPr>
        <w:t xml:space="preserve"> </w:t>
      </w:r>
      <w:r>
        <w:rPr>
          <w:rFonts w:hint="eastAsia" w:ascii="宋体"/>
          <w:color w:val="auto"/>
          <w:sz w:val="24"/>
          <w:highlight w:val="none"/>
        </w:rPr>
        <w:t>）于</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日将</w:t>
      </w:r>
      <w:r>
        <w:rPr>
          <w:rFonts w:hint="eastAsia" w:ascii="宋体" w:hAnsi="宋体"/>
          <w:color w:val="auto"/>
          <w:sz w:val="24"/>
          <w:highlight w:val="none"/>
        </w:rPr>
        <w:t>监管账户中的资金</w:t>
      </w:r>
      <w:r>
        <w:rPr>
          <w:rFonts w:hint="eastAsia" w:ascii="宋体"/>
          <w:color w:val="auto"/>
          <w:sz w:val="24"/>
          <w:highlight w:val="none"/>
        </w:rPr>
        <w:t>人民币</w:t>
      </w:r>
      <w:r>
        <w:rPr>
          <w:rFonts w:hint="eastAsia" w:ascii="宋体"/>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（大写金额）</w:t>
      </w:r>
      <w:r>
        <w:rPr>
          <w:rFonts w:hint="eastAsia" w:ascii="宋体" w:hAnsi="宋体"/>
          <w:color w:val="auto"/>
          <w:sz w:val="24"/>
          <w:highlight w:val="none"/>
          <w:u w:val="single"/>
          <w:lang w:val="en-US" w:eastAsia="zh-CN"/>
        </w:rPr>
        <w:t xml:space="preserve">           </w:t>
      </w:r>
      <w:r>
        <w:rPr>
          <w:rFonts w:hint="eastAsia" w:ascii="宋体"/>
          <w:color w:val="auto"/>
          <w:sz w:val="24"/>
          <w:highlight w:val="none"/>
          <w:u w:val="single"/>
        </w:rPr>
        <w:t>（</w:t>
      </w:r>
      <w:r>
        <w:rPr>
          <w:rFonts w:hint="eastAsia" w:ascii="宋体"/>
          <w:color w:val="auto"/>
          <w:sz w:val="24"/>
          <w:highlight w:val="none"/>
        </w:rPr>
        <w:t>小写金额）予以解冻并</w:t>
      </w:r>
      <w:r>
        <w:rPr>
          <w:rFonts w:hint="eastAsia" w:ascii="宋体" w:hAnsi="宋体"/>
          <w:color w:val="auto"/>
          <w:sz w:val="24"/>
          <w:highlight w:val="none"/>
        </w:rPr>
        <w:t>划至乙方指定账户</w:t>
      </w:r>
      <w:r>
        <w:rPr>
          <w:rFonts w:hint="eastAsia" w:ascii="宋体"/>
          <w:color w:val="auto"/>
          <w:sz w:val="24"/>
          <w:highlight w:val="none"/>
        </w:rPr>
        <w:t>。</w:t>
      </w:r>
    </w:p>
    <w:p w14:paraId="5A93D933">
      <w:pPr>
        <w:spacing w:before="120" w:after="120" w:line="560" w:lineRule="exact"/>
        <w:ind w:firstLine="360" w:firstLineChars="150"/>
        <w:jc w:val="left"/>
        <w:rPr>
          <w:rFonts w:hint="eastAsia" w:ascii="宋体"/>
          <w:color w:val="auto"/>
          <w:sz w:val="24"/>
          <w:highlight w:val="none"/>
          <w:u w:val="single"/>
        </w:rPr>
      </w:pPr>
      <w:r>
        <w:rPr>
          <w:rFonts w:hint="eastAsia" w:ascii="宋体"/>
          <w:color w:val="auto"/>
          <w:sz w:val="24"/>
          <w:highlight w:val="none"/>
        </w:rPr>
        <w:t>经办人：</w:t>
      </w:r>
    </w:p>
    <w:p w14:paraId="2325C3CF">
      <w:pPr>
        <w:spacing w:before="120" w:after="120" w:line="560" w:lineRule="exact"/>
        <w:ind w:right="240"/>
        <w:jc w:val="right"/>
        <w:rPr>
          <w:rStyle w:val="43"/>
          <w:rFonts w:hint="eastAsia" w:ascii="宋体" w:hAnsi="宋体" w:eastAsia="宋体"/>
          <w:color w:val="auto"/>
          <w:sz w:val="21"/>
          <w:szCs w:val="21"/>
          <w:highlight w:val="none"/>
          <w:u w:val="none"/>
        </w:rPr>
      </w:pPr>
      <w:r>
        <w:rPr>
          <w:rStyle w:val="43"/>
          <w:rFonts w:hint="eastAsia" w:ascii="宋体" w:hAnsi="宋体" w:eastAsia="宋体"/>
          <w:color w:val="auto"/>
          <w:sz w:val="21"/>
          <w:szCs w:val="21"/>
          <w:highlight w:val="none"/>
          <w:u w:val="none"/>
        </w:rPr>
        <w:t>广西恭城农村商业银行股份有限公司文武支行</w:t>
      </w:r>
    </w:p>
    <w:p w14:paraId="2FAF500C">
      <w:pPr>
        <w:spacing w:before="120" w:after="120" w:line="560" w:lineRule="exact"/>
        <w:ind w:right="240"/>
        <w:jc w:val="right"/>
        <w:rPr>
          <w:rFonts w:hint="default"/>
          <w:color w:val="auto"/>
          <w:highlight w:val="none"/>
          <w:lang w:val="en-US" w:eastAsia="zh-CN"/>
        </w:rPr>
      </w:pPr>
      <w:r>
        <w:rPr>
          <w:rFonts w:hint="eastAsia"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ascii="宋体"/>
          <w:color w:val="auto"/>
          <w:sz w:val="24"/>
          <w:highlight w:val="none"/>
          <w:u w:val="single"/>
        </w:rPr>
        <w:t xml:space="preserve"> </w:t>
      </w:r>
      <w:r>
        <w:rPr>
          <w:rFonts w:hint="eastAsia" w:ascii="宋体"/>
          <w:color w:val="auto"/>
          <w:sz w:val="24"/>
          <w:highlight w:val="none"/>
        </w:rPr>
        <w:t>日</w:t>
      </w:r>
    </w:p>
    <w:p w14:paraId="2DD8B0DF">
      <w:pPr>
        <w:keepNext w:val="0"/>
        <w:keepLines w:val="0"/>
        <w:pageBreakBefore w:val="0"/>
        <w:widowControl/>
        <w:tabs>
          <w:tab w:val="left" w:pos="0"/>
        </w:tabs>
        <w:kinsoku w:val="0"/>
        <w:wordWrap/>
        <w:overflowPunct/>
        <w:topLinePunct w:val="0"/>
        <w:autoSpaceDE w:val="0"/>
        <w:autoSpaceDN w:val="0"/>
        <w:bidi w:val="0"/>
        <w:adjustRightInd w:val="0"/>
        <w:snapToGrid w:val="0"/>
        <w:spacing w:line="586" w:lineRule="exact"/>
        <w:ind w:firstLine="1280" w:firstLineChars="400"/>
        <w:jc w:val="left"/>
        <w:textAlignment w:val="baseline"/>
        <w:rPr>
          <w:rFonts w:hint="eastAsia" w:ascii="仿宋_GB2312" w:hAnsi="仿宋_GB2312" w:eastAsia="仿宋_GB2312" w:cs="仿宋_GB2312"/>
          <w:bCs/>
          <w:color w:val="auto"/>
          <w:sz w:val="32"/>
          <w:szCs w:val="32"/>
          <w:highlight w:val="none"/>
        </w:rPr>
      </w:pPr>
    </w:p>
    <w:p w14:paraId="1AC218B6">
      <w:pPr>
        <w:spacing w:before="54"/>
        <w:ind w:left="118" w:right="235" w:firstLine="640"/>
        <w:jc w:val="center"/>
        <w:rPr>
          <w:b/>
          <w:color w:val="auto"/>
          <w:sz w:val="32"/>
          <w:highlight w:val="none"/>
        </w:rPr>
      </w:pPr>
    </w:p>
    <w:p w14:paraId="6C9B029A">
      <w:pPr>
        <w:spacing w:before="54"/>
        <w:ind w:left="118" w:right="235" w:firstLine="640"/>
        <w:jc w:val="center"/>
        <w:rPr>
          <w:b/>
          <w:color w:val="auto"/>
          <w:sz w:val="32"/>
          <w:highlight w:val="none"/>
        </w:rPr>
      </w:pPr>
    </w:p>
    <w:p w14:paraId="0F4E9FD6">
      <w:pPr>
        <w:pStyle w:val="2"/>
        <w:spacing w:before="35"/>
        <w:ind w:right="320" w:firstLine="643"/>
        <w:jc w:val="center"/>
        <w:rPr>
          <w:b w:val="0"/>
          <w:bCs w:val="0"/>
          <w:color w:val="auto"/>
          <w:sz w:val="28"/>
          <w:szCs w:val="28"/>
          <w:highlight w:val="none"/>
        </w:rPr>
      </w:pPr>
      <w:bookmarkStart w:id="178" w:name="_Toc8426"/>
      <w:r>
        <w:rPr>
          <w:rFonts w:hint="eastAsia"/>
          <w:color w:val="auto"/>
          <w:highlight w:val="none"/>
        </w:rPr>
        <w:t>第六章工程量清单</w:t>
      </w:r>
      <w:r>
        <w:rPr>
          <w:rFonts w:hint="eastAsia"/>
          <w:b w:val="0"/>
          <w:bCs w:val="0"/>
          <w:color w:val="auto"/>
          <w:sz w:val="28"/>
          <w:szCs w:val="28"/>
          <w:highlight w:val="none"/>
        </w:rPr>
        <w:t>（另册）</w:t>
      </w:r>
      <w:bookmarkEnd w:id="178"/>
    </w:p>
    <w:p w14:paraId="1ED913D7">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Times New Roman" w:hAnsi="Times New Roman" w:eastAsia="Times New Roman" w:cs="Times New Roman"/>
          <w:color w:val="auto"/>
          <w:sz w:val="24"/>
          <w:szCs w:val="24"/>
          <w:highlight w:val="none"/>
        </w:rPr>
      </w:pPr>
    </w:p>
    <w:p w14:paraId="588F5A2A">
      <w:pPr>
        <w:spacing w:line="360" w:lineRule="auto"/>
        <w:ind w:firstLine="420" w:firstLineChars="200"/>
        <w:rPr>
          <w:color w:val="auto"/>
          <w:sz w:val="21"/>
          <w:szCs w:val="21"/>
          <w:highlight w:val="none"/>
        </w:rPr>
      </w:pPr>
      <w:r>
        <w:rPr>
          <w:rFonts w:hint="eastAsia"/>
          <w:color w:val="auto"/>
          <w:sz w:val="21"/>
          <w:szCs w:val="21"/>
          <w:highlight w:val="none"/>
        </w:rPr>
        <w:t>注：除项目专用合同条款另有约定外，</w:t>
      </w:r>
      <w:r>
        <w:rPr>
          <w:rFonts w:hint="eastAsia"/>
          <w:b/>
          <w:bCs/>
          <w:color w:val="auto"/>
          <w:sz w:val="21"/>
          <w:szCs w:val="21"/>
          <w:highlight w:val="none"/>
        </w:rPr>
        <w:t>安全生产费用应按采购人公布的最高投标限价的1.5%计。安</w:t>
      </w:r>
      <w:r>
        <w:rPr>
          <w:rFonts w:hint="eastAsia"/>
          <w:color w:val="auto"/>
          <w:sz w:val="21"/>
          <w:szCs w:val="21"/>
          <w:highlight w:val="none"/>
        </w:rPr>
        <w:t>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采购人不再另行支付。</w:t>
      </w:r>
      <w:r>
        <w:rPr>
          <w:rFonts w:hint="eastAsia"/>
          <w:b/>
          <w:bCs/>
          <w:color w:val="auto"/>
          <w:sz w:val="21"/>
          <w:szCs w:val="21"/>
          <w:highlight w:val="none"/>
        </w:rPr>
        <w:t>安全生产费用不按采购人公布的最高投标限价的1.5%填报的，响应文件作废标处理。</w:t>
      </w:r>
    </w:p>
    <w:p w14:paraId="30DBCD25">
      <w:pPr>
        <w:spacing w:line="360" w:lineRule="auto"/>
        <w:ind w:firstLine="420" w:firstLineChars="200"/>
        <w:rPr>
          <w:color w:val="auto"/>
          <w:sz w:val="21"/>
          <w:szCs w:val="21"/>
          <w:highlight w:val="none"/>
        </w:rPr>
      </w:pPr>
      <w:r>
        <w:rPr>
          <w:color w:val="auto"/>
          <w:sz w:val="21"/>
          <w:szCs w:val="21"/>
          <w:highlight w:val="none"/>
        </w:rPr>
        <w:t>未作修改的子目按</w:t>
      </w:r>
      <w:r>
        <w:rPr>
          <w:rFonts w:hint="eastAsia"/>
          <w:color w:val="auto"/>
          <w:sz w:val="21"/>
          <w:szCs w:val="21"/>
          <w:highlight w:val="none"/>
        </w:rPr>
        <w:t>《公路养护项目合同范本》（交办公路函[2025]1819号）</w:t>
      </w:r>
      <w:r>
        <w:rPr>
          <w:color w:val="auto"/>
          <w:sz w:val="21"/>
          <w:szCs w:val="21"/>
          <w:highlight w:val="none"/>
        </w:rPr>
        <w:t>中的工程量清单计量规则执行</w:t>
      </w:r>
      <w:r>
        <w:rPr>
          <w:rFonts w:hint="eastAsia"/>
          <w:color w:val="auto"/>
          <w:sz w:val="21"/>
          <w:szCs w:val="21"/>
          <w:highlight w:val="none"/>
        </w:rPr>
        <w:t>；</w:t>
      </w:r>
      <w:r>
        <w:rPr>
          <w:color w:val="auto"/>
          <w:sz w:val="21"/>
          <w:szCs w:val="21"/>
          <w:highlight w:val="none"/>
        </w:rPr>
        <w:t>已经修改的子目</w:t>
      </w:r>
      <w:r>
        <w:rPr>
          <w:rFonts w:hint="eastAsia"/>
          <w:color w:val="auto"/>
          <w:sz w:val="21"/>
          <w:szCs w:val="21"/>
          <w:highlight w:val="none"/>
        </w:rPr>
        <w:t>或新增子目项</w:t>
      </w:r>
      <w:r>
        <w:rPr>
          <w:color w:val="auto"/>
          <w:sz w:val="21"/>
          <w:szCs w:val="21"/>
          <w:highlight w:val="none"/>
        </w:rPr>
        <w:t>，按修改后的工程量清单计量规则</w:t>
      </w:r>
      <w:r>
        <w:rPr>
          <w:rFonts w:hint="eastAsia"/>
          <w:color w:val="auto"/>
          <w:sz w:val="21"/>
          <w:szCs w:val="21"/>
          <w:highlight w:val="none"/>
        </w:rPr>
        <w:t>、图纸及工程量清单要求</w:t>
      </w:r>
      <w:r>
        <w:rPr>
          <w:color w:val="auto"/>
          <w:sz w:val="21"/>
          <w:szCs w:val="21"/>
          <w:highlight w:val="none"/>
        </w:rPr>
        <w:t>执行，</w:t>
      </w:r>
      <w:r>
        <w:rPr>
          <w:rFonts w:hint="eastAsia"/>
          <w:color w:val="auto"/>
          <w:sz w:val="21"/>
          <w:szCs w:val="21"/>
          <w:highlight w:val="none"/>
        </w:rPr>
        <w:t>部分</w:t>
      </w:r>
      <w:r>
        <w:rPr>
          <w:color w:val="auto"/>
          <w:sz w:val="21"/>
          <w:szCs w:val="21"/>
          <w:highlight w:val="none"/>
        </w:rPr>
        <w:t>修改子目工程量清单计量规则见下表：</w:t>
      </w:r>
    </w:p>
    <w:tbl>
      <w:tblPr>
        <w:tblStyle w:val="25"/>
        <w:tblW w:w="0" w:type="auto"/>
        <w:tblInd w:w="0" w:type="dxa"/>
        <w:tblLayout w:type="autofit"/>
        <w:tblCellMar>
          <w:top w:w="0" w:type="dxa"/>
          <w:left w:w="108" w:type="dxa"/>
          <w:bottom w:w="0" w:type="dxa"/>
          <w:right w:w="108" w:type="dxa"/>
        </w:tblCellMar>
      </w:tblPr>
      <w:tblGrid>
        <w:gridCol w:w="735"/>
        <w:gridCol w:w="1697"/>
        <w:gridCol w:w="492"/>
        <w:gridCol w:w="3985"/>
        <w:gridCol w:w="2384"/>
      </w:tblGrid>
      <w:tr w14:paraId="479E1C2A">
        <w:tblPrEx>
          <w:tblCellMar>
            <w:top w:w="0" w:type="dxa"/>
            <w:left w:w="108" w:type="dxa"/>
            <w:bottom w:w="0" w:type="dxa"/>
            <w:right w:w="108" w:type="dxa"/>
          </w:tblCellMar>
        </w:tblPrEx>
        <w:trPr>
          <w:trHeight w:val="522" w:hRule="atLeast"/>
        </w:trPr>
        <w:tc>
          <w:tcPr>
            <w:tcW w:w="0" w:type="auto"/>
            <w:tcBorders>
              <w:top w:val="single" w:color="auto" w:sz="4" w:space="0"/>
              <w:left w:val="single" w:color="auto" w:sz="4" w:space="0"/>
              <w:bottom w:val="single" w:color="auto" w:sz="4" w:space="0"/>
              <w:right w:val="single" w:color="auto" w:sz="4" w:space="0"/>
            </w:tcBorders>
            <w:vAlign w:val="center"/>
          </w:tcPr>
          <w:p w14:paraId="6A9401D4">
            <w:pPr>
              <w:widowControl/>
              <w:spacing w:line="360" w:lineRule="auto"/>
              <w:jc w:val="center"/>
              <w:rPr>
                <w:color w:val="auto"/>
                <w:sz w:val="21"/>
                <w:szCs w:val="21"/>
                <w:highlight w:val="none"/>
              </w:rPr>
            </w:pPr>
            <w:r>
              <w:rPr>
                <w:rFonts w:hint="eastAsia"/>
                <w:color w:val="auto"/>
                <w:sz w:val="21"/>
                <w:szCs w:val="21"/>
                <w:highlight w:val="none"/>
              </w:rPr>
              <w:t>子目号</w:t>
            </w:r>
          </w:p>
        </w:tc>
        <w:tc>
          <w:tcPr>
            <w:tcW w:w="0" w:type="auto"/>
            <w:tcBorders>
              <w:top w:val="single" w:color="auto" w:sz="4" w:space="0"/>
              <w:left w:val="nil"/>
              <w:bottom w:val="single" w:color="auto" w:sz="4" w:space="0"/>
              <w:right w:val="single" w:color="auto" w:sz="4" w:space="0"/>
            </w:tcBorders>
            <w:vAlign w:val="center"/>
          </w:tcPr>
          <w:p w14:paraId="4DBFBDB1">
            <w:pPr>
              <w:widowControl/>
              <w:spacing w:line="360" w:lineRule="auto"/>
              <w:jc w:val="center"/>
              <w:rPr>
                <w:color w:val="auto"/>
                <w:sz w:val="21"/>
                <w:szCs w:val="21"/>
                <w:highlight w:val="none"/>
              </w:rPr>
            </w:pPr>
            <w:r>
              <w:rPr>
                <w:rFonts w:hint="eastAsia"/>
                <w:color w:val="auto"/>
                <w:sz w:val="21"/>
                <w:szCs w:val="21"/>
                <w:highlight w:val="none"/>
              </w:rPr>
              <w:t>子目名称</w:t>
            </w:r>
          </w:p>
        </w:tc>
        <w:tc>
          <w:tcPr>
            <w:tcW w:w="0" w:type="auto"/>
            <w:tcBorders>
              <w:top w:val="single" w:color="auto" w:sz="4" w:space="0"/>
              <w:left w:val="nil"/>
              <w:bottom w:val="single" w:color="auto" w:sz="4" w:space="0"/>
              <w:right w:val="single" w:color="auto" w:sz="4" w:space="0"/>
            </w:tcBorders>
            <w:vAlign w:val="center"/>
          </w:tcPr>
          <w:p w14:paraId="01A6D51E">
            <w:pPr>
              <w:widowControl/>
              <w:spacing w:line="360" w:lineRule="auto"/>
              <w:jc w:val="center"/>
              <w:rPr>
                <w:color w:val="auto"/>
                <w:sz w:val="21"/>
                <w:szCs w:val="21"/>
                <w:highlight w:val="none"/>
              </w:rPr>
            </w:pPr>
            <w:r>
              <w:rPr>
                <w:rFonts w:hint="eastAsia"/>
                <w:color w:val="auto"/>
                <w:sz w:val="21"/>
                <w:szCs w:val="21"/>
                <w:highlight w:val="none"/>
              </w:rPr>
              <w:t>单位</w:t>
            </w:r>
          </w:p>
        </w:tc>
        <w:tc>
          <w:tcPr>
            <w:tcW w:w="0" w:type="auto"/>
            <w:tcBorders>
              <w:top w:val="single" w:color="auto" w:sz="4" w:space="0"/>
              <w:left w:val="nil"/>
              <w:bottom w:val="single" w:color="auto" w:sz="4" w:space="0"/>
              <w:right w:val="single" w:color="auto" w:sz="4" w:space="0"/>
            </w:tcBorders>
            <w:vAlign w:val="center"/>
          </w:tcPr>
          <w:p w14:paraId="0E02F9BA">
            <w:pPr>
              <w:widowControl/>
              <w:spacing w:line="360" w:lineRule="auto"/>
              <w:jc w:val="center"/>
              <w:rPr>
                <w:color w:val="auto"/>
                <w:sz w:val="21"/>
                <w:szCs w:val="21"/>
                <w:highlight w:val="none"/>
              </w:rPr>
            </w:pPr>
            <w:r>
              <w:rPr>
                <w:rFonts w:hint="eastAsia"/>
                <w:color w:val="auto"/>
                <w:sz w:val="21"/>
                <w:szCs w:val="21"/>
                <w:highlight w:val="none"/>
              </w:rPr>
              <w:t>工程量计量</w:t>
            </w:r>
          </w:p>
        </w:tc>
        <w:tc>
          <w:tcPr>
            <w:tcW w:w="0" w:type="auto"/>
            <w:tcBorders>
              <w:top w:val="single" w:color="auto" w:sz="4" w:space="0"/>
              <w:left w:val="nil"/>
              <w:bottom w:val="single" w:color="auto" w:sz="4" w:space="0"/>
              <w:right w:val="single" w:color="auto" w:sz="4" w:space="0"/>
            </w:tcBorders>
            <w:vAlign w:val="center"/>
          </w:tcPr>
          <w:p w14:paraId="6938E9A3">
            <w:pPr>
              <w:widowControl/>
              <w:spacing w:line="360" w:lineRule="auto"/>
              <w:jc w:val="center"/>
              <w:rPr>
                <w:color w:val="auto"/>
                <w:sz w:val="21"/>
                <w:szCs w:val="21"/>
                <w:highlight w:val="none"/>
              </w:rPr>
            </w:pPr>
            <w:r>
              <w:rPr>
                <w:rFonts w:hint="eastAsia"/>
                <w:color w:val="auto"/>
                <w:sz w:val="21"/>
                <w:szCs w:val="21"/>
                <w:highlight w:val="none"/>
              </w:rPr>
              <w:t>工程内容</w:t>
            </w:r>
          </w:p>
        </w:tc>
      </w:tr>
      <w:tr w14:paraId="7AA7A73F">
        <w:tblPrEx>
          <w:tblCellMar>
            <w:top w:w="0" w:type="dxa"/>
            <w:left w:w="108" w:type="dxa"/>
            <w:bottom w:w="0" w:type="dxa"/>
            <w:right w:w="108" w:type="dxa"/>
          </w:tblCellMar>
        </w:tblPrEx>
        <w:trPr>
          <w:trHeight w:val="2456" w:hRule="atLeast"/>
        </w:trPr>
        <w:tc>
          <w:tcPr>
            <w:tcW w:w="0" w:type="auto"/>
            <w:tcBorders>
              <w:top w:val="single" w:color="auto" w:sz="4" w:space="0"/>
              <w:left w:val="single" w:color="auto" w:sz="4" w:space="0"/>
              <w:bottom w:val="single" w:color="auto" w:sz="4" w:space="0"/>
              <w:right w:val="single" w:color="auto" w:sz="4" w:space="0"/>
            </w:tcBorders>
            <w:vAlign w:val="center"/>
          </w:tcPr>
          <w:p w14:paraId="1AF15399">
            <w:pPr>
              <w:spacing w:line="360" w:lineRule="auto"/>
              <w:rPr>
                <w:color w:val="auto"/>
                <w:sz w:val="21"/>
                <w:szCs w:val="21"/>
                <w:highlight w:val="none"/>
              </w:rPr>
            </w:pPr>
            <w:r>
              <w:rPr>
                <w:rFonts w:hint="eastAsia"/>
                <w:color w:val="auto"/>
                <w:sz w:val="21"/>
                <w:szCs w:val="21"/>
                <w:highlight w:val="none"/>
              </w:rPr>
              <w:t>101-1-c</w:t>
            </w:r>
          </w:p>
        </w:tc>
        <w:tc>
          <w:tcPr>
            <w:tcW w:w="0" w:type="auto"/>
            <w:tcBorders>
              <w:top w:val="single" w:color="auto" w:sz="4" w:space="0"/>
              <w:left w:val="nil"/>
              <w:bottom w:val="single" w:color="auto" w:sz="4" w:space="0"/>
              <w:right w:val="single" w:color="auto" w:sz="4" w:space="0"/>
            </w:tcBorders>
            <w:vAlign w:val="center"/>
          </w:tcPr>
          <w:p w14:paraId="6B90211C">
            <w:pPr>
              <w:spacing w:line="360" w:lineRule="auto"/>
              <w:rPr>
                <w:color w:val="auto"/>
                <w:sz w:val="21"/>
                <w:szCs w:val="21"/>
                <w:highlight w:val="none"/>
              </w:rPr>
            </w:pPr>
            <w:r>
              <w:rPr>
                <w:rFonts w:hint="eastAsia"/>
                <w:color w:val="auto"/>
                <w:sz w:val="21"/>
                <w:szCs w:val="21"/>
                <w:highlight w:val="none"/>
              </w:rPr>
              <w:t>按照合同条款规定，提供安全生产责任险</w:t>
            </w:r>
          </w:p>
        </w:tc>
        <w:tc>
          <w:tcPr>
            <w:tcW w:w="0" w:type="auto"/>
            <w:tcBorders>
              <w:top w:val="single" w:color="auto" w:sz="4" w:space="0"/>
              <w:left w:val="nil"/>
              <w:bottom w:val="single" w:color="auto" w:sz="4" w:space="0"/>
              <w:right w:val="single" w:color="auto" w:sz="4" w:space="0"/>
            </w:tcBorders>
            <w:vAlign w:val="center"/>
          </w:tcPr>
          <w:p w14:paraId="30111270">
            <w:pPr>
              <w:widowControl/>
              <w:spacing w:line="360" w:lineRule="auto"/>
              <w:jc w:val="center"/>
              <w:textAlignment w:val="center"/>
              <w:rPr>
                <w:color w:val="auto"/>
                <w:sz w:val="21"/>
                <w:szCs w:val="21"/>
                <w:highlight w:val="none"/>
              </w:rPr>
            </w:pPr>
            <w:r>
              <w:rPr>
                <w:rFonts w:hint="eastAsia"/>
                <w:color w:val="auto"/>
                <w:sz w:val="21"/>
                <w:szCs w:val="21"/>
                <w:highlight w:val="none"/>
              </w:rPr>
              <w:t>总额</w:t>
            </w:r>
          </w:p>
        </w:tc>
        <w:tc>
          <w:tcPr>
            <w:tcW w:w="0" w:type="auto"/>
            <w:tcBorders>
              <w:top w:val="single" w:color="auto" w:sz="4" w:space="0"/>
              <w:left w:val="nil"/>
              <w:bottom w:val="single" w:color="auto" w:sz="4" w:space="0"/>
              <w:right w:val="single" w:color="auto" w:sz="4" w:space="0"/>
            </w:tcBorders>
            <w:vAlign w:val="center"/>
          </w:tcPr>
          <w:p w14:paraId="7930E109">
            <w:pPr>
              <w:adjustRightInd w:val="0"/>
              <w:spacing w:line="360" w:lineRule="auto"/>
              <w:rPr>
                <w:color w:val="auto"/>
                <w:sz w:val="21"/>
                <w:szCs w:val="21"/>
                <w:highlight w:val="none"/>
              </w:rPr>
            </w:pPr>
            <w:r>
              <w:rPr>
                <w:rFonts w:hint="eastAsia"/>
                <w:color w:val="auto"/>
                <w:sz w:val="21"/>
                <w:szCs w:val="21"/>
                <w:highlight w:val="none"/>
              </w:rPr>
              <w:t>1.承包人按照合同条款约定办理安全生产责任险，提供保险公司的保单后按保单计量，最多不超过工程量清单报价总额;</w:t>
            </w:r>
          </w:p>
          <w:p w14:paraId="4B4A9FFD">
            <w:pPr>
              <w:adjustRightInd w:val="0"/>
              <w:spacing w:line="360" w:lineRule="auto"/>
              <w:rPr>
                <w:color w:val="auto"/>
                <w:sz w:val="21"/>
                <w:szCs w:val="21"/>
                <w:highlight w:val="none"/>
              </w:rPr>
            </w:pPr>
            <w:r>
              <w:rPr>
                <w:rFonts w:hint="eastAsia"/>
                <w:color w:val="auto"/>
                <w:sz w:val="21"/>
                <w:szCs w:val="21"/>
                <w:highlight w:val="none"/>
              </w:rPr>
              <w:t>2.保险期为合同约定的施工期及缺陷责任期。</w:t>
            </w:r>
          </w:p>
        </w:tc>
        <w:tc>
          <w:tcPr>
            <w:tcW w:w="0" w:type="auto"/>
            <w:tcBorders>
              <w:top w:val="single" w:color="auto" w:sz="4" w:space="0"/>
              <w:left w:val="nil"/>
              <w:bottom w:val="single" w:color="auto" w:sz="4" w:space="0"/>
              <w:right w:val="single" w:color="auto" w:sz="4" w:space="0"/>
            </w:tcBorders>
            <w:vAlign w:val="center"/>
          </w:tcPr>
          <w:p w14:paraId="5BF3D1F0">
            <w:pPr>
              <w:adjustRightInd w:val="0"/>
              <w:spacing w:line="360" w:lineRule="auto"/>
              <w:rPr>
                <w:color w:val="auto"/>
                <w:sz w:val="21"/>
                <w:szCs w:val="21"/>
                <w:highlight w:val="none"/>
              </w:rPr>
            </w:pPr>
            <w:r>
              <w:rPr>
                <w:rFonts w:hint="eastAsia"/>
                <w:color w:val="auto"/>
                <w:sz w:val="21"/>
                <w:szCs w:val="21"/>
                <w:highlight w:val="none"/>
              </w:rPr>
              <w:t>根据桂交安监函〔2021〕89号文件办理安全生产责任险</w:t>
            </w:r>
          </w:p>
        </w:tc>
      </w:tr>
      <w:tr w14:paraId="34A861A6">
        <w:tblPrEx>
          <w:tblCellMar>
            <w:top w:w="0" w:type="dxa"/>
            <w:left w:w="108" w:type="dxa"/>
            <w:bottom w:w="0" w:type="dxa"/>
            <w:right w:w="108" w:type="dxa"/>
          </w:tblCellMar>
        </w:tblPrEx>
        <w:trPr>
          <w:trHeight w:val="2721" w:hRule="exact"/>
        </w:trPr>
        <w:tc>
          <w:tcPr>
            <w:tcW w:w="0" w:type="auto"/>
            <w:tcBorders>
              <w:top w:val="single" w:color="auto" w:sz="4" w:space="0"/>
              <w:left w:val="single" w:color="auto" w:sz="4" w:space="0"/>
              <w:bottom w:val="single" w:color="auto" w:sz="4" w:space="0"/>
              <w:right w:val="single" w:color="auto" w:sz="4" w:space="0"/>
            </w:tcBorders>
            <w:vAlign w:val="center"/>
          </w:tcPr>
          <w:p w14:paraId="289D6181">
            <w:pPr>
              <w:spacing w:line="360" w:lineRule="auto"/>
              <w:rPr>
                <w:color w:val="auto"/>
                <w:sz w:val="21"/>
                <w:szCs w:val="21"/>
                <w:highlight w:val="none"/>
              </w:rPr>
            </w:pPr>
          </w:p>
        </w:tc>
        <w:tc>
          <w:tcPr>
            <w:tcW w:w="0" w:type="auto"/>
            <w:tcBorders>
              <w:top w:val="single" w:color="auto" w:sz="4" w:space="0"/>
              <w:left w:val="nil"/>
              <w:bottom w:val="single" w:color="auto" w:sz="4" w:space="0"/>
              <w:right w:val="single" w:color="auto" w:sz="4" w:space="0"/>
            </w:tcBorders>
            <w:vAlign w:val="center"/>
          </w:tcPr>
          <w:p w14:paraId="6E505E07">
            <w:pPr>
              <w:spacing w:line="360" w:lineRule="auto"/>
              <w:rPr>
                <w:color w:val="auto"/>
                <w:sz w:val="21"/>
                <w:szCs w:val="21"/>
                <w:highlight w:val="none"/>
              </w:rPr>
            </w:pPr>
          </w:p>
        </w:tc>
        <w:tc>
          <w:tcPr>
            <w:tcW w:w="0" w:type="auto"/>
            <w:tcBorders>
              <w:top w:val="single" w:color="auto" w:sz="4" w:space="0"/>
              <w:left w:val="nil"/>
              <w:bottom w:val="single" w:color="auto" w:sz="4" w:space="0"/>
              <w:right w:val="single" w:color="auto" w:sz="4" w:space="0"/>
            </w:tcBorders>
            <w:vAlign w:val="center"/>
          </w:tcPr>
          <w:p w14:paraId="185268EA">
            <w:pPr>
              <w:widowControl/>
              <w:spacing w:line="360" w:lineRule="auto"/>
              <w:jc w:val="center"/>
              <w:textAlignment w:val="center"/>
              <w:rPr>
                <w:color w:val="auto"/>
                <w:sz w:val="21"/>
                <w:szCs w:val="21"/>
                <w:highlight w:val="none"/>
              </w:rPr>
            </w:pPr>
          </w:p>
        </w:tc>
        <w:tc>
          <w:tcPr>
            <w:tcW w:w="0" w:type="auto"/>
            <w:tcBorders>
              <w:top w:val="single" w:color="auto" w:sz="4" w:space="0"/>
              <w:left w:val="nil"/>
              <w:bottom w:val="single" w:color="auto" w:sz="4" w:space="0"/>
              <w:right w:val="single" w:color="auto" w:sz="4" w:space="0"/>
            </w:tcBorders>
            <w:vAlign w:val="center"/>
          </w:tcPr>
          <w:p w14:paraId="6CCCEF0E">
            <w:pPr>
              <w:adjustRightInd w:val="0"/>
              <w:spacing w:line="360" w:lineRule="auto"/>
              <w:rPr>
                <w:color w:val="auto"/>
                <w:sz w:val="21"/>
                <w:szCs w:val="21"/>
                <w:highlight w:val="none"/>
              </w:rPr>
            </w:pPr>
          </w:p>
        </w:tc>
        <w:tc>
          <w:tcPr>
            <w:tcW w:w="0" w:type="auto"/>
            <w:tcBorders>
              <w:top w:val="single" w:color="auto" w:sz="4" w:space="0"/>
              <w:left w:val="nil"/>
              <w:bottom w:val="single" w:color="auto" w:sz="4" w:space="0"/>
              <w:right w:val="single" w:color="auto" w:sz="4" w:space="0"/>
            </w:tcBorders>
            <w:vAlign w:val="center"/>
          </w:tcPr>
          <w:p w14:paraId="359A0889">
            <w:pPr>
              <w:adjustRightInd w:val="0"/>
              <w:spacing w:line="360" w:lineRule="auto"/>
              <w:rPr>
                <w:color w:val="auto"/>
                <w:sz w:val="21"/>
                <w:szCs w:val="21"/>
                <w:highlight w:val="none"/>
              </w:rPr>
            </w:pPr>
          </w:p>
        </w:tc>
      </w:tr>
    </w:tbl>
    <w:p w14:paraId="56A60F8E">
      <w:pPr>
        <w:rPr>
          <w:rFonts w:hint="eastAsia"/>
          <w:color w:val="auto"/>
          <w:sz w:val="21"/>
          <w:szCs w:val="21"/>
          <w:highlight w:val="none"/>
        </w:rPr>
      </w:pPr>
      <w:r>
        <w:rPr>
          <w:rFonts w:hint="eastAsia"/>
          <w:color w:val="auto"/>
          <w:sz w:val="21"/>
          <w:szCs w:val="21"/>
          <w:highlight w:val="none"/>
        </w:rPr>
        <w:br w:type="page"/>
      </w:r>
    </w:p>
    <w:p w14:paraId="159B862D">
      <w:pPr>
        <w:pStyle w:val="2"/>
        <w:spacing w:before="35"/>
        <w:ind w:right="320" w:firstLine="643"/>
        <w:jc w:val="center"/>
        <w:rPr>
          <w:color w:val="auto"/>
          <w:highlight w:val="none"/>
        </w:rPr>
      </w:pPr>
      <w:bookmarkStart w:id="179" w:name="_Toc23422"/>
      <w:r>
        <w:rPr>
          <w:rFonts w:hint="eastAsia"/>
          <w:color w:val="auto"/>
          <w:highlight w:val="none"/>
        </w:rPr>
        <w:t>第七章图纸</w:t>
      </w:r>
      <w:bookmarkEnd w:id="179"/>
    </w:p>
    <w:p w14:paraId="7B902D91">
      <w:pPr>
        <w:ind w:firstLine="560"/>
        <w:jc w:val="center"/>
        <w:rPr>
          <w:b/>
          <w:bCs/>
          <w:color w:val="auto"/>
          <w:sz w:val="28"/>
          <w:szCs w:val="28"/>
          <w:highlight w:val="none"/>
        </w:rPr>
      </w:pPr>
    </w:p>
    <w:p w14:paraId="73260BBB">
      <w:pPr>
        <w:ind w:firstLine="560"/>
        <w:jc w:val="center"/>
        <w:rPr>
          <w:b/>
          <w:bCs/>
          <w:color w:val="auto"/>
          <w:sz w:val="28"/>
          <w:szCs w:val="28"/>
          <w:highlight w:val="none"/>
        </w:rPr>
      </w:pPr>
    </w:p>
    <w:p w14:paraId="52AA000E">
      <w:pPr>
        <w:ind w:firstLine="560"/>
        <w:jc w:val="center"/>
        <w:rPr>
          <w:b/>
          <w:bCs/>
          <w:color w:val="auto"/>
          <w:sz w:val="28"/>
          <w:szCs w:val="28"/>
          <w:highlight w:val="none"/>
        </w:rPr>
      </w:pPr>
      <w:r>
        <w:rPr>
          <w:rFonts w:hint="eastAsia"/>
          <w:b/>
          <w:bCs/>
          <w:color w:val="auto"/>
          <w:sz w:val="28"/>
          <w:szCs w:val="28"/>
          <w:highlight w:val="none"/>
        </w:rPr>
        <w:t>（另册）</w:t>
      </w:r>
    </w:p>
    <w:p w14:paraId="246DF011">
      <w:pPr>
        <w:rPr>
          <w:color w:val="auto"/>
          <w:highlight w:val="none"/>
        </w:rPr>
      </w:pPr>
      <w:r>
        <w:rPr>
          <w:color w:val="auto"/>
          <w:highlight w:val="none"/>
        </w:rPr>
        <w:br w:type="page"/>
      </w:r>
    </w:p>
    <w:p w14:paraId="4933CD3A">
      <w:pPr>
        <w:rPr>
          <w:color w:val="auto"/>
          <w:highlight w:val="none"/>
        </w:rPr>
      </w:pPr>
    </w:p>
    <w:p w14:paraId="3A81F14B">
      <w:pPr>
        <w:pStyle w:val="2"/>
        <w:bidi w:val="0"/>
        <w:rPr>
          <w:color w:val="auto"/>
          <w:highlight w:val="none"/>
        </w:rPr>
      </w:pPr>
      <w:bookmarkStart w:id="180" w:name="_Toc13404"/>
      <w:r>
        <w:rPr>
          <w:color w:val="auto"/>
          <w:highlight w:val="none"/>
        </w:rPr>
        <w:t>第</w:t>
      </w:r>
      <w:r>
        <w:rPr>
          <w:rFonts w:hint="eastAsia"/>
          <w:color w:val="auto"/>
          <w:highlight w:val="none"/>
        </w:rPr>
        <w:t>八</w:t>
      </w:r>
      <w:r>
        <w:rPr>
          <w:color w:val="auto"/>
          <w:highlight w:val="none"/>
        </w:rPr>
        <w:t>章响应文件（格式）</w:t>
      </w:r>
      <w:bookmarkEnd w:id="180"/>
    </w:p>
    <w:p w14:paraId="4E478BD9">
      <w:pPr>
        <w:pStyle w:val="13"/>
        <w:ind w:firstLine="640"/>
        <w:rPr>
          <w:b/>
          <w:color w:val="auto"/>
          <w:sz w:val="32"/>
          <w:highlight w:val="none"/>
        </w:rPr>
      </w:pPr>
    </w:p>
    <w:p w14:paraId="081B231F">
      <w:pPr>
        <w:pStyle w:val="13"/>
        <w:ind w:firstLine="640"/>
        <w:rPr>
          <w:b/>
          <w:color w:val="auto"/>
          <w:sz w:val="32"/>
          <w:highlight w:val="none"/>
        </w:rPr>
      </w:pPr>
    </w:p>
    <w:p w14:paraId="6F3D264E">
      <w:pPr>
        <w:pStyle w:val="3"/>
        <w:ind w:firstLine="643"/>
        <w:rPr>
          <w:color w:val="auto"/>
          <w:highlight w:val="none"/>
        </w:rPr>
      </w:pPr>
      <w:bookmarkStart w:id="181" w:name="_Toc2749"/>
      <w:bookmarkStart w:id="182" w:name="_Toc26733"/>
      <w:r>
        <w:rPr>
          <w:color w:val="auto"/>
          <w:highlight w:val="none"/>
        </w:rPr>
        <w:t>响应文件</w:t>
      </w:r>
      <w:bookmarkEnd w:id="181"/>
      <w:bookmarkEnd w:id="182"/>
    </w:p>
    <w:p w14:paraId="1E669DEB">
      <w:pPr>
        <w:pStyle w:val="13"/>
        <w:ind w:firstLine="402"/>
        <w:rPr>
          <w:color w:val="auto"/>
          <w:sz w:val="20"/>
          <w:highlight w:val="none"/>
        </w:rPr>
      </w:pPr>
    </w:p>
    <w:p w14:paraId="6AA2F349">
      <w:pPr>
        <w:pStyle w:val="13"/>
        <w:bidi w:val="0"/>
        <w:rPr>
          <w:color w:val="auto"/>
          <w:highlight w:val="none"/>
        </w:rPr>
      </w:pPr>
    </w:p>
    <w:p w14:paraId="032B7E71">
      <w:pPr>
        <w:pStyle w:val="13"/>
        <w:bidi w:val="0"/>
        <w:rPr>
          <w:color w:val="auto"/>
          <w:highlight w:val="none"/>
        </w:rPr>
      </w:pPr>
    </w:p>
    <w:p w14:paraId="1382AFBA">
      <w:pPr>
        <w:pStyle w:val="13"/>
        <w:bidi w:val="0"/>
        <w:rPr>
          <w:color w:val="auto"/>
          <w:highlight w:val="none"/>
        </w:rPr>
      </w:pPr>
    </w:p>
    <w:p w14:paraId="4BB004EB">
      <w:pPr>
        <w:pStyle w:val="13"/>
        <w:bidi w:val="0"/>
        <w:rPr>
          <w:color w:val="auto"/>
          <w:sz w:val="36"/>
          <w:szCs w:val="36"/>
          <w:highlight w:val="none"/>
        </w:rPr>
      </w:pPr>
    </w:p>
    <w:p w14:paraId="61EBA0CD">
      <w:pPr>
        <w:pStyle w:val="13"/>
        <w:bidi w:val="0"/>
        <w:jc w:val="left"/>
        <w:rPr>
          <w:color w:val="auto"/>
          <w:sz w:val="32"/>
          <w:szCs w:val="32"/>
          <w:highlight w:val="none"/>
        </w:rPr>
      </w:pPr>
      <w:r>
        <w:rPr>
          <w:color w:val="auto"/>
          <w:sz w:val="32"/>
          <w:szCs w:val="32"/>
          <w:highlight w:val="none"/>
        </w:rPr>
        <w:t>项目名称：</w:t>
      </w:r>
    </w:p>
    <w:p w14:paraId="5EBBBB10">
      <w:pPr>
        <w:pStyle w:val="13"/>
        <w:bidi w:val="0"/>
        <w:jc w:val="left"/>
        <w:rPr>
          <w:color w:val="auto"/>
          <w:sz w:val="32"/>
          <w:szCs w:val="32"/>
          <w:highlight w:val="none"/>
        </w:rPr>
      </w:pPr>
    </w:p>
    <w:p w14:paraId="13210A6D">
      <w:pPr>
        <w:pStyle w:val="13"/>
        <w:bidi w:val="0"/>
        <w:jc w:val="left"/>
        <w:rPr>
          <w:color w:val="auto"/>
          <w:sz w:val="32"/>
          <w:szCs w:val="32"/>
          <w:highlight w:val="none"/>
        </w:rPr>
      </w:pPr>
    </w:p>
    <w:p w14:paraId="4F8AEFBF">
      <w:pPr>
        <w:pStyle w:val="13"/>
        <w:bidi w:val="0"/>
        <w:jc w:val="left"/>
        <w:rPr>
          <w:color w:val="auto"/>
          <w:sz w:val="32"/>
          <w:szCs w:val="32"/>
          <w:highlight w:val="none"/>
        </w:rPr>
      </w:pPr>
    </w:p>
    <w:p w14:paraId="606E296A">
      <w:pPr>
        <w:pStyle w:val="13"/>
        <w:bidi w:val="0"/>
        <w:jc w:val="left"/>
        <w:rPr>
          <w:color w:val="auto"/>
          <w:sz w:val="32"/>
          <w:szCs w:val="32"/>
          <w:highlight w:val="none"/>
        </w:rPr>
      </w:pPr>
      <w:r>
        <w:rPr>
          <w:color w:val="auto"/>
          <w:sz w:val="32"/>
          <w:szCs w:val="32"/>
          <w:highlight w:val="none"/>
        </w:rPr>
        <w:t>项目编号：</w:t>
      </w:r>
    </w:p>
    <w:p w14:paraId="6289882B">
      <w:pPr>
        <w:pStyle w:val="13"/>
        <w:bidi w:val="0"/>
        <w:jc w:val="left"/>
        <w:rPr>
          <w:color w:val="auto"/>
          <w:sz w:val="32"/>
          <w:szCs w:val="32"/>
          <w:highlight w:val="none"/>
        </w:rPr>
      </w:pPr>
    </w:p>
    <w:p w14:paraId="62A86DAC">
      <w:pPr>
        <w:pStyle w:val="13"/>
        <w:bidi w:val="0"/>
        <w:jc w:val="left"/>
        <w:rPr>
          <w:color w:val="auto"/>
          <w:sz w:val="32"/>
          <w:szCs w:val="32"/>
          <w:highlight w:val="none"/>
        </w:rPr>
      </w:pPr>
    </w:p>
    <w:p w14:paraId="2B35FD0B">
      <w:pPr>
        <w:pStyle w:val="13"/>
        <w:bidi w:val="0"/>
        <w:jc w:val="left"/>
        <w:rPr>
          <w:color w:val="auto"/>
          <w:sz w:val="32"/>
          <w:szCs w:val="32"/>
          <w:highlight w:val="none"/>
        </w:rPr>
      </w:pPr>
    </w:p>
    <w:p w14:paraId="56802498">
      <w:pPr>
        <w:pStyle w:val="13"/>
        <w:bidi w:val="0"/>
        <w:jc w:val="left"/>
        <w:rPr>
          <w:color w:val="auto"/>
          <w:sz w:val="32"/>
          <w:szCs w:val="32"/>
          <w:highlight w:val="none"/>
        </w:rPr>
      </w:pPr>
      <w:r>
        <w:rPr>
          <w:color w:val="auto"/>
          <w:sz w:val="32"/>
          <w:szCs w:val="32"/>
          <w:highlight w:val="none"/>
        </w:rPr>
        <w:t>采购代理机构：</w:t>
      </w:r>
    </w:p>
    <w:p w14:paraId="59883CAC">
      <w:pPr>
        <w:pStyle w:val="13"/>
        <w:bidi w:val="0"/>
        <w:rPr>
          <w:color w:val="auto"/>
          <w:highlight w:val="none"/>
        </w:rPr>
      </w:pPr>
    </w:p>
    <w:p w14:paraId="6BE9D2FC">
      <w:pPr>
        <w:pStyle w:val="13"/>
        <w:ind w:firstLine="482"/>
        <w:rPr>
          <w:color w:val="auto"/>
          <w:sz w:val="24"/>
          <w:highlight w:val="none"/>
        </w:rPr>
      </w:pPr>
    </w:p>
    <w:p w14:paraId="3143A171">
      <w:pPr>
        <w:pStyle w:val="13"/>
        <w:ind w:firstLine="482"/>
        <w:rPr>
          <w:color w:val="auto"/>
          <w:sz w:val="24"/>
          <w:highlight w:val="none"/>
        </w:rPr>
      </w:pPr>
    </w:p>
    <w:p w14:paraId="155ADE15">
      <w:pPr>
        <w:pStyle w:val="13"/>
        <w:ind w:firstLine="482"/>
        <w:rPr>
          <w:color w:val="auto"/>
          <w:sz w:val="24"/>
          <w:highlight w:val="none"/>
        </w:rPr>
      </w:pPr>
    </w:p>
    <w:p w14:paraId="40BA3423">
      <w:pPr>
        <w:pStyle w:val="13"/>
        <w:ind w:firstLine="482"/>
        <w:rPr>
          <w:color w:val="auto"/>
          <w:sz w:val="24"/>
          <w:highlight w:val="none"/>
        </w:rPr>
      </w:pPr>
    </w:p>
    <w:p w14:paraId="1029D103">
      <w:pPr>
        <w:pStyle w:val="13"/>
        <w:ind w:firstLine="482"/>
        <w:rPr>
          <w:color w:val="auto"/>
          <w:sz w:val="24"/>
          <w:highlight w:val="none"/>
        </w:rPr>
      </w:pPr>
    </w:p>
    <w:p w14:paraId="2456545D">
      <w:pPr>
        <w:pStyle w:val="13"/>
        <w:ind w:firstLine="482"/>
        <w:rPr>
          <w:color w:val="auto"/>
          <w:sz w:val="24"/>
          <w:highlight w:val="none"/>
        </w:rPr>
      </w:pPr>
    </w:p>
    <w:p w14:paraId="36C0BBF7">
      <w:pPr>
        <w:pStyle w:val="13"/>
        <w:bidi w:val="0"/>
        <w:spacing w:line="360" w:lineRule="auto"/>
        <w:rPr>
          <w:color w:val="auto"/>
          <w:sz w:val="24"/>
          <w:szCs w:val="24"/>
          <w:highlight w:val="none"/>
        </w:rPr>
      </w:pPr>
      <w:r>
        <w:rPr>
          <w:color w:val="auto"/>
          <w:sz w:val="24"/>
          <w:szCs w:val="24"/>
          <w:highlight w:val="none"/>
        </w:rPr>
        <w:t>磋商供应商[公章(CA签章)、自然人除外]：</w:t>
      </w:r>
    </w:p>
    <w:p w14:paraId="008AAFFD">
      <w:pPr>
        <w:pStyle w:val="13"/>
        <w:bidi w:val="0"/>
        <w:spacing w:line="360" w:lineRule="auto"/>
        <w:rPr>
          <w:color w:val="auto"/>
          <w:sz w:val="24"/>
          <w:szCs w:val="24"/>
          <w:highlight w:val="none"/>
        </w:rPr>
      </w:pPr>
    </w:p>
    <w:p w14:paraId="0A48ECBF">
      <w:pPr>
        <w:pStyle w:val="13"/>
        <w:bidi w:val="0"/>
        <w:spacing w:line="360" w:lineRule="auto"/>
        <w:rPr>
          <w:color w:val="auto"/>
          <w:sz w:val="24"/>
          <w:szCs w:val="24"/>
          <w:highlight w:val="none"/>
        </w:rPr>
      </w:pPr>
      <w:r>
        <w:rPr>
          <w:color w:val="auto"/>
          <w:sz w:val="24"/>
          <w:szCs w:val="24"/>
          <w:highlight w:val="none"/>
        </w:rPr>
        <w:t>法定代表人、负责人、自然人或相应的委托代理人签字[或盖章(CA签章)]</w:t>
      </w:r>
    </w:p>
    <w:p w14:paraId="60568759">
      <w:pPr>
        <w:pStyle w:val="13"/>
        <w:bidi w:val="0"/>
        <w:spacing w:line="360" w:lineRule="auto"/>
        <w:rPr>
          <w:color w:val="auto"/>
          <w:sz w:val="24"/>
          <w:szCs w:val="24"/>
          <w:highlight w:val="none"/>
        </w:rPr>
      </w:pPr>
      <w:r>
        <w:rPr>
          <w:color w:val="auto"/>
          <w:sz w:val="24"/>
          <w:szCs w:val="24"/>
          <w:highlight w:val="none"/>
        </w:rPr>
        <w:t>（属自然人的应在签名处加盖大拇指指印或个人CA签章）：</w:t>
      </w:r>
    </w:p>
    <w:p w14:paraId="11A7A3CE">
      <w:pPr>
        <w:pStyle w:val="13"/>
        <w:bidi w:val="0"/>
        <w:spacing w:line="360" w:lineRule="auto"/>
        <w:rPr>
          <w:color w:val="auto"/>
          <w:sz w:val="24"/>
          <w:szCs w:val="24"/>
          <w:highlight w:val="none"/>
        </w:rPr>
      </w:pPr>
      <w:r>
        <w:rPr>
          <w:color w:val="auto"/>
          <w:sz w:val="24"/>
          <w:szCs w:val="24"/>
          <w:highlight w:val="none"/>
        </w:rPr>
        <w:t>联系电话：</w:t>
      </w:r>
    </w:p>
    <w:p w14:paraId="11DBFD0A">
      <w:pPr>
        <w:pStyle w:val="13"/>
        <w:bidi w:val="0"/>
        <w:spacing w:line="360" w:lineRule="auto"/>
        <w:rPr>
          <w:color w:val="auto"/>
          <w:sz w:val="24"/>
          <w:szCs w:val="24"/>
          <w:highlight w:val="none"/>
        </w:rPr>
      </w:pP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FDC74CC">
      <w:pPr>
        <w:spacing w:line="307" w:lineRule="exact"/>
        <w:ind w:firstLine="562"/>
        <w:rPr>
          <w:color w:val="auto"/>
          <w:highlight w:val="none"/>
        </w:rPr>
      </w:pPr>
    </w:p>
    <w:p w14:paraId="3A98DAB1">
      <w:pPr>
        <w:spacing w:line="307" w:lineRule="exact"/>
        <w:ind w:firstLine="562"/>
        <w:rPr>
          <w:color w:val="auto"/>
          <w:highlight w:val="none"/>
        </w:rPr>
      </w:pPr>
    </w:p>
    <w:p w14:paraId="20B3E9A4">
      <w:pPr>
        <w:spacing w:line="307" w:lineRule="exact"/>
        <w:ind w:firstLine="562"/>
        <w:rPr>
          <w:color w:val="auto"/>
          <w:highlight w:val="none"/>
        </w:rPr>
        <w:sectPr>
          <w:headerReference r:id="rId13" w:type="default"/>
          <w:footerReference r:id="rId14" w:type="default"/>
          <w:pgSz w:w="11911" w:h="16849"/>
          <w:pgMar w:top="1417" w:right="1417" w:bottom="1417" w:left="1417" w:header="720" w:footer="720" w:gutter="0"/>
          <w:cols w:space="0" w:num="1"/>
          <w:rtlGutter w:val="0"/>
          <w:docGrid w:linePitch="0" w:charSpace="0"/>
        </w:sectPr>
      </w:pPr>
    </w:p>
    <w:p w14:paraId="2D02AAA8">
      <w:pPr>
        <w:spacing w:before="43"/>
        <w:ind w:left="480" w:firstLine="640"/>
        <w:outlineLvl w:val="0"/>
        <w:rPr>
          <w:b/>
          <w:color w:val="auto"/>
          <w:sz w:val="32"/>
          <w:highlight w:val="none"/>
        </w:rPr>
      </w:pPr>
      <w:bookmarkStart w:id="183" w:name="二、响应文件组成"/>
      <w:bookmarkEnd w:id="183"/>
      <w:bookmarkStart w:id="184" w:name="_Toc28706"/>
      <w:bookmarkStart w:id="185" w:name="_Toc29213"/>
      <w:bookmarkStart w:id="186" w:name="_Toc20369"/>
      <w:bookmarkStart w:id="187" w:name="_Toc18970"/>
      <w:r>
        <w:rPr>
          <w:b/>
          <w:color w:val="auto"/>
          <w:sz w:val="32"/>
          <w:highlight w:val="none"/>
        </w:rPr>
        <w:t>二、响应文件组成</w:t>
      </w:r>
      <w:bookmarkEnd w:id="184"/>
      <w:bookmarkEnd w:id="185"/>
      <w:bookmarkEnd w:id="186"/>
      <w:bookmarkEnd w:id="187"/>
    </w:p>
    <w:p w14:paraId="40AED676">
      <w:pPr>
        <w:pStyle w:val="13"/>
        <w:ind w:firstLine="640"/>
        <w:rPr>
          <w:b/>
          <w:color w:val="auto"/>
          <w:sz w:val="32"/>
          <w:highlight w:val="none"/>
        </w:rPr>
      </w:pPr>
    </w:p>
    <w:p w14:paraId="1C935A65">
      <w:pPr>
        <w:pStyle w:val="13"/>
        <w:spacing w:before="8"/>
        <w:ind w:firstLine="580"/>
        <w:rPr>
          <w:b/>
          <w:color w:val="auto"/>
          <w:sz w:val="29"/>
          <w:highlight w:val="none"/>
        </w:rPr>
      </w:pPr>
    </w:p>
    <w:p w14:paraId="254BE126">
      <w:pPr>
        <w:ind w:left="480" w:firstLine="480"/>
        <w:rPr>
          <w:b/>
          <w:color w:val="auto"/>
          <w:sz w:val="32"/>
          <w:highlight w:val="none"/>
        </w:rPr>
      </w:pPr>
      <w:r>
        <w:rPr>
          <w:b/>
          <w:color w:val="auto"/>
          <w:sz w:val="24"/>
          <w:highlight w:val="none"/>
        </w:rPr>
        <w:t>（一）</w:t>
      </w:r>
      <w:r>
        <w:rPr>
          <w:b/>
          <w:color w:val="auto"/>
          <w:sz w:val="32"/>
          <w:highlight w:val="none"/>
        </w:rPr>
        <w:t>资格性响应证明材料</w:t>
      </w:r>
    </w:p>
    <w:p w14:paraId="13CFFAFB">
      <w:pPr>
        <w:pStyle w:val="13"/>
        <w:ind w:firstLine="640"/>
        <w:rPr>
          <w:b/>
          <w:color w:val="auto"/>
          <w:sz w:val="32"/>
          <w:highlight w:val="none"/>
        </w:rPr>
      </w:pPr>
    </w:p>
    <w:p w14:paraId="103030E4">
      <w:pPr>
        <w:pStyle w:val="13"/>
        <w:ind w:firstLine="640"/>
        <w:rPr>
          <w:b/>
          <w:color w:val="auto"/>
          <w:sz w:val="32"/>
          <w:highlight w:val="none"/>
        </w:rPr>
      </w:pPr>
    </w:p>
    <w:p w14:paraId="0060106B">
      <w:pPr>
        <w:pStyle w:val="13"/>
        <w:spacing w:before="12"/>
        <w:ind w:firstLine="560"/>
        <w:rPr>
          <w:b/>
          <w:color w:val="auto"/>
          <w:sz w:val="28"/>
          <w:highlight w:val="none"/>
        </w:rPr>
      </w:pPr>
    </w:p>
    <w:p w14:paraId="1752685C">
      <w:pPr>
        <w:ind w:left="480" w:firstLine="480"/>
        <w:rPr>
          <w:b/>
          <w:color w:val="auto"/>
          <w:sz w:val="32"/>
          <w:highlight w:val="none"/>
        </w:rPr>
      </w:pPr>
      <w:r>
        <w:rPr>
          <w:b/>
          <w:color w:val="auto"/>
          <w:sz w:val="24"/>
          <w:highlight w:val="none"/>
        </w:rPr>
        <w:t>（二）</w:t>
      </w:r>
      <w:r>
        <w:rPr>
          <w:b/>
          <w:color w:val="auto"/>
          <w:sz w:val="32"/>
          <w:highlight w:val="none"/>
        </w:rPr>
        <w:t>符合性响应证明材料</w:t>
      </w:r>
    </w:p>
    <w:p w14:paraId="3830DA13">
      <w:pPr>
        <w:pStyle w:val="13"/>
        <w:ind w:firstLine="640"/>
        <w:rPr>
          <w:b/>
          <w:color w:val="auto"/>
          <w:sz w:val="32"/>
          <w:highlight w:val="none"/>
        </w:rPr>
      </w:pPr>
    </w:p>
    <w:p w14:paraId="5354F3F1">
      <w:pPr>
        <w:pStyle w:val="13"/>
        <w:ind w:firstLine="640"/>
        <w:rPr>
          <w:b/>
          <w:color w:val="auto"/>
          <w:sz w:val="32"/>
          <w:highlight w:val="none"/>
        </w:rPr>
      </w:pPr>
    </w:p>
    <w:p w14:paraId="13967BE1">
      <w:pPr>
        <w:pStyle w:val="13"/>
        <w:spacing w:before="10"/>
        <w:ind w:firstLine="560"/>
        <w:rPr>
          <w:b/>
          <w:color w:val="auto"/>
          <w:sz w:val="28"/>
          <w:highlight w:val="none"/>
        </w:rPr>
      </w:pPr>
    </w:p>
    <w:p w14:paraId="2D744866">
      <w:pPr>
        <w:ind w:left="480" w:firstLine="480"/>
        <w:rPr>
          <w:b/>
          <w:color w:val="auto"/>
          <w:sz w:val="32"/>
          <w:highlight w:val="none"/>
        </w:rPr>
      </w:pPr>
      <w:r>
        <w:rPr>
          <w:b/>
          <w:color w:val="auto"/>
          <w:sz w:val="24"/>
          <w:highlight w:val="none"/>
        </w:rPr>
        <w:t>（三）</w:t>
      </w:r>
      <w:r>
        <w:rPr>
          <w:b/>
          <w:color w:val="auto"/>
          <w:sz w:val="32"/>
          <w:highlight w:val="none"/>
        </w:rPr>
        <w:t>其它有效证明材料</w:t>
      </w:r>
    </w:p>
    <w:p w14:paraId="385C691F">
      <w:pPr>
        <w:rPr>
          <w:b/>
          <w:color w:val="auto"/>
          <w:sz w:val="32"/>
          <w:highlight w:val="none"/>
        </w:rPr>
      </w:pPr>
      <w:r>
        <w:rPr>
          <w:b/>
          <w:color w:val="auto"/>
          <w:sz w:val="32"/>
          <w:highlight w:val="none"/>
        </w:rPr>
        <w:br w:type="page"/>
      </w:r>
    </w:p>
    <w:p w14:paraId="0368040A">
      <w:pPr>
        <w:spacing w:before="24" w:line="360" w:lineRule="auto"/>
        <w:ind w:right="322" w:firstLine="640"/>
        <w:jc w:val="center"/>
        <w:rPr>
          <w:rFonts w:ascii="宋体" w:hAnsi="宋体" w:eastAsia="宋体" w:cs="宋体"/>
          <w:b/>
          <w:color w:val="auto"/>
          <w:sz w:val="32"/>
          <w:highlight w:val="none"/>
        </w:rPr>
      </w:pPr>
      <w:r>
        <w:rPr>
          <w:rFonts w:ascii="宋体" w:hAnsi="宋体" w:eastAsia="宋体" w:cs="宋体"/>
          <w:b/>
          <w:color w:val="auto"/>
          <w:sz w:val="32"/>
          <w:highlight w:val="none"/>
        </w:rPr>
        <w:t>资格性响应证明材料目录</w:t>
      </w:r>
    </w:p>
    <w:p w14:paraId="075C92BB">
      <w:pPr>
        <w:spacing w:before="24" w:line="360" w:lineRule="auto"/>
        <w:ind w:right="322" w:firstLine="640"/>
        <w:jc w:val="center"/>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自拟</w:t>
      </w:r>
    </w:p>
    <w:p w14:paraId="6C6BEFDC">
      <w:pPr>
        <w:rPr>
          <w:color w:val="auto"/>
          <w:highlight w:val="none"/>
        </w:rPr>
      </w:pPr>
      <w:r>
        <w:rPr>
          <w:color w:val="auto"/>
          <w:highlight w:val="none"/>
        </w:rPr>
        <w:br w:type="page"/>
      </w:r>
    </w:p>
    <w:p w14:paraId="44F3906B">
      <w:pPr>
        <w:pStyle w:val="3"/>
        <w:bidi w:val="0"/>
        <w:rPr>
          <w:color w:val="auto"/>
          <w:highlight w:val="none"/>
        </w:rPr>
      </w:pPr>
      <w:r>
        <w:rPr>
          <w:color w:val="auto"/>
          <w:highlight w:val="none"/>
        </w:rPr>
        <w:t>（一）资格性响应证明材料</w:t>
      </w:r>
    </w:p>
    <w:p w14:paraId="323F65DA">
      <w:pPr>
        <w:pStyle w:val="13"/>
        <w:rPr>
          <w:color w:val="auto"/>
          <w:highlight w:val="none"/>
        </w:rPr>
      </w:pPr>
    </w:p>
    <w:p w14:paraId="44D63D10">
      <w:pPr>
        <w:pStyle w:val="4"/>
        <w:bidi w:val="0"/>
        <w:rPr>
          <w:color w:val="auto"/>
          <w:highlight w:val="none"/>
        </w:rPr>
      </w:pPr>
      <w:r>
        <w:rPr>
          <w:rFonts w:hint="eastAsia"/>
          <w:color w:val="auto"/>
          <w:highlight w:val="none"/>
        </w:rPr>
        <w:t>1.</w:t>
      </w:r>
      <w:r>
        <w:rPr>
          <w:color w:val="auto"/>
          <w:highlight w:val="none"/>
        </w:rPr>
        <w:t>供应商相应的法定代表人(负责人、自然人)身份证正反两面复印件（必须提供）</w:t>
      </w:r>
    </w:p>
    <w:p w14:paraId="10970D7C">
      <w:pPr>
        <w:pStyle w:val="13"/>
        <w:ind w:firstLine="422"/>
        <w:rPr>
          <w:color w:val="auto"/>
          <w:highlight w:val="none"/>
        </w:rPr>
      </w:pPr>
    </w:p>
    <w:p w14:paraId="475A557E">
      <w:pPr>
        <w:rPr>
          <w:rFonts w:hint="eastAsia"/>
          <w:color w:val="auto"/>
          <w:sz w:val="32"/>
          <w:szCs w:val="32"/>
          <w:highlight w:val="none"/>
        </w:rPr>
      </w:pPr>
      <w:r>
        <w:rPr>
          <w:rFonts w:hint="eastAsia"/>
          <w:color w:val="auto"/>
          <w:sz w:val="32"/>
          <w:szCs w:val="32"/>
          <w:highlight w:val="none"/>
        </w:rPr>
        <w:br w:type="page"/>
      </w:r>
    </w:p>
    <w:p w14:paraId="68AFE397">
      <w:pPr>
        <w:pStyle w:val="4"/>
        <w:bidi w:val="0"/>
        <w:rPr>
          <w:color w:val="auto"/>
          <w:highlight w:val="none"/>
        </w:rPr>
      </w:pPr>
      <w:r>
        <w:rPr>
          <w:rFonts w:hint="eastAsia"/>
          <w:color w:val="auto"/>
          <w:highlight w:val="none"/>
        </w:rPr>
        <w:t>2.</w:t>
      </w:r>
      <w:r>
        <w:rPr>
          <w:color w:val="auto"/>
          <w:highlight w:val="none"/>
        </w:rPr>
        <w:t>供应商的授权委托书原件、委托代理人身份证</w:t>
      </w:r>
    </w:p>
    <w:p w14:paraId="10A886AA">
      <w:pPr>
        <w:bidi w:val="0"/>
        <w:rPr>
          <w:color w:val="auto"/>
          <w:highlight w:val="none"/>
        </w:rPr>
      </w:pPr>
      <w:r>
        <w:rPr>
          <w:color w:val="auto"/>
          <w:highlight w:val="none"/>
        </w:rPr>
        <w:t>附件：</w:t>
      </w:r>
    </w:p>
    <w:p w14:paraId="69675C67">
      <w:pPr>
        <w:spacing w:line="400" w:lineRule="exact"/>
        <w:ind w:left="480" w:firstLine="640"/>
        <w:rPr>
          <w:b/>
          <w:color w:val="auto"/>
          <w:sz w:val="32"/>
          <w:highlight w:val="none"/>
        </w:rPr>
      </w:pPr>
    </w:p>
    <w:p w14:paraId="495EE64D">
      <w:pPr>
        <w:spacing w:line="400" w:lineRule="exact"/>
        <w:ind w:left="480" w:firstLine="640"/>
        <w:rPr>
          <w:b/>
          <w:color w:val="auto"/>
          <w:sz w:val="32"/>
          <w:highlight w:val="none"/>
        </w:rPr>
      </w:pPr>
    </w:p>
    <w:p w14:paraId="6BA130AA">
      <w:pPr>
        <w:pStyle w:val="13"/>
        <w:spacing w:before="7"/>
        <w:ind w:firstLine="440"/>
        <w:rPr>
          <w:b/>
          <w:color w:val="auto"/>
          <w:sz w:val="22"/>
          <w:highlight w:val="none"/>
        </w:rPr>
      </w:pPr>
    </w:p>
    <w:p w14:paraId="2B1EC92E">
      <w:pPr>
        <w:rPr>
          <w:b/>
          <w:color w:val="auto"/>
          <w:sz w:val="32"/>
          <w:highlight w:val="none"/>
        </w:rPr>
      </w:pPr>
      <w:r>
        <w:rPr>
          <w:b/>
          <w:color w:val="auto"/>
          <w:sz w:val="32"/>
          <w:highlight w:val="none"/>
        </w:rPr>
        <w:t>授权委托书（格式一，</w:t>
      </w:r>
      <w:r>
        <w:rPr>
          <w:b/>
          <w:color w:val="auto"/>
          <w:sz w:val="30"/>
          <w:highlight w:val="none"/>
        </w:rPr>
        <w:t>适用于供应商为法人或者其他组织</w:t>
      </w:r>
      <w:r>
        <w:rPr>
          <w:b/>
          <w:color w:val="auto"/>
          <w:sz w:val="32"/>
          <w:highlight w:val="none"/>
        </w:rPr>
        <w:t>）</w:t>
      </w:r>
    </w:p>
    <w:p w14:paraId="28DD09A0">
      <w:pPr>
        <w:pStyle w:val="13"/>
        <w:spacing w:before="113"/>
        <w:rPr>
          <w:rFonts w:hint="eastAsia" w:eastAsia="宋体"/>
          <w:color w:val="auto"/>
          <w:highlight w:val="none"/>
          <w:lang w:eastAsia="zh-CN"/>
        </w:rPr>
      </w:pPr>
      <w:r>
        <w:rPr>
          <w:rFonts w:hint="eastAsia"/>
          <w:b/>
          <w:color w:val="auto"/>
          <w:highlight w:val="none"/>
          <w:lang w:eastAsia="zh-CN"/>
        </w:rPr>
        <w:t>致：广西壮族自治区恭城公路养护中心</w:t>
      </w:r>
    </w:p>
    <w:p w14:paraId="1ACFFCF1">
      <w:pPr>
        <w:pStyle w:val="13"/>
        <w:ind w:firstLine="402"/>
        <w:rPr>
          <w:color w:val="auto"/>
          <w:sz w:val="20"/>
          <w:highlight w:val="none"/>
        </w:rPr>
      </w:pPr>
    </w:p>
    <w:p w14:paraId="4C2950F9">
      <w:pPr>
        <w:pStyle w:val="13"/>
        <w:spacing w:before="12"/>
        <w:ind w:firstLine="301"/>
        <w:rPr>
          <w:color w:val="auto"/>
          <w:sz w:val="15"/>
          <w:highlight w:val="none"/>
        </w:rPr>
      </w:pPr>
    </w:p>
    <w:p w14:paraId="1AF306D9">
      <w:pPr>
        <w:pStyle w:val="13"/>
        <w:tabs>
          <w:tab w:val="left" w:pos="5305"/>
        </w:tabs>
        <w:spacing w:before="70" w:line="357" w:lineRule="auto"/>
        <w:ind w:left="480" w:right="694" w:firstLine="422"/>
        <w:rPr>
          <w:color w:val="auto"/>
          <w:highlight w:val="none"/>
        </w:rPr>
      </w:pPr>
      <w:r>
        <w:rPr>
          <w:color w:val="auto"/>
          <w:highlight w:val="none"/>
        </w:rPr>
        <w:t>我（姓名）系（供应商名称）的法定代表人（负责人），现授权委托本单位在职职工（姓名）以我公司名义参加</w:t>
      </w:r>
      <w:r>
        <w:rPr>
          <w:color w:val="auto"/>
          <w:highlight w:val="none"/>
          <w:u w:val="single"/>
        </w:rPr>
        <w:t>（项目名称及项目编号）</w:t>
      </w:r>
      <w:r>
        <w:rPr>
          <w:color w:val="auto"/>
          <w:highlight w:val="none"/>
          <w:u w:val="single"/>
        </w:rPr>
        <w:tab/>
      </w:r>
      <w:r>
        <w:rPr>
          <w:color w:val="auto"/>
          <w:highlight w:val="none"/>
        </w:rPr>
        <w:t>项目的磋商活动，并代表我方全权办理针对上述项目的磋商、签约等具体事务和签署相关文件。</w:t>
      </w:r>
    </w:p>
    <w:p w14:paraId="52677448">
      <w:pPr>
        <w:pStyle w:val="13"/>
        <w:spacing w:line="266" w:lineRule="exact"/>
        <w:ind w:left="900" w:firstLine="422"/>
        <w:rPr>
          <w:color w:val="auto"/>
          <w:highlight w:val="none"/>
        </w:rPr>
      </w:pPr>
      <w:r>
        <w:rPr>
          <w:color w:val="auto"/>
          <w:highlight w:val="none"/>
        </w:rPr>
        <w:t>我方对被授权人的签字事项负全部责任。</w:t>
      </w:r>
    </w:p>
    <w:p w14:paraId="188263BF">
      <w:pPr>
        <w:pStyle w:val="13"/>
        <w:spacing w:before="131"/>
        <w:ind w:left="900" w:firstLine="422"/>
        <w:rPr>
          <w:color w:val="auto"/>
          <w:highlight w:val="none"/>
        </w:rPr>
      </w:pPr>
      <w:r>
        <w:rPr>
          <w:color w:val="auto"/>
          <w:highlight w:val="none"/>
        </w:rPr>
        <w:t>授权委托代理期限：从年月日起至年月日止。</w:t>
      </w:r>
    </w:p>
    <w:p w14:paraId="2902A5E0">
      <w:pPr>
        <w:pStyle w:val="13"/>
        <w:ind w:firstLine="402"/>
        <w:rPr>
          <w:color w:val="auto"/>
          <w:sz w:val="20"/>
          <w:highlight w:val="none"/>
        </w:rPr>
      </w:pPr>
    </w:p>
    <w:p w14:paraId="784F0E54">
      <w:pPr>
        <w:pStyle w:val="13"/>
        <w:spacing w:before="5"/>
        <w:ind w:firstLine="422"/>
        <w:rPr>
          <w:color w:val="auto"/>
          <w:highlight w:val="none"/>
        </w:rPr>
      </w:pPr>
    </w:p>
    <w:p w14:paraId="584EEBD9">
      <w:pPr>
        <w:pStyle w:val="13"/>
        <w:spacing w:line="616" w:lineRule="auto"/>
        <w:ind w:left="900" w:right="6413" w:firstLine="422"/>
        <w:rPr>
          <w:color w:val="auto"/>
          <w:highlight w:val="none"/>
        </w:rPr>
      </w:pPr>
      <w:r>
        <w:rPr>
          <w:color w:val="auto"/>
          <w:highlight w:val="none"/>
        </w:rPr>
        <w:t>代理人无转委托权,特此委托。我已在下面签字，以资证明。</w:t>
      </w:r>
    </w:p>
    <w:p w14:paraId="2A6AC265">
      <w:pPr>
        <w:pStyle w:val="13"/>
        <w:spacing w:line="616" w:lineRule="auto"/>
        <w:ind w:left="900" w:right="6413" w:firstLine="422"/>
        <w:rPr>
          <w:color w:val="auto"/>
          <w:highlight w:val="none"/>
        </w:rPr>
      </w:pPr>
      <w:r>
        <w:rPr>
          <w:color w:val="auto"/>
          <w:highlight w:val="none"/>
        </w:rPr>
        <w:t>磋商供应商[公章（CA签章）]：</w:t>
      </w:r>
    </w:p>
    <w:p w14:paraId="070794BD">
      <w:pPr>
        <w:pStyle w:val="13"/>
        <w:spacing w:before="110"/>
        <w:ind w:left="900" w:firstLine="422"/>
        <w:rPr>
          <w:color w:val="auto"/>
          <w:highlight w:val="none"/>
        </w:rPr>
      </w:pPr>
      <w:r>
        <w:rPr>
          <w:color w:val="auto"/>
          <w:highlight w:val="none"/>
        </w:rPr>
        <w:t>法定代表人（负责人）签字（或个人CA签章）：</w:t>
      </w:r>
    </w:p>
    <w:p w14:paraId="4B7B87E1">
      <w:pPr>
        <w:pStyle w:val="13"/>
        <w:spacing w:before="110"/>
        <w:ind w:left="900" w:firstLine="422"/>
        <w:rPr>
          <w:color w:val="auto"/>
          <w:sz w:val="19"/>
          <w:highlight w:val="none"/>
        </w:rPr>
      </w:pPr>
      <w:r>
        <w:rPr>
          <w:color w:val="auto"/>
          <w:highlight w:val="none"/>
        </w:rPr>
        <w:t>年</w:t>
      </w:r>
      <w:r>
        <w:rPr>
          <w:rFonts w:hint="eastAsia"/>
          <w:color w:val="auto"/>
          <w:highlight w:val="none"/>
          <w:lang w:val="en-US" w:eastAsia="zh-CN"/>
        </w:rPr>
        <w:t xml:space="preserve">   </w:t>
      </w:r>
      <w:r>
        <w:rPr>
          <w:color w:val="auto"/>
          <w:highlight w:val="none"/>
        </w:rPr>
        <w:t>月</w:t>
      </w:r>
      <w:r>
        <w:rPr>
          <w:rFonts w:hint="eastAsia"/>
          <w:color w:val="auto"/>
          <w:highlight w:val="none"/>
          <w:lang w:val="en-US" w:eastAsia="zh-CN"/>
        </w:rPr>
        <w:t xml:space="preserve">   </w:t>
      </w:r>
      <w:r>
        <w:rPr>
          <w:color w:val="auto"/>
          <w:highlight w:val="none"/>
        </w:rPr>
        <w:t>日</w:t>
      </w:r>
    </w:p>
    <w:p w14:paraId="06FBD2AF">
      <w:pPr>
        <w:bidi w:val="0"/>
        <w:rPr>
          <w:color w:val="auto"/>
          <w:highlight w:val="none"/>
        </w:rPr>
      </w:pPr>
    </w:p>
    <w:p w14:paraId="734F7EE3">
      <w:pPr>
        <w:ind w:firstLine="562"/>
        <w:rPr>
          <w:color w:val="auto"/>
          <w:highlight w:val="none"/>
        </w:rPr>
      </w:pPr>
    </w:p>
    <w:p w14:paraId="147BEFA6">
      <w:pPr>
        <w:bidi w:val="0"/>
        <w:rPr>
          <w:color w:val="auto"/>
          <w:highlight w:val="none"/>
        </w:rPr>
      </w:pPr>
      <w:r>
        <w:rPr>
          <w:color w:val="auto"/>
          <w:highlight w:val="none"/>
        </w:rPr>
        <w:t>附：委托代理人身份证正反面复印件（委托代理时必须提供）。</w:t>
      </w:r>
    </w:p>
    <w:p w14:paraId="4D8F2E6A">
      <w:pPr>
        <w:bidi w:val="0"/>
        <w:rPr>
          <w:color w:val="auto"/>
          <w:highlight w:val="none"/>
        </w:rPr>
      </w:pPr>
      <w:r>
        <w:rPr>
          <w:color w:val="auto"/>
          <w:highlight w:val="none"/>
        </w:rPr>
        <w:br w:type="page"/>
      </w:r>
    </w:p>
    <w:p w14:paraId="1CA7F420">
      <w:pPr>
        <w:pStyle w:val="13"/>
        <w:rPr>
          <w:color w:val="auto"/>
          <w:highlight w:val="none"/>
        </w:rPr>
      </w:pPr>
    </w:p>
    <w:p w14:paraId="1E89B514">
      <w:pPr>
        <w:spacing w:line="312" w:lineRule="auto"/>
        <w:ind w:firstLine="562"/>
        <w:rPr>
          <w:color w:val="auto"/>
          <w:highlight w:val="none"/>
        </w:rPr>
        <w:sectPr>
          <w:pgSz w:w="11911" w:h="16849"/>
          <w:pgMar w:top="1417" w:right="1417" w:bottom="1417" w:left="1417" w:header="720" w:footer="720" w:gutter="0"/>
          <w:cols w:space="0" w:num="1"/>
          <w:rtlGutter w:val="0"/>
          <w:docGrid w:linePitch="0" w:charSpace="0"/>
        </w:sectPr>
      </w:pPr>
    </w:p>
    <w:p w14:paraId="1D3A072A">
      <w:pPr>
        <w:spacing w:before="35"/>
        <w:ind w:right="320" w:firstLine="640"/>
        <w:jc w:val="center"/>
        <w:rPr>
          <w:b/>
          <w:color w:val="auto"/>
          <w:sz w:val="32"/>
          <w:highlight w:val="none"/>
        </w:rPr>
      </w:pPr>
      <w:r>
        <w:rPr>
          <w:b/>
          <w:color w:val="auto"/>
          <w:sz w:val="32"/>
          <w:highlight w:val="none"/>
        </w:rPr>
        <w:t>授权委托书（格式二，</w:t>
      </w:r>
      <w:r>
        <w:rPr>
          <w:b/>
          <w:color w:val="auto"/>
          <w:sz w:val="30"/>
          <w:highlight w:val="none"/>
        </w:rPr>
        <w:t>适用于供应商为自然人</w:t>
      </w:r>
      <w:r>
        <w:rPr>
          <w:b/>
          <w:color w:val="auto"/>
          <w:sz w:val="32"/>
          <w:highlight w:val="none"/>
        </w:rPr>
        <w:t>）</w:t>
      </w:r>
    </w:p>
    <w:p w14:paraId="059A4F55">
      <w:pPr>
        <w:pStyle w:val="13"/>
        <w:spacing w:before="113"/>
        <w:ind w:left="480" w:firstLine="420"/>
        <w:rPr>
          <w:rFonts w:hint="eastAsia" w:eastAsia="宋体"/>
          <w:color w:val="auto"/>
          <w:highlight w:val="none"/>
          <w:lang w:eastAsia="zh-CN"/>
        </w:rPr>
      </w:pPr>
      <w:r>
        <w:rPr>
          <w:rFonts w:hint="eastAsia"/>
          <w:b/>
          <w:color w:val="auto"/>
          <w:highlight w:val="none"/>
          <w:lang w:eastAsia="zh-CN"/>
        </w:rPr>
        <w:t>致：广西壮族自治区恭城公路养护中心</w:t>
      </w:r>
    </w:p>
    <w:p w14:paraId="3553323F">
      <w:pPr>
        <w:pStyle w:val="13"/>
        <w:spacing w:before="4"/>
        <w:ind w:firstLine="442"/>
        <w:rPr>
          <w:color w:val="auto"/>
          <w:sz w:val="22"/>
          <w:highlight w:val="none"/>
        </w:rPr>
      </w:pPr>
    </w:p>
    <w:p w14:paraId="334D40C3">
      <w:pPr>
        <w:pStyle w:val="13"/>
        <w:tabs>
          <w:tab w:val="left" w:pos="9295"/>
        </w:tabs>
        <w:spacing w:before="69" w:line="304" w:lineRule="auto"/>
        <w:ind w:left="480" w:right="799" w:firstLine="422"/>
        <w:rPr>
          <w:color w:val="auto"/>
          <w:highlight w:val="none"/>
        </w:rPr>
      </w:pPr>
      <w:r>
        <w:rPr>
          <w:color w:val="auto"/>
          <w:highlight w:val="none"/>
        </w:rPr>
        <mc:AlternateContent>
          <mc:Choice Requires="wps">
            <w:drawing>
              <wp:anchor distT="0" distB="0" distL="114300" distR="114300" simplePos="0" relativeHeight="251660288" behindDoc="1" locked="0" layoutInCell="1" allowOverlap="1">
                <wp:simplePos x="0" y="0"/>
                <wp:positionH relativeFrom="page">
                  <wp:posOffset>4570095</wp:posOffset>
                </wp:positionH>
                <wp:positionV relativeFrom="paragraph">
                  <wp:posOffset>191135</wp:posOffset>
                </wp:positionV>
                <wp:extent cx="1941830" cy="1270"/>
                <wp:effectExtent l="0" t="0" r="0" b="0"/>
                <wp:wrapNone/>
                <wp:docPr id="1" name="Graphic 19"/>
                <wp:cNvGraphicFramePr/>
                <a:graphic xmlns:a="http://schemas.openxmlformats.org/drawingml/2006/main">
                  <a:graphicData uri="http://schemas.microsoft.com/office/word/2010/wordprocessingShape">
                    <wps:wsp>
                      <wps:cNvSpPr/>
                      <wps:spPr>
                        <a:xfrm>
                          <a:off x="0" y="0"/>
                          <a:ext cx="1941830" cy="1270"/>
                        </a:xfrm>
                        <a:custGeom>
                          <a:avLst/>
                          <a:gdLst/>
                          <a:ahLst/>
                          <a:cxnLst/>
                          <a:pathLst>
                            <a:path w="1941830" h="1">
                              <a:moveTo>
                                <a:pt x="0" y="0"/>
                              </a:moveTo>
                              <a:lnTo>
                                <a:pt x="1408429" y="0"/>
                              </a:lnTo>
                            </a:path>
                            <a:path w="1941830" h="1">
                              <a:moveTo>
                                <a:pt x="1408429" y="0"/>
                              </a:moveTo>
                              <a:lnTo>
                                <a:pt x="1941829"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19" o:spid="_x0000_s1026" o:spt="100" style="position:absolute;left:0pt;margin-left:359.85pt;margin-top:15.05pt;height:0.1pt;width:152.9pt;mso-position-horizontal-relative:page;z-index:-251656192;mso-width-relative:page;mso-height-relative:page;" filled="f" stroked="t" coordsize="1941830,1" o:gfxdata="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amghnZAAAACgEAAA8AAAAAAAAAAQAgAAAAIgAAAGRycy9kb3du&#10;cmV2LnhtbFBLAQIUABQAAAAIAIdO4kAQd/MNNwIAADMFAAAOAAAAAAAAAAEAIAAAACgBAABkcnMv&#10;ZTJvRG9jLnhtbFBLBQYAAAAABgAGAFkBAADRBQAAAAA=&#10;" path="m0,0l1408429,0em1408429,0l1941829,0e">
                <v:fill on="f" focussize="0,0"/>
                <v:stroke weight="0.48pt" color="#000000" joinstyle="round"/>
                <v:imagedata o:title=""/>
                <o:lock v:ext="edit" aspectratio="f"/>
                <v:textbox inset="0mm,0mm,0mm,0mm"/>
              </v:shape>
            </w:pict>
          </mc:Fallback>
        </mc:AlternateContent>
      </w:r>
      <w:r>
        <w:rPr>
          <w:color w:val="auto"/>
          <w:highlight w:val="none"/>
        </w:rPr>
        <w:t>我（姓名）系自然人，现授权委托（姓名）以本人名义参加（项目名称及项目编号）项目的磋商活动，并代表本人全权办理针对上述项目的磋商、签约等具体事务和签署相关文件。</w:t>
      </w:r>
    </w:p>
    <w:p w14:paraId="1453A3AE">
      <w:pPr>
        <w:pStyle w:val="13"/>
        <w:spacing w:line="265" w:lineRule="exact"/>
        <w:ind w:left="900" w:firstLine="422"/>
        <w:rPr>
          <w:color w:val="auto"/>
          <w:highlight w:val="none"/>
        </w:rPr>
      </w:pPr>
      <w:r>
        <w:rPr>
          <w:color w:val="auto"/>
          <w:highlight w:val="none"/>
        </w:rPr>
        <w:t>本人对被授权人的签字事项负全部责任。</w:t>
      </w:r>
    </w:p>
    <w:p w14:paraId="08E6F5AB">
      <w:pPr>
        <w:pStyle w:val="13"/>
        <w:spacing w:before="72" w:line="604" w:lineRule="auto"/>
        <w:ind w:left="900" w:right="4889" w:firstLine="422"/>
        <w:rPr>
          <w:color w:val="auto"/>
          <w:highlight w:val="none"/>
        </w:rPr>
      </w:pPr>
      <w:r>
        <w:rPr>
          <w:color w:val="auto"/>
          <w:highlight w:val="none"/>
        </w:rPr>
        <w:t>授权委托代理期限：从年月日起至年月日止。代理人无转委托权,特此委托。</w:t>
      </w:r>
    </w:p>
    <w:p w14:paraId="7A9FCBA2">
      <w:pPr>
        <w:pStyle w:val="13"/>
        <w:spacing w:before="72" w:line="604" w:lineRule="auto"/>
        <w:ind w:left="900" w:right="4889" w:firstLine="422"/>
        <w:rPr>
          <w:color w:val="auto"/>
          <w:sz w:val="26"/>
          <w:highlight w:val="none"/>
        </w:rPr>
      </w:pPr>
      <w:r>
        <w:rPr>
          <w:color w:val="auto"/>
          <w:highlight w:val="none"/>
        </w:rPr>
        <w:t>我已在下面签字，以资证明。</w:t>
      </w:r>
    </w:p>
    <w:p w14:paraId="345C8516">
      <w:pPr>
        <w:ind w:firstLine="840" w:firstLineChars="400"/>
        <w:rPr>
          <w:color w:val="auto"/>
          <w:sz w:val="21"/>
          <w:szCs w:val="21"/>
          <w:highlight w:val="none"/>
        </w:rPr>
      </w:pPr>
      <w:r>
        <w:rPr>
          <w:color w:val="auto"/>
          <w:sz w:val="21"/>
          <w:szCs w:val="21"/>
          <w:highlight w:val="none"/>
        </w:rPr>
        <w:t>自然人签字（或个人CA证书签章）：年月日</w:t>
      </w:r>
    </w:p>
    <w:p w14:paraId="3D6394F6">
      <w:pPr>
        <w:pStyle w:val="13"/>
        <w:spacing w:line="604" w:lineRule="auto"/>
        <w:ind w:right="5860" w:firstLine="422"/>
        <w:rPr>
          <w:color w:val="auto"/>
          <w:highlight w:val="none"/>
        </w:rPr>
      </w:pPr>
    </w:p>
    <w:p w14:paraId="7FC8BD13">
      <w:pPr>
        <w:bidi w:val="0"/>
        <w:ind w:firstLine="880" w:firstLineChars="400"/>
        <w:rPr>
          <w:color w:val="auto"/>
          <w:highlight w:val="none"/>
        </w:rPr>
      </w:pPr>
      <w:r>
        <w:rPr>
          <w:color w:val="auto"/>
          <w:highlight w:val="none"/>
        </w:rPr>
        <w:t>附：委托代理人身份证正反面复印件（委托代理时必须提供）。</w:t>
      </w:r>
    </w:p>
    <w:p w14:paraId="70D81F6C">
      <w:pPr>
        <w:rPr>
          <w:rFonts w:hint="eastAsia"/>
          <w:color w:val="auto"/>
          <w:sz w:val="32"/>
          <w:szCs w:val="32"/>
          <w:highlight w:val="none"/>
        </w:rPr>
      </w:pPr>
      <w:r>
        <w:rPr>
          <w:rFonts w:hint="eastAsia"/>
          <w:color w:val="auto"/>
          <w:sz w:val="32"/>
          <w:szCs w:val="32"/>
          <w:highlight w:val="none"/>
        </w:rPr>
        <w:br w:type="page"/>
      </w:r>
    </w:p>
    <w:p w14:paraId="1F67E786">
      <w:pPr>
        <w:pStyle w:val="4"/>
        <w:bidi w:val="0"/>
        <w:rPr>
          <w:color w:val="auto"/>
          <w:highlight w:val="none"/>
        </w:rPr>
      </w:pPr>
      <w:r>
        <w:rPr>
          <w:rFonts w:hint="eastAsia"/>
          <w:color w:val="auto"/>
          <w:highlight w:val="none"/>
        </w:rPr>
        <w:t>3.</w:t>
      </w:r>
      <w:r>
        <w:rPr>
          <w:color w:val="auto"/>
          <w:highlight w:val="none"/>
        </w:rPr>
        <w:t>供应商的法人或者其他组织营业执照等证明文件复印件（必须提供，自然人除外）</w:t>
      </w:r>
    </w:p>
    <w:p w14:paraId="6CC45EA8">
      <w:pPr>
        <w:bidi w:val="0"/>
        <w:rPr>
          <w:color w:val="auto"/>
          <w:highlight w:val="none"/>
        </w:rPr>
      </w:pPr>
      <w:r>
        <w:rPr>
          <w:color w:val="auto"/>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供应商为社会团体法人的，应提供有效的“社会团体法人登记证书”。③如供应商为企业法人的分支机构的，除应提供营业执照复印件外，还应提供其所属的总公司授权其参加政府采购的授权文件或总公司颁布的授权其独立开展经营业务活动的证明材料复印件。</w:t>
      </w:r>
    </w:p>
    <w:p w14:paraId="04F20851">
      <w:pPr>
        <w:bidi w:val="0"/>
        <w:rPr>
          <w:color w:val="auto"/>
          <w:highlight w:val="none"/>
        </w:rPr>
      </w:pPr>
    </w:p>
    <w:p w14:paraId="2D382E1F">
      <w:pPr>
        <w:pStyle w:val="13"/>
        <w:ind w:firstLine="422"/>
        <w:rPr>
          <w:color w:val="auto"/>
          <w:highlight w:val="none"/>
        </w:rPr>
      </w:pPr>
    </w:p>
    <w:p w14:paraId="13CBC01B">
      <w:pPr>
        <w:ind w:firstLine="562"/>
        <w:rPr>
          <w:color w:val="auto"/>
          <w:highlight w:val="none"/>
        </w:rPr>
      </w:pPr>
    </w:p>
    <w:p w14:paraId="23EDEB99">
      <w:pPr>
        <w:pStyle w:val="13"/>
        <w:ind w:firstLine="422"/>
        <w:rPr>
          <w:color w:val="auto"/>
          <w:highlight w:val="none"/>
        </w:rPr>
      </w:pPr>
    </w:p>
    <w:p w14:paraId="40CF6A4C">
      <w:pPr>
        <w:ind w:firstLine="562"/>
        <w:rPr>
          <w:color w:val="auto"/>
          <w:highlight w:val="none"/>
        </w:rPr>
      </w:pPr>
    </w:p>
    <w:p w14:paraId="65A1C1FE">
      <w:pPr>
        <w:pStyle w:val="13"/>
        <w:ind w:firstLine="422"/>
        <w:rPr>
          <w:color w:val="auto"/>
          <w:highlight w:val="none"/>
        </w:rPr>
      </w:pPr>
    </w:p>
    <w:p w14:paraId="32F6D1F0">
      <w:pPr>
        <w:ind w:firstLine="562"/>
        <w:rPr>
          <w:color w:val="auto"/>
          <w:highlight w:val="none"/>
        </w:rPr>
      </w:pPr>
    </w:p>
    <w:p w14:paraId="1F4980B6">
      <w:pPr>
        <w:pStyle w:val="13"/>
        <w:ind w:firstLine="422"/>
        <w:rPr>
          <w:color w:val="auto"/>
          <w:highlight w:val="none"/>
        </w:rPr>
      </w:pPr>
    </w:p>
    <w:p w14:paraId="5E9B8B42">
      <w:pPr>
        <w:pStyle w:val="13"/>
        <w:spacing w:before="2"/>
        <w:ind w:firstLine="360"/>
        <w:rPr>
          <w:b/>
          <w:color w:val="auto"/>
          <w:sz w:val="18"/>
          <w:highlight w:val="none"/>
        </w:rPr>
      </w:pPr>
    </w:p>
    <w:p w14:paraId="0C916730">
      <w:pPr>
        <w:pStyle w:val="4"/>
        <w:bidi w:val="0"/>
        <w:rPr>
          <w:b/>
          <w:color w:val="auto"/>
          <w:highlight w:val="none"/>
        </w:rPr>
      </w:pPr>
      <w:r>
        <w:rPr>
          <w:rFonts w:hint="eastAsia"/>
          <w:color w:val="auto"/>
          <w:highlight w:val="none"/>
        </w:rPr>
        <w:t>4.</w:t>
      </w:r>
      <w:r>
        <w:rPr>
          <w:color w:val="auto"/>
          <w:highlight w:val="none"/>
        </w:rPr>
        <w:t>供应商有效的资质证书复印件（必须提供）</w:t>
      </w:r>
    </w:p>
    <w:p w14:paraId="787A6D5C">
      <w:pPr>
        <w:ind w:firstLine="602"/>
        <w:rPr>
          <w:color w:val="auto"/>
          <w:sz w:val="30"/>
          <w:highlight w:val="none"/>
        </w:rPr>
      </w:pPr>
    </w:p>
    <w:p w14:paraId="43293192">
      <w:pPr>
        <w:ind w:firstLine="602"/>
        <w:rPr>
          <w:color w:val="auto"/>
          <w:sz w:val="30"/>
          <w:highlight w:val="none"/>
        </w:rPr>
      </w:pPr>
    </w:p>
    <w:p w14:paraId="601DDB15">
      <w:pPr>
        <w:ind w:firstLine="602"/>
        <w:rPr>
          <w:color w:val="auto"/>
          <w:sz w:val="30"/>
          <w:highlight w:val="none"/>
        </w:rPr>
      </w:pPr>
    </w:p>
    <w:p w14:paraId="3F70E7E8">
      <w:pPr>
        <w:ind w:firstLine="602"/>
        <w:rPr>
          <w:color w:val="auto"/>
          <w:sz w:val="30"/>
          <w:highlight w:val="none"/>
        </w:rPr>
      </w:pPr>
    </w:p>
    <w:p w14:paraId="5DF39CED">
      <w:pPr>
        <w:ind w:firstLine="602"/>
        <w:rPr>
          <w:color w:val="auto"/>
          <w:sz w:val="30"/>
          <w:highlight w:val="none"/>
        </w:rPr>
      </w:pPr>
    </w:p>
    <w:p w14:paraId="6AE69443">
      <w:pPr>
        <w:ind w:firstLine="602"/>
        <w:rPr>
          <w:color w:val="auto"/>
          <w:sz w:val="30"/>
          <w:highlight w:val="none"/>
        </w:rPr>
      </w:pPr>
    </w:p>
    <w:p w14:paraId="65EDFA6E">
      <w:pPr>
        <w:ind w:firstLine="602"/>
        <w:rPr>
          <w:color w:val="auto"/>
          <w:sz w:val="30"/>
          <w:highlight w:val="none"/>
        </w:rPr>
      </w:pPr>
    </w:p>
    <w:p w14:paraId="2A8641F5">
      <w:pPr>
        <w:ind w:firstLine="602"/>
        <w:rPr>
          <w:color w:val="auto"/>
          <w:sz w:val="30"/>
          <w:highlight w:val="none"/>
        </w:rPr>
      </w:pPr>
    </w:p>
    <w:p w14:paraId="6F225B6A">
      <w:pPr>
        <w:ind w:firstLine="602"/>
        <w:rPr>
          <w:color w:val="auto"/>
          <w:sz w:val="30"/>
          <w:highlight w:val="none"/>
        </w:rPr>
      </w:pPr>
    </w:p>
    <w:p w14:paraId="7BD95B47">
      <w:pPr>
        <w:pStyle w:val="4"/>
        <w:bidi w:val="0"/>
        <w:rPr>
          <w:color w:val="auto"/>
          <w:highlight w:val="none"/>
        </w:rPr>
      </w:pPr>
      <w:r>
        <w:rPr>
          <w:rFonts w:hint="eastAsia"/>
          <w:color w:val="auto"/>
          <w:highlight w:val="none"/>
        </w:rPr>
        <w:t>5.供应商有效的安全生产许可证书扫描件</w:t>
      </w:r>
      <w:r>
        <w:rPr>
          <w:color w:val="auto"/>
          <w:highlight w:val="none"/>
        </w:rPr>
        <w:t>（必须提供）</w:t>
      </w:r>
    </w:p>
    <w:p w14:paraId="3B3FBA68">
      <w:pPr>
        <w:pStyle w:val="32"/>
        <w:tabs>
          <w:tab w:val="left" w:pos="800"/>
        </w:tabs>
        <w:ind w:left="0" w:firstLine="640"/>
        <w:rPr>
          <w:b/>
          <w:color w:val="auto"/>
          <w:sz w:val="32"/>
          <w:highlight w:val="none"/>
        </w:rPr>
      </w:pPr>
    </w:p>
    <w:p w14:paraId="48743FDD">
      <w:pPr>
        <w:pStyle w:val="32"/>
        <w:tabs>
          <w:tab w:val="left" w:pos="800"/>
        </w:tabs>
        <w:ind w:left="0" w:firstLine="640"/>
        <w:rPr>
          <w:b/>
          <w:color w:val="auto"/>
          <w:sz w:val="32"/>
          <w:highlight w:val="none"/>
        </w:rPr>
      </w:pPr>
    </w:p>
    <w:p w14:paraId="248B502E">
      <w:pPr>
        <w:pStyle w:val="32"/>
        <w:tabs>
          <w:tab w:val="left" w:pos="800"/>
        </w:tabs>
        <w:ind w:left="0" w:firstLine="640"/>
        <w:rPr>
          <w:b/>
          <w:color w:val="auto"/>
          <w:sz w:val="32"/>
          <w:highlight w:val="none"/>
        </w:rPr>
      </w:pPr>
    </w:p>
    <w:p w14:paraId="0EBA01F8">
      <w:pPr>
        <w:pStyle w:val="32"/>
        <w:tabs>
          <w:tab w:val="left" w:pos="800"/>
        </w:tabs>
        <w:ind w:left="0" w:firstLine="640"/>
        <w:rPr>
          <w:b/>
          <w:color w:val="auto"/>
          <w:sz w:val="32"/>
          <w:highlight w:val="none"/>
        </w:rPr>
      </w:pPr>
    </w:p>
    <w:p w14:paraId="4F01C0DA">
      <w:pPr>
        <w:pStyle w:val="32"/>
        <w:tabs>
          <w:tab w:val="left" w:pos="800"/>
        </w:tabs>
        <w:ind w:left="0" w:firstLine="640"/>
        <w:rPr>
          <w:b/>
          <w:color w:val="auto"/>
          <w:sz w:val="32"/>
          <w:highlight w:val="none"/>
        </w:rPr>
      </w:pPr>
    </w:p>
    <w:p w14:paraId="1E817E32">
      <w:pPr>
        <w:pStyle w:val="32"/>
        <w:tabs>
          <w:tab w:val="left" w:pos="800"/>
        </w:tabs>
        <w:ind w:left="0" w:firstLine="640"/>
        <w:rPr>
          <w:b/>
          <w:color w:val="auto"/>
          <w:sz w:val="32"/>
          <w:highlight w:val="none"/>
        </w:rPr>
      </w:pPr>
    </w:p>
    <w:p w14:paraId="70697B56">
      <w:pPr>
        <w:pStyle w:val="32"/>
        <w:tabs>
          <w:tab w:val="left" w:pos="800"/>
        </w:tabs>
        <w:ind w:left="0" w:firstLine="640"/>
        <w:rPr>
          <w:b/>
          <w:color w:val="auto"/>
          <w:sz w:val="32"/>
          <w:highlight w:val="none"/>
        </w:rPr>
      </w:pPr>
    </w:p>
    <w:p w14:paraId="2086DA25">
      <w:pPr>
        <w:rPr>
          <w:b/>
          <w:color w:val="auto"/>
          <w:sz w:val="32"/>
          <w:highlight w:val="none"/>
        </w:rPr>
      </w:pPr>
      <w:r>
        <w:rPr>
          <w:b/>
          <w:color w:val="auto"/>
          <w:sz w:val="32"/>
          <w:highlight w:val="none"/>
        </w:rPr>
        <w:br w:type="page"/>
      </w:r>
    </w:p>
    <w:p w14:paraId="30F1152E">
      <w:pPr>
        <w:pStyle w:val="32"/>
        <w:tabs>
          <w:tab w:val="left" w:pos="800"/>
        </w:tabs>
        <w:ind w:left="0" w:firstLine="640"/>
        <w:rPr>
          <w:b/>
          <w:color w:val="auto"/>
          <w:sz w:val="32"/>
          <w:highlight w:val="none"/>
        </w:rPr>
      </w:pPr>
    </w:p>
    <w:p w14:paraId="20BC085C">
      <w:pPr>
        <w:pStyle w:val="4"/>
        <w:bidi w:val="0"/>
        <w:rPr>
          <w:color w:val="auto"/>
          <w:highlight w:val="none"/>
        </w:rPr>
      </w:pPr>
      <w:r>
        <w:rPr>
          <w:rFonts w:hint="eastAsia"/>
          <w:color w:val="auto"/>
          <w:highlight w:val="none"/>
        </w:rPr>
        <w:t>6.项目经理：符合第三章“采购需求”项目经理资格要求（必须提供）</w:t>
      </w:r>
    </w:p>
    <w:p w14:paraId="0569FEDB">
      <w:pPr>
        <w:pStyle w:val="13"/>
        <w:spacing w:before="11"/>
        <w:ind w:firstLine="680"/>
        <w:jc w:val="center"/>
        <w:rPr>
          <w:b/>
          <w:color w:val="auto"/>
          <w:sz w:val="34"/>
          <w:highlight w:val="none"/>
        </w:rPr>
      </w:pPr>
    </w:p>
    <w:p w14:paraId="4B7B1312">
      <w:pPr>
        <w:bidi w:val="0"/>
        <w:jc w:val="center"/>
        <w:rPr>
          <w:color w:val="auto"/>
          <w:highlight w:val="none"/>
        </w:rPr>
      </w:pPr>
      <w:r>
        <w:rPr>
          <w:rFonts w:hint="eastAsia"/>
          <w:color w:val="auto"/>
          <w:highlight w:val="none"/>
        </w:rPr>
        <w:t>拟委任的项目经理资历表</w:t>
      </w:r>
    </w:p>
    <w:p w14:paraId="293C57A4">
      <w:pPr>
        <w:pStyle w:val="13"/>
        <w:spacing w:before="10"/>
        <w:ind w:firstLine="240"/>
        <w:rPr>
          <w:rFonts w:ascii="新宋体"/>
          <w:b/>
          <w:color w:val="auto"/>
          <w:sz w:val="12"/>
          <w:highlight w:val="none"/>
        </w:rPr>
      </w:pPr>
    </w:p>
    <w:tbl>
      <w:tblPr>
        <w:tblStyle w:val="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3"/>
        <w:gridCol w:w="1376"/>
        <w:gridCol w:w="102"/>
        <w:gridCol w:w="1059"/>
        <w:gridCol w:w="1379"/>
        <w:gridCol w:w="340"/>
        <w:gridCol w:w="1779"/>
        <w:gridCol w:w="147"/>
        <w:gridCol w:w="1284"/>
      </w:tblGrid>
      <w:tr w14:paraId="4F64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263" w:type="dxa"/>
            <w:vAlign w:val="center"/>
          </w:tcPr>
          <w:p w14:paraId="38E925BC">
            <w:pPr>
              <w:pStyle w:val="33"/>
              <w:spacing w:line="276" w:lineRule="exact"/>
              <w:ind w:firstLine="562"/>
              <w:jc w:val="center"/>
              <w:rPr>
                <w:color w:val="auto"/>
                <w:highlight w:val="none"/>
              </w:rPr>
            </w:pPr>
            <w:r>
              <w:rPr>
                <w:color w:val="auto"/>
                <w:highlight w:val="none"/>
              </w:rPr>
              <w:t>姓名</w:t>
            </w:r>
          </w:p>
        </w:tc>
        <w:tc>
          <w:tcPr>
            <w:tcW w:w="1478" w:type="dxa"/>
            <w:gridSpan w:val="2"/>
            <w:vAlign w:val="center"/>
          </w:tcPr>
          <w:p w14:paraId="7EE59B6F">
            <w:pPr>
              <w:pStyle w:val="33"/>
              <w:jc w:val="center"/>
              <w:rPr>
                <w:rFonts w:ascii="Times New Roman"/>
                <w:color w:val="auto"/>
                <w:highlight w:val="none"/>
              </w:rPr>
            </w:pPr>
          </w:p>
        </w:tc>
        <w:tc>
          <w:tcPr>
            <w:tcW w:w="1059" w:type="dxa"/>
            <w:vAlign w:val="center"/>
          </w:tcPr>
          <w:p w14:paraId="459E4B02">
            <w:pPr>
              <w:pStyle w:val="33"/>
              <w:spacing w:line="276" w:lineRule="exact"/>
              <w:jc w:val="center"/>
              <w:rPr>
                <w:color w:val="auto"/>
                <w:highlight w:val="none"/>
              </w:rPr>
            </w:pPr>
            <w:r>
              <w:rPr>
                <w:color w:val="auto"/>
                <w:highlight w:val="none"/>
              </w:rPr>
              <w:t>年龄</w:t>
            </w:r>
          </w:p>
        </w:tc>
        <w:tc>
          <w:tcPr>
            <w:tcW w:w="1379" w:type="dxa"/>
            <w:vAlign w:val="center"/>
          </w:tcPr>
          <w:p w14:paraId="19CF979E">
            <w:pPr>
              <w:pStyle w:val="33"/>
              <w:jc w:val="center"/>
              <w:rPr>
                <w:rFonts w:ascii="Times New Roman"/>
                <w:color w:val="auto"/>
                <w:highlight w:val="none"/>
              </w:rPr>
            </w:pPr>
          </w:p>
        </w:tc>
        <w:tc>
          <w:tcPr>
            <w:tcW w:w="2119" w:type="dxa"/>
            <w:gridSpan w:val="2"/>
            <w:vAlign w:val="center"/>
          </w:tcPr>
          <w:p w14:paraId="7953B67B">
            <w:pPr>
              <w:pStyle w:val="33"/>
              <w:spacing w:line="276" w:lineRule="exact"/>
              <w:jc w:val="center"/>
              <w:rPr>
                <w:color w:val="auto"/>
                <w:highlight w:val="none"/>
              </w:rPr>
            </w:pPr>
            <w:r>
              <w:rPr>
                <w:color w:val="auto"/>
                <w:highlight w:val="none"/>
              </w:rPr>
              <w:t>专业</w:t>
            </w:r>
          </w:p>
        </w:tc>
        <w:tc>
          <w:tcPr>
            <w:tcW w:w="1431" w:type="dxa"/>
            <w:gridSpan w:val="2"/>
            <w:vAlign w:val="center"/>
          </w:tcPr>
          <w:p w14:paraId="5CD7DEF5">
            <w:pPr>
              <w:pStyle w:val="33"/>
              <w:rPr>
                <w:rFonts w:ascii="Times New Roman"/>
                <w:color w:val="auto"/>
                <w:highlight w:val="none"/>
              </w:rPr>
            </w:pPr>
          </w:p>
        </w:tc>
      </w:tr>
      <w:tr w14:paraId="304F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1263" w:type="dxa"/>
            <w:vAlign w:val="center"/>
          </w:tcPr>
          <w:p w14:paraId="24C83FB8">
            <w:pPr>
              <w:pStyle w:val="33"/>
              <w:ind w:firstLine="562"/>
              <w:jc w:val="center"/>
              <w:rPr>
                <w:color w:val="auto"/>
                <w:highlight w:val="none"/>
              </w:rPr>
            </w:pPr>
            <w:r>
              <w:rPr>
                <w:color w:val="auto"/>
                <w:highlight w:val="none"/>
              </w:rPr>
              <w:t>技术职称</w:t>
            </w:r>
          </w:p>
        </w:tc>
        <w:tc>
          <w:tcPr>
            <w:tcW w:w="1478" w:type="dxa"/>
            <w:gridSpan w:val="2"/>
            <w:vAlign w:val="center"/>
          </w:tcPr>
          <w:p w14:paraId="403665F5">
            <w:pPr>
              <w:pStyle w:val="33"/>
              <w:jc w:val="center"/>
              <w:rPr>
                <w:rFonts w:ascii="Times New Roman"/>
                <w:color w:val="auto"/>
                <w:highlight w:val="none"/>
              </w:rPr>
            </w:pPr>
          </w:p>
        </w:tc>
        <w:tc>
          <w:tcPr>
            <w:tcW w:w="1059" w:type="dxa"/>
            <w:vAlign w:val="center"/>
          </w:tcPr>
          <w:p w14:paraId="27C1FED8">
            <w:pPr>
              <w:pStyle w:val="33"/>
              <w:jc w:val="center"/>
              <w:rPr>
                <w:color w:val="auto"/>
                <w:highlight w:val="none"/>
              </w:rPr>
            </w:pPr>
            <w:r>
              <w:rPr>
                <w:color w:val="auto"/>
                <w:highlight w:val="none"/>
              </w:rPr>
              <w:t>学历</w:t>
            </w:r>
          </w:p>
        </w:tc>
        <w:tc>
          <w:tcPr>
            <w:tcW w:w="1379" w:type="dxa"/>
            <w:vAlign w:val="center"/>
          </w:tcPr>
          <w:p w14:paraId="4DD197C6">
            <w:pPr>
              <w:pStyle w:val="33"/>
              <w:rPr>
                <w:rFonts w:ascii="Times New Roman"/>
                <w:color w:val="auto"/>
                <w:highlight w:val="none"/>
              </w:rPr>
            </w:pPr>
          </w:p>
        </w:tc>
        <w:tc>
          <w:tcPr>
            <w:tcW w:w="2119" w:type="dxa"/>
            <w:gridSpan w:val="2"/>
            <w:vAlign w:val="center"/>
          </w:tcPr>
          <w:p w14:paraId="00D5ED19">
            <w:pPr>
              <w:pStyle w:val="33"/>
              <w:spacing w:before="172"/>
              <w:jc w:val="center"/>
              <w:rPr>
                <w:color w:val="auto"/>
                <w:highlight w:val="none"/>
              </w:rPr>
            </w:pPr>
            <w:r>
              <w:rPr>
                <w:color w:val="auto"/>
                <w:highlight w:val="none"/>
              </w:rPr>
              <w:t>拟在本标段工程任职</w:t>
            </w:r>
          </w:p>
        </w:tc>
        <w:tc>
          <w:tcPr>
            <w:tcW w:w="1431" w:type="dxa"/>
            <w:gridSpan w:val="2"/>
            <w:vAlign w:val="center"/>
          </w:tcPr>
          <w:p w14:paraId="02519F4C">
            <w:pPr>
              <w:pStyle w:val="33"/>
              <w:rPr>
                <w:rFonts w:ascii="Times New Roman"/>
                <w:color w:val="auto"/>
                <w:highlight w:val="none"/>
              </w:rPr>
            </w:pPr>
          </w:p>
        </w:tc>
      </w:tr>
      <w:tr w14:paraId="0C67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263" w:type="dxa"/>
            <w:vAlign w:val="center"/>
          </w:tcPr>
          <w:p w14:paraId="4E036836">
            <w:pPr>
              <w:pStyle w:val="33"/>
              <w:spacing w:line="277" w:lineRule="exact"/>
              <w:ind w:firstLine="562"/>
              <w:jc w:val="center"/>
              <w:rPr>
                <w:color w:val="auto"/>
                <w:highlight w:val="none"/>
              </w:rPr>
            </w:pPr>
            <w:r>
              <w:rPr>
                <w:color w:val="auto"/>
                <w:highlight w:val="none"/>
              </w:rPr>
              <w:t>工作年限</w:t>
            </w:r>
          </w:p>
        </w:tc>
        <w:tc>
          <w:tcPr>
            <w:tcW w:w="3916" w:type="dxa"/>
            <w:gridSpan w:val="4"/>
            <w:vAlign w:val="center"/>
          </w:tcPr>
          <w:p w14:paraId="7607DE54">
            <w:pPr>
              <w:pStyle w:val="33"/>
              <w:rPr>
                <w:rFonts w:ascii="Times New Roman"/>
                <w:color w:val="auto"/>
                <w:highlight w:val="none"/>
              </w:rPr>
            </w:pPr>
          </w:p>
        </w:tc>
        <w:tc>
          <w:tcPr>
            <w:tcW w:w="2119" w:type="dxa"/>
            <w:gridSpan w:val="2"/>
            <w:vAlign w:val="center"/>
          </w:tcPr>
          <w:p w14:paraId="03525487">
            <w:pPr>
              <w:pStyle w:val="33"/>
              <w:spacing w:line="277" w:lineRule="exact"/>
              <w:rPr>
                <w:color w:val="auto"/>
                <w:highlight w:val="none"/>
              </w:rPr>
            </w:pPr>
            <w:r>
              <w:rPr>
                <w:color w:val="auto"/>
                <w:highlight w:val="none"/>
              </w:rPr>
              <w:t>类似施工经验年限</w:t>
            </w:r>
          </w:p>
        </w:tc>
        <w:tc>
          <w:tcPr>
            <w:tcW w:w="1431" w:type="dxa"/>
            <w:gridSpan w:val="2"/>
            <w:vAlign w:val="center"/>
          </w:tcPr>
          <w:p w14:paraId="7A1360AC">
            <w:pPr>
              <w:pStyle w:val="33"/>
              <w:rPr>
                <w:rFonts w:ascii="Times New Roman"/>
                <w:color w:val="auto"/>
                <w:highlight w:val="none"/>
              </w:rPr>
            </w:pPr>
          </w:p>
        </w:tc>
      </w:tr>
      <w:tr w14:paraId="62C98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263" w:type="dxa"/>
            <w:vAlign w:val="center"/>
          </w:tcPr>
          <w:p w14:paraId="3A19C142">
            <w:pPr>
              <w:pStyle w:val="33"/>
              <w:spacing w:line="276" w:lineRule="exact"/>
              <w:ind w:firstLine="562"/>
              <w:jc w:val="center"/>
              <w:rPr>
                <w:color w:val="auto"/>
                <w:highlight w:val="none"/>
              </w:rPr>
            </w:pPr>
            <w:r>
              <w:rPr>
                <w:color w:val="auto"/>
                <w:highlight w:val="none"/>
              </w:rPr>
              <w:t>毕业学校</w:t>
            </w:r>
          </w:p>
        </w:tc>
        <w:tc>
          <w:tcPr>
            <w:tcW w:w="7466" w:type="dxa"/>
            <w:gridSpan w:val="8"/>
            <w:vAlign w:val="center"/>
          </w:tcPr>
          <w:p w14:paraId="3CE99BAB">
            <w:pPr>
              <w:pStyle w:val="33"/>
              <w:spacing w:before="2"/>
              <w:ind w:firstLine="360"/>
              <w:rPr>
                <w:rFonts w:ascii="新宋体"/>
                <w:b/>
                <w:color w:val="auto"/>
                <w:sz w:val="18"/>
                <w:highlight w:val="none"/>
              </w:rPr>
            </w:pPr>
          </w:p>
          <w:p w14:paraId="26EA331D">
            <w:pPr>
              <w:pStyle w:val="33"/>
              <w:tabs>
                <w:tab w:val="left" w:pos="542"/>
                <w:tab w:val="left" w:pos="3886"/>
                <w:tab w:val="left" w:pos="5529"/>
                <w:tab w:val="left" w:pos="7253"/>
              </w:tabs>
              <w:spacing w:line="276" w:lineRule="exact"/>
              <w:ind w:left="7" w:right="-15" w:firstLine="562"/>
              <w:rPr>
                <w:color w:val="auto"/>
                <w:highlight w:val="none"/>
              </w:rPr>
            </w:pPr>
            <w:r>
              <w:rPr>
                <w:rFonts w:ascii="Times New Roman" w:eastAsia="Times New Roman"/>
                <w:color w:val="auto"/>
                <w:highlight w:val="none"/>
                <w:u w:val="single"/>
              </w:rPr>
              <w:tab/>
            </w:r>
            <w:r>
              <w:rPr>
                <w:color w:val="auto"/>
                <w:highlight w:val="none"/>
              </w:rPr>
              <w:t>年月毕业于</w:t>
            </w:r>
            <w:r>
              <w:rPr>
                <w:rFonts w:ascii="Times New Roman" w:eastAsia="Times New Roman"/>
                <w:color w:val="auto"/>
                <w:highlight w:val="none"/>
                <w:u w:val="single"/>
              </w:rPr>
              <w:tab/>
            </w:r>
            <w:r>
              <w:rPr>
                <w:color w:val="auto"/>
                <w:highlight w:val="none"/>
              </w:rPr>
              <w:t>学校</w:t>
            </w:r>
            <w:r>
              <w:rPr>
                <w:rFonts w:ascii="Times New Roman" w:eastAsia="Times New Roman"/>
                <w:color w:val="auto"/>
                <w:highlight w:val="none"/>
                <w:u w:val="single"/>
              </w:rPr>
              <w:tab/>
            </w:r>
            <w:r>
              <w:rPr>
                <w:color w:val="auto"/>
                <w:highlight w:val="none"/>
              </w:rPr>
              <w:t>专业，学制</w:t>
            </w:r>
            <w:r>
              <w:rPr>
                <w:rFonts w:ascii="Times New Roman" w:eastAsia="Times New Roman"/>
                <w:color w:val="auto"/>
                <w:highlight w:val="none"/>
                <w:u w:val="single"/>
              </w:rPr>
              <w:tab/>
            </w:r>
            <w:r>
              <w:rPr>
                <w:color w:val="auto"/>
                <w:highlight w:val="none"/>
              </w:rPr>
              <w:t>年</w:t>
            </w:r>
          </w:p>
        </w:tc>
      </w:tr>
      <w:tr w14:paraId="43AD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8729" w:type="dxa"/>
            <w:gridSpan w:val="9"/>
            <w:vAlign w:val="center"/>
          </w:tcPr>
          <w:p w14:paraId="1472544E">
            <w:pPr>
              <w:pStyle w:val="33"/>
              <w:spacing w:before="3"/>
              <w:ind w:firstLine="360"/>
              <w:rPr>
                <w:rFonts w:ascii="新宋体"/>
                <w:b/>
                <w:color w:val="auto"/>
                <w:sz w:val="18"/>
                <w:highlight w:val="none"/>
              </w:rPr>
            </w:pPr>
          </w:p>
          <w:p w14:paraId="25EDE8AF">
            <w:pPr>
              <w:pStyle w:val="33"/>
              <w:spacing w:line="277" w:lineRule="exact"/>
              <w:ind w:right="99" w:firstLine="562"/>
              <w:jc w:val="center"/>
              <w:rPr>
                <w:rFonts w:ascii="Times New Roman"/>
                <w:color w:val="auto"/>
                <w:highlight w:val="none"/>
              </w:rPr>
            </w:pPr>
            <w:r>
              <w:rPr>
                <w:color w:val="auto"/>
                <w:highlight w:val="none"/>
              </w:rPr>
              <w:t>经历</w:t>
            </w:r>
          </w:p>
        </w:tc>
      </w:tr>
      <w:tr w14:paraId="78F3D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263" w:type="dxa"/>
            <w:vAlign w:val="center"/>
          </w:tcPr>
          <w:p w14:paraId="659CEEAE">
            <w:pPr>
              <w:pStyle w:val="33"/>
              <w:ind w:firstLine="562"/>
              <w:jc w:val="center"/>
              <w:rPr>
                <w:color w:val="auto"/>
                <w:highlight w:val="none"/>
              </w:rPr>
            </w:pPr>
            <w:r>
              <w:rPr>
                <w:color w:val="auto"/>
                <w:highlight w:val="none"/>
              </w:rPr>
              <w:t>时间</w:t>
            </w:r>
          </w:p>
        </w:tc>
        <w:tc>
          <w:tcPr>
            <w:tcW w:w="4256" w:type="dxa"/>
            <w:gridSpan w:val="5"/>
            <w:vAlign w:val="center"/>
          </w:tcPr>
          <w:p w14:paraId="1B8EFFFF">
            <w:pPr>
              <w:pStyle w:val="33"/>
              <w:jc w:val="center"/>
              <w:rPr>
                <w:color w:val="auto"/>
                <w:highlight w:val="none"/>
              </w:rPr>
            </w:pPr>
            <w:r>
              <w:rPr>
                <w:color w:val="auto"/>
                <w:highlight w:val="none"/>
              </w:rPr>
              <w:t>参加过的类似工程项目名称</w:t>
            </w:r>
          </w:p>
        </w:tc>
        <w:tc>
          <w:tcPr>
            <w:tcW w:w="1926" w:type="dxa"/>
            <w:gridSpan w:val="2"/>
            <w:vAlign w:val="center"/>
          </w:tcPr>
          <w:p w14:paraId="7318282A">
            <w:pPr>
              <w:pStyle w:val="33"/>
              <w:jc w:val="center"/>
              <w:rPr>
                <w:color w:val="auto"/>
                <w:highlight w:val="none"/>
              </w:rPr>
            </w:pPr>
            <w:r>
              <w:rPr>
                <w:color w:val="auto"/>
                <w:highlight w:val="none"/>
              </w:rPr>
              <w:t>担任职务</w:t>
            </w:r>
          </w:p>
        </w:tc>
        <w:tc>
          <w:tcPr>
            <w:tcW w:w="1284" w:type="dxa"/>
            <w:vAlign w:val="center"/>
          </w:tcPr>
          <w:p w14:paraId="0ADB1F1F">
            <w:pPr>
              <w:pStyle w:val="33"/>
              <w:spacing w:before="173"/>
              <w:jc w:val="center"/>
              <w:rPr>
                <w:color w:val="auto"/>
                <w:highlight w:val="none"/>
              </w:rPr>
            </w:pPr>
            <w:r>
              <w:rPr>
                <w:color w:val="auto"/>
                <w:highlight w:val="none"/>
              </w:rPr>
              <w:t>发包人及联系电话</w:t>
            </w:r>
          </w:p>
        </w:tc>
      </w:tr>
      <w:tr w14:paraId="40DE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63" w:type="dxa"/>
            <w:vAlign w:val="center"/>
          </w:tcPr>
          <w:p w14:paraId="57CE5274">
            <w:pPr>
              <w:pStyle w:val="33"/>
              <w:ind w:firstLine="562"/>
              <w:rPr>
                <w:rFonts w:ascii="Times New Roman"/>
                <w:color w:val="auto"/>
                <w:highlight w:val="none"/>
              </w:rPr>
            </w:pPr>
          </w:p>
        </w:tc>
        <w:tc>
          <w:tcPr>
            <w:tcW w:w="4256" w:type="dxa"/>
            <w:gridSpan w:val="5"/>
            <w:vAlign w:val="center"/>
          </w:tcPr>
          <w:p w14:paraId="4E5C2A7C">
            <w:pPr>
              <w:pStyle w:val="33"/>
              <w:rPr>
                <w:rFonts w:ascii="Times New Roman"/>
                <w:color w:val="auto"/>
                <w:highlight w:val="none"/>
              </w:rPr>
            </w:pPr>
          </w:p>
        </w:tc>
        <w:tc>
          <w:tcPr>
            <w:tcW w:w="1926" w:type="dxa"/>
            <w:gridSpan w:val="2"/>
            <w:vAlign w:val="center"/>
          </w:tcPr>
          <w:p w14:paraId="0E5BFF16">
            <w:pPr>
              <w:pStyle w:val="33"/>
              <w:rPr>
                <w:rFonts w:ascii="Times New Roman"/>
                <w:color w:val="auto"/>
                <w:highlight w:val="none"/>
              </w:rPr>
            </w:pPr>
          </w:p>
        </w:tc>
        <w:tc>
          <w:tcPr>
            <w:tcW w:w="1284" w:type="dxa"/>
            <w:vAlign w:val="center"/>
          </w:tcPr>
          <w:p w14:paraId="69F2BE95">
            <w:pPr>
              <w:pStyle w:val="33"/>
              <w:rPr>
                <w:rFonts w:ascii="Times New Roman"/>
                <w:color w:val="auto"/>
                <w:highlight w:val="none"/>
              </w:rPr>
            </w:pPr>
          </w:p>
        </w:tc>
      </w:tr>
      <w:tr w14:paraId="39FE6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63" w:type="dxa"/>
            <w:vAlign w:val="center"/>
          </w:tcPr>
          <w:p w14:paraId="0653B754">
            <w:pPr>
              <w:pStyle w:val="33"/>
              <w:ind w:firstLine="562"/>
              <w:rPr>
                <w:rFonts w:ascii="Times New Roman"/>
                <w:color w:val="auto"/>
                <w:highlight w:val="none"/>
              </w:rPr>
            </w:pPr>
          </w:p>
        </w:tc>
        <w:tc>
          <w:tcPr>
            <w:tcW w:w="4256" w:type="dxa"/>
            <w:gridSpan w:val="5"/>
            <w:vAlign w:val="center"/>
          </w:tcPr>
          <w:p w14:paraId="7427A2D8">
            <w:pPr>
              <w:pStyle w:val="33"/>
              <w:rPr>
                <w:rFonts w:ascii="Times New Roman"/>
                <w:color w:val="auto"/>
                <w:highlight w:val="none"/>
              </w:rPr>
            </w:pPr>
          </w:p>
        </w:tc>
        <w:tc>
          <w:tcPr>
            <w:tcW w:w="1926" w:type="dxa"/>
            <w:gridSpan w:val="2"/>
            <w:vAlign w:val="center"/>
          </w:tcPr>
          <w:p w14:paraId="699A3CEA">
            <w:pPr>
              <w:pStyle w:val="33"/>
              <w:rPr>
                <w:rFonts w:ascii="Times New Roman"/>
                <w:color w:val="auto"/>
                <w:highlight w:val="none"/>
              </w:rPr>
            </w:pPr>
          </w:p>
        </w:tc>
        <w:tc>
          <w:tcPr>
            <w:tcW w:w="1284" w:type="dxa"/>
            <w:vAlign w:val="center"/>
          </w:tcPr>
          <w:p w14:paraId="68CCFDAD">
            <w:pPr>
              <w:pStyle w:val="33"/>
              <w:rPr>
                <w:rFonts w:ascii="Times New Roman"/>
                <w:color w:val="auto"/>
                <w:highlight w:val="none"/>
              </w:rPr>
            </w:pPr>
          </w:p>
        </w:tc>
      </w:tr>
      <w:tr w14:paraId="36AE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263" w:type="dxa"/>
            <w:vAlign w:val="center"/>
          </w:tcPr>
          <w:p w14:paraId="4C2075EA">
            <w:pPr>
              <w:pStyle w:val="33"/>
              <w:ind w:firstLine="562"/>
              <w:rPr>
                <w:rFonts w:ascii="Times New Roman"/>
                <w:color w:val="auto"/>
                <w:highlight w:val="none"/>
              </w:rPr>
            </w:pPr>
          </w:p>
        </w:tc>
        <w:tc>
          <w:tcPr>
            <w:tcW w:w="4256" w:type="dxa"/>
            <w:gridSpan w:val="5"/>
            <w:vAlign w:val="center"/>
          </w:tcPr>
          <w:p w14:paraId="6F40AA44">
            <w:pPr>
              <w:pStyle w:val="33"/>
              <w:rPr>
                <w:rFonts w:ascii="Times New Roman"/>
                <w:color w:val="auto"/>
                <w:highlight w:val="none"/>
              </w:rPr>
            </w:pPr>
          </w:p>
        </w:tc>
        <w:tc>
          <w:tcPr>
            <w:tcW w:w="1926" w:type="dxa"/>
            <w:gridSpan w:val="2"/>
            <w:vAlign w:val="center"/>
          </w:tcPr>
          <w:p w14:paraId="3022A524">
            <w:pPr>
              <w:pStyle w:val="33"/>
              <w:rPr>
                <w:rFonts w:ascii="Times New Roman"/>
                <w:color w:val="auto"/>
                <w:highlight w:val="none"/>
              </w:rPr>
            </w:pPr>
          </w:p>
        </w:tc>
        <w:tc>
          <w:tcPr>
            <w:tcW w:w="1284" w:type="dxa"/>
            <w:vAlign w:val="center"/>
          </w:tcPr>
          <w:p w14:paraId="156CE314">
            <w:pPr>
              <w:pStyle w:val="33"/>
              <w:rPr>
                <w:rFonts w:ascii="Times New Roman"/>
                <w:color w:val="auto"/>
                <w:highlight w:val="none"/>
              </w:rPr>
            </w:pPr>
          </w:p>
        </w:tc>
      </w:tr>
      <w:tr w14:paraId="54B7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639" w:type="dxa"/>
            <w:gridSpan w:val="2"/>
            <w:vAlign w:val="center"/>
          </w:tcPr>
          <w:p w14:paraId="099D7CB9">
            <w:pPr>
              <w:pStyle w:val="33"/>
              <w:spacing w:line="276" w:lineRule="exact"/>
              <w:ind w:firstLine="562"/>
              <w:jc w:val="center"/>
              <w:rPr>
                <w:color w:val="auto"/>
                <w:highlight w:val="none"/>
              </w:rPr>
            </w:pPr>
            <w:r>
              <w:rPr>
                <w:color w:val="auto"/>
                <w:highlight w:val="none"/>
              </w:rPr>
              <w:t>获奖情况</w:t>
            </w:r>
          </w:p>
        </w:tc>
        <w:tc>
          <w:tcPr>
            <w:tcW w:w="6090" w:type="dxa"/>
            <w:gridSpan w:val="7"/>
            <w:vAlign w:val="center"/>
          </w:tcPr>
          <w:p w14:paraId="5FFB4585">
            <w:pPr>
              <w:pStyle w:val="33"/>
              <w:rPr>
                <w:rFonts w:ascii="Times New Roman"/>
                <w:color w:val="auto"/>
                <w:highlight w:val="none"/>
              </w:rPr>
            </w:pPr>
          </w:p>
        </w:tc>
      </w:tr>
      <w:tr w14:paraId="12DBD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jc w:val="center"/>
        </w:trPr>
        <w:tc>
          <w:tcPr>
            <w:tcW w:w="2639" w:type="dxa"/>
            <w:gridSpan w:val="2"/>
            <w:vAlign w:val="center"/>
          </w:tcPr>
          <w:p w14:paraId="386EA912">
            <w:pPr>
              <w:pStyle w:val="33"/>
              <w:ind w:firstLine="562"/>
              <w:jc w:val="center"/>
              <w:rPr>
                <w:color w:val="auto"/>
                <w:highlight w:val="none"/>
              </w:rPr>
            </w:pPr>
            <w:r>
              <w:rPr>
                <w:color w:val="auto"/>
                <w:highlight w:val="none"/>
              </w:rPr>
              <w:t>说明在岗情况</w:t>
            </w:r>
          </w:p>
        </w:tc>
        <w:tc>
          <w:tcPr>
            <w:tcW w:w="6090" w:type="dxa"/>
            <w:gridSpan w:val="7"/>
            <w:vAlign w:val="center"/>
          </w:tcPr>
          <w:p w14:paraId="17517823">
            <w:pPr>
              <w:pStyle w:val="33"/>
              <w:numPr>
                <w:ilvl w:val="0"/>
                <w:numId w:val="5"/>
              </w:numPr>
              <w:tabs>
                <w:tab w:val="left" w:pos="423"/>
                <w:tab w:val="left" w:pos="5418"/>
              </w:tabs>
              <w:spacing w:before="140"/>
              <w:ind w:left="423" w:firstLine="562"/>
              <w:rPr>
                <w:color w:val="auto"/>
                <w:highlight w:val="none"/>
              </w:rPr>
            </w:pPr>
            <w:r>
              <w:rPr>
                <w:color w:val="auto"/>
                <w:highlight w:val="none"/>
              </w:rPr>
              <w:t>目前未在其他项目上任职，现从事工作为：</w:t>
            </w:r>
            <w:r>
              <w:rPr>
                <w:rFonts w:ascii="Times New Roman" w:hAnsi="Times New Roman" w:eastAsia="Times New Roman"/>
                <w:color w:val="auto"/>
                <w:highlight w:val="none"/>
                <w:u w:val="single"/>
              </w:rPr>
              <w:tab/>
            </w:r>
            <w:r>
              <w:rPr>
                <w:color w:val="auto"/>
                <w:highlight w:val="none"/>
              </w:rPr>
              <w:t>。</w:t>
            </w:r>
          </w:p>
          <w:p w14:paraId="4F25D8A5">
            <w:pPr>
              <w:pStyle w:val="33"/>
              <w:numPr>
                <w:ilvl w:val="0"/>
                <w:numId w:val="5"/>
              </w:numPr>
              <w:tabs>
                <w:tab w:val="left" w:pos="474"/>
                <w:tab w:val="left" w:pos="3225"/>
                <w:tab w:val="left" w:pos="5346"/>
              </w:tabs>
              <w:spacing w:before="128" w:line="350" w:lineRule="atLeast"/>
              <w:ind w:right="6" w:firstLine="562"/>
              <w:rPr>
                <w:color w:val="auto"/>
                <w:highlight w:val="none"/>
              </w:rPr>
            </w:pPr>
            <w:r>
              <w:rPr>
                <w:color w:val="auto"/>
                <w:highlight w:val="none"/>
              </w:rPr>
              <w:t>目前虽在其他项目上任职，但本项目中标后能够从该项目撤离，目前任职项目：</w:t>
            </w:r>
            <w:r>
              <w:rPr>
                <w:color w:val="auto"/>
                <w:highlight w:val="none"/>
              </w:rPr>
              <w:tab/>
            </w:r>
            <w:r>
              <w:rPr>
                <w:color w:val="auto"/>
                <w:highlight w:val="none"/>
              </w:rPr>
              <w:t>，担任职位：</w:t>
            </w:r>
            <w:r>
              <w:rPr>
                <w:color w:val="auto"/>
                <w:highlight w:val="none"/>
              </w:rPr>
              <w:tab/>
            </w:r>
            <w:r>
              <w:rPr>
                <w:color w:val="auto"/>
                <w:highlight w:val="none"/>
              </w:rPr>
              <w:t>。</w:t>
            </w:r>
          </w:p>
        </w:tc>
      </w:tr>
      <w:tr w14:paraId="7E1D2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2639" w:type="dxa"/>
            <w:gridSpan w:val="2"/>
            <w:vAlign w:val="center"/>
          </w:tcPr>
          <w:p w14:paraId="612A180B">
            <w:pPr>
              <w:pStyle w:val="33"/>
              <w:ind w:right="174" w:firstLine="562"/>
              <w:jc w:val="center"/>
              <w:rPr>
                <w:color w:val="auto"/>
                <w:highlight w:val="none"/>
              </w:rPr>
            </w:pPr>
            <w:r>
              <w:rPr>
                <w:color w:val="auto"/>
                <w:highlight w:val="none"/>
              </w:rPr>
              <w:t>备注</w:t>
            </w:r>
          </w:p>
        </w:tc>
        <w:tc>
          <w:tcPr>
            <w:tcW w:w="6090" w:type="dxa"/>
            <w:gridSpan w:val="7"/>
            <w:vAlign w:val="center"/>
          </w:tcPr>
          <w:p w14:paraId="0A34BEA7">
            <w:pPr>
              <w:pStyle w:val="33"/>
              <w:rPr>
                <w:rFonts w:ascii="Times New Roman"/>
                <w:color w:val="auto"/>
                <w:highlight w:val="none"/>
              </w:rPr>
            </w:pPr>
          </w:p>
        </w:tc>
      </w:tr>
    </w:tbl>
    <w:p w14:paraId="3E3B169D">
      <w:pPr>
        <w:pStyle w:val="13"/>
        <w:spacing w:before="189"/>
        <w:ind w:left="417" w:firstLine="420" w:firstLineChars="200"/>
        <w:rPr>
          <w:color w:val="auto"/>
          <w:highlight w:val="none"/>
        </w:rPr>
      </w:pPr>
      <w:r>
        <w:rPr>
          <w:color w:val="auto"/>
          <w:highlight w:val="none"/>
        </w:rPr>
        <w:t>注：</w:t>
      </w:r>
      <w:r>
        <w:rPr>
          <w:rFonts w:hint="eastAsia"/>
          <w:color w:val="auto"/>
          <w:highlight w:val="none"/>
        </w:rPr>
        <w:t>1.</w:t>
      </w:r>
      <w:r>
        <w:rPr>
          <w:color w:val="auto"/>
          <w:highlight w:val="none"/>
        </w:rPr>
        <w:t>本表应填写项目经理相关情况，可以根据项目情况增减表格内容。</w:t>
      </w:r>
    </w:p>
    <w:p w14:paraId="3935F846">
      <w:pPr>
        <w:pStyle w:val="13"/>
        <w:spacing w:before="2"/>
        <w:ind w:firstLine="341"/>
        <w:rPr>
          <w:color w:val="auto"/>
          <w:sz w:val="17"/>
          <w:highlight w:val="none"/>
        </w:rPr>
      </w:pPr>
    </w:p>
    <w:p w14:paraId="63E8BC2B">
      <w:pPr>
        <w:spacing w:line="360" w:lineRule="auto"/>
        <w:ind w:firstLine="840" w:firstLineChars="4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供应商</w:t>
      </w:r>
      <w:r>
        <w:rPr>
          <w:color w:val="auto"/>
          <w:sz w:val="21"/>
          <w:szCs w:val="21"/>
          <w:highlight w:val="none"/>
        </w:rPr>
        <w:t>应在本表后附项目经理身份证扫描件、注册证扫描件、职称证扫描件、安全生产考核合格证扫描件及</w:t>
      </w:r>
      <w:r>
        <w:rPr>
          <w:rFonts w:hint="eastAsia"/>
          <w:color w:val="auto"/>
          <w:sz w:val="21"/>
          <w:szCs w:val="21"/>
          <w:highlight w:val="none"/>
          <w:lang w:val="en-US" w:eastAsia="zh-CN"/>
        </w:rPr>
        <w:t>劳动合同</w:t>
      </w:r>
      <w:r>
        <w:rPr>
          <w:color w:val="auto"/>
          <w:sz w:val="21"/>
          <w:szCs w:val="21"/>
          <w:highlight w:val="none"/>
        </w:rPr>
        <w:t>扫描件、业绩证明</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color w:val="auto"/>
          <w:sz w:val="21"/>
          <w:szCs w:val="21"/>
          <w:highlight w:val="none"/>
        </w:rPr>
        <w:t>等相关证明材料。</w:t>
      </w:r>
    </w:p>
    <w:p w14:paraId="0523284E">
      <w:pPr>
        <w:spacing w:line="360" w:lineRule="auto"/>
        <w:ind w:firstLine="422"/>
        <w:rPr>
          <w:color w:val="auto"/>
          <w:sz w:val="21"/>
          <w:szCs w:val="21"/>
          <w:highlight w:val="none"/>
        </w:rPr>
        <w:sectPr>
          <w:type w:val="continuous"/>
          <w:pgSz w:w="11911" w:h="16849"/>
          <w:pgMar w:top="1417" w:right="1417" w:bottom="1417" w:left="1417" w:header="720" w:footer="720" w:gutter="0"/>
          <w:cols w:space="0" w:num="1"/>
          <w:rtlGutter w:val="0"/>
          <w:docGrid w:linePitch="0" w:charSpace="0"/>
        </w:sectPr>
      </w:pPr>
    </w:p>
    <w:p w14:paraId="1B850856">
      <w:pPr>
        <w:pStyle w:val="4"/>
        <w:bidi w:val="0"/>
        <w:rPr>
          <w:color w:val="auto"/>
          <w:highlight w:val="none"/>
        </w:rPr>
      </w:pPr>
      <w:r>
        <w:rPr>
          <w:rFonts w:hint="eastAsia"/>
          <w:color w:val="auto"/>
          <w:highlight w:val="none"/>
        </w:rPr>
        <w:t>7.项目总工：符合第三章“采购需求”项目总工资格要求（必须提供）</w:t>
      </w:r>
    </w:p>
    <w:p w14:paraId="0AE3783B">
      <w:pPr>
        <w:pStyle w:val="13"/>
        <w:spacing w:before="3"/>
        <w:ind w:firstLine="620"/>
        <w:rPr>
          <w:b/>
          <w:color w:val="auto"/>
          <w:sz w:val="31"/>
          <w:highlight w:val="none"/>
        </w:rPr>
      </w:pPr>
    </w:p>
    <w:p w14:paraId="51088444">
      <w:pPr>
        <w:bidi w:val="0"/>
        <w:jc w:val="center"/>
        <w:rPr>
          <w:color w:val="auto"/>
          <w:highlight w:val="none"/>
        </w:rPr>
      </w:pPr>
      <w:r>
        <w:rPr>
          <w:rFonts w:hint="eastAsia"/>
          <w:color w:val="auto"/>
          <w:highlight w:val="none"/>
        </w:rPr>
        <w:t>拟委任的项目总工资历表</w:t>
      </w:r>
    </w:p>
    <w:p w14:paraId="6ACB1C6D">
      <w:pPr>
        <w:pStyle w:val="13"/>
        <w:spacing w:before="10" w:after="1"/>
        <w:ind w:firstLine="240"/>
        <w:rPr>
          <w:rFonts w:ascii="新宋体"/>
          <w:b/>
          <w:color w:val="auto"/>
          <w:sz w:val="12"/>
          <w:highlight w:val="none"/>
        </w:rPr>
      </w:pPr>
    </w:p>
    <w:tbl>
      <w:tblPr>
        <w:tblStyle w:val="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3"/>
        <w:gridCol w:w="1376"/>
        <w:gridCol w:w="102"/>
        <w:gridCol w:w="1059"/>
        <w:gridCol w:w="1379"/>
        <w:gridCol w:w="340"/>
        <w:gridCol w:w="1849"/>
        <w:gridCol w:w="77"/>
        <w:gridCol w:w="1284"/>
      </w:tblGrid>
      <w:tr w14:paraId="2E902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263" w:type="dxa"/>
            <w:vAlign w:val="center"/>
          </w:tcPr>
          <w:p w14:paraId="1C8C2277">
            <w:pPr>
              <w:pStyle w:val="33"/>
              <w:spacing w:line="276" w:lineRule="exact"/>
              <w:ind w:firstLine="562"/>
              <w:jc w:val="center"/>
              <w:rPr>
                <w:color w:val="auto"/>
                <w:highlight w:val="none"/>
              </w:rPr>
            </w:pPr>
            <w:r>
              <w:rPr>
                <w:color w:val="auto"/>
                <w:highlight w:val="none"/>
              </w:rPr>
              <w:t>姓名</w:t>
            </w:r>
          </w:p>
        </w:tc>
        <w:tc>
          <w:tcPr>
            <w:tcW w:w="1478" w:type="dxa"/>
            <w:gridSpan w:val="2"/>
            <w:vAlign w:val="center"/>
          </w:tcPr>
          <w:p w14:paraId="5FDAE0E5">
            <w:pPr>
              <w:pStyle w:val="33"/>
              <w:jc w:val="center"/>
              <w:rPr>
                <w:rFonts w:ascii="Times New Roman"/>
                <w:color w:val="auto"/>
                <w:highlight w:val="none"/>
              </w:rPr>
            </w:pPr>
          </w:p>
        </w:tc>
        <w:tc>
          <w:tcPr>
            <w:tcW w:w="1059" w:type="dxa"/>
            <w:vAlign w:val="center"/>
          </w:tcPr>
          <w:p w14:paraId="23BF88D1">
            <w:pPr>
              <w:pStyle w:val="33"/>
              <w:spacing w:line="276" w:lineRule="exact"/>
              <w:jc w:val="center"/>
              <w:rPr>
                <w:color w:val="auto"/>
                <w:highlight w:val="none"/>
              </w:rPr>
            </w:pPr>
            <w:r>
              <w:rPr>
                <w:color w:val="auto"/>
                <w:highlight w:val="none"/>
              </w:rPr>
              <w:t>年龄</w:t>
            </w:r>
          </w:p>
        </w:tc>
        <w:tc>
          <w:tcPr>
            <w:tcW w:w="1379" w:type="dxa"/>
          </w:tcPr>
          <w:p w14:paraId="0269C44F">
            <w:pPr>
              <w:pStyle w:val="33"/>
              <w:jc w:val="center"/>
              <w:rPr>
                <w:rFonts w:ascii="Times New Roman"/>
                <w:color w:val="auto"/>
                <w:highlight w:val="none"/>
              </w:rPr>
            </w:pPr>
          </w:p>
        </w:tc>
        <w:tc>
          <w:tcPr>
            <w:tcW w:w="2189" w:type="dxa"/>
            <w:gridSpan w:val="2"/>
            <w:vAlign w:val="center"/>
          </w:tcPr>
          <w:p w14:paraId="2B548A57">
            <w:pPr>
              <w:pStyle w:val="33"/>
              <w:spacing w:line="276" w:lineRule="exact"/>
              <w:jc w:val="center"/>
              <w:rPr>
                <w:color w:val="auto"/>
                <w:highlight w:val="none"/>
              </w:rPr>
            </w:pPr>
            <w:r>
              <w:rPr>
                <w:color w:val="auto"/>
                <w:highlight w:val="none"/>
              </w:rPr>
              <w:t>专业</w:t>
            </w:r>
          </w:p>
        </w:tc>
        <w:tc>
          <w:tcPr>
            <w:tcW w:w="1361" w:type="dxa"/>
            <w:gridSpan w:val="2"/>
          </w:tcPr>
          <w:p w14:paraId="3733A51B">
            <w:pPr>
              <w:pStyle w:val="33"/>
              <w:rPr>
                <w:rFonts w:ascii="Times New Roman"/>
                <w:color w:val="auto"/>
                <w:highlight w:val="none"/>
              </w:rPr>
            </w:pPr>
          </w:p>
        </w:tc>
      </w:tr>
      <w:tr w14:paraId="3CD2E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263" w:type="dxa"/>
            <w:vAlign w:val="center"/>
          </w:tcPr>
          <w:p w14:paraId="6CD0CA63">
            <w:pPr>
              <w:pStyle w:val="33"/>
              <w:ind w:firstLine="562"/>
              <w:jc w:val="center"/>
              <w:rPr>
                <w:color w:val="auto"/>
                <w:highlight w:val="none"/>
              </w:rPr>
            </w:pPr>
            <w:r>
              <w:rPr>
                <w:color w:val="auto"/>
                <w:highlight w:val="none"/>
              </w:rPr>
              <w:t>技术职称</w:t>
            </w:r>
          </w:p>
        </w:tc>
        <w:tc>
          <w:tcPr>
            <w:tcW w:w="1478" w:type="dxa"/>
            <w:gridSpan w:val="2"/>
            <w:vAlign w:val="center"/>
          </w:tcPr>
          <w:p w14:paraId="7FA89D70">
            <w:pPr>
              <w:pStyle w:val="33"/>
              <w:jc w:val="center"/>
              <w:rPr>
                <w:rFonts w:ascii="Times New Roman"/>
                <w:color w:val="auto"/>
                <w:highlight w:val="none"/>
              </w:rPr>
            </w:pPr>
          </w:p>
        </w:tc>
        <w:tc>
          <w:tcPr>
            <w:tcW w:w="1059" w:type="dxa"/>
            <w:vAlign w:val="center"/>
          </w:tcPr>
          <w:p w14:paraId="37CFCC86">
            <w:pPr>
              <w:pStyle w:val="33"/>
              <w:jc w:val="center"/>
              <w:rPr>
                <w:color w:val="auto"/>
                <w:highlight w:val="none"/>
              </w:rPr>
            </w:pPr>
            <w:r>
              <w:rPr>
                <w:color w:val="auto"/>
                <w:highlight w:val="none"/>
              </w:rPr>
              <w:t>学历</w:t>
            </w:r>
          </w:p>
        </w:tc>
        <w:tc>
          <w:tcPr>
            <w:tcW w:w="1379" w:type="dxa"/>
          </w:tcPr>
          <w:p w14:paraId="599BB005">
            <w:pPr>
              <w:pStyle w:val="33"/>
              <w:rPr>
                <w:rFonts w:ascii="Times New Roman"/>
                <w:color w:val="auto"/>
                <w:highlight w:val="none"/>
              </w:rPr>
            </w:pPr>
          </w:p>
        </w:tc>
        <w:tc>
          <w:tcPr>
            <w:tcW w:w="2189" w:type="dxa"/>
            <w:gridSpan w:val="2"/>
          </w:tcPr>
          <w:p w14:paraId="15F3A08C">
            <w:pPr>
              <w:pStyle w:val="33"/>
              <w:spacing w:before="172"/>
              <w:rPr>
                <w:color w:val="auto"/>
                <w:highlight w:val="none"/>
              </w:rPr>
            </w:pPr>
            <w:r>
              <w:rPr>
                <w:color w:val="auto"/>
                <w:highlight w:val="none"/>
              </w:rPr>
              <w:t>拟在本标段工程任职</w:t>
            </w:r>
          </w:p>
        </w:tc>
        <w:tc>
          <w:tcPr>
            <w:tcW w:w="1361" w:type="dxa"/>
            <w:gridSpan w:val="2"/>
          </w:tcPr>
          <w:p w14:paraId="2E9F99E8">
            <w:pPr>
              <w:pStyle w:val="33"/>
              <w:rPr>
                <w:rFonts w:ascii="Times New Roman"/>
                <w:color w:val="auto"/>
                <w:highlight w:val="none"/>
              </w:rPr>
            </w:pPr>
          </w:p>
        </w:tc>
      </w:tr>
      <w:tr w14:paraId="4424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1263" w:type="dxa"/>
          </w:tcPr>
          <w:p w14:paraId="65D90800">
            <w:pPr>
              <w:pStyle w:val="33"/>
              <w:spacing w:before="1"/>
              <w:ind w:firstLine="360"/>
              <w:jc w:val="center"/>
              <w:rPr>
                <w:rFonts w:ascii="新宋体"/>
                <w:b/>
                <w:color w:val="auto"/>
                <w:sz w:val="18"/>
                <w:highlight w:val="none"/>
              </w:rPr>
            </w:pPr>
          </w:p>
          <w:p w14:paraId="2DB31594">
            <w:pPr>
              <w:pStyle w:val="33"/>
              <w:spacing w:line="277" w:lineRule="exact"/>
              <w:jc w:val="center"/>
              <w:rPr>
                <w:color w:val="auto"/>
                <w:highlight w:val="none"/>
              </w:rPr>
            </w:pPr>
            <w:r>
              <w:rPr>
                <w:color w:val="auto"/>
                <w:highlight w:val="none"/>
              </w:rPr>
              <w:t>工作年限</w:t>
            </w:r>
          </w:p>
        </w:tc>
        <w:tc>
          <w:tcPr>
            <w:tcW w:w="3916" w:type="dxa"/>
            <w:gridSpan w:val="4"/>
          </w:tcPr>
          <w:p w14:paraId="7D846659">
            <w:pPr>
              <w:pStyle w:val="33"/>
              <w:rPr>
                <w:rFonts w:ascii="Times New Roman"/>
                <w:color w:val="auto"/>
                <w:highlight w:val="none"/>
              </w:rPr>
            </w:pPr>
          </w:p>
        </w:tc>
        <w:tc>
          <w:tcPr>
            <w:tcW w:w="2189" w:type="dxa"/>
            <w:gridSpan w:val="2"/>
          </w:tcPr>
          <w:p w14:paraId="78F352A7">
            <w:pPr>
              <w:pStyle w:val="33"/>
              <w:spacing w:before="1"/>
              <w:ind w:firstLine="360"/>
              <w:rPr>
                <w:rFonts w:ascii="新宋体"/>
                <w:b/>
                <w:color w:val="auto"/>
                <w:sz w:val="18"/>
                <w:highlight w:val="none"/>
              </w:rPr>
            </w:pPr>
          </w:p>
          <w:p w14:paraId="5E19C237">
            <w:pPr>
              <w:pStyle w:val="33"/>
              <w:spacing w:line="277" w:lineRule="exact"/>
              <w:rPr>
                <w:color w:val="auto"/>
                <w:highlight w:val="none"/>
              </w:rPr>
            </w:pPr>
            <w:r>
              <w:rPr>
                <w:color w:val="auto"/>
                <w:highlight w:val="none"/>
              </w:rPr>
              <w:t>类似施工经验年限</w:t>
            </w:r>
          </w:p>
        </w:tc>
        <w:tc>
          <w:tcPr>
            <w:tcW w:w="1361" w:type="dxa"/>
            <w:gridSpan w:val="2"/>
          </w:tcPr>
          <w:p w14:paraId="4FBAF308">
            <w:pPr>
              <w:pStyle w:val="33"/>
              <w:rPr>
                <w:rFonts w:ascii="Times New Roman"/>
                <w:color w:val="auto"/>
                <w:highlight w:val="none"/>
              </w:rPr>
            </w:pPr>
          </w:p>
        </w:tc>
      </w:tr>
      <w:tr w14:paraId="3CC0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263" w:type="dxa"/>
          </w:tcPr>
          <w:p w14:paraId="5497E1E8">
            <w:pPr>
              <w:pStyle w:val="33"/>
              <w:spacing w:before="2"/>
              <w:ind w:firstLine="360"/>
              <w:jc w:val="center"/>
              <w:rPr>
                <w:rFonts w:ascii="新宋体"/>
                <w:b/>
                <w:color w:val="auto"/>
                <w:sz w:val="18"/>
                <w:highlight w:val="none"/>
              </w:rPr>
            </w:pPr>
          </w:p>
          <w:p w14:paraId="4CF13471">
            <w:pPr>
              <w:pStyle w:val="33"/>
              <w:spacing w:line="276" w:lineRule="exact"/>
              <w:jc w:val="center"/>
              <w:rPr>
                <w:color w:val="auto"/>
                <w:highlight w:val="none"/>
              </w:rPr>
            </w:pPr>
            <w:r>
              <w:rPr>
                <w:color w:val="auto"/>
                <w:highlight w:val="none"/>
              </w:rPr>
              <w:t>毕业学校</w:t>
            </w:r>
          </w:p>
        </w:tc>
        <w:tc>
          <w:tcPr>
            <w:tcW w:w="7466" w:type="dxa"/>
            <w:gridSpan w:val="8"/>
          </w:tcPr>
          <w:p w14:paraId="168CDA37">
            <w:pPr>
              <w:pStyle w:val="33"/>
              <w:spacing w:before="2"/>
              <w:ind w:firstLine="360"/>
              <w:rPr>
                <w:rFonts w:ascii="新宋体"/>
                <w:b/>
                <w:color w:val="auto"/>
                <w:sz w:val="18"/>
                <w:highlight w:val="none"/>
              </w:rPr>
            </w:pPr>
          </w:p>
          <w:p w14:paraId="233C3753">
            <w:pPr>
              <w:pStyle w:val="33"/>
              <w:tabs>
                <w:tab w:val="left" w:pos="542"/>
                <w:tab w:val="left" w:pos="3886"/>
                <w:tab w:val="left" w:pos="5529"/>
                <w:tab w:val="left" w:pos="7253"/>
              </w:tabs>
              <w:spacing w:line="276" w:lineRule="exact"/>
              <w:ind w:left="7" w:right="-15" w:firstLine="562"/>
              <w:rPr>
                <w:color w:val="auto"/>
                <w:highlight w:val="none"/>
              </w:rPr>
            </w:pPr>
            <w:r>
              <w:rPr>
                <w:rFonts w:ascii="Times New Roman" w:eastAsia="Times New Roman"/>
                <w:color w:val="auto"/>
                <w:highlight w:val="none"/>
                <w:u w:val="single"/>
              </w:rPr>
              <w:tab/>
            </w:r>
            <w:r>
              <w:rPr>
                <w:color w:val="auto"/>
                <w:highlight w:val="none"/>
              </w:rPr>
              <w:t>年月毕业于</w:t>
            </w:r>
            <w:r>
              <w:rPr>
                <w:rFonts w:ascii="Times New Roman" w:eastAsia="Times New Roman"/>
                <w:color w:val="auto"/>
                <w:highlight w:val="none"/>
                <w:u w:val="single"/>
              </w:rPr>
              <w:tab/>
            </w:r>
            <w:r>
              <w:rPr>
                <w:color w:val="auto"/>
                <w:highlight w:val="none"/>
              </w:rPr>
              <w:t>学校</w:t>
            </w:r>
            <w:r>
              <w:rPr>
                <w:rFonts w:ascii="Times New Roman" w:eastAsia="Times New Roman"/>
                <w:color w:val="auto"/>
                <w:highlight w:val="none"/>
                <w:u w:val="single"/>
              </w:rPr>
              <w:tab/>
            </w:r>
            <w:r>
              <w:rPr>
                <w:color w:val="auto"/>
                <w:highlight w:val="none"/>
              </w:rPr>
              <w:t>专业，学制</w:t>
            </w:r>
            <w:r>
              <w:rPr>
                <w:rFonts w:ascii="Times New Roman" w:eastAsia="Times New Roman"/>
                <w:color w:val="auto"/>
                <w:highlight w:val="none"/>
                <w:u w:val="single"/>
              </w:rPr>
              <w:tab/>
            </w:r>
            <w:r>
              <w:rPr>
                <w:color w:val="auto"/>
                <w:highlight w:val="none"/>
              </w:rPr>
              <w:t>年</w:t>
            </w:r>
          </w:p>
        </w:tc>
      </w:tr>
      <w:tr w14:paraId="29A1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8729" w:type="dxa"/>
            <w:gridSpan w:val="9"/>
          </w:tcPr>
          <w:p w14:paraId="326B4220">
            <w:pPr>
              <w:pStyle w:val="33"/>
              <w:spacing w:before="3"/>
              <w:ind w:firstLine="360"/>
              <w:rPr>
                <w:rFonts w:ascii="新宋体"/>
                <w:b/>
                <w:color w:val="auto"/>
                <w:sz w:val="18"/>
                <w:highlight w:val="none"/>
              </w:rPr>
            </w:pPr>
          </w:p>
          <w:p w14:paraId="5675E79E">
            <w:pPr>
              <w:pStyle w:val="33"/>
              <w:spacing w:line="277" w:lineRule="exact"/>
              <w:ind w:right="99" w:firstLine="562"/>
              <w:jc w:val="center"/>
              <w:rPr>
                <w:rFonts w:ascii="Times New Roman"/>
                <w:color w:val="auto"/>
                <w:highlight w:val="none"/>
              </w:rPr>
            </w:pPr>
            <w:r>
              <w:rPr>
                <w:color w:val="auto"/>
                <w:highlight w:val="none"/>
              </w:rPr>
              <w:t>经历</w:t>
            </w:r>
          </w:p>
        </w:tc>
      </w:tr>
      <w:tr w14:paraId="49FBE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1263" w:type="dxa"/>
            <w:vAlign w:val="center"/>
          </w:tcPr>
          <w:p w14:paraId="0A124CD1">
            <w:pPr>
              <w:pStyle w:val="33"/>
              <w:ind w:firstLine="562"/>
              <w:jc w:val="center"/>
              <w:rPr>
                <w:color w:val="auto"/>
                <w:highlight w:val="none"/>
              </w:rPr>
            </w:pPr>
            <w:r>
              <w:rPr>
                <w:color w:val="auto"/>
                <w:highlight w:val="none"/>
              </w:rPr>
              <w:t>时间</w:t>
            </w:r>
          </w:p>
        </w:tc>
        <w:tc>
          <w:tcPr>
            <w:tcW w:w="4256" w:type="dxa"/>
            <w:gridSpan w:val="5"/>
            <w:vAlign w:val="center"/>
          </w:tcPr>
          <w:p w14:paraId="04B9C50E">
            <w:pPr>
              <w:pStyle w:val="33"/>
              <w:jc w:val="center"/>
              <w:rPr>
                <w:color w:val="auto"/>
                <w:highlight w:val="none"/>
              </w:rPr>
            </w:pPr>
            <w:r>
              <w:rPr>
                <w:color w:val="auto"/>
                <w:highlight w:val="none"/>
              </w:rPr>
              <w:t>参加过的类似工程项目名称</w:t>
            </w:r>
          </w:p>
        </w:tc>
        <w:tc>
          <w:tcPr>
            <w:tcW w:w="1926" w:type="dxa"/>
            <w:gridSpan w:val="2"/>
            <w:vAlign w:val="center"/>
          </w:tcPr>
          <w:p w14:paraId="73729E09">
            <w:pPr>
              <w:pStyle w:val="33"/>
              <w:jc w:val="center"/>
              <w:rPr>
                <w:color w:val="auto"/>
                <w:highlight w:val="none"/>
              </w:rPr>
            </w:pPr>
            <w:r>
              <w:rPr>
                <w:color w:val="auto"/>
                <w:highlight w:val="none"/>
              </w:rPr>
              <w:t>担任职务</w:t>
            </w:r>
          </w:p>
        </w:tc>
        <w:tc>
          <w:tcPr>
            <w:tcW w:w="1284" w:type="dxa"/>
          </w:tcPr>
          <w:p w14:paraId="1D3E6315">
            <w:pPr>
              <w:pStyle w:val="33"/>
              <w:spacing w:before="173"/>
              <w:jc w:val="center"/>
              <w:rPr>
                <w:color w:val="auto"/>
                <w:highlight w:val="none"/>
              </w:rPr>
            </w:pPr>
            <w:r>
              <w:rPr>
                <w:color w:val="auto"/>
                <w:highlight w:val="none"/>
              </w:rPr>
              <w:t>发包人及联系电话</w:t>
            </w:r>
          </w:p>
        </w:tc>
      </w:tr>
      <w:tr w14:paraId="73B1C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63" w:type="dxa"/>
          </w:tcPr>
          <w:p w14:paraId="5A11C613">
            <w:pPr>
              <w:pStyle w:val="33"/>
              <w:ind w:firstLine="562"/>
              <w:rPr>
                <w:rFonts w:ascii="Times New Roman"/>
                <w:color w:val="auto"/>
                <w:highlight w:val="none"/>
              </w:rPr>
            </w:pPr>
          </w:p>
        </w:tc>
        <w:tc>
          <w:tcPr>
            <w:tcW w:w="4256" w:type="dxa"/>
            <w:gridSpan w:val="5"/>
          </w:tcPr>
          <w:p w14:paraId="6FF2D1C8">
            <w:pPr>
              <w:pStyle w:val="33"/>
              <w:rPr>
                <w:rFonts w:ascii="Times New Roman"/>
                <w:color w:val="auto"/>
                <w:highlight w:val="none"/>
              </w:rPr>
            </w:pPr>
          </w:p>
        </w:tc>
        <w:tc>
          <w:tcPr>
            <w:tcW w:w="1926" w:type="dxa"/>
            <w:gridSpan w:val="2"/>
          </w:tcPr>
          <w:p w14:paraId="3D81F959">
            <w:pPr>
              <w:pStyle w:val="33"/>
              <w:rPr>
                <w:rFonts w:ascii="Times New Roman"/>
                <w:color w:val="auto"/>
                <w:highlight w:val="none"/>
              </w:rPr>
            </w:pPr>
          </w:p>
        </w:tc>
        <w:tc>
          <w:tcPr>
            <w:tcW w:w="1284" w:type="dxa"/>
          </w:tcPr>
          <w:p w14:paraId="0C3C768E">
            <w:pPr>
              <w:pStyle w:val="33"/>
              <w:rPr>
                <w:rFonts w:ascii="Times New Roman"/>
                <w:color w:val="auto"/>
                <w:highlight w:val="none"/>
              </w:rPr>
            </w:pPr>
          </w:p>
        </w:tc>
      </w:tr>
      <w:tr w14:paraId="6B00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263" w:type="dxa"/>
          </w:tcPr>
          <w:p w14:paraId="091E00FE">
            <w:pPr>
              <w:pStyle w:val="33"/>
              <w:ind w:firstLine="562"/>
              <w:rPr>
                <w:rFonts w:ascii="Times New Roman"/>
                <w:color w:val="auto"/>
                <w:highlight w:val="none"/>
              </w:rPr>
            </w:pPr>
          </w:p>
        </w:tc>
        <w:tc>
          <w:tcPr>
            <w:tcW w:w="4256" w:type="dxa"/>
            <w:gridSpan w:val="5"/>
          </w:tcPr>
          <w:p w14:paraId="60583C8A">
            <w:pPr>
              <w:pStyle w:val="33"/>
              <w:rPr>
                <w:rFonts w:ascii="Times New Roman"/>
                <w:color w:val="auto"/>
                <w:highlight w:val="none"/>
              </w:rPr>
            </w:pPr>
          </w:p>
        </w:tc>
        <w:tc>
          <w:tcPr>
            <w:tcW w:w="1926" w:type="dxa"/>
            <w:gridSpan w:val="2"/>
          </w:tcPr>
          <w:p w14:paraId="46C8D07B">
            <w:pPr>
              <w:pStyle w:val="33"/>
              <w:rPr>
                <w:rFonts w:ascii="Times New Roman"/>
                <w:color w:val="auto"/>
                <w:highlight w:val="none"/>
              </w:rPr>
            </w:pPr>
          </w:p>
        </w:tc>
        <w:tc>
          <w:tcPr>
            <w:tcW w:w="1284" w:type="dxa"/>
          </w:tcPr>
          <w:p w14:paraId="55BFEF65">
            <w:pPr>
              <w:pStyle w:val="33"/>
              <w:rPr>
                <w:rFonts w:ascii="Times New Roman"/>
                <w:color w:val="auto"/>
                <w:highlight w:val="none"/>
              </w:rPr>
            </w:pPr>
          </w:p>
        </w:tc>
      </w:tr>
      <w:tr w14:paraId="5CEFA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263" w:type="dxa"/>
          </w:tcPr>
          <w:p w14:paraId="1E966AC7">
            <w:pPr>
              <w:pStyle w:val="33"/>
              <w:ind w:firstLine="562"/>
              <w:rPr>
                <w:rFonts w:ascii="Times New Roman"/>
                <w:color w:val="auto"/>
                <w:highlight w:val="none"/>
              </w:rPr>
            </w:pPr>
          </w:p>
        </w:tc>
        <w:tc>
          <w:tcPr>
            <w:tcW w:w="4256" w:type="dxa"/>
            <w:gridSpan w:val="5"/>
          </w:tcPr>
          <w:p w14:paraId="68AF5958">
            <w:pPr>
              <w:pStyle w:val="33"/>
              <w:rPr>
                <w:rFonts w:ascii="Times New Roman"/>
                <w:color w:val="auto"/>
                <w:highlight w:val="none"/>
              </w:rPr>
            </w:pPr>
          </w:p>
        </w:tc>
        <w:tc>
          <w:tcPr>
            <w:tcW w:w="1926" w:type="dxa"/>
            <w:gridSpan w:val="2"/>
          </w:tcPr>
          <w:p w14:paraId="0E32AD44">
            <w:pPr>
              <w:pStyle w:val="33"/>
              <w:rPr>
                <w:rFonts w:ascii="Times New Roman"/>
                <w:color w:val="auto"/>
                <w:highlight w:val="none"/>
              </w:rPr>
            </w:pPr>
          </w:p>
        </w:tc>
        <w:tc>
          <w:tcPr>
            <w:tcW w:w="1284" w:type="dxa"/>
          </w:tcPr>
          <w:p w14:paraId="3457F3EA">
            <w:pPr>
              <w:pStyle w:val="33"/>
              <w:rPr>
                <w:rFonts w:ascii="Times New Roman"/>
                <w:color w:val="auto"/>
                <w:highlight w:val="none"/>
              </w:rPr>
            </w:pPr>
          </w:p>
        </w:tc>
      </w:tr>
      <w:tr w14:paraId="5A83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639" w:type="dxa"/>
            <w:gridSpan w:val="2"/>
            <w:vAlign w:val="center"/>
          </w:tcPr>
          <w:p w14:paraId="49E22D47">
            <w:pPr>
              <w:pStyle w:val="33"/>
              <w:spacing w:line="276" w:lineRule="exact"/>
              <w:ind w:firstLine="562"/>
              <w:jc w:val="center"/>
              <w:rPr>
                <w:color w:val="auto"/>
                <w:highlight w:val="none"/>
              </w:rPr>
            </w:pPr>
            <w:r>
              <w:rPr>
                <w:color w:val="auto"/>
                <w:highlight w:val="none"/>
              </w:rPr>
              <w:t>获奖情况</w:t>
            </w:r>
          </w:p>
        </w:tc>
        <w:tc>
          <w:tcPr>
            <w:tcW w:w="6090" w:type="dxa"/>
            <w:gridSpan w:val="7"/>
          </w:tcPr>
          <w:p w14:paraId="2A0EA988">
            <w:pPr>
              <w:pStyle w:val="33"/>
              <w:rPr>
                <w:rFonts w:ascii="Times New Roman"/>
                <w:color w:val="auto"/>
                <w:highlight w:val="none"/>
              </w:rPr>
            </w:pPr>
          </w:p>
        </w:tc>
      </w:tr>
      <w:tr w14:paraId="34AF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jc w:val="center"/>
        </w:trPr>
        <w:tc>
          <w:tcPr>
            <w:tcW w:w="2639" w:type="dxa"/>
            <w:gridSpan w:val="2"/>
            <w:vAlign w:val="center"/>
          </w:tcPr>
          <w:p w14:paraId="69733706">
            <w:pPr>
              <w:pStyle w:val="33"/>
              <w:ind w:firstLine="560"/>
              <w:jc w:val="center"/>
              <w:rPr>
                <w:rFonts w:ascii="新宋体"/>
                <w:b/>
                <w:color w:val="auto"/>
                <w:highlight w:val="none"/>
              </w:rPr>
            </w:pPr>
          </w:p>
          <w:p w14:paraId="33625164">
            <w:pPr>
              <w:pStyle w:val="33"/>
              <w:jc w:val="center"/>
              <w:rPr>
                <w:color w:val="auto"/>
                <w:highlight w:val="none"/>
              </w:rPr>
            </w:pPr>
            <w:r>
              <w:rPr>
                <w:color w:val="auto"/>
                <w:highlight w:val="none"/>
              </w:rPr>
              <w:t>说明在岗情况</w:t>
            </w:r>
          </w:p>
        </w:tc>
        <w:tc>
          <w:tcPr>
            <w:tcW w:w="6090" w:type="dxa"/>
            <w:gridSpan w:val="7"/>
          </w:tcPr>
          <w:p w14:paraId="2248C201">
            <w:pPr>
              <w:pStyle w:val="33"/>
              <w:numPr>
                <w:ilvl w:val="0"/>
                <w:numId w:val="6"/>
              </w:numPr>
              <w:tabs>
                <w:tab w:val="left" w:pos="423"/>
                <w:tab w:val="left" w:pos="5418"/>
              </w:tabs>
              <w:spacing w:before="140"/>
              <w:ind w:left="423" w:firstLine="562"/>
              <w:rPr>
                <w:color w:val="auto"/>
                <w:highlight w:val="none"/>
              </w:rPr>
            </w:pPr>
            <w:r>
              <w:rPr>
                <w:color w:val="auto"/>
                <w:highlight w:val="none"/>
              </w:rPr>
              <w:t>目前未在其他项目上任职，现从事工作为：</w:t>
            </w:r>
            <w:r>
              <w:rPr>
                <w:rFonts w:ascii="Times New Roman" w:hAnsi="Times New Roman" w:eastAsia="Times New Roman"/>
                <w:color w:val="auto"/>
                <w:highlight w:val="none"/>
                <w:u w:val="single"/>
              </w:rPr>
              <w:tab/>
            </w:r>
            <w:r>
              <w:rPr>
                <w:color w:val="auto"/>
                <w:highlight w:val="none"/>
              </w:rPr>
              <w:t>。</w:t>
            </w:r>
          </w:p>
          <w:p w14:paraId="415E7668">
            <w:pPr>
              <w:pStyle w:val="33"/>
              <w:numPr>
                <w:ilvl w:val="0"/>
                <w:numId w:val="6"/>
              </w:numPr>
              <w:tabs>
                <w:tab w:val="left" w:pos="474"/>
                <w:tab w:val="left" w:pos="3225"/>
                <w:tab w:val="left" w:pos="5346"/>
              </w:tabs>
              <w:spacing w:before="128" w:line="350" w:lineRule="atLeast"/>
              <w:ind w:right="6" w:firstLine="562"/>
              <w:rPr>
                <w:color w:val="auto"/>
                <w:highlight w:val="none"/>
              </w:rPr>
            </w:pPr>
            <w:r>
              <w:rPr>
                <w:color w:val="auto"/>
                <w:highlight w:val="none"/>
              </w:rPr>
              <w:t>目前虽在其他项目上任职，但本项目中标后能够从该项目撤离，目前任职项目：</w:t>
            </w:r>
            <w:r>
              <w:rPr>
                <w:color w:val="auto"/>
                <w:highlight w:val="none"/>
              </w:rPr>
              <w:tab/>
            </w:r>
            <w:r>
              <w:rPr>
                <w:color w:val="auto"/>
                <w:highlight w:val="none"/>
              </w:rPr>
              <w:t>，担任职位：</w:t>
            </w:r>
            <w:r>
              <w:rPr>
                <w:color w:val="auto"/>
                <w:highlight w:val="none"/>
              </w:rPr>
              <w:tab/>
            </w:r>
            <w:r>
              <w:rPr>
                <w:color w:val="auto"/>
                <w:highlight w:val="none"/>
              </w:rPr>
              <w:t>。</w:t>
            </w:r>
          </w:p>
        </w:tc>
      </w:tr>
      <w:tr w14:paraId="68E4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jc w:val="center"/>
        </w:trPr>
        <w:tc>
          <w:tcPr>
            <w:tcW w:w="2639" w:type="dxa"/>
            <w:gridSpan w:val="2"/>
          </w:tcPr>
          <w:p w14:paraId="6A148DB6">
            <w:pPr>
              <w:pStyle w:val="33"/>
              <w:ind w:firstLine="620"/>
              <w:rPr>
                <w:rFonts w:ascii="新宋体"/>
                <w:b/>
                <w:color w:val="auto"/>
                <w:sz w:val="31"/>
                <w:highlight w:val="none"/>
              </w:rPr>
            </w:pPr>
          </w:p>
          <w:p w14:paraId="53290D59">
            <w:pPr>
              <w:pStyle w:val="33"/>
              <w:ind w:right="174" w:firstLine="660" w:firstLineChars="300"/>
              <w:jc w:val="both"/>
              <w:rPr>
                <w:color w:val="auto"/>
                <w:highlight w:val="none"/>
              </w:rPr>
            </w:pPr>
          </w:p>
          <w:p w14:paraId="11E3CF10">
            <w:pPr>
              <w:pStyle w:val="33"/>
              <w:ind w:right="174" w:firstLine="562"/>
              <w:jc w:val="center"/>
              <w:rPr>
                <w:color w:val="auto"/>
                <w:highlight w:val="none"/>
              </w:rPr>
            </w:pPr>
            <w:r>
              <w:rPr>
                <w:color w:val="auto"/>
                <w:highlight w:val="none"/>
              </w:rPr>
              <w:t>备注</w:t>
            </w:r>
          </w:p>
        </w:tc>
        <w:tc>
          <w:tcPr>
            <w:tcW w:w="6090" w:type="dxa"/>
            <w:gridSpan w:val="7"/>
          </w:tcPr>
          <w:p w14:paraId="2C8ED99D">
            <w:pPr>
              <w:pStyle w:val="33"/>
              <w:rPr>
                <w:rFonts w:ascii="Times New Roman"/>
                <w:color w:val="auto"/>
                <w:highlight w:val="none"/>
              </w:rPr>
            </w:pPr>
          </w:p>
        </w:tc>
      </w:tr>
    </w:tbl>
    <w:p w14:paraId="0245E417">
      <w:pPr>
        <w:pStyle w:val="13"/>
        <w:spacing w:before="189"/>
        <w:ind w:firstLine="630" w:firstLineChars="300"/>
        <w:rPr>
          <w:color w:val="auto"/>
          <w:highlight w:val="none"/>
        </w:rPr>
      </w:pPr>
      <w:r>
        <w:rPr>
          <w:color w:val="auto"/>
          <w:highlight w:val="none"/>
        </w:rPr>
        <w:t>注：</w:t>
      </w:r>
      <w:r>
        <w:rPr>
          <w:rFonts w:hint="eastAsia"/>
          <w:color w:val="auto"/>
          <w:highlight w:val="none"/>
        </w:rPr>
        <w:t>1.</w:t>
      </w:r>
      <w:r>
        <w:rPr>
          <w:color w:val="auto"/>
          <w:highlight w:val="none"/>
        </w:rPr>
        <w:t>本表应填写项目经总工关情况，，可以根据项目情况增减表格内容。</w:t>
      </w:r>
    </w:p>
    <w:p w14:paraId="0C7FE791">
      <w:pPr>
        <w:pStyle w:val="13"/>
        <w:spacing w:before="2"/>
        <w:ind w:firstLine="341"/>
        <w:rPr>
          <w:color w:val="auto"/>
          <w:sz w:val="17"/>
          <w:highlight w:val="none"/>
        </w:rPr>
      </w:pPr>
    </w:p>
    <w:p w14:paraId="088BD52A">
      <w:pPr>
        <w:pStyle w:val="32"/>
        <w:tabs>
          <w:tab w:val="left" w:pos="800"/>
        </w:tabs>
        <w:spacing w:line="360" w:lineRule="auto"/>
        <w:ind w:left="480" w:firstLine="210" w:firstLineChars="100"/>
        <w:rPr>
          <w:color w:val="auto"/>
          <w:sz w:val="21"/>
          <w:highlight w:val="none"/>
        </w:rPr>
      </w:pPr>
      <w:r>
        <w:rPr>
          <w:rFonts w:hint="eastAsia"/>
          <w:color w:val="auto"/>
          <w:sz w:val="21"/>
          <w:highlight w:val="none"/>
        </w:rPr>
        <w:t>2.</w:t>
      </w:r>
      <w:r>
        <w:rPr>
          <w:rFonts w:hint="eastAsia"/>
          <w:color w:val="auto"/>
          <w:sz w:val="21"/>
          <w:highlight w:val="none"/>
          <w:lang w:eastAsia="zh-CN"/>
        </w:rPr>
        <w:t>供应商</w:t>
      </w:r>
      <w:r>
        <w:rPr>
          <w:color w:val="auto"/>
          <w:sz w:val="21"/>
          <w:highlight w:val="none"/>
        </w:rPr>
        <w:t>应在本表后附项目总工身份证扫描件、注册证扫描件、职称证扫描件、安全生产考核合格证扫描件及</w:t>
      </w:r>
      <w:r>
        <w:rPr>
          <w:rFonts w:hint="eastAsia"/>
          <w:color w:val="auto"/>
          <w:sz w:val="21"/>
          <w:szCs w:val="21"/>
          <w:highlight w:val="none"/>
          <w:lang w:val="en-US" w:eastAsia="zh-CN"/>
        </w:rPr>
        <w:t>劳动合同</w:t>
      </w:r>
      <w:r>
        <w:rPr>
          <w:color w:val="auto"/>
          <w:sz w:val="21"/>
          <w:highlight w:val="none"/>
        </w:rPr>
        <w:t>、业绩证明</w:t>
      </w:r>
      <w:r>
        <w:rPr>
          <w:rFonts w:hint="eastAsia"/>
          <w:color w:val="auto"/>
          <w:sz w:val="21"/>
          <w:highlight w:val="none"/>
          <w:lang w:eastAsia="zh-CN"/>
        </w:rPr>
        <w:t>（</w:t>
      </w:r>
      <w:r>
        <w:rPr>
          <w:rFonts w:hint="eastAsia"/>
          <w:color w:val="auto"/>
          <w:sz w:val="21"/>
          <w:highlight w:val="none"/>
          <w:lang w:val="en-US" w:eastAsia="zh-CN"/>
        </w:rPr>
        <w:t>如有</w:t>
      </w:r>
      <w:r>
        <w:rPr>
          <w:rFonts w:hint="eastAsia"/>
          <w:color w:val="auto"/>
          <w:sz w:val="21"/>
          <w:highlight w:val="none"/>
          <w:lang w:eastAsia="zh-CN"/>
        </w:rPr>
        <w:t>）</w:t>
      </w:r>
      <w:r>
        <w:rPr>
          <w:color w:val="auto"/>
          <w:sz w:val="21"/>
          <w:highlight w:val="none"/>
        </w:rPr>
        <w:t>等相关证明材</w:t>
      </w:r>
      <w:r>
        <w:rPr>
          <w:rFonts w:hint="eastAsia"/>
          <w:color w:val="auto"/>
          <w:sz w:val="21"/>
          <w:highlight w:val="none"/>
        </w:rPr>
        <w:t>。</w:t>
      </w:r>
    </w:p>
    <w:p w14:paraId="08C9A485">
      <w:pPr>
        <w:rPr>
          <w:rFonts w:hint="eastAsia"/>
          <w:b/>
          <w:color w:val="auto"/>
          <w:sz w:val="32"/>
          <w:highlight w:val="none"/>
        </w:rPr>
      </w:pPr>
      <w:r>
        <w:rPr>
          <w:rFonts w:hint="eastAsia"/>
          <w:b/>
          <w:color w:val="auto"/>
          <w:sz w:val="32"/>
          <w:highlight w:val="none"/>
        </w:rPr>
        <w:br w:type="page"/>
      </w:r>
    </w:p>
    <w:p w14:paraId="56F79D57">
      <w:pPr>
        <w:pStyle w:val="4"/>
        <w:bidi w:val="0"/>
        <w:rPr>
          <w:color w:val="auto"/>
          <w:highlight w:val="none"/>
        </w:rPr>
      </w:pPr>
      <w:r>
        <w:rPr>
          <w:rFonts w:hint="eastAsia"/>
          <w:color w:val="auto"/>
          <w:highlight w:val="none"/>
          <w:lang w:val="en-US" w:eastAsia="zh-CN"/>
        </w:rPr>
        <w:t>8.专职安全员</w:t>
      </w:r>
      <w:r>
        <w:rPr>
          <w:rFonts w:hint="eastAsia"/>
          <w:color w:val="auto"/>
          <w:highlight w:val="none"/>
        </w:rPr>
        <w:t>：符合第三章“采购需求”</w:t>
      </w:r>
      <w:r>
        <w:rPr>
          <w:rFonts w:hint="eastAsia"/>
          <w:color w:val="auto"/>
          <w:highlight w:val="none"/>
          <w:lang w:val="en-US" w:eastAsia="zh-CN"/>
        </w:rPr>
        <w:t>专职安全员</w:t>
      </w:r>
      <w:r>
        <w:rPr>
          <w:rFonts w:hint="eastAsia"/>
          <w:color w:val="auto"/>
          <w:highlight w:val="none"/>
        </w:rPr>
        <w:t>资格要求（必须提供）</w:t>
      </w:r>
    </w:p>
    <w:p w14:paraId="422069F7">
      <w:pPr>
        <w:pStyle w:val="4"/>
        <w:bidi w:val="0"/>
        <w:rPr>
          <w:rFonts w:hint="eastAsia"/>
          <w:color w:val="auto"/>
          <w:highlight w:val="none"/>
          <w:lang w:val="en-US" w:eastAsia="zh-CN"/>
        </w:rPr>
      </w:pPr>
      <w:r>
        <w:rPr>
          <w:rFonts w:hint="eastAsia"/>
          <w:b/>
          <w:color w:val="auto"/>
          <w:highlight w:val="none"/>
        </w:rPr>
        <w:br w:type="page"/>
      </w:r>
      <w:r>
        <w:rPr>
          <w:rFonts w:hint="eastAsia"/>
          <w:color w:val="auto"/>
          <w:highlight w:val="none"/>
          <w:lang w:val="en-US" w:eastAsia="zh-CN"/>
        </w:rPr>
        <w:t>9.项目经理、总工及专职安全员有在建项目任职的，供应商应提供随时撤离承诺书；</w:t>
      </w:r>
    </w:p>
    <w:p w14:paraId="6DF237B0">
      <w:pPr>
        <w:pStyle w:val="56"/>
        <w:jc w:val="center"/>
        <w:outlineLvl w:val="2"/>
        <w:rPr>
          <w:rFonts w:ascii="黑体" w:hAnsi="黑体" w:eastAsia="黑体"/>
          <w:b/>
          <w:color w:val="auto"/>
          <w:sz w:val="30"/>
          <w:szCs w:val="30"/>
          <w:highlight w:val="none"/>
        </w:rPr>
      </w:pPr>
      <w:r>
        <w:rPr>
          <w:rFonts w:hint="eastAsia" w:ascii="微软雅黑" w:hAnsi="微软雅黑" w:eastAsia="微软雅黑" w:cs="Times New Roman"/>
          <w:b w:val="0"/>
          <w:color w:val="auto"/>
          <w:kern w:val="2"/>
          <w:sz w:val="30"/>
          <w:szCs w:val="30"/>
          <w:highlight w:val="none"/>
          <w:lang w:val="en-US" w:eastAsia="zh-CN"/>
        </w:rPr>
        <w:t>9.1</w:t>
      </w:r>
      <w:r>
        <w:rPr>
          <w:rFonts w:hint="eastAsia" w:ascii="微软雅黑" w:hAnsi="微软雅黑" w:eastAsia="微软雅黑" w:cs="Times New Roman"/>
          <w:b w:val="0"/>
          <w:color w:val="auto"/>
          <w:kern w:val="2"/>
          <w:sz w:val="30"/>
          <w:szCs w:val="30"/>
          <w:highlight w:val="none"/>
        </w:rPr>
        <w:t>项目经理、项目总工及专职安全员无在岗任职承诺书</w:t>
      </w:r>
    </w:p>
    <w:p w14:paraId="414922F1">
      <w:pPr>
        <w:pStyle w:val="57"/>
        <w:tabs>
          <w:tab w:val="left" w:pos="1224"/>
        </w:tabs>
        <w:autoSpaceDE w:val="0"/>
        <w:autoSpaceDN w:val="0"/>
        <w:ind w:left="0"/>
        <w:jc w:val="center"/>
        <w:rPr>
          <w:rFonts w:ascii="宋体" w:hAnsi="宋体"/>
          <w:color w:val="auto"/>
          <w:kern w:val="0"/>
          <w:sz w:val="24"/>
          <w:szCs w:val="24"/>
          <w:highlight w:val="none"/>
          <w:lang w:val="zh-CN" w:bidi="zh-CN"/>
        </w:rPr>
      </w:pPr>
      <w:r>
        <w:rPr>
          <w:rFonts w:hint="eastAsia" w:ascii="黑体" w:hAnsi="宋体"/>
          <w:color w:val="auto"/>
          <w:kern w:val="0"/>
          <w:sz w:val="20"/>
          <w:szCs w:val="24"/>
          <w:highlight w:val="none"/>
          <w:lang w:val="zh-CN" w:bidi="zh-CN"/>
        </w:rPr>
        <w:t>（本承诺书适用于项目经理、项目总工、专职安全员未在其他项目上任职情况）</w:t>
      </w:r>
    </w:p>
    <w:p w14:paraId="6D7AA792">
      <w:pPr>
        <w:pStyle w:val="57"/>
        <w:tabs>
          <w:tab w:val="left" w:pos="1224"/>
        </w:tabs>
        <w:autoSpaceDE/>
        <w:autoSpaceDN/>
        <w:spacing w:before="66" w:line="500" w:lineRule="atLeast"/>
        <w:ind w:left="264"/>
        <w:jc w:val="left"/>
        <w:rPr>
          <w:color w:val="auto"/>
          <w:highlight w:val="none"/>
          <w:u w:val="single"/>
        </w:rPr>
      </w:pPr>
      <w:r>
        <w:rPr>
          <w:rFonts w:ascii="宋体" w:hAnsi="宋体"/>
          <w:color w:val="auto"/>
          <w:kern w:val="0"/>
          <w:sz w:val="24"/>
          <w:szCs w:val="24"/>
          <w:highlight w:val="none"/>
          <w:lang w:val="zh-CN" w:bidi="zh-CN"/>
        </w:rPr>
        <w:t>致：</w:t>
      </w:r>
      <w:r>
        <w:rPr>
          <w:rFonts w:ascii="宋体" w:hAnsi="宋体"/>
          <w:color w:val="auto"/>
          <w:kern w:val="0"/>
          <w:sz w:val="24"/>
          <w:szCs w:val="24"/>
          <w:highlight w:val="none"/>
          <w:u w:val="single"/>
          <w:lang w:val="zh-CN" w:bidi="zh-CN"/>
        </w:rPr>
        <w:t>（</w:t>
      </w:r>
      <w:r>
        <w:rPr>
          <w:rFonts w:hint="eastAsia" w:ascii="宋体" w:hAnsi="宋体"/>
          <w:color w:val="auto"/>
          <w:kern w:val="0"/>
          <w:sz w:val="24"/>
          <w:szCs w:val="24"/>
          <w:highlight w:val="none"/>
          <w:u w:val="single"/>
          <w:lang w:val="en-US" w:bidi="zh-CN"/>
        </w:rPr>
        <w:t>采购人</w:t>
      </w:r>
      <w:r>
        <w:rPr>
          <w:rFonts w:ascii="宋体" w:hAnsi="宋体"/>
          <w:color w:val="auto"/>
          <w:kern w:val="0"/>
          <w:sz w:val="24"/>
          <w:szCs w:val="24"/>
          <w:highlight w:val="none"/>
          <w:u w:val="single"/>
          <w:lang w:val="zh-CN" w:bidi="zh-CN"/>
        </w:rPr>
        <w:t>全称）</w:t>
      </w:r>
    </w:p>
    <w:p w14:paraId="638A65D8">
      <w:pPr>
        <w:pStyle w:val="57"/>
        <w:spacing w:line="500" w:lineRule="atLeast"/>
        <w:ind w:firstLine="720" w:firstLineChars="300"/>
        <w:rPr>
          <w:color w:val="auto"/>
          <w:sz w:val="24"/>
          <w:szCs w:val="24"/>
          <w:highlight w:val="none"/>
        </w:rPr>
      </w:pPr>
      <w:r>
        <w:rPr>
          <w:rFonts w:hint="eastAsia"/>
          <w:color w:val="auto"/>
          <w:sz w:val="24"/>
          <w:szCs w:val="24"/>
          <w:highlight w:val="none"/>
        </w:rPr>
        <w:t>我公司参加了</w:t>
      </w:r>
      <w:r>
        <w:rPr>
          <w:rFonts w:ascii="宋体" w:hAnsi="宋体"/>
          <w:color w:val="auto"/>
          <w:kern w:val="0"/>
          <w:sz w:val="24"/>
          <w:szCs w:val="24"/>
          <w:highlight w:val="none"/>
          <w:u w:val="single"/>
          <w:lang w:val="zh-CN" w:bidi="zh-CN"/>
        </w:rPr>
        <w:tab/>
      </w:r>
      <w:r>
        <w:rPr>
          <w:rFonts w:ascii="宋体" w:hAnsi="宋体"/>
          <w:color w:val="auto"/>
          <w:kern w:val="0"/>
          <w:sz w:val="24"/>
          <w:szCs w:val="24"/>
          <w:highlight w:val="none"/>
          <w:u w:val="single"/>
          <w:lang w:val="zh-CN" w:bidi="zh-CN"/>
        </w:rPr>
        <w:t>（项目名称）</w:t>
      </w:r>
      <w:r>
        <w:rPr>
          <w:rFonts w:ascii="宋体" w:hAnsi="宋体"/>
          <w:color w:val="auto"/>
          <w:kern w:val="0"/>
          <w:sz w:val="24"/>
          <w:szCs w:val="24"/>
          <w:highlight w:val="none"/>
          <w:u w:val="single"/>
          <w:lang w:val="zh-CN" w:bidi="zh-CN"/>
        </w:rPr>
        <w:tab/>
      </w:r>
      <w:r>
        <w:rPr>
          <w:rFonts w:hint="eastAsia"/>
          <w:color w:val="auto"/>
          <w:sz w:val="24"/>
          <w:szCs w:val="24"/>
          <w:highlight w:val="none"/>
        </w:rPr>
        <w:t>的</w:t>
      </w:r>
      <w:r>
        <w:rPr>
          <w:rFonts w:hint="eastAsia"/>
          <w:color w:val="auto"/>
          <w:sz w:val="24"/>
          <w:szCs w:val="24"/>
          <w:highlight w:val="none"/>
          <w:lang w:eastAsia="zh-CN"/>
        </w:rPr>
        <w:t>磋商</w:t>
      </w:r>
      <w:r>
        <w:rPr>
          <w:rFonts w:hint="eastAsia"/>
          <w:color w:val="auto"/>
          <w:sz w:val="24"/>
          <w:szCs w:val="24"/>
          <w:highlight w:val="none"/>
        </w:rPr>
        <w:t>，我公司在此承诺:</w:t>
      </w:r>
    </w:p>
    <w:p w14:paraId="2011E2E2">
      <w:pPr>
        <w:pStyle w:val="57"/>
        <w:spacing w:line="500" w:lineRule="atLeast"/>
        <w:ind w:firstLine="720" w:firstLineChars="300"/>
        <w:rPr>
          <w:color w:val="auto"/>
          <w:sz w:val="24"/>
          <w:szCs w:val="24"/>
          <w:highlight w:val="none"/>
        </w:rPr>
      </w:pPr>
      <w:r>
        <w:rPr>
          <w:rFonts w:hint="eastAsia"/>
          <w:color w:val="auto"/>
          <w:sz w:val="24"/>
          <w:szCs w:val="24"/>
          <w:highlight w:val="none"/>
        </w:rPr>
        <w:t xml:space="preserve">一、本项目拟委任的项目经理: </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，系我公司正式职工，目前无担任其他在建工程项目，现在我公司部门上班，如果我公司有幸</w:t>
      </w:r>
      <w:r>
        <w:rPr>
          <w:rFonts w:hint="eastAsia"/>
          <w:color w:val="auto"/>
          <w:sz w:val="24"/>
          <w:szCs w:val="24"/>
          <w:highlight w:val="none"/>
          <w:lang w:eastAsia="zh-CN"/>
        </w:rPr>
        <w:t>成交</w:t>
      </w:r>
      <w:r>
        <w:rPr>
          <w:rFonts w:hint="eastAsia"/>
          <w:color w:val="auto"/>
          <w:sz w:val="24"/>
          <w:szCs w:val="24"/>
          <w:highlight w:val="none"/>
        </w:rPr>
        <w:t>，可以按照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4141BBC0">
      <w:pPr>
        <w:pStyle w:val="57"/>
        <w:spacing w:line="500" w:lineRule="atLeast"/>
        <w:ind w:firstLine="720" w:firstLineChars="300"/>
        <w:rPr>
          <w:color w:val="auto"/>
          <w:sz w:val="24"/>
          <w:szCs w:val="24"/>
          <w:highlight w:val="none"/>
        </w:rPr>
      </w:pPr>
      <w:r>
        <w:rPr>
          <w:rFonts w:hint="eastAsia"/>
          <w:color w:val="auto"/>
          <w:sz w:val="24"/>
          <w:szCs w:val="24"/>
          <w:highlight w:val="none"/>
        </w:rPr>
        <w:t xml:space="preserve">二、本项目拟委任的项目总工: </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系我公司正式职工，目前无担任其他在建工程项目，现在我公司部门上班，如果我公司有幸</w:t>
      </w:r>
      <w:r>
        <w:rPr>
          <w:rFonts w:hint="eastAsia"/>
          <w:color w:val="auto"/>
          <w:sz w:val="24"/>
          <w:szCs w:val="24"/>
          <w:highlight w:val="none"/>
          <w:lang w:eastAsia="zh-CN"/>
        </w:rPr>
        <w:t>成交</w:t>
      </w:r>
      <w:r>
        <w:rPr>
          <w:rFonts w:hint="eastAsia"/>
          <w:color w:val="auto"/>
          <w:sz w:val="24"/>
          <w:szCs w:val="24"/>
          <w:highlight w:val="none"/>
        </w:rPr>
        <w:t>，可以按照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060C9931">
      <w:pPr>
        <w:pStyle w:val="57"/>
        <w:spacing w:line="500" w:lineRule="atLeast"/>
        <w:ind w:firstLine="720" w:firstLineChars="300"/>
        <w:rPr>
          <w:color w:val="auto"/>
          <w:sz w:val="24"/>
          <w:szCs w:val="24"/>
          <w:highlight w:val="none"/>
        </w:rPr>
      </w:pPr>
      <w:r>
        <w:rPr>
          <w:rFonts w:hint="eastAsia"/>
          <w:color w:val="auto"/>
          <w:sz w:val="24"/>
          <w:szCs w:val="24"/>
          <w:highlight w:val="none"/>
        </w:rPr>
        <w:t xml:space="preserve">三、本项目拟委任的专职安全员: </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系我公司正式职工，目前无担任其他在建工程项目，现在我公司部门上班，如果我公司有幸</w:t>
      </w:r>
      <w:r>
        <w:rPr>
          <w:rFonts w:hint="eastAsia"/>
          <w:color w:val="auto"/>
          <w:sz w:val="24"/>
          <w:szCs w:val="24"/>
          <w:highlight w:val="none"/>
          <w:lang w:eastAsia="zh-CN"/>
        </w:rPr>
        <w:t>成交</w:t>
      </w:r>
      <w:r>
        <w:rPr>
          <w:rFonts w:hint="eastAsia"/>
          <w:color w:val="auto"/>
          <w:sz w:val="24"/>
          <w:szCs w:val="24"/>
          <w:highlight w:val="none"/>
        </w:rPr>
        <w:t>，可以按照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42969C9B">
      <w:pPr>
        <w:pStyle w:val="57"/>
        <w:spacing w:line="500" w:lineRule="atLeast"/>
        <w:ind w:firstLine="720" w:firstLineChars="300"/>
        <w:rPr>
          <w:color w:val="auto"/>
          <w:sz w:val="24"/>
          <w:szCs w:val="24"/>
          <w:highlight w:val="none"/>
        </w:rPr>
      </w:pPr>
      <w:r>
        <w:rPr>
          <w:rFonts w:hint="eastAsia"/>
          <w:color w:val="auto"/>
          <w:sz w:val="24"/>
          <w:szCs w:val="24"/>
          <w:highlight w:val="none"/>
        </w:rPr>
        <w:t>四、在本项目实施过程中，我公司积极响应</w:t>
      </w:r>
      <w:r>
        <w:rPr>
          <w:rFonts w:hint="eastAsia"/>
          <w:color w:val="auto"/>
          <w:sz w:val="24"/>
          <w:szCs w:val="24"/>
          <w:highlight w:val="none"/>
          <w:lang w:eastAsia="zh-CN"/>
        </w:rPr>
        <w:t>磋商</w:t>
      </w:r>
      <w:r>
        <w:rPr>
          <w:rFonts w:hint="eastAsia"/>
          <w:color w:val="auto"/>
          <w:sz w:val="24"/>
          <w:szCs w:val="24"/>
          <w:highlight w:val="none"/>
        </w:rPr>
        <w:t>文件中所有条款及履约合同内容，不更换项目经理和项目总工，保证项目经理和项目总工与</w:t>
      </w:r>
      <w:r>
        <w:rPr>
          <w:rFonts w:hint="eastAsia"/>
          <w:color w:val="auto"/>
          <w:sz w:val="24"/>
          <w:szCs w:val="24"/>
          <w:highlight w:val="none"/>
          <w:lang w:eastAsia="zh-CN"/>
        </w:rPr>
        <w:t>磋商</w:t>
      </w:r>
      <w:r>
        <w:rPr>
          <w:rFonts w:hint="eastAsia"/>
          <w:color w:val="auto"/>
          <w:sz w:val="24"/>
          <w:szCs w:val="24"/>
          <w:highlight w:val="none"/>
        </w:rPr>
        <w:t>文件中所记载的一致。</w:t>
      </w:r>
    </w:p>
    <w:p w14:paraId="7E57D25E">
      <w:pPr>
        <w:pStyle w:val="57"/>
        <w:spacing w:line="500" w:lineRule="atLeast"/>
        <w:ind w:firstLine="480" w:firstLineChars="200"/>
        <w:rPr>
          <w:color w:val="auto"/>
          <w:sz w:val="24"/>
          <w:szCs w:val="24"/>
          <w:highlight w:val="none"/>
        </w:rPr>
      </w:pPr>
      <w:r>
        <w:rPr>
          <w:rFonts w:hint="eastAsia"/>
          <w:color w:val="auto"/>
          <w:sz w:val="24"/>
          <w:szCs w:val="24"/>
          <w:highlight w:val="none"/>
        </w:rPr>
        <w:t>如我方违背了上述承诺，本项目</w:t>
      </w:r>
      <w:r>
        <w:rPr>
          <w:rFonts w:hint="eastAsia"/>
          <w:color w:val="auto"/>
          <w:sz w:val="24"/>
          <w:szCs w:val="24"/>
          <w:highlight w:val="none"/>
          <w:lang w:eastAsia="zh-CN"/>
        </w:rPr>
        <w:t>采购人</w:t>
      </w:r>
      <w:r>
        <w:rPr>
          <w:rFonts w:hint="eastAsia"/>
          <w:color w:val="auto"/>
          <w:sz w:val="24"/>
          <w:szCs w:val="24"/>
          <w:highlight w:val="none"/>
        </w:rPr>
        <w:t>有权取消我方的</w:t>
      </w:r>
      <w:r>
        <w:rPr>
          <w:rFonts w:hint="eastAsia"/>
          <w:color w:val="auto"/>
          <w:sz w:val="24"/>
          <w:szCs w:val="24"/>
          <w:highlight w:val="none"/>
          <w:lang w:eastAsia="zh-CN"/>
        </w:rPr>
        <w:t>成交</w:t>
      </w:r>
      <w:r>
        <w:rPr>
          <w:rFonts w:hint="eastAsia"/>
          <w:color w:val="auto"/>
          <w:sz w:val="24"/>
          <w:szCs w:val="24"/>
          <w:highlight w:val="none"/>
        </w:rPr>
        <w:t>资格，并由</w:t>
      </w:r>
      <w:r>
        <w:rPr>
          <w:rFonts w:hint="eastAsia"/>
          <w:color w:val="auto"/>
          <w:sz w:val="24"/>
          <w:szCs w:val="24"/>
          <w:highlight w:val="none"/>
          <w:lang w:eastAsia="zh-CN"/>
        </w:rPr>
        <w:t>采购人</w:t>
      </w:r>
      <w:r>
        <w:rPr>
          <w:rFonts w:hint="eastAsia"/>
          <w:color w:val="auto"/>
          <w:sz w:val="24"/>
          <w:szCs w:val="24"/>
          <w:highlight w:val="none"/>
        </w:rPr>
        <w:t>将我方的违约行为上报省级交通主管部门，作为不良记录纳入公路建设市场信息管理系统。</w:t>
      </w:r>
    </w:p>
    <w:p w14:paraId="30D09C23">
      <w:pPr>
        <w:pStyle w:val="57"/>
        <w:spacing w:line="480" w:lineRule="auto"/>
        <w:ind w:firstLine="2880" w:firstLineChars="1200"/>
        <w:rPr>
          <w:rFonts w:ascii="宋体" w:hAnsi="宋体"/>
          <w:color w:val="auto"/>
          <w:kern w:val="0"/>
          <w:sz w:val="24"/>
          <w:szCs w:val="24"/>
          <w:highlight w:val="none"/>
          <w:lang w:val="zh-CN" w:bidi="zh-CN"/>
        </w:rPr>
      </w:pPr>
    </w:p>
    <w:p w14:paraId="5133366F">
      <w:pPr>
        <w:snapToGrid w:val="0"/>
        <w:spacing w:before="156" w:beforeLines="50" w:line="360" w:lineRule="auto"/>
        <w:ind w:right="480" w:firstLine="0" w:firstLineChars="0"/>
        <w:rPr>
          <w:rFonts w:hint="default"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012FC784">
      <w:pPr>
        <w:snapToGrid w:val="0"/>
        <w:spacing w:before="156" w:beforeLines="50" w:after="0" w:line="360" w:lineRule="auto"/>
        <w:ind w:right="48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lang w:eastAsia="zh-CN"/>
        </w:rPr>
        <w:t>签字（</w:t>
      </w:r>
      <w:r>
        <w:rPr>
          <w:rFonts w:hint="eastAsia" w:ascii="宋体" w:hAnsi="宋体" w:cs="仿宋_GB2312"/>
          <w:color w:val="auto"/>
          <w:sz w:val="21"/>
          <w:szCs w:val="21"/>
          <w:highlight w:val="none"/>
          <w:lang w:eastAsia="zh-CN"/>
        </w:rPr>
        <w:t>或</w:t>
      </w:r>
      <w:r>
        <w:rPr>
          <w:rFonts w:hint="eastAsia" w:ascii="宋体" w:hAnsi="宋体" w:cs="宋体"/>
          <w:color w:val="auto"/>
          <w:sz w:val="21"/>
          <w:szCs w:val="21"/>
          <w:highlight w:val="none"/>
        </w:rPr>
        <w:t>个人CA签章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2DF63504">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55A3F92A">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br w:type="page"/>
      </w:r>
    </w:p>
    <w:p w14:paraId="1B29A75C">
      <w:pPr>
        <w:pStyle w:val="56"/>
        <w:jc w:val="center"/>
        <w:outlineLvl w:val="2"/>
        <w:rPr>
          <w:rFonts w:hint="eastAsia" w:ascii="微软雅黑" w:hAnsi="微软雅黑" w:eastAsia="微软雅黑" w:cs="Times New Roman"/>
          <w:b w:val="0"/>
          <w:color w:val="auto"/>
          <w:kern w:val="2"/>
          <w:sz w:val="30"/>
          <w:szCs w:val="30"/>
          <w:highlight w:val="none"/>
          <w:lang w:val="en-US" w:eastAsia="zh-CN"/>
        </w:rPr>
      </w:pPr>
      <w:r>
        <w:rPr>
          <w:rFonts w:hint="eastAsia" w:ascii="微软雅黑" w:hAnsi="微软雅黑" w:eastAsia="微软雅黑" w:cs="Times New Roman"/>
          <w:b w:val="0"/>
          <w:color w:val="auto"/>
          <w:kern w:val="2"/>
          <w:sz w:val="30"/>
          <w:szCs w:val="30"/>
          <w:highlight w:val="none"/>
          <w:lang w:val="en-US" w:eastAsia="zh-CN"/>
        </w:rPr>
        <w:t>9.2项目经理、项目总工及专职安全员随时撤离（到岗）任职承诺书</w:t>
      </w:r>
    </w:p>
    <w:p w14:paraId="71E4BFAC">
      <w:pPr>
        <w:pStyle w:val="57"/>
        <w:spacing w:line="360" w:lineRule="auto"/>
        <w:jc w:val="center"/>
        <w:rPr>
          <w:color w:val="auto"/>
          <w:szCs w:val="24"/>
          <w:highlight w:val="none"/>
        </w:rPr>
      </w:pPr>
      <w:r>
        <w:rPr>
          <w:rFonts w:hint="eastAsia" w:ascii="黑体" w:hAnsi="宋体"/>
          <w:color w:val="auto"/>
          <w:kern w:val="0"/>
          <w:sz w:val="20"/>
          <w:szCs w:val="24"/>
          <w:highlight w:val="none"/>
          <w:lang w:val="zh-CN" w:bidi="zh-CN"/>
        </w:rPr>
        <w:t>（本承诺书适用于项目经理、项目总工</w:t>
      </w:r>
      <w:r>
        <w:rPr>
          <w:rFonts w:hint="eastAsia" w:ascii="黑体" w:hAnsi="宋体"/>
          <w:color w:val="auto"/>
          <w:kern w:val="0"/>
          <w:sz w:val="20"/>
          <w:szCs w:val="24"/>
          <w:highlight w:val="none"/>
          <w:lang w:bidi="zh-CN"/>
        </w:rPr>
        <w:t>及专职安全员</w:t>
      </w:r>
      <w:r>
        <w:rPr>
          <w:rFonts w:hint="eastAsia" w:ascii="黑体" w:hAnsi="宋体"/>
          <w:color w:val="auto"/>
          <w:kern w:val="0"/>
          <w:sz w:val="20"/>
          <w:szCs w:val="24"/>
          <w:highlight w:val="none"/>
          <w:lang w:val="zh-CN" w:bidi="zh-CN"/>
        </w:rPr>
        <w:t>在其他项目上任职但本项目成交后能够从该项目随时撤离的情况）</w:t>
      </w:r>
    </w:p>
    <w:p w14:paraId="3A4748D5">
      <w:pPr>
        <w:pStyle w:val="57"/>
        <w:tabs>
          <w:tab w:val="left" w:pos="1224"/>
        </w:tabs>
        <w:autoSpaceDE w:val="0"/>
        <w:autoSpaceDN w:val="0"/>
        <w:spacing w:before="66" w:line="500" w:lineRule="atLeast"/>
        <w:ind w:left="264"/>
        <w:jc w:val="left"/>
        <w:rPr>
          <w:color w:val="auto"/>
          <w:sz w:val="24"/>
          <w:szCs w:val="24"/>
          <w:highlight w:val="none"/>
        </w:rPr>
      </w:pPr>
      <w:r>
        <w:rPr>
          <w:rFonts w:ascii="宋体" w:hAnsi="宋体"/>
          <w:color w:val="auto"/>
          <w:kern w:val="0"/>
          <w:sz w:val="24"/>
          <w:szCs w:val="24"/>
          <w:highlight w:val="none"/>
          <w:lang w:val="zh-CN" w:bidi="zh-CN"/>
        </w:rPr>
        <w:t>致：</w:t>
      </w:r>
      <w:r>
        <w:rPr>
          <w:rFonts w:ascii="宋体" w:hAnsi="宋体"/>
          <w:color w:val="auto"/>
          <w:kern w:val="0"/>
          <w:sz w:val="24"/>
          <w:szCs w:val="24"/>
          <w:highlight w:val="none"/>
          <w:u w:val="single"/>
          <w:lang w:val="zh-CN" w:bidi="zh-CN"/>
        </w:rPr>
        <w:t>（</w:t>
      </w:r>
      <w:r>
        <w:rPr>
          <w:rFonts w:hint="eastAsia" w:ascii="宋体" w:hAnsi="宋体"/>
          <w:color w:val="auto"/>
          <w:kern w:val="0"/>
          <w:sz w:val="24"/>
          <w:szCs w:val="24"/>
          <w:highlight w:val="none"/>
          <w:u w:val="single"/>
          <w:lang w:val="zh-CN" w:bidi="zh-CN"/>
        </w:rPr>
        <w:t>采购人</w:t>
      </w:r>
      <w:r>
        <w:rPr>
          <w:rFonts w:ascii="宋体" w:hAnsi="宋体"/>
          <w:color w:val="auto"/>
          <w:kern w:val="0"/>
          <w:sz w:val="24"/>
          <w:szCs w:val="24"/>
          <w:highlight w:val="none"/>
          <w:u w:val="single"/>
          <w:lang w:val="zh-CN" w:bidi="zh-CN"/>
        </w:rPr>
        <w:t>全称）</w:t>
      </w:r>
    </w:p>
    <w:p w14:paraId="3CBDE173">
      <w:pPr>
        <w:pStyle w:val="57"/>
        <w:spacing w:line="500" w:lineRule="atLeast"/>
        <w:ind w:firstLine="720" w:firstLineChars="300"/>
        <w:rPr>
          <w:color w:val="auto"/>
          <w:sz w:val="24"/>
          <w:szCs w:val="24"/>
          <w:highlight w:val="none"/>
        </w:rPr>
      </w:pPr>
      <w:r>
        <w:rPr>
          <w:rFonts w:hint="eastAsia"/>
          <w:color w:val="auto"/>
          <w:sz w:val="24"/>
          <w:szCs w:val="24"/>
          <w:highlight w:val="none"/>
        </w:rPr>
        <w:t>我公司参加了</w:t>
      </w:r>
      <w:r>
        <w:rPr>
          <w:rFonts w:ascii="宋体" w:hAnsi="宋体"/>
          <w:color w:val="auto"/>
          <w:kern w:val="0"/>
          <w:sz w:val="24"/>
          <w:szCs w:val="24"/>
          <w:highlight w:val="none"/>
          <w:u w:val="single"/>
          <w:lang w:val="zh-CN" w:bidi="zh-CN"/>
        </w:rPr>
        <w:t>（项目名称）</w:t>
      </w:r>
      <w:r>
        <w:rPr>
          <w:rFonts w:ascii="宋体" w:hAnsi="宋体"/>
          <w:color w:val="auto"/>
          <w:kern w:val="0"/>
          <w:sz w:val="24"/>
          <w:szCs w:val="24"/>
          <w:highlight w:val="none"/>
          <w:u w:val="single"/>
          <w:lang w:val="zh-CN" w:bidi="zh-CN"/>
        </w:rPr>
        <w:tab/>
      </w:r>
      <w:r>
        <w:rPr>
          <w:rFonts w:hint="eastAsia"/>
          <w:color w:val="auto"/>
          <w:sz w:val="24"/>
          <w:szCs w:val="24"/>
          <w:highlight w:val="none"/>
        </w:rPr>
        <w:t>的</w:t>
      </w:r>
      <w:r>
        <w:rPr>
          <w:rFonts w:hint="eastAsia"/>
          <w:color w:val="auto"/>
          <w:sz w:val="24"/>
          <w:szCs w:val="24"/>
          <w:highlight w:val="none"/>
          <w:lang w:eastAsia="zh-CN"/>
        </w:rPr>
        <w:t>磋商</w:t>
      </w:r>
      <w:r>
        <w:rPr>
          <w:rFonts w:hint="eastAsia"/>
          <w:color w:val="auto"/>
          <w:sz w:val="24"/>
          <w:szCs w:val="24"/>
          <w:highlight w:val="none"/>
        </w:rPr>
        <w:t>，我公司在此承诺:</w:t>
      </w:r>
    </w:p>
    <w:p w14:paraId="1ADB9335">
      <w:pPr>
        <w:pStyle w:val="57"/>
        <w:spacing w:line="500" w:lineRule="atLeast"/>
        <w:ind w:firstLine="720" w:firstLineChars="300"/>
        <w:rPr>
          <w:color w:val="auto"/>
          <w:sz w:val="24"/>
          <w:szCs w:val="24"/>
          <w:highlight w:val="none"/>
        </w:rPr>
      </w:pPr>
      <w:r>
        <w:rPr>
          <w:rFonts w:hint="eastAsia"/>
          <w:color w:val="auto"/>
          <w:sz w:val="24"/>
          <w:szCs w:val="24"/>
          <w:highlight w:val="none"/>
        </w:rPr>
        <w:t xml:space="preserve">一、拟投入本项目的项目经理: </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 xml:space="preserve">，系我公司正式职工，目前任职项目: </w:t>
      </w:r>
      <w:r>
        <w:rPr>
          <w:rFonts w:hint="eastAsia"/>
          <w:color w:val="auto"/>
          <w:sz w:val="24"/>
          <w:szCs w:val="24"/>
          <w:highlight w:val="none"/>
          <w:u w:val="single"/>
        </w:rPr>
        <w:t>（项目名称）</w:t>
      </w:r>
      <w:r>
        <w:rPr>
          <w:rFonts w:hint="eastAsia"/>
          <w:color w:val="auto"/>
          <w:sz w:val="24"/>
          <w:szCs w:val="24"/>
          <w:highlight w:val="none"/>
        </w:rPr>
        <w:t>，担任职位:</w:t>
      </w:r>
      <w:r>
        <w:rPr>
          <w:rFonts w:hint="eastAsia"/>
          <w:color w:val="auto"/>
          <w:sz w:val="24"/>
          <w:szCs w:val="24"/>
          <w:highlight w:val="none"/>
          <w:u w:val="single"/>
          <w:lang w:val="en-US" w:eastAsia="zh-CN"/>
        </w:rPr>
        <w:t xml:space="preserve">             </w:t>
      </w:r>
      <w:r>
        <w:rPr>
          <w:rFonts w:hint="eastAsia"/>
          <w:color w:val="auto"/>
          <w:sz w:val="24"/>
          <w:szCs w:val="24"/>
          <w:highlight w:val="none"/>
        </w:rPr>
        <w:t>，目前虽在其他项目上任职，但本项目</w:t>
      </w:r>
      <w:r>
        <w:rPr>
          <w:rFonts w:hint="eastAsia"/>
          <w:color w:val="auto"/>
          <w:sz w:val="24"/>
          <w:szCs w:val="24"/>
          <w:highlight w:val="none"/>
          <w:lang w:eastAsia="zh-CN"/>
        </w:rPr>
        <w:t>成交</w:t>
      </w:r>
      <w:r>
        <w:rPr>
          <w:rFonts w:hint="eastAsia"/>
          <w:color w:val="auto"/>
          <w:sz w:val="24"/>
          <w:szCs w:val="24"/>
          <w:highlight w:val="none"/>
        </w:rPr>
        <w:t>后能够从该项目随时撤离，可以按照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03838D86">
      <w:pPr>
        <w:pStyle w:val="57"/>
        <w:spacing w:line="500" w:lineRule="atLeast"/>
        <w:ind w:firstLine="720" w:firstLineChars="300"/>
        <w:rPr>
          <w:color w:val="auto"/>
          <w:sz w:val="24"/>
          <w:szCs w:val="24"/>
          <w:highlight w:val="none"/>
        </w:rPr>
      </w:pPr>
      <w:r>
        <w:rPr>
          <w:rFonts w:hint="eastAsia"/>
          <w:color w:val="auto"/>
          <w:sz w:val="24"/>
          <w:szCs w:val="24"/>
          <w:highlight w:val="none"/>
        </w:rPr>
        <w:t>二、拟委任的项目总工：</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，系我公司正式职工，目前任职项目:</w:t>
      </w:r>
      <w:r>
        <w:rPr>
          <w:rFonts w:hint="eastAsia"/>
          <w:color w:val="auto"/>
          <w:sz w:val="24"/>
          <w:szCs w:val="24"/>
          <w:highlight w:val="none"/>
          <w:u w:val="single"/>
        </w:rPr>
        <w:t xml:space="preserve">  （项目名称）</w:t>
      </w:r>
      <w:r>
        <w:rPr>
          <w:rFonts w:hint="eastAsia"/>
          <w:color w:val="auto"/>
          <w:sz w:val="24"/>
          <w:szCs w:val="24"/>
          <w:highlight w:val="none"/>
        </w:rPr>
        <w:t>，担任职位：</w:t>
      </w:r>
      <w:r>
        <w:rPr>
          <w:rFonts w:hint="eastAsia"/>
          <w:color w:val="auto"/>
          <w:sz w:val="24"/>
          <w:szCs w:val="24"/>
          <w:highlight w:val="none"/>
          <w:u w:val="single"/>
          <w:lang w:val="en-US" w:eastAsia="zh-CN"/>
        </w:rPr>
        <w:t xml:space="preserve">               </w:t>
      </w:r>
      <w:r>
        <w:rPr>
          <w:rFonts w:hint="eastAsia"/>
          <w:color w:val="auto"/>
          <w:sz w:val="24"/>
          <w:szCs w:val="24"/>
          <w:highlight w:val="none"/>
        </w:rPr>
        <w:t>，目前虽在其他项目上任职，但本项目</w:t>
      </w:r>
      <w:r>
        <w:rPr>
          <w:rFonts w:hint="eastAsia"/>
          <w:color w:val="auto"/>
          <w:sz w:val="24"/>
          <w:szCs w:val="24"/>
          <w:highlight w:val="none"/>
          <w:lang w:eastAsia="zh-CN"/>
        </w:rPr>
        <w:t>成交</w:t>
      </w:r>
      <w:r>
        <w:rPr>
          <w:rFonts w:hint="eastAsia"/>
          <w:color w:val="auto"/>
          <w:sz w:val="24"/>
          <w:szCs w:val="24"/>
          <w:highlight w:val="none"/>
        </w:rPr>
        <w:t>后能够从该项目随时撤离，可以按照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15BE62E0">
      <w:pPr>
        <w:pStyle w:val="57"/>
        <w:spacing w:line="500" w:lineRule="atLeast"/>
        <w:ind w:firstLine="720" w:firstLineChars="300"/>
        <w:rPr>
          <w:color w:val="auto"/>
          <w:sz w:val="24"/>
          <w:szCs w:val="24"/>
          <w:highlight w:val="none"/>
        </w:rPr>
      </w:pPr>
      <w:r>
        <w:rPr>
          <w:rFonts w:hint="eastAsia"/>
          <w:color w:val="auto"/>
          <w:sz w:val="24"/>
          <w:szCs w:val="24"/>
          <w:highlight w:val="none"/>
        </w:rPr>
        <w:t>三、拟委任的项目专职安全员：</w:t>
      </w:r>
      <w:r>
        <w:rPr>
          <w:rFonts w:hint="eastAsia"/>
          <w:color w:val="auto"/>
          <w:sz w:val="24"/>
          <w:szCs w:val="24"/>
          <w:highlight w:val="none"/>
          <w:u w:val="single"/>
        </w:rPr>
        <w:t xml:space="preserve">   （</w:t>
      </w:r>
      <w:r>
        <w:rPr>
          <w:rFonts w:hint="eastAsia"/>
          <w:color w:val="auto"/>
          <w:sz w:val="24"/>
          <w:szCs w:val="24"/>
          <w:highlight w:val="none"/>
          <w:u w:val="single"/>
          <w:lang w:eastAsia="zh-CN"/>
        </w:rPr>
        <w:t>姓名，</w:t>
      </w:r>
      <w:r>
        <w:rPr>
          <w:rFonts w:hint="eastAsia"/>
          <w:color w:val="auto"/>
          <w:sz w:val="24"/>
          <w:szCs w:val="24"/>
          <w:highlight w:val="none"/>
          <w:u w:val="single"/>
        </w:rPr>
        <w:t>身份证号码）</w:t>
      </w:r>
      <w:r>
        <w:rPr>
          <w:rFonts w:hint="eastAsia"/>
          <w:color w:val="auto"/>
          <w:sz w:val="24"/>
          <w:szCs w:val="24"/>
          <w:highlight w:val="none"/>
        </w:rPr>
        <w:t>，系我公司正式职工，目前任职项目:</w:t>
      </w:r>
      <w:r>
        <w:rPr>
          <w:rFonts w:hint="eastAsia"/>
          <w:color w:val="auto"/>
          <w:sz w:val="24"/>
          <w:szCs w:val="24"/>
          <w:highlight w:val="none"/>
          <w:u w:val="single"/>
        </w:rPr>
        <w:t xml:space="preserve">  （项目名称）</w:t>
      </w:r>
      <w:r>
        <w:rPr>
          <w:rFonts w:hint="eastAsia"/>
          <w:color w:val="auto"/>
          <w:sz w:val="24"/>
          <w:szCs w:val="24"/>
          <w:highlight w:val="none"/>
        </w:rPr>
        <w:t>，担任职位：</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，目前虽在其他项目上任职，但本项目</w:t>
      </w:r>
      <w:r>
        <w:rPr>
          <w:rFonts w:hint="eastAsia"/>
          <w:color w:val="auto"/>
          <w:sz w:val="24"/>
          <w:szCs w:val="24"/>
          <w:highlight w:val="none"/>
          <w:lang w:eastAsia="zh-CN"/>
        </w:rPr>
        <w:t>成交</w:t>
      </w:r>
      <w:r>
        <w:rPr>
          <w:rFonts w:hint="eastAsia"/>
          <w:color w:val="auto"/>
          <w:sz w:val="24"/>
          <w:szCs w:val="24"/>
          <w:highlight w:val="none"/>
        </w:rPr>
        <w:t>后能够从该项目随时撤离，可以按照</w:t>
      </w:r>
      <w:r>
        <w:rPr>
          <w:rFonts w:hint="eastAsia"/>
          <w:color w:val="auto"/>
          <w:sz w:val="24"/>
          <w:szCs w:val="24"/>
          <w:highlight w:val="none"/>
          <w:lang w:eastAsia="zh-CN"/>
        </w:rPr>
        <w:t>竞争性磋商文件</w:t>
      </w:r>
      <w:r>
        <w:rPr>
          <w:rFonts w:hint="eastAsia"/>
          <w:color w:val="auto"/>
          <w:sz w:val="24"/>
          <w:szCs w:val="24"/>
          <w:highlight w:val="none"/>
        </w:rPr>
        <w:t>要求进驻本工程。</w:t>
      </w:r>
    </w:p>
    <w:p w14:paraId="410696C9">
      <w:pPr>
        <w:pStyle w:val="57"/>
        <w:spacing w:line="500" w:lineRule="atLeast"/>
        <w:ind w:firstLine="720" w:firstLineChars="300"/>
        <w:rPr>
          <w:color w:val="auto"/>
          <w:sz w:val="24"/>
          <w:szCs w:val="24"/>
          <w:highlight w:val="none"/>
        </w:rPr>
      </w:pPr>
      <w:r>
        <w:rPr>
          <w:rFonts w:hint="eastAsia"/>
          <w:color w:val="auto"/>
          <w:sz w:val="24"/>
          <w:szCs w:val="24"/>
          <w:highlight w:val="none"/>
        </w:rPr>
        <w:t>四、在本项目实施过程中，我公司积极响应</w:t>
      </w:r>
      <w:r>
        <w:rPr>
          <w:rFonts w:hint="eastAsia"/>
          <w:color w:val="auto"/>
          <w:sz w:val="24"/>
          <w:szCs w:val="24"/>
          <w:highlight w:val="none"/>
          <w:lang w:eastAsia="zh-CN"/>
        </w:rPr>
        <w:t>磋商</w:t>
      </w:r>
      <w:r>
        <w:rPr>
          <w:rFonts w:hint="eastAsia"/>
          <w:color w:val="auto"/>
          <w:sz w:val="24"/>
          <w:szCs w:val="24"/>
          <w:highlight w:val="none"/>
        </w:rPr>
        <w:t>文件中所有条款及履约合同内容，不更换项目经理和项目总工，保证项目经理和项目总工与</w:t>
      </w:r>
      <w:r>
        <w:rPr>
          <w:rFonts w:hint="eastAsia"/>
          <w:color w:val="auto"/>
          <w:sz w:val="24"/>
          <w:szCs w:val="24"/>
          <w:highlight w:val="none"/>
          <w:lang w:eastAsia="zh-CN"/>
        </w:rPr>
        <w:t>磋商</w:t>
      </w:r>
      <w:r>
        <w:rPr>
          <w:rFonts w:hint="eastAsia"/>
          <w:color w:val="auto"/>
          <w:sz w:val="24"/>
          <w:szCs w:val="24"/>
          <w:highlight w:val="none"/>
        </w:rPr>
        <w:t>文件中所记载的一致。</w:t>
      </w:r>
    </w:p>
    <w:p w14:paraId="029A1B5D">
      <w:pPr>
        <w:pStyle w:val="57"/>
        <w:spacing w:line="500" w:lineRule="atLeast"/>
        <w:ind w:firstLine="720" w:firstLineChars="300"/>
        <w:rPr>
          <w:color w:val="auto"/>
          <w:sz w:val="24"/>
          <w:szCs w:val="24"/>
          <w:highlight w:val="none"/>
        </w:rPr>
      </w:pPr>
      <w:r>
        <w:rPr>
          <w:rFonts w:hint="eastAsia"/>
          <w:color w:val="auto"/>
          <w:sz w:val="24"/>
          <w:szCs w:val="24"/>
          <w:highlight w:val="none"/>
        </w:rPr>
        <w:t>如我方违背了上述承诺，本项目</w:t>
      </w:r>
      <w:r>
        <w:rPr>
          <w:rFonts w:hint="eastAsia"/>
          <w:color w:val="auto"/>
          <w:sz w:val="24"/>
          <w:szCs w:val="24"/>
          <w:highlight w:val="none"/>
          <w:lang w:eastAsia="zh-CN"/>
        </w:rPr>
        <w:t>采购人</w:t>
      </w:r>
      <w:r>
        <w:rPr>
          <w:rFonts w:hint="eastAsia"/>
          <w:color w:val="auto"/>
          <w:sz w:val="24"/>
          <w:szCs w:val="24"/>
          <w:highlight w:val="none"/>
        </w:rPr>
        <w:t>有权取消我方的</w:t>
      </w:r>
      <w:r>
        <w:rPr>
          <w:rFonts w:hint="eastAsia"/>
          <w:color w:val="auto"/>
          <w:sz w:val="24"/>
          <w:szCs w:val="24"/>
          <w:highlight w:val="none"/>
          <w:lang w:eastAsia="zh-CN"/>
        </w:rPr>
        <w:t>成交</w:t>
      </w:r>
      <w:r>
        <w:rPr>
          <w:rFonts w:hint="eastAsia"/>
          <w:color w:val="auto"/>
          <w:sz w:val="24"/>
          <w:szCs w:val="24"/>
          <w:highlight w:val="none"/>
        </w:rPr>
        <w:t>资格，并由</w:t>
      </w:r>
      <w:r>
        <w:rPr>
          <w:rFonts w:hint="eastAsia"/>
          <w:color w:val="auto"/>
          <w:sz w:val="24"/>
          <w:szCs w:val="24"/>
          <w:highlight w:val="none"/>
          <w:lang w:eastAsia="zh-CN"/>
        </w:rPr>
        <w:t>采购人</w:t>
      </w:r>
      <w:r>
        <w:rPr>
          <w:rFonts w:hint="eastAsia"/>
          <w:color w:val="auto"/>
          <w:sz w:val="24"/>
          <w:szCs w:val="24"/>
          <w:highlight w:val="none"/>
        </w:rPr>
        <w:t>将我方的违约行为上报省级交通主管部门，作为不良记录纳入公路建设市场信息管理系统。</w:t>
      </w:r>
    </w:p>
    <w:p w14:paraId="2441B3E6">
      <w:pPr>
        <w:pStyle w:val="57"/>
        <w:spacing w:line="500" w:lineRule="atLeast"/>
        <w:ind w:firstLine="2880" w:firstLineChars="1200"/>
        <w:rPr>
          <w:rFonts w:ascii="宋体" w:hAnsi="宋体"/>
          <w:color w:val="auto"/>
          <w:kern w:val="0"/>
          <w:sz w:val="24"/>
          <w:szCs w:val="24"/>
          <w:highlight w:val="none"/>
          <w:lang w:val="zh-CN" w:bidi="zh-CN"/>
        </w:rPr>
      </w:pPr>
    </w:p>
    <w:p w14:paraId="4714490A">
      <w:pPr>
        <w:snapToGrid w:val="0"/>
        <w:spacing w:before="156" w:beforeLines="50" w:line="360" w:lineRule="auto"/>
        <w:ind w:right="480" w:firstLine="0" w:firstLineChars="0"/>
        <w:rPr>
          <w:rFonts w:hint="default"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00D02226">
      <w:pPr>
        <w:snapToGrid w:val="0"/>
        <w:spacing w:before="156" w:beforeLines="50" w:after="0" w:line="360" w:lineRule="auto"/>
        <w:ind w:right="48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lang w:eastAsia="zh-CN"/>
        </w:rPr>
        <w:t>签字（</w:t>
      </w:r>
      <w:r>
        <w:rPr>
          <w:rFonts w:hint="eastAsia" w:ascii="宋体" w:hAnsi="宋体" w:cs="仿宋_GB2312"/>
          <w:color w:val="auto"/>
          <w:sz w:val="21"/>
          <w:szCs w:val="21"/>
          <w:highlight w:val="none"/>
          <w:lang w:eastAsia="zh-CN"/>
        </w:rPr>
        <w:t>或</w:t>
      </w:r>
      <w:r>
        <w:rPr>
          <w:rFonts w:hint="eastAsia" w:ascii="宋体" w:hAnsi="宋体" w:cs="宋体"/>
          <w:color w:val="auto"/>
          <w:sz w:val="21"/>
          <w:szCs w:val="21"/>
          <w:highlight w:val="none"/>
        </w:rPr>
        <w:t>个人CA签章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55E6DEB9">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37AF4725">
      <w:pPr>
        <w:rPr>
          <w:rFonts w:hint="eastAsia"/>
          <w:b/>
          <w:color w:val="auto"/>
          <w:sz w:val="32"/>
          <w:highlight w:val="none"/>
        </w:rPr>
      </w:pPr>
      <w:r>
        <w:rPr>
          <w:rFonts w:hint="eastAsia"/>
          <w:b/>
          <w:color w:val="auto"/>
          <w:sz w:val="32"/>
          <w:highlight w:val="none"/>
        </w:rPr>
        <w:br w:type="page"/>
      </w:r>
    </w:p>
    <w:p w14:paraId="25AFA2D1">
      <w:pPr>
        <w:pStyle w:val="13"/>
        <w:rPr>
          <w:rFonts w:hint="eastAsia"/>
          <w:color w:val="auto"/>
          <w:highlight w:val="none"/>
        </w:rPr>
      </w:pPr>
    </w:p>
    <w:p w14:paraId="10DED269">
      <w:pPr>
        <w:pStyle w:val="4"/>
        <w:bidi w:val="0"/>
        <w:rPr>
          <w:color w:val="auto"/>
          <w:highlight w:val="none"/>
        </w:rPr>
      </w:pPr>
      <w:r>
        <w:rPr>
          <w:rFonts w:hint="eastAsia"/>
          <w:color w:val="auto"/>
          <w:highlight w:val="none"/>
          <w:lang w:val="en-US" w:eastAsia="zh-CN"/>
        </w:rPr>
        <w:t>10</w:t>
      </w:r>
      <w:r>
        <w:rPr>
          <w:rFonts w:hint="eastAsia"/>
          <w:color w:val="auto"/>
          <w:highlight w:val="none"/>
        </w:rPr>
        <w:t>.供应商参加政府采购活动前3年内在经营活动中没有重大违法记录及有关信用信息的书面声明（必须提供）</w:t>
      </w:r>
    </w:p>
    <w:p w14:paraId="08D2D2B7">
      <w:pPr>
        <w:pStyle w:val="32"/>
        <w:tabs>
          <w:tab w:val="left" w:pos="800"/>
        </w:tabs>
        <w:ind w:left="480" w:firstLine="600"/>
        <w:rPr>
          <w:b/>
          <w:color w:val="auto"/>
          <w:sz w:val="30"/>
          <w:highlight w:val="none"/>
        </w:rPr>
      </w:pPr>
    </w:p>
    <w:p w14:paraId="0388352D">
      <w:pPr>
        <w:spacing w:before="54"/>
        <w:ind w:firstLine="640"/>
        <w:rPr>
          <w:b/>
          <w:color w:val="auto"/>
          <w:sz w:val="32"/>
          <w:highlight w:val="none"/>
        </w:rPr>
      </w:pPr>
    </w:p>
    <w:p w14:paraId="051B67A2">
      <w:pPr>
        <w:spacing w:before="54"/>
        <w:ind w:firstLine="640"/>
        <w:rPr>
          <w:color w:val="auto"/>
          <w:sz w:val="35"/>
          <w:highlight w:val="none"/>
        </w:rPr>
      </w:pPr>
      <w:r>
        <w:rPr>
          <w:b/>
          <w:color w:val="auto"/>
          <w:sz w:val="32"/>
          <w:highlight w:val="none"/>
        </w:rPr>
        <w:t>附件：</w:t>
      </w:r>
    </w:p>
    <w:p w14:paraId="2C0BF865">
      <w:pPr>
        <w:tabs>
          <w:tab w:val="left" w:pos="1133"/>
        </w:tabs>
        <w:spacing w:before="1"/>
        <w:ind w:left="329" w:firstLine="640"/>
        <w:jc w:val="center"/>
        <w:rPr>
          <w:b/>
          <w:color w:val="auto"/>
          <w:sz w:val="26"/>
          <w:highlight w:val="none"/>
        </w:rPr>
      </w:pPr>
      <w:r>
        <w:rPr>
          <w:b/>
          <w:color w:val="auto"/>
          <w:sz w:val="32"/>
          <w:highlight w:val="none"/>
        </w:rPr>
        <w:t>声</w:t>
      </w:r>
      <w:r>
        <w:rPr>
          <w:b/>
          <w:color w:val="auto"/>
          <w:sz w:val="32"/>
          <w:highlight w:val="none"/>
        </w:rPr>
        <w:tab/>
      </w:r>
      <w:r>
        <w:rPr>
          <w:b/>
          <w:color w:val="auto"/>
          <w:sz w:val="32"/>
          <w:highlight w:val="none"/>
        </w:rPr>
        <w:t>明（格式）</w:t>
      </w:r>
    </w:p>
    <w:p w14:paraId="084C4299">
      <w:pPr>
        <w:pStyle w:val="13"/>
        <w:spacing w:before="113"/>
        <w:ind w:left="480" w:firstLine="420"/>
        <w:rPr>
          <w:rFonts w:hint="eastAsia" w:eastAsia="宋体"/>
          <w:color w:val="auto"/>
          <w:highlight w:val="none"/>
          <w:lang w:eastAsia="zh-CN"/>
        </w:rPr>
      </w:pPr>
      <w:r>
        <w:rPr>
          <w:rFonts w:hint="eastAsia"/>
          <w:b/>
          <w:color w:val="auto"/>
          <w:highlight w:val="none"/>
          <w:lang w:eastAsia="zh-CN"/>
        </w:rPr>
        <w:t>致：广西壮族自治区恭城公路养护中心</w:t>
      </w:r>
    </w:p>
    <w:p w14:paraId="372EF4F1">
      <w:pPr>
        <w:pStyle w:val="13"/>
        <w:ind w:firstLine="520"/>
        <w:rPr>
          <w:b/>
          <w:color w:val="auto"/>
          <w:sz w:val="26"/>
          <w:highlight w:val="none"/>
        </w:rPr>
      </w:pPr>
    </w:p>
    <w:p w14:paraId="7E321EC3">
      <w:pPr>
        <w:pStyle w:val="13"/>
        <w:spacing w:before="70" w:line="357" w:lineRule="auto"/>
        <w:ind w:left="480" w:right="796" w:firstLine="422"/>
        <w:jc w:val="both"/>
        <w:rPr>
          <w:color w:val="auto"/>
          <w:highlight w:val="none"/>
        </w:rPr>
      </w:pPr>
      <w:r>
        <w:rPr>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AA7C40C">
      <w:pPr>
        <w:snapToGrid w:val="0"/>
        <w:spacing w:before="156" w:beforeLines="50" w:line="360" w:lineRule="auto"/>
        <w:ind w:right="480" w:firstLine="0" w:firstLineChars="0"/>
        <w:rPr>
          <w:rFonts w:hint="eastAsia" w:ascii="宋体" w:hAnsi="宋体" w:eastAsia="宋体" w:cs="宋体"/>
          <w:color w:val="auto"/>
          <w:sz w:val="21"/>
          <w:szCs w:val="21"/>
          <w:highlight w:val="none"/>
          <w:lang w:val="en-US" w:eastAsia="zh-CN"/>
        </w:rPr>
      </w:pPr>
    </w:p>
    <w:p w14:paraId="44C5596F">
      <w:pPr>
        <w:snapToGrid w:val="0"/>
        <w:spacing w:before="156" w:beforeLines="50" w:line="360" w:lineRule="auto"/>
        <w:ind w:right="480" w:firstLine="0" w:firstLineChars="0"/>
        <w:rPr>
          <w:rFonts w:hint="default"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0DD0D57A">
      <w:pPr>
        <w:snapToGrid w:val="0"/>
        <w:spacing w:before="156" w:beforeLines="50" w:after="0" w:line="360" w:lineRule="auto"/>
        <w:ind w:right="48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lang w:eastAsia="zh-CN"/>
        </w:rPr>
        <w:t>签字（</w:t>
      </w:r>
      <w:r>
        <w:rPr>
          <w:rFonts w:hint="eastAsia" w:ascii="宋体" w:hAnsi="宋体" w:cs="仿宋_GB2312"/>
          <w:color w:val="auto"/>
          <w:sz w:val="21"/>
          <w:szCs w:val="21"/>
          <w:highlight w:val="none"/>
          <w:lang w:eastAsia="zh-CN"/>
        </w:rPr>
        <w:t>或</w:t>
      </w:r>
      <w:r>
        <w:rPr>
          <w:rFonts w:hint="eastAsia" w:ascii="宋体" w:hAnsi="宋体" w:cs="宋体"/>
          <w:color w:val="auto"/>
          <w:sz w:val="21"/>
          <w:szCs w:val="21"/>
          <w:highlight w:val="none"/>
        </w:rPr>
        <w:t>个人CA签章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1F96AF1E">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27F3E875">
      <w:pPr>
        <w:pStyle w:val="13"/>
        <w:ind w:firstLine="402"/>
        <w:rPr>
          <w:color w:val="auto"/>
          <w:sz w:val="20"/>
          <w:highlight w:val="none"/>
        </w:rPr>
      </w:pPr>
    </w:p>
    <w:p w14:paraId="43EBD917">
      <w:pPr>
        <w:pStyle w:val="13"/>
        <w:ind w:firstLine="402"/>
        <w:rPr>
          <w:color w:val="auto"/>
          <w:sz w:val="20"/>
          <w:highlight w:val="none"/>
        </w:rPr>
      </w:pPr>
    </w:p>
    <w:p w14:paraId="5CAB9806">
      <w:pPr>
        <w:pStyle w:val="13"/>
        <w:ind w:firstLine="402"/>
        <w:rPr>
          <w:color w:val="auto"/>
          <w:sz w:val="20"/>
          <w:highlight w:val="none"/>
        </w:rPr>
      </w:pPr>
    </w:p>
    <w:p w14:paraId="73EE547C">
      <w:pPr>
        <w:pStyle w:val="13"/>
        <w:ind w:firstLine="402"/>
        <w:rPr>
          <w:color w:val="auto"/>
          <w:sz w:val="20"/>
          <w:highlight w:val="none"/>
        </w:rPr>
      </w:pPr>
    </w:p>
    <w:p w14:paraId="1E65FB4F">
      <w:pPr>
        <w:pStyle w:val="13"/>
        <w:spacing w:before="7"/>
        <w:ind w:firstLine="361"/>
        <w:rPr>
          <w:color w:val="auto"/>
          <w:sz w:val="18"/>
          <w:highlight w:val="none"/>
        </w:rPr>
      </w:pPr>
    </w:p>
    <w:p w14:paraId="0D59F7C3">
      <w:pPr>
        <w:bidi w:val="0"/>
        <w:rPr>
          <w:color w:val="auto"/>
          <w:highlight w:val="none"/>
        </w:rPr>
      </w:pPr>
      <w:r>
        <w:rPr>
          <w:color w:val="auto"/>
          <w:highlight w:val="none"/>
        </w:rPr>
        <w:t>注：供应商参加政府采购活动前3年内在经营活动中没有重大违法记录及有关信用信息的书面声明须由法定代表人(负责人、自然人)或相应的委托代理人签字（或个人CA证书签章）并加盖供应商公章（CA证书签章）。</w:t>
      </w:r>
    </w:p>
    <w:p w14:paraId="28B43D2A">
      <w:pPr>
        <w:pStyle w:val="13"/>
        <w:spacing w:before="3"/>
        <w:ind w:firstLine="380"/>
        <w:rPr>
          <w:b/>
          <w:color w:val="auto"/>
          <w:sz w:val="19"/>
          <w:highlight w:val="none"/>
        </w:rPr>
      </w:pPr>
    </w:p>
    <w:p w14:paraId="1591F942">
      <w:pPr>
        <w:rPr>
          <w:rFonts w:ascii="微软雅黑" w:hAnsi="微软雅黑" w:eastAsia="微软雅黑" w:cs="微软雅黑"/>
          <w:color w:val="auto"/>
          <w:highlight w:val="none"/>
        </w:rPr>
      </w:pPr>
      <w:r>
        <w:rPr>
          <w:rFonts w:ascii="微软雅黑" w:hAnsi="微软雅黑" w:eastAsia="微软雅黑" w:cs="微软雅黑"/>
          <w:color w:val="auto"/>
          <w:highlight w:val="none"/>
        </w:rPr>
        <w:br w:type="page"/>
      </w:r>
    </w:p>
    <w:p w14:paraId="1F7A806D">
      <w:pPr>
        <w:pStyle w:val="4"/>
        <w:keepNext w:val="0"/>
        <w:keepLines w:val="0"/>
        <w:pageBreakBefore w:val="0"/>
        <w:widowControl w:val="0"/>
        <w:kinsoku/>
        <w:wordWrap/>
        <w:overflowPunct/>
        <w:topLinePunct w:val="0"/>
        <w:autoSpaceDE w:val="0"/>
        <w:autoSpaceDN w:val="0"/>
        <w:bidi w:val="0"/>
        <w:adjustRightInd/>
        <w:snapToGrid/>
        <w:spacing w:before="0" w:line="360" w:lineRule="auto"/>
        <w:ind w:right="0" w:firstLine="602" w:firstLineChars="200"/>
        <w:textAlignment w:val="auto"/>
        <w:rPr>
          <w:rFonts w:hint="eastAsia"/>
          <w:color w:val="auto"/>
          <w:highlight w:val="none"/>
        </w:rPr>
      </w:pPr>
      <w:r>
        <w:rPr>
          <w:rFonts w:hint="eastAsia"/>
          <w:color w:val="auto"/>
          <w:highlight w:val="none"/>
          <w:lang w:val="en-US" w:eastAsia="zh-CN"/>
        </w:rPr>
        <w:t>11.</w:t>
      </w:r>
      <w:r>
        <w:rPr>
          <w:rFonts w:hint="eastAsia"/>
          <w:color w:val="auto"/>
          <w:highlight w:val="none"/>
        </w:rPr>
        <w:t>供应商2022-2024年度以来财务审计报告和财务报表扫描件（新成立企业、新晋升为一般纳税人企业以及小规模纳税人可提供上年度纳税信用评级证书、当年度动态信用等级证明或公告开始之日上月末的无欠税证明)</w:t>
      </w:r>
    </w:p>
    <w:p w14:paraId="418C501F">
      <w:pPr>
        <w:snapToGrid w:val="0"/>
        <w:spacing w:line="360" w:lineRule="auto"/>
        <w:ind w:firstLine="440" w:firstLineChars="200"/>
        <w:jc w:val="left"/>
        <w:rPr>
          <w:rFonts w:hint="eastAsia" w:ascii="宋体" w:hAnsi="宋体" w:eastAsia="宋体" w:cs="宋体"/>
          <w:color w:val="auto"/>
          <w:szCs w:val="21"/>
          <w:highlight w:val="none"/>
        </w:rPr>
      </w:pPr>
    </w:p>
    <w:p w14:paraId="1F3D99D1">
      <w:pPr>
        <w:bidi w:val="0"/>
        <w:rPr>
          <w:rFonts w:hint="eastAsia"/>
          <w:color w:val="auto"/>
          <w:highlight w:val="none"/>
          <w:lang w:val="en-US" w:eastAsia="zh-CN"/>
        </w:rPr>
      </w:pPr>
    </w:p>
    <w:p w14:paraId="3C204E65">
      <w:pPr>
        <w:bidi w:val="0"/>
        <w:rPr>
          <w:rFonts w:hint="eastAsia"/>
          <w:color w:val="auto"/>
          <w:highlight w:val="none"/>
          <w:lang w:val="en-US" w:eastAsia="zh-CN"/>
        </w:rPr>
      </w:pPr>
      <w:r>
        <w:rPr>
          <w:rFonts w:hint="eastAsia"/>
          <w:color w:val="auto"/>
          <w:highlight w:val="none"/>
          <w:lang w:val="en-US" w:eastAsia="zh-CN"/>
        </w:rPr>
        <w:br w:type="page"/>
      </w:r>
    </w:p>
    <w:p w14:paraId="20ADA777">
      <w:pPr>
        <w:pStyle w:val="4"/>
        <w:bidi w:val="0"/>
        <w:rPr>
          <w:rFonts w:hint="eastAsia" w:eastAsia="宋体"/>
          <w:color w:val="auto"/>
          <w:highlight w:val="none"/>
          <w:lang w:eastAsia="zh-CN"/>
        </w:rPr>
      </w:pPr>
      <w:r>
        <w:rPr>
          <w:rFonts w:hint="eastAsia"/>
          <w:color w:val="auto"/>
          <w:highlight w:val="none"/>
          <w:lang w:val="en-US" w:eastAsia="zh-CN"/>
        </w:rPr>
        <w:t>12.</w:t>
      </w:r>
      <w:r>
        <w:rPr>
          <w:rFonts w:hint="eastAsia"/>
          <w:color w:val="auto"/>
          <w:highlight w:val="none"/>
          <w:lang w:eastAsia="zh-CN"/>
        </w:rPr>
        <w:t>中小企业声明函</w:t>
      </w:r>
    </w:p>
    <w:p w14:paraId="03327D4E">
      <w:pPr>
        <w:numPr>
          <w:ilvl w:val="0"/>
          <w:numId w:val="0"/>
        </w:numPr>
        <w:spacing w:line="360" w:lineRule="auto"/>
        <w:rPr>
          <w:rFonts w:hint="eastAsia"/>
          <w:color w:val="auto"/>
          <w:sz w:val="21"/>
          <w:szCs w:val="21"/>
          <w:highlight w:val="none"/>
        </w:rPr>
      </w:pPr>
    </w:p>
    <w:p w14:paraId="3ACBC974">
      <w:pPr>
        <w:numPr>
          <w:ilvl w:val="0"/>
          <w:numId w:val="0"/>
        </w:numPr>
        <w:spacing w:line="360" w:lineRule="auto"/>
        <w:rPr>
          <w:rFonts w:hint="eastAsia"/>
          <w:color w:val="auto"/>
          <w:sz w:val="21"/>
          <w:szCs w:val="21"/>
          <w:highlight w:val="none"/>
        </w:rPr>
      </w:pPr>
      <w:r>
        <w:rPr>
          <w:rFonts w:hint="eastAsia"/>
          <w:color w:val="auto"/>
          <w:sz w:val="21"/>
          <w:szCs w:val="21"/>
          <w:highlight w:val="none"/>
        </w:rPr>
        <w:t>【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b/>
          <w:bCs/>
          <w:color w:val="auto"/>
          <w:sz w:val="21"/>
          <w:szCs w:val="21"/>
          <w:highlight w:val="none"/>
        </w:rPr>
        <w:t>必须提供</w:t>
      </w:r>
      <w:r>
        <w:rPr>
          <w:rFonts w:hint="eastAsia"/>
          <w:color w:val="auto"/>
          <w:sz w:val="21"/>
          <w:szCs w:val="21"/>
          <w:highlight w:val="none"/>
        </w:rPr>
        <w:t>）；</w:t>
      </w:r>
    </w:p>
    <w:p w14:paraId="6B693DFF">
      <w:pPr>
        <w:spacing w:line="360" w:lineRule="auto"/>
        <w:ind w:firstLine="420"/>
        <w:rPr>
          <w:rFonts w:hint="eastAsia"/>
          <w:bCs/>
          <w:color w:val="auto"/>
          <w:sz w:val="24"/>
          <w:highlight w:val="none"/>
        </w:rPr>
      </w:pPr>
    </w:p>
    <w:p w14:paraId="4F6D19F8">
      <w:pPr>
        <w:spacing w:line="360" w:lineRule="auto"/>
        <w:jc w:val="center"/>
        <w:rPr>
          <w:b/>
          <w:color w:val="auto"/>
          <w:sz w:val="28"/>
          <w:szCs w:val="28"/>
          <w:highlight w:val="none"/>
        </w:rPr>
      </w:pPr>
      <w:r>
        <w:rPr>
          <w:rFonts w:hint="eastAsia"/>
          <w:b/>
          <w:color w:val="auto"/>
          <w:sz w:val="28"/>
          <w:szCs w:val="28"/>
          <w:highlight w:val="none"/>
        </w:rPr>
        <w:t>中小企业声明函（工程）</w:t>
      </w:r>
    </w:p>
    <w:p w14:paraId="0E6BC704">
      <w:pPr>
        <w:spacing w:line="360" w:lineRule="auto"/>
        <w:ind w:firstLine="420"/>
        <w:rPr>
          <w:bCs/>
          <w:color w:val="auto"/>
          <w:sz w:val="24"/>
          <w:highlight w:val="none"/>
        </w:rPr>
      </w:pPr>
      <w:r>
        <w:rPr>
          <w:rFonts w:hint="eastAsia"/>
          <w:bCs/>
          <w:color w:val="auto"/>
          <w:sz w:val="24"/>
          <w:highlight w:val="none"/>
        </w:rPr>
        <w:t>本公司（联合体）郑重声明，根据《政府采购促进中小企业发展管理办法》（财库﹝2020﹞46 号）的规定，本公司（联合体）参加</w:t>
      </w:r>
      <w:r>
        <w:rPr>
          <w:rFonts w:hint="eastAsia"/>
          <w:bCs/>
          <w:color w:val="auto"/>
          <w:sz w:val="24"/>
          <w:highlight w:val="none"/>
          <w:u w:val="single"/>
        </w:rPr>
        <w:t>（单位名称）</w:t>
      </w:r>
      <w:r>
        <w:rPr>
          <w:rFonts w:hint="eastAsia"/>
          <w:bCs/>
          <w:color w:val="auto"/>
          <w:sz w:val="24"/>
          <w:highlight w:val="none"/>
        </w:rPr>
        <w:t>的</w:t>
      </w:r>
      <w:r>
        <w:rPr>
          <w:rFonts w:hint="eastAsia"/>
          <w:bCs/>
          <w:color w:val="auto"/>
          <w:sz w:val="24"/>
          <w:highlight w:val="none"/>
          <w:u w:val="single"/>
        </w:rPr>
        <w:t>（项目名称）</w:t>
      </w:r>
      <w:r>
        <w:rPr>
          <w:rFonts w:hint="eastAsia"/>
          <w:bCs/>
          <w:color w:val="auto"/>
          <w:sz w:val="24"/>
          <w:highlight w:val="none"/>
        </w:rPr>
        <w:t>采购活动，工程的施工单位全部为符合政策要求的中小企业承接。相关企业（含联合体中的中小企业、签订分包意向协议的中小企业） 的具体情况如下：</w:t>
      </w:r>
    </w:p>
    <w:p w14:paraId="7656C344">
      <w:pPr>
        <w:spacing w:line="360" w:lineRule="auto"/>
        <w:ind w:firstLine="420"/>
        <w:rPr>
          <w:bCs/>
          <w:color w:val="auto"/>
          <w:sz w:val="24"/>
          <w:highlight w:val="none"/>
        </w:rPr>
      </w:pPr>
      <w:r>
        <w:rPr>
          <w:bCs/>
          <w:color w:val="auto"/>
          <w:sz w:val="24"/>
          <w:highlight w:val="none"/>
        </w:rPr>
        <w:t>1.</w:t>
      </w:r>
      <w:r>
        <w:rPr>
          <w:rFonts w:hint="eastAsia"/>
          <w:bCs/>
          <w:color w:val="auto"/>
          <w:sz w:val="24"/>
          <w:highlight w:val="none"/>
          <w:u w:val="single"/>
        </w:rPr>
        <w:t>（标的名称）</w:t>
      </w:r>
      <w:r>
        <w:rPr>
          <w:rFonts w:hint="eastAsia"/>
          <w:bCs/>
          <w:color w:val="auto"/>
          <w:sz w:val="24"/>
          <w:highlight w:val="none"/>
        </w:rPr>
        <w:t>，属于</w:t>
      </w:r>
      <w:r>
        <w:rPr>
          <w:rFonts w:hint="eastAsia"/>
          <w:bCs/>
          <w:color w:val="auto"/>
          <w:sz w:val="24"/>
          <w:highlight w:val="none"/>
          <w:u w:val="single"/>
          <w:lang w:val="en-US" w:eastAsia="zh-CN"/>
        </w:rPr>
        <w:t>建筑业</w:t>
      </w:r>
      <w:r>
        <w:rPr>
          <w:rFonts w:hint="eastAsia"/>
          <w:bCs/>
          <w:color w:val="auto"/>
          <w:sz w:val="24"/>
          <w:highlight w:val="none"/>
        </w:rPr>
        <w:t>行业；承建企业为</w:t>
      </w:r>
      <w:r>
        <w:rPr>
          <w:rFonts w:hint="eastAsia"/>
          <w:bCs/>
          <w:color w:val="auto"/>
          <w:sz w:val="24"/>
          <w:highlight w:val="none"/>
          <w:u w:val="single"/>
        </w:rPr>
        <w:t>（企业名称）</w:t>
      </w:r>
      <w:r>
        <w:rPr>
          <w:rFonts w:hint="eastAsia"/>
          <w:bCs/>
          <w:color w:val="auto"/>
          <w:sz w:val="24"/>
          <w:highlight w:val="none"/>
        </w:rPr>
        <w:t>，从业人员</w:t>
      </w:r>
      <w:r>
        <w:rPr>
          <w:bCs/>
          <w:color w:val="auto"/>
          <w:sz w:val="24"/>
          <w:highlight w:val="none"/>
          <w:u w:val="single"/>
        </w:rPr>
        <w:t xml:space="preserve">    </w:t>
      </w:r>
      <w:r>
        <w:rPr>
          <w:rFonts w:hint="eastAsia"/>
          <w:bCs/>
          <w:color w:val="auto"/>
          <w:sz w:val="24"/>
          <w:highlight w:val="none"/>
        </w:rPr>
        <w:t>人，营业收入为</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r>
        <w:rPr>
          <w:rFonts w:hint="eastAsia"/>
          <w:bCs/>
          <w:color w:val="auto"/>
          <w:sz w:val="24"/>
          <w:highlight w:val="none"/>
        </w:rPr>
        <w:t>万元，资产总额为</w:t>
      </w:r>
      <w:r>
        <w:rPr>
          <w:rFonts w:hint="eastAsia"/>
          <w:bCs/>
          <w:color w:val="auto"/>
          <w:sz w:val="24"/>
          <w:highlight w:val="none"/>
          <w:u w:val="single"/>
        </w:rPr>
        <w:t xml:space="preserve">    </w:t>
      </w:r>
      <w:r>
        <w:rPr>
          <w:rFonts w:hint="eastAsia"/>
          <w:bCs/>
          <w:color w:val="auto"/>
          <w:sz w:val="24"/>
          <w:highlight w:val="none"/>
        </w:rPr>
        <w:t>万元，属于</w:t>
      </w:r>
      <w:r>
        <w:rPr>
          <w:rFonts w:hint="eastAsia"/>
          <w:bCs/>
          <w:color w:val="auto"/>
          <w:sz w:val="24"/>
          <w:highlight w:val="none"/>
          <w:u w:val="single"/>
        </w:rPr>
        <w:t>（中型企业、小型企业、微型企业）</w:t>
      </w:r>
      <w:r>
        <w:rPr>
          <w:rFonts w:hint="eastAsia"/>
          <w:bCs/>
          <w:color w:val="auto"/>
          <w:sz w:val="24"/>
          <w:highlight w:val="none"/>
        </w:rPr>
        <w:t>；</w:t>
      </w:r>
    </w:p>
    <w:p w14:paraId="1776E563">
      <w:pPr>
        <w:spacing w:line="360" w:lineRule="auto"/>
        <w:ind w:firstLine="420"/>
        <w:rPr>
          <w:bCs/>
          <w:color w:val="auto"/>
          <w:sz w:val="24"/>
          <w:highlight w:val="none"/>
        </w:rPr>
      </w:pPr>
      <w:r>
        <w:rPr>
          <w:bCs/>
          <w:color w:val="auto"/>
          <w:sz w:val="24"/>
          <w:highlight w:val="none"/>
        </w:rPr>
        <w:t>2.</w:t>
      </w:r>
      <w:r>
        <w:rPr>
          <w:rFonts w:hint="eastAsia"/>
          <w:bCs/>
          <w:color w:val="auto"/>
          <w:sz w:val="24"/>
          <w:highlight w:val="none"/>
          <w:u w:val="single"/>
        </w:rPr>
        <w:t>（标的名称）</w:t>
      </w:r>
      <w:r>
        <w:rPr>
          <w:rFonts w:hint="eastAsia"/>
          <w:bCs/>
          <w:color w:val="auto"/>
          <w:sz w:val="24"/>
          <w:highlight w:val="none"/>
        </w:rPr>
        <w:t>，属于</w:t>
      </w:r>
      <w:r>
        <w:rPr>
          <w:rFonts w:hint="eastAsia"/>
          <w:bCs/>
          <w:color w:val="auto"/>
          <w:sz w:val="24"/>
          <w:highlight w:val="none"/>
          <w:u w:val="single"/>
          <w:lang w:val="en-US" w:eastAsia="zh-CN"/>
        </w:rPr>
        <w:t>建筑业</w:t>
      </w:r>
      <w:r>
        <w:rPr>
          <w:rFonts w:hint="eastAsia"/>
          <w:bCs/>
          <w:color w:val="auto"/>
          <w:sz w:val="24"/>
          <w:highlight w:val="none"/>
        </w:rPr>
        <w:t>行业；承建企业为</w:t>
      </w:r>
      <w:r>
        <w:rPr>
          <w:rFonts w:hint="eastAsia"/>
          <w:bCs/>
          <w:color w:val="auto"/>
          <w:sz w:val="24"/>
          <w:highlight w:val="none"/>
          <w:u w:val="single"/>
        </w:rPr>
        <w:t>（企业名称）</w:t>
      </w:r>
      <w:r>
        <w:rPr>
          <w:rFonts w:hint="eastAsia"/>
          <w:bCs/>
          <w:color w:val="auto"/>
          <w:sz w:val="24"/>
          <w:highlight w:val="none"/>
        </w:rPr>
        <w:t>，从业人员</w:t>
      </w:r>
      <w:r>
        <w:rPr>
          <w:rFonts w:hint="eastAsia"/>
          <w:bCs/>
          <w:color w:val="auto"/>
          <w:sz w:val="24"/>
          <w:highlight w:val="none"/>
          <w:u w:val="single"/>
        </w:rPr>
        <w:t xml:space="preserve">       </w:t>
      </w:r>
      <w:r>
        <w:rPr>
          <w:rFonts w:hint="eastAsia"/>
          <w:bCs/>
          <w:color w:val="auto"/>
          <w:sz w:val="24"/>
          <w:highlight w:val="none"/>
        </w:rPr>
        <w:t>人，营业收入为</w:t>
      </w:r>
      <w:r>
        <w:rPr>
          <w:rFonts w:hint="eastAsia"/>
          <w:bCs/>
          <w:color w:val="auto"/>
          <w:sz w:val="24"/>
          <w:highlight w:val="none"/>
          <w:u w:val="single"/>
        </w:rPr>
        <w:t xml:space="preserve">     </w:t>
      </w:r>
      <w:r>
        <w:rPr>
          <w:rFonts w:hint="eastAsia"/>
          <w:bCs/>
          <w:color w:val="auto"/>
          <w:sz w:val="24"/>
          <w:highlight w:val="none"/>
        </w:rPr>
        <w:t>万元，资产总额为</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r>
        <w:rPr>
          <w:rFonts w:hint="eastAsia"/>
          <w:bCs/>
          <w:color w:val="auto"/>
          <w:sz w:val="24"/>
          <w:highlight w:val="none"/>
        </w:rPr>
        <w:t>万元，属于</w:t>
      </w:r>
      <w:r>
        <w:rPr>
          <w:rFonts w:hint="eastAsia"/>
          <w:bCs/>
          <w:color w:val="auto"/>
          <w:sz w:val="24"/>
          <w:highlight w:val="none"/>
          <w:u w:val="single"/>
        </w:rPr>
        <w:t>（中型企业、小型企业、微型企业）</w:t>
      </w:r>
      <w:r>
        <w:rPr>
          <w:rFonts w:hint="eastAsia"/>
          <w:bCs/>
          <w:color w:val="auto"/>
          <w:sz w:val="24"/>
          <w:highlight w:val="none"/>
        </w:rPr>
        <w:t>；</w:t>
      </w:r>
    </w:p>
    <w:p w14:paraId="3DFA6A98">
      <w:pPr>
        <w:spacing w:line="360" w:lineRule="auto"/>
        <w:ind w:firstLine="420"/>
        <w:rPr>
          <w:bCs/>
          <w:color w:val="auto"/>
          <w:sz w:val="24"/>
          <w:highlight w:val="none"/>
        </w:rPr>
      </w:pPr>
      <w:r>
        <w:rPr>
          <w:rFonts w:hint="eastAsia"/>
          <w:bCs/>
          <w:color w:val="auto"/>
          <w:sz w:val="24"/>
          <w:highlight w:val="none"/>
        </w:rPr>
        <w:t>……</w:t>
      </w:r>
    </w:p>
    <w:p w14:paraId="3ECE95FF">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1E7F9F24">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6497933D">
      <w:pPr>
        <w:ind w:right="420" w:firstLine="6120" w:firstLineChars="2550"/>
        <w:rPr>
          <w:rFonts w:hint="eastAsia"/>
          <w:bCs/>
          <w:color w:val="auto"/>
          <w:sz w:val="24"/>
          <w:highlight w:val="none"/>
        </w:rPr>
      </w:pPr>
    </w:p>
    <w:p w14:paraId="34C6CF78">
      <w:pPr>
        <w:spacing w:line="360" w:lineRule="auto"/>
        <w:rPr>
          <w:rFonts w:ascii="Arial" w:hAnsi="Arial" w:cs="Arial"/>
          <w:color w:val="auto"/>
          <w:sz w:val="24"/>
          <w:highlight w:val="none"/>
        </w:rPr>
      </w:pPr>
      <w:r>
        <w:rPr>
          <w:rFonts w:hint="eastAsia" w:ascii="Arial" w:hAnsi="Arial" w:cs="Arial"/>
          <w:color w:val="auto"/>
          <w:sz w:val="24"/>
          <w:highlight w:val="none"/>
        </w:rPr>
        <w:t>供应商</w:t>
      </w:r>
      <w:r>
        <w:rPr>
          <w:rFonts w:ascii="Arial" w:hAnsi="Arial" w:cs="Arial"/>
          <w:color w:val="auto"/>
          <w:sz w:val="24"/>
          <w:highlight w:val="none"/>
        </w:rPr>
        <w:t>：</w:t>
      </w:r>
      <w:r>
        <w:rPr>
          <w:rFonts w:ascii="Arial" w:hAnsi="Arial" w:cs="Arial"/>
          <w:color w:val="auto"/>
          <w:sz w:val="24"/>
          <w:highlight w:val="none"/>
          <w:u w:val="single"/>
        </w:rPr>
        <w:t xml:space="preserve">                                       </w:t>
      </w:r>
      <w:r>
        <w:rPr>
          <w:rFonts w:hint="eastAsia" w:ascii="宋体" w:hAnsi="宋体" w:cs="宋体"/>
          <w:color w:val="auto"/>
          <w:sz w:val="24"/>
          <w:highlight w:val="none"/>
        </w:rPr>
        <w:t>[公章（CA签章）]</w:t>
      </w:r>
    </w:p>
    <w:p w14:paraId="79936DAA">
      <w:pPr>
        <w:spacing w:line="440" w:lineRule="exact"/>
        <w:rPr>
          <w:rFonts w:hint="eastAsia" w:ascii="宋体" w:hAnsi="宋体" w:cs="宋体"/>
          <w:color w:val="auto"/>
          <w:sz w:val="24"/>
          <w:highlight w:val="none"/>
        </w:rPr>
      </w:pPr>
      <w:r>
        <w:rPr>
          <w:rFonts w:ascii="Arial" w:hAnsi="Arial" w:cs="Arial"/>
          <w:color w:val="auto"/>
          <w:sz w:val="24"/>
          <w:highlight w:val="none"/>
        </w:rPr>
        <w:t>日期：</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 </w:t>
      </w:r>
    </w:p>
    <w:p w14:paraId="5012FA49">
      <w:pPr>
        <w:ind w:right="420" w:firstLine="6120" w:firstLineChars="2550"/>
        <w:rPr>
          <w:bCs/>
          <w:color w:val="auto"/>
          <w:sz w:val="24"/>
          <w:highlight w:val="none"/>
        </w:rPr>
      </w:pPr>
    </w:p>
    <w:p w14:paraId="27529471">
      <w:pPr>
        <w:spacing w:line="360" w:lineRule="auto"/>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注：请根据自己的真实情况出具《中小企业声明函》。依法享受中小企业优惠政策的，采购人或者采购代理机构在公告中标结果时，同时公告其《中小企业声明函》，接受社会监督。</w:t>
      </w:r>
    </w:p>
    <w:p w14:paraId="5485F648">
      <w:pPr>
        <w:rPr>
          <w:color w:val="auto"/>
          <w:highlight w:val="none"/>
        </w:rPr>
      </w:pPr>
      <w:r>
        <w:rPr>
          <w:rFonts w:ascii="宋体" w:hAnsi="宋体"/>
          <w:color w:val="auto"/>
          <w:sz w:val="24"/>
          <w:highlight w:val="none"/>
        </w:rPr>
        <w:br w:type="page"/>
      </w:r>
    </w:p>
    <w:p w14:paraId="37B3A0D9">
      <w:pPr>
        <w:bidi w:val="0"/>
        <w:rPr>
          <w:color w:val="auto"/>
          <w:highlight w:val="none"/>
        </w:rPr>
      </w:pPr>
      <w:r>
        <w:rPr>
          <w:color w:val="auto"/>
          <w:highlight w:val="none"/>
        </w:rPr>
        <w:t>注：从业人员、营业收入、资产总额填报上一年度数据，无上一年度数据的新成立企业可不填报。</w:t>
      </w:r>
    </w:p>
    <w:p w14:paraId="6BA9EEA7">
      <w:pPr>
        <w:bidi w:val="0"/>
        <w:rPr>
          <w:color w:val="auto"/>
          <w:highlight w:val="none"/>
        </w:rPr>
      </w:pPr>
      <w:r>
        <w:rPr>
          <w:color w:val="auto"/>
          <w:highlight w:val="none"/>
        </w:rPr>
        <w:t>①本项目所属行业参照《统计上大中小微型企业划分标准表》，属于“建筑业”。</w:t>
      </w:r>
    </w:p>
    <w:p w14:paraId="0543ED18">
      <w:pPr>
        <w:pStyle w:val="13"/>
        <w:ind w:firstLine="480"/>
        <w:rPr>
          <w:b/>
          <w:color w:val="auto"/>
          <w:sz w:val="24"/>
          <w:highlight w:val="none"/>
        </w:rPr>
      </w:pPr>
    </w:p>
    <w:p w14:paraId="1CA55794">
      <w:pPr>
        <w:bidi w:val="0"/>
        <w:rPr>
          <w:color w:val="auto"/>
          <w:highlight w:val="none"/>
        </w:rPr>
      </w:pPr>
      <w:r>
        <w:rPr>
          <w:color w:val="auto"/>
          <w:highlight w:val="none"/>
        </w:rPr>
        <w:t>附表</w:t>
      </w:r>
    </w:p>
    <w:p w14:paraId="3E05ABD6">
      <w:pPr>
        <w:bidi w:val="0"/>
        <w:jc w:val="center"/>
        <w:rPr>
          <w:color w:val="auto"/>
          <w:highlight w:val="none"/>
        </w:rPr>
      </w:pPr>
      <w:r>
        <w:rPr>
          <w:color w:val="auto"/>
          <w:highlight w:val="none"/>
        </w:rPr>
        <w:t>统计上大中小微型企业划分标准</w:t>
      </w:r>
    </w:p>
    <w:p w14:paraId="28D4DB75">
      <w:pPr>
        <w:pStyle w:val="13"/>
        <w:ind w:firstLine="180"/>
        <w:rPr>
          <w:b/>
          <w:color w:val="auto"/>
          <w:sz w:val="9"/>
          <w:highlight w:val="none"/>
        </w:rPr>
      </w:pPr>
    </w:p>
    <w:tbl>
      <w:tblPr>
        <w:tblStyle w:val="25"/>
        <w:tblW w:w="9391" w:type="dxa"/>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4"/>
        <w:gridCol w:w="1338"/>
        <w:gridCol w:w="692"/>
        <w:gridCol w:w="1098"/>
        <w:gridCol w:w="1663"/>
        <w:gridCol w:w="1582"/>
        <w:gridCol w:w="1314"/>
      </w:tblGrid>
      <w:tr w14:paraId="25023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04" w:type="dxa"/>
            <w:shd w:val="clear" w:color="auto" w:fill="8DB3E1"/>
            <w:vAlign w:val="center"/>
          </w:tcPr>
          <w:p w14:paraId="6A5EFD69">
            <w:pPr>
              <w:pStyle w:val="33"/>
              <w:spacing w:before="8"/>
              <w:ind w:firstLine="300"/>
              <w:jc w:val="center"/>
              <w:rPr>
                <w:b/>
                <w:color w:val="auto"/>
                <w:sz w:val="15"/>
                <w:highlight w:val="none"/>
              </w:rPr>
            </w:pPr>
          </w:p>
          <w:p w14:paraId="33DAAFB5">
            <w:pPr>
              <w:pStyle w:val="33"/>
              <w:ind w:firstLine="360"/>
              <w:jc w:val="center"/>
              <w:rPr>
                <w:b/>
                <w:color w:val="auto"/>
                <w:sz w:val="18"/>
                <w:highlight w:val="none"/>
              </w:rPr>
            </w:pPr>
            <w:r>
              <w:rPr>
                <w:b/>
                <w:color w:val="auto"/>
                <w:sz w:val="18"/>
                <w:highlight w:val="none"/>
              </w:rPr>
              <w:t>行业名称</w:t>
            </w:r>
          </w:p>
        </w:tc>
        <w:tc>
          <w:tcPr>
            <w:tcW w:w="1338" w:type="dxa"/>
            <w:shd w:val="clear" w:color="auto" w:fill="8DB3E1"/>
            <w:vAlign w:val="center"/>
          </w:tcPr>
          <w:p w14:paraId="41311055">
            <w:pPr>
              <w:pStyle w:val="33"/>
              <w:spacing w:before="11"/>
              <w:ind w:firstLine="280"/>
              <w:jc w:val="center"/>
              <w:rPr>
                <w:b/>
                <w:color w:val="auto"/>
                <w:sz w:val="14"/>
                <w:highlight w:val="none"/>
              </w:rPr>
            </w:pPr>
          </w:p>
          <w:p w14:paraId="40CFDE14">
            <w:pPr>
              <w:pStyle w:val="33"/>
              <w:spacing w:before="1"/>
              <w:ind w:right="209" w:firstLine="360"/>
              <w:jc w:val="center"/>
              <w:rPr>
                <w:b/>
                <w:color w:val="auto"/>
                <w:sz w:val="18"/>
                <w:highlight w:val="none"/>
              </w:rPr>
            </w:pPr>
            <w:r>
              <w:rPr>
                <w:b/>
                <w:color w:val="auto"/>
                <w:sz w:val="18"/>
                <w:highlight w:val="none"/>
              </w:rPr>
              <w:t>指标名称</w:t>
            </w:r>
          </w:p>
        </w:tc>
        <w:tc>
          <w:tcPr>
            <w:tcW w:w="692" w:type="dxa"/>
            <w:shd w:val="clear" w:color="auto" w:fill="8DB3E1"/>
            <w:vAlign w:val="center"/>
          </w:tcPr>
          <w:p w14:paraId="26D22EB3">
            <w:pPr>
              <w:pStyle w:val="33"/>
              <w:spacing w:before="76" w:line="242" w:lineRule="auto"/>
              <w:ind w:right="184" w:firstLine="360"/>
              <w:jc w:val="center"/>
              <w:rPr>
                <w:b/>
                <w:color w:val="auto"/>
                <w:sz w:val="18"/>
                <w:highlight w:val="none"/>
              </w:rPr>
            </w:pPr>
            <w:r>
              <w:rPr>
                <w:b/>
                <w:color w:val="auto"/>
                <w:sz w:val="18"/>
                <w:highlight w:val="none"/>
              </w:rPr>
              <w:t>计量单位</w:t>
            </w:r>
          </w:p>
        </w:tc>
        <w:tc>
          <w:tcPr>
            <w:tcW w:w="1098" w:type="dxa"/>
            <w:shd w:val="clear" w:color="auto" w:fill="8DB3E1"/>
            <w:vAlign w:val="center"/>
          </w:tcPr>
          <w:p w14:paraId="72441DC3">
            <w:pPr>
              <w:pStyle w:val="33"/>
              <w:spacing w:before="11"/>
              <w:ind w:firstLine="280"/>
              <w:jc w:val="center"/>
              <w:rPr>
                <w:b/>
                <w:color w:val="auto"/>
                <w:sz w:val="14"/>
                <w:highlight w:val="none"/>
              </w:rPr>
            </w:pPr>
          </w:p>
          <w:p w14:paraId="364DDD81">
            <w:pPr>
              <w:pStyle w:val="33"/>
              <w:spacing w:before="1"/>
              <w:ind w:right="168" w:firstLine="360"/>
              <w:jc w:val="center"/>
              <w:rPr>
                <w:b/>
                <w:color w:val="auto"/>
                <w:sz w:val="18"/>
                <w:highlight w:val="none"/>
              </w:rPr>
            </w:pPr>
            <w:r>
              <w:rPr>
                <w:b/>
                <w:color w:val="auto"/>
                <w:sz w:val="18"/>
                <w:highlight w:val="none"/>
              </w:rPr>
              <w:t>大型</w:t>
            </w:r>
          </w:p>
        </w:tc>
        <w:tc>
          <w:tcPr>
            <w:tcW w:w="1663" w:type="dxa"/>
            <w:shd w:val="clear" w:color="auto" w:fill="8DB3E1"/>
            <w:vAlign w:val="center"/>
          </w:tcPr>
          <w:p w14:paraId="41847EF4">
            <w:pPr>
              <w:pStyle w:val="33"/>
              <w:spacing w:before="11"/>
              <w:ind w:firstLine="280"/>
              <w:jc w:val="center"/>
              <w:rPr>
                <w:b/>
                <w:color w:val="auto"/>
                <w:sz w:val="14"/>
                <w:highlight w:val="none"/>
              </w:rPr>
            </w:pPr>
          </w:p>
          <w:p w14:paraId="71B7944D">
            <w:pPr>
              <w:pStyle w:val="33"/>
              <w:spacing w:before="1"/>
              <w:ind w:right="698" w:firstLine="360"/>
              <w:jc w:val="center"/>
              <w:rPr>
                <w:b/>
                <w:color w:val="auto"/>
                <w:sz w:val="18"/>
                <w:highlight w:val="none"/>
              </w:rPr>
            </w:pPr>
            <w:r>
              <w:rPr>
                <w:b/>
                <w:color w:val="auto"/>
                <w:sz w:val="18"/>
                <w:highlight w:val="none"/>
              </w:rPr>
              <w:t>中型</w:t>
            </w:r>
          </w:p>
        </w:tc>
        <w:tc>
          <w:tcPr>
            <w:tcW w:w="1582" w:type="dxa"/>
            <w:shd w:val="clear" w:color="auto" w:fill="8DB3E1"/>
            <w:vAlign w:val="center"/>
          </w:tcPr>
          <w:p w14:paraId="2EC900F2">
            <w:pPr>
              <w:pStyle w:val="33"/>
              <w:spacing w:before="11"/>
              <w:ind w:firstLine="280"/>
              <w:jc w:val="center"/>
              <w:rPr>
                <w:b/>
                <w:color w:val="auto"/>
                <w:sz w:val="14"/>
                <w:highlight w:val="none"/>
              </w:rPr>
            </w:pPr>
          </w:p>
          <w:p w14:paraId="0197F72E">
            <w:pPr>
              <w:pStyle w:val="33"/>
              <w:spacing w:before="1"/>
              <w:ind w:right="551" w:firstLine="360"/>
              <w:jc w:val="center"/>
              <w:rPr>
                <w:b/>
                <w:color w:val="auto"/>
                <w:sz w:val="18"/>
                <w:highlight w:val="none"/>
              </w:rPr>
            </w:pPr>
            <w:r>
              <w:rPr>
                <w:b/>
                <w:color w:val="auto"/>
                <w:sz w:val="18"/>
                <w:highlight w:val="none"/>
              </w:rPr>
              <w:t>小型</w:t>
            </w:r>
          </w:p>
        </w:tc>
        <w:tc>
          <w:tcPr>
            <w:tcW w:w="1314" w:type="dxa"/>
            <w:shd w:val="clear" w:color="auto" w:fill="8DB3E1"/>
            <w:vAlign w:val="center"/>
          </w:tcPr>
          <w:p w14:paraId="7F94FE9D">
            <w:pPr>
              <w:pStyle w:val="33"/>
              <w:spacing w:before="11"/>
              <w:ind w:firstLine="280"/>
              <w:jc w:val="center"/>
              <w:rPr>
                <w:b/>
                <w:color w:val="auto"/>
                <w:sz w:val="14"/>
                <w:highlight w:val="none"/>
              </w:rPr>
            </w:pPr>
          </w:p>
          <w:p w14:paraId="098AB935">
            <w:pPr>
              <w:pStyle w:val="33"/>
              <w:spacing w:before="1"/>
              <w:ind w:right="186" w:firstLine="360"/>
              <w:jc w:val="center"/>
              <w:rPr>
                <w:b/>
                <w:color w:val="auto"/>
                <w:sz w:val="18"/>
                <w:highlight w:val="none"/>
              </w:rPr>
            </w:pPr>
            <w:r>
              <w:rPr>
                <w:b/>
                <w:color w:val="auto"/>
                <w:sz w:val="18"/>
                <w:highlight w:val="none"/>
              </w:rPr>
              <w:t>微型</w:t>
            </w:r>
          </w:p>
        </w:tc>
      </w:tr>
      <w:tr w14:paraId="4130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04" w:type="dxa"/>
            <w:vAlign w:val="center"/>
          </w:tcPr>
          <w:p w14:paraId="7B1AA352">
            <w:pPr>
              <w:pStyle w:val="33"/>
              <w:spacing w:before="85"/>
              <w:ind w:firstLine="361"/>
              <w:jc w:val="center"/>
              <w:rPr>
                <w:color w:val="auto"/>
                <w:sz w:val="18"/>
                <w:highlight w:val="none"/>
              </w:rPr>
            </w:pPr>
            <w:r>
              <w:rPr>
                <w:color w:val="auto"/>
                <w:sz w:val="18"/>
                <w:highlight w:val="none"/>
              </w:rPr>
              <w:t>农、林、牧、渔业</w:t>
            </w:r>
          </w:p>
        </w:tc>
        <w:tc>
          <w:tcPr>
            <w:tcW w:w="1338" w:type="dxa"/>
            <w:vAlign w:val="center"/>
          </w:tcPr>
          <w:p w14:paraId="578D4CE2">
            <w:pPr>
              <w:pStyle w:val="33"/>
              <w:spacing w:before="78"/>
              <w:ind w:right="210" w:firstLine="361"/>
              <w:jc w:val="center"/>
              <w:rPr>
                <w:color w:val="auto"/>
                <w:sz w:val="18"/>
                <w:highlight w:val="none"/>
              </w:rPr>
            </w:pPr>
            <w:r>
              <w:rPr>
                <w:color w:val="auto"/>
                <w:sz w:val="18"/>
                <w:highlight w:val="none"/>
              </w:rPr>
              <w:t>营业收入(Y)</w:t>
            </w:r>
          </w:p>
        </w:tc>
        <w:tc>
          <w:tcPr>
            <w:tcW w:w="692" w:type="dxa"/>
            <w:vAlign w:val="center"/>
          </w:tcPr>
          <w:p w14:paraId="587185A8">
            <w:pPr>
              <w:pStyle w:val="33"/>
              <w:spacing w:before="78"/>
              <w:ind w:right="171" w:firstLine="361"/>
              <w:jc w:val="center"/>
              <w:rPr>
                <w:color w:val="auto"/>
                <w:sz w:val="18"/>
                <w:highlight w:val="none"/>
              </w:rPr>
            </w:pPr>
            <w:r>
              <w:rPr>
                <w:color w:val="auto"/>
                <w:sz w:val="18"/>
                <w:highlight w:val="none"/>
              </w:rPr>
              <w:t>万元</w:t>
            </w:r>
          </w:p>
        </w:tc>
        <w:tc>
          <w:tcPr>
            <w:tcW w:w="1098" w:type="dxa"/>
            <w:vAlign w:val="center"/>
          </w:tcPr>
          <w:p w14:paraId="2E25D618">
            <w:pPr>
              <w:pStyle w:val="33"/>
              <w:spacing w:before="78"/>
              <w:ind w:right="169" w:firstLine="361"/>
              <w:jc w:val="center"/>
              <w:rPr>
                <w:color w:val="auto"/>
                <w:sz w:val="18"/>
                <w:highlight w:val="none"/>
              </w:rPr>
            </w:pPr>
            <w:r>
              <w:rPr>
                <w:color w:val="auto"/>
                <w:sz w:val="18"/>
                <w:highlight w:val="none"/>
              </w:rPr>
              <w:t>Y≥20000</w:t>
            </w:r>
          </w:p>
        </w:tc>
        <w:tc>
          <w:tcPr>
            <w:tcW w:w="1663" w:type="dxa"/>
            <w:vAlign w:val="center"/>
          </w:tcPr>
          <w:p w14:paraId="43636086">
            <w:pPr>
              <w:pStyle w:val="33"/>
              <w:spacing w:before="78"/>
              <w:ind w:firstLine="361"/>
              <w:jc w:val="center"/>
              <w:rPr>
                <w:color w:val="auto"/>
                <w:sz w:val="18"/>
                <w:highlight w:val="none"/>
              </w:rPr>
            </w:pPr>
            <w:r>
              <w:rPr>
                <w:color w:val="auto"/>
                <w:sz w:val="18"/>
                <w:highlight w:val="none"/>
              </w:rPr>
              <w:t>500≤Y＜20000</w:t>
            </w:r>
          </w:p>
        </w:tc>
        <w:tc>
          <w:tcPr>
            <w:tcW w:w="1582" w:type="dxa"/>
            <w:vAlign w:val="center"/>
          </w:tcPr>
          <w:p w14:paraId="774F4A56">
            <w:pPr>
              <w:pStyle w:val="33"/>
              <w:spacing w:before="78"/>
              <w:ind w:firstLine="361"/>
              <w:jc w:val="center"/>
              <w:rPr>
                <w:color w:val="auto"/>
                <w:sz w:val="18"/>
                <w:highlight w:val="none"/>
              </w:rPr>
            </w:pPr>
            <w:r>
              <w:rPr>
                <w:color w:val="auto"/>
                <w:sz w:val="18"/>
                <w:highlight w:val="none"/>
              </w:rPr>
              <w:t>50≤Y＜500</w:t>
            </w:r>
          </w:p>
        </w:tc>
        <w:tc>
          <w:tcPr>
            <w:tcW w:w="1314" w:type="dxa"/>
            <w:vAlign w:val="center"/>
          </w:tcPr>
          <w:p w14:paraId="7097776A">
            <w:pPr>
              <w:pStyle w:val="33"/>
              <w:spacing w:before="78"/>
              <w:ind w:right="186" w:firstLine="361"/>
              <w:jc w:val="center"/>
              <w:rPr>
                <w:color w:val="auto"/>
                <w:sz w:val="18"/>
                <w:highlight w:val="none"/>
              </w:rPr>
            </w:pPr>
            <w:r>
              <w:rPr>
                <w:color w:val="auto"/>
                <w:sz w:val="18"/>
                <w:highlight w:val="none"/>
              </w:rPr>
              <w:t>Y＜50</w:t>
            </w:r>
          </w:p>
        </w:tc>
      </w:tr>
      <w:tr w14:paraId="5A0E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4" w:type="dxa"/>
            <w:vMerge w:val="restart"/>
            <w:vAlign w:val="center"/>
          </w:tcPr>
          <w:p w14:paraId="6821E395">
            <w:pPr>
              <w:pStyle w:val="33"/>
              <w:spacing w:before="4"/>
              <w:ind w:firstLine="560"/>
              <w:jc w:val="both"/>
              <w:rPr>
                <w:b/>
                <w:color w:val="auto"/>
                <w:highlight w:val="none"/>
              </w:rPr>
            </w:pPr>
          </w:p>
          <w:p w14:paraId="27254C65">
            <w:pPr>
              <w:pStyle w:val="33"/>
              <w:ind w:left="107" w:firstLine="361"/>
              <w:jc w:val="both"/>
              <w:rPr>
                <w:color w:val="auto"/>
                <w:sz w:val="18"/>
                <w:highlight w:val="none"/>
              </w:rPr>
            </w:pPr>
            <w:r>
              <w:rPr>
                <w:color w:val="auto"/>
                <w:sz w:val="18"/>
                <w:highlight w:val="none"/>
              </w:rPr>
              <w:t>工业*</w:t>
            </w:r>
          </w:p>
        </w:tc>
        <w:tc>
          <w:tcPr>
            <w:tcW w:w="1338" w:type="dxa"/>
            <w:vAlign w:val="center"/>
          </w:tcPr>
          <w:p w14:paraId="1A3A7419">
            <w:pPr>
              <w:pStyle w:val="33"/>
              <w:spacing w:before="77"/>
              <w:ind w:right="210" w:firstLine="361"/>
              <w:jc w:val="center"/>
              <w:rPr>
                <w:color w:val="auto"/>
                <w:sz w:val="18"/>
                <w:highlight w:val="none"/>
              </w:rPr>
            </w:pPr>
            <w:r>
              <w:rPr>
                <w:color w:val="auto"/>
                <w:sz w:val="18"/>
                <w:highlight w:val="none"/>
              </w:rPr>
              <w:t>从业人员(X)</w:t>
            </w:r>
          </w:p>
        </w:tc>
        <w:tc>
          <w:tcPr>
            <w:tcW w:w="692" w:type="dxa"/>
            <w:vAlign w:val="center"/>
          </w:tcPr>
          <w:p w14:paraId="682186E3">
            <w:pPr>
              <w:pStyle w:val="33"/>
              <w:spacing w:before="77"/>
              <w:ind w:firstLine="361"/>
              <w:jc w:val="center"/>
              <w:rPr>
                <w:color w:val="auto"/>
                <w:sz w:val="18"/>
                <w:highlight w:val="none"/>
              </w:rPr>
            </w:pPr>
            <w:r>
              <w:rPr>
                <w:color w:val="auto"/>
                <w:sz w:val="18"/>
                <w:highlight w:val="none"/>
              </w:rPr>
              <w:t>人</w:t>
            </w:r>
          </w:p>
        </w:tc>
        <w:tc>
          <w:tcPr>
            <w:tcW w:w="1098" w:type="dxa"/>
            <w:vAlign w:val="center"/>
          </w:tcPr>
          <w:p w14:paraId="376D6230">
            <w:pPr>
              <w:pStyle w:val="33"/>
              <w:spacing w:before="77"/>
              <w:ind w:right="169" w:firstLine="361"/>
              <w:jc w:val="center"/>
              <w:rPr>
                <w:color w:val="auto"/>
                <w:sz w:val="18"/>
                <w:highlight w:val="none"/>
              </w:rPr>
            </w:pPr>
            <w:r>
              <w:rPr>
                <w:color w:val="auto"/>
                <w:sz w:val="18"/>
                <w:highlight w:val="none"/>
              </w:rPr>
              <w:t>X≥1000</w:t>
            </w:r>
          </w:p>
        </w:tc>
        <w:tc>
          <w:tcPr>
            <w:tcW w:w="1663" w:type="dxa"/>
            <w:vAlign w:val="center"/>
          </w:tcPr>
          <w:p w14:paraId="11C53A07">
            <w:pPr>
              <w:pStyle w:val="33"/>
              <w:spacing w:before="77"/>
              <w:ind w:firstLine="361"/>
              <w:jc w:val="center"/>
              <w:rPr>
                <w:color w:val="auto"/>
                <w:sz w:val="18"/>
                <w:highlight w:val="none"/>
              </w:rPr>
            </w:pPr>
            <w:r>
              <w:rPr>
                <w:color w:val="auto"/>
                <w:sz w:val="18"/>
                <w:highlight w:val="none"/>
              </w:rPr>
              <w:t>300≤X＜1000</w:t>
            </w:r>
          </w:p>
        </w:tc>
        <w:tc>
          <w:tcPr>
            <w:tcW w:w="1582" w:type="dxa"/>
            <w:vAlign w:val="center"/>
          </w:tcPr>
          <w:p w14:paraId="4361B0B9">
            <w:pPr>
              <w:pStyle w:val="33"/>
              <w:spacing w:before="77"/>
              <w:ind w:firstLine="361"/>
              <w:jc w:val="center"/>
              <w:rPr>
                <w:color w:val="auto"/>
                <w:sz w:val="18"/>
                <w:highlight w:val="none"/>
              </w:rPr>
            </w:pPr>
            <w:r>
              <w:rPr>
                <w:color w:val="auto"/>
                <w:sz w:val="18"/>
                <w:highlight w:val="none"/>
              </w:rPr>
              <w:t>20≤X＜300</w:t>
            </w:r>
          </w:p>
        </w:tc>
        <w:tc>
          <w:tcPr>
            <w:tcW w:w="1314" w:type="dxa"/>
            <w:vAlign w:val="center"/>
          </w:tcPr>
          <w:p w14:paraId="19A15DD0">
            <w:pPr>
              <w:pStyle w:val="33"/>
              <w:spacing w:before="77"/>
              <w:ind w:right="186" w:firstLine="361"/>
              <w:jc w:val="center"/>
              <w:rPr>
                <w:color w:val="auto"/>
                <w:sz w:val="18"/>
                <w:highlight w:val="none"/>
              </w:rPr>
            </w:pPr>
            <w:r>
              <w:rPr>
                <w:color w:val="auto"/>
                <w:sz w:val="18"/>
                <w:highlight w:val="none"/>
              </w:rPr>
              <w:t>X＜20</w:t>
            </w:r>
          </w:p>
        </w:tc>
      </w:tr>
      <w:tr w14:paraId="59B3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6DB8B4DA">
            <w:pPr>
              <w:ind w:firstLine="40"/>
              <w:jc w:val="both"/>
              <w:rPr>
                <w:color w:val="auto"/>
                <w:sz w:val="2"/>
                <w:szCs w:val="2"/>
                <w:highlight w:val="none"/>
              </w:rPr>
            </w:pPr>
          </w:p>
        </w:tc>
        <w:tc>
          <w:tcPr>
            <w:tcW w:w="1338" w:type="dxa"/>
            <w:vAlign w:val="center"/>
          </w:tcPr>
          <w:p w14:paraId="2A4D034F">
            <w:pPr>
              <w:pStyle w:val="33"/>
              <w:spacing w:before="86"/>
              <w:ind w:right="210" w:firstLine="361"/>
              <w:jc w:val="center"/>
              <w:rPr>
                <w:color w:val="auto"/>
                <w:sz w:val="18"/>
                <w:highlight w:val="none"/>
              </w:rPr>
            </w:pPr>
            <w:r>
              <w:rPr>
                <w:color w:val="auto"/>
                <w:sz w:val="18"/>
                <w:highlight w:val="none"/>
              </w:rPr>
              <w:t>营业收入(Y)</w:t>
            </w:r>
          </w:p>
        </w:tc>
        <w:tc>
          <w:tcPr>
            <w:tcW w:w="692" w:type="dxa"/>
            <w:vAlign w:val="center"/>
          </w:tcPr>
          <w:p w14:paraId="09739605">
            <w:pPr>
              <w:pStyle w:val="33"/>
              <w:spacing w:before="78"/>
              <w:ind w:right="171" w:firstLine="361"/>
              <w:jc w:val="center"/>
              <w:rPr>
                <w:color w:val="auto"/>
                <w:sz w:val="18"/>
                <w:highlight w:val="none"/>
              </w:rPr>
            </w:pPr>
            <w:r>
              <w:rPr>
                <w:color w:val="auto"/>
                <w:sz w:val="18"/>
                <w:highlight w:val="none"/>
              </w:rPr>
              <w:t>万元</w:t>
            </w:r>
          </w:p>
        </w:tc>
        <w:tc>
          <w:tcPr>
            <w:tcW w:w="1098" w:type="dxa"/>
            <w:vAlign w:val="center"/>
          </w:tcPr>
          <w:p w14:paraId="0151A69B">
            <w:pPr>
              <w:pStyle w:val="33"/>
              <w:spacing w:before="78"/>
              <w:ind w:right="169" w:firstLine="361"/>
              <w:jc w:val="center"/>
              <w:rPr>
                <w:color w:val="auto"/>
                <w:sz w:val="18"/>
                <w:highlight w:val="none"/>
              </w:rPr>
            </w:pPr>
            <w:r>
              <w:rPr>
                <w:color w:val="auto"/>
                <w:sz w:val="18"/>
                <w:highlight w:val="none"/>
              </w:rPr>
              <w:t>Y≥40000</w:t>
            </w:r>
          </w:p>
        </w:tc>
        <w:tc>
          <w:tcPr>
            <w:tcW w:w="1663" w:type="dxa"/>
            <w:vAlign w:val="center"/>
          </w:tcPr>
          <w:p w14:paraId="01C4200B">
            <w:pPr>
              <w:pStyle w:val="33"/>
              <w:spacing w:before="78"/>
              <w:ind w:firstLine="361"/>
              <w:jc w:val="center"/>
              <w:rPr>
                <w:color w:val="auto"/>
                <w:sz w:val="18"/>
                <w:highlight w:val="none"/>
              </w:rPr>
            </w:pPr>
            <w:r>
              <w:rPr>
                <w:color w:val="auto"/>
                <w:sz w:val="18"/>
                <w:highlight w:val="none"/>
              </w:rPr>
              <w:t>2000≤Y＜40000</w:t>
            </w:r>
          </w:p>
        </w:tc>
        <w:tc>
          <w:tcPr>
            <w:tcW w:w="1582" w:type="dxa"/>
            <w:vAlign w:val="center"/>
          </w:tcPr>
          <w:p w14:paraId="61537C85">
            <w:pPr>
              <w:pStyle w:val="33"/>
              <w:spacing w:before="78"/>
              <w:ind w:firstLine="361"/>
              <w:jc w:val="center"/>
              <w:rPr>
                <w:color w:val="auto"/>
                <w:sz w:val="18"/>
                <w:highlight w:val="none"/>
              </w:rPr>
            </w:pPr>
            <w:r>
              <w:rPr>
                <w:color w:val="auto"/>
                <w:sz w:val="18"/>
                <w:highlight w:val="none"/>
              </w:rPr>
              <w:t>300≤Y＜2000</w:t>
            </w:r>
          </w:p>
        </w:tc>
        <w:tc>
          <w:tcPr>
            <w:tcW w:w="1314" w:type="dxa"/>
            <w:vAlign w:val="center"/>
          </w:tcPr>
          <w:p w14:paraId="26605571">
            <w:pPr>
              <w:pStyle w:val="33"/>
              <w:spacing w:before="78"/>
              <w:ind w:right="186" w:firstLine="361"/>
              <w:jc w:val="center"/>
              <w:rPr>
                <w:color w:val="auto"/>
                <w:sz w:val="18"/>
                <w:highlight w:val="none"/>
              </w:rPr>
            </w:pPr>
            <w:r>
              <w:rPr>
                <w:color w:val="auto"/>
                <w:sz w:val="18"/>
                <w:highlight w:val="none"/>
              </w:rPr>
              <w:t>Y＜300</w:t>
            </w:r>
          </w:p>
        </w:tc>
      </w:tr>
      <w:tr w14:paraId="1E9A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4" w:type="dxa"/>
            <w:vMerge w:val="restart"/>
            <w:vAlign w:val="center"/>
          </w:tcPr>
          <w:p w14:paraId="7EB1B3CC">
            <w:pPr>
              <w:pStyle w:val="33"/>
              <w:spacing w:before="2"/>
              <w:ind w:firstLine="560"/>
              <w:jc w:val="both"/>
              <w:rPr>
                <w:b/>
                <w:color w:val="auto"/>
                <w:highlight w:val="none"/>
              </w:rPr>
            </w:pPr>
          </w:p>
          <w:p w14:paraId="5D697C73">
            <w:pPr>
              <w:pStyle w:val="33"/>
              <w:ind w:left="107" w:firstLine="361"/>
              <w:jc w:val="both"/>
              <w:rPr>
                <w:color w:val="auto"/>
                <w:sz w:val="18"/>
                <w:highlight w:val="none"/>
              </w:rPr>
            </w:pPr>
            <w:r>
              <w:rPr>
                <w:color w:val="auto"/>
                <w:sz w:val="18"/>
                <w:highlight w:val="none"/>
              </w:rPr>
              <w:t>建筑业</w:t>
            </w:r>
          </w:p>
        </w:tc>
        <w:tc>
          <w:tcPr>
            <w:tcW w:w="1338" w:type="dxa"/>
            <w:vAlign w:val="center"/>
          </w:tcPr>
          <w:p w14:paraId="695B3598">
            <w:pPr>
              <w:pStyle w:val="33"/>
              <w:spacing w:before="77"/>
              <w:ind w:right="210" w:firstLine="361"/>
              <w:jc w:val="center"/>
              <w:rPr>
                <w:color w:val="auto"/>
                <w:sz w:val="18"/>
                <w:highlight w:val="none"/>
              </w:rPr>
            </w:pPr>
            <w:r>
              <w:rPr>
                <w:color w:val="auto"/>
                <w:sz w:val="18"/>
                <w:highlight w:val="none"/>
              </w:rPr>
              <w:t>营业收入(Y)</w:t>
            </w:r>
          </w:p>
        </w:tc>
        <w:tc>
          <w:tcPr>
            <w:tcW w:w="692" w:type="dxa"/>
            <w:vAlign w:val="center"/>
          </w:tcPr>
          <w:p w14:paraId="7424B4EC">
            <w:pPr>
              <w:pStyle w:val="33"/>
              <w:spacing w:before="77"/>
              <w:ind w:right="171" w:firstLine="361"/>
              <w:jc w:val="center"/>
              <w:rPr>
                <w:color w:val="auto"/>
                <w:sz w:val="18"/>
                <w:highlight w:val="none"/>
              </w:rPr>
            </w:pPr>
            <w:r>
              <w:rPr>
                <w:color w:val="auto"/>
                <w:sz w:val="18"/>
                <w:highlight w:val="none"/>
              </w:rPr>
              <w:t>万元</w:t>
            </w:r>
          </w:p>
        </w:tc>
        <w:tc>
          <w:tcPr>
            <w:tcW w:w="1098" w:type="dxa"/>
            <w:vAlign w:val="center"/>
          </w:tcPr>
          <w:p w14:paraId="0FE034D3">
            <w:pPr>
              <w:pStyle w:val="33"/>
              <w:spacing w:before="77"/>
              <w:ind w:right="169" w:firstLine="361"/>
              <w:jc w:val="center"/>
              <w:rPr>
                <w:color w:val="auto"/>
                <w:sz w:val="18"/>
                <w:highlight w:val="none"/>
              </w:rPr>
            </w:pPr>
            <w:r>
              <w:rPr>
                <w:color w:val="auto"/>
                <w:sz w:val="18"/>
                <w:highlight w:val="none"/>
              </w:rPr>
              <w:t>Y≥80000</w:t>
            </w:r>
          </w:p>
        </w:tc>
        <w:tc>
          <w:tcPr>
            <w:tcW w:w="1663" w:type="dxa"/>
            <w:vAlign w:val="center"/>
          </w:tcPr>
          <w:p w14:paraId="5781EE2B">
            <w:pPr>
              <w:pStyle w:val="33"/>
              <w:spacing w:before="77"/>
              <w:ind w:firstLine="361"/>
              <w:jc w:val="center"/>
              <w:rPr>
                <w:color w:val="auto"/>
                <w:sz w:val="18"/>
                <w:highlight w:val="none"/>
              </w:rPr>
            </w:pPr>
            <w:r>
              <w:rPr>
                <w:color w:val="auto"/>
                <w:sz w:val="18"/>
                <w:highlight w:val="none"/>
              </w:rPr>
              <w:t>6000≤Y＜80000</w:t>
            </w:r>
          </w:p>
        </w:tc>
        <w:tc>
          <w:tcPr>
            <w:tcW w:w="1582" w:type="dxa"/>
            <w:vAlign w:val="center"/>
          </w:tcPr>
          <w:p w14:paraId="25023C13">
            <w:pPr>
              <w:pStyle w:val="33"/>
              <w:spacing w:before="77"/>
              <w:ind w:firstLine="361"/>
              <w:jc w:val="center"/>
              <w:rPr>
                <w:color w:val="auto"/>
                <w:sz w:val="18"/>
                <w:highlight w:val="none"/>
              </w:rPr>
            </w:pPr>
            <w:r>
              <w:rPr>
                <w:color w:val="auto"/>
                <w:sz w:val="18"/>
                <w:highlight w:val="none"/>
              </w:rPr>
              <w:t>300≤Y＜6000</w:t>
            </w:r>
          </w:p>
        </w:tc>
        <w:tc>
          <w:tcPr>
            <w:tcW w:w="1314" w:type="dxa"/>
            <w:vAlign w:val="center"/>
          </w:tcPr>
          <w:p w14:paraId="7FA5F5FB">
            <w:pPr>
              <w:pStyle w:val="33"/>
              <w:spacing w:before="77"/>
              <w:ind w:right="186" w:firstLine="361"/>
              <w:jc w:val="center"/>
              <w:rPr>
                <w:color w:val="auto"/>
                <w:sz w:val="18"/>
                <w:highlight w:val="none"/>
              </w:rPr>
            </w:pPr>
            <w:r>
              <w:rPr>
                <w:color w:val="auto"/>
                <w:sz w:val="18"/>
                <w:highlight w:val="none"/>
              </w:rPr>
              <w:t>Y＜300</w:t>
            </w:r>
          </w:p>
        </w:tc>
      </w:tr>
      <w:tr w14:paraId="03357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468AE766">
            <w:pPr>
              <w:ind w:firstLine="40"/>
              <w:jc w:val="both"/>
              <w:rPr>
                <w:color w:val="auto"/>
                <w:sz w:val="2"/>
                <w:szCs w:val="2"/>
                <w:highlight w:val="none"/>
              </w:rPr>
            </w:pPr>
          </w:p>
        </w:tc>
        <w:tc>
          <w:tcPr>
            <w:tcW w:w="1338" w:type="dxa"/>
            <w:vAlign w:val="center"/>
          </w:tcPr>
          <w:p w14:paraId="74FC05FC">
            <w:pPr>
              <w:pStyle w:val="33"/>
              <w:spacing w:before="86"/>
              <w:ind w:right="210" w:firstLine="361"/>
              <w:jc w:val="center"/>
              <w:rPr>
                <w:color w:val="auto"/>
                <w:sz w:val="18"/>
                <w:highlight w:val="none"/>
              </w:rPr>
            </w:pPr>
            <w:r>
              <w:rPr>
                <w:color w:val="auto"/>
                <w:sz w:val="18"/>
                <w:highlight w:val="none"/>
              </w:rPr>
              <w:t>资产总额(Z)</w:t>
            </w:r>
          </w:p>
        </w:tc>
        <w:tc>
          <w:tcPr>
            <w:tcW w:w="692" w:type="dxa"/>
            <w:vAlign w:val="center"/>
          </w:tcPr>
          <w:p w14:paraId="117F4E4B">
            <w:pPr>
              <w:pStyle w:val="33"/>
              <w:spacing w:before="79"/>
              <w:ind w:right="171" w:firstLine="361"/>
              <w:jc w:val="center"/>
              <w:rPr>
                <w:color w:val="auto"/>
                <w:sz w:val="18"/>
                <w:highlight w:val="none"/>
              </w:rPr>
            </w:pPr>
            <w:r>
              <w:rPr>
                <w:color w:val="auto"/>
                <w:sz w:val="18"/>
                <w:highlight w:val="none"/>
              </w:rPr>
              <w:t>万元</w:t>
            </w:r>
          </w:p>
        </w:tc>
        <w:tc>
          <w:tcPr>
            <w:tcW w:w="1098" w:type="dxa"/>
            <w:vAlign w:val="center"/>
          </w:tcPr>
          <w:p w14:paraId="11E8C252">
            <w:pPr>
              <w:pStyle w:val="33"/>
              <w:spacing w:before="79"/>
              <w:ind w:right="169" w:firstLine="361"/>
              <w:jc w:val="center"/>
              <w:rPr>
                <w:color w:val="auto"/>
                <w:sz w:val="18"/>
                <w:highlight w:val="none"/>
              </w:rPr>
            </w:pPr>
            <w:r>
              <w:rPr>
                <w:color w:val="auto"/>
                <w:sz w:val="18"/>
                <w:highlight w:val="none"/>
              </w:rPr>
              <w:t>Z≥80000</w:t>
            </w:r>
          </w:p>
        </w:tc>
        <w:tc>
          <w:tcPr>
            <w:tcW w:w="1663" w:type="dxa"/>
            <w:vAlign w:val="center"/>
          </w:tcPr>
          <w:p w14:paraId="2CBAFFB1">
            <w:pPr>
              <w:pStyle w:val="33"/>
              <w:spacing w:before="79"/>
              <w:ind w:firstLine="361"/>
              <w:jc w:val="center"/>
              <w:rPr>
                <w:color w:val="auto"/>
                <w:sz w:val="18"/>
                <w:highlight w:val="none"/>
              </w:rPr>
            </w:pPr>
            <w:r>
              <w:rPr>
                <w:color w:val="auto"/>
                <w:sz w:val="18"/>
                <w:highlight w:val="none"/>
              </w:rPr>
              <w:t>5000≤Z＜80000</w:t>
            </w:r>
          </w:p>
        </w:tc>
        <w:tc>
          <w:tcPr>
            <w:tcW w:w="1582" w:type="dxa"/>
            <w:vAlign w:val="center"/>
          </w:tcPr>
          <w:p w14:paraId="00175FE4">
            <w:pPr>
              <w:pStyle w:val="33"/>
              <w:spacing w:before="79"/>
              <w:ind w:firstLine="361"/>
              <w:jc w:val="center"/>
              <w:rPr>
                <w:color w:val="auto"/>
                <w:sz w:val="18"/>
                <w:highlight w:val="none"/>
              </w:rPr>
            </w:pPr>
            <w:r>
              <w:rPr>
                <w:color w:val="auto"/>
                <w:sz w:val="18"/>
                <w:highlight w:val="none"/>
              </w:rPr>
              <w:t>300≤Z＜5000</w:t>
            </w:r>
          </w:p>
        </w:tc>
        <w:tc>
          <w:tcPr>
            <w:tcW w:w="1314" w:type="dxa"/>
            <w:vAlign w:val="center"/>
          </w:tcPr>
          <w:p w14:paraId="0AA0C83A">
            <w:pPr>
              <w:pStyle w:val="33"/>
              <w:spacing w:before="79"/>
              <w:ind w:right="186" w:firstLine="361"/>
              <w:jc w:val="center"/>
              <w:rPr>
                <w:color w:val="auto"/>
                <w:sz w:val="18"/>
                <w:highlight w:val="none"/>
              </w:rPr>
            </w:pPr>
            <w:r>
              <w:rPr>
                <w:color w:val="auto"/>
                <w:sz w:val="18"/>
                <w:highlight w:val="none"/>
              </w:rPr>
              <w:t>Z＜300</w:t>
            </w:r>
          </w:p>
        </w:tc>
      </w:tr>
      <w:tr w14:paraId="60F85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04" w:type="dxa"/>
            <w:vMerge w:val="restart"/>
            <w:vAlign w:val="center"/>
          </w:tcPr>
          <w:p w14:paraId="4275AE1E">
            <w:pPr>
              <w:pStyle w:val="33"/>
              <w:spacing w:before="2"/>
              <w:ind w:firstLine="560"/>
              <w:jc w:val="both"/>
              <w:rPr>
                <w:b/>
                <w:color w:val="auto"/>
                <w:highlight w:val="none"/>
              </w:rPr>
            </w:pPr>
          </w:p>
          <w:p w14:paraId="70EBE71C">
            <w:pPr>
              <w:pStyle w:val="33"/>
              <w:ind w:left="107" w:firstLine="361"/>
              <w:jc w:val="both"/>
              <w:rPr>
                <w:color w:val="auto"/>
                <w:sz w:val="18"/>
                <w:highlight w:val="none"/>
              </w:rPr>
            </w:pPr>
            <w:r>
              <w:rPr>
                <w:color w:val="auto"/>
                <w:sz w:val="18"/>
                <w:highlight w:val="none"/>
              </w:rPr>
              <w:t>批发业</w:t>
            </w:r>
          </w:p>
        </w:tc>
        <w:tc>
          <w:tcPr>
            <w:tcW w:w="1338" w:type="dxa"/>
            <w:vAlign w:val="center"/>
          </w:tcPr>
          <w:p w14:paraId="2924DDBC">
            <w:pPr>
              <w:pStyle w:val="33"/>
              <w:spacing w:before="78"/>
              <w:ind w:right="210" w:firstLine="361"/>
              <w:jc w:val="center"/>
              <w:rPr>
                <w:color w:val="auto"/>
                <w:sz w:val="18"/>
                <w:highlight w:val="none"/>
              </w:rPr>
            </w:pPr>
            <w:r>
              <w:rPr>
                <w:color w:val="auto"/>
                <w:sz w:val="18"/>
                <w:highlight w:val="none"/>
              </w:rPr>
              <w:t>从业人员(X)</w:t>
            </w:r>
          </w:p>
        </w:tc>
        <w:tc>
          <w:tcPr>
            <w:tcW w:w="692" w:type="dxa"/>
            <w:vAlign w:val="center"/>
          </w:tcPr>
          <w:p w14:paraId="522706D0">
            <w:pPr>
              <w:pStyle w:val="33"/>
              <w:spacing w:before="78"/>
              <w:ind w:firstLine="361"/>
              <w:jc w:val="center"/>
              <w:rPr>
                <w:color w:val="auto"/>
                <w:sz w:val="18"/>
                <w:highlight w:val="none"/>
              </w:rPr>
            </w:pPr>
            <w:r>
              <w:rPr>
                <w:color w:val="auto"/>
                <w:sz w:val="18"/>
                <w:highlight w:val="none"/>
              </w:rPr>
              <w:t>人</w:t>
            </w:r>
          </w:p>
        </w:tc>
        <w:tc>
          <w:tcPr>
            <w:tcW w:w="1098" w:type="dxa"/>
            <w:vAlign w:val="center"/>
          </w:tcPr>
          <w:p w14:paraId="76527B9D">
            <w:pPr>
              <w:pStyle w:val="33"/>
              <w:spacing w:before="78"/>
              <w:ind w:right="169" w:firstLine="361"/>
              <w:jc w:val="center"/>
              <w:rPr>
                <w:color w:val="auto"/>
                <w:sz w:val="18"/>
                <w:highlight w:val="none"/>
              </w:rPr>
            </w:pPr>
            <w:r>
              <w:rPr>
                <w:color w:val="auto"/>
                <w:sz w:val="18"/>
                <w:highlight w:val="none"/>
              </w:rPr>
              <w:t>X≥200</w:t>
            </w:r>
          </w:p>
        </w:tc>
        <w:tc>
          <w:tcPr>
            <w:tcW w:w="1663" w:type="dxa"/>
            <w:vAlign w:val="center"/>
          </w:tcPr>
          <w:p w14:paraId="27512E5C">
            <w:pPr>
              <w:pStyle w:val="33"/>
              <w:spacing w:before="78"/>
              <w:ind w:firstLine="361"/>
              <w:jc w:val="center"/>
              <w:rPr>
                <w:color w:val="auto"/>
                <w:sz w:val="18"/>
                <w:highlight w:val="none"/>
              </w:rPr>
            </w:pPr>
            <w:r>
              <w:rPr>
                <w:color w:val="auto"/>
                <w:sz w:val="18"/>
                <w:highlight w:val="none"/>
              </w:rPr>
              <w:t>20≤X＜200</w:t>
            </w:r>
          </w:p>
        </w:tc>
        <w:tc>
          <w:tcPr>
            <w:tcW w:w="1582" w:type="dxa"/>
            <w:vAlign w:val="center"/>
          </w:tcPr>
          <w:p w14:paraId="13F08A37">
            <w:pPr>
              <w:pStyle w:val="33"/>
              <w:spacing w:before="78"/>
              <w:ind w:firstLine="361"/>
              <w:jc w:val="center"/>
              <w:rPr>
                <w:color w:val="auto"/>
                <w:sz w:val="18"/>
                <w:highlight w:val="none"/>
              </w:rPr>
            </w:pPr>
            <w:r>
              <w:rPr>
                <w:color w:val="auto"/>
                <w:sz w:val="18"/>
                <w:highlight w:val="none"/>
              </w:rPr>
              <w:t>5≤X＜20</w:t>
            </w:r>
          </w:p>
        </w:tc>
        <w:tc>
          <w:tcPr>
            <w:tcW w:w="1314" w:type="dxa"/>
            <w:vAlign w:val="center"/>
          </w:tcPr>
          <w:p w14:paraId="7CB5D64B">
            <w:pPr>
              <w:pStyle w:val="33"/>
              <w:spacing w:before="78"/>
              <w:ind w:right="186" w:firstLine="361"/>
              <w:jc w:val="center"/>
              <w:rPr>
                <w:color w:val="auto"/>
                <w:sz w:val="18"/>
                <w:highlight w:val="none"/>
              </w:rPr>
            </w:pPr>
            <w:r>
              <w:rPr>
                <w:color w:val="auto"/>
                <w:sz w:val="18"/>
                <w:highlight w:val="none"/>
              </w:rPr>
              <w:t>X＜5</w:t>
            </w:r>
          </w:p>
        </w:tc>
      </w:tr>
      <w:tr w14:paraId="05C15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56A755D5">
            <w:pPr>
              <w:ind w:firstLine="40"/>
              <w:jc w:val="both"/>
              <w:rPr>
                <w:color w:val="auto"/>
                <w:sz w:val="2"/>
                <w:szCs w:val="2"/>
                <w:highlight w:val="none"/>
              </w:rPr>
            </w:pPr>
          </w:p>
        </w:tc>
        <w:tc>
          <w:tcPr>
            <w:tcW w:w="1338" w:type="dxa"/>
            <w:vAlign w:val="center"/>
          </w:tcPr>
          <w:p w14:paraId="7AF2B542">
            <w:pPr>
              <w:pStyle w:val="33"/>
              <w:spacing w:before="86"/>
              <w:ind w:right="210" w:firstLine="361"/>
              <w:jc w:val="center"/>
              <w:rPr>
                <w:color w:val="auto"/>
                <w:sz w:val="18"/>
                <w:highlight w:val="none"/>
              </w:rPr>
            </w:pPr>
            <w:r>
              <w:rPr>
                <w:color w:val="auto"/>
                <w:sz w:val="18"/>
                <w:highlight w:val="none"/>
              </w:rPr>
              <w:t>营业收入(Y)</w:t>
            </w:r>
          </w:p>
        </w:tc>
        <w:tc>
          <w:tcPr>
            <w:tcW w:w="692" w:type="dxa"/>
            <w:vAlign w:val="center"/>
          </w:tcPr>
          <w:p w14:paraId="6324A56F">
            <w:pPr>
              <w:pStyle w:val="33"/>
              <w:spacing w:before="77"/>
              <w:ind w:right="171" w:firstLine="361"/>
              <w:jc w:val="center"/>
              <w:rPr>
                <w:color w:val="auto"/>
                <w:sz w:val="18"/>
                <w:highlight w:val="none"/>
              </w:rPr>
            </w:pPr>
            <w:r>
              <w:rPr>
                <w:color w:val="auto"/>
                <w:sz w:val="18"/>
                <w:highlight w:val="none"/>
              </w:rPr>
              <w:t>万元</w:t>
            </w:r>
          </w:p>
        </w:tc>
        <w:tc>
          <w:tcPr>
            <w:tcW w:w="1098" w:type="dxa"/>
            <w:vAlign w:val="center"/>
          </w:tcPr>
          <w:p w14:paraId="312DB62E">
            <w:pPr>
              <w:pStyle w:val="33"/>
              <w:spacing w:before="77"/>
              <w:ind w:right="169" w:firstLine="361"/>
              <w:jc w:val="center"/>
              <w:rPr>
                <w:color w:val="auto"/>
                <w:sz w:val="18"/>
                <w:highlight w:val="none"/>
              </w:rPr>
            </w:pPr>
            <w:r>
              <w:rPr>
                <w:color w:val="auto"/>
                <w:sz w:val="18"/>
                <w:highlight w:val="none"/>
              </w:rPr>
              <w:t>Y≥40000</w:t>
            </w:r>
          </w:p>
        </w:tc>
        <w:tc>
          <w:tcPr>
            <w:tcW w:w="1663" w:type="dxa"/>
            <w:vAlign w:val="center"/>
          </w:tcPr>
          <w:p w14:paraId="0D2CA76F">
            <w:pPr>
              <w:pStyle w:val="33"/>
              <w:spacing w:before="77"/>
              <w:ind w:firstLine="361"/>
              <w:jc w:val="center"/>
              <w:rPr>
                <w:color w:val="auto"/>
                <w:sz w:val="18"/>
                <w:highlight w:val="none"/>
              </w:rPr>
            </w:pPr>
            <w:r>
              <w:rPr>
                <w:color w:val="auto"/>
                <w:sz w:val="18"/>
                <w:highlight w:val="none"/>
              </w:rPr>
              <w:t>5000≤Y＜40000</w:t>
            </w:r>
          </w:p>
        </w:tc>
        <w:tc>
          <w:tcPr>
            <w:tcW w:w="1582" w:type="dxa"/>
            <w:vAlign w:val="center"/>
          </w:tcPr>
          <w:p w14:paraId="2ECF4AAB">
            <w:pPr>
              <w:pStyle w:val="33"/>
              <w:spacing w:before="77"/>
              <w:ind w:firstLine="361"/>
              <w:jc w:val="center"/>
              <w:rPr>
                <w:color w:val="auto"/>
                <w:sz w:val="18"/>
                <w:highlight w:val="none"/>
              </w:rPr>
            </w:pPr>
            <w:r>
              <w:rPr>
                <w:color w:val="auto"/>
                <w:sz w:val="18"/>
                <w:highlight w:val="none"/>
              </w:rPr>
              <w:t>1000≤Y＜5000</w:t>
            </w:r>
          </w:p>
        </w:tc>
        <w:tc>
          <w:tcPr>
            <w:tcW w:w="1314" w:type="dxa"/>
            <w:vAlign w:val="center"/>
          </w:tcPr>
          <w:p w14:paraId="02C13EA2">
            <w:pPr>
              <w:pStyle w:val="33"/>
              <w:spacing w:before="77"/>
              <w:ind w:right="186" w:firstLine="361"/>
              <w:jc w:val="center"/>
              <w:rPr>
                <w:color w:val="auto"/>
                <w:sz w:val="18"/>
                <w:highlight w:val="none"/>
              </w:rPr>
            </w:pPr>
            <w:r>
              <w:rPr>
                <w:color w:val="auto"/>
                <w:sz w:val="18"/>
                <w:highlight w:val="none"/>
              </w:rPr>
              <w:t>Y＜1000</w:t>
            </w:r>
          </w:p>
        </w:tc>
      </w:tr>
      <w:tr w14:paraId="6A6D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04" w:type="dxa"/>
            <w:vMerge w:val="restart"/>
            <w:vAlign w:val="center"/>
          </w:tcPr>
          <w:p w14:paraId="07CFB81A">
            <w:pPr>
              <w:pStyle w:val="33"/>
              <w:spacing w:before="3"/>
              <w:ind w:firstLine="560"/>
              <w:jc w:val="both"/>
              <w:rPr>
                <w:b/>
                <w:color w:val="auto"/>
                <w:highlight w:val="none"/>
              </w:rPr>
            </w:pPr>
          </w:p>
          <w:p w14:paraId="58140669">
            <w:pPr>
              <w:pStyle w:val="33"/>
              <w:ind w:left="107" w:firstLine="361"/>
              <w:jc w:val="both"/>
              <w:rPr>
                <w:color w:val="auto"/>
                <w:sz w:val="18"/>
                <w:highlight w:val="none"/>
              </w:rPr>
            </w:pPr>
            <w:r>
              <w:rPr>
                <w:color w:val="auto"/>
                <w:sz w:val="18"/>
                <w:highlight w:val="none"/>
              </w:rPr>
              <w:t>零售业</w:t>
            </w:r>
          </w:p>
        </w:tc>
        <w:tc>
          <w:tcPr>
            <w:tcW w:w="1338" w:type="dxa"/>
            <w:vAlign w:val="center"/>
          </w:tcPr>
          <w:p w14:paraId="6BE31915">
            <w:pPr>
              <w:pStyle w:val="33"/>
              <w:spacing w:before="78"/>
              <w:ind w:right="210" w:firstLine="361"/>
              <w:jc w:val="center"/>
              <w:rPr>
                <w:color w:val="auto"/>
                <w:sz w:val="18"/>
                <w:highlight w:val="none"/>
              </w:rPr>
            </w:pPr>
            <w:r>
              <w:rPr>
                <w:color w:val="auto"/>
                <w:sz w:val="18"/>
                <w:highlight w:val="none"/>
              </w:rPr>
              <w:t>从业人员(X)</w:t>
            </w:r>
          </w:p>
        </w:tc>
        <w:tc>
          <w:tcPr>
            <w:tcW w:w="692" w:type="dxa"/>
            <w:vAlign w:val="center"/>
          </w:tcPr>
          <w:p w14:paraId="12D3B0A1">
            <w:pPr>
              <w:pStyle w:val="33"/>
              <w:spacing w:before="78"/>
              <w:ind w:firstLine="361"/>
              <w:jc w:val="center"/>
              <w:rPr>
                <w:color w:val="auto"/>
                <w:sz w:val="18"/>
                <w:highlight w:val="none"/>
              </w:rPr>
            </w:pPr>
            <w:r>
              <w:rPr>
                <w:color w:val="auto"/>
                <w:sz w:val="18"/>
                <w:highlight w:val="none"/>
              </w:rPr>
              <w:t>人</w:t>
            </w:r>
          </w:p>
        </w:tc>
        <w:tc>
          <w:tcPr>
            <w:tcW w:w="1098" w:type="dxa"/>
            <w:vAlign w:val="center"/>
          </w:tcPr>
          <w:p w14:paraId="1F380106">
            <w:pPr>
              <w:pStyle w:val="33"/>
              <w:spacing w:before="78"/>
              <w:ind w:right="169" w:firstLine="361"/>
              <w:jc w:val="center"/>
              <w:rPr>
                <w:color w:val="auto"/>
                <w:sz w:val="18"/>
                <w:highlight w:val="none"/>
              </w:rPr>
            </w:pPr>
            <w:r>
              <w:rPr>
                <w:color w:val="auto"/>
                <w:sz w:val="18"/>
                <w:highlight w:val="none"/>
              </w:rPr>
              <w:t>X≥300</w:t>
            </w:r>
          </w:p>
        </w:tc>
        <w:tc>
          <w:tcPr>
            <w:tcW w:w="1663" w:type="dxa"/>
            <w:vAlign w:val="center"/>
          </w:tcPr>
          <w:p w14:paraId="3DBD85B2">
            <w:pPr>
              <w:pStyle w:val="33"/>
              <w:spacing w:before="78"/>
              <w:ind w:firstLine="361"/>
              <w:jc w:val="center"/>
              <w:rPr>
                <w:color w:val="auto"/>
                <w:sz w:val="18"/>
                <w:highlight w:val="none"/>
              </w:rPr>
            </w:pPr>
            <w:r>
              <w:rPr>
                <w:color w:val="auto"/>
                <w:sz w:val="18"/>
                <w:highlight w:val="none"/>
              </w:rPr>
              <w:t>50≤X＜300</w:t>
            </w:r>
          </w:p>
        </w:tc>
        <w:tc>
          <w:tcPr>
            <w:tcW w:w="1582" w:type="dxa"/>
            <w:vAlign w:val="center"/>
          </w:tcPr>
          <w:p w14:paraId="4F4CAE8B">
            <w:pPr>
              <w:pStyle w:val="33"/>
              <w:spacing w:before="78"/>
              <w:ind w:firstLine="361"/>
              <w:jc w:val="center"/>
              <w:rPr>
                <w:color w:val="auto"/>
                <w:sz w:val="18"/>
                <w:highlight w:val="none"/>
              </w:rPr>
            </w:pPr>
            <w:r>
              <w:rPr>
                <w:color w:val="auto"/>
                <w:sz w:val="18"/>
                <w:highlight w:val="none"/>
              </w:rPr>
              <w:t>10≤X＜50</w:t>
            </w:r>
          </w:p>
        </w:tc>
        <w:tc>
          <w:tcPr>
            <w:tcW w:w="1314" w:type="dxa"/>
            <w:vAlign w:val="center"/>
          </w:tcPr>
          <w:p w14:paraId="4A80DD8D">
            <w:pPr>
              <w:pStyle w:val="33"/>
              <w:spacing w:before="78"/>
              <w:ind w:right="186" w:firstLine="361"/>
              <w:jc w:val="center"/>
              <w:rPr>
                <w:color w:val="auto"/>
                <w:sz w:val="18"/>
                <w:highlight w:val="none"/>
              </w:rPr>
            </w:pPr>
            <w:r>
              <w:rPr>
                <w:color w:val="auto"/>
                <w:sz w:val="18"/>
                <w:highlight w:val="none"/>
              </w:rPr>
              <w:t>X＜10</w:t>
            </w:r>
          </w:p>
        </w:tc>
      </w:tr>
      <w:tr w14:paraId="3D842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704" w:type="dxa"/>
            <w:vMerge w:val="continue"/>
            <w:tcBorders>
              <w:top w:val="nil"/>
            </w:tcBorders>
            <w:vAlign w:val="center"/>
          </w:tcPr>
          <w:p w14:paraId="566C66EB">
            <w:pPr>
              <w:ind w:firstLine="40"/>
              <w:jc w:val="both"/>
              <w:rPr>
                <w:color w:val="auto"/>
                <w:sz w:val="2"/>
                <w:szCs w:val="2"/>
                <w:highlight w:val="none"/>
              </w:rPr>
            </w:pPr>
          </w:p>
        </w:tc>
        <w:tc>
          <w:tcPr>
            <w:tcW w:w="1338" w:type="dxa"/>
            <w:vAlign w:val="center"/>
          </w:tcPr>
          <w:p w14:paraId="63287F69">
            <w:pPr>
              <w:pStyle w:val="33"/>
              <w:spacing w:before="87"/>
              <w:ind w:right="210" w:firstLine="361"/>
              <w:jc w:val="center"/>
              <w:rPr>
                <w:color w:val="auto"/>
                <w:sz w:val="18"/>
                <w:highlight w:val="none"/>
              </w:rPr>
            </w:pPr>
            <w:r>
              <w:rPr>
                <w:color w:val="auto"/>
                <w:sz w:val="18"/>
                <w:highlight w:val="none"/>
              </w:rPr>
              <w:t>营业收入(Y)</w:t>
            </w:r>
          </w:p>
        </w:tc>
        <w:tc>
          <w:tcPr>
            <w:tcW w:w="692" w:type="dxa"/>
            <w:vAlign w:val="center"/>
          </w:tcPr>
          <w:p w14:paraId="0B61E1C3">
            <w:pPr>
              <w:pStyle w:val="33"/>
              <w:spacing w:before="77"/>
              <w:ind w:right="171" w:firstLine="361"/>
              <w:jc w:val="center"/>
              <w:rPr>
                <w:color w:val="auto"/>
                <w:sz w:val="18"/>
                <w:highlight w:val="none"/>
              </w:rPr>
            </w:pPr>
            <w:r>
              <w:rPr>
                <w:color w:val="auto"/>
                <w:sz w:val="18"/>
                <w:highlight w:val="none"/>
              </w:rPr>
              <w:t>万元</w:t>
            </w:r>
          </w:p>
        </w:tc>
        <w:tc>
          <w:tcPr>
            <w:tcW w:w="1098" w:type="dxa"/>
            <w:vAlign w:val="center"/>
          </w:tcPr>
          <w:p w14:paraId="725E018A">
            <w:pPr>
              <w:pStyle w:val="33"/>
              <w:spacing w:before="77"/>
              <w:ind w:right="169" w:firstLine="361"/>
              <w:jc w:val="center"/>
              <w:rPr>
                <w:color w:val="auto"/>
                <w:sz w:val="18"/>
                <w:highlight w:val="none"/>
              </w:rPr>
            </w:pPr>
            <w:r>
              <w:rPr>
                <w:color w:val="auto"/>
                <w:sz w:val="18"/>
                <w:highlight w:val="none"/>
              </w:rPr>
              <w:t>Y≥20000</w:t>
            </w:r>
          </w:p>
        </w:tc>
        <w:tc>
          <w:tcPr>
            <w:tcW w:w="1663" w:type="dxa"/>
            <w:vAlign w:val="center"/>
          </w:tcPr>
          <w:p w14:paraId="6D9FAA83">
            <w:pPr>
              <w:pStyle w:val="33"/>
              <w:spacing w:before="77"/>
              <w:ind w:firstLine="361"/>
              <w:jc w:val="center"/>
              <w:rPr>
                <w:color w:val="auto"/>
                <w:sz w:val="18"/>
                <w:highlight w:val="none"/>
              </w:rPr>
            </w:pPr>
            <w:r>
              <w:rPr>
                <w:color w:val="auto"/>
                <w:sz w:val="18"/>
                <w:highlight w:val="none"/>
              </w:rPr>
              <w:t>500≤Y＜20000</w:t>
            </w:r>
          </w:p>
        </w:tc>
        <w:tc>
          <w:tcPr>
            <w:tcW w:w="1582" w:type="dxa"/>
            <w:vAlign w:val="center"/>
          </w:tcPr>
          <w:p w14:paraId="288BDB53">
            <w:pPr>
              <w:pStyle w:val="33"/>
              <w:spacing w:before="77"/>
              <w:ind w:firstLine="361"/>
              <w:jc w:val="center"/>
              <w:rPr>
                <w:color w:val="auto"/>
                <w:sz w:val="18"/>
                <w:highlight w:val="none"/>
              </w:rPr>
            </w:pPr>
            <w:r>
              <w:rPr>
                <w:color w:val="auto"/>
                <w:sz w:val="18"/>
                <w:highlight w:val="none"/>
              </w:rPr>
              <w:t>100≤Y＜500</w:t>
            </w:r>
          </w:p>
        </w:tc>
        <w:tc>
          <w:tcPr>
            <w:tcW w:w="1314" w:type="dxa"/>
            <w:vAlign w:val="center"/>
          </w:tcPr>
          <w:p w14:paraId="5F15D527">
            <w:pPr>
              <w:pStyle w:val="33"/>
              <w:spacing w:before="77"/>
              <w:ind w:right="186" w:firstLine="361"/>
              <w:jc w:val="center"/>
              <w:rPr>
                <w:color w:val="auto"/>
                <w:sz w:val="18"/>
                <w:highlight w:val="none"/>
              </w:rPr>
            </w:pPr>
            <w:r>
              <w:rPr>
                <w:color w:val="auto"/>
                <w:sz w:val="18"/>
                <w:highlight w:val="none"/>
              </w:rPr>
              <w:t>Y＜100</w:t>
            </w:r>
          </w:p>
        </w:tc>
      </w:tr>
      <w:tr w14:paraId="5E4F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704" w:type="dxa"/>
            <w:vMerge w:val="restart"/>
            <w:vAlign w:val="center"/>
          </w:tcPr>
          <w:p w14:paraId="35652D5F">
            <w:pPr>
              <w:pStyle w:val="33"/>
              <w:spacing w:before="3"/>
              <w:ind w:firstLine="560"/>
              <w:jc w:val="both"/>
              <w:rPr>
                <w:b/>
                <w:color w:val="auto"/>
                <w:highlight w:val="none"/>
              </w:rPr>
            </w:pPr>
          </w:p>
          <w:p w14:paraId="3F3DCE15">
            <w:pPr>
              <w:pStyle w:val="33"/>
              <w:ind w:left="107" w:firstLine="361"/>
              <w:jc w:val="both"/>
              <w:rPr>
                <w:color w:val="auto"/>
                <w:sz w:val="18"/>
                <w:highlight w:val="none"/>
              </w:rPr>
            </w:pPr>
            <w:r>
              <w:rPr>
                <w:color w:val="auto"/>
                <w:sz w:val="18"/>
                <w:highlight w:val="none"/>
              </w:rPr>
              <w:t>交通运输业*</w:t>
            </w:r>
          </w:p>
        </w:tc>
        <w:tc>
          <w:tcPr>
            <w:tcW w:w="1338" w:type="dxa"/>
            <w:vAlign w:val="center"/>
          </w:tcPr>
          <w:p w14:paraId="5B83BA30">
            <w:pPr>
              <w:pStyle w:val="33"/>
              <w:spacing w:before="79"/>
              <w:ind w:right="210" w:firstLine="361"/>
              <w:jc w:val="center"/>
              <w:rPr>
                <w:color w:val="auto"/>
                <w:sz w:val="18"/>
                <w:highlight w:val="none"/>
              </w:rPr>
            </w:pPr>
            <w:r>
              <w:rPr>
                <w:color w:val="auto"/>
                <w:sz w:val="18"/>
                <w:highlight w:val="none"/>
              </w:rPr>
              <w:t>从业人员(X)</w:t>
            </w:r>
          </w:p>
        </w:tc>
        <w:tc>
          <w:tcPr>
            <w:tcW w:w="692" w:type="dxa"/>
            <w:vAlign w:val="center"/>
          </w:tcPr>
          <w:p w14:paraId="15D35D5F">
            <w:pPr>
              <w:pStyle w:val="33"/>
              <w:spacing w:before="79"/>
              <w:ind w:firstLine="361"/>
              <w:jc w:val="center"/>
              <w:rPr>
                <w:color w:val="auto"/>
                <w:sz w:val="18"/>
                <w:highlight w:val="none"/>
              </w:rPr>
            </w:pPr>
            <w:r>
              <w:rPr>
                <w:color w:val="auto"/>
                <w:sz w:val="18"/>
                <w:highlight w:val="none"/>
              </w:rPr>
              <w:t>人</w:t>
            </w:r>
          </w:p>
        </w:tc>
        <w:tc>
          <w:tcPr>
            <w:tcW w:w="1098" w:type="dxa"/>
            <w:vAlign w:val="center"/>
          </w:tcPr>
          <w:p w14:paraId="62A102EB">
            <w:pPr>
              <w:pStyle w:val="33"/>
              <w:spacing w:before="79"/>
              <w:ind w:right="169" w:firstLine="361"/>
              <w:jc w:val="center"/>
              <w:rPr>
                <w:color w:val="auto"/>
                <w:sz w:val="18"/>
                <w:highlight w:val="none"/>
              </w:rPr>
            </w:pPr>
            <w:r>
              <w:rPr>
                <w:color w:val="auto"/>
                <w:sz w:val="18"/>
                <w:highlight w:val="none"/>
              </w:rPr>
              <w:t>X≥1000</w:t>
            </w:r>
          </w:p>
        </w:tc>
        <w:tc>
          <w:tcPr>
            <w:tcW w:w="1663" w:type="dxa"/>
            <w:vAlign w:val="center"/>
          </w:tcPr>
          <w:p w14:paraId="4E8A40C1">
            <w:pPr>
              <w:pStyle w:val="33"/>
              <w:spacing w:before="79"/>
              <w:ind w:firstLine="361"/>
              <w:jc w:val="center"/>
              <w:rPr>
                <w:color w:val="auto"/>
                <w:sz w:val="18"/>
                <w:highlight w:val="none"/>
              </w:rPr>
            </w:pPr>
            <w:r>
              <w:rPr>
                <w:color w:val="auto"/>
                <w:sz w:val="18"/>
                <w:highlight w:val="none"/>
              </w:rPr>
              <w:t>300≤X＜1000</w:t>
            </w:r>
          </w:p>
        </w:tc>
        <w:tc>
          <w:tcPr>
            <w:tcW w:w="1582" w:type="dxa"/>
            <w:vAlign w:val="center"/>
          </w:tcPr>
          <w:p w14:paraId="3B235772">
            <w:pPr>
              <w:pStyle w:val="33"/>
              <w:spacing w:before="79"/>
              <w:ind w:firstLine="361"/>
              <w:jc w:val="center"/>
              <w:rPr>
                <w:color w:val="auto"/>
                <w:sz w:val="18"/>
                <w:highlight w:val="none"/>
              </w:rPr>
            </w:pPr>
            <w:r>
              <w:rPr>
                <w:color w:val="auto"/>
                <w:sz w:val="18"/>
                <w:highlight w:val="none"/>
              </w:rPr>
              <w:t>20≤X＜300</w:t>
            </w:r>
          </w:p>
        </w:tc>
        <w:tc>
          <w:tcPr>
            <w:tcW w:w="1314" w:type="dxa"/>
            <w:vAlign w:val="center"/>
          </w:tcPr>
          <w:p w14:paraId="43C6DB8B">
            <w:pPr>
              <w:pStyle w:val="33"/>
              <w:spacing w:before="79"/>
              <w:ind w:right="186" w:firstLine="361"/>
              <w:jc w:val="center"/>
              <w:rPr>
                <w:color w:val="auto"/>
                <w:sz w:val="18"/>
                <w:highlight w:val="none"/>
              </w:rPr>
            </w:pPr>
            <w:r>
              <w:rPr>
                <w:color w:val="auto"/>
                <w:sz w:val="18"/>
                <w:highlight w:val="none"/>
              </w:rPr>
              <w:t>X＜20</w:t>
            </w:r>
          </w:p>
        </w:tc>
      </w:tr>
      <w:tr w14:paraId="472D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04" w:type="dxa"/>
            <w:vMerge w:val="continue"/>
            <w:tcBorders>
              <w:top w:val="nil"/>
            </w:tcBorders>
            <w:vAlign w:val="center"/>
          </w:tcPr>
          <w:p w14:paraId="2C2DEC07">
            <w:pPr>
              <w:ind w:firstLine="40"/>
              <w:jc w:val="both"/>
              <w:rPr>
                <w:color w:val="auto"/>
                <w:sz w:val="2"/>
                <w:szCs w:val="2"/>
                <w:highlight w:val="none"/>
              </w:rPr>
            </w:pPr>
          </w:p>
        </w:tc>
        <w:tc>
          <w:tcPr>
            <w:tcW w:w="1338" w:type="dxa"/>
            <w:vAlign w:val="center"/>
          </w:tcPr>
          <w:p w14:paraId="4B6A100D">
            <w:pPr>
              <w:pStyle w:val="33"/>
              <w:spacing w:before="85"/>
              <w:ind w:right="210" w:firstLine="361"/>
              <w:jc w:val="center"/>
              <w:rPr>
                <w:color w:val="auto"/>
                <w:sz w:val="18"/>
                <w:highlight w:val="none"/>
              </w:rPr>
            </w:pPr>
            <w:r>
              <w:rPr>
                <w:color w:val="auto"/>
                <w:sz w:val="18"/>
                <w:highlight w:val="none"/>
              </w:rPr>
              <w:t>营业收入(Y)</w:t>
            </w:r>
          </w:p>
        </w:tc>
        <w:tc>
          <w:tcPr>
            <w:tcW w:w="692" w:type="dxa"/>
            <w:vAlign w:val="center"/>
          </w:tcPr>
          <w:p w14:paraId="335F47D7">
            <w:pPr>
              <w:pStyle w:val="33"/>
              <w:spacing w:before="78"/>
              <w:ind w:right="171" w:firstLine="361"/>
              <w:jc w:val="center"/>
              <w:rPr>
                <w:color w:val="auto"/>
                <w:sz w:val="18"/>
                <w:highlight w:val="none"/>
              </w:rPr>
            </w:pPr>
            <w:r>
              <w:rPr>
                <w:color w:val="auto"/>
                <w:sz w:val="18"/>
                <w:highlight w:val="none"/>
              </w:rPr>
              <w:t>万元</w:t>
            </w:r>
          </w:p>
        </w:tc>
        <w:tc>
          <w:tcPr>
            <w:tcW w:w="1098" w:type="dxa"/>
            <w:vAlign w:val="center"/>
          </w:tcPr>
          <w:p w14:paraId="51B3C5EB">
            <w:pPr>
              <w:pStyle w:val="33"/>
              <w:spacing w:before="78"/>
              <w:ind w:right="169" w:firstLine="361"/>
              <w:jc w:val="center"/>
              <w:rPr>
                <w:color w:val="auto"/>
                <w:sz w:val="18"/>
                <w:highlight w:val="none"/>
              </w:rPr>
            </w:pPr>
            <w:r>
              <w:rPr>
                <w:color w:val="auto"/>
                <w:sz w:val="18"/>
                <w:highlight w:val="none"/>
              </w:rPr>
              <w:t>Y≥30000</w:t>
            </w:r>
          </w:p>
        </w:tc>
        <w:tc>
          <w:tcPr>
            <w:tcW w:w="1663" w:type="dxa"/>
            <w:vAlign w:val="center"/>
          </w:tcPr>
          <w:p w14:paraId="0D56285D">
            <w:pPr>
              <w:pStyle w:val="33"/>
              <w:spacing w:before="78"/>
              <w:ind w:firstLine="361"/>
              <w:jc w:val="center"/>
              <w:rPr>
                <w:color w:val="auto"/>
                <w:sz w:val="18"/>
                <w:highlight w:val="none"/>
              </w:rPr>
            </w:pPr>
            <w:r>
              <w:rPr>
                <w:color w:val="auto"/>
                <w:sz w:val="18"/>
                <w:highlight w:val="none"/>
              </w:rPr>
              <w:t>3000≤Y＜30000</w:t>
            </w:r>
          </w:p>
        </w:tc>
        <w:tc>
          <w:tcPr>
            <w:tcW w:w="1582" w:type="dxa"/>
            <w:vAlign w:val="center"/>
          </w:tcPr>
          <w:p w14:paraId="73884333">
            <w:pPr>
              <w:pStyle w:val="33"/>
              <w:spacing w:before="78"/>
              <w:ind w:firstLine="361"/>
              <w:jc w:val="center"/>
              <w:rPr>
                <w:color w:val="auto"/>
                <w:sz w:val="18"/>
                <w:highlight w:val="none"/>
              </w:rPr>
            </w:pPr>
            <w:r>
              <w:rPr>
                <w:color w:val="auto"/>
                <w:sz w:val="18"/>
                <w:highlight w:val="none"/>
              </w:rPr>
              <w:t>200≤Y＜3000</w:t>
            </w:r>
          </w:p>
        </w:tc>
        <w:tc>
          <w:tcPr>
            <w:tcW w:w="1314" w:type="dxa"/>
            <w:vAlign w:val="center"/>
          </w:tcPr>
          <w:p w14:paraId="5EFE0023">
            <w:pPr>
              <w:pStyle w:val="33"/>
              <w:spacing w:before="78"/>
              <w:ind w:right="186" w:firstLine="361"/>
              <w:jc w:val="center"/>
              <w:rPr>
                <w:color w:val="auto"/>
                <w:sz w:val="18"/>
                <w:highlight w:val="none"/>
              </w:rPr>
            </w:pPr>
            <w:r>
              <w:rPr>
                <w:color w:val="auto"/>
                <w:sz w:val="18"/>
                <w:highlight w:val="none"/>
              </w:rPr>
              <w:t>Y＜200</w:t>
            </w:r>
          </w:p>
        </w:tc>
      </w:tr>
      <w:tr w14:paraId="3FFE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4" w:type="dxa"/>
            <w:vMerge w:val="restart"/>
            <w:vAlign w:val="center"/>
          </w:tcPr>
          <w:p w14:paraId="76C5B84E">
            <w:pPr>
              <w:pStyle w:val="33"/>
              <w:spacing w:before="3"/>
              <w:ind w:firstLine="560"/>
              <w:jc w:val="both"/>
              <w:rPr>
                <w:b/>
                <w:color w:val="auto"/>
                <w:highlight w:val="none"/>
              </w:rPr>
            </w:pPr>
          </w:p>
          <w:p w14:paraId="6B927FD9">
            <w:pPr>
              <w:pStyle w:val="33"/>
              <w:spacing w:before="1"/>
              <w:ind w:left="107" w:firstLine="361"/>
              <w:jc w:val="both"/>
              <w:rPr>
                <w:color w:val="auto"/>
                <w:sz w:val="18"/>
                <w:highlight w:val="none"/>
              </w:rPr>
            </w:pPr>
            <w:r>
              <w:rPr>
                <w:color w:val="auto"/>
                <w:sz w:val="18"/>
                <w:highlight w:val="none"/>
              </w:rPr>
              <w:t>仓储业*</w:t>
            </w:r>
          </w:p>
        </w:tc>
        <w:tc>
          <w:tcPr>
            <w:tcW w:w="1338" w:type="dxa"/>
            <w:vAlign w:val="center"/>
          </w:tcPr>
          <w:p w14:paraId="07CF05E2">
            <w:pPr>
              <w:pStyle w:val="33"/>
              <w:spacing w:before="77"/>
              <w:ind w:right="210" w:firstLine="361"/>
              <w:jc w:val="center"/>
              <w:rPr>
                <w:color w:val="auto"/>
                <w:sz w:val="18"/>
                <w:highlight w:val="none"/>
              </w:rPr>
            </w:pPr>
            <w:r>
              <w:rPr>
                <w:color w:val="auto"/>
                <w:sz w:val="18"/>
                <w:highlight w:val="none"/>
              </w:rPr>
              <w:t>从业人员(X)</w:t>
            </w:r>
          </w:p>
        </w:tc>
        <w:tc>
          <w:tcPr>
            <w:tcW w:w="692" w:type="dxa"/>
            <w:vAlign w:val="center"/>
          </w:tcPr>
          <w:p w14:paraId="7CDCF8A5">
            <w:pPr>
              <w:pStyle w:val="33"/>
              <w:spacing w:before="77"/>
              <w:ind w:firstLine="361"/>
              <w:jc w:val="center"/>
              <w:rPr>
                <w:color w:val="auto"/>
                <w:sz w:val="18"/>
                <w:highlight w:val="none"/>
              </w:rPr>
            </w:pPr>
            <w:r>
              <w:rPr>
                <w:color w:val="auto"/>
                <w:sz w:val="18"/>
                <w:highlight w:val="none"/>
              </w:rPr>
              <w:t>人</w:t>
            </w:r>
          </w:p>
        </w:tc>
        <w:tc>
          <w:tcPr>
            <w:tcW w:w="1098" w:type="dxa"/>
            <w:vAlign w:val="center"/>
          </w:tcPr>
          <w:p w14:paraId="377B7CD3">
            <w:pPr>
              <w:pStyle w:val="33"/>
              <w:spacing w:before="77"/>
              <w:ind w:right="169" w:firstLine="361"/>
              <w:jc w:val="center"/>
              <w:rPr>
                <w:color w:val="auto"/>
                <w:sz w:val="18"/>
                <w:highlight w:val="none"/>
              </w:rPr>
            </w:pPr>
            <w:r>
              <w:rPr>
                <w:color w:val="auto"/>
                <w:sz w:val="18"/>
                <w:highlight w:val="none"/>
              </w:rPr>
              <w:t>X≥200</w:t>
            </w:r>
          </w:p>
        </w:tc>
        <w:tc>
          <w:tcPr>
            <w:tcW w:w="1663" w:type="dxa"/>
            <w:vAlign w:val="center"/>
          </w:tcPr>
          <w:p w14:paraId="0180DD50">
            <w:pPr>
              <w:pStyle w:val="33"/>
              <w:spacing w:before="77"/>
              <w:ind w:firstLine="361"/>
              <w:jc w:val="center"/>
              <w:rPr>
                <w:color w:val="auto"/>
                <w:sz w:val="18"/>
                <w:highlight w:val="none"/>
              </w:rPr>
            </w:pPr>
            <w:r>
              <w:rPr>
                <w:color w:val="auto"/>
                <w:sz w:val="18"/>
                <w:highlight w:val="none"/>
              </w:rPr>
              <w:t>100≤X＜200</w:t>
            </w:r>
          </w:p>
        </w:tc>
        <w:tc>
          <w:tcPr>
            <w:tcW w:w="1582" w:type="dxa"/>
            <w:vAlign w:val="center"/>
          </w:tcPr>
          <w:p w14:paraId="07C0A454">
            <w:pPr>
              <w:pStyle w:val="33"/>
              <w:spacing w:before="77"/>
              <w:ind w:firstLine="361"/>
              <w:jc w:val="center"/>
              <w:rPr>
                <w:color w:val="auto"/>
                <w:sz w:val="18"/>
                <w:highlight w:val="none"/>
              </w:rPr>
            </w:pPr>
            <w:r>
              <w:rPr>
                <w:color w:val="auto"/>
                <w:sz w:val="18"/>
                <w:highlight w:val="none"/>
              </w:rPr>
              <w:t>20≤X＜100</w:t>
            </w:r>
          </w:p>
        </w:tc>
        <w:tc>
          <w:tcPr>
            <w:tcW w:w="1314" w:type="dxa"/>
            <w:vAlign w:val="center"/>
          </w:tcPr>
          <w:p w14:paraId="3CF0932F">
            <w:pPr>
              <w:pStyle w:val="33"/>
              <w:spacing w:before="77"/>
              <w:ind w:right="186" w:firstLine="361"/>
              <w:jc w:val="center"/>
              <w:rPr>
                <w:color w:val="auto"/>
                <w:sz w:val="18"/>
                <w:highlight w:val="none"/>
              </w:rPr>
            </w:pPr>
            <w:r>
              <w:rPr>
                <w:color w:val="auto"/>
                <w:sz w:val="18"/>
                <w:highlight w:val="none"/>
              </w:rPr>
              <w:t>X＜20</w:t>
            </w:r>
          </w:p>
        </w:tc>
      </w:tr>
      <w:tr w14:paraId="09C2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04" w:type="dxa"/>
            <w:vMerge w:val="continue"/>
            <w:tcBorders>
              <w:top w:val="nil"/>
            </w:tcBorders>
            <w:vAlign w:val="center"/>
          </w:tcPr>
          <w:p w14:paraId="0DCA92A4">
            <w:pPr>
              <w:ind w:firstLine="40"/>
              <w:jc w:val="both"/>
              <w:rPr>
                <w:color w:val="auto"/>
                <w:sz w:val="2"/>
                <w:szCs w:val="2"/>
                <w:highlight w:val="none"/>
              </w:rPr>
            </w:pPr>
          </w:p>
        </w:tc>
        <w:tc>
          <w:tcPr>
            <w:tcW w:w="1338" w:type="dxa"/>
            <w:vAlign w:val="center"/>
          </w:tcPr>
          <w:p w14:paraId="3D1B641A">
            <w:pPr>
              <w:pStyle w:val="33"/>
              <w:spacing w:before="85"/>
              <w:ind w:right="210" w:firstLine="361"/>
              <w:jc w:val="center"/>
              <w:rPr>
                <w:color w:val="auto"/>
                <w:sz w:val="18"/>
                <w:highlight w:val="none"/>
              </w:rPr>
            </w:pPr>
            <w:r>
              <w:rPr>
                <w:color w:val="auto"/>
                <w:sz w:val="18"/>
                <w:highlight w:val="none"/>
              </w:rPr>
              <w:t>营业收入(Y)</w:t>
            </w:r>
          </w:p>
        </w:tc>
        <w:tc>
          <w:tcPr>
            <w:tcW w:w="692" w:type="dxa"/>
            <w:vAlign w:val="center"/>
          </w:tcPr>
          <w:p w14:paraId="69596717">
            <w:pPr>
              <w:pStyle w:val="33"/>
              <w:spacing w:before="78"/>
              <w:ind w:right="171" w:firstLine="361"/>
              <w:jc w:val="center"/>
              <w:rPr>
                <w:color w:val="auto"/>
                <w:sz w:val="18"/>
                <w:highlight w:val="none"/>
              </w:rPr>
            </w:pPr>
            <w:r>
              <w:rPr>
                <w:color w:val="auto"/>
                <w:sz w:val="18"/>
                <w:highlight w:val="none"/>
              </w:rPr>
              <w:t>万元</w:t>
            </w:r>
          </w:p>
        </w:tc>
        <w:tc>
          <w:tcPr>
            <w:tcW w:w="1098" w:type="dxa"/>
            <w:vAlign w:val="center"/>
          </w:tcPr>
          <w:p w14:paraId="00A50B5C">
            <w:pPr>
              <w:pStyle w:val="33"/>
              <w:spacing w:before="78"/>
              <w:ind w:right="169" w:firstLine="361"/>
              <w:jc w:val="center"/>
              <w:rPr>
                <w:color w:val="auto"/>
                <w:sz w:val="18"/>
                <w:highlight w:val="none"/>
              </w:rPr>
            </w:pPr>
            <w:r>
              <w:rPr>
                <w:color w:val="auto"/>
                <w:sz w:val="18"/>
                <w:highlight w:val="none"/>
              </w:rPr>
              <w:t>Y≥30000</w:t>
            </w:r>
          </w:p>
        </w:tc>
        <w:tc>
          <w:tcPr>
            <w:tcW w:w="1663" w:type="dxa"/>
            <w:vAlign w:val="center"/>
          </w:tcPr>
          <w:p w14:paraId="06607F20">
            <w:pPr>
              <w:pStyle w:val="33"/>
              <w:spacing w:before="78"/>
              <w:ind w:firstLine="361"/>
              <w:jc w:val="center"/>
              <w:rPr>
                <w:color w:val="auto"/>
                <w:sz w:val="18"/>
                <w:highlight w:val="none"/>
              </w:rPr>
            </w:pPr>
            <w:r>
              <w:rPr>
                <w:color w:val="auto"/>
                <w:sz w:val="18"/>
                <w:highlight w:val="none"/>
              </w:rPr>
              <w:t>1000≤Y＜30000</w:t>
            </w:r>
          </w:p>
        </w:tc>
        <w:tc>
          <w:tcPr>
            <w:tcW w:w="1582" w:type="dxa"/>
            <w:vAlign w:val="center"/>
          </w:tcPr>
          <w:p w14:paraId="3583710D">
            <w:pPr>
              <w:pStyle w:val="33"/>
              <w:spacing w:before="78"/>
              <w:ind w:firstLine="361"/>
              <w:jc w:val="center"/>
              <w:rPr>
                <w:color w:val="auto"/>
                <w:sz w:val="18"/>
                <w:highlight w:val="none"/>
              </w:rPr>
            </w:pPr>
            <w:r>
              <w:rPr>
                <w:color w:val="auto"/>
                <w:sz w:val="18"/>
                <w:highlight w:val="none"/>
              </w:rPr>
              <w:t>100≤Y＜1000</w:t>
            </w:r>
          </w:p>
        </w:tc>
        <w:tc>
          <w:tcPr>
            <w:tcW w:w="1314" w:type="dxa"/>
            <w:vAlign w:val="center"/>
          </w:tcPr>
          <w:p w14:paraId="45F4E6A2">
            <w:pPr>
              <w:pStyle w:val="33"/>
              <w:spacing w:before="78"/>
              <w:ind w:right="186" w:firstLine="361"/>
              <w:jc w:val="center"/>
              <w:rPr>
                <w:color w:val="auto"/>
                <w:sz w:val="18"/>
                <w:highlight w:val="none"/>
              </w:rPr>
            </w:pPr>
            <w:r>
              <w:rPr>
                <w:color w:val="auto"/>
                <w:sz w:val="18"/>
                <w:highlight w:val="none"/>
              </w:rPr>
              <w:t>Y＜100</w:t>
            </w:r>
          </w:p>
        </w:tc>
      </w:tr>
      <w:tr w14:paraId="5C71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4" w:type="dxa"/>
            <w:vMerge w:val="restart"/>
            <w:vAlign w:val="center"/>
          </w:tcPr>
          <w:p w14:paraId="45493C70">
            <w:pPr>
              <w:pStyle w:val="33"/>
              <w:spacing w:before="4"/>
              <w:ind w:firstLine="560"/>
              <w:jc w:val="both"/>
              <w:rPr>
                <w:b/>
                <w:color w:val="auto"/>
                <w:highlight w:val="none"/>
              </w:rPr>
            </w:pPr>
          </w:p>
          <w:p w14:paraId="33988230">
            <w:pPr>
              <w:pStyle w:val="33"/>
              <w:ind w:left="107" w:firstLine="361"/>
              <w:jc w:val="both"/>
              <w:rPr>
                <w:color w:val="auto"/>
                <w:sz w:val="18"/>
                <w:highlight w:val="none"/>
              </w:rPr>
            </w:pPr>
            <w:r>
              <w:rPr>
                <w:color w:val="auto"/>
                <w:sz w:val="18"/>
                <w:highlight w:val="none"/>
              </w:rPr>
              <w:t>邮政业</w:t>
            </w:r>
          </w:p>
        </w:tc>
        <w:tc>
          <w:tcPr>
            <w:tcW w:w="1338" w:type="dxa"/>
            <w:vAlign w:val="center"/>
          </w:tcPr>
          <w:p w14:paraId="532E61B5">
            <w:pPr>
              <w:pStyle w:val="33"/>
              <w:spacing w:before="77"/>
              <w:ind w:right="210" w:firstLine="361"/>
              <w:jc w:val="center"/>
              <w:rPr>
                <w:color w:val="auto"/>
                <w:sz w:val="18"/>
                <w:highlight w:val="none"/>
              </w:rPr>
            </w:pPr>
            <w:r>
              <w:rPr>
                <w:color w:val="auto"/>
                <w:sz w:val="18"/>
                <w:highlight w:val="none"/>
              </w:rPr>
              <w:t>从业人员(X)</w:t>
            </w:r>
          </w:p>
        </w:tc>
        <w:tc>
          <w:tcPr>
            <w:tcW w:w="692" w:type="dxa"/>
            <w:vAlign w:val="center"/>
          </w:tcPr>
          <w:p w14:paraId="6D19816C">
            <w:pPr>
              <w:pStyle w:val="33"/>
              <w:spacing w:before="77"/>
              <w:ind w:firstLine="361"/>
              <w:jc w:val="center"/>
              <w:rPr>
                <w:color w:val="auto"/>
                <w:sz w:val="18"/>
                <w:highlight w:val="none"/>
              </w:rPr>
            </w:pPr>
            <w:r>
              <w:rPr>
                <w:color w:val="auto"/>
                <w:sz w:val="18"/>
                <w:highlight w:val="none"/>
              </w:rPr>
              <w:t>人</w:t>
            </w:r>
          </w:p>
        </w:tc>
        <w:tc>
          <w:tcPr>
            <w:tcW w:w="1098" w:type="dxa"/>
            <w:vAlign w:val="center"/>
          </w:tcPr>
          <w:p w14:paraId="52FD269A">
            <w:pPr>
              <w:pStyle w:val="33"/>
              <w:spacing w:before="77"/>
              <w:ind w:right="169" w:firstLine="361"/>
              <w:jc w:val="center"/>
              <w:rPr>
                <w:color w:val="auto"/>
                <w:sz w:val="18"/>
                <w:highlight w:val="none"/>
              </w:rPr>
            </w:pPr>
            <w:r>
              <w:rPr>
                <w:color w:val="auto"/>
                <w:sz w:val="18"/>
                <w:highlight w:val="none"/>
              </w:rPr>
              <w:t>X≥1000</w:t>
            </w:r>
          </w:p>
        </w:tc>
        <w:tc>
          <w:tcPr>
            <w:tcW w:w="1663" w:type="dxa"/>
            <w:vAlign w:val="center"/>
          </w:tcPr>
          <w:p w14:paraId="79F3EEF6">
            <w:pPr>
              <w:pStyle w:val="33"/>
              <w:spacing w:before="77"/>
              <w:ind w:firstLine="361"/>
              <w:jc w:val="center"/>
              <w:rPr>
                <w:color w:val="auto"/>
                <w:sz w:val="18"/>
                <w:highlight w:val="none"/>
              </w:rPr>
            </w:pPr>
            <w:r>
              <w:rPr>
                <w:color w:val="auto"/>
                <w:sz w:val="18"/>
                <w:highlight w:val="none"/>
              </w:rPr>
              <w:t>300≤X＜1000</w:t>
            </w:r>
          </w:p>
        </w:tc>
        <w:tc>
          <w:tcPr>
            <w:tcW w:w="1582" w:type="dxa"/>
            <w:vAlign w:val="center"/>
          </w:tcPr>
          <w:p w14:paraId="5AC5C071">
            <w:pPr>
              <w:pStyle w:val="33"/>
              <w:spacing w:before="77"/>
              <w:ind w:firstLine="361"/>
              <w:jc w:val="center"/>
              <w:rPr>
                <w:color w:val="auto"/>
                <w:sz w:val="18"/>
                <w:highlight w:val="none"/>
              </w:rPr>
            </w:pPr>
            <w:r>
              <w:rPr>
                <w:color w:val="auto"/>
                <w:sz w:val="18"/>
                <w:highlight w:val="none"/>
              </w:rPr>
              <w:t>20≤X＜300</w:t>
            </w:r>
          </w:p>
        </w:tc>
        <w:tc>
          <w:tcPr>
            <w:tcW w:w="1314" w:type="dxa"/>
            <w:vAlign w:val="center"/>
          </w:tcPr>
          <w:p w14:paraId="27031555">
            <w:pPr>
              <w:pStyle w:val="33"/>
              <w:spacing w:before="77"/>
              <w:ind w:right="186" w:firstLine="361"/>
              <w:jc w:val="center"/>
              <w:rPr>
                <w:color w:val="auto"/>
                <w:sz w:val="18"/>
                <w:highlight w:val="none"/>
              </w:rPr>
            </w:pPr>
            <w:r>
              <w:rPr>
                <w:color w:val="auto"/>
                <w:sz w:val="18"/>
                <w:highlight w:val="none"/>
              </w:rPr>
              <w:t>X＜20</w:t>
            </w:r>
          </w:p>
        </w:tc>
      </w:tr>
      <w:tr w14:paraId="3388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7567096C">
            <w:pPr>
              <w:ind w:firstLine="40"/>
              <w:jc w:val="both"/>
              <w:rPr>
                <w:color w:val="auto"/>
                <w:sz w:val="2"/>
                <w:szCs w:val="2"/>
                <w:highlight w:val="none"/>
              </w:rPr>
            </w:pPr>
          </w:p>
        </w:tc>
        <w:tc>
          <w:tcPr>
            <w:tcW w:w="1338" w:type="dxa"/>
            <w:vAlign w:val="center"/>
          </w:tcPr>
          <w:p w14:paraId="226805E3">
            <w:pPr>
              <w:pStyle w:val="33"/>
              <w:spacing w:before="86"/>
              <w:ind w:right="210" w:firstLine="361"/>
              <w:jc w:val="center"/>
              <w:rPr>
                <w:color w:val="auto"/>
                <w:sz w:val="18"/>
                <w:highlight w:val="none"/>
              </w:rPr>
            </w:pPr>
            <w:r>
              <w:rPr>
                <w:color w:val="auto"/>
                <w:sz w:val="18"/>
                <w:highlight w:val="none"/>
              </w:rPr>
              <w:t>营业收入(Y)</w:t>
            </w:r>
          </w:p>
        </w:tc>
        <w:tc>
          <w:tcPr>
            <w:tcW w:w="692" w:type="dxa"/>
            <w:vAlign w:val="center"/>
          </w:tcPr>
          <w:p w14:paraId="3594B680">
            <w:pPr>
              <w:pStyle w:val="33"/>
              <w:spacing w:before="79"/>
              <w:ind w:right="171" w:firstLine="361"/>
              <w:jc w:val="center"/>
              <w:rPr>
                <w:color w:val="auto"/>
                <w:sz w:val="18"/>
                <w:highlight w:val="none"/>
              </w:rPr>
            </w:pPr>
            <w:r>
              <w:rPr>
                <w:color w:val="auto"/>
                <w:sz w:val="18"/>
                <w:highlight w:val="none"/>
              </w:rPr>
              <w:t>万元</w:t>
            </w:r>
          </w:p>
        </w:tc>
        <w:tc>
          <w:tcPr>
            <w:tcW w:w="1098" w:type="dxa"/>
            <w:vAlign w:val="center"/>
          </w:tcPr>
          <w:p w14:paraId="77219654">
            <w:pPr>
              <w:pStyle w:val="33"/>
              <w:spacing w:before="79"/>
              <w:ind w:right="169" w:firstLine="361"/>
              <w:jc w:val="center"/>
              <w:rPr>
                <w:color w:val="auto"/>
                <w:sz w:val="18"/>
                <w:highlight w:val="none"/>
              </w:rPr>
            </w:pPr>
            <w:r>
              <w:rPr>
                <w:color w:val="auto"/>
                <w:sz w:val="18"/>
                <w:highlight w:val="none"/>
              </w:rPr>
              <w:t>Y≥30000</w:t>
            </w:r>
          </w:p>
        </w:tc>
        <w:tc>
          <w:tcPr>
            <w:tcW w:w="1663" w:type="dxa"/>
            <w:vAlign w:val="center"/>
          </w:tcPr>
          <w:p w14:paraId="7205C091">
            <w:pPr>
              <w:pStyle w:val="33"/>
              <w:spacing w:before="79"/>
              <w:ind w:firstLine="361"/>
              <w:jc w:val="center"/>
              <w:rPr>
                <w:color w:val="auto"/>
                <w:sz w:val="18"/>
                <w:highlight w:val="none"/>
              </w:rPr>
            </w:pPr>
            <w:r>
              <w:rPr>
                <w:color w:val="auto"/>
                <w:sz w:val="18"/>
                <w:highlight w:val="none"/>
              </w:rPr>
              <w:t>2000≤Y＜30000</w:t>
            </w:r>
          </w:p>
        </w:tc>
        <w:tc>
          <w:tcPr>
            <w:tcW w:w="1582" w:type="dxa"/>
            <w:vAlign w:val="center"/>
          </w:tcPr>
          <w:p w14:paraId="0F76A898">
            <w:pPr>
              <w:pStyle w:val="33"/>
              <w:spacing w:before="79"/>
              <w:ind w:firstLine="361"/>
              <w:jc w:val="center"/>
              <w:rPr>
                <w:color w:val="auto"/>
                <w:sz w:val="18"/>
                <w:highlight w:val="none"/>
              </w:rPr>
            </w:pPr>
            <w:r>
              <w:rPr>
                <w:color w:val="auto"/>
                <w:sz w:val="18"/>
                <w:highlight w:val="none"/>
              </w:rPr>
              <w:t>100≤Y＜2000</w:t>
            </w:r>
          </w:p>
        </w:tc>
        <w:tc>
          <w:tcPr>
            <w:tcW w:w="1314" w:type="dxa"/>
            <w:vAlign w:val="center"/>
          </w:tcPr>
          <w:p w14:paraId="1405AAD2">
            <w:pPr>
              <w:pStyle w:val="33"/>
              <w:spacing w:before="79"/>
              <w:ind w:right="186" w:firstLine="361"/>
              <w:jc w:val="center"/>
              <w:rPr>
                <w:color w:val="auto"/>
                <w:sz w:val="18"/>
                <w:highlight w:val="none"/>
              </w:rPr>
            </w:pPr>
            <w:r>
              <w:rPr>
                <w:color w:val="auto"/>
                <w:sz w:val="18"/>
                <w:highlight w:val="none"/>
              </w:rPr>
              <w:t>Y＜100</w:t>
            </w:r>
          </w:p>
        </w:tc>
      </w:tr>
      <w:tr w14:paraId="2A978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704" w:type="dxa"/>
            <w:vMerge w:val="restart"/>
            <w:vAlign w:val="center"/>
          </w:tcPr>
          <w:p w14:paraId="1E0CAAED">
            <w:pPr>
              <w:pStyle w:val="33"/>
              <w:spacing w:before="2"/>
              <w:ind w:firstLine="560"/>
              <w:jc w:val="both"/>
              <w:rPr>
                <w:b/>
                <w:color w:val="auto"/>
                <w:highlight w:val="none"/>
              </w:rPr>
            </w:pPr>
          </w:p>
          <w:p w14:paraId="61C75201">
            <w:pPr>
              <w:pStyle w:val="33"/>
              <w:ind w:left="107" w:firstLine="361"/>
              <w:jc w:val="both"/>
              <w:rPr>
                <w:color w:val="auto"/>
                <w:sz w:val="18"/>
                <w:highlight w:val="none"/>
              </w:rPr>
            </w:pPr>
            <w:r>
              <w:rPr>
                <w:color w:val="auto"/>
                <w:sz w:val="18"/>
                <w:highlight w:val="none"/>
              </w:rPr>
              <w:t>住宿业</w:t>
            </w:r>
          </w:p>
        </w:tc>
        <w:tc>
          <w:tcPr>
            <w:tcW w:w="1338" w:type="dxa"/>
            <w:vAlign w:val="center"/>
          </w:tcPr>
          <w:p w14:paraId="75BE82AE">
            <w:pPr>
              <w:pStyle w:val="33"/>
              <w:spacing w:before="77"/>
              <w:ind w:right="210" w:firstLine="361"/>
              <w:jc w:val="center"/>
              <w:rPr>
                <w:color w:val="auto"/>
                <w:sz w:val="18"/>
                <w:highlight w:val="none"/>
              </w:rPr>
            </w:pPr>
            <w:r>
              <w:rPr>
                <w:color w:val="auto"/>
                <w:sz w:val="18"/>
                <w:highlight w:val="none"/>
              </w:rPr>
              <w:t>从业人员(X)</w:t>
            </w:r>
          </w:p>
        </w:tc>
        <w:tc>
          <w:tcPr>
            <w:tcW w:w="692" w:type="dxa"/>
            <w:vAlign w:val="center"/>
          </w:tcPr>
          <w:p w14:paraId="070A1B32">
            <w:pPr>
              <w:pStyle w:val="33"/>
              <w:spacing w:before="77"/>
              <w:ind w:firstLine="361"/>
              <w:jc w:val="center"/>
              <w:rPr>
                <w:color w:val="auto"/>
                <w:sz w:val="18"/>
                <w:highlight w:val="none"/>
              </w:rPr>
            </w:pPr>
            <w:r>
              <w:rPr>
                <w:color w:val="auto"/>
                <w:sz w:val="18"/>
                <w:highlight w:val="none"/>
              </w:rPr>
              <w:t>人</w:t>
            </w:r>
          </w:p>
        </w:tc>
        <w:tc>
          <w:tcPr>
            <w:tcW w:w="1098" w:type="dxa"/>
            <w:vAlign w:val="center"/>
          </w:tcPr>
          <w:p w14:paraId="28F311ED">
            <w:pPr>
              <w:pStyle w:val="33"/>
              <w:spacing w:before="77"/>
              <w:ind w:right="169" w:firstLine="361"/>
              <w:jc w:val="center"/>
              <w:rPr>
                <w:color w:val="auto"/>
                <w:sz w:val="18"/>
                <w:highlight w:val="none"/>
              </w:rPr>
            </w:pPr>
            <w:r>
              <w:rPr>
                <w:color w:val="auto"/>
                <w:sz w:val="18"/>
                <w:highlight w:val="none"/>
              </w:rPr>
              <w:t>X≥300</w:t>
            </w:r>
          </w:p>
        </w:tc>
        <w:tc>
          <w:tcPr>
            <w:tcW w:w="1663" w:type="dxa"/>
            <w:vAlign w:val="center"/>
          </w:tcPr>
          <w:p w14:paraId="59EFA4E7">
            <w:pPr>
              <w:pStyle w:val="33"/>
              <w:spacing w:before="77"/>
              <w:ind w:firstLine="361"/>
              <w:jc w:val="center"/>
              <w:rPr>
                <w:color w:val="auto"/>
                <w:sz w:val="18"/>
                <w:highlight w:val="none"/>
              </w:rPr>
            </w:pPr>
            <w:r>
              <w:rPr>
                <w:color w:val="auto"/>
                <w:sz w:val="18"/>
                <w:highlight w:val="none"/>
              </w:rPr>
              <w:t>100≤X＜300</w:t>
            </w:r>
          </w:p>
        </w:tc>
        <w:tc>
          <w:tcPr>
            <w:tcW w:w="1582" w:type="dxa"/>
            <w:vAlign w:val="center"/>
          </w:tcPr>
          <w:p w14:paraId="4F309716">
            <w:pPr>
              <w:pStyle w:val="33"/>
              <w:spacing w:before="77"/>
              <w:ind w:firstLine="361"/>
              <w:jc w:val="center"/>
              <w:rPr>
                <w:color w:val="auto"/>
                <w:sz w:val="18"/>
                <w:highlight w:val="none"/>
              </w:rPr>
            </w:pPr>
            <w:r>
              <w:rPr>
                <w:color w:val="auto"/>
                <w:sz w:val="18"/>
                <w:highlight w:val="none"/>
              </w:rPr>
              <w:t>10≤X＜100</w:t>
            </w:r>
          </w:p>
        </w:tc>
        <w:tc>
          <w:tcPr>
            <w:tcW w:w="1314" w:type="dxa"/>
            <w:vAlign w:val="center"/>
          </w:tcPr>
          <w:p w14:paraId="20122B91">
            <w:pPr>
              <w:pStyle w:val="33"/>
              <w:spacing w:before="77"/>
              <w:ind w:right="186" w:firstLine="361"/>
              <w:jc w:val="center"/>
              <w:rPr>
                <w:color w:val="auto"/>
                <w:sz w:val="18"/>
                <w:highlight w:val="none"/>
              </w:rPr>
            </w:pPr>
            <w:r>
              <w:rPr>
                <w:color w:val="auto"/>
                <w:sz w:val="18"/>
                <w:highlight w:val="none"/>
              </w:rPr>
              <w:t>X＜10</w:t>
            </w:r>
          </w:p>
        </w:tc>
      </w:tr>
      <w:tr w14:paraId="2DEA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5229974E">
            <w:pPr>
              <w:ind w:firstLine="40"/>
              <w:jc w:val="both"/>
              <w:rPr>
                <w:color w:val="auto"/>
                <w:sz w:val="2"/>
                <w:szCs w:val="2"/>
                <w:highlight w:val="none"/>
              </w:rPr>
            </w:pPr>
          </w:p>
        </w:tc>
        <w:tc>
          <w:tcPr>
            <w:tcW w:w="1338" w:type="dxa"/>
            <w:vAlign w:val="center"/>
          </w:tcPr>
          <w:p w14:paraId="3D202FCE">
            <w:pPr>
              <w:pStyle w:val="33"/>
              <w:spacing w:before="86"/>
              <w:ind w:right="210" w:firstLine="361"/>
              <w:jc w:val="center"/>
              <w:rPr>
                <w:color w:val="auto"/>
                <w:sz w:val="18"/>
                <w:highlight w:val="none"/>
              </w:rPr>
            </w:pPr>
            <w:r>
              <w:rPr>
                <w:color w:val="auto"/>
                <w:sz w:val="18"/>
                <w:highlight w:val="none"/>
              </w:rPr>
              <w:t>营业收入(Y)</w:t>
            </w:r>
          </w:p>
        </w:tc>
        <w:tc>
          <w:tcPr>
            <w:tcW w:w="692" w:type="dxa"/>
            <w:vAlign w:val="center"/>
          </w:tcPr>
          <w:p w14:paraId="5BBDF8FC">
            <w:pPr>
              <w:pStyle w:val="33"/>
              <w:spacing w:before="79"/>
              <w:ind w:right="171" w:firstLine="361"/>
              <w:jc w:val="center"/>
              <w:rPr>
                <w:color w:val="auto"/>
                <w:sz w:val="18"/>
                <w:highlight w:val="none"/>
              </w:rPr>
            </w:pPr>
            <w:r>
              <w:rPr>
                <w:color w:val="auto"/>
                <w:sz w:val="18"/>
                <w:highlight w:val="none"/>
              </w:rPr>
              <w:t>万元</w:t>
            </w:r>
          </w:p>
        </w:tc>
        <w:tc>
          <w:tcPr>
            <w:tcW w:w="1098" w:type="dxa"/>
            <w:vAlign w:val="center"/>
          </w:tcPr>
          <w:p w14:paraId="76275863">
            <w:pPr>
              <w:pStyle w:val="33"/>
              <w:spacing w:before="79"/>
              <w:ind w:right="169" w:firstLine="361"/>
              <w:jc w:val="center"/>
              <w:rPr>
                <w:color w:val="auto"/>
                <w:sz w:val="18"/>
                <w:highlight w:val="none"/>
              </w:rPr>
            </w:pPr>
            <w:r>
              <w:rPr>
                <w:color w:val="auto"/>
                <w:sz w:val="18"/>
                <w:highlight w:val="none"/>
              </w:rPr>
              <w:t>Y≥10000</w:t>
            </w:r>
          </w:p>
        </w:tc>
        <w:tc>
          <w:tcPr>
            <w:tcW w:w="1663" w:type="dxa"/>
            <w:vAlign w:val="center"/>
          </w:tcPr>
          <w:p w14:paraId="17C681F5">
            <w:pPr>
              <w:pStyle w:val="33"/>
              <w:spacing w:before="79"/>
              <w:ind w:firstLine="361"/>
              <w:jc w:val="center"/>
              <w:rPr>
                <w:color w:val="auto"/>
                <w:sz w:val="18"/>
                <w:highlight w:val="none"/>
              </w:rPr>
            </w:pPr>
            <w:r>
              <w:rPr>
                <w:color w:val="auto"/>
                <w:sz w:val="18"/>
                <w:highlight w:val="none"/>
              </w:rPr>
              <w:t>2000≤Y＜10000</w:t>
            </w:r>
          </w:p>
        </w:tc>
        <w:tc>
          <w:tcPr>
            <w:tcW w:w="1582" w:type="dxa"/>
            <w:vAlign w:val="center"/>
          </w:tcPr>
          <w:p w14:paraId="76D6325F">
            <w:pPr>
              <w:pStyle w:val="33"/>
              <w:spacing w:before="79"/>
              <w:ind w:firstLine="361"/>
              <w:jc w:val="center"/>
              <w:rPr>
                <w:color w:val="auto"/>
                <w:sz w:val="18"/>
                <w:highlight w:val="none"/>
              </w:rPr>
            </w:pPr>
            <w:r>
              <w:rPr>
                <w:color w:val="auto"/>
                <w:sz w:val="18"/>
                <w:highlight w:val="none"/>
              </w:rPr>
              <w:t>100≤Y＜2000</w:t>
            </w:r>
          </w:p>
        </w:tc>
        <w:tc>
          <w:tcPr>
            <w:tcW w:w="1314" w:type="dxa"/>
            <w:vAlign w:val="center"/>
          </w:tcPr>
          <w:p w14:paraId="3E228CD4">
            <w:pPr>
              <w:pStyle w:val="33"/>
              <w:spacing w:before="79"/>
              <w:ind w:right="186" w:firstLine="361"/>
              <w:jc w:val="center"/>
              <w:rPr>
                <w:color w:val="auto"/>
                <w:sz w:val="18"/>
                <w:highlight w:val="none"/>
              </w:rPr>
            </w:pPr>
            <w:r>
              <w:rPr>
                <w:color w:val="auto"/>
                <w:sz w:val="18"/>
                <w:highlight w:val="none"/>
              </w:rPr>
              <w:t>Y＜100</w:t>
            </w:r>
          </w:p>
        </w:tc>
      </w:tr>
      <w:tr w14:paraId="1FF8E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04" w:type="dxa"/>
            <w:vMerge w:val="restart"/>
            <w:vAlign w:val="center"/>
          </w:tcPr>
          <w:p w14:paraId="0CD6D09E">
            <w:pPr>
              <w:pStyle w:val="33"/>
              <w:spacing w:before="2"/>
              <w:ind w:firstLine="560"/>
              <w:jc w:val="both"/>
              <w:rPr>
                <w:b/>
                <w:color w:val="auto"/>
                <w:highlight w:val="none"/>
              </w:rPr>
            </w:pPr>
          </w:p>
          <w:p w14:paraId="38186AD3">
            <w:pPr>
              <w:pStyle w:val="33"/>
              <w:ind w:left="107" w:firstLine="361"/>
              <w:jc w:val="both"/>
              <w:rPr>
                <w:color w:val="auto"/>
                <w:sz w:val="18"/>
                <w:highlight w:val="none"/>
              </w:rPr>
            </w:pPr>
            <w:r>
              <w:rPr>
                <w:color w:val="auto"/>
                <w:sz w:val="18"/>
                <w:highlight w:val="none"/>
              </w:rPr>
              <w:t>餐饮业</w:t>
            </w:r>
          </w:p>
        </w:tc>
        <w:tc>
          <w:tcPr>
            <w:tcW w:w="1338" w:type="dxa"/>
            <w:vAlign w:val="center"/>
          </w:tcPr>
          <w:p w14:paraId="5C843813">
            <w:pPr>
              <w:pStyle w:val="33"/>
              <w:spacing w:before="78"/>
              <w:ind w:right="210" w:firstLine="361"/>
              <w:jc w:val="center"/>
              <w:rPr>
                <w:color w:val="auto"/>
                <w:sz w:val="18"/>
                <w:highlight w:val="none"/>
              </w:rPr>
            </w:pPr>
            <w:r>
              <w:rPr>
                <w:color w:val="auto"/>
                <w:sz w:val="18"/>
                <w:highlight w:val="none"/>
              </w:rPr>
              <w:t>从业人员(X)</w:t>
            </w:r>
          </w:p>
        </w:tc>
        <w:tc>
          <w:tcPr>
            <w:tcW w:w="692" w:type="dxa"/>
            <w:vAlign w:val="center"/>
          </w:tcPr>
          <w:p w14:paraId="76D3EAA7">
            <w:pPr>
              <w:pStyle w:val="33"/>
              <w:spacing w:before="78"/>
              <w:ind w:firstLine="361"/>
              <w:jc w:val="center"/>
              <w:rPr>
                <w:color w:val="auto"/>
                <w:sz w:val="18"/>
                <w:highlight w:val="none"/>
              </w:rPr>
            </w:pPr>
            <w:r>
              <w:rPr>
                <w:color w:val="auto"/>
                <w:sz w:val="18"/>
                <w:highlight w:val="none"/>
              </w:rPr>
              <w:t>人</w:t>
            </w:r>
          </w:p>
        </w:tc>
        <w:tc>
          <w:tcPr>
            <w:tcW w:w="1098" w:type="dxa"/>
            <w:vAlign w:val="center"/>
          </w:tcPr>
          <w:p w14:paraId="4F8202E7">
            <w:pPr>
              <w:pStyle w:val="33"/>
              <w:spacing w:before="78"/>
              <w:ind w:right="169" w:firstLine="361"/>
              <w:jc w:val="center"/>
              <w:rPr>
                <w:color w:val="auto"/>
                <w:sz w:val="18"/>
                <w:highlight w:val="none"/>
              </w:rPr>
            </w:pPr>
            <w:r>
              <w:rPr>
                <w:color w:val="auto"/>
                <w:sz w:val="18"/>
                <w:highlight w:val="none"/>
              </w:rPr>
              <w:t>X≥300</w:t>
            </w:r>
          </w:p>
        </w:tc>
        <w:tc>
          <w:tcPr>
            <w:tcW w:w="1663" w:type="dxa"/>
            <w:vAlign w:val="center"/>
          </w:tcPr>
          <w:p w14:paraId="5EF00550">
            <w:pPr>
              <w:pStyle w:val="33"/>
              <w:spacing w:before="78"/>
              <w:ind w:firstLine="361"/>
              <w:jc w:val="center"/>
              <w:rPr>
                <w:color w:val="auto"/>
                <w:sz w:val="18"/>
                <w:highlight w:val="none"/>
              </w:rPr>
            </w:pPr>
            <w:r>
              <w:rPr>
                <w:color w:val="auto"/>
                <w:sz w:val="18"/>
                <w:highlight w:val="none"/>
              </w:rPr>
              <w:t>100≤X＜300</w:t>
            </w:r>
          </w:p>
        </w:tc>
        <w:tc>
          <w:tcPr>
            <w:tcW w:w="1582" w:type="dxa"/>
            <w:vAlign w:val="center"/>
          </w:tcPr>
          <w:p w14:paraId="34F45612">
            <w:pPr>
              <w:pStyle w:val="33"/>
              <w:spacing w:before="78"/>
              <w:ind w:firstLine="361"/>
              <w:jc w:val="center"/>
              <w:rPr>
                <w:color w:val="auto"/>
                <w:sz w:val="18"/>
                <w:highlight w:val="none"/>
              </w:rPr>
            </w:pPr>
            <w:r>
              <w:rPr>
                <w:color w:val="auto"/>
                <w:sz w:val="18"/>
                <w:highlight w:val="none"/>
              </w:rPr>
              <w:t>10≤X＜100</w:t>
            </w:r>
          </w:p>
        </w:tc>
        <w:tc>
          <w:tcPr>
            <w:tcW w:w="1314" w:type="dxa"/>
            <w:vAlign w:val="center"/>
          </w:tcPr>
          <w:p w14:paraId="2DE062C0">
            <w:pPr>
              <w:pStyle w:val="33"/>
              <w:spacing w:before="78"/>
              <w:ind w:right="186" w:firstLine="361"/>
              <w:jc w:val="center"/>
              <w:rPr>
                <w:color w:val="auto"/>
                <w:sz w:val="18"/>
                <w:highlight w:val="none"/>
              </w:rPr>
            </w:pPr>
            <w:r>
              <w:rPr>
                <w:color w:val="auto"/>
                <w:sz w:val="18"/>
                <w:highlight w:val="none"/>
              </w:rPr>
              <w:t>X＜10</w:t>
            </w:r>
          </w:p>
        </w:tc>
      </w:tr>
      <w:tr w14:paraId="4BBC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704" w:type="dxa"/>
            <w:vMerge w:val="continue"/>
            <w:tcBorders>
              <w:top w:val="nil"/>
            </w:tcBorders>
            <w:vAlign w:val="center"/>
          </w:tcPr>
          <w:p w14:paraId="0BFCEF3E">
            <w:pPr>
              <w:ind w:firstLine="40"/>
              <w:jc w:val="both"/>
              <w:rPr>
                <w:color w:val="auto"/>
                <w:sz w:val="2"/>
                <w:szCs w:val="2"/>
                <w:highlight w:val="none"/>
              </w:rPr>
            </w:pPr>
          </w:p>
        </w:tc>
        <w:tc>
          <w:tcPr>
            <w:tcW w:w="1338" w:type="dxa"/>
            <w:vAlign w:val="center"/>
          </w:tcPr>
          <w:p w14:paraId="7DAC50B2">
            <w:pPr>
              <w:pStyle w:val="33"/>
              <w:spacing w:before="86"/>
              <w:ind w:right="210" w:firstLine="361"/>
              <w:jc w:val="center"/>
              <w:rPr>
                <w:color w:val="auto"/>
                <w:sz w:val="18"/>
                <w:highlight w:val="none"/>
              </w:rPr>
            </w:pPr>
            <w:r>
              <w:rPr>
                <w:color w:val="auto"/>
                <w:sz w:val="18"/>
                <w:highlight w:val="none"/>
              </w:rPr>
              <w:t>营业收入(Y)</w:t>
            </w:r>
          </w:p>
        </w:tc>
        <w:tc>
          <w:tcPr>
            <w:tcW w:w="692" w:type="dxa"/>
            <w:vAlign w:val="center"/>
          </w:tcPr>
          <w:p w14:paraId="48B2BBC4">
            <w:pPr>
              <w:pStyle w:val="33"/>
              <w:spacing w:before="77"/>
              <w:ind w:right="171" w:firstLine="361"/>
              <w:jc w:val="center"/>
              <w:rPr>
                <w:color w:val="auto"/>
                <w:sz w:val="18"/>
                <w:highlight w:val="none"/>
              </w:rPr>
            </w:pPr>
            <w:r>
              <w:rPr>
                <w:color w:val="auto"/>
                <w:sz w:val="18"/>
                <w:highlight w:val="none"/>
              </w:rPr>
              <w:t>万元</w:t>
            </w:r>
          </w:p>
        </w:tc>
        <w:tc>
          <w:tcPr>
            <w:tcW w:w="1098" w:type="dxa"/>
            <w:vAlign w:val="center"/>
          </w:tcPr>
          <w:p w14:paraId="54F01428">
            <w:pPr>
              <w:pStyle w:val="33"/>
              <w:spacing w:before="77"/>
              <w:ind w:right="169" w:firstLine="361"/>
              <w:jc w:val="center"/>
              <w:rPr>
                <w:color w:val="auto"/>
                <w:sz w:val="18"/>
                <w:highlight w:val="none"/>
              </w:rPr>
            </w:pPr>
            <w:r>
              <w:rPr>
                <w:color w:val="auto"/>
                <w:sz w:val="18"/>
                <w:highlight w:val="none"/>
              </w:rPr>
              <w:t>Y≥10000</w:t>
            </w:r>
          </w:p>
        </w:tc>
        <w:tc>
          <w:tcPr>
            <w:tcW w:w="1663" w:type="dxa"/>
            <w:vAlign w:val="center"/>
          </w:tcPr>
          <w:p w14:paraId="069C87C6">
            <w:pPr>
              <w:pStyle w:val="33"/>
              <w:spacing w:before="77"/>
              <w:ind w:firstLine="361"/>
              <w:jc w:val="center"/>
              <w:rPr>
                <w:color w:val="auto"/>
                <w:sz w:val="18"/>
                <w:highlight w:val="none"/>
              </w:rPr>
            </w:pPr>
            <w:r>
              <w:rPr>
                <w:color w:val="auto"/>
                <w:sz w:val="18"/>
                <w:highlight w:val="none"/>
              </w:rPr>
              <w:t>2000≤Y＜10000</w:t>
            </w:r>
          </w:p>
        </w:tc>
        <w:tc>
          <w:tcPr>
            <w:tcW w:w="1582" w:type="dxa"/>
            <w:vAlign w:val="center"/>
          </w:tcPr>
          <w:p w14:paraId="21B01252">
            <w:pPr>
              <w:pStyle w:val="33"/>
              <w:spacing w:before="77"/>
              <w:ind w:firstLine="361"/>
              <w:jc w:val="center"/>
              <w:rPr>
                <w:color w:val="auto"/>
                <w:sz w:val="18"/>
                <w:highlight w:val="none"/>
              </w:rPr>
            </w:pPr>
            <w:r>
              <w:rPr>
                <w:color w:val="auto"/>
                <w:sz w:val="18"/>
                <w:highlight w:val="none"/>
              </w:rPr>
              <w:t>100≤Y＜2000</w:t>
            </w:r>
          </w:p>
        </w:tc>
        <w:tc>
          <w:tcPr>
            <w:tcW w:w="1314" w:type="dxa"/>
            <w:vAlign w:val="center"/>
          </w:tcPr>
          <w:p w14:paraId="22EDE455">
            <w:pPr>
              <w:pStyle w:val="33"/>
              <w:spacing w:before="77"/>
              <w:ind w:right="186" w:firstLine="361"/>
              <w:jc w:val="center"/>
              <w:rPr>
                <w:color w:val="auto"/>
                <w:sz w:val="18"/>
                <w:highlight w:val="none"/>
              </w:rPr>
            </w:pPr>
            <w:r>
              <w:rPr>
                <w:color w:val="auto"/>
                <w:sz w:val="18"/>
                <w:highlight w:val="none"/>
              </w:rPr>
              <w:t>Y＜100</w:t>
            </w:r>
          </w:p>
        </w:tc>
      </w:tr>
      <w:tr w14:paraId="6326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704" w:type="dxa"/>
            <w:vMerge w:val="restart"/>
            <w:vAlign w:val="center"/>
          </w:tcPr>
          <w:p w14:paraId="53BE13E3">
            <w:pPr>
              <w:pStyle w:val="33"/>
              <w:spacing w:before="3"/>
              <w:ind w:firstLine="560"/>
              <w:jc w:val="both"/>
              <w:rPr>
                <w:b/>
                <w:color w:val="auto"/>
                <w:highlight w:val="none"/>
              </w:rPr>
            </w:pPr>
          </w:p>
          <w:p w14:paraId="720C3576">
            <w:pPr>
              <w:pStyle w:val="33"/>
              <w:ind w:left="107" w:firstLine="361"/>
              <w:jc w:val="both"/>
              <w:rPr>
                <w:color w:val="auto"/>
                <w:sz w:val="18"/>
                <w:highlight w:val="none"/>
              </w:rPr>
            </w:pPr>
            <w:r>
              <w:rPr>
                <w:color w:val="auto"/>
                <w:sz w:val="18"/>
                <w:highlight w:val="none"/>
              </w:rPr>
              <w:t>信息传输业*</w:t>
            </w:r>
          </w:p>
        </w:tc>
        <w:tc>
          <w:tcPr>
            <w:tcW w:w="1338" w:type="dxa"/>
            <w:vAlign w:val="center"/>
          </w:tcPr>
          <w:p w14:paraId="743FF326">
            <w:pPr>
              <w:pStyle w:val="33"/>
              <w:spacing w:before="78"/>
              <w:ind w:right="210" w:firstLine="361"/>
              <w:jc w:val="center"/>
              <w:rPr>
                <w:color w:val="auto"/>
                <w:sz w:val="18"/>
                <w:highlight w:val="none"/>
              </w:rPr>
            </w:pPr>
            <w:r>
              <w:rPr>
                <w:color w:val="auto"/>
                <w:sz w:val="18"/>
                <w:highlight w:val="none"/>
              </w:rPr>
              <w:t>从业人员(X)</w:t>
            </w:r>
          </w:p>
        </w:tc>
        <w:tc>
          <w:tcPr>
            <w:tcW w:w="692" w:type="dxa"/>
            <w:vAlign w:val="center"/>
          </w:tcPr>
          <w:p w14:paraId="2256A0A8">
            <w:pPr>
              <w:pStyle w:val="33"/>
              <w:spacing w:before="78"/>
              <w:ind w:firstLine="361"/>
              <w:jc w:val="center"/>
              <w:rPr>
                <w:color w:val="auto"/>
                <w:sz w:val="18"/>
                <w:highlight w:val="none"/>
              </w:rPr>
            </w:pPr>
            <w:r>
              <w:rPr>
                <w:color w:val="auto"/>
                <w:sz w:val="18"/>
                <w:highlight w:val="none"/>
              </w:rPr>
              <w:t>人</w:t>
            </w:r>
          </w:p>
        </w:tc>
        <w:tc>
          <w:tcPr>
            <w:tcW w:w="1098" w:type="dxa"/>
            <w:vAlign w:val="center"/>
          </w:tcPr>
          <w:p w14:paraId="7E9F1B24">
            <w:pPr>
              <w:pStyle w:val="33"/>
              <w:spacing w:before="78"/>
              <w:ind w:right="169" w:firstLine="361"/>
              <w:jc w:val="center"/>
              <w:rPr>
                <w:color w:val="auto"/>
                <w:sz w:val="18"/>
                <w:highlight w:val="none"/>
              </w:rPr>
            </w:pPr>
            <w:r>
              <w:rPr>
                <w:color w:val="auto"/>
                <w:sz w:val="18"/>
                <w:highlight w:val="none"/>
              </w:rPr>
              <w:t>X≥2000</w:t>
            </w:r>
          </w:p>
        </w:tc>
        <w:tc>
          <w:tcPr>
            <w:tcW w:w="1663" w:type="dxa"/>
            <w:vAlign w:val="center"/>
          </w:tcPr>
          <w:p w14:paraId="1F7720C5">
            <w:pPr>
              <w:pStyle w:val="33"/>
              <w:spacing w:before="78"/>
              <w:ind w:firstLine="361"/>
              <w:jc w:val="center"/>
              <w:rPr>
                <w:color w:val="auto"/>
                <w:sz w:val="18"/>
                <w:highlight w:val="none"/>
              </w:rPr>
            </w:pPr>
            <w:r>
              <w:rPr>
                <w:color w:val="auto"/>
                <w:sz w:val="18"/>
                <w:highlight w:val="none"/>
              </w:rPr>
              <w:t>100≤X＜2000</w:t>
            </w:r>
          </w:p>
        </w:tc>
        <w:tc>
          <w:tcPr>
            <w:tcW w:w="1582" w:type="dxa"/>
            <w:vAlign w:val="center"/>
          </w:tcPr>
          <w:p w14:paraId="1C92B345">
            <w:pPr>
              <w:pStyle w:val="33"/>
              <w:spacing w:before="78"/>
              <w:ind w:firstLine="361"/>
              <w:jc w:val="center"/>
              <w:rPr>
                <w:color w:val="auto"/>
                <w:sz w:val="18"/>
                <w:highlight w:val="none"/>
              </w:rPr>
            </w:pPr>
            <w:r>
              <w:rPr>
                <w:color w:val="auto"/>
                <w:sz w:val="18"/>
                <w:highlight w:val="none"/>
              </w:rPr>
              <w:t>10≤X＜100</w:t>
            </w:r>
          </w:p>
        </w:tc>
        <w:tc>
          <w:tcPr>
            <w:tcW w:w="1314" w:type="dxa"/>
            <w:vAlign w:val="center"/>
          </w:tcPr>
          <w:p w14:paraId="4BC6B28E">
            <w:pPr>
              <w:pStyle w:val="33"/>
              <w:spacing w:before="78"/>
              <w:ind w:right="186" w:firstLine="361"/>
              <w:jc w:val="center"/>
              <w:rPr>
                <w:color w:val="auto"/>
                <w:sz w:val="18"/>
                <w:highlight w:val="none"/>
              </w:rPr>
            </w:pPr>
            <w:r>
              <w:rPr>
                <w:color w:val="auto"/>
                <w:sz w:val="18"/>
                <w:highlight w:val="none"/>
              </w:rPr>
              <w:t>X＜10</w:t>
            </w:r>
          </w:p>
        </w:tc>
      </w:tr>
      <w:tr w14:paraId="56C8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704" w:type="dxa"/>
            <w:vMerge w:val="continue"/>
            <w:tcBorders>
              <w:top w:val="nil"/>
            </w:tcBorders>
            <w:vAlign w:val="center"/>
          </w:tcPr>
          <w:p w14:paraId="5173BFA6">
            <w:pPr>
              <w:ind w:firstLine="40"/>
              <w:jc w:val="both"/>
              <w:rPr>
                <w:color w:val="auto"/>
                <w:sz w:val="2"/>
                <w:szCs w:val="2"/>
                <w:highlight w:val="none"/>
              </w:rPr>
            </w:pPr>
          </w:p>
        </w:tc>
        <w:tc>
          <w:tcPr>
            <w:tcW w:w="1338" w:type="dxa"/>
            <w:vAlign w:val="center"/>
          </w:tcPr>
          <w:p w14:paraId="6357474C">
            <w:pPr>
              <w:pStyle w:val="33"/>
              <w:spacing w:before="87"/>
              <w:ind w:right="210" w:firstLine="361"/>
              <w:jc w:val="center"/>
              <w:rPr>
                <w:color w:val="auto"/>
                <w:sz w:val="18"/>
                <w:highlight w:val="none"/>
              </w:rPr>
            </w:pPr>
            <w:r>
              <w:rPr>
                <w:color w:val="auto"/>
                <w:sz w:val="18"/>
                <w:highlight w:val="none"/>
              </w:rPr>
              <w:t>营业收入(Y)</w:t>
            </w:r>
          </w:p>
        </w:tc>
        <w:tc>
          <w:tcPr>
            <w:tcW w:w="692" w:type="dxa"/>
            <w:vAlign w:val="center"/>
          </w:tcPr>
          <w:p w14:paraId="7F6D1BF1">
            <w:pPr>
              <w:pStyle w:val="33"/>
              <w:spacing w:before="77"/>
              <w:ind w:right="171" w:firstLine="361"/>
              <w:jc w:val="center"/>
              <w:rPr>
                <w:color w:val="auto"/>
                <w:sz w:val="18"/>
                <w:highlight w:val="none"/>
              </w:rPr>
            </w:pPr>
            <w:r>
              <w:rPr>
                <w:color w:val="auto"/>
                <w:sz w:val="18"/>
                <w:highlight w:val="none"/>
              </w:rPr>
              <w:t>万元</w:t>
            </w:r>
          </w:p>
        </w:tc>
        <w:tc>
          <w:tcPr>
            <w:tcW w:w="1098" w:type="dxa"/>
            <w:vAlign w:val="center"/>
          </w:tcPr>
          <w:p w14:paraId="2215E841">
            <w:pPr>
              <w:pStyle w:val="33"/>
              <w:spacing w:before="77"/>
              <w:ind w:right="169" w:firstLine="361"/>
              <w:jc w:val="center"/>
              <w:rPr>
                <w:color w:val="auto"/>
                <w:sz w:val="18"/>
                <w:highlight w:val="none"/>
              </w:rPr>
            </w:pPr>
            <w:r>
              <w:rPr>
                <w:color w:val="auto"/>
                <w:sz w:val="18"/>
                <w:highlight w:val="none"/>
              </w:rPr>
              <w:t>Y≥100000</w:t>
            </w:r>
          </w:p>
        </w:tc>
        <w:tc>
          <w:tcPr>
            <w:tcW w:w="1663" w:type="dxa"/>
            <w:vAlign w:val="center"/>
          </w:tcPr>
          <w:p w14:paraId="54AAC4BA">
            <w:pPr>
              <w:pStyle w:val="33"/>
              <w:spacing w:before="77"/>
              <w:ind w:firstLine="361"/>
              <w:jc w:val="center"/>
              <w:rPr>
                <w:color w:val="auto"/>
                <w:sz w:val="18"/>
                <w:highlight w:val="none"/>
              </w:rPr>
            </w:pPr>
            <w:r>
              <w:rPr>
                <w:color w:val="auto"/>
                <w:sz w:val="18"/>
                <w:highlight w:val="none"/>
              </w:rPr>
              <w:t>1000≤Y＜100000</w:t>
            </w:r>
          </w:p>
        </w:tc>
        <w:tc>
          <w:tcPr>
            <w:tcW w:w="1582" w:type="dxa"/>
            <w:vAlign w:val="center"/>
          </w:tcPr>
          <w:p w14:paraId="5D4E37E1">
            <w:pPr>
              <w:pStyle w:val="33"/>
              <w:spacing w:before="77"/>
              <w:ind w:firstLine="361"/>
              <w:jc w:val="center"/>
              <w:rPr>
                <w:color w:val="auto"/>
                <w:sz w:val="18"/>
                <w:highlight w:val="none"/>
              </w:rPr>
            </w:pPr>
            <w:r>
              <w:rPr>
                <w:color w:val="auto"/>
                <w:sz w:val="18"/>
                <w:highlight w:val="none"/>
              </w:rPr>
              <w:t>100≤Y＜1000</w:t>
            </w:r>
          </w:p>
        </w:tc>
        <w:tc>
          <w:tcPr>
            <w:tcW w:w="1314" w:type="dxa"/>
            <w:vAlign w:val="center"/>
          </w:tcPr>
          <w:p w14:paraId="33A00105">
            <w:pPr>
              <w:pStyle w:val="33"/>
              <w:spacing w:before="77"/>
              <w:ind w:right="186" w:firstLine="361"/>
              <w:jc w:val="center"/>
              <w:rPr>
                <w:color w:val="auto"/>
                <w:sz w:val="18"/>
                <w:highlight w:val="none"/>
              </w:rPr>
            </w:pPr>
            <w:r>
              <w:rPr>
                <w:color w:val="auto"/>
                <w:sz w:val="18"/>
                <w:highlight w:val="none"/>
              </w:rPr>
              <w:t>Y＜100</w:t>
            </w:r>
          </w:p>
        </w:tc>
      </w:tr>
      <w:tr w14:paraId="40E9A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04" w:type="dxa"/>
            <w:vMerge w:val="restart"/>
            <w:vAlign w:val="center"/>
          </w:tcPr>
          <w:p w14:paraId="2F9DE074">
            <w:pPr>
              <w:pStyle w:val="33"/>
              <w:spacing w:before="9"/>
              <w:ind w:firstLine="340"/>
              <w:jc w:val="both"/>
              <w:rPr>
                <w:b/>
                <w:color w:val="auto"/>
                <w:sz w:val="17"/>
                <w:highlight w:val="none"/>
              </w:rPr>
            </w:pPr>
          </w:p>
          <w:p w14:paraId="00CFD5BE">
            <w:pPr>
              <w:pStyle w:val="33"/>
              <w:spacing w:before="1"/>
              <w:ind w:left="107" w:firstLine="361"/>
              <w:jc w:val="both"/>
              <w:rPr>
                <w:color w:val="auto"/>
                <w:sz w:val="18"/>
                <w:highlight w:val="none"/>
              </w:rPr>
            </w:pPr>
            <w:r>
              <w:rPr>
                <w:color w:val="auto"/>
                <w:sz w:val="18"/>
                <w:highlight w:val="none"/>
              </w:rPr>
              <w:t>软件和信息技术服务业</w:t>
            </w:r>
          </w:p>
        </w:tc>
        <w:tc>
          <w:tcPr>
            <w:tcW w:w="1338" w:type="dxa"/>
            <w:vAlign w:val="center"/>
          </w:tcPr>
          <w:p w14:paraId="72016F5E">
            <w:pPr>
              <w:pStyle w:val="33"/>
              <w:spacing w:before="50"/>
              <w:ind w:right="210" w:firstLine="361"/>
              <w:jc w:val="center"/>
              <w:rPr>
                <w:color w:val="auto"/>
                <w:sz w:val="18"/>
                <w:highlight w:val="none"/>
              </w:rPr>
            </w:pPr>
            <w:r>
              <w:rPr>
                <w:color w:val="auto"/>
                <w:sz w:val="18"/>
                <w:highlight w:val="none"/>
              </w:rPr>
              <w:t>从业人员(X)</w:t>
            </w:r>
          </w:p>
        </w:tc>
        <w:tc>
          <w:tcPr>
            <w:tcW w:w="692" w:type="dxa"/>
            <w:vAlign w:val="center"/>
          </w:tcPr>
          <w:p w14:paraId="0F6EA3D9">
            <w:pPr>
              <w:pStyle w:val="33"/>
              <w:spacing w:before="50"/>
              <w:ind w:firstLine="361"/>
              <w:jc w:val="center"/>
              <w:rPr>
                <w:color w:val="auto"/>
                <w:sz w:val="18"/>
                <w:highlight w:val="none"/>
              </w:rPr>
            </w:pPr>
            <w:r>
              <w:rPr>
                <w:color w:val="auto"/>
                <w:sz w:val="18"/>
                <w:highlight w:val="none"/>
              </w:rPr>
              <w:t>人</w:t>
            </w:r>
          </w:p>
        </w:tc>
        <w:tc>
          <w:tcPr>
            <w:tcW w:w="1098" w:type="dxa"/>
            <w:vAlign w:val="center"/>
          </w:tcPr>
          <w:p w14:paraId="5D0989BF">
            <w:pPr>
              <w:pStyle w:val="33"/>
              <w:spacing w:before="50"/>
              <w:ind w:right="169" w:firstLine="361"/>
              <w:jc w:val="center"/>
              <w:rPr>
                <w:color w:val="auto"/>
                <w:sz w:val="18"/>
                <w:highlight w:val="none"/>
              </w:rPr>
            </w:pPr>
            <w:r>
              <w:rPr>
                <w:color w:val="auto"/>
                <w:sz w:val="18"/>
                <w:highlight w:val="none"/>
              </w:rPr>
              <w:t>X≥300</w:t>
            </w:r>
          </w:p>
        </w:tc>
        <w:tc>
          <w:tcPr>
            <w:tcW w:w="1663" w:type="dxa"/>
            <w:vAlign w:val="center"/>
          </w:tcPr>
          <w:p w14:paraId="4B8DD964">
            <w:pPr>
              <w:pStyle w:val="33"/>
              <w:spacing w:before="50"/>
              <w:ind w:firstLine="361"/>
              <w:jc w:val="center"/>
              <w:rPr>
                <w:color w:val="auto"/>
                <w:sz w:val="18"/>
                <w:highlight w:val="none"/>
              </w:rPr>
            </w:pPr>
            <w:r>
              <w:rPr>
                <w:color w:val="auto"/>
                <w:sz w:val="18"/>
                <w:highlight w:val="none"/>
              </w:rPr>
              <w:t>100≤X＜300</w:t>
            </w:r>
          </w:p>
        </w:tc>
        <w:tc>
          <w:tcPr>
            <w:tcW w:w="1582" w:type="dxa"/>
            <w:vAlign w:val="center"/>
          </w:tcPr>
          <w:p w14:paraId="707C11C4">
            <w:pPr>
              <w:pStyle w:val="33"/>
              <w:spacing w:before="50"/>
              <w:ind w:firstLine="361"/>
              <w:jc w:val="center"/>
              <w:rPr>
                <w:color w:val="auto"/>
                <w:sz w:val="18"/>
                <w:highlight w:val="none"/>
              </w:rPr>
            </w:pPr>
            <w:r>
              <w:rPr>
                <w:color w:val="auto"/>
                <w:sz w:val="18"/>
                <w:highlight w:val="none"/>
              </w:rPr>
              <w:t>10≤X＜100</w:t>
            </w:r>
          </w:p>
        </w:tc>
        <w:tc>
          <w:tcPr>
            <w:tcW w:w="1314" w:type="dxa"/>
            <w:vAlign w:val="center"/>
          </w:tcPr>
          <w:p w14:paraId="59EE6E6A">
            <w:pPr>
              <w:pStyle w:val="33"/>
              <w:spacing w:before="50"/>
              <w:ind w:right="186" w:firstLine="361"/>
              <w:jc w:val="center"/>
              <w:rPr>
                <w:color w:val="auto"/>
                <w:sz w:val="18"/>
                <w:highlight w:val="none"/>
              </w:rPr>
            </w:pPr>
            <w:r>
              <w:rPr>
                <w:color w:val="auto"/>
                <w:sz w:val="18"/>
                <w:highlight w:val="none"/>
              </w:rPr>
              <w:t>X＜10</w:t>
            </w:r>
          </w:p>
        </w:tc>
      </w:tr>
      <w:tr w14:paraId="5268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704" w:type="dxa"/>
            <w:vMerge w:val="continue"/>
            <w:tcBorders>
              <w:top w:val="nil"/>
            </w:tcBorders>
            <w:vAlign w:val="center"/>
          </w:tcPr>
          <w:p w14:paraId="34725DF2">
            <w:pPr>
              <w:ind w:firstLine="40"/>
              <w:jc w:val="both"/>
              <w:rPr>
                <w:color w:val="auto"/>
                <w:sz w:val="2"/>
                <w:szCs w:val="2"/>
                <w:highlight w:val="none"/>
              </w:rPr>
            </w:pPr>
          </w:p>
        </w:tc>
        <w:tc>
          <w:tcPr>
            <w:tcW w:w="1338" w:type="dxa"/>
            <w:vAlign w:val="center"/>
          </w:tcPr>
          <w:p w14:paraId="0891F940">
            <w:pPr>
              <w:pStyle w:val="33"/>
              <w:spacing w:before="51"/>
              <w:ind w:right="210" w:firstLine="361"/>
              <w:jc w:val="center"/>
              <w:rPr>
                <w:color w:val="auto"/>
                <w:sz w:val="18"/>
                <w:highlight w:val="none"/>
              </w:rPr>
            </w:pPr>
            <w:r>
              <w:rPr>
                <w:color w:val="auto"/>
                <w:sz w:val="18"/>
                <w:highlight w:val="none"/>
              </w:rPr>
              <w:t>营业收入(Y)</w:t>
            </w:r>
          </w:p>
        </w:tc>
        <w:tc>
          <w:tcPr>
            <w:tcW w:w="692" w:type="dxa"/>
            <w:vAlign w:val="center"/>
          </w:tcPr>
          <w:p w14:paraId="2C872246">
            <w:pPr>
              <w:pStyle w:val="33"/>
              <w:spacing w:before="51"/>
              <w:ind w:right="171" w:firstLine="361"/>
              <w:jc w:val="center"/>
              <w:rPr>
                <w:color w:val="auto"/>
                <w:sz w:val="18"/>
                <w:highlight w:val="none"/>
              </w:rPr>
            </w:pPr>
            <w:r>
              <w:rPr>
                <w:color w:val="auto"/>
                <w:sz w:val="18"/>
                <w:highlight w:val="none"/>
              </w:rPr>
              <w:t>万元</w:t>
            </w:r>
          </w:p>
        </w:tc>
        <w:tc>
          <w:tcPr>
            <w:tcW w:w="1098" w:type="dxa"/>
            <w:vAlign w:val="center"/>
          </w:tcPr>
          <w:p w14:paraId="7D8757A4">
            <w:pPr>
              <w:pStyle w:val="33"/>
              <w:spacing w:before="51"/>
              <w:ind w:right="169" w:firstLine="361"/>
              <w:jc w:val="center"/>
              <w:rPr>
                <w:color w:val="auto"/>
                <w:sz w:val="18"/>
                <w:highlight w:val="none"/>
              </w:rPr>
            </w:pPr>
            <w:r>
              <w:rPr>
                <w:color w:val="auto"/>
                <w:sz w:val="18"/>
                <w:highlight w:val="none"/>
              </w:rPr>
              <w:t>Y≥10000</w:t>
            </w:r>
          </w:p>
        </w:tc>
        <w:tc>
          <w:tcPr>
            <w:tcW w:w="1663" w:type="dxa"/>
            <w:vAlign w:val="center"/>
          </w:tcPr>
          <w:p w14:paraId="512CC224">
            <w:pPr>
              <w:pStyle w:val="33"/>
              <w:spacing w:before="51"/>
              <w:ind w:firstLine="361"/>
              <w:jc w:val="center"/>
              <w:rPr>
                <w:color w:val="auto"/>
                <w:sz w:val="18"/>
                <w:highlight w:val="none"/>
              </w:rPr>
            </w:pPr>
            <w:r>
              <w:rPr>
                <w:color w:val="auto"/>
                <w:sz w:val="18"/>
                <w:highlight w:val="none"/>
              </w:rPr>
              <w:t>1000≤Y＜10000</w:t>
            </w:r>
          </w:p>
        </w:tc>
        <w:tc>
          <w:tcPr>
            <w:tcW w:w="1582" w:type="dxa"/>
            <w:vAlign w:val="center"/>
          </w:tcPr>
          <w:p w14:paraId="6D177262">
            <w:pPr>
              <w:pStyle w:val="33"/>
              <w:spacing w:before="51"/>
              <w:ind w:firstLine="361"/>
              <w:jc w:val="center"/>
              <w:rPr>
                <w:color w:val="auto"/>
                <w:sz w:val="18"/>
                <w:highlight w:val="none"/>
              </w:rPr>
            </w:pPr>
            <w:r>
              <w:rPr>
                <w:color w:val="auto"/>
                <w:sz w:val="18"/>
                <w:highlight w:val="none"/>
              </w:rPr>
              <w:t>50≤Y＜1000</w:t>
            </w:r>
          </w:p>
        </w:tc>
        <w:tc>
          <w:tcPr>
            <w:tcW w:w="1314" w:type="dxa"/>
            <w:vAlign w:val="center"/>
          </w:tcPr>
          <w:p w14:paraId="15F7CECD">
            <w:pPr>
              <w:pStyle w:val="33"/>
              <w:spacing w:before="51"/>
              <w:ind w:right="186" w:firstLine="361"/>
              <w:jc w:val="center"/>
              <w:rPr>
                <w:color w:val="auto"/>
                <w:sz w:val="18"/>
                <w:highlight w:val="none"/>
              </w:rPr>
            </w:pPr>
            <w:r>
              <w:rPr>
                <w:color w:val="auto"/>
                <w:sz w:val="18"/>
                <w:highlight w:val="none"/>
              </w:rPr>
              <w:t>Y＜50</w:t>
            </w:r>
          </w:p>
        </w:tc>
      </w:tr>
      <w:tr w14:paraId="598A1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704" w:type="dxa"/>
            <w:vMerge w:val="restart"/>
            <w:vAlign w:val="center"/>
          </w:tcPr>
          <w:p w14:paraId="36C267E0">
            <w:pPr>
              <w:pStyle w:val="33"/>
              <w:spacing w:before="9"/>
              <w:ind w:firstLine="340"/>
              <w:jc w:val="both"/>
              <w:rPr>
                <w:b/>
                <w:color w:val="auto"/>
                <w:sz w:val="17"/>
                <w:highlight w:val="none"/>
              </w:rPr>
            </w:pPr>
          </w:p>
          <w:p w14:paraId="6C9D905B">
            <w:pPr>
              <w:pStyle w:val="33"/>
              <w:ind w:left="107" w:firstLine="361"/>
              <w:jc w:val="both"/>
              <w:rPr>
                <w:color w:val="auto"/>
                <w:sz w:val="18"/>
                <w:highlight w:val="none"/>
              </w:rPr>
            </w:pPr>
            <w:r>
              <w:rPr>
                <w:color w:val="auto"/>
                <w:sz w:val="18"/>
                <w:highlight w:val="none"/>
              </w:rPr>
              <w:t>房地产开发经营</w:t>
            </w:r>
          </w:p>
        </w:tc>
        <w:tc>
          <w:tcPr>
            <w:tcW w:w="1338" w:type="dxa"/>
            <w:vAlign w:val="center"/>
          </w:tcPr>
          <w:p w14:paraId="01EEC1BC">
            <w:pPr>
              <w:pStyle w:val="33"/>
              <w:spacing w:before="49"/>
              <w:ind w:right="210" w:firstLine="361"/>
              <w:jc w:val="center"/>
              <w:rPr>
                <w:color w:val="auto"/>
                <w:sz w:val="18"/>
                <w:highlight w:val="none"/>
              </w:rPr>
            </w:pPr>
            <w:r>
              <w:rPr>
                <w:color w:val="auto"/>
                <w:sz w:val="18"/>
                <w:highlight w:val="none"/>
              </w:rPr>
              <w:t>营业收入(Y)</w:t>
            </w:r>
          </w:p>
        </w:tc>
        <w:tc>
          <w:tcPr>
            <w:tcW w:w="692" w:type="dxa"/>
            <w:vAlign w:val="center"/>
          </w:tcPr>
          <w:p w14:paraId="46ED513E">
            <w:pPr>
              <w:pStyle w:val="33"/>
              <w:spacing w:before="49"/>
              <w:ind w:right="171" w:firstLine="361"/>
              <w:jc w:val="center"/>
              <w:rPr>
                <w:color w:val="auto"/>
                <w:sz w:val="18"/>
                <w:highlight w:val="none"/>
              </w:rPr>
            </w:pPr>
            <w:r>
              <w:rPr>
                <w:color w:val="auto"/>
                <w:sz w:val="18"/>
                <w:highlight w:val="none"/>
              </w:rPr>
              <w:t>万元</w:t>
            </w:r>
          </w:p>
        </w:tc>
        <w:tc>
          <w:tcPr>
            <w:tcW w:w="1098" w:type="dxa"/>
            <w:vAlign w:val="center"/>
          </w:tcPr>
          <w:p w14:paraId="53331C8A">
            <w:pPr>
              <w:pStyle w:val="33"/>
              <w:spacing w:before="49"/>
              <w:ind w:right="169" w:firstLine="361"/>
              <w:jc w:val="center"/>
              <w:rPr>
                <w:color w:val="auto"/>
                <w:sz w:val="18"/>
                <w:highlight w:val="none"/>
              </w:rPr>
            </w:pPr>
            <w:r>
              <w:rPr>
                <w:color w:val="auto"/>
                <w:sz w:val="18"/>
                <w:highlight w:val="none"/>
              </w:rPr>
              <w:t>Y≥200000</w:t>
            </w:r>
          </w:p>
        </w:tc>
        <w:tc>
          <w:tcPr>
            <w:tcW w:w="1663" w:type="dxa"/>
            <w:vAlign w:val="center"/>
          </w:tcPr>
          <w:p w14:paraId="625AF7CE">
            <w:pPr>
              <w:pStyle w:val="33"/>
              <w:spacing w:before="49"/>
              <w:ind w:firstLine="361"/>
              <w:jc w:val="center"/>
              <w:rPr>
                <w:color w:val="auto"/>
                <w:sz w:val="18"/>
                <w:highlight w:val="none"/>
              </w:rPr>
            </w:pPr>
            <w:r>
              <w:rPr>
                <w:color w:val="auto"/>
                <w:sz w:val="18"/>
                <w:highlight w:val="none"/>
              </w:rPr>
              <w:t>1000≤Y＜200000</w:t>
            </w:r>
          </w:p>
        </w:tc>
        <w:tc>
          <w:tcPr>
            <w:tcW w:w="1582" w:type="dxa"/>
            <w:vAlign w:val="center"/>
          </w:tcPr>
          <w:p w14:paraId="7FA0BEC9">
            <w:pPr>
              <w:pStyle w:val="33"/>
              <w:spacing w:before="49"/>
              <w:ind w:firstLine="361"/>
              <w:jc w:val="center"/>
              <w:rPr>
                <w:color w:val="auto"/>
                <w:sz w:val="18"/>
                <w:highlight w:val="none"/>
              </w:rPr>
            </w:pPr>
            <w:r>
              <w:rPr>
                <w:color w:val="auto"/>
                <w:sz w:val="18"/>
                <w:highlight w:val="none"/>
              </w:rPr>
              <w:t>100≤Y＜1000</w:t>
            </w:r>
          </w:p>
        </w:tc>
        <w:tc>
          <w:tcPr>
            <w:tcW w:w="1314" w:type="dxa"/>
            <w:vAlign w:val="center"/>
          </w:tcPr>
          <w:p w14:paraId="5999CEDA">
            <w:pPr>
              <w:pStyle w:val="33"/>
              <w:spacing w:before="49"/>
              <w:ind w:right="186" w:firstLine="361"/>
              <w:jc w:val="center"/>
              <w:rPr>
                <w:color w:val="auto"/>
                <w:sz w:val="18"/>
                <w:highlight w:val="none"/>
              </w:rPr>
            </w:pPr>
            <w:r>
              <w:rPr>
                <w:color w:val="auto"/>
                <w:sz w:val="18"/>
                <w:highlight w:val="none"/>
              </w:rPr>
              <w:t>Y＜100</w:t>
            </w:r>
          </w:p>
        </w:tc>
      </w:tr>
      <w:tr w14:paraId="46D5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704" w:type="dxa"/>
            <w:vMerge w:val="continue"/>
            <w:tcBorders>
              <w:top w:val="nil"/>
            </w:tcBorders>
            <w:vAlign w:val="center"/>
          </w:tcPr>
          <w:p w14:paraId="65B52969">
            <w:pPr>
              <w:ind w:firstLine="40"/>
              <w:jc w:val="both"/>
              <w:rPr>
                <w:color w:val="auto"/>
                <w:sz w:val="2"/>
                <w:szCs w:val="2"/>
                <w:highlight w:val="none"/>
              </w:rPr>
            </w:pPr>
          </w:p>
        </w:tc>
        <w:tc>
          <w:tcPr>
            <w:tcW w:w="1338" w:type="dxa"/>
            <w:vAlign w:val="center"/>
          </w:tcPr>
          <w:p w14:paraId="66309025">
            <w:pPr>
              <w:pStyle w:val="33"/>
              <w:spacing w:before="57"/>
              <w:ind w:right="210" w:firstLine="361"/>
              <w:jc w:val="center"/>
              <w:rPr>
                <w:color w:val="auto"/>
                <w:sz w:val="18"/>
                <w:highlight w:val="none"/>
              </w:rPr>
            </w:pPr>
            <w:r>
              <w:rPr>
                <w:color w:val="auto"/>
                <w:sz w:val="18"/>
                <w:highlight w:val="none"/>
              </w:rPr>
              <w:t>资产总额(Z)</w:t>
            </w:r>
          </w:p>
        </w:tc>
        <w:tc>
          <w:tcPr>
            <w:tcW w:w="692" w:type="dxa"/>
            <w:vAlign w:val="center"/>
          </w:tcPr>
          <w:p w14:paraId="76895C83">
            <w:pPr>
              <w:pStyle w:val="33"/>
              <w:spacing w:before="50"/>
              <w:ind w:right="171" w:firstLine="361"/>
              <w:jc w:val="center"/>
              <w:rPr>
                <w:color w:val="auto"/>
                <w:sz w:val="18"/>
                <w:highlight w:val="none"/>
              </w:rPr>
            </w:pPr>
            <w:r>
              <w:rPr>
                <w:color w:val="auto"/>
                <w:sz w:val="18"/>
                <w:highlight w:val="none"/>
              </w:rPr>
              <w:t>万元</w:t>
            </w:r>
          </w:p>
        </w:tc>
        <w:tc>
          <w:tcPr>
            <w:tcW w:w="1098" w:type="dxa"/>
            <w:vAlign w:val="center"/>
          </w:tcPr>
          <w:p w14:paraId="3F00BD03">
            <w:pPr>
              <w:pStyle w:val="33"/>
              <w:spacing w:before="50"/>
              <w:ind w:right="169" w:firstLine="361"/>
              <w:jc w:val="center"/>
              <w:rPr>
                <w:color w:val="auto"/>
                <w:sz w:val="18"/>
                <w:highlight w:val="none"/>
              </w:rPr>
            </w:pPr>
            <w:r>
              <w:rPr>
                <w:color w:val="auto"/>
                <w:sz w:val="18"/>
                <w:highlight w:val="none"/>
              </w:rPr>
              <w:t>Z≥10000</w:t>
            </w:r>
          </w:p>
        </w:tc>
        <w:tc>
          <w:tcPr>
            <w:tcW w:w="1663" w:type="dxa"/>
            <w:vAlign w:val="center"/>
          </w:tcPr>
          <w:p w14:paraId="3B967C9B">
            <w:pPr>
              <w:pStyle w:val="33"/>
              <w:spacing w:before="50"/>
              <w:ind w:firstLine="361"/>
              <w:jc w:val="center"/>
              <w:rPr>
                <w:color w:val="auto"/>
                <w:sz w:val="18"/>
                <w:highlight w:val="none"/>
              </w:rPr>
            </w:pPr>
            <w:r>
              <w:rPr>
                <w:color w:val="auto"/>
                <w:sz w:val="18"/>
                <w:highlight w:val="none"/>
              </w:rPr>
              <w:t>5000≤Z＜10000</w:t>
            </w:r>
          </w:p>
        </w:tc>
        <w:tc>
          <w:tcPr>
            <w:tcW w:w="1582" w:type="dxa"/>
            <w:vAlign w:val="center"/>
          </w:tcPr>
          <w:p w14:paraId="4AB620C8">
            <w:pPr>
              <w:pStyle w:val="33"/>
              <w:spacing w:before="50"/>
              <w:ind w:firstLine="361"/>
              <w:jc w:val="center"/>
              <w:rPr>
                <w:color w:val="auto"/>
                <w:sz w:val="18"/>
                <w:highlight w:val="none"/>
              </w:rPr>
            </w:pPr>
            <w:r>
              <w:rPr>
                <w:color w:val="auto"/>
                <w:sz w:val="18"/>
                <w:highlight w:val="none"/>
              </w:rPr>
              <w:t>2000≤Z＜5000</w:t>
            </w:r>
          </w:p>
        </w:tc>
        <w:tc>
          <w:tcPr>
            <w:tcW w:w="1314" w:type="dxa"/>
            <w:vAlign w:val="center"/>
          </w:tcPr>
          <w:p w14:paraId="5083BC2B">
            <w:pPr>
              <w:pStyle w:val="33"/>
              <w:spacing w:before="50"/>
              <w:ind w:right="186" w:firstLine="361"/>
              <w:jc w:val="center"/>
              <w:rPr>
                <w:color w:val="auto"/>
                <w:sz w:val="18"/>
                <w:highlight w:val="none"/>
              </w:rPr>
            </w:pPr>
            <w:r>
              <w:rPr>
                <w:color w:val="auto"/>
                <w:sz w:val="18"/>
                <w:highlight w:val="none"/>
              </w:rPr>
              <w:t>Z＜2000</w:t>
            </w:r>
          </w:p>
        </w:tc>
      </w:tr>
      <w:tr w14:paraId="2049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704" w:type="dxa"/>
            <w:vMerge w:val="restart"/>
            <w:vAlign w:val="center"/>
          </w:tcPr>
          <w:p w14:paraId="35A65904">
            <w:pPr>
              <w:pStyle w:val="33"/>
              <w:spacing w:before="10"/>
              <w:ind w:firstLine="340"/>
              <w:jc w:val="both"/>
              <w:rPr>
                <w:b/>
                <w:color w:val="auto"/>
                <w:sz w:val="17"/>
                <w:highlight w:val="none"/>
              </w:rPr>
            </w:pPr>
          </w:p>
          <w:p w14:paraId="1C507725">
            <w:pPr>
              <w:pStyle w:val="33"/>
              <w:ind w:left="107" w:firstLine="361"/>
              <w:jc w:val="both"/>
              <w:rPr>
                <w:color w:val="auto"/>
                <w:sz w:val="18"/>
                <w:highlight w:val="none"/>
              </w:rPr>
            </w:pPr>
            <w:r>
              <w:rPr>
                <w:color w:val="auto"/>
                <w:sz w:val="18"/>
                <w:highlight w:val="none"/>
              </w:rPr>
              <w:t>物业管理</w:t>
            </w:r>
          </w:p>
        </w:tc>
        <w:tc>
          <w:tcPr>
            <w:tcW w:w="1338" w:type="dxa"/>
            <w:vAlign w:val="center"/>
          </w:tcPr>
          <w:p w14:paraId="117524C1">
            <w:pPr>
              <w:pStyle w:val="33"/>
              <w:spacing w:before="51"/>
              <w:ind w:right="210" w:firstLine="361"/>
              <w:jc w:val="center"/>
              <w:rPr>
                <w:color w:val="auto"/>
                <w:sz w:val="18"/>
                <w:highlight w:val="none"/>
              </w:rPr>
            </w:pPr>
            <w:r>
              <w:rPr>
                <w:color w:val="auto"/>
                <w:sz w:val="18"/>
                <w:highlight w:val="none"/>
              </w:rPr>
              <w:t>从业人员(X)</w:t>
            </w:r>
          </w:p>
        </w:tc>
        <w:tc>
          <w:tcPr>
            <w:tcW w:w="692" w:type="dxa"/>
            <w:vAlign w:val="center"/>
          </w:tcPr>
          <w:p w14:paraId="4BB3F3BE">
            <w:pPr>
              <w:pStyle w:val="33"/>
              <w:spacing w:before="51"/>
              <w:ind w:firstLine="361"/>
              <w:jc w:val="center"/>
              <w:rPr>
                <w:color w:val="auto"/>
                <w:sz w:val="18"/>
                <w:highlight w:val="none"/>
              </w:rPr>
            </w:pPr>
            <w:r>
              <w:rPr>
                <w:color w:val="auto"/>
                <w:sz w:val="18"/>
                <w:highlight w:val="none"/>
              </w:rPr>
              <w:t>人</w:t>
            </w:r>
          </w:p>
        </w:tc>
        <w:tc>
          <w:tcPr>
            <w:tcW w:w="1098" w:type="dxa"/>
            <w:vAlign w:val="center"/>
          </w:tcPr>
          <w:p w14:paraId="176D808B">
            <w:pPr>
              <w:pStyle w:val="33"/>
              <w:spacing w:before="51"/>
              <w:ind w:right="169" w:firstLine="361"/>
              <w:jc w:val="center"/>
              <w:rPr>
                <w:color w:val="auto"/>
                <w:sz w:val="18"/>
                <w:highlight w:val="none"/>
              </w:rPr>
            </w:pPr>
            <w:r>
              <w:rPr>
                <w:color w:val="auto"/>
                <w:sz w:val="18"/>
                <w:highlight w:val="none"/>
              </w:rPr>
              <w:t>X≥1000</w:t>
            </w:r>
          </w:p>
        </w:tc>
        <w:tc>
          <w:tcPr>
            <w:tcW w:w="1663" w:type="dxa"/>
            <w:vAlign w:val="center"/>
          </w:tcPr>
          <w:p w14:paraId="36D278CB">
            <w:pPr>
              <w:pStyle w:val="33"/>
              <w:spacing w:before="51"/>
              <w:ind w:firstLine="361"/>
              <w:jc w:val="center"/>
              <w:rPr>
                <w:color w:val="auto"/>
                <w:sz w:val="18"/>
                <w:highlight w:val="none"/>
              </w:rPr>
            </w:pPr>
            <w:r>
              <w:rPr>
                <w:color w:val="auto"/>
                <w:sz w:val="18"/>
                <w:highlight w:val="none"/>
              </w:rPr>
              <w:t>300≤X＜1000</w:t>
            </w:r>
          </w:p>
        </w:tc>
        <w:tc>
          <w:tcPr>
            <w:tcW w:w="1582" w:type="dxa"/>
            <w:vAlign w:val="center"/>
          </w:tcPr>
          <w:p w14:paraId="02BB02E8">
            <w:pPr>
              <w:pStyle w:val="33"/>
              <w:spacing w:before="51"/>
              <w:ind w:firstLine="361"/>
              <w:jc w:val="center"/>
              <w:rPr>
                <w:color w:val="auto"/>
                <w:sz w:val="18"/>
                <w:highlight w:val="none"/>
              </w:rPr>
            </w:pPr>
            <w:r>
              <w:rPr>
                <w:color w:val="auto"/>
                <w:sz w:val="18"/>
                <w:highlight w:val="none"/>
              </w:rPr>
              <w:t>100≤X＜300</w:t>
            </w:r>
          </w:p>
        </w:tc>
        <w:tc>
          <w:tcPr>
            <w:tcW w:w="1314" w:type="dxa"/>
            <w:vAlign w:val="center"/>
          </w:tcPr>
          <w:p w14:paraId="3E8AC0DE">
            <w:pPr>
              <w:pStyle w:val="33"/>
              <w:spacing w:before="51"/>
              <w:ind w:right="186" w:firstLine="361"/>
              <w:jc w:val="center"/>
              <w:rPr>
                <w:color w:val="auto"/>
                <w:sz w:val="18"/>
                <w:highlight w:val="none"/>
              </w:rPr>
            </w:pPr>
            <w:r>
              <w:rPr>
                <w:color w:val="auto"/>
                <w:sz w:val="18"/>
                <w:highlight w:val="none"/>
              </w:rPr>
              <w:t>X＜100</w:t>
            </w:r>
          </w:p>
        </w:tc>
      </w:tr>
      <w:tr w14:paraId="0BF0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704" w:type="dxa"/>
            <w:vMerge w:val="continue"/>
            <w:tcBorders>
              <w:top w:val="nil"/>
            </w:tcBorders>
            <w:vAlign w:val="center"/>
          </w:tcPr>
          <w:p w14:paraId="01CECFDA">
            <w:pPr>
              <w:ind w:firstLine="40"/>
              <w:jc w:val="both"/>
              <w:rPr>
                <w:color w:val="auto"/>
                <w:sz w:val="2"/>
                <w:szCs w:val="2"/>
                <w:highlight w:val="none"/>
              </w:rPr>
            </w:pPr>
          </w:p>
        </w:tc>
        <w:tc>
          <w:tcPr>
            <w:tcW w:w="1338" w:type="dxa"/>
            <w:vAlign w:val="center"/>
          </w:tcPr>
          <w:p w14:paraId="7EE8DE88">
            <w:pPr>
              <w:pStyle w:val="33"/>
              <w:spacing w:before="59"/>
              <w:ind w:right="210" w:firstLine="361"/>
              <w:jc w:val="center"/>
              <w:rPr>
                <w:color w:val="auto"/>
                <w:sz w:val="18"/>
                <w:highlight w:val="none"/>
              </w:rPr>
            </w:pPr>
            <w:r>
              <w:rPr>
                <w:color w:val="auto"/>
                <w:sz w:val="18"/>
                <w:highlight w:val="none"/>
              </w:rPr>
              <w:t>营业收入(Y)</w:t>
            </w:r>
          </w:p>
        </w:tc>
        <w:tc>
          <w:tcPr>
            <w:tcW w:w="692" w:type="dxa"/>
            <w:vAlign w:val="center"/>
          </w:tcPr>
          <w:p w14:paraId="11C2E66A">
            <w:pPr>
              <w:pStyle w:val="33"/>
              <w:spacing w:before="49"/>
              <w:ind w:right="171" w:firstLine="361"/>
              <w:jc w:val="center"/>
              <w:rPr>
                <w:color w:val="auto"/>
                <w:sz w:val="18"/>
                <w:highlight w:val="none"/>
              </w:rPr>
            </w:pPr>
            <w:r>
              <w:rPr>
                <w:color w:val="auto"/>
                <w:sz w:val="18"/>
                <w:highlight w:val="none"/>
              </w:rPr>
              <w:t>万元</w:t>
            </w:r>
          </w:p>
        </w:tc>
        <w:tc>
          <w:tcPr>
            <w:tcW w:w="1098" w:type="dxa"/>
            <w:vAlign w:val="center"/>
          </w:tcPr>
          <w:p w14:paraId="54FA2147">
            <w:pPr>
              <w:pStyle w:val="33"/>
              <w:spacing w:before="49"/>
              <w:ind w:right="169" w:firstLine="361"/>
              <w:jc w:val="center"/>
              <w:rPr>
                <w:color w:val="auto"/>
                <w:sz w:val="18"/>
                <w:highlight w:val="none"/>
              </w:rPr>
            </w:pPr>
            <w:r>
              <w:rPr>
                <w:color w:val="auto"/>
                <w:sz w:val="18"/>
                <w:highlight w:val="none"/>
              </w:rPr>
              <w:t>Y≥5000</w:t>
            </w:r>
          </w:p>
        </w:tc>
        <w:tc>
          <w:tcPr>
            <w:tcW w:w="1663" w:type="dxa"/>
            <w:vAlign w:val="center"/>
          </w:tcPr>
          <w:p w14:paraId="381FEA9B">
            <w:pPr>
              <w:pStyle w:val="33"/>
              <w:spacing w:before="49"/>
              <w:ind w:firstLine="361"/>
              <w:jc w:val="center"/>
              <w:rPr>
                <w:color w:val="auto"/>
                <w:sz w:val="18"/>
                <w:highlight w:val="none"/>
              </w:rPr>
            </w:pPr>
            <w:r>
              <w:rPr>
                <w:color w:val="auto"/>
                <w:sz w:val="18"/>
                <w:highlight w:val="none"/>
              </w:rPr>
              <w:t>1000≤Y＜5000</w:t>
            </w:r>
          </w:p>
        </w:tc>
        <w:tc>
          <w:tcPr>
            <w:tcW w:w="1582" w:type="dxa"/>
            <w:vAlign w:val="center"/>
          </w:tcPr>
          <w:p w14:paraId="3FACFB35">
            <w:pPr>
              <w:pStyle w:val="33"/>
              <w:spacing w:before="49"/>
              <w:ind w:firstLine="361"/>
              <w:jc w:val="center"/>
              <w:rPr>
                <w:color w:val="auto"/>
                <w:sz w:val="18"/>
                <w:highlight w:val="none"/>
              </w:rPr>
            </w:pPr>
            <w:r>
              <w:rPr>
                <w:color w:val="auto"/>
                <w:sz w:val="18"/>
                <w:highlight w:val="none"/>
              </w:rPr>
              <w:t>500≤Y＜1000</w:t>
            </w:r>
          </w:p>
        </w:tc>
        <w:tc>
          <w:tcPr>
            <w:tcW w:w="1314" w:type="dxa"/>
            <w:vAlign w:val="center"/>
          </w:tcPr>
          <w:p w14:paraId="1A383FE7">
            <w:pPr>
              <w:pStyle w:val="33"/>
              <w:spacing w:before="49"/>
              <w:ind w:right="186" w:firstLine="361"/>
              <w:jc w:val="center"/>
              <w:rPr>
                <w:color w:val="auto"/>
                <w:sz w:val="18"/>
                <w:highlight w:val="none"/>
              </w:rPr>
            </w:pPr>
            <w:r>
              <w:rPr>
                <w:color w:val="auto"/>
                <w:sz w:val="18"/>
                <w:highlight w:val="none"/>
              </w:rPr>
              <w:t>Y＜500</w:t>
            </w:r>
          </w:p>
        </w:tc>
      </w:tr>
      <w:tr w14:paraId="015F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704" w:type="dxa"/>
            <w:vMerge w:val="restart"/>
            <w:vAlign w:val="center"/>
          </w:tcPr>
          <w:p w14:paraId="3070B60F">
            <w:pPr>
              <w:pStyle w:val="33"/>
              <w:spacing w:before="9"/>
              <w:ind w:firstLine="340"/>
              <w:jc w:val="both"/>
              <w:rPr>
                <w:b/>
                <w:color w:val="auto"/>
                <w:sz w:val="17"/>
                <w:highlight w:val="none"/>
              </w:rPr>
            </w:pPr>
          </w:p>
          <w:p w14:paraId="09C842EE">
            <w:pPr>
              <w:pStyle w:val="33"/>
              <w:spacing w:before="1"/>
              <w:ind w:left="107" w:firstLine="361"/>
              <w:jc w:val="both"/>
              <w:rPr>
                <w:color w:val="auto"/>
                <w:sz w:val="18"/>
                <w:highlight w:val="none"/>
              </w:rPr>
            </w:pPr>
            <w:r>
              <w:rPr>
                <w:color w:val="auto"/>
                <w:sz w:val="18"/>
                <w:highlight w:val="none"/>
              </w:rPr>
              <w:t>租赁和商务服务业</w:t>
            </w:r>
          </w:p>
        </w:tc>
        <w:tc>
          <w:tcPr>
            <w:tcW w:w="1338" w:type="dxa"/>
            <w:vAlign w:val="center"/>
          </w:tcPr>
          <w:p w14:paraId="499891C3">
            <w:pPr>
              <w:pStyle w:val="33"/>
              <w:spacing w:before="50"/>
              <w:ind w:right="210" w:firstLine="361"/>
              <w:jc w:val="center"/>
              <w:rPr>
                <w:color w:val="auto"/>
                <w:sz w:val="18"/>
                <w:highlight w:val="none"/>
              </w:rPr>
            </w:pPr>
            <w:r>
              <w:rPr>
                <w:color w:val="auto"/>
                <w:sz w:val="18"/>
                <w:highlight w:val="none"/>
              </w:rPr>
              <w:t>从业人员(X)</w:t>
            </w:r>
          </w:p>
        </w:tc>
        <w:tc>
          <w:tcPr>
            <w:tcW w:w="692" w:type="dxa"/>
            <w:vAlign w:val="center"/>
          </w:tcPr>
          <w:p w14:paraId="1A6BDBCC">
            <w:pPr>
              <w:pStyle w:val="33"/>
              <w:spacing w:before="50"/>
              <w:ind w:firstLine="361"/>
              <w:jc w:val="center"/>
              <w:rPr>
                <w:color w:val="auto"/>
                <w:sz w:val="18"/>
                <w:highlight w:val="none"/>
              </w:rPr>
            </w:pPr>
            <w:r>
              <w:rPr>
                <w:color w:val="auto"/>
                <w:sz w:val="18"/>
                <w:highlight w:val="none"/>
              </w:rPr>
              <w:t>人</w:t>
            </w:r>
          </w:p>
        </w:tc>
        <w:tc>
          <w:tcPr>
            <w:tcW w:w="1098" w:type="dxa"/>
            <w:vAlign w:val="center"/>
          </w:tcPr>
          <w:p w14:paraId="79FB427B">
            <w:pPr>
              <w:pStyle w:val="33"/>
              <w:spacing w:before="50"/>
              <w:ind w:right="169" w:firstLine="361"/>
              <w:jc w:val="center"/>
              <w:rPr>
                <w:color w:val="auto"/>
                <w:sz w:val="18"/>
                <w:highlight w:val="none"/>
              </w:rPr>
            </w:pPr>
            <w:r>
              <w:rPr>
                <w:color w:val="auto"/>
                <w:sz w:val="18"/>
                <w:highlight w:val="none"/>
              </w:rPr>
              <w:t>X≥300</w:t>
            </w:r>
          </w:p>
        </w:tc>
        <w:tc>
          <w:tcPr>
            <w:tcW w:w="1663" w:type="dxa"/>
            <w:vAlign w:val="center"/>
          </w:tcPr>
          <w:p w14:paraId="58421B0E">
            <w:pPr>
              <w:pStyle w:val="33"/>
              <w:spacing w:before="50"/>
              <w:ind w:firstLine="361"/>
              <w:jc w:val="center"/>
              <w:rPr>
                <w:color w:val="auto"/>
                <w:sz w:val="18"/>
                <w:highlight w:val="none"/>
              </w:rPr>
            </w:pPr>
            <w:r>
              <w:rPr>
                <w:color w:val="auto"/>
                <w:sz w:val="18"/>
                <w:highlight w:val="none"/>
              </w:rPr>
              <w:t>100≤X＜300</w:t>
            </w:r>
          </w:p>
        </w:tc>
        <w:tc>
          <w:tcPr>
            <w:tcW w:w="1582" w:type="dxa"/>
            <w:vAlign w:val="center"/>
          </w:tcPr>
          <w:p w14:paraId="0417526A">
            <w:pPr>
              <w:pStyle w:val="33"/>
              <w:spacing w:before="50"/>
              <w:ind w:firstLine="361"/>
              <w:jc w:val="center"/>
              <w:rPr>
                <w:color w:val="auto"/>
                <w:sz w:val="18"/>
                <w:highlight w:val="none"/>
              </w:rPr>
            </w:pPr>
            <w:r>
              <w:rPr>
                <w:color w:val="auto"/>
                <w:sz w:val="18"/>
                <w:highlight w:val="none"/>
              </w:rPr>
              <w:t>10≤X＜100</w:t>
            </w:r>
          </w:p>
        </w:tc>
        <w:tc>
          <w:tcPr>
            <w:tcW w:w="1314" w:type="dxa"/>
            <w:vAlign w:val="center"/>
          </w:tcPr>
          <w:p w14:paraId="7C56B5AA">
            <w:pPr>
              <w:pStyle w:val="33"/>
              <w:spacing w:before="50"/>
              <w:ind w:right="186" w:firstLine="361"/>
              <w:jc w:val="center"/>
              <w:rPr>
                <w:color w:val="auto"/>
                <w:sz w:val="18"/>
                <w:highlight w:val="none"/>
              </w:rPr>
            </w:pPr>
            <w:r>
              <w:rPr>
                <w:color w:val="auto"/>
                <w:sz w:val="18"/>
                <w:highlight w:val="none"/>
              </w:rPr>
              <w:t>X＜10</w:t>
            </w:r>
          </w:p>
        </w:tc>
      </w:tr>
      <w:tr w14:paraId="2A8F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704" w:type="dxa"/>
            <w:vMerge w:val="continue"/>
            <w:tcBorders>
              <w:top w:val="nil"/>
            </w:tcBorders>
            <w:vAlign w:val="center"/>
          </w:tcPr>
          <w:p w14:paraId="3B317725">
            <w:pPr>
              <w:ind w:firstLine="40"/>
              <w:jc w:val="both"/>
              <w:rPr>
                <w:color w:val="auto"/>
                <w:sz w:val="2"/>
                <w:szCs w:val="2"/>
                <w:highlight w:val="none"/>
              </w:rPr>
            </w:pPr>
          </w:p>
        </w:tc>
        <w:tc>
          <w:tcPr>
            <w:tcW w:w="1338" w:type="dxa"/>
            <w:vAlign w:val="center"/>
          </w:tcPr>
          <w:p w14:paraId="2F2090BD">
            <w:pPr>
              <w:pStyle w:val="33"/>
              <w:spacing w:before="58"/>
              <w:ind w:right="210" w:firstLine="361"/>
              <w:jc w:val="center"/>
              <w:rPr>
                <w:color w:val="auto"/>
                <w:sz w:val="18"/>
                <w:highlight w:val="none"/>
              </w:rPr>
            </w:pPr>
            <w:r>
              <w:rPr>
                <w:color w:val="auto"/>
                <w:sz w:val="18"/>
                <w:highlight w:val="none"/>
              </w:rPr>
              <w:t>资产总额(Z)</w:t>
            </w:r>
          </w:p>
        </w:tc>
        <w:tc>
          <w:tcPr>
            <w:tcW w:w="692" w:type="dxa"/>
            <w:vAlign w:val="center"/>
          </w:tcPr>
          <w:p w14:paraId="3C576057">
            <w:pPr>
              <w:pStyle w:val="33"/>
              <w:spacing w:before="51"/>
              <w:ind w:right="171" w:firstLine="361"/>
              <w:jc w:val="center"/>
              <w:rPr>
                <w:color w:val="auto"/>
                <w:sz w:val="18"/>
                <w:highlight w:val="none"/>
              </w:rPr>
            </w:pPr>
            <w:r>
              <w:rPr>
                <w:color w:val="auto"/>
                <w:sz w:val="18"/>
                <w:highlight w:val="none"/>
              </w:rPr>
              <w:t>万元</w:t>
            </w:r>
          </w:p>
        </w:tc>
        <w:tc>
          <w:tcPr>
            <w:tcW w:w="1098" w:type="dxa"/>
            <w:vAlign w:val="center"/>
          </w:tcPr>
          <w:p w14:paraId="2CEB6136">
            <w:pPr>
              <w:pStyle w:val="33"/>
              <w:spacing w:before="51"/>
              <w:ind w:right="169" w:firstLine="361"/>
              <w:jc w:val="center"/>
              <w:rPr>
                <w:color w:val="auto"/>
                <w:sz w:val="18"/>
                <w:highlight w:val="none"/>
              </w:rPr>
            </w:pPr>
            <w:r>
              <w:rPr>
                <w:color w:val="auto"/>
                <w:sz w:val="18"/>
                <w:highlight w:val="none"/>
              </w:rPr>
              <w:t>Z≥120000</w:t>
            </w:r>
          </w:p>
        </w:tc>
        <w:tc>
          <w:tcPr>
            <w:tcW w:w="1663" w:type="dxa"/>
            <w:vAlign w:val="center"/>
          </w:tcPr>
          <w:p w14:paraId="26F750F4">
            <w:pPr>
              <w:pStyle w:val="33"/>
              <w:spacing w:before="51"/>
              <w:ind w:firstLine="361"/>
              <w:jc w:val="center"/>
              <w:rPr>
                <w:color w:val="auto"/>
                <w:sz w:val="18"/>
                <w:highlight w:val="none"/>
              </w:rPr>
            </w:pPr>
            <w:r>
              <w:rPr>
                <w:color w:val="auto"/>
                <w:sz w:val="18"/>
                <w:highlight w:val="none"/>
              </w:rPr>
              <w:t>8000≤Z＜120000</w:t>
            </w:r>
          </w:p>
        </w:tc>
        <w:tc>
          <w:tcPr>
            <w:tcW w:w="1582" w:type="dxa"/>
            <w:vAlign w:val="center"/>
          </w:tcPr>
          <w:p w14:paraId="3E7D8463">
            <w:pPr>
              <w:pStyle w:val="33"/>
              <w:spacing w:before="51"/>
              <w:ind w:firstLine="361"/>
              <w:jc w:val="center"/>
              <w:rPr>
                <w:color w:val="auto"/>
                <w:sz w:val="18"/>
                <w:highlight w:val="none"/>
              </w:rPr>
            </w:pPr>
            <w:r>
              <w:rPr>
                <w:color w:val="auto"/>
                <w:sz w:val="18"/>
                <w:highlight w:val="none"/>
              </w:rPr>
              <w:t>100≤Z＜8000</w:t>
            </w:r>
          </w:p>
        </w:tc>
        <w:tc>
          <w:tcPr>
            <w:tcW w:w="1314" w:type="dxa"/>
            <w:vAlign w:val="center"/>
          </w:tcPr>
          <w:p w14:paraId="4AA07B62">
            <w:pPr>
              <w:pStyle w:val="33"/>
              <w:spacing w:before="51"/>
              <w:ind w:right="186" w:firstLine="361"/>
              <w:jc w:val="center"/>
              <w:rPr>
                <w:color w:val="auto"/>
                <w:sz w:val="18"/>
                <w:highlight w:val="none"/>
              </w:rPr>
            </w:pPr>
            <w:r>
              <w:rPr>
                <w:color w:val="auto"/>
                <w:sz w:val="18"/>
                <w:highlight w:val="none"/>
              </w:rPr>
              <w:t>Z＜100</w:t>
            </w:r>
          </w:p>
        </w:tc>
      </w:tr>
      <w:tr w14:paraId="35DD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704" w:type="dxa"/>
            <w:vAlign w:val="center"/>
          </w:tcPr>
          <w:p w14:paraId="4CBF1E25">
            <w:pPr>
              <w:pStyle w:val="33"/>
              <w:spacing w:before="85"/>
              <w:ind w:left="107" w:firstLine="361"/>
              <w:jc w:val="both"/>
              <w:rPr>
                <w:color w:val="auto"/>
                <w:sz w:val="18"/>
                <w:highlight w:val="none"/>
              </w:rPr>
            </w:pPr>
            <w:r>
              <w:rPr>
                <w:color w:val="auto"/>
                <w:sz w:val="18"/>
                <w:highlight w:val="none"/>
              </w:rPr>
              <w:t>建筑业*</w:t>
            </w:r>
          </w:p>
        </w:tc>
        <w:tc>
          <w:tcPr>
            <w:tcW w:w="1338" w:type="dxa"/>
            <w:vAlign w:val="center"/>
          </w:tcPr>
          <w:p w14:paraId="7A9BEA6A">
            <w:pPr>
              <w:pStyle w:val="33"/>
              <w:spacing w:before="78"/>
              <w:ind w:right="210" w:firstLine="361"/>
              <w:jc w:val="center"/>
              <w:rPr>
                <w:color w:val="auto"/>
                <w:sz w:val="18"/>
                <w:highlight w:val="none"/>
              </w:rPr>
            </w:pPr>
            <w:r>
              <w:rPr>
                <w:color w:val="auto"/>
                <w:sz w:val="18"/>
                <w:highlight w:val="none"/>
              </w:rPr>
              <w:t>从业人员(X)</w:t>
            </w:r>
          </w:p>
        </w:tc>
        <w:tc>
          <w:tcPr>
            <w:tcW w:w="692" w:type="dxa"/>
            <w:vAlign w:val="center"/>
          </w:tcPr>
          <w:p w14:paraId="37647484">
            <w:pPr>
              <w:pStyle w:val="33"/>
              <w:spacing w:before="78"/>
              <w:ind w:firstLine="361"/>
              <w:jc w:val="center"/>
              <w:rPr>
                <w:color w:val="auto"/>
                <w:sz w:val="18"/>
                <w:highlight w:val="none"/>
              </w:rPr>
            </w:pPr>
            <w:r>
              <w:rPr>
                <w:color w:val="auto"/>
                <w:sz w:val="18"/>
                <w:highlight w:val="none"/>
              </w:rPr>
              <w:t>人</w:t>
            </w:r>
          </w:p>
        </w:tc>
        <w:tc>
          <w:tcPr>
            <w:tcW w:w="1098" w:type="dxa"/>
            <w:vAlign w:val="center"/>
          </w:tcPr>
          <w:p w14:paraId="13858508">
            <w:pPr>
              <w:pStyle w:val="33"/>
              <w:spacing w:before="78"/>
              <w:ind w:right="169" w:firstLine="361"/>
              <w:jc w:val="center"/>
              <w:rPr>
                <w:color w:val="auto"/>
                <w:sz w:val="18"/>
                <w:highlight w:val="none"/>
              </w:rPr>
            </w:pPr>
            <w:r>
              <w:rPr>
                <w:color w:val="auto"/>
                <w:sz w:val="18"/>
                <w:highlight w:val="none"/>
              </w:rPr>
              <w:t>X≥300</w:t>
            </w:r>
          </w:p>
        </w:tc>
        <w:tc>
          <w:tcPr>
            <w:tcW w:w="1663" w:type="dxa"/>
            <w:vAlign w:val="center"/>
          </w:tcPr>
          <w:p w14:paraId="649F5D35">
            <w:pPr>
              <w:pStyle w:val="33"/>
              <w:spacing w:before="78"/>
              <w:ind w:firstLine="361"/>
              <w:jc w:val="center"/>
              <w:rPr>
                <w:color w:val="auto"/>
                <w:sz w:val="18"/>
                <w:highlight w:val="none"/>
              </w:rPr>
            </w:pPr>
            <w:r>
              <w:rPr>
                <w:color w:val="auto"/>
                <w:sz w:val="18"/>
                <w:highlight w:val="none"/>
              </w:rPr>
              <w:t>100≤X＜300</w:t>
            </w:r>
          </w:p>
        </w:tc>
        <w:tc>
          <w:tcPr>
            <w:tcW w:w="1582" w:type="dxa"/>
            <w:vAlign w:val="center"/>
          </w:tcPr>
          <w:p w14:paraId="5A7315C0">
            <w:pPr>
              <w:pStyle w:val="33"/>
              <w:spacing w:before="78"/>
              <w:ind w:firstLine="361"/>
              <w:jc w:val="center"/>
              <w:rPr>
                <w:color w:val="auto"/>
                <w:sz w:val="18"/>
                <w:highlight w:val="none"/>
              </w:rPr>
            </w:pPr>
            <w:r>
              <w:rPr>
                <w:color w:val="auto"/>
                <w:sz w:val="18"/>
                <w:highlight w:val="none"/>
              </w:rPr>
              <w:t>10≤X＜100</w:t>
            </w:r>
          </w:p>
        </w:tc>
        <w:tc>
          <w:tcPr>
            <w:tcW w:w="1314" w:type="dxa"/>
            <w:vAlign w:val="center"/>
          </w:tcPr>
          <w:p w14:paraId="55C8E27B">
            <w:pPr>
              <w:pStyle w:val="33"/>
              <w:spacing w:before="78"/>
              <w:ind w:right="186" w:firstLine="361"/>
              <w:jc w:val="center"/>
              <w:rPr>
                <w:color w:val="auto"/>
                <w:sz w:val="18"/>
                <w:highlight w:val="none"/>
              </w:rPr>
            </w:pPr>
            <w:r>
              <w:rPr>
                <w:color w:val="auto"/>
                <w:sz w:val="18"/>
                <w:highlight w:val="none"/>
              </w:rPr>
              <w:t>X＜10</w:t>
            </w:r>
          </w:p>
        </w:tc>
      </w:tr>
    </w:tbl>
    <w:p w14:paraId="1D9CEC66">
      <w:pPr>
        <w:bidi w:val="0"/>
        <w:rPr>
          <w:color w:val="auto"/>
          <w:highlight w:val="none"/>
        </w:rPr>
      </w:pPr>
      <w:r>
        <w:rPr>
          <w:color w:val="auto"/>
          <w:highlight w:val="none"/>
        </w:rPr>
        <w:t>说明：</w:t>
      </w:r>
    </w:p>
    <w:p w14:paraId="6F92F06E">
      <w:pPr>
        <w:bidi w:val="0"/>
        <w:rPr>
          <w:color w:val="auto"/>
          <w:highlight w:val="none"/>
        </w:rPr>
      </w:pPr>
      <w:r>
        <w:rPr>
          <w:color w:val="auto"/>
          <w:highlight w:val="none"/>
        </w:rPr>
        <w:t>大型、中型和小型企业须同时满足所列指标的下限，否则下划一档；微型企业只须满足所列指标中的一项即可。</w:t>
      </w:r>
    </w:p>
    <w:p w14:paraId="3CB19401">
      <w:pPr>
        <w:bidi w:val="0"/>
        <w:rPr>
          <w:color w:val="auto"/>
          <w:highlight w:val="none"/>
        </w:rPr>
      </w:pPr>
      <w:r>
        <w:rPr>
          <w:color w:val="auto"/>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建筑业包括科学研究和技术服务业，水利、环境和公共设施管理业，居民服务、修理和其他服务业，社会工作，文化、体育和娱乐业，以及房地产中介服务，其他房地产业等，不包括自有房地产经营活动。</w:t>
      </w:r>
    </w:p>
    <w:p w14:paraId="31FA0826">
      <w:pPr>
        <w:bidi w:val="0"/>
        <w:rPr>
          <w:color w:val="auto"/>
          <w:highlight w:val="none"/>
        </w:rPr>
      </w:pPr>
      <w:r>
        <w:rPr>
          <w:color w:val="auto"/>
          <w:highlight w:val="none"/>
        </w:rPr>
        <w:t>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7980BBF">
      <w:pPr>
        <w:bidi w:val="0"/>
        <w:rPr>
          <w:rFonts w:hint="eastAsia"/>
          <w:color w:val="auto"/>
          <w:highlight w:val="none"/>
          <w:lang w:val="en-US" w:eastAsia="zh-CN"/>
        </w:rPr>
      </w:pPr>
      <w:r>
        <w:rPr>
          <w:rFonts w:hint="eastAsia"/>
          <w:color w:val="auto"/>
          <w:highlight w:val="none"/>
          <w:lang w:val="en-US" w:eastAsia="zh-CN"/>
        </w:rPr>
        <w:br w:type="page"/>
      </w:r>
    </w:p>
    <w:p w14:paraId="02014609">
      <w:pPr>
        <w:pStyle w:val="4"/>
        <w:bidi w:val="0"/>
        <w:rPr>
          <w:rFonts w:hint="eastAsia"/>
          <w:color w:val="auto"/>
          <w:highlight w:val="none"/>
          <w:lang w:val="en-US" w:eastAsia="zh-CN"/>
        </w:rPr>
      </w:pPr>
      <w:r>
        <w:rPr>
          <w:rFonts w:hint="eastAsia"/>
          <w:color w:val="auto"/>
          <w:highlight w:val="none"/>
          <w:lang w:val="en-US" w:eastAsia="zh-CN"/>
        </w:rPr>
        <w:t>13.如提供工程的供应商属于监狱企业的，应当提供由省级以上监狱管理局、戒毒管理局等（含新疆生产建设兵团）出具的属于监狱企业的证明文件（如有，请提供）；</w:t>
      </w:r>
    </w:p>
    <w:p w14:paraId="700F4BA7">
      <w:pPr>
        <w:rPr>
          <w:rFonts w:hint="eastAsia" w:ascii="宋体" w:hAnsi="宋体" w:eastAsia="宋体" w:cs="宋体"/>
          <w:b/>
          <w:bCs/>
          <w:color w:val="auto"/>
          <w:sz w:val="30"/>
          <w:szCs w:val="30"/>
          <w:highlight w:val="none"/>
          <w:lang w:val="en-US" w:eastAsia="zh-CN" w:bidi="ar-SA"/>
        </w:rPr>
      </w:pPr>
      <w:r>
        <w:rPr>
          <w:rFonts w:hint="eastAsia" w:ascii="宋体" w:hAnsi="宋体" w:eastAsia="宋体" w:cs="宋体"/>
          <w:b/>
          <w:bCs/>
          <w:color w:val="auto"/>
          <w:sz w:val="30"/>
          <w:szCs w:val="30"/>
          <w:highlight w:val="none"/>
          <w:lang w:val="en-US" w:eastAsia="zh-CN" w:bidi="ar-SA"/>
        </w:rPr>
        <w:br w:type="page"/>
      </w:r>
    </w:p>
    <w:p w14:paraId="44C56F5E">
      <w:pPr>
        <w:bidi w:val="0"/>
        <w:rPr>
          <w:rFonts w:hint="eastAsia"/>
          <w:color w:val="auto"/>
          <w:highlight w:val="none"/>
          <w:lang w:val="en-US" w:eastAsia="zh-CN"/>
        </w:rPr>
      </w:pPr>
    </w:p>
    <w:p w14:paraId="1E238102">
      <w:pPr>
        <w:pStyle w:val="4"/>
        <w:bidi w:val="0"/>
        <w:rPr>
          <w:rFonts w:hint="eastAsia" w:ascii="宋体" w:hAnsi="宋体" w:eastAsia="宋体" w:cs="宋体"/>
          <w:b/>
          <w:bCs/>
          <w:color w:val="auto"/>
          <w:szCs w:val="30"/>
          <w:highlight w:val="none"/>
          <w:lang w:val="en-US" w:eastAsia="zh-CN" w:bidi="ar-SA"/>
        </w:rPr>
      </w:pPr>
      <w:r>
        <w:rPr>
          <w:rFonts w:hint="eastAsia"/>
          <w:color w:val="auto"/>
          <w:highlight w:val="none"/>
          <w:lang w:val="en-US" w:eastAsia="zh-CN"/>
        </w:rPr>
        <w:t>14.符合条件的残疾人福利性单位在参加政府采购活动时，应当提供《残疾人福利性单位声明函》，并对声明的真实性负责（见附件）（如有，请提供）</w:t>
      </w:r>
      <w:r>
        <w:rPr>
          <w:rFonts w:hint="eastAsia" w:ascii="宋体" w:hAnsi="宋体" w:eastAsia="宋体" w:cs="宋体"/>
          <w:b/>
          <w:bCs/>
          <w:color w:val="auto"/>
          <w:szCs w:val="30"/>
          <w:highlight w:val="none"/>
          <w:lang w:val="en-US" w:eastAsia="zh-CN" w:bidi="ar-SA"/>
        </w:rPr>
        <w:t>；</w:t>
      </w:r>
    </w:p>
    <w:p w14:paraId="72D0C6BD">
      <w:pPr>
        <w:rPr>
          <w:color w:val="auto"/>
          <w:highlight w:val="none"/>
        </w:rPr>
      </w:pPr>
    </w:p>
    <w:p w14:paraId="37329887">
      <w:pPr>
        <w:bidi w:val="0"/>
        <w:rPr>
          <w:color w:val="auto"/>
          <w:highlight w:val="none"/>
        </w:rPr>
      </w:pPr>
      <w:r>
        <w:rPr>
          <w:color w:val="auto"/>
          <w:highlight w:val="none"/>
        </w:rPr>
        <w:t>附件：</w:t>
      </w:r>
    </w:p>
    <w:p w14:paraId="75F8D71A">
      <w:pPr>
        <w:pStyle w:val="13"/>
        <w:spacing w:before="1"/>
        <w:ind w:firstLine="260"/>
        <w:rPr>
          <w:b/>
          <w:color w:val="auto"/>
          <w:sz w:val="13"/>
          <w:highlight w:val="none"/>
        </w:rPr>
      </w:pPr>
    </w:p>
    <w:p w14:paraId="455B2B38">
      <w:pPr>
        <w:bidi w:val="0"/>
        <w:jc w:val="center"/>
        <w:rPr>
          <w:color w:val="auto"/>
          <w:highlight w:val="none"/>
        </w:rPr>
      </w:pPr>
      <w:r>
        <w:rPr>
          <w:color w:val="auto"/>
          <w:highlight w:val="none"/>
        </w:rPr>
        <w:t>残疾人福利性单位声明函（格式）</w:t>
      </w:r>
    </w:p>
    <w:p w14:paraId="3169B38C">
      <w:pPr>
        <w:pStyle w:val="13"/>
        <w:ind w:firstLine="560"/>
        <w:rPr>
          <w:b/>
          <w:color w:val="auto"/>
          <w:sz w:val="28"/>
          <w:highlight w:val="none"/>
        </w:rPr>
      </w:pPr>
    </w:p>
    <w:p w14:paraId="07FA9527">
      <w:pPr>
        <w:pStyle w:val="13"/>
        <w:spacing w:before="11"/>
        <w:ind w:firstLine="760"/>
        <w:rPr>
          <w:b/>
          <w:color w:val="auto"/>
          <w:sz w:val="38"/>
          <w:highlight w:val="none"/>
        </w:rPr>
      </w:pPr>
    </w:p>
    <w:p w14:paraId="3CD6619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color w:val="auto"/>
          <w:highlight w:val="none"/>
        </w:rPr>
      </w:pPr>
      <w:r>
        <w:rPr>
          <w:color w:val="auto"/>
          <w:highlight w:val="none"/>
        </w:rPr>
        <w:t>本单位郑重声明，根据《财政部民政部中国残疾人联合会关于促进残疾人就业政府采购政策的通知》（财库〔2017〕141号）的规定，本单位为符合条件的残疾人福利性单位，且本单位参加</w:t>
      </w:r>
      <w:r>
        <w:rPr>
          <w:color w:val="auto"/>
          <w:highlight w:val="none"/>
        </w:rPr>
        <w:tab/>
      </w:r>
      <w:r>
        <w:rPr>
          <w:color w:val="auto"/>
          <w:highlight w:val="none"/>
        </w:rPr>
        <w:t>单位的</w:t>
      </w:r>
      <w:r>
        <w:rPr>
          <w:color w:val="auto"/>
          <w:highlight w:val="none"/>
        </w:rPr>
        <w:tab/>
      </w:r>
      <w:r>
        <w:rPr>
          <w:color w:val="auto"/>
          <w:highlight w:val="none"/>
        </w:rPr>
        <w:t>项目采购活动提供本单位制造的货物（由本单位承担工程/提供服务），或者提供其他残疾人福利性单位制造的货物（不包括使用非残疾人福利性单位注册商标的货物）。</w:t>
      </w:r>
    </w:p>
    <w:p w14:paraId="086EC9B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color w:val="auto"/>
          <w:highlight w:val="none"/>
        </w:rPr>
      </w:pPr>
      <w:r>
        <w:rPr>
          <w:color w:val="auto"/>
          <w:highlight w:val="none"/>
        </w:rPr>
        <w:t>本单位对上述声明的真实性负责。如有虚假，将依法承担相应责任。</w:t>
      </w:r>
    </w:p>
    <w:p w14:paraId="69B20F92">
      <w:pPr>
        <w:pStyle w:val="13"/>
        <w:ind w:firstLine="482"/>
        <w:rPr>
          <w:color w:val="auto"/>
          <w:sz w:val="24"/>
          <w:highlight w:val="none"/>
        </w:rPr>
      </w:pPr>
    </w:p>
    <w:p w14:paraId="71A928FE">
      <w:pPr>
        <w:pStyle w:val="13"/>
        <w:ind w:firstLine="482"/>
        <w:rPr>
          <w:color w:val="auto"/>
          <w:sz w:val="24"/>
          <w:highlight w:val="none"/>
        </w:rPr>
      </w:pPr>
    </w:p>
    <w:p w14:paraId="2E0D7CB7">
      <w:pPr>
        <w:pStyle w:val="13"/>
        <w:spacing w:before="10"/>
        <w:ind w:firstLine="381"/>
        <w:rPr>
          <w:color w:val="auto"/>
          <w:sz w:val="19"/>
          <w:highlight w:val="none"/>
        </w:rPr>
      </w:pPr>
    </w:p>
    <w:p w14:paraId="3E5B5C5F">
      <w:pPr>
        <w:bidi w:val="0"/>
        <w:rPr>
          <w:color w:val="auto"/>
          <w:highlight w:val="none"/>
        </w:rPr>
      </w:pPr>
      <w:r>
        <w:rPr>
          <w:color w:val="auto"/>
          <w:highlight w:val="none"/>
        </w:rPr>
        <w:t>单位名称（加盖供应商CA证书签章）：</w:t>
      </w:r>
    </w:p>
    <w:p w14:paraId="6FA5AFBA">
      <w:pPr>
        <w:pStyle w:val="13"/>
        <w:spacing w:before="11"/>
        <w:ind w:firstLine="422"/>
        <w:rPr>
          <w:color w:val="auto"/>
          <w:highlight w:val="none"/>
        </w:rPr>
      </w:pPr>
    </w:p>
    <w:p w14:paraId="3A693FBB">
      <w:pPr>
        <w:bidi w:val="0"/>
        <w:rPr>
          <w:color w:val="auto"/>
          <w:highlight w:val="none"/>
        </w:rPr>
      </w:pPr>
      <w:r>
        <w:rPr>
          <w:color w:val="auto"/>
          <w:highlight w:val="none"/>
        </w:rPr>
        <w:t>日期：</w:t>
      </w:r>
    </w:p>
    <w:p w14:paraId="52FBFD46">
      <w:pPr>
        <w:pStyle w:val="13"/>
        <w:ind w:firstLine="640"/>
        <w:rPr>
          <w:b/>
          <w:color w:val="auto"/>
          <w:sz w:val="32"/>
          <w:highlight w:val="none"/>
        </w:rPr>
      </w:pPr>
    </w:p>
    <w:p w14:paraId="15612C09">
      <w:pPr>
        <w:pStyle w:val="13"/>
        <w:rPr>
          <w:color w:val="auto"/>
          <w:highlight w:val="none"/>
        </w:rPr>
      </w:pPr>
    </w:p>
    <w:p w14:paraId="3711657C">
      <w:pPr>
        <w:rPr>
          <w:color w:val="auto"/>
          <w:highlight w:val="none"/>
        </w:rPr>
      </w:pPr>
    </w:p>
    <w:p w14:paraId="24FFF8ED">
      <w:pPr>
        <w:pStyle w:val="13"/>
        <w:spacing w:before="3"/>
        <w:ind w:firstLine="3780" w:firstLineChars="1800"/>
        <w:rPr>
          <w:rFonts w:ascii="微软雅黑" w:hAnsi="微软雅黑" w:eastAsia="微软雅黑" w:cs="微软雅黑"/>
          <w:color w:val="auto"/>
          <w:highlight w:val="none"/>
        </w:rPr>
      </w:pPr>
    </w:p>
    <w:p w14:paraId="7A21B0C1">
      <w:pPr>
        <w:pStyle w:val="13"/>
        <w:spacing w:before="3"/>
        <w:ind w:firstLine="420"/>
        <w:rPr>
          <w:rFonts w:ascii="微软雅黑" w:hAnsi="微软雅黑" w:eastAsia="微软雅黑" w:cs="微软雅黑"/>
          <w:color w:val="auto"/>
          <w:highlight w:val="none"/>
        </w:rPr>
      </w:pPr>
    </w:p>
    <w:p w14:paraId="543D3817">
      <w:pPr>
        <w:pStyle w:val="13"/>
        <w:spacing w:before="3"/>
        <w:ind w:firstLine="420"/>
        <w:rPr>
          <w:rFonts w:ascii="微软雅黑" w:hAnsi="微软雅黑" w:eastAsia="微软雅黑" w:cs="微软雅黑"/>
          <w:color w:val="auto"/>
          <w:highlight w:val="none"/>
        </w:rPr>
      </w:pPr>
    </w:p>
    <w:p w14:paraId="6D3C4D7E">
      <w:pPr>
        <w:rPr>
          <w:rFonts w:ascii="微软雅黑" w:hAnsi="微软雅黑" w:eastAsia="微软雅黑" w:cs="微软雅黑"/>
          <w:color w:val="auto"/>
          <w:highlight w:val="none"/>
        </w:rPr>
      </w:pPr>
      <w:r>
        <w:rPr>
          <w:rFonts w:ascii="微软雅黑" w:hAnsi="微软雅黑" w:eastAsia="微软雅黑" w:cs="微软雅黑"/>
          <w:color w:val="auto"/>
          <w:highlight w:val="none"/>
        </w:rPr>
        <w:br w:type="page"/>
      </w:r>
    </w:p>
    <w:p w14:paraId="3B1FA285">
      <w:pPr>
        <w:rPr>
          <w:color w:val="auto"/>
          <w:highlight w:val="none"/>
        </w:rPr>
      </w:pPr>
    </w:p>
    <w:p w14:paraId="48563BF2">
      <w:pPr>
        <w:pStyle w:val="13"/>
        <w:spacing w:before="3"/>
        <w:ind w:firstLine="3780" w:firstLineChars="1800"/>
        <w:rPr>
          <w:rFonts w:ascii="微软雅黑" w:hAnsi="微软雅黑" w:eastAsia="微软雅黑" w:cs="微软雅黑"/>
          <w:color w:val="auto"/>
          <w:highlight w:val="none"/>
        </w:rPr>
      </w:pPr>
    </w:p>
    <w:p w14:paraId="132013CA">
      <w:pPr>
        <w:spacing w:before="24"/>
        <w:ind w:right="322" w:firstLine="640"/>
        <w:jc w:val="center"/>
        <w:rPr>
          <w:rFonts w:ascii="宋体" w:hAnsi="宋体" w:eastAsia="宋体" w:cs="宋体"/>
          <w:b/>
          <w:color w:val="auto"/>
          <w:sz w:val="32"/>
          <w:highlight w:val="none"/>
        </w:rPr>
      </w:pPr>
      <w:r>
        <w:rPr>
          <w:rFonts w:ascii="宋体" w:hAnsi="宋体" w:eastAsia="宋体" w:cs="宋体"/>
          <w:b/>
          <w:color w:val="auto"/>
          <w:sz w:val="32"/>
          <w:highlight w:val="none"/>
        </w:rPr>
        <w:t>符合性响应证明材料目录</w:t>
      </w:r>
    </w:p>
    <w:p w14:paraId="09AE1612">
      <w:pPr>
        <w:spacing w:before="24"/>
        <w:ind w:right="322" w:firstLine="640"/>
        <w:jc w:val="center"/>
        <w:rPr>
          <w:rFonts w:ascii="宋体" w:hAnsi="宋体" w:eastAsia="宋体" w:cs="宋体"/>
          <w:b/>
          <w:color w:val="auto"/>
          <w:sz w:val="32"/>
          <w:highlight w:val="none"/>
        </w:rPr>
      </w:pPr>
    </w:p>
    <w:p w14:paraId="257A3C3C">
      <w:pPr>
        <w:spacing w:before="24"/>
        <w:ind w:right="322" w:firstLine="640"/>
        <w:jc w:val="center"/>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自拟</w:t>
      </w:r>
    </w:p>
    <w:p w14:paraId="6C541083">
      <w:pPr>
        <w:rPr>
          <w:color w:val="auto"/>
          <w:highlight w:val="none"/>
        </w:rPr>
      </w:pPr>
      <w:r>
        <w:rPr>
          <w:color w:val="auto"/>
          <w:highlight w:val="none"/>
        </w:rPr>
        <w:br w:type="page"/>
      </w:r>
    </w:p>
    <w:p w14:paraId="0F0A226C">
      <w:pPr>
        <w:pStyle w:val="3"/>
        <w:bidi w:val="0"/>
        <w:rPr>
          <w:color w:val="auto"/>
          <w:highlight w:val="none"/>
        </w:rPr>
      </w:pPr>
      <w:r>
        <w:rPr>
          <w:color w:val="auto"/>
          <w:highlight w:val="none"/>
        </w:rPr>
        <w:t>（二）符合性响应证明材料</w:t>
      </w:r>
    </w:p>
    <w:p w14:paraId="629A56AD">
      <w:pPr>
        <w:bidi w:val="0"/>
        <w:rPr>
          <w:rFonts w:hint="eastAsia"/>
          <w:color w:val="auto"/>
          <w:highlight w:val="none"/>
        </w:rPr>
      </w:pPr>
    </w:p>
    <w:p w14:paraId="2381B406">
      <w:pPr>
        <w:pStyle w:val="4"/>
        <w:bidi w:val="0"/>
        <w:rPr>
          <w:color w:val="auto"/>
          <w:highlight w:val="none"/>
        </w:rPr>
      </w:pPr>
      <w:r>
        <w:rPr>
          <w:rFonts w:hint="eastAsia"/>
          <w:color w:val="auto"/>
          <w:highlight w:val="none"/>
        </w:rPr>
        <w:t>1.</w:t>
      </w:r>
      <w:r>
        <w:rPr>
          <w:color w:val="auto"/>
          <w:highlight w:val="none"/>
        </w:rPr>
        <w:t>响应函</w:t>
      </w:r>
      <w:r>
        <w:rPr>
          <w:rFonts w:hint="eastAsia"/>
          <w:color w:val="auto"/>
          <w:highlight w:val="none"/>
        </w:rPr>
        <w:t>及响应函附录</w:t>
      </w:r>
      <w:r>
        <w:rPr>
          <w:color w:val="auto"/>
          <w:highlight w:val="none"/>
        </w:rPr>
        <w:t>（必须提供）</w:t>
      </w:r>
    </w:p>
    <w:p w14:paraId="213CB7BF">
      <w:pPr>
        <w:bidi w:val="0"/>
        <w:rPr>
          <w:color w:val="auto"/>
          <w:highlight w:val="none"/>
        </w:rPr>
      </w:pPr>
      <w:r>
        <w:rPr>
          <w:color w:val="auto"/>
          <w:highlight w:val="none"/>
        </w:rPr>
        <w:t>附件：</w:t>
      </w:r>
    </w:p>
    <w:p w14:paraId="222B4DC2">
      <w:pPr>
        <w:ind w:firstLine="640"/>
        <w:jc w:val="center"/>
        <w:rPr>
          <w:b/>
          <w:color w:val="auto"/>
          <w:sz w:val="32"/>
          <w:szCs w:val="20"/>
          <w:highlight w:val="none"/>
        </w:rPr>
      </w:pPr>
      <w:r>
        <w:rPr>
          <w:rFonts w:hint="eastAsia"/>
          <w:b/>
          <w:color w:val="auto"/>
          <w:sz w:val="32"/>
          <w:szCs w:val="20"/>
          <w:highlight w:val="none"/>
        </w:rPr>
        <w:t>（一）响应函</w:t>
      </w:r>
    </w:p>
    <w:p w14:paraId="58D429AF">
      <w:pPr>
        <w:spacing w:line="400" w:lineRule="exact"/>
        <w:ind w:firstLine="482"/>
        <w:rPr>
          <w:rFonts w:hint="eastAsia" w:eastAsia="宋体"/>
          <w:color w:val="auto"/>
          <w:sz w:val="24"/>
          <w:highlight w:val="none"/>
          <w:lang w:eastAsia="zh-CN"/>
        </w:rPr>
      </w:pPr>
      <w:r>
        <w:rPr>
          <w:rFonts w:hint="eastAsia"/>
          <w:color w:val="auto"/>
          <w:sz w:val="24"/>
          <w:highlight w:val="none"/>
          <w:lang w:eastAsia="zh-CN"/>
        </w:rPr>
        <w:t>致：广西壮族自治区恭城公路养护中心</w:t>
      </w:r>
    </w:p>
    <w:p w14:paraId="08ABA1EE">
      <w:pPr>
        <w:spacing w:line="360" w:lineRule="exact"/>
        <w:ind w:firstLine="480" w:firstLineChars="200"/>
        <w:rPr>
          <w:color w:val="auto"/>
          <w:sz w:val="24"/>
          <w:highlight w:val="none"/>
        </w:rPr>
      </w:pPr>
      <w:r>
        <w:rPr>
          <w:rFonts w:hint="eastAsia"/>
          <w:color w:val="auto"/>
          <w:sz w:val="24"/>
          <w:highlight w:val="none"/>
        </w:rPr>
        <w:t>根据贵方</w:t>
      </w:r>
      <w:r>
        <w:rPr>
          <w:rFonts w:hint="eastAsia"/>
          <w:color w:val="auto"/>
          <w:sz w:val="24"/>
          <w:highlight w:val="none"/>
          <w:u w:val="single"/>
        </w:rPr>
        <w:t>（项目名称）</w:t>
      </w:r>
      <w:r>
        <w:rPr>
          <w:rFonts w:hint="eastAsia"/>
          <w:color w:val="auto"/>
          <w:sz w:val="24"/>
          <w:highlight w:val="none"/>
        </w:rPr>
        <w:t>项目磋商文件，项目编号，签字代表（姓名）经正式授权并代表供应商（供应商单位名称），提交电子响应文件。</w:t>
      </w:r>
    </w:p>
    <w:p w14:paraId="2F3C7FFD">
      <w:pPr>
        <w:spacing w:line="360" w:lineRule="exact"/>
        <w:ind w:firstLine="480" w:firstLineChars="200"/>
        <w:rPr>
          <w:color w:val="auto"/>
          <w:sz w:val="24"/>
          <w:highlight w:val="none"/>
        </w:rPr>
      </w:pPr>
      <w:r>
        <w:rPr>
          <w:rFonts w:hint="eastAsia"/>
          <w:color w:val="auto"/>
          <w:sz w:val="24"/>
          <w:highlight w:val="none"/>
        </w:rPr>
        <w:t>据此函，签字代表宣布同意如下：</w:t>
      </w:r>
    </w:p>
    <w:p w14:paraId="399C4E49">
      <w:pPr>
        <w:spacing w:line="360" w:lineRule="exact"/>
        <w:ind w:firstLine="480" w:firstLineChars="200"/>
        <w:rPr>
          <w:color w:val="auto"/>
          <w:sz w:val="24"/>
          <w:highlight w:val="none"/>
          <w:lang w:bidi="zh-CN"/>
        </w:rPr>
      </w:pPr>
      <w:r>
        <w:rPr>
          <w:rFonts w:hint="eastAsia"/>
          <w:color w:val="auto"/>
          <w:sz w:val="24"/>
          <w:highlight w:val="none"/>
        </w:rPr>
        <w:t>1.</w:t>
      </w:r>
      <w:r>
        <w:rPr>
          <w:color w:val="auto"/>
          <w:sz w:val="24"/>
          <w:szCs w:val="20"/>
          <w:highlight w:val="none"/>
          <w:lang w:bidi="zh-CN"/>
        </w:rPr>
        <w:t>我方已仔细研究</w:t>
      </w:r>
      <w:r>
        <w:rPr>
          <w:rFonts w:hint="eastAsia"/>
          <w:color w:val="auto"/>
          <w:sz w:val="24"/>
          <w:highlight w:val="none"/>
        </w:rPr>
        <w:t>磋商文件</w:t>
      </w:r>
      <w:r>
        <w:rPr>
          <w:color w:val="auto"/>
          <w:sz w:val="24"/>
          <w:szCs w:val="20"/>
          <w:highlight w:val="none"/>
          <w:lang w:bidi="zh-CN"/>
        </w:rPr>
        <w:t>的全部内容，愿意以人民币</w:t>
      </w:r>
      <w:r>
        <w:rPr>
          <w:color w:val="auto"/>
          <w:sz w:val="24"/>
          <w:highlight w:val="none"/>
          <w:lang w:bidi="zh-CN"/>
        </w:rPr>
        <w:t>（大写）</w:t>
      </w:r>
      <w:r>
        <w:rPr>
          <w:color w:val="auto"/>
          <w:sz w:val="24"/>
          <w:highlight w:val="none"/>
          <w:u w:val="single"/>
          <w:lang w:bidi="zh-CN"/>
        </w:rPr>
        <w:tab/>
      </w:r>
      <w:r>
        <w:rPr>
          <w:color w:val="auto"/>
          <w:sz w:val="24"/>
          <w:highlight w:val="none"/>
          <w:lang w:bidi="zh-CN"/>
        </w:rPr>
        <w:t>元（¥</w:t>
      </w:r>
      <w:r>
        <w:rPr>
          <w:color w:val="auto"/>
          <w:sz w:val="24"/>
          <w:highlight w:val="none"/>
          <w:u w:val="single"/>
          <w:lang w:bidi="zh-CN"/>
        </w:rPr>
        <w:tab/>
      </w:r>
      <w:r>
        <w:rPr>
          <w:color w:val="auto"/>
          <w:sz w:val="24"/>
          <w:highlight w:val="none"/>
          <w:lang w:bidi="zh-CN"/>
        </w:rPr>
        <w:t>）的</w:t>
      </w:r>
      <w:r>
        <w:rPr>
          <w:rFonts w:hint="eastAsia"/>
          <w:color w:val="auto"/>
          <w:sz w:val="24"/>
          <w:highlight w:val="none"/>
        </w:rPr>
        <w:t>磋商</w:t>
      </w:r>
      <w:r>
        <w:rPr>
          <w:color w:val="auto"/>
          <w:sz w:val="24"/>
          <w:highlight w:val="none"/>
          <w:lang w:bidi="zh-CN"/>
        </w:rPr>
        <w:t>报价（或根据</w:t>
      </w:r>
      <w:r>
        <w:rPr>
          <w:rFonts w:hint="eastAsia"/>
          <w:color w:val="auto"/>
          <w:sz w:val="24"/>
          <w:highlight w:val="none"/>
        </w:rPr>
        <w:t>磋商文件</w:t>
      </w:r>
      <w:r>
        <w:rPr>
          <w:color w:val="auto"/>
          <w:sz w:val="24"/>
          <w:highlight w:val="none"/>
          <w:lang w:bidi="zh-CN"/>
        </w:rPr>
        <w:t>规定修正核实后确定的另一金额），按合同约定实施和完成承包工程，修补工程中的任何缺陷。</w:t>
      </w:r>
    </w:p>
    <w:p w14:paraId="22D64C80">
      <w:pPr>
        <w:spacing w:line="360" w:lineRule="exact"/>
        <w:ind w:firstLine="480" w:firstLineChars="200"/>
        <w:rPr>
          <w:color w:val="auto"/>
          <w:sz w:val="24"/>
          <w:highlight w:val="none"/>
        </w:rPr>
      </w:pPr>
      <w:r>
        <w:rPr>
          <w:rFonts w:hint="eastAsia"/>
          <w:color w:val="auto"/>
          <w:sz w:val="24"/>
          <w:highlight w:val="none"/>
          <w:lang w:bidi="zh-CN"/>
        </w:rPr>
        <w:t>2.</w:t>
      </w:r>
      <w:r>
        <w:rPr>
          <w:color w:val="auto"/>
          <w:sz w:val="24"/>
          <w:highlight w:val="none"/>
          <w:lang w:val="zh-CN" w:bidi="zh-CN"/>
        </w:rPr>
        <w:t>工程质量：</w:t>
      </w:r>
      <w:r>
        <w:rPr>
          <w:color w:val="auto"/>
          <w:sz w:val="24"/>
          <w:highlight w:val="none"/>
          <w:u w:val="single"/>
          <w:lang w:val="zh-CN" w:bidi="zh-CN"/>
        </w:rPr>
        <w:tab/>
      </w:r>
      <w:r>
        <w:rPr>
          <w:color w:val="auto"/>
          <w:sz w:val="24"/>
          <w:highlight w:val="none"/>
          <w:lang w:val="zh-CN" w:bidi="zh-CN"/>
        </w:rPr>
        <w:t>，工期：</w:t>
      </w:r>
      <w:r>
        <w:rPr>
          <w:color w:val="auto"/>
          <w:sz w:val="24"/>
          <w:highlight w:val="none"/>
          <w:u w:val="single"/>
          <w:lang w:val="zh-CN" w:bidi="zh-CN"/>
        </w:rPr>
        <w:tab/>
      </w:r>
      <w:r>
        <w:rPr>
          <w:color w:val="auto"/>
          <w:sz w:val="24"/>
          <w:highlight w:val="none"/>
          <w:lang w:val="zh-CN" w:bidi="zh-CN"/>
        </w:rPr>
        <w:t>。</w:t>
      </w:r>
    </w:p>
    <w:p w14:paraId="183866C1">
      <w:pPr>
        <w:spacing w:line="360" w:lineRule="exact"/>
        <w:ind w:firstLine="480" w:firstLineChars="200"/>
        <w:rPr>
          <w:color w:val="auto"/>
          <w:sz w:val="24"/>
          <w:highlight w:val="none"/>
        </w:rPr>
      </w:pPr>
      <w:r>
        <w:rPr>
          <w:rFonts w:hint="eastAsia"/>
          <w:color w:val="auto"/>
          <w:sz w:val="24"/>
          <w:highlight w:val="none"/>
        </w:rPr>
        <w:t>3.我方承诺已具备磋商文件规定的供应商资格条件。</w:t>
      </w:r>
    </w:p>
    <w:p w14:paraId="58994CB2">
      <w:pPr>
        <w:spacing w:line="360" w:lineRule="exact"/>
        <w:ind w:firstLine="480" w:firstLineChars="200"/>
        <w:rPr>
          <w:color w:val="auto"/>
          <w:sz w:val="24"/>
          <w:highlight w:val="none"/>
        </w:rPr>
      </w:pPr>
      <w:r>
        <w:rPr>
          <w:rFonts w:hint="eastAsia"/>
          <w:color w:val="auto"/>
          <w:sz w:val="24"/>
          <w:highlight w:val="none"/>
        </w:rPr>
        <w:t>4.我方已详细审核磋商文件，包括修改文件（如有的话）和有关附件，将自行承担因对全部磋商文件理解不正确或误解而产生的相应后果。</w:t>
      </w:r>
    </w:p>
    <w:p w14:paraId="2C769D39">
      <w:pPr>
        <w:spacing w:line="360" w:lineRule="exact"/>
        <w:ind w:firstLine="480" w:firstLineChars="200"/>
        <w:rPr>
          <w:color w:val="auto"/>
          <w:sz w:val="24"/>
          <w:highlight w:val="none"/>
        </w:rPr>
      </w:pPr>
      <w:r>
        <w:rPr>
          <w:rFonts w:hint="eastAsia"/>
          <w:color w:val="auto"/>
          <w:sz w:val="24"/>
          <w:highlight w:val="none"/>
        </w:rPr>
        <w:t>5.响应文件有效期为响应文件递交截止时间之日起90天。</w:t>
      </w:r>
    </w:p>
    <w:p w14:paraId="12D510E0">
      <w:pPr>
        <w:spacing w:line="360" w:lineRule="exact"/>
        <w:ind w:firstLine="480" w:firstLineChars="200"/>
        <w:rPr>
          <w:color w:val="auto"/>
          <w:sz w:val="24"/>
          <w:highlight w:val="none"/>
        </w:rPr>
      </w:pPr>
      <w:r>
        <w:rPr>
          <w:rFonts w:hint="eastAsia"/>
          <w:color w:val="auto"/>
          <w:sz w:val="24"/>
          <w:highlight w:val="none"/>
        </w:rPr>
        <w:t>6.如我方成交：</w:t>
      </w:r>
    </w:p>
    <w:p w14:paraId="24236EC8">
      <w:pPr>
        <w:spacing w:line="360" w:lineRule="exact"/>
        <w:ind w:firstLine="480" w:firstLineChars="200"/>
        <w:rPr>
          <w:color w:val="auto"/>
          <w:sz w:val="24"/>
          <w:highlight w:val="none"/>
        </w:rPr>
      </w:pPr>
      <w:r>
        <w:rPr>
          <w:rFonts w:hint="eastAsia"/>
          <w:color w:val="auto"/>
          <w:sz w:val="24"/>
          <w:highlight w:val="none"/>
        </w:rPr>
        <w:t>（1）我方承诺在收到成交通知书后，在成交通知书规定的期限内与采购人签订合同。</w:t>
      </w:r>
    </w:p>
    <w:p w14:paraId="70AA0B77">
      <w:pPr>
        <w:spacing w:line="360" w:lineRule="exact"/>
        <w:ind w:firstLine="480" w:firstLineChars="200"/>
        <w:rPr>
          <w:color w:val="auto"/>
          <w:sz w:val="24"/>
          <w:highlight w:val="none"/>
        </w:rPr>
      </w:pPr>
      <w:r>
        <w:rPr>
          <w:rFonts w:hint="eastAsia"/>
          <w:color w:val="auto"/>
          <w:sz w:val="24"/>
          <w:highlight w:val="none"/>
        </w:rPr>
        <w:t>（2）我方承诺按照磋商文件规定递交履约担保。</w:t>
      </w:r>
    </w:p>
    <w:p w14:paraId="28BDE8EA">
      <w:pPr>
        <w:spacing w:line="360" w:lineRule="exact"/>
        <w:ind w:firstLine="480" w:firstLineChars="200"/>
        <w:rPr>
          <w:color w:val="auto"/>
          <w:sz w:val="24"/>
          <w:highlight w:val="none"/>
        </w:rPr>
      </w:pPr>
      <w:r>
        <w:rPr>
          <w:rFonts w:hint="eastAsia"/>
          <w:color w:val="auto"/>
          <w:sz w:val="24"/>
          <w:highlight w:val="none"/>
        </w:rPr>
        <w:t>（3）我方承诺本响应文件至本项目合同履行完毕止均保持有效，按磋商文件及政府采购法律、法规的规定履行合同责任和义务。</w:t>
      </w:r>
    </w:p>
    <w:p w14:paraId="0245227C">
      <w:pPr>
        <w:spacing w:line="360" w:lineRule="exact"/>
        <w:ind w:firstLine="480" w:firstLineChars="200"/>
        <w:rPr>
          <w:color w:val="auto"/>
          <w:sz w:val="24"/>
          <w:highlight w:val="none"/>
        </w:rPr>
      </w:pPr>
    </w:p>
    <w:p w14:paraId="5310E67F">
      <w:pPr>
        <w:spacing w:line="360" w:lineRule="exact"/>
        <w:ind w:firstLine="480" w:firstLineChars="200"/>
        <w:rPr>
          <w:color w:val="auto"/>
          <w:sz w:val="24"/>
          <w:highlight w:val="none"/>
        </w:rPr>
      </w:pPr>
      <w:r>
        <w:rPr>
          <w:rFonts w:hint="eastAsia"/>
          <w:color w:val="auto"/>
          <w:sz w:val="24"/>
          <w:highlight w:val="none"/>
        </w:rPr>
        <w:t>与本项目有关的正式通讯地址为：</w:t>
      </w:r>
    </w:p>
    <w:p w14:paraId="570E98A9">
      <w:pPr>
        <w:spacing w:line="360" w:lineRule="exact"/>
        <w:ind w:firstLine="480" w:firstLineChars="200"/>
        <w:rPr>
          <w:color w:val="auto"/>
          <w:sz w:val="24"/>
          <w:highlight w:val="none"/>
        </w:rPr>
      </w:pPr>
      <w:r>
        <w:rPr>
          <w:rFonts w:hint="eastAsia"/>
          <w:color w:val="auto"/>
          <w:sz w:val="24"/>
          <w:highlight w:val="none"/>
        </w:rPr>
        <w:t>地址：邮编：邮箱：</w:t>
      </w:r>
    </w:p>
    <w:p w14:paraId="571D44F3">
      <w:pPr>
        <w:spacing w:line="360" w:lineRule="exact"/>
        <w:ind w:firstLine="480" w:firstLineChars="200"/>
        <w:rPr>
          <w:color w:val="auto"/>
          <w:sz w:val="24"/>
          <w:highlight w:val="none"/>
          <w:u w:val="single"/>
        </w:rPr>
      </w:pPr>
      <w:r>
        <w:rPr>
          <w:rFonts w:hint="eastAsia"/>
          <w:color w:val="auto"/>
          <w:sz w:val="24"/>
          <w:highlight w:val="none"/>
        </w:rPr>
        <w:t>办公电话：传真：</w:t>
      </w:r>
    </w:p>
    <w:p w14:paraId="4D7B5121">
      <w:pPr>
        <w:spacing w:line="360" w:lineRule="exact"/>
        <w:ind w:firstLine="480" w:firstLineChars="200"/>
        <w:rPr>
          <w:color w:val="auto"/>
          <w:sz w:val="24"/>
          <w:highlight w:val="none"/>
          <w:u w:val="single"/>
        </w:rPr>
      </w:pPr>
      <w:r>
        <w:rPr>
          <w:rFonts w:hint="eastAsia"/>
          <w:color w:val="auto"/>
          <w:sz w:val="24"/>
          <w:highlight w:val="none"/>
        </w:rPr>
        <w:t>委托代理人联系电话：</w:t>
      </w:r>
    </w:p>
    <w:p w14:paraId="49E6F84A">
      <w:pPr>
        <w:spacing w:line="320" w:lineRule="exact"/>
        <w:ind w:firstLine="480" w:firstLineChars="200"/>
        <w:rPr>
          <w:color w:val="auto"/>
          <w:sz w:val="24"/>
          <w:highlight w:val="none"/>
        </w:rPr>
      </w:pPr>
      <w:r>
        <w:rPr>
          <w:rFonts w:hint="eastAsia"/>
          <w:color w:val="auto"/>
          <w:sz w:val="24"/>
          <w:highlight w:val="none"/>
        </w:rPr>
        <w:t>开户名称：</w:t>
      </w:r>
    </w:p>
    <w:p w14:paraId="2FACA22F">
      <w:pPr>
        <w:spacing w:line="320" w:lineRule="exact"/>
        <w:ind w:firstLine="480" w:firstLineChars="200"/>
        <w:rPr>
          <w:color w:val="auto"/>
          <w:sz w:val="24"/>
          <w:highlight w:val="none"/>
        </w:rPr>
      </w:pPr>
      <w:r>
        <w:rPr>
          <w:rFonts w:hint="eastAsia"/>
          <w:color w:val="auto"/>
          <w:sz w:val="24"/>
          <w:highlight w:val="none"/>
        </w:rPr>
        <w:t>开户银行：</w:t>
      </w:r>
      <w:r>
        <w:rPr>
          <w:rFonts w:hint="eastAsia"/>
          <w:color w:val="auto"/>
          <w:sz w:val="24"/>
          <w:highlight w:val="none"/>
          <w:u w:val="single"/>
        </w:rPr>
        <w:t>　</w:t>
      </w:r>
    </w:p>
    <w:p w14:paraId="54F7CCD9">
      <w:pPr>
        <w:spacing w:line="320" w:lineRule="exact"/>
        <w:ind w:firstLine="480" w:firstLineChars="200"/>
        <w:rPr>
          <w:color w:val="auto"/>
          <w:sz w:val="24"/>
          <w:highlight w:val="none"/>
        </w:rPr>
      </w:pPr>
      <w:r>
        <w:rPr>
          <w:rFonts w:hint="eastAsia"/>
          <w:color w:val="auto"/>
          <w:sz w:val="24"/>
          <w:highlight w:val="none"/>
        </w:rPr>
        <w:t>账号：</w:t>
      </w:r>
      <w:r>
        <w:rPr>
          <w:rFonts w:hint="eastAsia"/>
          <w:color w:val="auto"/>
          <w:sz w:val="24"/>
          <w:highlight w:val="none"/>
          <w:u w:val="single"/>
        </w:rPr>
        <w:t>　　　</w:t>
      </w:r>
    </w:p>
    <w:p w14:paraId="00CA8062">
      <w:pPr>
        <w:pStyle w:val="13"/>
        <w:spacing w:before="10"/>
        <w:ind w:firstLine="482"/>
        <w:rPr>
          <w:rFonts w:ascii="Times New Roman"/>
          <w:color w:val="auto"/>
          <w:sz w:val="24"/>
          <w:highlight w:val="none"/>
        </w:rPr>
      </w:pPr>
    </w:p>
    <w:p w14:paraId="44B027CE">
      <w:pPr>
        <w:pStyle w:val="13"/>
        <w:spacing w:before="69"/>
        <w:ind w:firstLine="720" w:firstLineChars="300"/>
        <w:rPr>
          <w:color w:val="auto"/>
          <w:sz w:val="24"/>
          <w:szCs w:val="22"/>
          <w:highlight w:val="none"/>
        </w:rPr>
      </w:pPr>
      <w:r>
        <w:rPr>
          <w:rFonts w:hint="eastAsia"/>
          <w:color w:val="auto"/>
          <w:sz w:val="24"/>
          <w:szCs w:val="22"/>
          <w:highlight w:val="none"/>
        </w:rPr>
        <w:t>磋商供应商（CA证书签章）：</w:t>
      </w:r>
    </w:p>
    <w:p w14:paraId="34D5A646">
      <w:pPr>
        <w:ind w:firstLine="720" w:firstLineChars="300"/>
        <w:rPr>
          <w:color w:val="auto"/>
          <w:highlight w:val="none"/>
        </w:rPr>
      </w:pPr>
      <w:r>
        <w:rPr>
          <w:rFonts w:hint="eastAsia"/>
          <w:color w:val="auto"/>
          <w:sz w:val="24"/>
          <w:szCs w:val="24"/>
          <w:highlight w:val="none"/>
        </w:rPr>
        <w:t>法定代表人(负责人、自然人)或相应的委托代理人签字（或个人CA证书章）：</w:t>
      </w:r>
    </w:p>
    <w:p w14:paraId="2737FAA8">
      <w:pPr>
        <w:pStyle w:val="13"/>
        <w:spacing w:before="70" w:line="304" w:lineRule="auto"/>
        <w:ind w:right="1949" w:firstLine="720" w:firstLineChars="300"/>
        <w:rPr>
          <w:color w:val="auto"/>
          <w:sz w:val="24"/>
          <w:szCs w:val="22"/>
          <w:highlight w:val="none"/>
        </w:rPr>
      </w:pPr>
      <w:r>
        <w:rPr>
          <w:rFonts w:hint="eastAsia"/>
          <w:color w:val="auto"/>
          <w:sz w:val="24"/>
          <w:szCs w:val="22"/>
          <w:highlight w:val="none"/>
        </w:rPr>
        <w:t>日期：</w:t>
      </w:r>
    </w:p>
    <w:p w14:paraId="7CC3F973">
      <w:pPr>
        <w:pStyle w:val="13"/>
        <w:spacing w:before="3"/>
        <w:ind w:firstLine="522"/>
        <w:rPr>
          <w:color w:val="auto"/>
          <w:sz w:val="26"/>
          <w:highlight w:val="none"/>
        </w:rPr>
      </w:pPr>
    </w:p>
    <w:p w14:paraId="6BD60316">
      <w:pPr>
        <w:pStyle w:val="13"/>
        <w:spacing w:line="304" w:lineRule="auto"/>
        <w:ind w:left="480" w:right="796" w:firstLine="422"/>
        <w:rPr>
          <w:color w:val="auto"/>
          <w:highlight w:val="none"/>
        </w:rPr>
      </w:pPr>
      <w:r>
        <w:rPr>
          <w:color w:val="auto"/>
          <w:highlight w:val="none"/>
        </w:rPr>
        <w:t>注：1.未按照本响应函（格式）要求填报的应函将被视为非实质性响应竞争性磋商文件要求，从而导致该响应被拒绝。</w:t>
      </w:r>
    </w:p>
    <w:p w14:paraId="1AACA7DE">
      <w:pPr>
        <w:pStyle w:val="32"/>
        <w:numPr>
          <w:ilvl w:val="1"/>
          <w:numId w:val="7"/>
        </w:numPr>
        <w:tabs>
          <w:tab w:val="left" w:pos="1108"/>
        </w:tabs>
        <w:spacing w:line="302" w:lineRule="auto"/>
        <w:ind w:right="694" w:firstLine="422"/>
        <w:rPr>
          <w:color w:val="auto"/>
          <w:sz w:val="19"/>
          <w:highlight w:val="none"/>
        </w:rPr>
      </w:pPr>
      <w:r>
        <w:rPr>
          <w:color w:val="auto"/>
          <w:sz w:val="21"/>
          <w:highlight w:val="none"/>
        </w:rPr>
        <w:t>供应商必须按本响应函（格式）要求注明清楚联系方式（包括地址、邮编、邮箱、电话等），从而确保成交结果等相关信息能及时通知到位。</w:t>
      </w:r>
    </w:p>
    <w:p w14:paraId="33CAA4D8">
      <w:pPr>
        <w:pStyle w:val="32"/>
        <w:numPr>
          <w:ilvl w:val="1"/>
          <w:numId w:val="7"/>
        </w:numPr>
        <w:tabs>
          <w:tab w:val="left" w:pos="1111"/>
        </w:tabs>
        <w:spacing w:line="304" w:lineRule="auto"/>
        <w:ind w:right="799" w:firstLine="422"/>
        <w:rPr>
          <w:color w:val="auto"/>
          <w:sz w:val="19"/>
          <w:highlight w:val="none"/>
        </w:rPr>
      </w:pPr>
      <w:r>
        <w:rPr>
          <w:color w:val="auto"/>
          <w:sz w:val="21"/>
          <w:highlight w:val="none"/>
        </w:rPr>
        <w:t>响应函须由法定代表人(负责人、自然人)或相应的委托代理人签字（或个人CA证书签章）并加盖供应商公章（CA证书签章）。</w:t>
      </w:r>
    </w:p>
    <w:p w14:paraId="3EFEF9E6">
      <w:pPr>
        <w:spacing w:line="304" w:lineRule="auto"/>
        <w:ind w:firstLine="381"/>
        <w:rPr>
          <w:color w:val="auto"/>
          <w:sz w:val="19"/>
          <w:highlight w:val="none"/>
        </w:rPr>
      </w:pPr>
    </w:p>
    <w:p w14:paraId="77852CF1">
      <w:pPr>
        <w:rPr>
          <w:color w:val="auto"/>
          <w:sz w:val="19"/>
          <w:highlight w:val="none"/>
        </w:rPr>
      </w:pPr>
      <w:r>
        <w:rPr>
          <w:color w:val="auto"/>
          <w:sz w:val="19"/>
          <w:highlight w:val="none"/>
        </w:rPr>
        <w:br w:type="page"/>
      </w:r>
    </w:p>
    <w:p w14:paraId="79434149">
      <w:pPr>
        <w:pStyle w:val="13"/>
        <w:rPr>
          <w:color w:val="auto"/>
          <w:highlight w:val="none"/>
        </w:rPr>
      </w:pPr>
    </w:p>
    <w:p w14:paraId="32605986">
      <w:pPr>
        <w:spacing w:line="304" w:lineRule="auto"/>
        <w:ind w:firstLine="381"/>
        <w:rPr>
          <w:color w:val="auto"/>
          <w:sz w:val="19"/>
          <w:highlight w:val="none"/>
        </w:rPr>
      </w:pPr>
    </w:p>
    <w:p w14:paraId="6BADAA35">
      <w:pPr>
        <w:spacing w:before="212"/>
        <w:ind w:right="176" w:firstLine="600"/>
        <w:jc w:val="center"/>
        <w:rPr>
          <w:b/>
          <w:color w:val="auto"/>
          <w:sz w:val="30"/>
          <w:highlight w:val="none"/>
          <w:lang w:val="zh-CN" w:bidi="zh-CN"/>
        </w:rPr>
      </w:pPr>
      <w:r>
        <w:rPr>
          <w:b/>
          <w:color w:val="auto"/>
          <w:sz w:val="30"/>
          <w:highlight w:val="none"/>
          <w:lang w:val="zh-CN" w:bidi="zh-CN"/>
        </w:rPr>
        <w:t>（二）</w:t>
      </w:r>
      <w:r>
        <w:rPr>
          <w:rFonts w:hint="eastAsia"/>
          <w:b/>
          <w:color w:val="auto"/>
          <w:sz w:val="30"/>
          <w:highlight w:val="none"/>
          <w:lang w:val="zh-CN" w:bidi="zh-CN"/>
        </w:rPr>
        <w:t>响应函附录</w:t>
      </w:r>
    </w:p>
    <w:p w14:paraId="263941E9">
      <w:pPr>
        <w:spacing w:before="212"/>
        <w:ind w:right="176" w:firstLine="600"/>
        <w:jc w:val="center"/>
        <w:rPr>
          <w:b/>
          <w:color w:val="auto"/>
          <w:sz w:val="30"/>
          <w:highlight w:val="none"/>
          <w:lang w:val="zh-CN" w:bidi="zh-CN"/>
        </w:rPr>
      </w:pPr>
    </w:p>
    <w:tbl>
      <w:tblPr>
        <w:tblStyle w:val="31"/>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888"/>
        <w:gridCol w:w="1434"/>
        <w:gridCol w:w="3421"/>
        <w:gridCol w:w="724"/>
      </w:tblGrid>
      <w:tr w14:paraId="6426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35" w:type="dxa"/>
            <w:vAlign w:val="center"/>
          </w:tcPr>
          <w:p w14:paraId="63ADB7E3">
            <w:pPr>
              <w:pStyle w:val="34"/>
              <w:rPr>
                <w:color w:val="auto"/>
                <w:highlight w:val="none"/>
              </w:rPr>
            </w:pPr>
            <w:r>
              <w:rPr>
                <w:rFonts w:hint="eastAsia"/>
                <w:color w:val="auto"/>
                <w:highlight w:val="none"/>
              </w:rPr>
              <w:t>序号</w:t>
            </w:r>
          </w:p>
        </w:tc>
        <w:tc>
          <w:tcPr>
            <w:tcW w:w="2888" w:type="dxa"/>
            <w:vAlign w:val="center"/>
          </w:tcPr>
          <w:p w14:paraId="566014A5">
            <w:pPr>
              <w:pStyle w:val="34"/>
              <w:rPr>
                <w:color w:val="auto"/>
                <w:highlight w:val="none"/>
              </w:rPr>
            </w:pPr>
            <w:r>
              <w:rPr>
                <w:rFonts w:hint="eastAsia"/>
                <w:color w:val="auto"/>
                <w:highlight w:val="none"/>
              </w:rPr>
              <w:t>条款名称</w:t>
            </w:r>
          </w:p>
        </w:tc>
        <w:tc>
          <w:tcPr>
            <w:tcW w:w="1434" w:type="dxa"/>
            <w:vAlign w:val="center"/>
          </w:tcPr>
          <w:p w14:paraId="03E530BA">
            <w:pPr>
              <w:pStyle w:val="34"/>
              <w:rPr>
                <w:color w:val="auto"/>
                <w:highlight w:val="none"/>
              </w:rPr>
            </w:pPr>
            <w:r>
              <w:rPr>
                <w:rFonts w:hint="eastAsia"/>
                <w:color w:val="auto"/>
                <w:highlight w:val="none"/>
              </w:rPr>
              <w:t>合同条目号</w:t>
            </w:r>
          </w:p>
        </w:tc>
        <w:tc>
          <w:tcPr>
            <w:tcW w:w="3421" w:type="dxa"/>
            <w:vAlign w:val="center"/>
          </w:tcPr>
          <w:p w14:paraId="3F5ED88E">
            <w:pPr>
              <w:pStyle w:val="34"/>
              <w:rPr>
                <w:color w:val="auto"/>
                <w:highlight w:val="none"/>
              </w:rPr>
            </w:pPr>
            <w:r>
              <w:rPr>
                <w:rFonts w:hint="eastAsia"/>
                <w:color w:val="auto"/>
                <w:highlight w:val="none"/>
              </w:rPr>
              <w:t>约定内容</w:t>
            </w:r>
          </w:p>
        </w:tc>
        <w:tc>
          <w:tcPr>
            <w:tcW w:w="724" w:type="dxa"/>
            <w:vAlign w:val="center"/>
          </w:tcPr>
          <w:p w14:paraId="16C81089">
            <w:pPr>
              <w:pStyle w:val="34"/>
              <w:rPr>
                <w:color w:val="auto"/>
                <w:highlight w:val="none"/>
              </w:rPr>
            </w:pPr>
            <w:r>
              <w:rPr>
                <w:rFonts w:hint="eastAsia"/>
                <w:color w:val="auto"/>
                <w:highlight w:val="none"/>
              </w:rPr>
              <w:t>备注</w:t>
            </w:r>
          </w:p>
        </w:tc>
      </w:tr>
      <w:tr w14:paraId="3A05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5" w:type="dxa"/>
            <w:vAlign w:val="center"/>
          </w:tcPr>
          <w:p w14:paraId="7C411449">
            <w:pPr>
              <w:pStyle w:val="34"/>
              <w:rPr>
                <w:color w:val="auto"/>
                <w:highlight w:val="none"/>
              </w:rPr>
            </w:pPr>
            <w:r>
              <w:rPr>
                <w:rFonts w:hint="eastAsia"/>
                <w:color w:val="auto"/>
                <w:highlight w:val="none"/>
              </w:rPr>
              <w:t>1</w:t>
            </w:r>
          </w:p>
        </w:tc>
        <w:tc>
          <w:tcPr>
            <w:tcW w:w="2888" w:type="dxa"/>
            <w:vAlign w:val="center"/>
          </w:tcPr>
          <w:p w14:paraId="389608AA">
            <w:pPr>
              <w:pStyle w:val="34"/>
              <w:rPr>
                <w:color w:val="auto"/>
                <w:highlight w:val="none"/>
              </w:rPr>
            </w:pPr>
            <w:r>
              <w:rPr>
                <w:rFonts w:hint="eastAsia"/>
                <w:color w:val="auto"/>
                <w:highlight w:val="none"/>
              </w:rPr>
              <w:t>缺陷责任期</w:t>
            </w:r>
          </w:p>
        </w:tc>
        <w:tc>
          <w:tcPr>
            <w:tcW w:w="1434" w:type="dxa"/>
            <w:vAlign w:val="center"/>
          </w:tcPr>
          <w:p w14:paraId="13E602E0">
            <w:pPr>
              <w:pStyle w:val="34"/>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"1.1.4.5" </w:instrText>
            </w:r>
            <w:r>
              <w:rPr>
                <w:color w:val="auto"/>
                <w:highlight w:val="none"/>
              </w:rPr>
              <w:fldChar w:fldCharType="separate"/>
            </w:r>
            <w:r>
              <w:rPr>
                <w:rFonts w:hint="eastAsia" w:ascii="宋体" w:hAnsi="宋体" w:eastAsia="宋体" w:cs="宋体"/>
                <w:color w:val="auto"/>
                <w:sz w:val="21"/>
                <w:szCs w:val="21"/>
                <w:highlight w:val="none"/>
              </w:rPr>
              <w:t>1.1.4.5</w:t>
            </w:r>
            <w:r>
              <w:rPr>
                <w:rFonts w:hint="eastAsia" w:ascii="宋体" w:hAnsi="宋体" w:eastAsia="宋体" w:cs="宋体"/>
                <w:color w:val="auto"/>
                <w:sz w:val="21"/>
                <w:szCs w:val="21"/>
                <w:highlight w:val="none"/>
              </w:rPr>
              <w:fldChar w:fldCharType="end"/>
            </w:r>
          </w:p>
        </w:tc>
        <w:tc>
          <w:tcPr>
            <w:tcW w:w="3421" w:type="dxa"/>
            <w:vAlign w:val="center"/>
          </w:tcPr>
          <w:p w14:paraId="2BF6281C">
            <w:pPr>
              <w:pStyle w:val="34"/>
              <w:rPr>
                <w:color w:val="auto"/>
                <w:highlight w:val="none"/>
                <w:lang w:eastAsia="zh-CN"/>
              </w:rPr>
            </w:pPr>
            <w:r>
              <w:rPr>
                <w:rFonts w:hint="eastAsia"/>
                <w:color w:val="auto"/>
                <w:highlight w:val="none"/>
                <w:lang w:eastAsia="zh-CN"/>
              </w:rPr>
              <w:t>自实际交工期起计算12个月</w:t>
            </w:r>
          </w:p>
        </w:tc>
        <w:tc>
          <w:tcPr>
            <w:tcW w:w="724" w:type="dxa"/>
            <w:vAlign w:val="center"/>
          </w:tcPr>
          <w:p w14:paraId="1DF1AE6E">
            <w:pPr>
              <w:ind w:firstLine="422"/>
              <w:rPr>
                <w:color w:val="auto"/>
                <w:sz w:val="21"/>
                <w:szCs w:val="21"/>
                <w:highlight w:val="none"/>
              </w:rPr>
            </w:pPr>
          </w:p>
        </w:tc>
      </w:tr>
      <w:tr w14:paraId="6142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42A9B36E">
            <w:pPr>
              <w:pStyle w:val="34"/>
              <w:rPr>
                <w:color w:val="auto"/>
                <w:highlight w:val="none"/>
              </w:rPr>
            </w:pPr>
            <w:r>
              <w:rPr>
                <w:rFonts w:hint="eastAsia"/>
                <w:color w:val="auto"/>
                <w:highlight w:val="none"/>
              </w:rPr>
              <w:t>2</w:t>
            </w:r>
          </w:p>
        </w:tc>
        <w:tc>
          <w:tcPr>
            <w:tcW w:w="2888" w:type="dxa"/>
            <w:vAlign w:val="center"/>
          </w:tcPr>
          <w:p w14:paraId="4DF069F8">
            <w:pPr>
              <w:pStyle w:val="34"/>
              <w:rPr>
                <w:color w:val="auto"/>
                <w:highlight w:val="none"/>
              </w:rPr>
            </w:pPr>
            <w:r>
              <w:rPr>
                <w:rFonts w:hint="eastAsia"/>
                <w:color w:val="auto"/>
                <w:highlight w:val="none"/>
              </w:rPr>
              <w:t>逾期交工违约金</w:t>
            </w:r>
          </w:p>
        </w:tc>
        <w:tc>
          <w:tcPr>
            <w:tcW w:w="1434" w:type="dxa"/>
            <w:vAlign w:val="center"/>
          </w:tcPr>
          <w:p w14:paraId="75E79807">
            <w:pPr>
              <w:pStyle w:val="34"/>
              <w:rPr>
                <w:color w:val="auto"/>
                <w:highlight w:val="none"/>
              </w:rPr>
            </w:pPr>
            <w:r>
              <w:rPr>
                <w:rFonts w:hint="eastAsia"/>
                <w:color w:val="auto"/>
                <w:highlight w:val="none"/>
              </w:rPr>
              <w:t>11.5</w:t>
            </w:r>
          </w:p>
        </w:tc>
        <w:tc>
          <w:tcPr>
            <w:tcW w:w="3421" w:type="dxa"/>
            <w:vAlign w:val="center"/>
          </w:tcPr>
          <w:p w14:paraId="7C29F320">
            <w:pPr>
              <w:pStyle w:val="34"/>
              <w:rPr>
                <w:color w:val="auto"/>
                <w:highlight w:val="none"/>
              </w:rPr>
            </w:pPr>
            <w:r>
              <w:rPr>
                <w:rFonts w:hint="eastAsia"/>
                <w:color w:val="auto"/>
                <w:highlight w:val="none"/>
              </w:rPr>
              <w:t>5000元/天</w:t>
            </w:r>
          </w:p>
        </w:tc>
        <w:tc>
          <w:tcPr>
            <w:tcW w:w="724" w:type="dxa"/>
            <w:vAlign w:val="center"/>
          </w:tcPr>
          <w:p w14:paraId="3C3C1489">
            <w:pPr>
              <w:ind w:firstLine="422"/>
              <w:rPr>
                <w:color w:val="auto"/>
                <w:sz w:val="21"/>
                <w:szCs w:val="21"/>
                <w:highlight w:val="none"/>
              </w:rPr>
            </w:pPr>
          </w:p>
        </w:tc>
      </w:tr>
      <w:tr w14:paraId="46ADF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35" w:type="dxa"/>
            <w:vAlign w:val="center"/>
          </w:tcPr>
          <w:p w14:paraId="09463E39">
            <w:pPr>
              <w:pStyle w:val="34"/>
              <w:rPr>
                <w:color w:val="auto"/>
                <w:highlight w:val="none"/>
              </w:rPr>
            </w:pPr>
            <w:r>
              <w:rPr>
                <w:rFonts w:hint="eastAsia"/>
                <w:color w:val="auto"/>
                <w:highlight w:val="none"/>
              </w:rPr>
              <w:t>3</w:t>
            </w:r>
          </w:p>
        </w:tc>
        <w:tc>
          <w:tcPr>
            <w:tcW w:w="2888" w:type="dxa"/>
            <w:vAlign w:val="center"/>
          </w:tcPr>
          <w:p w14:paraId="664C3E34">
            <w:pPr>
              <w:pStyle w:val="34"/>
              <w:rPr>
                <w:color w:val="auto"/>
                <w:highlight w:val="none"/>
              </w:rPr>
            </w:pPr>
            <w:r>
              <w:rPr>
                <w:rFonts w:hint="eastAsia"/>
                <w:color w:val="auto"/>
                <w:highlight w:val="none"/>
              </w:rPr>
              <w:t>逾期交工违约金限额</w:t>
            </w:r>
          </w:p>
        </w:tc>
        <w:tc>
          <w:tcPr>
            <w:tcW w:w="1434" w:type="dxa"/>
            <w:vAlign w:val="center"/>
          </w:tcPr>
          <w:p w14:paraId="0D9E8CF2">
            <w:pPr>
              <w:pStyle w:val="34"/>
              <w:rPr>
                <w:color w:val="auto"/>
                <w:highlight w:val="none"/>
              </w:rPr>
            </w:pPr>
            <w:r>
              <w:rPr>
                <w:rFonts w:hint="eastAsia"/>
                <w:color w:val="auto"/>
                <w:highlight w:val="none"/>
              </w:rPr>
              <w:t>11.5</w:t>
            </w:r>
          </w:p>
        </w:tc>
        <w:tc>
          <w:tcPr>
            <w:tcW w:w="3421" w:type="dxa"/>
            <w:vAlign w:val="center"/>
          </w:tcPr>
          <w:p w14:paraId="165B52E0">
            <w:pPr>
              <w:pStyle w:val="34"/>
              <w:rPr>
                <w:color w:val="auto"/>
                <w:highlight w:val="none"/>
              </w:rPr>
            </w:pPr>
            <w:r>
              <w:rPr>
                <w:rFonts w:hint="eastAsia"/>
                <w:color w:val="auto"/>
                <w:highlight w:val="none"/>
              </w:rPr>
              <w:t>10%签约合同价</w:t>
            </w:r>
          </w:p>
        </w:tc>
        <w:tc>
          <w:tcPr>
            <w:tcW w:w="724" w:type="dxa"/>
            <w:vAlign w:val="center"/>
          </w:tcPr>
          <w:p w14:paraId="4D9F00C3">
            <w:pPr>
              <w:ind w:firstLine="422"/>
              <w:rPr>
                <w:color w:val="auto"/>
                <w:sz w:val="21"/>
                <w:szCs w:val="21"/>
                <w:highlight w:val="none"/>
              </w:rPr>
            </w:pPr>
          </w:p>
        </w:tc>
      </w:tr>
      <w:tr w14:paraId="45E1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5" w:type="dxa"/>
            <w:vAlign w:val="center"/>
          </w:tcPr>
          <w:p w14:paraId="3A6AD0D6">
            <w:pPr>
              <w:pStyle w:val="34"/>
              <w:rPr>
                <w:color w:val="auto"/>
                <w:highlight w:val="none"/>
              </w:rPr>
            </w:pPr>
            <w:r>
              <w:rPr>
                <w:rFonts w:hint="eastAsia"/>
                <w:color w:val="auto"/>
                <w:highlight w:val="none"/>
              </w:rPr>
              <w:t>4</w:t>
            </w:r>
          </w:p>
        </w:tc>
        <w:tc>
          <w:tcPr>
            <w:tcW w:w="2888" w:type="dxa"/>
            <w:vAlign w:val="center"/>
          </w:tcPr>
          <w:p w14:paraId="0A7AA9D0">
            <w:pPr>
              <w:pStyle w:val="34"/>
              <w:rPr>
                <w:color w:val="auto"/>
                <w:highlight w:val="none"/>
              </w:rPr>
            </w:pPr>
            <w:r>
              <w:rPr>
                <w:rFonts w:hint="eastAsia"/>
                <w:color w:val="auto"/>
                <w:highlight w:val="none"/>
              </w:rPr>
              <w:t>提前交工的奖金</w:t>
            </w:r>
          </w:p>
        </w:tc>
        <w:tc>
          <w:tcPr>
            <w:tcW w:w="1434" w:type="dxa"/>
            <w:vAlign w:val="center"/>
          </w:tcPr>
          <w:p w14:paraId="3F30CDB9">
            <w:pPr>
              <w:pStyle w:val="34"/>
              <w:rPr>
                <w:color w:val="auto"/>
                <w:highlight w:val="none"/>
              </w:rPr>
            </w:pPr>
            <w:r>
              <w:rPr>
                <w:rFonts w:hint="eastAsia"/>
                <w:color w:val="auto"/>
                <w:highlight w:val="none"/>
              </w:rPr>
              <w:t>11.6</w:t>
            </w:r>
          </w:p>
        </w:tc>
        <w:tc>
          <w:tcPr>
            <w:tcW w:w="3421" w:type="dxa"/>
            <w:vAlign w:val="center"/>
          </w:tcPr>
          <w:p w14:paraId="6B43167E">
            <w:pPr>
              <w:pStyle w:val="34"/>
              <w:rPr>
                <w:color w:val="auto"/>
                <w:highlight w:val="none"/>
              </w:rPr>
            </w:pPr>
            <w:r>
              <w:rPr>
                <w:rFonts w:hint="eastAsia"/>
                <w:color w:val="auto"/>
                <w:highlight w:val="none"/>
              </w:rPr>
              <w:t>/</w:t>
            </w:r>
          </w:p>
        </w:tc>
        <w:tc>
          <w:tcPr>
            <w:tcW w:w="724" w:type="dxa"/>
            <w:vAlign w:val="center"/>
          </w:tcPr>
          <w:p w14:paraId="5F900774">
            <w:pPr>
              <w:ind w:firstLine="422"/>
              <w:rPr>
                <w:color w:val="auto"/>
                <w:sz w:val="21"/>
                <w:szCs w:val="21"/>
                <w:highlight w:val="none"/>
              </w:rPr>
            </w:pPr>
          </w:p>
        </w:tc>
      </w:tr>
      <w:tr w14:paraId="6106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19D36158">
            <w:pPr>
              <w:pStyle w:val="34"/>
              <w:rPr>
                <w:color w:val="auto"/>
                <w:highlight w:val="none"/>
              </w:rPr>
            </w:pPr>
            <w:r>
              <w:rPr>
                <w:rFonts w:hint="eastAsia"/>
                <w:color w:val="auto"/>
                <w:highlight w:val="none"/>
              </w:rPr>
              <w:t>5</w:t>
            </w:r>
          </w:p>
        </w:tc>
        <w:tc>
          <w:tcPr>
            <w:tcW w:w="2888" w:type="dxa"/>
            <w:vAlign w:val="center"/>
          </w:tcPr>
          <w:p w14:paraId="1050025E">
            <w:pPr>
              <w:pStyle w:val="34"/>
              <w:rPr>
                <w:color w:val="auto"/>
                <w:highlight w:val="none"/>
              </w:rPr>
            </w:pPr>
            <w:r>
              <w:rPr>
                <w:rFonts w:hint="eastAsia"/>
                <w:color w:val="auto"/>
                <w:highlight w:val="none"/>
              </w:rPr>
              <w:t>提前交工的奖金限额</w:t>
            </w:r>
          </w:p>
        </w:tc>
        <w:tc>
          <w:tcPr>
            <w:tcW w:w="1434" w:type="dxa"/>
            <w:vAlign w:val="center"/>
          </w:tcPr>
          <w:p w14:paraId="5970DCA4">
            <w:pPr>
              <w:pStyle w:val="34"/>
              <w:rPr>
                <w:color w:val="auto"/>
                <w:highlight w:val="none"/>
              </w:rPr>
            </w:pPr>
            <w:r>
              <w:rPr>
                <w:rFonts w:hint="eastAsia"/>
                <w:color w:val="auto"/>
                <w:highlight w:val="none"/>
              </w:rPr>
              <w:t>11.6</w:t>
            </w:r>
          </w:p>
        </w:tc>
        <w:tc>
          <w:tcPr>
            <w:tcW w:w="3421" w:type="dxa"/>
            <w:vAlign w:val="center"/>
          </w:tcPr>
          <w:p w14:paraId="0ECD79A5">
            <w:pPr>
              <w:pStyle w:val="34"/>
              <w:rPr>
                <w:color w:val="auto"/>
                <w:highlight w:val="none"/>
              </w:rPr>
            </w:pPr>
            <w:r>
              <w:rPr>
                <w:rFonts w:hint="eastAsia"/>
                <w:color w:val="auto"/>
                <w:highlight w:val="none"/>
              </w:rPr>
              <w:t>/</w:t>
            </w:r>
          </w:p>
        </w:tc>
        <w:tc>
          <w:tcPr>
            <w:tcW w:w="724" w:type="dxa"/>
            <w:vAlign w:val="center"/>
          </w:tcPr>
          <w:p w14:paraId="265ED9AE">
            <w:pPr>
              <w:ind w:firstLine="422"/>
              <w:rPr>
                <w:color w:val="auto"/>
                <w:sz w:val="21"/>
                <w:szCs w:val="21"/>
                <w:highlight w:val="none"/>
              </w:rPr>
            </w:pPr>
          </w:p>
        </w:tc>
      </w:tr>
      <w:tr w14:paraId="32C2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35" w:type="dxa"/>
            <w:vAlign w:val="center"/>
          </w:tcPr>
          <w:p w14:paraId="6EC6082B">
            <w:pPr>
              <w:pStyle w:val="34"/>
              <w:rPr>
                <w:color w:val="auto"/>
                <w:highlight w:val="none"/>
              </w:rPr>
            </w:pPr>
            <w:r>
              <w:rPr>
                <w:rFonts w:hint="eastAsia"/>
                <w:color w:val="auto"/>
                <w:highlight w:val="none"/>
              </w:rPr>
              <w:t>6</w:t>
            </w:r>
          </w:p>
        </w:tc>
        <w:tc>
          <w:tcPr>
            <w:tcW w:w="2888" w:type="dxa"/>
            <w:vAlign w:val="center"/>
          </w:tcPr>
          <w:p w14:paraId="0607E2D6">
            <w:pPr>
              <w:pStyle w:val="34"/>
              <w:rPr>
                <w:color w:val="auto"/>
                <w:highlight w:val="none"/>
              </w:rPr>
            </w:pPr>
            <w:r>
              <w:rPr>
                <w:rFonts w:hint="eastAsia"/>
                <w:color w:val="auto"/>
                <w:highlight w:val="none"/>
              </w:rPr>
              <w:t>价格调整的差额计算</w:t>
            </w:r>
          </w:p>
        </w:tc>
        <w:tc>
          <w:tcPr>
            <w:tcW w:w="1434" w:type="dxa"/>
            <w:vAlign w:val="center"/>
          </w:tcPr>
          <w:p w14:paraId="568A4C54">
            <w:pPr>
              <w:pStyle w:val="34"/>
              <w:rPr>
                <w:color w:val="auto"/>
                <w:highlight w:val="none"/>
              </w:rPr>
            </w:pPr>
            <w:r>
              <w:rPr>
                <w:rFonts w:hint="eastAsia"/>
                <w:color w:val="auto"/>
                <w:highlight w:val="none"/>
              </w:rPr>
              <w:t>16.1</w:t>
            </w:r>
          </w:p>
        </w:tc>
        <w:tc>
          <w:tcPr>
            <w:tcW w:w="3421" w:type="dxa"/>
            <w:vAlign w:val="center"/>
          </w:tcPr>
          <w:p w14:paraId="4114EF8A">
            <w:pPr>
              <w:pStyle w:val="34"/>
              <w:rPr>
                <w:color w:val="auto"/>
                <w:highlight w:val="none"/>
              </w:rPr>
            </w:pPr>
            <w:r>
              <w:rPr>
                <w:rFonts w:hint="eastAsia"/>
                <w:color w:val="auto"/>
                <w:highlight w:val="none"/>
              </w:rPr>
              <w:t>不调价</w:t>
            </w:r>
          </w:p>
        </w:tc>
        <w:tc>
          <w:tcPr>
            <w:tcW w:w="724" w:type="dxa"/>
            <w:vAlign w:val="center"/>
          </w:tcPr>
          <w:p w14:paraId="6D17BE00">
            <w:pPr>
              <w:ind w:firstLine="422"/>
              <w:rPr>
                <w:color w:val="auto"/>
                <w:sz w:val="21"/>
                <w:szCs w:val="21"/>
                <w:highlight w:val="none"/>
              </w:rPr>
            </w:pPr>
          </w:p>
        </w:tc>
      </w:tr>
      <w:tr w14:paraId="74DE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5" w:type="dxa"/>
            <w:vAlign w:val="center"/>
          </w:tcPr>
          <w:p w14:paraId="6D03B273">
            <w:pPr>
              <w:pStyle w:val="34"/>
              <w:rPr>
                <w:color w:val="auto"/>
                <w:highlight w:val="none"/>
              </w:rPr>
            </w:pPr>
            <w:r>
              <w:rPr>
                <w:rFonts w:hint="eastAsia"/>
                <w:color w:val="auto"/>
                <w:highlight w:val="none"/>
              </w:rPr>
              <w:t>7</w:t>
            </w:r>
          </w:p>
        </w:tc>
        <w:tc>
          <w:tcPr>
            <w:tcW w:w="2888" w:type="dxa"/>
            <w:vAlign w:val="center"/>
          </w:tcPr>
          <w:p w14:paraId="3F790628">
            <w:pPr>
              <w:pStyle w:val="34"/>
              <w:rPr>
                <w:color w:val="auto"/>
                <w:highlight w:val="none"/>
              </w:rPr>
            </w:pPr>
            <w:r>
              <w:rPr>
                <w:rFonts w:hint="eastAsia"/>
                <w:color w:val="auto"/>
                <w:highlight w:val="none"/>
              </w:rPr>
              <w:t>开工预付款金额</w:t>
            </w:r>
          </w:p>
        </w:tc>
        <w:tc>
          <w:tcPr>
            <w:tcW w:w="1434" w:type="dxa"/>
            <w:vAlign w:val="center"/>
          </w:tcPr>
          <w:p w14:paraId="6B19231B">
            <w:pPr>
              <w:pStyle w:val="34"/>
              <w:rPr>
                <w:color w:val="auto"/>
                <w:highlight w:val="none"/>
              </w:rPr>
            </w:pPr>
            <w:r>
              <w:rPr>
                <w:rFonts w:hint="eastAsia"/>
                <w:color w:val="auto"/>
                <w:highlight w:val="none"/>
              </w:rPr>
              <w:t>17.2.1</w:t>
            </w:r>
          </w:p>
        </w:tc>
        <w:tc>
          <w:tcPr>
            <w:tcW w:w="3421" w:type="dxa"/>
            <w:vAlign w:val="center"/>
          </w:tcPr>
          <w:p w14:paraId="4C49461C">
            <w:pPr>
              <w:pStyle w:val="34"/>
              <w:rPr>
                <w:color w:val="auto"/>
                <w:highlight w:val="none"/>
              </w:rPr>
            </w:pPr>
            <w:r>
              <w:rPr>
                <w:rFonts w:hint="eastAsia"/>
                <w:color w:val="auto"/>
                <w:highlight w:val="none"/>
                <w:u w:val="single"/>
                <w:lang w:eastAsia="zh-CN"/>
              </w:rPr>
              <w:t>30</w:t>
            </w:r>
            <w:r>
              <w:rPr>
                <w:rFonts w:hint="eastAsia"/>
                <w:color w:val="auto"/>
                <w:highlight w:val="none"/>
              </w:rPr>
              <w:t>%签约合同价</w:t>
            </w:r>
          </w:p>
        </w:tc>
        <w:tc>
          <w:tcPr>
            <w:tcW w:w="724" w:type="dxa"/>
            <w:vAlign w:val="center"/>
          </w:tcPr>
          <w:p w14:paraId="3E1CA8CF">
            <w:pPr>
              <w:ind w:firstLine="422"/>
              <w:rPr>
                <w:color w:val="auto"/>
                <w:sz w:val="21"/>
                <w:szCs w:val="21"/>
                <w:highlight w:val="none"/>
              </w:rPr>
            </w:pPr>
          </w:p>
        </w:tc>
      </w:tr>
      <w:tr w14:paraId="44F4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35" w:type="dxa"/>
            <w:vAlign w:val="center"/>
          </w:tcPr>
          <w:p w14:paraId="2EAF239B">
            <w:pPr>
              <w:pStyle w:val="34"/>
              <w:rPr>
                <w:color w:val="auto"/>
                <w:highlight w:val="none"/>
              </w:rPr>
            </w:pPr>
            <w:r>
              <w:rPr>
                <w:rFonts w:hint="eastAsia"/>
                <w:color w:val="auto"/>
                <w:highlight w:val="none"/>
              </w:rPr>
              <w:t>8</w:t>
            </w:r>
          </w:p>
        </w:tc>
        <w:tc>
          <w:tcPr>
            <w:tcW w:w="2888" w:type="dxa"/>
            <w:vAlign w:val="center"/>
          </w:tcPr>
          <w:p w14:paraId="1D35D943">
            <w:pPr>
              <w:pStyle w:val="34"/>
              <w:rPr>
                <w:color w:val="auto"/>
                <w:highlight w:val="none"/>
                <w:lang w:eastAsia="zh-CN"/>
              </w:rPr>
            </w:pPr>
            <w:r>
              <w:rPr>
                <w:rFonts w:hint="eastAsia"/>
                <w:color w:val="auto"/>
                <w:highlight w:val="none"/>
                <w:lang w:eastAsia="zh-CN"/>
              </w:rPr>
              <w:t>材料、设备预付款比例</w:t>
            </w:r>
          </w:p>
        </w:tc>
        <w:tc>
          <w:tcPr>
            <w:tcW w:w="1434" w:type="dxa"/>
            <w:vAlign w:val="center"/>
          </w:tcPr>
          <w:p w14:paraId="19092F00">
            <w:pPr>
              <w:pStyle w:val="34"/>
              <w:rPr>
                <w:color w:val="auto"/>
                <w:highlight w:val="none"/>
              </w:rPr>
            </w:pPr>
            <w:r>
              <w:rPr>
                <w:rFonts w:hint="eastAsia"/>
                <w:color w:val="auto"/>
                <w:highlight w:val="none"/>
              </w:rPr>
              <w:t>17.2.1</w:t>
            </w:r>
          </w:p>
        </w:tc>
        <w:tc>
          <w:tcPr>
            <w:tcW w:w="3421" w:type="dxa"/>
            <w:vAlign w:val="center"/>
          </w:tcPr>
          <w:p w14:paraId="17AD7319">
            <w:pPr>
              <w:pStyle w:val="34"/>
              <w:rPr>
                <w:color w:val="auto"/>
                <w:highlight w:val="none"/>
                <w:lang w:eastAsia="zh-CN"/>
              </w:rPr>
            </w:pPr>
            <w:r>
              <w:rPr>
                <w:rFonts w:hint="eastAsia"/>
                <w:color w:val="auto"/>
                <w:highlight w:val="none"/>
                <w:u w:val="single"/>
                <w:lang w:eastAsia="zh-CN"/>
              </w:rPr>
              <w:t>钢材、水泥、沥青、砂、石</w:t>
            </w:r>
            <w:r>
              <w:rPr>
                <w:rFonts w:hint="eastAsia"/>
                <w:color w:val="auto"/>
                <w:highlight w:val="none"/>
                <w:lang w:eastAsia="zh-CN"/>
              </w:rPr>
              <w:t>等主要材料、设备单据所列费用70%</w:t>
            </w:r>
          </w:p>
        </w:tc>
        <w:tc>
          <w:tcPr>
            <w:tcW w:w="724" w:type="dxa"/>
            <w:vAlign w:val="center"/>
          </w:tcPr>
          <w:p w14:paraId="30A19FCC">
            <w:pPr>
              <w:ind w:firstLine="422"/>
              <w:rPr>
                <w:color w:val="auto"/>
                <w:sz w:val="21"/>
                <w:szCs w:val="21"/>
                <w:highlight w:val="none"/>
              </w:rPr>
            </w:pPr>
          </w:p>
        </w:tc>
      </w:tr>
      <w:tr w14:paraId="307E1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5" w:type="dxa"/>
            <w:vAlign w:val="center"/>
          </w:tcPr>
          <w:p w14:paraId="0CD3A5E6">
            <w:pPr>
              <w:pStyle w:val="34"/>
              <w:rPr>
                <w:color w:val="auto"/>
                <w:highlight w:val="none"/>
              </w:rPr>
            </w:pPr>
            <w:r>
              <w:rPr>
                <w:rFonts w:hint="eastAsia"/>
                <w:color w:val="auto"/>
                <w:highlight w:val="none"/>
              </w:rPr>
              <w:t>9</w:t>
            </w:r>
          </w:p>
        </w:tc>
        <w:tc>
          <w:tcPr>
            <w:tcW w:w="2888" w:type="dxa"/>
            <w:vAlign w:val="center"/>
          </w:tcPr>
          <w:p w14:paraId="7E2EA701">
            <w:pPr>
              <w:pStyle w:val="34"/>
              <w:rPr>
                <w:color w:val="auto"/>
                <w:highlight w:val="none"/>
                <w:lang w:eastAsia="zh-CN"/>
              </w:rPr>
            </w:pPr>
            <w:r>
              <w:rPr>
                <w:rFonts w:hint="eastAsia"/>
                <w:color w:val="auto"/>
                <w:highlight w:val="none"/>
                <w:lang w:eastAsia="zh-CN"/>
              </w:rPr>
              <w:t>进度付款证书最低限额</w:t>
            </w:r>
          </w:p>
        </w:tc>
        <w:tc>
          <w:tcPr>
            <w:tcW w:w="1434" w:type="dxa"/>
            <w:vAlign w:val="center"/>
          </w:tcPr>
          <w:p w14:paraId="615B3127">
            <w:pPr>
              <w:pStyle w:val="34"/>
              <w:rPr>
                <w:color w:val="auto"/>
                <w:highlight w:val="none"/>
              </w:rPr>
            </w:pPr>
            <w:r>
              <w:rPr>
                <w:rFonts w:hint="eastAsia"/>
                <w:color w:val="auto"/>
                <w:highlight w:val="none"/>
              </w:rPr>
              <w:t>17.3.3（1）</w:t>
            </w:r>
          </w:p>
        </w:tc>
        <w:tc>
          <w:tcPr>
            <w:tcW w:w="3421" w:type="dxa"/>
            <w:vAlign w:val="center"/>
          </w:tcPr>
          <w:p w14:paraId="5FAAEB77">
            <w:pPr>
              <w:pStyle w:val="34"/>
              <w:rPr>
                <w:color w:val="auto"/>
                <w:highlight w:val="none"/>
                <w:lang w:eastAsia="zh-CN"/>
              </w:rPr>
            </w:pPr>
            <w:r>
              <w:rPr>
                <w:rFonts w:hint="eastAsia"/>
                <w:color w:val="auto"/>
                <w:highlight w:val="none"/>
                <w:lang w:eastAsia="zh-CN"/>
              </w:rPr>
              <w:t>按每月完成的任务工程量逐月结算或按进度结算</w:t>
            </w:r>
          </w:p>
        </w:tc>
        <w:tc>
          <w:tcPr>
            <w:tcW w:w="724" w:type="dxa"/>
            <w:vAlign w:val="center"/>
          </w:tcPr>
          <w:p w14:paraId="139DF3E0">
            <w:pPr>
              <w:ind w:firstLine="422"/>
              <w:rPr>
                <w:color w:val="auto"/>
                <w:sz w:val="21"/>
                <w:szCs w:val="21"/>
                <w:highlight w:val="none"/>
              </w:rPr>
            </w:pPr>
          </w:p>
        </w:tc>
      </w:tr>
      <w:tr w14:paraId="5BFBCFFE">
        <w:tblPrEx>
          <w:tblCellMar>
            <w:top w:w="0" w:type="dxa"/>
            <w:left w:w="0" w:type="dxa"/>
            <w:bottom w:w="0" w:type="dxa"/>
            <w:right w:w="0" w:type="dxa"/>
          </w:tblCellMar>
        </w:tblPrEx>
        <w:trPr>
          <w:trHeight w:val="1002" w:hRule="atLeast"/>
        </w:trPr>
        <w:tc>
          <w:tcPr>
            <w:tcW w:w="835" w:type="dxa"/>
            <w:vAlign w:val="center"/>
          </w:tcPr>
          <w:p w14:paraId="6FE998CE">
            <w:pPr>
              <w:spacing w:line="326" w:lineRule="auto"/>
              <w:ind w:firstLine="422"/>
              <w:rPr>
                <w:color w:val="auto"/>
                <w:sz w:val="21"/>
                <w:szCs w:val="21"/>
                <w:highlight w:val="none"/>
              </w:rPr>
            </w:pPr>
          </w:p>
          <w:p w14:paraId="7FEFDF9E">
            <w:pPr>
              <w:pStyle w:val="34"/>
              <w:rPr>
                <w:color w:val="auto"/>
                <w:highlight w:val="none"/>
              </w:rPr>
            </w:pPr>
            <w:r>
              <w:rPr>
                <w:rFonts w:hint="eastAsia"/>
                <w:color w:val="auto"/>
                <w:highlight w:val="none"/>
              </w:rPr>
              <w:t>10</w:t>
            </w:r>
          </w:p>
        </w:tc>
        <w:tc>
          <w:tcPr>
            <w:tcW w:w="2888" w:type="dxa"/>
            <w:vAlign w:val="center"/>
          </w:tcPr>
          <w:p w14:paraId="28B79C23">
            <w:pPr>
              <w:spacing w:line="294" w:lineRule="auto"/>
              <w:ind w:firstLine="422"/>
              <w:rPr>
                <w:color w:val="auto"/>
                <w:sz w:val="21"/>
                <w:szCs w:val="21"/>
                <w:highlight w:val="none"/>
              </w:rPr>
            </w:pPr>
          </w:p>
          <w:p w14:paraId="379502F9">
            <w:pPr>
              <w:pStyle w:val="34"/>
              <w:rPr>
                <w:color w:val="auto"/>
                <w:highlight w:val="none"/>
                <w:lang w:eastAsia="zh-CN"/>
              </w:rPr>
            </w:pPr>
            <w:r>
              <w:rPr>
                <w:rFonts w:hint="eastAsia"/>
                <w:color w:val="auto"/>
                <w:highlight w:val="none"/>
                <w:lang w:eastAsia="zh-CN"/>
              </w:rPr>
              <w:t>逾期付款违约金的利率</w:t>
            </w:r>
          </w:p>
        </w:tc>
        <w:tc>
          <w:tcPr>
            <w:tcW w:w="1434" w:type="dxa"/>
            <w:vAlign w:val="center"/>
          </w:tcPr>
          <w:p w14:paraId="6FB311F5">
            <w:pPr>
              <w:spacing w:line="294" w:lineRule="auto"/>
              <w:ind w:firstLine="422"/>
              <w:rPr>
                <w:color w:val="auto"/>
                <w:sz w:val="21"/>
                <w:szCs w:val="21"/>
                <w:highlight w:val="none"/>
              </w:rPr>
            </w:pPr>
          </w:p>
          <w:p w14:paraId="74159EDD">
            <w:pPr>
              <w:pStyle w:val="34"/>
              <w:rPr>
                <w:color w:val="auto"/>
                <w:highlight w:val="none"/>
              </w:rPr>
            </w:pPr>
            <w:r>
              <w:rPr>
                <w:rFonts w:hint="eastAsia"/>
                <w:color w:val="auto"/>
                <w:highlight w:val="none"/>
              </w:rPr>
              <w:t>17.3.3（2）</w:t>
            </w:r>
          </w:p>
        </w:tc>
        <w:tc>
          <w:tcPr>
            <w:tcW w:w="3421" w:type="dxa"/>
            <w:vAlign w:val="center"/>
          </w:tcPr>
          <w:p w14:paraId="7CE59595">
            <w:pPr>
              <w:spacing w:line="295" w:lineRule="auto"/>
              <w:ind w:firstLine="422"/>
              <w:rPr>
                <w:color w:val="auto"/>
                <w:sz w:val="21"/>
                <w:szCs w:val="21"/>
                <w:highlight w:val="none"/>
              </w:rPr>
            </w:pPr>
          </w:p>
          <w:p w14:paraId="7610918B">
            <w:pPr>
              <w:pStyle w:val="34"/>
              <w:rPr>
                <w:color w:val="auto"/>
                <w:highlight w:val="none"/>
              </w:rPr>
            </w:pPr>
            <w:r>
              <w:rPr>
                <w:rFonts w:hint="eastAsia"/>
                <w:color w:val="auto"/>
                <w:highlight w:val="none"/>
              </w:rPr>
              <w:t>0.15‰/天</w:t>
            </w:r>
          </w:p>
        </w:tc>
        <w:tc>
          <w:tcPr>
            <w:tcW w:w="724" w:type="dxa"/>
            <w:vAlign w:val="center"/>
          </w:tcPr>
          <w:p w14:paraId="0B757E30">
            <w:pPr>
              <w:ind w:firstLine="422"/>
              <w:rPr>
                <w:color w:val="auto"/>
                <w:sz w:val="21"/>
                <w:szCs w:val="21"/>
                <w:highlight w:val="none"/>
              </w:rPr>
            </w:pPr>
          </w:p>
        </w:tc>
      </w:tr>
      <w:tr w14:paraId="2832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35" w:type="dxa"/>
            <w:vAlign w:val="center"/>
          </w:tcPr>
          <w:p w14:paraId="00F325FA">
            <w:pPr>
              <w:spacing w:line="269" w:lineRule="auto"/>
              <w:ind w:firstLine="422"/>
              <w:rPr>
                <w:color w:val="auto"/>
                <w:sz w:val="21"/>
                <w:szCs w:val="21"/>
                <w:highlight w:val="none"/>
              </w:rPr>
            </w:pPr>
          </w:p>
          <w:p w14:paraId="07B61ECB">
            <w:pPr>
              <w:spacing w:line="270" w:lineRule="auto"/>
              <w:ind w:firstLine="422"/>
              <w:rPr>
                <w:color w:val="auto"/>
                <w:sz w:val="21"/>
                <w:szCs w:val="21"/>
                <w:highlight w:val="none"/>
              </w:rPr>
            </w:pPr>
          </w:p>
          <w:p w14:paraId="104A6EC8">
            <w:pPr>
              <w:pStyle w:val="34"/>
              <w:rPr>
                <w:color w:val="auto"/>
                <w:highlight w:val="none"/>
              </w:rPr>
            </w:pPr>
            <w:r>
              <w:rPr>
                <w:rFonts w:hint="eastAsia"/>
                <w:color w:val="auto"/>
                <w:highlight w:val="none"/>
              </w:rPr>
              <w:t>11</w:t>
            </w:r>
          </w:p>
        </w:tc>
        <w:tc>
          <w:tcPr>
            <w:tcW w:w="2888" w:type="dxa"/>
            <w:vAlign w:val="center"/>
          </w:tcPr>
          <w:p w14:paraId="4D534F02">
            <w:pPr>
              <w:spacing w:line="261" w:lineRule="auto"/>
              <w:ind w:firstLine="422"/>
              <w:rPr>
                <w:color w:val="auto"/>
                <w:sz w:val="21"/>
                <w:szCs w:val="21"/>
                <w:highlight w:val="none"/>
              </w:rPr>
            </w:pPr>
          </w:p>
          <w:p w14:paraId="7D897722">
            <w:pPr>
              <w:spacing w:line="261" w:lineRule="auto"/>
              <w:ind w:firstLine="422"/>
              <w:rPr>
                <w:color w:val="auto"/>
                <w:sz w:val="21"/>
                <w:szCs w:val="21"/>
                <w:highlight w:val="none"/>
              </w:rPr>
            </w:pPr>
          </w:p>
          <w:p w14:paraId="443F5508">
            <w:pPr>
              <w:pStyle w:val="34"/>
              <w:rPr>
                <w:color w:val="auto"/>
                <w:highlight w:val="none"/>
              </w:rPr>
            </w:pPr>
            <w:r>
              <w:rPr>
                <w:rFonts w:hint="eastAsia"/>
                <w:color w:val="auto"/>
                <w:highlight w:val="none"/>
              </w:rPr>
              <w:t>质量保证金限额</w:t>
            </w:r>
          </w:p>
        </w:tc>
        <w:tc>
          <w:tcPr>
            <w:tcW w:w="1434" w:type="dxa"/>
            <w:vAlign w:val="center"/>
          </w:tcPr>
          <w:p w14:paraId="6BF3FA1D">
            <w:pPr>
              <w:pStyle w:val="34"/>
              <w:rPr>
                <w:color w:val="auto"/>
                <w:highlight w:val="none"/>
              </w:rPr>
            </w:pPr>
            <w:r>
              <w:rPr>
                <w:rFonts w:hint="eastAsia"/>
                <w:color w:val="auto"/>
                <w:highlight w:val="none"/>
              </w:rPr>
              <w:t>17.4.1</w:t>
            </w:r>
          </w:p>
        </w:tc>
        <w:tc>
          <w:tcPr>
            <w:tcW w:w="3421" w:type="dxa"/>
            <w:vAlign w:val="center"/>
          </w:tcPr>
          <w:p w14:paraId="4AF45F67">
            <w:pPr>
              <w:pStyle w:val="34"/>
              <w:rPr>
                <w:color w:val="auto"/>
                <w:highlight w:val="none"/>
                <w:lang w:eastAsia="zh-CN"/>
              </w:rPr>
            </w:pPr>
            <w:r>
              <w:rPr>
                <w:rFonts w:hint="eastAsia"/>
                <w:color w:val="auto"/>
                <w:highlight w:val="none"/>
                <w:lang w:eastAsia="zh-CN"/>
              </w:rPr>
              <w:t>2%签约合同价格。每次计量支付前按支付比例2%，转入建设单位指定银行账号</w:t>
            </w:r>
          </w:p>
        </w:tc>
        <w:tc>
          <w:tcPr>
            <w:tcW w:w="724" w:type="dxa"/>
            <w:vAlign w:val="center"/>
          </w:tcPr>
          <w:p w14:paraId="7D3A03CB">
            <w:pPr>
              <w:ind w:firstLine="422"/>
              <w:rPr>
                <w:color w:val="auto"/>
                <w:sz w:val="21"/>
                <w:szCs w:val="21"/>
                <w:highlight w:val="none"/>
              </w:rPr>
            </w:pPr>
          </w:p>
        </w:tc>
      </w:tr>
    </w:tbl>
    <w:p w14:paraId="7B526FF4">
      <w:pPr>
        <w:pStyle w:val="13"/>
        <w:spacing w:before="69"/>
        <w:ind w:firstLine="630" w:firstLineChars="300"/>
        <w:rPr>
          <w:color w:val="auto"/>
          <w:highlight w:val="none"/>
        </w:rPr>
      </w:pPr>
    </w:p>
    <w:p w14:paraId="52015A1C">
      <w:pPr>
        <w:pStyle w:val="13"/>
        <w:spacing w:before="69"/>
        <w:ind w:firstLine="720" w:firstLineChars="300"/>
        <w:rPr>
          <w:color w:val="auto"/>
          <w:sz w:val="24"/>
          <w:szCs w:val="22"/>
          <w:highlight w:val="none"/>
        </w:rPr>
      </w:pPr>
      <w:r>
        <w:rPr>
          <w:rFonts w:hint="eastAsia"/>
          <w:color w:val="auto"/>
          <w:sz w:val="24"/>
          <w:szCs w:val="22"/>
          <w:highlight w:val="none"/>
        </w:rPr>
        <w:t>磋商供应商（CA证书签章）：</w:t>
      </w:r>
    </w:p>
    <w:p w14:paraId="43B99BBB">
      <w:pPr>
        <w:ind w:firstLine="720" w:firstLineChars="300"/>
        <w:rPr>
          <w:color w:val="auto"/>
          <w:highlight w:val="none"/>
        </w:rPr>
      </w:pPr>
      <w:r>
        <w:rPr>
          <w:rFonts w:hint="eastAsia"/>
          <w:color w:val="auto"/>
          <w:sz w:val="24"/>
          <w:szCs w:val="24"/>
          <w:highlight w:val="none"/>
        </w:rPr>
        <w:t>法定代表人(负责人、自然人)或相应的委托代理人签字（或个人CA证书章）：</w:t>
      </w:r>
    </w:p>
    <w:p w14:paraId="44FFD559">
      <w:pPr>
        <w:spacing w:line="304" w:lineRule="auto"/>
        <w:ind w:firstLine="720" w:firstLineChars="300"/>
        <w:rPr>
          <w:color w:val="auto"/>
          <w:sz w:val="19"/>
          <w:highlight w:val="none"/>
        </w:rPr>
        <w:sectPr>
          <w:footerReference r:id="rId15" w:type="default"/>
          <w:pgSz w:w="11911" w:h="16849"/>
          <w:pgMar w:top="1417" w:right="1417" w:bottom="1417" w:left="1417" w:header="720" w:footer="720" w:gutter="0"/>
          <w:cols w:space="0" w:num="1"/>
          <w:rtlGutter w:val="0"/>
          <w:docGrid w:linePitch="0" w:charSpace="0"/>
        </w:sectPr>
      </w:pPr>
      <w:r>
        <w:rPr>
          <w:rFonts w:hint="eastAsia"/>
          <w:color w:val="auto"/>
          <w:sz w:val="24"/>
          <w:highlight w:val="none"/>
        </w:rPr>
        <w:t>响应日期：</w:t>
      </w:r>
    </w:p>
    <w:p w14:paraId="6BF9E33A">
      <w:pPr>
        <w:ind w:firstLine="562"/>
        <w:rPr>
          <w:color w:val="auto"/>
          <w:highlight w:val="none"/>
        </w:rPr>
      </w:pPr>
    </w:p>
    <w:p w14:paraId="6B0F2AA4">
      <w:pPr>
        <w:pStyle w:val="4"/>
        <w:bidi w:val="0"/>
        <w:rPr>
          <w:color w:val="auto"/>
          <w:highlight w:val="none"/>
        </w:rPr>
      </w:pPr>
      <w:r>
        <w:rPr>
          <w:rFonts w:hint="eastAsia"/>
          <w:color w:val="auto"/>
          <w:highlight w:val="none"/>
        </w:rPr>
        <w:t>2.已标价工程量清单（必须提供）</w:t>
      </w:r>
    </w:p>
    <w:p w14:paraId="2A594204">
      <w:pPr>
        <w:pStyle w:val="13"/>
        <w:ind w:firstLine="560"/>
        <w:rPr>
          <w:b/>
          <w:color w:val="auto"/>
          <w:sz w:val="28"/>
          <w:highlight w:val="none"/>
        </w:rPr>
      </w:pPr>
    </w:p>
    <w:p w14:paraId="71ABC79B">
      <w:pPr>
        <w:pStyle w:val="13"/>
        <w:ind w:firstLine="560"/>
        <w:rPr>
          <w:b/>
          <w:color w:val="auto"/>
          <w:sz w:val="28"/>
          <w:highlight w:val="none"/>
        </w:rPr>
      </w:pPr>
    </w:p>
    <w:p w14:paraId="1289B18E">
      <w:pPr>
        <w:bidi w:val="0"/>
        <w:jc w:val="center"/>
        <w:rPr>
          <w:color w:val="auto"/>
          <w:highlight w:val="none"/>
        </w:rPr>
      </w:pPr>
      <w:r>
        <w:rPr>
          <w:color w:val="auto"/>
          <w:highlight w:val="none"/>
        </w:rPr>
        <w:t>已标价工程量清单（</w:t>
      </w:r>
      <w:r>
        <w:rPr>
          <w:rFonts w:hint="eastAsia"/>
          <w:color w:val="auto"/>
          <w:highlight w:val="none"/>
        </w:rPr>
        <w:t>必须提供</w:t>
      </w:r>
      <w:r>
        <w:rPr>
          <w:color w:val="auto"/>
          <w:highlight w:val="none"/>
        </w:rPr>
        <w:t>）</w:t>
      </w:r>
    </w:p>
    <w:p w14:paraId="7F342B6D">
      <w:pPr>
        <w:bidi w:val="0"/>
        <w:jc w:val="center"/>
        <w:rPr>
          <w:color w:val="auto"/>
          <w:highlight w:val="none"/>
        </w:rPr>
      </w:pPr>
    </w:p>
    <w:p w14:paraId="669E20C3">
      <w:pPr>
        <w:bidi w:val="0"/>
        <w:jc w:val="center"/>
        <w:rPr>
          <w:color w:val="auto"/>
          <w:highlight w:val="none"/>
        </w:rPr>
      </w:pPr>
    </w:p>
    <w:p w14:paraId="64F729A1">
      <w:pPr>
        <w:bidi w:val="0"/>
        <w:jc w:val="center"/>
        <w:rPr>
          <w:color w:val="auto"/>
          <w:highlight w:val="none"/>
        </w:rPr>
      </w:pPr>
    </w:p>
    <w:p w14:paraId="45BBB86A">
      <w:pPr>
        <w:bidi w:val="0"/>
        <w:jc w:val="center"/>
        <w:rPr>
          <w:color w:val="auto"/>
          <w:highlight w:val="none"/>
        </w:rPr>
      </w:pPr>
      <w:r>
        <w:rPr>
          <w:rFonts w:hint="eastAsia"/>
          <w:color w:val="auto"/>
          <w:highlight w:val="none"/>
        </w:rPr>
        <w:t>供应商</w:t>
      </w:r>
      <w:r>
        <w:rPr>
          <w:color w:val="auto"/>
          <w:highlight w:val="none"/>
        </w:rPr>
        <w:t>应按照</w:t>
      </w:r>
      <w:r>
        <w:rPr>
          <w:rFonts w:hint="eastAsia"/>
          <w:color w:val="auto"/>
          <w:highlight w:val="none"/>
        </w:rPr>
        <w:t>本项目招标</w:t>
      </w:r>
      <w:r>
        <w:rPr>
          <w:color w:val="auto"/>
          <w:highlight w:val="none"/>
        </w:rPr>
        <w:t>工程量清单的要求逐项填报工程量清单</w:t>
      </w:r>
      <w:r>
        <w:rPr>
          <w:rFonts w:hint="eastAsia"/>
          <w:color w:val="auto"/>
          <w:highlight w:val="none"/>
        </w:rPr>
        <w:t>。</w:t>
      </w:r>
    </w:p>
    <w:p w14:paraId="723A34B5">
      <w:pPr>
        <w:pStyle w:val="13"/>
        <w:ind w:firstLine="400"/>
        <w:rPr>
          <w:b/>
          <w:color w:val="auto"/>
          <w:sz w:val="20"/>
          <w:highlight w:val="none"/>
        </w:rPr>
      </w:pPr>
    </w:p>
    <w:p w14:paraId="6F725442">
      <w:pPr>
        <w:pStyle w:val="13"/>
        <w:ind w:firstLine="400"/>
        <w:rPr>
          <w:b/>
          <w:color w:val="auto"/>
          <w:sz w:val="20"/>
          <w:highlight w:val="none"/>
        </w:rPr>
      </w:pPr>
    </w:p>
    <w:p w14:paraId="2D2D8EB1">
      <w:pPr>
        <w:pStyle w:val="13"/>
        <w:ind w:firstLine="400"/>
        <w:rPr>
          <w:b/>
          <w:color w:val="auto"/>
          <w:sz w:val="20"/>
          <w:highlight w:val="none"/>
        </w:rPr>
      </w:pPr>
    </w:p>
    <w:p w14:paraId="56AAC0DA">
      <w:pPr>
        <w:pStyle w:val="13"/>
        <w:ind w:firstLine="400"/>
        <w:rPr>
          <w:b/>
          <w:color w:val="auto"/>
          <w:sz w:val="20"/>
          <w:highlight w:val="none"/>
        </w:rPr>
      </w:pPr>
    </w:p>
    <w:p w14:paraId="672AF5BE">
      <w:pPr>
        <w:pStyle w:val="13"/>
        <w:ind w:firstLine="400"/>
        <w:rPr>
          <w:b/>
          <w:color w:val="auto"/>
          <w:sz w:val="20"/>
          <w:highlight w:val="none"/>
        </w:rPr>
      </w:pPr>
    </w:p>
    <w:p w14:paraId="0CFB7176">
      <w:pPr>
        <w:pStyle w:val="13"/>
        <w:ind w:firstLine="400"/>
        <w:rPr>
          <w:b/>
          <w:color w:val="auto"/>
          <w:sz w:val="20"/>
          <w:highlight w:val="none"/>
        </w:rPr>
      </w:pPr>
    </w:p>
    <w:p w14:paraId="0FD91944">
      <w:pPr>
        <w:pStyle w:val="13"/>
        <w:ind w:firstLine="400"/>
        <w:rPr>
          <w:b/>
          <w:color w:val="auto"/>
          <w:sz w:val="20"/>
          <w:highlight w:val="none"/>
        </w:rPr>
      </w:pPr>
    </w:p>
    <w:p w14:paraId="645DB54C">
      <w:pPr>
        <w:pStyle w:val="13"/>
        <w:ind w:firstLine="400"/>
        <w:rPr>
          <w:b/>
          <w:color w:val="auto"/>
          <w:sz w:val="20"/>
          <w:highlight w:val="none"/>
        </w:rPr>
      </w:pPr>
    </w:p>
    <w:p w14:paraId="6D91DB5C">
      <w:pPr>
        <w:pStyle w:val="13"/>
        <w:spacing w:before="4"/>
        <w:ind w:firstLine="300"/>
        <w:rPr>
          <w:b/>
          <w:color w:val="auto"/>
          <w:sz w:val="15"/>
          <w:highlight w:val="none"/>
        </w:rPr>
      </w:pPr>
    </w:p>
    <w:p w14:paraId="00A14F47">
      <w:pPr>
        <w:pStyle w:val="13"/>
        <w:ind w:left="1320" w:firstLine="422"/>
        <w:rPr>
          <w:color w:val="auto"/>
          <w:highlight w:val="none"/>
        </w:rPr>
      </w:pPr>
      <w:r>
        <w:rPr>
          <w:color w:val="auto"/>
          <w:highlight w:val="none"/>
        </w:rPr>
        <w:t>磋商供应商（CA证书签章）：</w:t>
      </w:r>
    </w:p>
    <w:p w14:paraId="62F20338">
      <w:pPr>
        <w:pStyle w:val="13"/>
        <w:spacing w:before="72" w:line="302" w:lineRule="auto"/>
        <w:ind w:left="1320" w:right="1529" w:firstLine="422"/>
        <w:rPr>
          <w:color w:val="auto"/>
          <w:highlight w:val="none"/>
        </w:rPr>
      </w:pPr>
      <w:r>
        <w:rPr>
          <w:color w:val="auto"/>
          <w:highlight w:val="none"/>
        </w:rPr>
        <w:t>法定代表人(负责人、自然人)或相应的委托代理人签字（或个人CA证书签章）：日期：</w:t>
      </w:r>
    </w:p>
    <w:p w14:paraId="671C4122">
      <w:pPr>
        <w:pStyle w:val="13"/>
        <w:spacing w:before="10"/>
        <w:ind w:firstLine="422"/>
        <w:rPr>
          <w:color w:val="auto"/>
          <w:highlight w:val="none"/>
        </w:rPr>
      </w:pPr>
    </w:p>
    <w:p w14:paraId="788F2DCD">
      <w:pPr>
        <w:bidi w:val="0"/>
        <w:rPr>
          <w:color w:val="auto"/>
          <w:highlight w:val="none"/>
        </w:rPr>
      </w:pPr>
      <w:r>
        <w:rPr>
          <w:color w:val="auto"/>
          <w:highlight w:val="none"/>
        </w:rPr>
        <w:t>备注：工程量清单报价表由多页构成，需逐页加盖供应商CA章（CA签章）（属自然人的须逐页签字或个人CA签章）。</w:t>
      </w:r>
    </w:p>
    <w:p w14:paraId="0D03213C">
      <w:pPr>
        <w:rPr>
          <w:color w:val="auto"/>
          <w:highlight w:val="none"/>
        </w:rPr>
      </w:pPr>
    </w:p>
    <w:p w14:paraId="2148EA28">
      <w:pPr>
        <w:spacing w:line="244" w:lineRule="auto"/>
        <w:ind w:firstLine="562"/>
        <w:rPr>
          <w:color w:val="auto"/>
          <w:highlight w:val="none"/>
        </w:rPr>
        <w:sectPr>
          <w:pgSz w:w="11911" w:h="16849"/>
          <w:pgMar w:top="1417" w:right="1417" w:bottom="1417" w:left="1417" w:header="720" w:footer="720" w:gutter="0"/>
          <w:cols w:space="0" w:num="1"/>
          <w:rtlGutter w:val="0"/>
          <w:docGrid w:linePitch="0" w:charSpace="0"/>
        </w:sectPr>
      </w:pPr>
    </w:p>
    <w:p w14:paraId="3CE8800B">
      <w:pPr>
        <w:pStyle w:val="4"/>
        <w:bidi w:val="0"/>
        <w:rPr>
          <w:color w:val="auto"/>
          <w:highlight w:val="none"/>
        </w:rPr>
      </w:pPr>
      <w:r>
        <w:rPr>
          <w:rFonts w:hint="eastAsia"/>
          <w:color w:val="auto"/>
          <w:highlight w:val="none"/>
        </w:rPr>
        <w:t>3.施工组织设计（必须提供）</w:t>
      </w:r>
    </w:p>
    <w:p w14:paraId="7A85D59D">
      <w:pPr>
        <w:spacing w:line="400" w:lineRule="exact"/>
        <w:ind w:firstLine="640"/>
        <w:jc w:val="center"/>
        <w:rPr>
          <w:b/>
          <w:color w:val="auto"/>
          <w:sz w:val="32"/>
          <w:szCs w:val="32"/>
          <w:highlight w:val="none"/>
        </w:rPr>
      </w:pPr>
    </w:p>
    <w:p w14:paraId="6DB8CFA6">
      <w:pPr>
        <w:spacing w:line="340" w:lineRule="exact"/>
        <w:ind w:firstLine="560"/>
        <w:rPr>
          <w:b/>
          <w:color w:val="auto"/>
          <w:sz w:val="28"/>
          <w:szCs w:val="28"/>
          <w:highlight w:val="none"/>
        </w:rPr>
      </w:pPr>
    </w:p>
    <w:p w14:paraId="39C8975E">
      <w:pPr>
        <w:spacing w:line="340" w:lineRule="exact"/>
        <w:ind w:firstLine="560"/>
        <w:rPr>
          <w:b/>
          <w:color w:val="auto"/>
          <w:sz w:val="28"/>
          <w:szCs w:val="28"/>
          <w:highlight w:val="none"/>
        </w:rPr>
      </w:pPr>
    </w:p>
    <w:p w14:paraId="05982942">
      <w:pPr>
        <w:spacing w:line="340" w:lineRule="exact"/>
        <w:ind w:firstLine="560"/>
        <w:rPr>
          <w:b/>
          <w:color w:val="auto"/>
          <w:sz w:val="28"/>
          <w:szCs w:val="28"/>
          <w:highlight w:val="none"/>
        </w:rPr>
      </w:pPr>
      <w:r>
        <w:rPr>
          <w:rFonts w:hint="eastAsia"/>
          <w:b/>
          <w:color w:val="auto"/>
          <w:sz w:val="28"/>
          <w:szCs w:val="28"/>
          <w:highlight w:val="none"/>
        </w:rPr>
        <w:t>（根据工程量清单、评分办法及工程情况自行编制，格式自拟）（必须提供）</w:t>
      </w:r>
    </w:p>
    <w:p w14:paraId="62FE4AB6">
      <w:pPr>
        <w:spacing w:line="400" w:lineRule="exact"/>
        <w:ind w:firstLine="640"/>
        <w:jc w:val="center"/>
        <w:rPr>
          <w:b/>
          <w:color w:val="auto"/>
          <w:sz w:val="32"/>
          <w:szCs w:val="32"/>
          <w:highlight w:val="none"/>
        </w:rPr>
      </w:pPr>
    </w:p>
    <w:p w14:paraId="25347306">
      <w:pPr>
        <w:spacing w:before="206"/>
        <w:ind w:left="864" w:firstLine="640"/>
        <w:rPr>
          <w:b/>
          <w:color w:val="auto"/>
          <w:sz w:val="32"/>
          <w:szCs w:val="32"/>
          <w:highlight w:val="none"/>
        </w:rPr>
      </w:pPr>
    </w:p>
    <w:p w14:paraId="099E8DF8">
      <w:pPr>
        <w:spacing w:before="206"/>
        <w:ind w:left="864" w:firstLine="640"/>
        <w:rPr>
          <w:b/>
          <w:color w:val="auto"/>
          <w:sz w:val="32"/>
          <w:szCs w:val="32"/>
          <w:highlight w:val="none"/>
        </w:rPr>
      </w:pPr>
    </w:p>
    <w:p w14:paraId="305D6BEE">
      <w:pPr>
        <w:pStyle w:val="13"/>
        <w:spacing w:before="72" w:line="302" w:lineRule="auto"/>
        <w:ind w:right="1529" w:firstLine="420" w:firstLineChars="200"/>
        <w:rPr>
          <w:color w:val="auto"/>
          <w:highlight w:val="none"/>
        </w:rPr>
      </w:pPr>
      <w:r>
        <w:rPr>
          <w:rFonts w:hint="eastAsia"/>
          <w:color w:val="auto"/>
          <w:highlight w:val="none"/>
        </w:rPr>
        <w:t>供</w:t>
      </w:r>
      <w:r>
        <w:rPr>
          <w:color w:val="auto"/>
          <w:highlight w:val="none"/>
        </w:rPr>
        <w:t>磋商供应商（CA证书签章）：</w:t>
      </w:r>
    </w:p>
    <w:p w14:paraId="1A8379FC">
      <w:pPr>
        <w:pStyle w:val="13"/>
        <w:spacing w:before="72" w:line="302" w:lineRule="auto"/>
        <w:ind w:right="1529" w:firstLine="420" w:firstLineChars="200"/>
        <w:rPr>
          <w:color w:val="auto"/>
          <w:highlight w:val="none"/>
        </w:rPr>
      </w:pPr>
      <w:r>
        <w:rPr>
          <w:color w:val="auto"/>
          <w:highlight w:val="none"/>
        </w:rPr>
        <w:t>法定代表人(负责人、自然人)或相应的委托代理人签字（或个人CA证书签章）：</w:t>
      </w:r>
    </w:p>
    <w:p w14:paraId="20946C20">
      <w:pPr>
        <w:pStyle w:val="13"/>
        <w:spacing w:before="72" w:line="302" w:lineRule="auto"/>
        <w:ind w:right="1529" w:firstLine="420" w:firstLineChars="200"/>
        <w:rPr>
          <w:color w:val="auto"/>
          <w:highlight w:val="none"/>
        </w:rPr>
      </w:pPr>
      <w:r>
        <w:rPr>
          <w:color w:val="auto"/>
          <w:highlight w:val="none"/>
        </w:rPr>
        <w:t>日期：</w:t>
      </w:r>
    </w:p>
    <w:p w14:paraId="0C98518A">
      <w:pPr>
        <w:rPr>
          <w:b/>
          <w:color w:val="auto"/>
          <w:sz w:val="32"/>
          <w:szCs w:val="32"/>
          <w:highlight w:val="none"/>
        </w:rPr>
      </w:pPr>
      <w:r>
        <w:rPr>
          <w:b/>
          <w:color w:val="auto"/>
          <w:sz w:val="32"/>
          <w:szCs w:val="32"/>
          <w:highlight w:val="none"/>
        </w:rPr>
        <w:br w:type="page"/>
      </w:r>
    </w:p>
    <w:p w14:paraId="1D6A58C5">
      <w:pPr>
        <w:pStyle w:val="4"/>
        <w:bidi w:val="0"/>
        <w:rPr>
          <w:color w:val="auto"/>
          <w:highlight w:val="none"/>
        </w:rPr>
      </w:pPr>
      <w:r>
        <w:rPr>
          <w:rFonts w:hint="eastAsia"/>
          <w:color w:val="auto"/>
          <w:highlight w:val="none"/>
        </w:rPr>
        <w:t>4.项目管理机构（必须提供）</w:t>
      </w:r>
    </w:p>
    <w:p w14:paraId="366654D0">
      <w:pPr>
        <w:widowControl/>
        <w:ind w:firstLine="560"/>
        <w:rPr>
          <w:b/>
          <w:bCs/>
          <w:color w:val="auto"/>
          <w:sz w:val="28"/>
          <w:szCs w:val="28"/>
          <w:highlight w:val="none"/>
        </w:rPr>
      </w:pPr>
    </w:p>
    <w:p w14:paraId="0223AF25">
      <w:pPr>
        <w:widowControl/>
        <w:ind w:firstLine="560"/>
        <w:jc w:val="center"/>
        <w:rPr>
          <w:color w:val="auto"/>
          <w:highlight w:val="none"/>
        </w:rPr>
      </w:pPr>
      <w:r>
        <w:rPr>
          <w:rFonts w:hint="eastAsia"/>
          <w:b/>
          <w:bCs/>
          <w:color w:val="auto"/>
          <w:sz w:val="28"/>
          <w:szCs w:val="28"/>
          <w:highlight w:val="none"/>
        </w:rPr>
        <w:t>（一）项目管理机构（格式）</w:t>
      </w:r>
    </w:p>
    <w:tbl>
      <w:tblPr>
        <w:tblStyle w:val="31"/>
        <w:tblW w:w="9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2"/>
      </w:tblGrid>
      <w:tr w14:paraId="18749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7" w:hRule="atLeast"/>
        </w:trPr>
        <w:tc>
          <w:tcPr>
            <w:tcW w:w="9042" w:type="dxa"/>
          </w:tcPr>
          <w:p w14:paraId="5C579F23">
            <w:pPr>
              <w:pStyle w:val="3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拟为承包本标段工程设立的组织机构以框图方式表示</w:t>
            </w:r>
          </w:p>
        </w:tc>
      </w:tr>
      <w:tr w14:paraId="2A09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9042" w:type="dxa"/>
          </w:tcPr>
          <w:p w14:paraId="314087C2">
            <w:pPr>
              <w:pStyle w:val="34"/>
              <w:rPr>
                <w:rFonts w:hint="eastAsia" w:ascii="宋体" w:hAnsi="宋体" w:eastAsia="宋体" w:cs="宋体"/>
                <w:color w:val="auto"/>
                <w:highlight w:val="none"/>
              </w:rPr>
            </w:pPr>
            <w:r>
              <w:rPr>
                <w:rFonts w:hint="eastAsia" w:ascii="宋体" w:hAnsi="宋体" w:eastAsia="宋体" w:cs="宋体"/>
                <w:color w:val="auto"/>
                <w:highlight w:val="none"/>
              </w:rPr>
              <w:t>说明</w:t>
            </w:r>
          </w:p>
        </w:tc>
      </w:tr>
    </w:tbl>
    <w:p w14:paraId="48B26B69">
      <w:pPr>
        <w:rPr>
          <w:color w:val="auto"/>
          <w:sz w:val="36"/>
          <w:szCs w:val="36"/>
          <w:highlight w:val="none"/>
        </w:rPr>
      </w:pPr>
      <w:r>
        <w:rPr>
          <w:color w:val="auto"/>
          <w:sz w:val="36"/>
          <w:szCs w:val="36"/>
          <w:highlight w:val="none"/>
        </w:rPr>
        <w:br w:type="page"/>
      </w:r>
    </w:p>
    <w:p w14:paraId="6E1B2958">
      <w:pPr>
        <w:rPr>
          <w:color w:val="auto"/>
          <w:highlight w:val="none"/>
        </w:rPr>
      </w:pPr>
    </w:p>
    <w:p w14:paraId="7B16F95F">
      <w:pPr>
        <w:pStyle w:val="4"/>
        <w:bidi w:val="0"/>
        <w:rPr>
          <w:color w:val="auto"/>
          <w:highlight w:val="none"/>
        </w:rPr>
      </w:pPr>
      <w:r>
        <w:rPr>
          <w:rFonts w:hint="eastAsia"/>
          <w:color w:val="auto"/>
          <w:highlight w:val="none"/>
        </w:rPr>
        <w:t>5.农民工工资保证金承诺书及承诺函（必须提供）</w:t>
      </w:r>
    </w:p>
    <w:p w14:paraId="7BA4A701">
      <w:pPr>
        <w:spacing w:before="137" w:line="182" w:lineRule="auto"/>
        <w:ind w:firstLine="64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农民工工资保证金承诺书</w:t>
      </w:r>
    </w:p>
    <w:p w14:paraId="579D19BE">
      <w:pPr>
        <w:pStyle w:val="13"/>
        <w:rPr>
          <w:color w:val="auto"/>
          <w:highlight w:val="none"/>
        </w:rPr>
      </w:pPr>
    </w:p>
    <w:p w14:paraId="17821AFF">
      <w:pPr>
        <w:spacing w:line="460" w:lineRule="exact"/>
        <w:ind w:firstLine="482"/>
        <w:rPr>
          <w:color w:val="auto"/>
          <w:sz w:val="24"/>
          <w:highlight w:val="none"/>
        </w:rPr>
      </w:pPr>
      <w:r>
        <w:rPr>
          <w:rFonts w:hint="eastAsia"/>
          <w:color w:val="auto"/>
          <w:sz w:val="24"/>
          <w:highlight w:val="none"/>
        </w:rPr>
        <w:t>致：（采购人名称）</w:t>
      </w:r>
    </w:p>
    <w:p w14:paraId="7616FF27">
      <w:pPr>
        <w:pStyle w:val="58"/>
        <w:wordWrap w:val="0"/>
        <w:spacing w:line="360" w:lineRule="auto"/>
        <w:ind w:firstLine="480" w:firstLineChars="200"/>
        <w:rPr>
          <w:rFonts w:hAnsi="宋体"/>
          <w:color w:val="auto"/>
          <w:sz w:val="24"/>
          <w:szCs w:val="21"/>
          <w:highlight w:val="none"/>
        </w:rPr>
      </w:pPr>
      <w:r>
        <w:rPr>
          <w:rFonts w:hint="eastAsia" w:hAnsi="宋体"/>
          <w:color w:val="auto"/>
          <w:sz w:val="24"/>
          <w:szCs w:val="21"/>
          <w:highlight w:val="none"/>
        </w:rPr>
        <w:t>根据《保障农民工工资支付条例》（中华人民共和国国务院令第724号）、《关于明确农民工工资保证金制度有关问题的通知》（桂薪联发﹝2016﹞2号）及《广西壮族自治区工程建设领域农民工工资保证金规定实施办法》（桂人社规〔2021〕16号）、《广西壮族自治区人力资源和社会保障厅等8部门关于印发广西壮族自治区工程建设领域农民工工资专用账户管理暂行办法实施细则的通知》（桂人社规〔2022〕5号）等规定，在</w:t>
      </w:r>
      <w:r>
        <w:rPr>
          <w:rFonts w:hint="eastAsia" w:ascii="宋体" w:hAnsi="宋体"/>
          <w:color w:val="auto"/>
          <w:sz w:val="24"/>
          <w:szCs w:val="21"/>
          <w:highlight w:val="none"/>
          <w:u w:val="single"/>
        </w:rPr>
        <w:t xml:space="preserve">  （项目名称）          </w:t>
      </w:r>
      <w:r>
        <w:rPr>
          <w:rFonts w:hint="eastAsia" w:ascii="宋体" w:hAnsi="宋体"/>
          <w:color w:val="auto"/>
          <w:sz w:val="24"/>
          <w:szCs w:val="21"/>
          <w:highlight w:val="none"/>
          <w:u w:val="none"/>
          <w:lang w:val="en-US" w:eastAsia="zh-CN"/>
        </w:rPr>
        <w:t>采购</w:t>
      </w:r>
      <w:r>
        <w:rPr>
          <w:rFonts w:hint="eastAsia" w:hAnsi="宋体"/>
          <w:color w:val="auto"/>
          <w:sz w:val="24"/>
          <w:szCs w:val="21"/>
          <w:highlight w:val="none"/>
          <w:u w:val="none"/>
        </w:rPr>
        <w:t>的</w:t>
      </w:r>
      <w:r>
        <w:rPr>
          <w:rFonts w:hint="eastAsia" w:hAnsi="宋体"/>
          <w:color w:val="auto"/>
          <w:sz w:val="24"/>
          <w:szCs w:val="21"/>
          <w:highlight w:val="none"/>
          <w:lang w:val="en-US" w:eastAsia="zh-CN"/>
        </w:rPr>
        <w:t>磋商</w:t>
      </w:r>
      <w:r>
        <w:rPr>
          <w:rFonts w:hint="eastAsia" w:hAnsi="宋体"/>
          <w:color w:val="auto"/>
          <w:sz w:val="24"/>
          <w:szCs w:val="21"/>
          <w:highlight w:val="none"/>
        </w:rPr>
        <w:t>中，我单位对农民工工资的支付作出以下郑重承诺：</w:t>
      </w:r>
    </w:p>
    <w:p w14:paraId="0F29EFB0">
      <w:pPr>
        <w:pStyle w:val="58"/>
        <w:spacing w:line="360" w:lineRule="auto"/>
        <w:ind w:firstLine="480" w:firstLineChars="200"/>
        <w:rPr>
          <w:rFonts w:hAnsi="宋体"/>
          <w:color w:val="auto"/>
          <w:sz w:val="24"/>
          <w:szCs w:val="21"/>
          <w:highlight w:val="none"/>
        </w:rPr>
      </w:pPr>
      <w:r>
        <w:rPr>
          <w:rFonts w:hint="eastAsia" w:hAnsi="宋体"/>
          <w:color w:val="auto"/>
          <w:sz w:val="24"/>
          <w:szCs w:val="21"/>
          <w:highlight w:val="none"/>
        </w:rPr>
        <w:t>（一）我单位在本</w:t>
      </w:r>
      <w:r>
        <w:rPr>
          <w:rFonts w:hint="eastAsia" w:hAnsi="宋体"/>
          <w:color w:val="auto"/>
          <w:sz w:val="24"/>
          <w:szCs w:val="21"/>
          <w:highlight w:val="none"/>
          <w:lang w:eastAsia="zh-CN"/>
        </w:rPr>
        <w:t>采购项目</w:t>
      </w:r>
      <w:r>
        <w:rPr>
          <w:rFonts w:hint="eastAsia" w:hAnsi="宋体"/>
          <w:color w:val="auto"/>
          <w:sz w:val="24"/>
          <w:szCs w:val="21"/>
          <w:highlight w:val="none"/>
        </w:rPr>
        <w:t>递交</w:t>
      </w:r>
      <w:r>
        <w:rPr>
          <w:rFonts w:hint="eastAsia" w:hAnsi="宋体"/>
          <w:color w:val="auto"/>
          <w:sz w:val="24"/>
          <w:szCs w:val="21"/>
          <w:highlight w:val="none"/>
          <w:lang w:val="en-US" w:eastAsia="zh-CN"/>
        </w:rPr>
        <w:t>响应文件</w:t>
      </w:r>
      <w:r>
        <w:rPr>
          <w:rFonts w:hint="eastAsia" w:hAnsi="宋体"/>
          <w:color w:val="auto"/>
          <w:sz w:val="24"/>
          <w:szCs w:val="21"/>
          <w:highlight w:val="none"/>
        </w:rPr>
        <w:t>截止时间</w:t>
      </w:r>
      <w:r>
        <w:rPr>
          <w:rFonts w:hAnsi="宋体"/>
          <w:color w:val="auto"/>
          <w:sz w:val="24"/>
          <w:szCs w:val="21"/>
          <w:highlight w:val="none"/>
          <w:u w:val="single"/>
        </w:rPr>
        <w:t xml:space="preserve">20  </w:t>
      </w:r>
      <w:r>
        <w:rPr>
          <w:rFonts w:hint="eastAsia" w:hAnsi="宋体"/>
          <w:color w:val="auto"/>
          <w:sz w:val="24"/>
          <w:szCs w:val="21"/>
          <w:highlight w:val="none"/>
          <w:u w:val="single"/>
        </w:rPr>
        <w:t>年  月  日（开标日）</w:t>
      </w:r>
      <w:r>
        <w:rPr>
          <w:rFonts w:hint="eastAsia" w:hAnsi="宋体"/>
          <w:color w:val="auto"/>
          <w:sz w:val="24"/>
          <w:szCs w:val="21"/>
          <w:highlight w:val="none"/>
        </w:rPr>
        <w:t>前所承建的工程项目，不存在拖欠或克扣农民工工资的行为。</w:t>
      </w:r>
    </w:p>
    <w:p w14:paraId="4C9EC00E">
      <w:pPr>
        <w:pStyle w:val="58"/>
        <w:spacing w:line="360" w:lineRule="auto"/>
        <w:ind w:firstLine="480" w:firstLineChars="200"/>
        <w:rPr>
          <w:rFonts w:hAnsi="宋体"/>
          <w:color w:val="auto"/>
          <w:sz w:val="24"/>
          <w:szCs w:val="21"/>
          <w:highlight w:val="none"/>
        </w:rPr>
      </w:pPr>
      <w:r>
        <w:rPr>
          <w:rFonts w:hint="eastAsia" w:hAnsi="宋体"/>
          <w:color w:val="auto"/>
          <w:sz w:val="24"/>
          <w:szCs w:val="21"/>
          <w:highlight w:val="none"/>
        </w:rPr>
        <w:t>（二）</w:t>
      </w:r>
      <w:r>
        <w:rPr>
          <w:rFonts w:hint="eastAsia" w:hAnsi="宋体"/>
          <w:color w:val="auto"/>
          <w:sz w:val="24"/>
          <w:szCs w:val="21"/>
          <w:highlight w:val="none"/>
          <w:lang w:eastAsia="zh-CN"/>
        </w:rPr>
        <w:t>磋商成交</w:t>
      </w:r>
      <w:r>
        <w:rPr>
          <w:rFonts w:hint="eastAsia" w:hAnsi="宋体"/>
          <w:color w:val="auto"/>
          <w:sz w:val="24"/>
          <w:szCs w:val="21"/>
          <w:highlight w:val="none"/>
        </w:rPr>
        <w:t>后，我单位同意在工程项目所在地商业银行开设农民工工资保证金专用账户，并按</w:t>
      </w:r>
      <w:r>
        <w:rPr>
          <w:rFonts w:hint="eastAsia" w:hAnsi="宋体"/>
          <w:color w:val="auto"/>
          <w:sz w:val="24"/>
          <w:szCs w:val="21"/>
          <w:highlight w:val="none"/>
          <w:lang w:eastAsia="zh-CN"/>
        </w:rPr>
        <w:t>竞争性磋商文件</w:t>
      </w:r>
      <w:r>
        <w:rPr>
          <w:rFonts w:hint="eastAsia" w:hAnsi="宋体"/>
          <w:color w:val="auto"/>
          <w:sz w:val="24"/>
          <w:szCs w:val="21"/>
          <w:highlight w:val="none"/>
        </w:rPr>
        <w:t>规定的投标保证金额度预存一定数额的资金作为农民工工资保证金或出具工程项目所在地的商业银行的银行保函，并到工程项目所在地具有管辖权的人力资源社会保障部门备案。</w:t>
      </w:r>
    </w:p>
    <w:p w14:paraId="2D48C79C">
      <w:pPr>
        <w:pStyle w:val="58"/>
        <w:spacing w:line="360" w:lineRule="auto"/>
        <w:ind w:firstLine="480" w:firstLineChars="200"/>
        <w:rPr>
          <w:rFonts w:hAnsi="宋体"/>
          <w:color w:val="auto"/>
          <w:sz w:val="24"/>
          <w:szCs w:val="21"/>
          <w:highlight w:val="none"/>
        </w:rPr>
      </w:pPr>
      <w:r>
        <w:rPr>
          <w:rFonts w:hint="eastAsia" w:hAnsi="宋体"/>
          <w:color w:val="auto"/>
          <w:sz w:val="24"/>
          <w:szCs w:val="21"/>
          <w:highlight w:val="none"/>
        </w:rPr>
        <w:t xml:space="preserve">（三）我单位向建设单位承诺依法足额支付农民工工资，一旦我单位（包含我单位的分包商）承建的 </w:t>
      </w:r>
      <w:r>
        <w:rPr>
          <w:rFonts w:hint="eastAsia" w:ascii="宋体" w:hAnsi="宋体"/>
          <w:color w:val="auto"/>
          <w:sz w:val="24"/>
          <w:szCs w:val="21"/>
          <w:highlight w:val="none"/>
          <w:u w:val="single"/>
        </w:rPr>
        <w:t xml:space="preserve">（项目名称）             </w:t>
      </w:r>
      <w:r>
        <w:rPr>
          <w:rFonts w:hint="eastAsia" w:ascii="宋体" w:hAnsi="宋体"/>
          <w:color w:val="auto"/>
          <w:sz w:val="24"/>
          <w:szCs w:val="21"/>
          <w:highlight w:val="none"/>
        </w:rPr>
        <w:t>施工</w:t>
      </w:r>
      <w:r>
        <w:rPr>
          <w:rFonts w:hint="eastAsia" w:hAnsi="宋体"/>
          <w:color w:val="auto"/>
          <w:sz w:val="24"/>
          <w:szCs w:val="21"/>
          <w:highlight w:val="none"/>
        </w:rPr>
        <w:t>出现拖欠农民工工资情况的，可由劳动保障、交通主管部门（或授权机构）及建设单位根据相关规定从其农民工工资保证金中先予支取。</w:t>
      </w:r>
    </w:p>
    <w:p w14:paraId="024E9F52">
      <w:pPr>
        <w:pStyle w:val="59"/>
        <w:spacing w:line="360" w:lineRule="auto"/>
        <w:ind w:firstLine="480" w:firstLineChars="200"/>
        <w:rPr>
          <w:rFonts w:hAnsi="宋体" w:cs="Arial"/>
          <w:color w:val="auto"/>
          <w:sz w:val="24"/>
          <w:szCs w:val="21"/>
          <w:highlight w:val="none"/>
        </w:rPr>
      </w:pPr>
      <w:r>
        <w:rPr>
          <w:rFonts w:hint="eastAsia" w:hAnsi="宋体"/>
          <w:color w:val="auto"/>
          <w:sz w:val="24"/>
          <w:szCs w:val="21"/>
          <w:highlight w:val="none"/>
        </w:rPr>
        <w:t>（四）其它未尽事宜按《广西壮族自治区人力资源和社会保障厅 广西壮族自治区住房和城乡建设厅 广西壮族自治区交通运输厅 广西壮族自治区水利厅 中国银行保险监督管理委员会广西监管局关于印发广西壮族自治区工程建设领域农民工工资保证金规定实施办法的通知》（桂人社规〔2021〕16号）的有关规定执行。</w:t>
      </w:r>
    </w:p>
    <w:p w14:paraId="022689D3">
      <w:pPr>
        <w:snapToGrid w:val="0"/>
        <w:spacing w:before="156" w:beforeLines="50" w:line="360" w:lineRule="auto"/>
        <w:ind w:right="480" w:firstLine="0" w:firstLineChars="0"/>
        <w:rPr>
          <w:rFonts w:hint="default"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2427E872">
      <w:pPr>
        <w:snapToGrid w:val="0"/>
        <w:spacing w:before="156" w:beforeLines="50" w:after="0" w:line="360" w:lineRule="auto"/>
        <w:ind w:right="48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lang w:eastAsia="zh-CN"/>
        </w:rPr>
        <w:t>签字（</w:t>
      </w:r>
      <w:r>
        <w:rPr>
          <w:rFonts w:hint="eastAsia" w:ascii="宋体" w:hAnsi="宋体" w:cs="仿宋_GB2312"/>
          <w:color w:val="auto"/>
          <w:sz w:val="21"/>
          <w:szCs w:val="21"/>
          <w:highlight w:val="none"/>
          <w:lang w:eastAsia="zh-CN"/>
        </w:rPr>
        <w:t>或</w:t>
      </w:r>
      <w:r>
        <w:rPr>
          <w:rFonts w:hint="eastAsia" w:ascii="宋体" w:hAnsi="宋体" w:cs="宋体"/>
          <w:color w:val="auto"/>
          <w:sz w:val="21"/>
          <w:szCs w:val="21"/>
          <w:highlight w:val="none"/>
        </w:rPr>
        <w:t>个人CA签章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1DE4B8B9">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5C0EA834">
      <w:pPr>
        <w:pStyle w:val="13"/>
        <w:spacing w:line="266" w:lineRule="auto"/>
        <w:ind w:firstLine="422"/>
        <w:rPr>
          <w:color w:val="auto"/>
          <w:highlight w:val="none"/>
        </w:rPr>
      </w:pPr>
    </w:p>
    <w:p w14:paraId="5281A68B">
      <w:pPr>
        <w:spacing w:line="181" w:lineRule="auto"/>
        <w:ind w:firstLine="480"/>
        <w:rPr>
          <w:rFonts w:ascii="微软雅黑" w:hAnsi="微软雅黑" w:eastAsia="微软雅黑" w:cs="微软雅黑"/>
          <w:color w:val="auto"/>
          <w:sz w:val="24"/>
          <w:szCs w:val="24"/>
          <w:highlight w:val="none"/>
        </w:rPr>
        <w:sectPr>
          <w:footerReference r:id="rId16" w:type="default"/>
          <w:pgSz w:w="11911" w:h="16849"/>
          <w:pgMar w:top="1417" w:right="1417" w:bottom="1417" w:left="1417" w:header="720" w:footer="720" w:gutter="0"/>
          <w:cols w:space="0" w:num="1"/>
          <w:rtlGutter w:val="0"/>
          <w:docGrid w:linePitch="0" w:charSpace="0"/>
        </w:sectPr>
      </w:pPr>
    </w:p>
    <w:p w14:paraId="7A1585DB">
      <w:pPr>
        <w:spacing w:before="137" w:line="182" w:lineRule="auto"/>
        <w:ind w:firstLine="64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供应商承诺函</w:t>
      </w:r>
    </w:p>
    <w:p w14:paraId="4C501AAA">
      <w:pPr>
        <w:pStyle w:val="13"/>
        <w:spacing w:line="335" w:lineRule="auto"/>
        <w:ind w:firstLine="422"/>
        <w:rPr>
          <w:color w:val="auto"/>
          <w:highlight w:val="none"/>
        </w:rPr>
      </w:pPr>
    </w:p>
    <w:p w14:paraId="0EE0CD6C">
      <w:pPr>
        <w:pStyle w:val="60"/>
        <w:spacing w:before="240" w:line="360" w:lineRule="auto"/>
        <w:rPr>
          <w:color w:val="auto"/>
          <w:sz w:val="24"/>
          <w:szCs w:val="24"/>
          <w:highlight w:val="none"/>
          <w:u w:val="single"/>
        </w:rPr>
      </w:pPr>
      <w:r>
        <w:rPr>
          <w:rFonts w:hint="eastAsia"/>
          <w:color w:val="auto"/>
          <w:sz w:val="24"/>
          <w:szCs w:val="24"/>
          <w:highlight w:val="none"/>
          <w:u w:val="single"/>
        </w:rPr>
        <w:t>（</w:t>
      </w:r>
      <w:r>
        <w:rPr>
          <w:rFonts w:hint="eastAsia"/>
          <w:color w:val="auto"/>
          <w:sz w:val="24"/>
          <w:szCs w:val="24"/>
          <w:highlight w:val="none"/>
          <w:u w:val="single"/>
          <w:lang w:eastAsia="zh-CN"/>
        </w:rPr>
        <w:t>采购人</w:t>
      </w:r>
      <w:r>
        <w:rPr>
          <w:rFonts w:hint="eastAsia"/>
          <w:color w:val="auto"/>
          <w:sz w:val="24"/>
          <w:szCs w:val="24"/>
          <w:highlight w:val="none"/>
          <w:u w:val="single"/>
        </w:rPr>
        <w:t>名称）</w:t>
      </w:r>
      <w:r>
        <w:rPr>
          <w:rFonts w:hint="eastAsia"/>
          <w:color w:val="auto"/>
          <w:sz w:val="24"/>
          <w:szCs w:val="24"/>
          <w:highlight w:val="none"/>
        </w:rPr>
        <w:t>：</w:t>
      </w:r>
    </w:p>
    <w:p w14:paraId="40D82DCB">
      <w:pPr>
        <w:pStyle w:val="60"/>
        <w:spacing w:line="360" w:lineRule="auto"/>
        <w:ind w:firstLine="480"/>
        <w:rPr>
          <w:color w:val="auto"/>
          <w:sz w:val="24"/>
          <w:szCs w:val="24"/>
          <w:highlight w:val="none"/>
        </w:rPr>
      </w:pPr>
      <w:r>
        <w:rPr>
          <w:rFonts w:hint="eastAsia"/>
          <w:color w:val="auto"/>
          <w:sz w:val="24"/>
          <w:szCs w:val="24"/>
          <w:highlight w:val="none"/>
        </w:rPr>
        <w:t>我方参加了</w:t>
      </w:r>
      <w:r>
        <w:rPr>
          <w:rFonts w:hint="eastAsia"/>
          <w:color w:val="auto"/>
          <w:sz w:val="24"/>
          <w:szCs w:val="24"/>
          <w:highlight w:val="none"/>
          <w:u w:val="single"/>
        </w:rPr>
        <w:t xml:space="preserve">         （项目名称）           </w:t>
      </w:r>
      <w:r>
        <w:rPr>
          <w:rFonts w:hint="eastAsia"/>
          <w:color w:val="auto"/>
          <w:sz w:val="24"/>
          <w:szCs w:val="24"/>
          <w:highlight w:val="none"/>
        </w:rPr>
        <w:t>施工</w:t>
      </w:r>
      <w:r>
        <w:rPr>
          <w:rFonts w:hint="eastAsia"/>
          <w:color w:val="auto"/>
          <w:sz w:val="24"/>
          <w:szCs w:val="24"/>
          <w:highlight w:val="none"/>
          <w:lang w:val="en-US" w:eastAsia="zh-CN"/>
        </w:rPr>
        <w:t>磋商</w:t>
      </w:r>
      <w:r>
        <w:rPr>
          <w:rFonts w:hint="eastAsia"/>
          <w:color w:val="auto"/>
          <w:sz w:val="24"/>
          <w:szCs w:val="24"/>
          <w:highlight w:val="none"/>
        </w:rPr>
        <w:t>，若我方</w:t>
      </w:r>
      <w:r>
        <w:rPr>
          <w:rFonts w:hint="eastAsia"/>
          <w:color w:val="auto"/>
          <w:sz w:val="24"/>
          <w:szCs w:val="24"/>
          <w:highlight w:val="none"/>
          <w:lang w:val="en-US" w:eastAsia="zh-CN"/>
        </w:rPr>
        <w:t>成交</w:t>
      </w:r>
      <w:r>
        <w:rPr>
          <w:rFonts w:hint="eastAsia"/>
          <w:color w:val="auto"/>
          <w:sz w:val="24"/>
          <w:szCs w:val="24"/>
          <w:highlight w:val="none"/>
        </w:rPr>
        <w:t>，我方在此承诺：</w:t>
      </w:r>
    </w:p>
    <w:p w14:paraId="78480483">
      <w:pPr>
        <w:pStyle w:val="60"/>
        <w:spacing w:line="360" w:lineRule="auto"/>
        <w:ind w:firstLine="480"/>
        <w:rPr>
          <w:color w:val="auto"/>
          <w:sz w:val="24"/>
          <w:szCs w:val="24"/>
          <w:highlight w:val="none"/>
        </w:rPr>
      </w:pPr>
      <w:r>
        <w:rPr>
          <w:rFonts w:hint="eastAsia"/>
          <w:color w:val="auto"/>
          <w:sz w:val="24"/>
          <w:szCs w:val="24"/>
          <w:highlight w:val="none"/>
        </w:rPr>
        <w:t>若本项目</w:t>
      </w:r>
      <w:r>
        <w:rPr>
          <w:rFonts w:hint="eastAsia"/>
          <w:color w:val="auto"/>
          <w:sz w:val="24"/>
          <w:szCs w:val="24"/>
          <w:highlight w:val="none"/>
          <w:lang w:eastAsia="zh-CN"/>
        </w:rPr>
        <w:t>竞争性磋商文件</w:t>
      </w:r>
      <w:r>
        <w:rPr>
          <w:rFonts w:hint="eastAsia"/>
          <w:color w:val="auto"/>
          <w:sz w:val="24"/>
          <w:szCs w:val="24"/>
          <w:highlight w:val="none"/>
        </w:rPr>
        <w:t>未要求我方在</w:t>
      </w:r>
      <w:r>
        <w:rPr>
          <w:rFonts w:hint="eastAsia"/>
          <w:color w:val="auto"/>
          <w:sz w:val="24"/>
          <w:szCs w:val="24"/>
          <w:highlight w:val="none"/>
          <w:lang w:eastAsia="zh-CN"/>
        </w:rPr>
        <w:t>响应文件</w:t>
      </w:r>
      <w:r>
        <w:rPr>
          <w:rFonts w:hint="eastAsia"/>
          <w:color w:val="auto"/>
          <w:sz w:val="24"/>
          <w:szCs w:val="24"/>
          <w:highlight w:val="none"/>
        </w:rPr>
        <w:t>中填报派驻本标段的其他主要管理人员和技术人员及主要机械设备和试验检测设备，在</w:t>
      </w:r>
      <w:r>
        <w:rPr>
          <w:rFonts w:hint="eastAsia"/>
          <w:color w:val="auto"/>
          <w:sz w:val="24"/>
          <w:szCs w:val="24"/>
          <w:highlight w:val="none"/>
          <w:lang w:eastAsia="zh-CN"/>
        </w:rPr>
        <w:t>采购人</w:t>
      </w:r>
      <w:r>
        <w:rPr>
          <w:rFonts w:hint="eastAsia"/>
          <w:color w:val="auto"/>
          <w:sz w:val="24"/>
          <w:szCs w:val="24"/>
          <w:highlight w:val="none"/>
        </w:rPr>
        <w:t>向我方发出</w:t>
      </w:r>
      <w:r>
        <w:rPr>
          <w:rFonts w:hint="eastAsia"/>
          <w:color w:val="auto"/>
          <w:sz w:val="24"/>
          <w:szCs w:val="24"/>
          <w:highlight w:val="none"/>
          <w:lang w:eastAsia="zh-CN"/>
        </w:rPr>
        <w:t>成交通知书</w:t>
      </w:r>
      <w:r>
        <w:rPr>
          <w:rFonts w:hint="eastAsia"/>
          <w:color w:val="auto"/>
          <w:sz w:val="24"/>
          <w:szCs w:val="24"/>
          <w:highlight w:val="none"/>
        </w:rPr>
        <w:t>之前，我方将按照合同附件提出的最低要求填报派驻本标段的其他主要管理人员和技术人员及主要机械设备和试验检测设备，在经</w:t>
      </w:r>
      <w:r>
        <w:rPr>
          <w:rFonts w:hint="eastAsia"/>
          <w:color w:val="auto"/>
          <w:sz w:val="24"/>
          <w:szCs w:val="24"/>
          <w:highlight w:val="none"/>
          <w:lang w:eastAsia="zh-CN"/>
        </w:rPr>
        <w:t>采购人</w:t>
      </w:r>
      <w:r>
        <w:rPr>
          <w:rFonts w:hint="eastAsia"/>
          <w:color w:val="auto"/>
          <w:sz w:val="24"/>
          <w:szCs w:val="24"/>
          <w:highlight w:val="none"/>
        </w:rPr>
        <w:t>审批后作为派驻本标段的项目管理机构主要人员和主要设备且不进行更换。</w:t>
      </w:r>
    </w:p>
    <w:p w14:paraId="6B2CC96A">
      <w:pPr>
        <w:pStyle w:val="60"/>
        <w:spacing w:line="360" w:lineRule="auto"/>
        <w:ind w:firstLine="480"/>
        <w:rPr>
          <w:color w:val="auto"/>
          <w:sz w:val="24"/>
          <w:szCs w:val="24"/>
          <w:highlight w:val="none"/>
        </w:rPr>
      </w:pPr>
      <w:r>
        <w:rPr>
          <w:rFonts w:hint="eastAsia"/>
          <w:color w:val="auto"/>
          <w:sz w:val="24"/>
          <w:szCs w:val="24"/>
          <w:highlight w:val="none"/>
        </w:rPr>
        <w:t>若我方已按本项目</w:t>
      </w:r>
      <w:r>
        <w:rPr>
          <w:rFonts w:hint="eastAsia"/>
          <w:color w:val="auto"/>
          <w:sz w:val="24"/>
          <w:szCs w:val="24"/>
          <w:highlight w:val="none"/>
          <w:lang w:eastAsia="zh-CN"/>
        </w:rPr>
        <w:t>响应文件</w:t>
      </w:r>
      <w:r>
        <w:rPr>
          <w:rFonts w:hint="eastAsia"/>
          <w:color w:val="auto"/>
          <w:sz w:val="24"/>
          <w:szCs w:val="24"/>
          <w:highlight w:val="none"/>
        </w:rPr>
        <w:t>中填报派驻本标段的其他主要管理人员和技术人员及主要机械设备和试验检测设备，我方将严格按照在</w:t>
      </w:r>
      <w:r>
        <w:rPr>
          <w:rFonts w:hint="eastAsia"/>
          <w:color w:val="auto"/>
          <w:sz w:val="24"/>
          <w:szCs w:val="24"/>
          <w:highlight w:val="none"/>
          <w:lang w:eastAsia="zh-CN"/>
        </w:rPr>
        <w:t>响应文件</w:t>
      </w:r>
      <w:r>
        <w:rPr>
          <w:rFonts w:hint="eastAsia"/>
          <w:color w:val="auto"/>
          <w:sz w:val="24"/>
          <w:szCs w:val="24"/>
          <w:highlight w:val="none"/>
        </w:rPr>
        <w:t>中填报的其他主要管理人员和技术人员及主要机械设备和试验检测设备组织进场施工，且不进行更换。</w:t>
      </w:r>
    </w:p>
    <w:p w14:paraId="28146B81">
      <w:pPr>
        <w:pStyle w:val="60"/>
        <w:spacing w:line="360" w:lineRule="auto"/>
        <w:ind w:firstLine="480"/>
        <w:rPr>
          <w:color w:val="auto"/>
          <w:sz w:val="24"/>
          <w:szCs w:val="24"/>
          <w:highlight w:val="none"/>
        </w:rPr>
      </w:pPr>
      <w:r>
        <w:rPr>
          <w:rFonts w:hint="eastAsia"/>
          <w:color w:val="auto"/>
          <w:sz w:val="24"/>
          <w:szCs w:val="24"/>
          <w:highlight w:val="none"/>
        </w:rPr>
        <w:t>如我方违背了上述承诺，本项目</w:t>
      </w:r>
      <w:r>
        <w:rPr>
          <w:rFonts w:hint="eastAsia"/>
          <w:color w:val="auto"/>
          <w:sz w:val="24"/>
          <w:szCs w:val="24"/>
          <w:highlight w:val="none"/>
          <w:lang w:eastAsia="zh-CN"/>
        </w:rPr>
        <w:t>采购人</w:t>
      </w:r>
      <w:r>
        <w:rPr>
          <w:rFonts w:hint="eastAsia"/>
          <w:color w:val="auto"/>
          <w:sz w:val="24"/>
          <w:szCs w:val="24"/>
          <w:highlight w:val="none"/>
        </w:rPr>
        <w:t>有权取消我方的中标资格，并由</w:t>
      </w:r>
      <w:r>
        <w:rPr>
          <w:rFonts w:hint="eastAsia"/>
          <w:color w:val="auto"/>
          <w:sz w:val="24"/>
          <w:szCs w:val="24"/>
          <w:highlight w:val="none"/>
          <w:lang w:eastAsia="zh-CN"/>
        </w:rPr>
        <w:t>采购人</w:t>
      </w:r>
      <w:r>
        <w:rPr>
          <w:rFonts w:hint="eastAsia"/>
          <w:color w:val="auto"/>
          <w:sz w:val="24"/>
          <w:szCs w:val="24"/>
          <w:highlight w:val="none"/>
        </w:rPr>
        <w:t>将我方的违约行为上报省级交通主管部门，作为不良记录纳入公路建设市场信息管理系统。</w:t>
      </w:r>
    </w:p>
    <w:p w14:paraId="37F07E75">
      <w:pPr>
        <w:pStyle w:val="60"/>
        <w:spacing w:line="360" w:lineRule="auto"/>
        <w:rPr>
          <w:color w:val="auto"/>
          <w:sz w:val="24"/>
          <w:szCs w:val="24"/>
          <w:highlight w:val="none"/>
        </w:rPr>
      </w:pPr>
    </w:p>
    <w:p w14:paraId="325D4D57">
      <w:pPr>
        <w:snapToGrid w:val="0"/>
        <w:spacing w:before="156" w:beforeLines="50" w:line="360" w:lineRule="auto"/>
        <w:ind w:right="480" w:firstLine="0" w:firstLineChars="0"/>
        <w:rPr>
          <w:rFonts w:hint="default"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CA签章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6B334E50">
      <w:pPr>
        <w:snapToGrid w:val="0"/>
        <w:spacing w:before="156" w:beforeLines="50" w:after="0" w:line="360" w:lineRule="auto"/>
        <w:ind w:right="48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val="en-US" w:eastAsia="zh-CN"/>
        </w:rPr>
        <w:t>或授权代理人</w:t>
      </w:r>
      <w:r>
        <w:rPr>
          <w:rFonts w:hint="eastAsia" w:ascii="宋体" w:hAnsi="宋体" w:eastAsia="宋体" w:cs="宋体"/>
          <w:color w:val="auto"/>
          <w:sz w:val="21"/>
          <w:szCs w:val="21"/>
          <w:highlight w:val="none"/>
          <w:lang w:eastAsia="zh-CN"/>
        </w:rPr>
        <w:t>签字（</w:t>
      </w:r>
      <w:r>
        <w:rPr>
          <w:rFonts w:hint="eastAsia" w:ascii="宋体" w:hAnsi="宋体" w:cs="仿宋_GB2312"/>
          <w:color w:val="auto"/>
          <w:sz w:val="21"/>
          <w:szCs w:val="21"/>
          <w:highlight w:val="none"/>
          <w:lang w:eastAsia="zh-CN"/>
        </w:rPr>
        <w:t>或</w:t>
      </w:r>
      <w:r>
        <w:rPr>
          <w:rFonts w:hint="eastAsia" w:ascii="宋体" w:hAnsi="宋体" w:cs="宋体"/>
          <w:color w:val="auto"/>
          <w:sz w:val="21"/>
          <w:szCs w:val="21"/>
          <w:highlight w:val="none"/>
        </w:rPr>
        <w:t>个人CA签章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6B967371">
      <w:pPr>
        <w:snapToGrid w:val="0"/>
        <w:spacing w:before="156" w:beforeLines="50" w:after="0" w:line="360" w:lineRule="auto"/>
        <w:ind w:right="48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p>
    <w:p w14:paraId="249F90BC">
      <w:pPr>
        <w:pStyle w:val="13"/>
        <w:spacing w:line="299" w:lineRule="auto"/>
        <w:ind w:firstLine="422"/>
        <w:rPr>
          <w:color w:val="auto"/>
          <w:highlight w:val="none"/>
        </w:rPr>
      </w:pPr>
    </w:p>
    <w:p w14:paraId="4972A378">
      <w:pPr>
        <w:rPr>
          <w:color w:val="auto"/>
          <w:sz w:val="10"/>
          <w:highlight w:val="none"/>
        </w:rPr>
      </w:pPr>
      <w:r>
        <w:rPr>
          <w:color w:val="auto"/>
          <w:sz w:val="10"/>
          <w:highlight w:val="none"/>
        </w:rPr>
        <w:br w:type="page"/>
      </w:r>
    </w:p>
    <w:p w14:paraId="48D3E582">
      <w:pPr>
        <w:rPr>
          <w:color w:val="auto"/>
          <w:highlight w:val="none"/>
        </w:rPr>
      </w:pPr>
    </w:p>
    <w:p w14:paraId="50C32468">
      <w:pPr>
        <w:spacing w:before="55"/>
        <w:ind w:left="120" w:firstLine="640"/>
        <w:jc w:val="center"/>
        <w:rPr>
          <w:rFonts w:ascii="宋体" w:hAnsi="宋体" w:eastAsia="宋体" w:cs="宋体"/>
          <w:b/>
          <w:color w:val="auto"/>
          <w:sz w:val="32"/>
          <w:highlight w:val="none"/>
        </w:rPr>
      </w:pPr>
      <w:r>
        <w:rPr>
          <w:rFonts w:ascii="宋体" w:hAnsi="宋体" w:eastAsia="宋体" w:cs="宋体"/>
          <w:b/>
          <w:color w:val="auto"/>
          <w:sz w:val="32"/>
          <w:highlight w:val="none"/>
        </w:rPr>
        <w:t>其它有效证明材料目录</w:t>
      </w:r>
    </w:p>
    <w:p w14:paraId="6107CAF4">
      <w:pPr>
        <w:spacing w:before="55"/>
        <w:ind w:left="120" w:firstLine="640"/>
        <w:jc w:val="center"/>
        <w:rPr>
          <w:rFonts w:hint="eastAsia" w:ascii="宋体" w:hAnsi="宋体" w:eastAsia="宋体" w:cs="宋体"/>
          <w:b/>
          <w:color w:val="auto"/>
          <w:sz w:val="32"/>
          <w:highlight w:val="none"/>
          <w:lang w:val="en-US" w:eastAsia="zh-CN"/>
        </w:rPr>
      </w:pPr>
    </w:p>
    <w:p w14:paraId="00F61C46">
      <w:pPr>
        <w:spacing w:before="55"/>
        <w:ind w:left="120" w:firstLine="640"/>
        <w:jc w:val="center"/>
        <w:rPr>
          <w:color w:val="auto"/>
          <w:highlight w:val="none"/>
        </w:rPr>
        <w:sectPr>
          <w:pgSz w:w="11911" w:h="16849"/>
          <w:pgMar w:top="1417" w:right="1417" w:bottom="1417" w:left="1417" w:header="720" w:footer="720" w:gutter="0"/>
          <w:cols w:space="0" w:num="1"/>
          <w:rtlGutter w:val="0"/>
          <w:docGrid w:linePitch="0" w:charSpace="0"/>
        </w:sectPr>
      </w:pPr>
      <w:r>
        <w:rPr>
          <w:rFonts w:hint="eastAsia" w:ascii="宋体" w:hAnsi="宋体" w:eastAsia="宋体" w:cs="宋体"/>
          <w:b/>
          <w:color w:val="auto"/>
          <w:sz w:val="32"/>
          <w:highlight w:val="none"/>
          <w:lang w:val="en-US" w:eastAsia="zh-CN"/>
        </w:rPr>
        <w:t>自拟</w:t>
      </w:r>
      <w:r>
        <w:rPr>
          <w:color w:val="auto"/>
          <w:highlight w:val="none"/>
        </w:rPr>
        <w:t>。</w:t>
      </w:r>
    </w:p>
    <w:p w14:paraId="75724F87">
      <w:pPr>
        <w:pStyle w:val="4"/>
        <w:bidi w:val="0"/>
        <w:rPr>
          <w:color w:val="auto"/>
          <w:highlight w:val="none"/>
        </w:rPr>
      </w:pPr>
      <w:r>
        <w:rPr>
          <w:color w:val="auto"/>
          <w:highlight w:val="none"/>
        </w:rPr>
        <w:t>（三）其它有效证明材料</w:t>
      </w:r>
    </w:p>
    <w:p w14:paraId="5E835EE8">
      <w:pPr>
        <w:pStyle w:val="13"/>
        <w:ind w:firstLine="660"/>
        <w:rPr>
          <w:b/>
          <w:color w:val="auto"/>
          <w:sz w:val="33"/>
          <w:highlight w:val="none"/>
        </w:rPr>
      </w:pPr>
    </w:p>
    <w:p w14:paraId="52A5CCF7">
      <w:pPr>
        <w:pStyle w:val="4"/>
        <w:bidi w:val="0"/>
        <w:rPr>
          <w:color w:val="auto"/>
          <w:highlight w:val="none"/>
        </w:rPr>
      </w:pPr>
      <w:r>
        <w:rPr>
          <w:rFonts w:hint="eastAsia"/>
          <w:color w:val="auto"/>
          <w:highlight w:val="none"/>
        </w:rPr>
        <w:t>1.</w:t>
      </w:r>
      <w:r>
        <w:rPr>
          <w:color w:val="auto"/>
          <w:highlight w:val="none"/>
        </w:rPr>
        <w:t>供应商</w:t>
      </w:r>
      <w:r>
        <w:rPr>
          <w:rFonts w:hint="eastAsia"/>
          <w:color w:val="auto"/>
          <w:highlight w:val="none"/>
        </w:rPr>
        <w:t>2021</w:t>
      </w:r>
      <w:r>
        <w:rPr>
          <w:color w:val="auto"/>
          <w:highlight w:val="none"/>
        </w:rPr>
        <w:t>年</w:t>
      </w:r>
      <w:r>
        <w:rPr>
          <w:rFonts w:hint="eastAsia"/>
          <w:color w:val="auto"/>
          <w:highlight w:val="none"/>
        </w:rPr>
        <w:t>3月1日</w:t>
      </w:r>
      <w:r>
        <w:rPr>
          <w:color w:val="auto"/>
          <w:highlight w:val="none"/>
        </w:rPr>
        <w:t>以来具有</w:t>
      </w:r>
      <w:r>
        <w:rPr>
          <w:rFonts w:hint="eastAsia"/>
          <w:color w:val="auto"/>
          <w:highlight w:val="none"/>
          <w:lang w:val="en-US" w:eastAsia="zh-CN"/>
        </w:rPr>
        <w:t>类似</w:t>
      </w:r>
      <w:r>
        <w:rPr>
          <w:color w:val="auto"/>
          <w:highlight w:val="none"/>
        </w:rPr>
        <w:t>项目业绩的相关证明材料（如有，请提供）</w:t>
      </w:r>
    </w:p>
    <w:p w14:paraId="58751F28">
      <w:pPr>
        <w:bidi w:val="0"/>
        <w:rPr>
          <w:color w:val="auto"/>
          <w:highlight w:val="none"/>
        </w:rPr>
      </w:pPr>
    </w:p>
    <w:p w14:paraId="0D3C162F">
      <w:pPr>
        <w:pStyle w:val="13"/>
        <w:ind w:firstLine="640"/>
        <w:rPr>
          <w:b/>
          <w:color w:val="auto"/>
          <w:sz w:val="32"/>
          <w:highlight w:val="none"/>
        </w:rPr>
      </w:pPr>
    </w:p>
    <w:p w14:paraId="153465C0">
      <w:pPr>
        <w:pStyle w:val="13"/>
        <w:ind w:firstLine="640"/>
        <w:rPr>
          <w:b/>
          <w:color w:val="auto"/>
          <w:sz w:val="32"/>
          <w:highlight w:val="none"/>
        </w:rPr>
      </w:pPr>
    </w:p>
    <w:p w14:paraId="43EC16B4">
      <w:pPr>
        <w:pStyle w:val="13"/>
        <w:ind w:firstLine="640"/>
        <w:rPr>
          <w:b/>
          <w:color w:val="auto"/>
          <w:sz w:val="32"/>
          <w:highlight w:val="none"/>
        </w:rPr>
      </w:pPr>
    </w:p>
    <w:p w14:paraId="360FA946">
      <w:pPr>
        <w:pStyle w:val="13"/>
        <w:ind w:firstLine="640"/>
        <w:rPr>
          <w:b/>
          <w:color w:val="auto"/>
          <w:sz w:val="32"/>
          <w:highlight w:val="none"/>
        </w:rPr>
      </w:pPr>
      <w:bookmarkStart w:id="188" w:name="_GoBack"/>
    </w:p>
    <w:p w14:paraId="7F6D2891">
      <w:pPr>
        <w:pStyle w:val="13"/>
        <w:ind w:firstLine="640"/>
        <w:rPr>
          <w:b/>
          <w:color w:val="auto"/>
          <w:sz w:val="32"/>
          <w:highlight w:val="none"/>
        </w:rPr>
      </w:pPr>
    </w:p>
    <w:bookmarkEnd w:id="188"/>
    <w:p w14:paraId="67298223">
      <w:pPr>
        <w:pStyle w:val="13"/>
        <w:ind w:firstLine="640"/>
        <w:rPr>
          <w:b/>
          <w:color w:val="auto"/>
          <w:sz w:val="32"/>
          <w:highlight w:val="none"/>
        </w:rPr>
      </w:pPr>
    </w:p>
    <w:p w14:paraId="4DF8B461">
      <w:pPr>
        <w:pStyle w:val="13"/>
        <w:ind w:firstLine="640"/>
        <w:rPr>
          <w:b/>
          <w:color w:val="auto"/>
          <w:sz w:val="32"/>
          <w:highlight w:val="none"/>
        </w:rPr>
      </w:pPr>
    </w:p>
    <w:p w14:paraId="679B774A">
      <w:pPr>
        <w:pStyle w:val="13"/>
        <w:ind w:firstLine="640"/>
        <w:rPr>
          <w:b/>
          <w:color w:val="auto"/>
          <w:sz w:val="32"/>
          <w:highlight w:val="none"/>
        </w:rPr>
      </w:pPr>
    </w:p>
    <w:p w14:paraId="2C39737B">
      <w:pPr>
        <w:pStyle w:val="13"/>
        <w:spacing w:before="6"/>
        <w:ind w:firstLine="640"/>
        <w:rPr>
          <w:b/>
          <w:color w:val="auto"/>
          <w:sz w:val="32"/>
          <w:highlight w:val="none"/>
        </w:rPr>
      </w:pPr>
    </w:p>
    <w:p w14:paraId="3718BAEF">
      <w:pPr>
        <w:pStyle w:val="4"/>
        <w:bidi w:val="0"/>
        <w:rPr>
          <w:color w:val="auto"/>
          <w:highlight w:val="none"/>
        </w:rPr>
      </w:pPr>
      <w:r>
        <w:rPr>
          <w:rFonts w:hint="eastAsia"/>
          <w:color w:val="auto"/>
          <w:highlight w:val="none"/>
          <w:lang w:val="en-US" w:eastAsia="zh-CN"/>
        </w:rPr>
        <w:t>2</w:t>
      </w:r>
      <w:r>
        <w:rPr>
          <w:rFonts w:hint="eastAsia"/>
          <w:color w:val="auto"/>
          <w:highlight w:val="none"/>
        </w:rPr>
        <w:t>.</w:t>
      </w:r>
      <w:r>
        <w:rPr>
          <w:color w:val="auto"/>
          <w:highlight w:val="none"/>
        </w:rPr>
        <w:t>供应商可结合本项目的评审办法视自身情况自行提交相关证明材料（如有，请提供）</w:t>
      </w:r>
    </w:p>
    <w:sectPr>
      <w:pgSz w:w="11911" w:h="16849"/>
      <w:pgMar w:top="1417" w:right="1417" w:bottom="1417" w:left="1417"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彩虹粗仿宋">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KSOF6B657194">
    <w:panose1 w:val="02020500000000000000"/>
    <w:charset w:val="88"/>
    <w:family w:val="auto"/>
    <w:pitch w:val="default"/>
    <w:sig w:usb0="00000001" w:usb1="00000000"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852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0820">
    <w:pPr>
      <w:spacing w:line="178"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CE7FAC">
                          <w:pPr>
                            <w:pStyle w:val="1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14:paraId="5CCE7FAC">
                    <w:pPr>
                      <w:pStyle w:val="1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5F70">
    <w:pPr>
      <w:spacing w:line="178" w:lineRule="auto"/>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775A7E">
                          <w:pPr>
                            <w:pStyle w:val="1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28775A7E">
                    <w:pPr>
                      <w:pStyle w:val="1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069F">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10095230</wp:posOffset>
              </wp:positionV>
              <wp:extent cx="204470" cy="152400"/>
              <wp:effectExtent l="0" t="0" r="0" b="0"/>
              <wp:wrapNone/>
              <wp:docPr id="14" name="Textbox 6"/>
              <wp:cNvGraphicFramePr/>
              <a:graphic xmlns:a="http://schemas.openxmlformats.org/drawingml/2006/main">
                <a:graphicData uri="http://schemas.microsoft.com/office/word/2010/wordprocessingShape">
                  <wps:wsp>
                    <wps:cNvSpPr txBox="1"/>
                    <wps:spPr>
                      <a:xfrm>
                        <a:off x="0" y="0"/>
                        <a:ext cx="204470" cy="152400"/>
                      </a:xfrm>
                      <a:prstGeom prst="rect">
                        <a:avLst/>
                      </a:prstGeom>
                      <a:noFill/>
                      <a:ln>
                        <a:noFill/>
                      </a:ln>
                      <a:effectLst/>
                    </wps:spPr>
                    <wps:txbx>
                      <w:txbxContent>
                        <w:p w14:paraId="723ADB03">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290.15pt;margin-top:794.9pt;height:12pt;width:16.1pt;mso-position-horizontal-relative:page;mso-position-vertical-relative:page;z-index:-251657216;mso-width-relative:page;mso-height-relative:page;" filled="f" stroked="f" coordsize="21600,21600" o:gfxdata="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0WbT2wAAAA0BAAAPAAAAAAAAAAEAIAAAACIAAABkcnMvZG93&#10;bnJldi54bWxQSwECFAAUAAAACACHTuJAQYrthMQBAAClAwAADgAAAAAAAAABACAAAAAqAQAAZHJz&#10;L2Uyb0RvYy54bWxQSwUGAAAAAAYABgBZAQAAYAUAAAAA&#10;">
              <v:fill on="f" focussize="0,0"/>
              <v:stroke on="f"/>
              <v:imagedata o:title=""/>
              <o:lock v:ext="edit" aspectratio="f"/>
              <v:textbox inset="0mm,0mm,0mm,0mm">
                <w:txbxContent>
                  <w:p w14:paraId="723ADB03">
                    <w:pPr>
                      <w:spacing w:before="12"/>
                      <w:ind w:left="60"/>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D957">
    <w:pPr>
      <w:pStyle w:val="13"/>
      <w:spacing w:line="14" w:lineRule="auto"/>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B942D9">
                          <w:pPr>
                            <w:pStyle w:val="17"/>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QzT+IBAADNAwAADgAAAGRycy9lMm9Eb2MueG1srVNNrtMwEN4jcQfL&#10;e5q0Q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r5acOWHpxi/fv11+/Lr8/Mqe&#10;J336ECsquwtUiMMrP9DWzPFIwUR7aMGmPxFilCd1z1d11YBMpkPr1XpdUkpSbnYIv7g/HiDiG+Ut&#10;S0bNga4vqypO7yKOpXNJ6ub8rTYmX6FxfwUIc4yovAPT6cRknDhZOOyHid7eN2diR6+CunYevnDW&#10;007U3NET4My8dSR5Wp/ZgNnYz4Zwkg7WHDkbzdc4rtkxgD50hLvMVGJ4eUSaO9NJY4y9SYbk0C1n&#10;QaaNTGv0p5+r7l/h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UoQzT+IBAADNAwAADgAA&#10;AAAAAAABACAAAAAeAQAAZHJzL2Uyb0RvYy54bWxQSwUGAAAAAAYABgBZAQAAcgUAAAAA&#10;">
              <v:fill on="f" focussize="0,0"/>
              <v:stroke on="f"/>
              <v:imagedata o:title=""/>
              <o:lock v:ext="edit" aspectratio="f"/>
              <v:textbox inset="0mm,0mm,0mm,0mm" style="mso-fit-shape-to-text:t;">
                <w:txbxContent>
                  <w:p w14:paraId="21B942D9">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8E92">
    <w:pPr>
      <w:pStyle w:val="13"/>
      <w:spacing w:line="14" w:lineRule="auto"/>
      <w:rPr>
        <w:sz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559004">
                          <w:pPr>
                            <w:pStyle w:val="17"/>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G3pmTOAQAAqAMAAA4AAAAAAAAAAQAgAAAAHgEAAGRycy9l&#10;Mm9Eb2MueG1sUEsFBgAAAAAGAAYAWQEAAF4FAAAAAA==&#10;">
              <v:fill on="f" focussize="0,0"/>
              <v:stroke on="f"/>
              <v:imagedata o:title=""/>
              <o:lock v:ext="edit" aspectratio="f"/>
              <v:textbox inset="0mm,0mm,0mm,0mm" style="mso-fit-shape-to-text:t;">
                <w:txbxContent>
                  <w:p w14:paraId="2B559004">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8D21">
    <w:pPr>
      <w:spacing w:line="178" w:lineRule="auto"/>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0648F2">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3F0648F2">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B256B">
    <w:pPr>
      <w:spacing w:line="178" w:lineRule="auto"/>
      <w:ind w:left="40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A223BE">
                          <w:pPr>
                            <w:pStyle w:val="17"/>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L+iM4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ijMnLD345fu3y49fl59f2fJ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My/ojOAQAAqAMAAA4AAAAAAAAAAQAgAAAAHgEAAGRycy9l&#10;Mm9Eb2MueG1sUEsFBgAAAAAGAAYAWQEAAF4FAAAAAA==&#10;">
              <v:fill on="f" focussize="0,0"/>
              <v:stroke on="f"/>
              <v:imagedata o:title=""/>
              <o:lock v:ext="edit" aspectratio="f"/>
              <v:textbox inset="0mm,0mm,0mm,0mm" style="mso-fit-shape-to-text:t;">
                <w:txbxContent>
                  <w:p w14:paraId="2AA223BE">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3E25">
    <w:pPr>
      <w:spacing w:line="178" w:lineRule="auto"/>
      <w:ind w:left="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82160F">
                          <w:pPr>
                            <w:pStyle w:val="17"/>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oGMc4BAACpAwAADgAAAGRycy9lMm9Eb2MueG1srVNLbtswEN0XyB0I&#10;7mPJBlo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rFTXhLiWUGX/z8/dv5x6/zz69k&#10;WSWBeg811j15rIzDnRuweI4DBhPvQQaTvsiIYB7lPV3kFUMkPF2qVlVVYopjbnYQv3i+7gPE98IZ&#10;koyGBny/LCs7PkIcS+eS1M26e6V1fkNt/wog5hgReQmm24nJOHGy4rAbJno7156QXY+L0FCLe0+J&#10;frCoc9qZ2QizsZuNgw9q3+Ggyzwl+NtDxJHypKnDCIsMk4MvmLlO25ZW5E8/Vz3/Y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k6BjHOAQAAqQMAAA4AAAAAAAAAAQAgAAAAHgEAAGRycy9l&#10;Mm9Eb2MueG1sUEsFBgAAAAAGAAYAWQEAAF4FAAAAAA==&#10;">
              <v:fill on="f" focussize="0,0"/>
              <v:stroke on="f"/>
              <v:imagedata o:title=""/>
              <o:lock v:ext="edit" aspectratio="f"/>
              <v:textbox inset="0mm,0mm,0mm,0mm" style="mso-fit-shape-to-text:t;">
                <w:txbxContent>
                  <w:p w14:paraId="4482160F">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AF5C">
    <w:pPr>
      <w:spacing w:line="178"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EFB364">
                          <w:pPr>
                            <w:pStyle w:val="17"/>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rD2p/OAQAAqQMAAA4AAAAAAAAAAQAgAAAAHgEAAGRycy9l&#10;Mm9Eb2MueG1sUEsFBgAAAAAGAAYAWQEAAF4FAAAAAA==&#10;">
              <v:fill on="f" focussize="0,0"/>
              <v:stroke on="f"/>
              <v:imagedata o:title=""/>
              <o:lock v:ext="edit" aspectratio="f"/>
              <v:textbox inset="0mm,0mm,0mm,0mm" style="mso-fit-shape-to-text:t;">
                <w:txbxContent>
                  <w:p w14:paraId="54EFB364">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7A5A">
    <w:pPr>
      <w:spacing w:line="178" w:lineRule="auto"/>
      <w:ind w:left="45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A090E">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643A090E">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7ADB2">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EC930">
    <w:pPr>
      <w:pStyle w:val="1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45F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192A5"/>
    <w:multiLevelType w:val="singleLevel"/>
    <w:tmpl w:val="83C192A5"/>
    <w:lvl w:ilvl="0" w:tentative="0">
      <w:start w:val="4"/>
      <w:numFmt w:val="chineseCounting"/>
      <w:suff w:val="nothing"/>
      <w:lvlText w:val="%1、"/>
      <w:lvlJc w:val="left"/>
      <w:rPr>
        <w:rFonts w:hint="eastAsia"/>
      </w:rPr>
    </w:lvl>
  </w:abstractNum>
  <w:abstractNum w:abstractNumId="1">
    <w:nsid w:val="D5F12F34"/>
    <w:multiLevelType w:val="multilevel"/>
    <w:tmpl w:val="D5F12F34"/>
    <w:lvl w:ilvl="0" w:tentative="0">
      <w:start w:val="1"/>
      <w:numFmt w:val="decimal"/>
      <w:lvlText w:val="%1."/>
      <w:lvlJc w:val="left"/>
      <w:pPr>
        <w:ind w:left="943" w:hanging="284"/>
      </w:pPr>
      <w:rPr>
        <w:rFonts w:hint="default"/>
        <w:spacing w:val="-2"/>
        <w:w w:val="92"/>
        <w:lang w:val="en-US" w:eastAsia="zh-CN" w:bidi="ar-SA"/>
      </w:rPr>
    </w:lvl>
    <w:lvl w:ilvl="1" w:tentative="0">
      <w:start w:val="1"/>
      <w:numFmt w:val="decimal"/>
      <w:lvlText w:val="%2."/>
      <w:lvlJc w:val="left"/>
      <w:pPr>
        <w:ind w:left="660" w:hanging="241"/>
      </w:pPr>
      <w:rPr>
        <w:rFonts w:hint="default"/>
        <w:spacing w:val="0"/>
        <w:w w:val="91"/>
        <w:lang w:val="en-US" w:eastAsia="zh-CN" w:bidi="ar-SA"/>
      </w:rPr>
    </w:lvl>
    <w:lvl w:ilvl="2" w:tentative="0">
      <w:start w:val="0"/>
      <w:numFmt w:val="bullet"/>
      <w:lvlText w:val="•"/>
      <w:lvlJc w:val="left"/>
      <w:pPr>
        <w:ind w:left="1500" w:hanging="241"/>
      </w:pPr>
      <w:rPr>
        <w:rFonts w:hint="default"/>
        <w:lang w:val="en-US" w:eastAsia="zh-CN" w:bidi="ar-SA"/>
      </w:rPr>
    </w:lvl>
    <w:lvl w:ilvl="3" w:tentative="0">
      <w:start w:val="0"/>
      <w:numFmt w:val="bullet"/>
      <w:lvlText w:val="•"/>
      <w:lvlJc w:val="left"/>
      <w:pPr>
        <w:ind w:left="1775" w:hanging="241"/>
      </w:pPr>
      <w:rPr>
        <w:rFonts w:hint="default"/>
        <w:lang w:val="en-US" w:eastAsia="zh-CN" w:bidi="ar-SA"/>
      </w:rPr>
    </w:lvl>
    <w:lvl w:ilvl="4" w:tentative="0">
      <w:start w:val="0"/>
      <w:numFmt w:val="bullet"/>
      <w:lvlText w:val="•"/>
      <w:lvlJc w:val="left"/>
      <w:pPr>
        <w:ind w:left="2051" w:hanging="241"/>
      </w:pPr>
      <w:rPr>
        <w:rFonts w:hint="default"/>
        <w:lang w:val="en-US" w:eastAsia="zh-CN" w:bidi="ar-SA"/>
      </w:rPr>
    </w:lvl>
    <w:lvl w:ilvl="5" w:tentative="0">
      <w:start w:val="0"/>
      <w:numFmt w:val="bullet"/>
      <w:lvlText w:val="•"/>
      <w:lvlJc w:val="left"/>
      <w:pPr>
        <w:ind w:left="2326" w:hanging="241"/>
      </w:pPr>
      <w:rPr>
        <w:rFonts w:hint="default"/>
        <w:lang w:val="en-US" w:eastAsia="zh-CN" w:bidi="ar-SA"/>
      </w:rPr>
    </w:lvl>
    <w:lvl w:ilvl="6" w:tentative="0">
      <w:start w:val="0"/>
      <w:numFmt w:val="bullet"/>
      <w:lvlText w:val="•"/>
      <w:lvlJc w:val="left"/>
      <w:pPr>
        <w:ind w:left="2602" w:hanging="241"/>
      </w:pPr>
      <w:rPr>
        <w:rFonts w:hint="default"/>
        <w:lang w:val="en-US" w:eastAsia="zh-CN" w:bidi="ar-SA"/>
      </w:rPr>
    </w:lvl>
    <w:lvl w:ilvl="7" w:tentative="0">
      <w:start w:val="0"/>
      <w:numFmt w:val="bullet"/>
      <w:lvlText w:val="•"/>
      <w:lvlJc w:val="left"/>
      <w:pPr>
        <w:ind w:left="2878" w:hanging="241"/>
      </w:pPr>
      <w:rPr>
        <w:rFonts w:hint="default"/>
        <w:lang w:val="en-US" w:eastAsia="zh-CN" w:bidi="ar-SA"/>
      </w:rPr>
    </w:lvl>
    <w:lvl w:ilvl="8" w:tentative="0">
      <w:start w:val="0"/>
      <w:numFmt w:val="bullet"/>
      <w:lvlText w:val="•"/>
      <w:lvlJc w:val="left"/>
      <w:pPr>
        <w:ind w:left="3153" w:hanging="241"/>
      </w:pPr>
      <w:rPr>
        <w:rFonts w:hint="default"/>
        <w:lang w:val="en-US" w:eastAsia="zh-CN" w:bidi="ar-SA"/>
      </w:rPr>
    </w:lvl>
  </w:abstractNum>
  <w:abstractNum w:abstractNumId="2">
    <w:nsid w:val="DAD3A854"/>
    <w:multiLevelType w:val="multilevel"/>
    <w:tmpl w:val="DAD3A854"/>
    <w:lvl w:ilvl="0" w:tentative="0">
      <w:start w:val="0"/>
      <w:numFmt w:val="bullet"/>
      <w:lvlText w:val="□"/>
      <w:lvlJc w:val="left"/>
      <w:pPr>
        <w:ind w:left="119" w:hanging="28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716" w:hanging="281"/>
      </w:pPr>
      <w:rPr>
        <w:rFonts w:hint="default"/>
        <w:lang w:val="en-US" w:eastAsia="zh-CN" w:bidi="ar-SA"/>
      </w:rPr>
    </w:lvl>
    <w:lvl w:ilvl="2" w:tentative="0">
      <w:start w:val="0"/>
      <w:numFmt w:val="bullet"/>
      <w:lvlText w:val="•"/>
      <w:lvlJc w:val="left"/>
      <w:pPr>
        <w:ind w:left="1313" w:hanging="281"/>
      </w:pPr>
      <w:rPr>
        <w:rFonts w:hint="default"/>
        <w:lang w:val="en-US" w:eastAsia="zh-CN" w:bidi="ar-SA"/>
      </w:rPr>
    </w:lvl>
    <w:lvl w:ilvl="3" w:tentative="0">
      <w:start w:val="0"/>
      <w:numFmt w:val="bullet"/>
      <w:lvlText w:val="•"/>
      <w:lvlJc w:val="left"/>
      <w:pPr>
        <w:ind w:left="1909" w:hanging="281"/>
      </w:pPr>
      <w:rPr>
        <w:rFonts w:hint="default"/>
        <w:lang w:val="en-US" w:eastAsia="zh-CN" w:bidi="ar-SA"/>
      </w:rPr>
    </w:lvl>
    <w:lvl w:ilvl="4" w:tentative="0">
      <w:start w:val="0"/>
      <w:numFmt w:val="bullet"/>
      <w:lvlText w:val="•"/>
      <w:lvlJc w:val="left"/>
      <w:pPr>
        <w:ind w:left="2506" w:hanging="281"/>
      </w:pPr>
      <w:rPr>
        <w:rFonts w:hint="default"/>
        <w:lang w:val="en-US" w:eastAsia="zh-CN" w:bidi="ar-SA"/>
      </w:rPr>
    </w:lvl>
    <w:lvl w:ilvl="5" w:tentative="0">
      <w:start w:val="0"/>
      <w:numFmt w:val="bullet"/>
      <w:lvlText w:val="•"/>
      <w:lvlJc w:val="left"/>
      <w:pPr>
        <w:ind w:left="3102" w:hanging="281"/>
      </w:pPr>
      <w:rPr>
        <w:rFonts w:hint="default"/>
        <w:lang w:val="en-US" w:eastAsia="zh-CN" w:bidi="ar-SA"/>
      </w:rPr>
    </w:lvl>
    <w:lvl w:ilvl="6" w:tentative="0">
      <w:start w:val="0"/>
      <w:numFmt w:val="bullet"/>
      <w:lvlText w:val="•"/>
      <w:lvlJc w:val="left"/>
      <w:pPr>
        <w:ind w:left="3699" w:hanging="281"/>
      </w:pPr>
      <w:rPr>
        <w:rFonts w:hint="default"/>
        <w:lang w:val="en-US" w:eastAsia="zh-CN" w:bidi="ar-SA"/>
      </w:rPr>
    </w:lvl>
    <w:lvl w:ilvl="7" w:tentative="0">
      <w:start w:val="0"/>
      <w:numFmt w:val="bullet"/>
      <w:lvlText w:val="•"/>
      <w:lvlJc w:val="left"/>
      <w:pPr>
        <w:ind w:left="4295" w:hanging="281"/>
      </w:pPr>
      <w:rPr>
        <w:rFonts w:hint="default"/>
        <w:lang w:val="en-US" w:eastAsia="zh-CN" w:bidi="ar-SA"/>
      </w:rPr>
    </w:lvl>
    <w:lvl w:ilvl="8" w:tentative="0">
      <w:start w:val="0"/>
      <w:numFmt w:val="bullet"/>
      <w:lvlText w:val="•"/>
      <w:lvlJc w:val="left"/>
      <w:pPr>
        <w:ind w:left="4892" w:hanging="281"/>
      </w:pPr>
      <w:rPr>
        <w:rFonts w:hint="default"/>
        <w:lang w:val="en-US" w:eastAsia="zh-CN" w:bidi="ar-SA"/>
      </w:rPr>
    </w:lvl>
  </w:abstractNum>
  <w:abstractNum w:abstractNumId="3">
    <w:nsid w:val="00000003"/>
    <w:multiLevelType w:val="multilevel"/>
    <w:tmpl w:val="00000003"/>
    <w:lvl w:ilvl="0" w:tentative="0">
      <w:start w:val="1"/>
      <w:numFmt w:val="decimal"/>
      <w:lvlText w:val="（%1）"/>
      <w:lvlJc w:val="left"/>
      <w:pPr>
        <w:ind w:left="424" w:hanging="601"/>
      </w:pPr>
      <w:rPr>
        <w:rFonts w:hint="default" w:ascii="宋体" w:hAnsi="宋体" w:eastAsia="宋体" w:cs="宋体"/>
        <w:spacing w:val="-8"/>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4">
    <w:nsid w:val="00000006"/>
    <w:multiLevelType w:val="multilevel"/>
    <w:tmpl w:val="00000006"/>
    <w:lvl w:ilvl="0" w:tentative="0">
      <w:start w:val="1"/>
      <w:numFmt w:val="decimal"/>
      <w:lvlText w:val="%1."/>
      <w:lvlJc w:val="left"/>
      <w:rPr>
        <w:rFonts w:ascii="MingLiU" w:hAnsi="MingLiU" w:eastAsia="MingLiU" w:cs="MingLiU"/>
        <w:b w:val="0"/>
        <w:bCs w:val="0"/>
        <w:i w:val="0"/>
        <w:iCs w:val="0"/>
        <w:smallCaps w:val="0"/>
        <w:color w:val="000000"/>
        <w:spacing w:val="0"/>
        <w:w w:val="100"/>
        <w:position w:val="0"/>
        <w:sz w:val="22"/>
        <w:szCs w:val="22"/>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AC2D86A"/>
    <w:multiLevelType w:val="singleLevel"/>
    <w:tmpl w:val="6AC2D86A"/>
    <w:lvl w:ilvl="0" w:tentative="0">
      <w:start w:val="5"/>
      <w:numFmt w:val="chineseCounting"/>
      <w:suff w:val="space"/>
      <w:lvlText w:val="第%1章"/>
      <w:lvlJc w:val="left"/>
      <w:rPr>
        <w:rFonts w:hint="eastAsia"/>
      </w:rPr>
    </w:lvl>
  </w:abstractNum>
  <w:abstractNum w:abstractNumId="6">
    <w:nsid w:val="77633216"/>
    <w:multiLevelType w:val="multilevel"/>
    <w:tmpl w:val="77633216"/>
    <w:lvl w:ilvl="0" w:tentative="0">
      <w:start w:val="0"/>
      <w:numFmt w:val="bullet"/>
      <w:lvlText w:val="□"/>
      <w:lvlJc w:val="left"/>
      <w:pPr>
        <w:ind w:left="119" w:hanging="28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716" w:hanging="281"/>
      </w:pPr>
      <w:rPr>
        <w:rFonts w:hint="default"/>
        <w:lang w:val="en-US" w:eastAsia="zh-CN" w:bidi="ar-SA"/>
      </w:rPr>
    </w:lvl>
    <w:lvl w:ilvl="2" w:tentative="0">
      <w:start w:val="0"/>
      <w:numFmt w:val="bullet"/>
      <w:lvlText w:val="•"/>
      <w:lvlJc w:val="left"/>
      <w:pPr>
        <w:ind w:left="1313" w:hanging="281"/>
      </w:pPr>
      <w:rPr>
        <w:rFonts w:hint="default"/>
        <w:lang w:val="en-US" w:eastAsia="zh-CN" w:bidi="ar-SA"/>
      </w:rPr>
    </w:lvl>
    <w:lvl w:ilvl="3" w:tentative="0">
      <w:start w:val="0"/>
      <w:numFmt w:val="bullet"/>
      <w:lvlText w:val="•"/>
      <w:lvlJc w:val="left"/>
      <w:pPr>
        <w:ind w:left="1909" w:hanging="281"/>
      </w:pPr>
      <w:rPr>
        <w:rFonts w:hint="default"/>
        <w:lang w:val="en-US" w:eastAsia="zh-CN" w:bidi="ar-SA"/>
      </w:rPr>
    </w:lvl>
    <w:lvl w:ilvl="4" w:tentative="0">
      <w:start w:val="0"/>
      <w:numFmt w:val="bullet"/>
      <w:lvlText w:val="•"/>
      <w:lvlJc w:val="left"/>
      <w:pPr>
        <w:ind w:left="2506" w:hanging="281"/>
      </w:pPr>
      <w:rPr>
        <w:rFonts w:hint="default"/>
        <w:lang w:val="en-US" w:eastAsia="zh-CN" w:bidi="ar-SA"/>
      </w:rPr>
    </w:lvl>
    <w:lvl w:ilvl="5" w:tentative="0">
      <w:start w:val="0"/>
      <w:numFmt w:val="bullet"/>
      <w:lvlText w:val="•"/>
      <w:lvlJc w:val="left"/>
      <w:pPr>
        <w:ind w:left="3102" w:hanging="281"/>
      </w:pPr>
      <w:rPr>
        <w:rFonts w:hint="default"/>
        <w:lang w:val="en-US" w:eastAsia="zh-CN" w:bidi="ar-SA"/>
      </w:rPr>
    </w:lvl>
    <w:lvl w:ilvl="6" w:tentative="0">
      <w:start w:val="0"/>
      <w:numFmt w:val="bullet"/>
      <w:lvlText w:val="•"/>
      <w:lvlJc w:val="left"/>
      <w:pPr>
        <w:ind w:left="3699" w:hanging="281"/>
      </w:pPr>
      <w:rPr>
        <w:rFonts w:hint="default"/>
        <w:lang w:val="en-US" w:eastAsia="zh-CN" w:bidi="ar-SA"/>
      </w:rPr>
    </w:lvl>
    <w:lvl w:ilvl="7" w:tentative="0">
      <w:start w:val="0"/>
      <w:numFmt w:val="bullet"/>
      <w:lvlText w:val="•"/>
      <w:lvlJc w:val="left"/>
      <w:pPr>
        <w:ind w:left="4295" w:hanging="281"/>
      </w:pPr>
      <w:rPr>
        <w:rFonts w:hint="default"/>
        <w:lang w:val="en-US" w:eastAsia="zh-CN" w:bidi="ar-SA"/>
      </w:rPr>
    </w:lvl>
    <w:lvl w:ilvl="8" w:tentative="0">
      <w:start w:val="0"/>
      <w:numFmt w:val="bullet"/>
      <w:lvlText w:val="•"/>
      <w:lvlJc w:val="left"/>
      <w:pPr>
        <w:ind w:left="4892" w:hanging="281"/>
      </w:pPr>
      <w:rPr>
        <w:rFonts w:hint="default"/>
        <w:lang w:val="en-US" w:eastAsia="zh-CN" w:bidi="ar-SA"/>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M2RmMjQ5ZjhhZDg1YzlkYTgwYzQ5ODIzZjI0NzgifQ=="/>
  </w:docVars>
  <w:rsids>
    <w:rsidRoot w:val="00F72E13"/>
    <w:rsid w:val="00006025"/>
    <w:rsid w:val="00013573"/>
    <w:rsid w:val="000165A1"/>
    <w:rsid w:val="00017CD4"/>
    <w:rsid w:val="0002175C"/>
    <w:rsid w:val="00023C7F"/>
    <w:rsid w:val="00030CBA"/>
    <w:rsid w:val="0003205C"/>
    <w:rsid w:val="00033FA4"/>
    <w:rsid w:val="00036556"/>
    <w:rsid w:val="00041F4A"/>
    <w:rsid w:val="00042C68"/>
    <w:rsid w:val="00045E7E"/>
    <w:rsid w:val="00060251"/>
    <w:rsid w:val="000608F8"/>
    <w:rsid w:val="00061CA9"/>
    <w:rsid w:val="00072222"/>
    <w:rsid w:val="00077609"/>
    <w:rsid w:val="000817D7"/>
    <w:rsid w:val="00084677"/>
    <w:rsid w:val="00086B86"/>
    <w:rsid w:val="00090938"/>
    <w:rsid w:val="00091353"/>
    <w:rsid w:val="00094C95"/>
    <w:rsid w:val="000B1392"/>
    <w:rsid w:val="000E0151"/>
    <w:rsid w:val="000E51DB"/>
    <w:rsid w:val="000F026D"/>
    <w:rsid w:val="00103123"/>
    <w:rsid w:val="00104CA7"/>
    <w:rsid w:val="001061D0"/>
    <w:rsid w:val="00111634"/>
    <w:rsid w:val="00111804"/>
    <w:rsid w:val="00113F6F"/>
    <w:rsid w:val="001436D2"/>
    <w:rsid w:val="00143A24"/>
    <w:rsid w:val="00147933"/>
    <w:rsid w:val="00147CED"/>
    <w:rsid w:val="00150B21"/>
    <w:rsid w:val="00155C56"/>
    <w:rsid w:val="00157175"/>
    <w:rsid w:val="00165466"/>
    <w:rsid w:val="00165BDB"/>
    <w:rsid w:val="0016662C"/>
    <w:rsid w:val="00176E66"/>
    <w:rsid w:val="001824A4"/>
    <w:rsid w:val="00184D22"/>
    <w:rsid w:val="00197FED"/>
    <w:rsid w:val="001A3758"/>
    <w:rsid w:val="001B2124"/>
    <w:rsid w:val="001B53FB"/>
    <w:rsid w:val="001C3B9E"/>
    <w:rsid w:val="001C53B1"/>
    <w:rsid w:val="001C5EAB"/>
    <w:rsid w:val="001E55EC"/>
    <w:rsid w:val="001E7300"/>
    <w:rsid w:val="001F0CC0"/>
    <w:rsid w:val="001F5DB0"/>
    <w:rsid w:val="001F5E8B"/>
    <w:rsid w:val="002029B2"/>
    <w:rsid w:val="00203329"/>
    <w:rsid w:val="002035C4"/>
    <w:rsid w:val="00207C42"/>
    <w:rsid w:val="002140BD"/>
    <w:rsid w:val="002219C4"/>
    <w:rsid w:val="002232CA"/>
    <w:rsid w:val="00224DEB"/>
    <w:rsid w:val="00240B0E"/>
    <w:rsid w:val="00240C11"/>
    <w:rsid w:val="0024309A"/>
    <w:rsid w:val="00246A69"/>
    <w:rsid w:val="00250505"/>
    <w:rsid w:val="00256ACB"/>
    <w:rsid w:val="0027129E"/>
    <w:rsid w:val="002736D8"/>
    <w:rsid w:val="002752BD"/>
    <w:rsid w:val="00282D0D"/>
    <w:rsid w:val="002850B6"/>
    <w:rsid w:val="00285A99"/>
    <w:rsid w:val="002861D1"/>
    <w:rsid w:val="002875D4"/>
    <w:rsid w:val="00295F09"/>
    <w:rsid w:val="002A2122"/>
    <w:rsid w:val="002A545A"/>
    <w:rsid w:val="002A5648"/>
    <w:rsid w:val="002A5BEC"/>
    <w:rsid w:val="002A62A5"/>
    <w:rsid w:val="002B1E09"/>
    <w:rsid w:val="002B354C"/>
    <w:rsid w:val="002B3AE8"/>
    <w:rsid w:val="002B5E1B"/>
    <w:rsid w:val="002B6E5C"/>
    <w:rsid w:val="002B741D"/>
    <w:rsid w:val="002C0248"/>
    <w:rsid w:val="002C5246"/>
    <w:rsid w:val="002D431D"/>
    <w:rsid w:val="002E2E49"/>
    <w:rsid w:val="002E3680"/>
    <w:rsid w:val="002E6795"/>
    <w:rsid w:val="002F2637"/>
    <w:rsid w:val="002F4BF9"/>
    <w:rsid w:val="002F71C2"/>
    <w:rsid w:val="00301225"/>
    <w:rsid w:val="00310167"/>
    <w:rsid w:val="003142E0"/>
    <w:rsid w:val="003145FE"/>
    <w:rsid w:val="0031491D"/>
    <w:rsid w:val="00316F5E"/>
    <w:rsid w:val="003175AA"/>
    <w:rsid w:val="0032551D"/>
    <w:rsid w:val="0032607F"/>
    <w:rsid w:val="00327DA3"/>
    <w:rsid w:val="003315EC"/>
    <w:rsid w:val="00333847"/>
    <w:rsid w:val="0033464C"/>
    <w:rsid w:val="00341561"/>
    <w:rsid w:val="00344356"/>
    <w:rsid w:val="0034513A"/>
    <w:rsid w:val="00354CF2"/>
    <w:rsid w:val="00357894"/>
    <w:rsid w:val="003579BA"/>
    <w:rsid w:val="003614B6"/>
    <w:rsid w:val="0037416A"/>
    <w:rsid w:val="00375F8C"/>
    <w:rsid w:val="003807AF"/>
    <w:rsid w:val="00380C96"/>
    <w:rsid w:val="0038473F"/>
    <w:rsid w:val="0038751F"/>
    <w:rsid w:val="0039343B"/>
    <w:rsid w:val="003958EF"/>
    <w:rsid w:val="00396EDF"/>
    <w:rsid w:val="003A51CE"/>
    <w:rsid w:val="003B3840"/>
    <w:rsid w:val="003B60D0"/>
    <w:rsid w:val="003C0B3E"/>
    <w:rsid w:val="003C1A7F"/>
    <w:rsid w:val="003C749B"/>
    <w:rsid w:val="003D2308"/>
    <w:rsid w:val="003E1A84"/>
    <w:rsid w:val="003E2653"/>
    <w:rsid w:val="003F56F0"/>
    <w:rsid w:val="003F5BBA"/>
    <w:rsid w:val="003F7583"/>
    <w:rsid w:val="00406AB9"/>
    <w:rsid w:val="00411F14"/>
    <w:rsid w:val="0041327E"/>
    <w:rsid w:val="004157B1"/>
    <w:rsid w:val="00445044"/>
    <w:rsid w:val="004506E0"/>
    <w:rsid w:val="004555C7"/>
    <w:rsid w:val="00463AD3"/>
    <w:rsid w:val="00474CD4"/>
    <w:rsid w:val="0048642F"/>
    <w:rsid w:val="00487B44"/>
    <w:rsid w:val="00494661"/>
    <w:rsid w:val="0049667A"/>
    <w:rsid w:val="004A01FE"/>
    <w:rsid w:val="004B1BB1"/>
    <w:rsid w:val="004B5807"/>
    <w:rsid w:val="004B68A2"/>
    <w:rsid w:val="004C4EE6"/>
    <w:rsid w:val="004C4F8A"/>
    <w:rsid w:val="004D2C8B"/>
    <w:rsid w:val="004D4DEF"/>
    <w:rsid w:val="004E4B83"/>
    <w:rsid w:val="004E6B5D"/>
    <w:rsid w:val="004E7A7D"/>
    <w:rsid w:val="004E7BE0"/>
    <w:rsid w:val="004E7F93"/>
    <w:rsid w:val="004F0487"/>
    <w:rsid w:val="004F1E94"/>
    <w:rsid w:val="004F2BF1"/>
    <w:rsid w:val="004F65D1"/>
    <w:rsid w:val="00500534"/>
    <w:rsid w:val="00500DF3"/>
    <w:rsid w:val="0050369E"/>
    <w:rsid w:val="00503CB6"/>
    <w:rsid w:val="00503ECE"/>
    <w:rsid w:val="00516360"/>
    <w:rsid w:val="00523A16"/>
    <w:rsid w:val="00547F2D"/>
    <w:rsid w:val="0055133B"/>
    <w:rsid w:val="00552B1E"/>
    <w:rsid w:val="00556AC8"/>
    <w:rsid w:val="005571F2"/>
    <w:rsid w:val="00560101"/>
    <w:rsid w:val="00560D3B"/>
    <w:rsid w:val="00563A9C"/>
    <w:rsid w:val="00571582"/>
    <w:rsid w:val="005718B6"/>
    <w:rsid w:val="00585BDE"/>
    <w:rsid w:val="00591E63"/>
    <w:rsid w:val="00594517"/>
    <w:rsid w:val="005967B1"/>
    <w:rsid w:val="0059739E"/>
    <w:rsid w:val="005A05D3"/>
    <w:rsid w:val="005A23E6"/>
    <w:rsid w:val="005A48C7"/>
    <w:rsid w:val="005C0F05"/>
    <w:rsid w:val="005C52D0"/>
    <w:rsid w:val="005C55FA"/>
    <w:rsid w:val="005C67E3"/>
    <w:rsid w:val="005C6F96"/>
    <w:rsid w:val="005D10D6"/>
    <w:rsid w:val="005D4F4D"/>
    <w:rsid w:val="005D6D81"/>
    <w:rsid w:val="005E24F7"/>
    <w:rsid w:val="005E2968"/>
    <w:rsid w:val="005F089C"/>
    <w:rsid w:val="005F35E5"/>
    <w:rsid w:val="005F548D"/>
    <w:rsid w:val="00601D46"/>
    <w:rsid w:val="00612C07"/>
    <w:rsid w:val="00616370"/>
    <w:rsid w:val="006164BC"/>
    <w:rsid w:val="00620A5F"/>
    <w:rsid w:val="0062261A"/>
    <w:rsid w:val="0062349B"/>
    <w:rsid w:val="006257AC"/>
    <w:rsid w:val="00626A9F"/>
    <w:rsid w:val="00631FE5"/>
    <w:rsid w:val="00644B63"/>
    <w:rsid w:val="00645F5C"/>
    <w:rsid w:val="00652A72"/>
    <w:rsid w:val="0065494E"/>
    <w:rsid w:val="00656A9D"/>
    <w:rsid w:val="006747FD"/>
    <w:rsid w:val="00675280"/>
    <w:rsid w:val="00676F2F"/>
    <w:rsid w:val="00682A90"/>
    <w:rsid w:val="006874CC"/>
    <w:rsid w:val="0069133E"/>
    <w:rsid w:val="00695C18"/>
    <w:rsid w:val="006978A6"/>
    <w:rsid w:val="006B005A"/>
    <w:rsid w:val="006B6593"/>
    <w:rsid w:val="006B7CB5"/>
    <w:rsid w:val="006C14C7"/>
    <w:rsid w:val="006C150E"/>
    <w:rsid w:val="006C1B17"/>
    <w:rsid w:val="006C1DB5"/>
    <w:rsid w:val="006C6B9A"/>
    <w:rsid w:val="006D145E"/>
    <w:rsid w:val="006E5101"/>
    <w:rsid w:val="006E7591"/>
    <w:rsid w:val="006F42AF"/>
    <w:rsid w:val="006F539F"/>
    <w:rsid w:val="0070082C"/>
    <w:rsid w:val="00705BFB"/>
    <w:rsid w:val="00715DCC"/>
    <w:rsid w:val="00717F0D"/>
    <w:rsid w:val="0072523D"/>
    <w:rsid w:val="00730039"/>
    <w:rsid w:val="00731A1A"/>
    <w:rsid w:val="00731B6C"/>
    <w:rsid w:val="00734073"/>
    <w:rsid w:val="00736C8E"/>
    <w:rsid w:val="00737A2F"/>
    <w:rsid w:val="00755AC7"/>
    <w:rsid w:val="00760E3C"/>
    <w:rsid w:val="00761027"/>
    <w:rsid w:val="00765678"/>
    <w:rsid w:val="00771FA5"/>
    <w:rsid w:val="00772684"/>
    <w:rsid w:val="00774072"/>
    <w:rsid w:val="00785A1B"/>
    <w:rsid w:val="00785F2A"/>
    <w:rsid w:val="007865E3"/>
    <w:rsid w:val="00793B6C"/>
    <w:rsid w:val="00794B3F"/>
    <w:rsid w:val="00795179"/>
    <w:rsid w:val="00795C3A"/>
    <w:rsid w:val="00796125"/>
    <w:rsid w:val="007A2891"/>
    <w:rsid w:val="007A2A4D"/>
    <w:rsid w:val="007A5A7A"/>
    <w:rsid w:val="007A7D71"/>
    <w:rsid w:val="007C7BD8"/>
    <w:rsid w:val="007E105E"/>
    <w:rsid w:val="007E4F00"/>
    <w:rsid w:val="007E509D"/>
    <w:rsid w:val="007F05F1"/>
    <w:rsid w:val="007F0C68"/>
    <w:rsid w:val="007F664F"/>
    <w:rsid w:val="008049CA"/>
    <w:rsid w:val="00806657"/>
    <w:rsid w:val="00806966"/>
    <w:rsid w:val="008079A6"/>
    <w:rsid w:val="00807A31"/>
    <w:rsid w:val="008102F5"/>
    <w:rsid w:val="00814CEE"/>
    <w:rsid w:val="00823019"/>
    <w:rsid w:val="0085204B"/>
    <w:rsid w:val="0085450F"/>
    <w:rsid w:val="00854CD7"/>
    <w:rsid w:val="008605C0"/>
    <w:rsid w:val="00873B95"/>
    <w:rsid w:val="008774C3"/>
    <w:rsid w:val="00884C48"/>
    <w:rsid w:val="00891FB4"/>
    <w:rsid w:val="008B0BF4"/>
    <w:rsid w:val="008B48CA"/>
    <w:rsid w:val="008B63AA"/>
    <w:rsid w:val="008C0084"/>
    <w:rsid w:val="008D138C"/>
    <w:rsid w:val="008D1DDA"/>
    <w:rsid w:val="008D3BEA"/>
    <w:rsid w:val="008D732A"/>
    <w:rsid w:val="008F1F00"/>
    <w:rsid w:val="008F6BA8"/>
    <w:rsid w:val="008F72EF"/>
    <w:rsid w:val="00902B4B"/>
    <w:rsid w:val="009031F6"/>
    <w:rsid w:val="009043DA"/>
    <w:rsid w:val="00912585"/>
    <w:rsid w:val="0091485A"/>
    <w:rsid w:val="00917CCA"/>
    <w:rsid w:val="009210B3"/>
    <w:rsid w:val="009269C6"/>
    <w:rsid w:val="00930C19"/>
    <w:rsid w:val="0094502A"/>
    <w:rsid w:val="009455A0"/>
    <w:rsid w:val="009467F4"/>
    <w:rsid w:val="00954E3C"/>
    <w:rsid w:val="009626D6"/>
    <w:rsid w:val="00963517"/>
    <w:rsid w:val="009663FE"/>
    <w:rsid w:val="00974472"/>
    <w:rsid w:val="009756FB"/>
    <w:rsid w:val="00981FB8"/>
    <w:rsid w:val="009820C2"/>
    <w:rsid w:val="00991A4A"/>
    <w:rsid w:val="009977E3"/>
    <w:rsid w:val="009A21CF"/>
    <w:rsid w:val="009A27EC"/>
    <w:rsid w:val="009A2B38"/>
    <w:rsid w:val="009A6545"/>
    <w:rsid w:val="009A6592"/>
    <w:rsid w:val="009B69E2"/>
    <w:rsid w:val="009C16D8"/>
    <w:rsid w:val="009D032C"/>
    <w:rsid w:val="009D571E"/>
    <w:rsid w:val="009D68EE"/>
    <w:rsid w:val="009F1D89"/>
    <w:rsid w:val="009F5CCE"/>
    <w:rsid w:val="009F63E1"/>
    <w:rsid w:val="00A00DDC"/>
    <w:rsid w:val="00A01238"/>
    <w:rsid w:val="00A026F8"/>
    <w:rsid w:val="00A0774C"/>
    <w:rsid w:val="00A077CE"/>
    <w:rsid w:val="00A13F2E"/>
    <w:rsid w:val="00A154AB"/>
    <w:rsid w:val="00A169BF"/>
    <w:rsid w:val="00A2515F"/>
    <w:rsid w:val="00A27E15"/>
    <w:rsid w:val="00A415B2"/>
    <w:rsid w:val="00A437B9"/>
    <w:rsid w:val="00A43A84"/>
    <w:rsid w:val="00A45886"/>
    <w:rsid w:val="00A45F57"/>
    <w:rsid w:val="00A5292F"/>
    <w:rsid w:val="00A550B2"/>
    <w:rsid w:val="00A55DA8"/>
    <w:rsid w:val="00A8453E"/>
    <w:rsid w:val="00AA6121"/>
    <w:rsid w:val="00AA76A9"/>
    <w:rsid w:val="00AB6FFC"/>
    <w:rsid w:val="00AC4A1C"/>
    <w:rsid w:val="00AC6623"/>
    <w:rsid w:val="00AD441F"/>
    <w:rsid w:val="00AE0C5C"/>
    <w:rsid w:val="00AE2EC8"/>
    <w:rsid w:val="00AE3904"/>
    <w:rsid w:val="00AE5159"/>
    <w:rsid w:val="00AE6DFC"/>
    <w:rsid w:val="00AE7FF3"/>
    <w:rsid w:val="00AF2261"/>
    <w:rsid w:val="00AF5E1F"/>
    <w:rsid w:val="00B01650"/>
    <w:rsid w:val="00B01C53"/>
    <w:rsid w:val="00B047EE"/>
    <w:rsid w:val="00B06A40"/>
    <w:rsid w:val="00B1411B"/>
    <w:rsid w:val="00B15C7B"/>
    <w:rsid w:val="00B16D37"/>
    <w:rsid w:val="00B17671"/>
    <w:rsid w:val="00B22980"/>
    <w:rsid w:val="00B25D2F"/>
    <w:rsid w:val="00B305B1"/>
    <w:rsid w:val="00B30935"/>
    <w:rsid w:val="00B32650"/>
    <w:rsid w:val="00B32B95"/>
    <w:rsid w:val="00B33158"/>
    <w:rsid w:val="00B34505"/>
    <w:rsid w:val="00B35CAB"/>
    <w:rsid w:val="00B40149"/>
    <w:rsid w:val="00B53A0C"/>
    <w:rsid w:val="00B7076C"/>
    <w:rsid w:val="00B738C8"/>
    <w:rsid w:val="00B85A8A"/>
    <w:rsid w:val="00B93531"/>
    <w:rsid w:val="00BA185B"/>
    <w:rsid w:val="00BA40FA"/>
    <w:rsid w:val="00BA62A7"/>
    <w:rsid w:val="00BA6D97"/>
    <w:rsid w:val="00BB0868"/>
    <w:rsid w:val="00BB271A"/>
    <w:rsid w:val="00BB296E"/>
    <w:rsid w:val="00BB4C26"/>
    <w:rsid w:val="00BB5394"/>
    <w:rsid w:val="00BC0462"/>
    <w:rsid w:val="00BC2F31"/>
    <w:rsid w:val="00BC49AD"/>
    <w:rsid w:val="00BD348D"/>
    <w:rsid w:val="00BD34E6"/>
    <w:rsid w:val="00BD7CA2"/>
    <w:rsid w:val="00BE3244"/>
    <w:rsid w:val="00BE3343"/>
    <w:rsid w:val="00BF2037"/>
    <w:rsid w:val="00BF34AF"/>
    <w:rsid w:val="00C073E8"/>
    <w:rsid w:val="00C16595"/>
    <w:rsid w:val="00C20842"/>
    <w:rsid w:val="00C22C18"/>
    <w:rsid w:val="00C23661"/>
    <w:rsid w:val="00C3341E"/>
    <w:rsid w:val="00C4118C"/>
    <w:rsid w:val="00C42306"/>
    <w:rsid w:val="00C46802"/>
    <w:rsid w:val="00C51E08"/>
    <w:rsid w:val="00C54EB8"/>
    <w:rsid w:val="00C55C68"/>
    <w:rsid w:val="00C64D1E"/>
    <w:rsid w:val="00C740E7"/>
    <w:rsid w:val="00C769CB"/>
    <w:rsid w:val="00C87689"/>
    <w:rsid w:val="00C92F97"/>
    <w:rsid w:val="00C9771D"/>
    <w:rsid w:val="00CB0462"/>
    <w:rsid w:val="00CB5119"/>
    <w:rsid w:val="00CB63CB"/>
    <w:rsid w:val="00CB74F5"/>
    <w:rsid w:val="00CB7519"/>
    <w:rsid w:val="00CC3342"/>
    <w:rsid w:val="00CC7827"/>
    <w:rsid w:val="00CD2DD0"/>
    <w:rsid w:val="00CD66D9"/>
    <w:rsid w:val="00CD775F"/>
    <w:rsid w:val="00CF0AAB"/>
    <w:rsid w:val="00D00AB9"/>
    <w:rsid w:val="00D0149D"/>
    <w:rsid w:val="00D021EA"/>
    <w:rsid w:val="00D10BE7"/>
    <w:rsid w:val="00D136AB"/>
    <w:rsid w:val="00D13DD3"/>
    <w:rsid w:val="00D30217"/>
    <w:rsid w:val="00D341DA"/>
    <w:rsid w:val="00D404BE"/>
    <w:rsid w:val="00D42663"/>
    <w:rsid w:val="00D51C85"/>
    <w:rsid w:val="00D60CD6"/>
    <w:rsid w:val="00D741A6"/>
    <w:rsid w:val="00D77229"/>
    <w:rsid w:val="00D81D90"/>
    <w:rsid w:val="00D96C3F"/>
    <w:rsid w:val="00DA242A"/>
    <w:rsid w:val="00DB0AA6"/>
    <w:rsid w:val="00DB4472"/>
    <w:rsid w:val="00DB760A"/>
    <w:rsid w:val="00DC6435"/>
    <w:rsid w:val="00DC7B48"/>
    <w:rsid w:val="00DE5ECA"/>
    <w:rsid w:val="00DF7794"/>
    <w:rsid w:val="00E05919"/>
    <w:rsid w:val="00E127ED"/>
    <w:rsid w:val="00E15764"/>
    <w:rsid w:val="00E2335A"/>
    <w:rsid w:val="00E26229"/>
    <w:rsid w:val="00E26F85"/>
    <w:rsid w:val="00E30000"/>
    <w:rsid w:val="00E35CD7"/>
    <w:rsid w:val="00E36CD0"/>
    <w:rsid w:val="00E47CE4"/>
    <w:rsid w:val="00E525AE"/>
    <w:rsid w:val="00E5567E"/>
    <w:rsid w:val="00E717B0"/>
    <w:rsid w:val="00E75D21"/>
    <w:rsid w:val="00E866FA"/>
    <w:rsid w:val="00E934ED"/>
    <w:rsid w:val="00E94A0D"/>
    <w:rsid w:val="00EA046C"/>
    <w:rsid w:val="00EA1B5F"/>
    <w:rsid w:val="00EA60FE"/>
    <w:rsid w:val="00EB0277"/>
    <w:rsid w:val="00EB2CF4"/>
    <w:rsid w:val="00EB31F8"/>
    <w:rsid w:val="00EB34C4"/>
    <w:rsid w:val="00EB6ACA"/>
    <w:rsid w:val="00EC30FF"/>
    <w:rsid w:val="00EC3EEB"/>
    <w:rsid w:val="00EC6A8B"/>
    <w:rsid w:val="00EC75AA"/>
    <w:rsid w:val="00ED0E13"/>
    <w:rsid w:val="00ED3CB9"/>
    <w:rsid w:val="00ED59C3"/>
    <w:rsid w:val="00ED5A64"/>
    <w:rsid w:val="00EE07FA"/>
    <w:rsid w:val="00EE0EDD"/>
    <w:rsid w:val="00EF3468"/>
    <w:rsid w:val="00EF75DA"/>
    <w:rsid w:val="00F02927"/>
    <w:rsid w:val="00F0432D"/>
    <w:rsid w:val="00F05A66"/>
    <w:rsid w:val="00F07C7A"/>
    <w:rsid w:val="00F120BC"/>
    <w:rsid w:val="00F14904"/>
    <w:rsid w:val="00F21C69"/>
    <w:rsid w:val="00F26722"/>
    <w:rsid w:val="00F343CC"/>
    <w:rsid w:val="00F47406"/>
    <w:rsid w:val="00F55B9C"/>
    <w:rsid w:val="00F61EB0"/>
    <w:rsid w:val="00F65079"/>
    <w:rsid w:val="00F66C39"/>
    <w:rsid w:val="00F66E77"/>
    <w:rsid w:val="00F72706"/>
    <w:rsid w:val="00F72E13"/>
    <w:rsid w:val="00F752EC"/>
    <w:rsid w:val="00F80282"/>
    <w:rsid w:val="00F837D3"/>
    <w:rsid w:val="00F86D31"/>
    <w:rsid w:val="00FA4105"/>
    <w:rsid w:val="00FB2052"/>
    <w:rsid w:val="00FB4A8C"/>
    <w:rsid w:val="00FC1EB8"/>
    <w:rsid w:val="00FC2D43"/>
    <w:rsid w:val="00FC5530"/>
    <w:rsid w:val="00FC5A2A"/>
    <w:rsid w:val="00FD3272"/>
    <w:rsid w:val="00FD33D0"/>
    <w:rsid w:val="00FE44E1"/>
    <w:rsid w:val="00FE5DB1"/>
    <w:rsid w:val="00FF23CF"/>
    <w:rsid w:val="01081BE6"/>
    <w:rsid w:val="016E4CE0"/>
    <w:rsid w:val="018041D4"/>
    <w:rsid w:val="01A761C5"/>
    <w:rsid w:val="01AA2265"/>
    <w:rsid w:val="01C422C3"/>
    <w:rsid w:val="01FF4B87"/>
    <w:rsid w:val="020A1642"/>
    <w:rsid w:val="022A77FC"/>
    <w:rsid w:val="023E1BBB"/>
    <w:rsid w:val="02421F52"/>
    <w:rsid w:val="025C49EE"/>
    <w:rsid w:val="026B0E39"/>
    <w:rsid w:val="02820D07"/>
    <w:rsid w:val="03242788"/>
    <w:rsid w:val="03373607"/>
    <w:rsid w:val="034D32D6"/>
    <w:rsid w:val="03660F5C"/>
    <w:rsid w:val="03716AB5"/>
    <w:rsid w:val="03C82140"/>
    <w:rsid w:val="03E51D17"/>
    <w:rsid w:val="03EF297E"/>
    <w:rsid w:val="0423608D"/>
    <w:rsid w:val="04D75F69"/>
    <w:rsid w:val="04F43AEC"/>
    <w:rsid w:val="05373674"/>
    <w:rsid w:val="05A36F5B"/>
    <w:rsid w:val="05A607FA"/>
    <w:rsid w:val="05AF5900"/>
    <w:rsid w:val="06503885"/>
    <w:rsid w:val="0681016A"/>
    <w:rsid w:val="06C47618"/>
    <w:rsid w:val="06CF6FDB"/>
    <w:rsid w:val="07492961"/>
    <w:rsid w:val="07852DBD"/>
    <w:rsid w:val="07F76E9E"/>
    <w:rsid w:val="08230FE7"/>
    <w:rsid w:val="087010E6"/>
    <w:rsid w:val="087B3986"/>
    <w:rsid w:val="087D1CE6"/>
    <w:rsid w:val="08AE240B"/>
    <w:rsid w:val="08EA516D"/>
    <w:rsid w:val="096157DF"/>
    <w:rsid w:val="0976663B"/>
    <w:rsid w:val="099355F8"/>
    <w:rsid w:val="09AD3A47"/>
    <w:rsid w:val="09B502AE"/>
    <w:rsid w:val="09C85A5C"/>
    <w:rsid w:val="09DD541A"/>
    <w:rsid w:val="09F10450"/>
    <w:rsid w:val="0A384706"/>
    <w:rsid w:val="0A3F2E4F"/>
    <w:rsid w:val="0A6C4457"/>
    <w:rsid w:val="0B27506F"/>
    <w:rsid w:val="0B4C5888"/>
    <w:rsid w:val="0B5A0591"/>
    <w:rsid w:val="0B8C5B00"/>
    <w:rsid w:val="0BC820E2"/>
    <w:rsid w:val="0BE879F2"/>
    <w:rsid w:val="0BF40511"/>
    <w:rsid w:val="0C065F88"/>
    <w:rsid w:val="0C302D8B"/>
    <w:rsid w:val="0CD87D21"/>
    <w:rsid w:val="0CEE7179"/>
    <w:rsid w:val="0CF66CB3"/>
    <w:rsid w:val="0D385650"/>
    <w:rsid w:val="0D891129"/>
    <w:rsid w:val="0DAA4406"/>
    <w:rsid w:val="0E130B78"/>
    <w:rsid w:val="0E3650CB"/>
    <w:rsid w:val="0E8B3D1B"/>
    <w:rsid w:val="0E8E42AF"/>
    <w:rsid w:val="0EDC6A0F"/>
    <w:rsid w:val="0F0A004B"/>
    <w:rsid w:val="0F0E1587"/>
    <w:rsid w:val="0F5A35E0"/>
    <w:rsid w:val="0FA71D21"/>
    <w:rsid w:val="0FE64614"/>
    <w:rsid w:val="0FF4473B"/>
    <w:rsid w:val="0FFD7573"/>
    <w:rsid w:val="0FFF1716"/>
    <w:rsid w:val="103E3030"/>
    <w:rsid w:val="10696E6F"/>
    <w:rsid w:val="108125EE"/>
    <w:rsid w:val="10B27235"/>
    <w:rsid w:val="10B60628"/>
    <w:rsid w:val="116A10AE"/>
    <w:rsid w:val="12092208"/>
    <w:rsid w:val="121A4373"/>
    <w:rsid w:val="12646638"/>
    <w:rsid w:val="128F7744"/>
    <w:rsid w:val="129C2D65"/>
    <w:rsid w:val="12A22F6F"/>
    <w:rsid w:val="12B620EE"/>
    <w:rsid w:val="12C879E9"/>
    <w:rsid w:val="12CB3A7F"/>
    <w:rsid w:val="130B144A"/>
    <w:rsid w:val="133F6DBC"/>
    <w:rsid w:val="13716B19"/>
    <w:rsid w:val="13762FE6"/>
    <w:rsid w:val="1396735C"/>
    <w:rsid w:val="14225EAD"/>
    <w:rsid w:val="14294C5A"/>
    <w:rsid w:val="144A4625"/>
    <w:rsid w:val="144A774A"/>
    <w:rsid w:val="1491511C"/>
    <w:rsid w:val="14DB27D8"/>
    <w:rsid w:val="15347BD0"/>
    <w:rsid w:val="154619B7"/>
    <w:rsid w:val="157835F1"/>
    <w:rsid w:val="15943BE4"/>
    <w:rsid w:val="16646CBF"/>
    <w:rsid w:val="16CD76C6"/>
    <w:rsid w:val="1729478D"/>
    <w:rsid w:val="176236E3"/>
    <w:rsid w:val="17A13152"/>
    <w:rsid w:val="17C447C6"/>
    <w:rsid w:val="181F3A21"/>
    <w:rsid w:val="182061EA"/>
    <w:rsid w:val="18640C92"/>
    <w:rsid w:val="186B5020"/>
    <w:rsid w:val="19130410"/>
    <w:rsid w:val="19155099"/>
    <w:rsid w:val="194D2952"/>
    <w:rsid w:val="196A5947"/>
    <w:rsid w:val="196C0F94"/>
    <w:rsid w:val="19777DDA"/>
    <w:rsid w:val="19B12B72"/>
    <w:rsid w:val="19E13681"/>
    <w:rsid w:val="1A3368A7"/>
    <w:rsid w:val="1A387A77"/>
    <w:rsid w:val="1ADD2620"/>
    <w:rsid w:val="1B0100C6"/>
    <w:rsid w:val="1B197001"/>
    <w:rsid w:val="1B400C6F"/>
    <w:rsid w:val="1B445E80"/>
    <w:rsid w:val="1B5A0CF0"/>
    <w:rsid w:val="1C347690"/>
    <w:rsid w:val="1C676ADD"/>
    <w:rsid w:val="1C8156AA"/>
    <w:rsid w:val="1C8F719B"/>
    <w:rsid w:val="1D4E748C"/>
    <w:rsid w:val="1D5D4C3D"/>
    <w:rsid w:val="1D810C82"/>
    <w:rsid w:val="1D883533"/>
    <w:rsid w:val="1DB91C37"/>
    <w:rsid w:val="1DC439BC"/>
    <w:rsid w:val="1DC55A34"/>
    <w:rsid w:val="1DDC5928"/>
    <w:rsid w:val="1E3D37AB"/>
    <w:rsid w:val="1E9E6116"/>
    <w:rsid w:val="1EF83782"/>
    <w:rsid w:val="1EFB602E"/>
    <w:rsid w:val="1F056238"/>
    <w:rsid w:val="1F3D3B25"/>
    <w:rsid w:val="1F7D3294"/>
    <w:rsid w:val="202A3F09"/>
    <w:rsid w:val="207D33B2"/>
    <w:rsid w:val="2095673E"/>
    <w:rsid w:val="20AB7F59"/>
    <w:rsid w:val="20AC7163"/>
    <w:rsid w:val="20C92CE4"/>
    <w:rsid w:val="20CC2578"/>
    <w:rsid w:val="20DB339B"/>
    <w:rsid w:val="20DE7688"/>
    <w:rsid w:val="20E13967"/>
    <w:rsid w:val="20E47373"/>
    <w:rsid w:val="20E816E9"/>
    <w:rsid w:val="20F40FA1"/>
    <w:rsid w:val="21214387"/>
    <w:rsid w:val="21923CC5"/>
    <w:rsid w:val="21D108A8"/>
    <w:rsid w:val="223F1D43"/>
    <w:rsid w:val="2249436E"/>
    <w:rsid w:val="224F5F58"/>
    <w:rsid w:val="225348C7"/>
    <w:rsid w:val="225D430F"/>
    <w:rsid w:val="227B3377"/>
    <w:rsid w:val="228F19B7"/>
    <w:rsid w:val="229D3590"/>
    <w:rsid w:val="229F5102"/>
    <w:rsid w:val="22A10C5C"/>
    <w:rsid w:val="22CA140C"/>
    <w:rsid w:val="230B0CA2"/>
    <w:rsid w:val="231057D9"/>
    <w:rsid w:val="232C0139"/>
    <w:rsid w:val="23741B32"/>
    <w:rsid w:val="24125BC8"/>
    <w:rsid w:val="24492E48"/>
    <w:rsid w:val="245E26EC"/>
    <w:rsid w:val="246A0CA0"/>
    <w:rsid w:val="2496149D"/>
    <w:rsid w:val="249F7694"/>
    <w:rsid w:val="251470D6"/>
    <w:rsid w:val="256C067B"/>
    <w:rsid w:val="256C23F4"/>
    <w:rsid w:val="256E6DFD"/>
    <w:rsid w:val="25C16E1F"/>
    <w:rsid w:val="261629E0"/>
    <w:rsid w:val="26375014"/>
    <w:rsid w:val="26531CD5"/>
    <w:rsid w:val="26AB4ECA"/>
    <w:rsid w:val="26BB4C65"/>
    <w:rsid w:val="26C80881"/>
    <w:rsid w:val="273E3D6E"/>
    <w:rsid w:val="274028C2"/>
    <w:rsid w:val="27CE5BE7"/>
    <w:rsid w:val="27D87767"/>
    <w:rsid w:val="28AE7A00"/>
    <w:rsid w:val="28E8012C"/>
    <w:rsid w:val="295264D7"/>
    <w:rsid w:val="29534671"/>
    <w:rsid w:val="29995DFC"/>
    <w:rsid w:val="29A22F02"/>
    <w:rsid w:val="29AA2CCE"/>
    <w:rsid w:val="2ACB4472"/>
    <w:rsid w:val="2AFA603F"/>
    <w:rsid w:val="2B6A376B"/>
    <w:rsid w:val="2B8E29B7"/>
    <w:rsid w:val="2BFE4E64"/>
    <w:rsid w:val="2C166231"/>
    <w:rsid w:val="2C697384"/>
    <w:rsid w:val="2C6E22A9"/>
    <w:rsid w:val="2C717120"/>
    <w:rsid w:val="2CA32EC2"/>
    <w:rsid w:val="2CE11997"/>
    <w:rsid w:val="2D0E6CBF"/>
    <w:rsid w:val="2D0F6B01"/>
    <w:rsid w:val="2D2C42A0"/>
    <w:rsid w:val="2D3E1112"/>
    <w:rsid w:val="2D6B7AAF"/>
    <w:rsid w:val="2D7365A0"/>
    <w:rsid w:val="2D907A6A"/>
    <w:rsid w:val="2DAB6C49"/>
    <w:rsid w:val="2DC72229"/>
    <w:rsid w:val="2DD02A47"/>
    <w:rsid w:val="2E29045C"/>
    <w:rsid w:val="2E2C24D4"/>
    <w:rsid w:val="2EC351CA"/>
    <w:rsid w:val="2EC52C85"/>
    <w:rsid w:val="2ED753FC"/>
    <w:rsid w:val="2F294B9D"/>
    <w:rsid w:val="301C68D5"/>
    <w:rsid w:val="30676C54"/>
    <w:rsid w:val="30B26229"/>
    <w:rsid w:val="30B7098A"/>
    <w:rsid w:val="30BA7D15"/>
    <w:rsid w:val="30C536FA"/>
    <w:rsid w:val="310061F3"/>
    <w:rsid w:val="31024C96"/>
    <w:rsid w:val="311D311F"/>
    <w:rsid w:val="313D17BE"/>
    <w:rsid w:val="314F7571"/>
    <w:rsid w:val="31BC0B24"/>
    <w:rsid w:val="31EF3B00"/>
    <w:rsid w:val="323F10FE"/>
    <w:rsid w:val="32C12BAF"/>
    <w:rsid w:val="32E43392"/>
    <w:rsid w:val="32FC645C"/>
    <w:rsid w:val="33210C6F"/>
    <w:rsid w:val="33274BD5"/>
    <w:rsid w:val="3345288B"/>
    <w:rsid w:val="335704AD"/>
    <w:rsid w:val="335D2113"/>
    <w:rsid w:val="33B2575C"/>
    <w:rsid w:val="33BD6150"/>
    <w:rsid w:val="346103BB"/>
    <w:rsid w:val="346671F6"/>
    <w:rsid w:val="35244234"/>
    <w:rsid w:val="3538296D"/>
    <w:rsid w:val="35C22146"/>
    <w:rsid w:val="36111DC3"/>
    <w:rsid w:val="36203481"/>
    <w:rsid w:val="36470979"/>
    <w:rsid w:val="366C4FC4"/>
    <w:rsid w:val="36962971"/>
    <w:rsid w:val="36C86B4A"/>
    <w:rsid w:val="36CF4A91"/>
    <w:rsid w:val="36E903C3"/>
    <w:rsid w:val="37386830"/>
    <w:rsid w:val="379167DA"/>
    <w:rsid w:val="381E547B"/>
    <w:rsid w:val="3831374F"/>
    <w:rsid w:val="38A9721D"/>
    <w:rsid w:val="38EE4A5F"/>
    <w:rsid w:val="3908401F"/>
    <w:rsid w:val="39494261"/>
    <w:rsid w:val="39DA5E57"/>
    <w:rsid w:val="3A106F32"/>
    <w:rsid w:val="3A534E77"/>
    <w:rsid w:val="3A60099C"/>
    <w:rsid w:val="3A9D5B5B"/>
    <w:rsid w:val="3AAC0258"/>
    <w:rsid w:val="3B043E9A"/>
    <w:rsid w:val="3B1D4ADF"/>
    <w:rsid w:val="3B361AB5"/>
    <w:rsid w:val="3B653D90"/>
    <w:rsid w:val="3B8A6DB4"/>
    <w:rsid w:val="3BA75AE8"/>
    <w:rsid w:val="3BBA0580"/>
    <w:rsid w:val="3BE176FA"/>
    <w:rsid w:val="3BF13B36"/>
    <w:rsid w:val="3C0C45F3"/>
    <w:rsid w:val="3C303062"/>
    <w:rsid w:val="3C6628CF"/>
    <w:rsid w:val="3C9F3748"/>
    <w:rsid w:val="3CBA4223"/>
    <w:rsid w:val="3CD236A7"/>
    <w:rsid w:val="3CD72A6B"/>
    <w:rsid w:val="3CE06912"/>
    <w:rsid w:val="3CEA67D5"/>
    <w:rsid w:val="3D0C11A1"/>
    <w:rsid w:val="3D515C28"/>
    <w:rsid w:val="3D5A3BAB"/>
    <w:rsid w:val="3DF9669F"/>
    <w:rsid w:val="3DFC0F76"/>
    <w:rsid w:val="3E033D2A"/>
    <w:rsid w:val="3E1716BD"/>
    <w:rsid w:val="3E2E6510"/>
    <w:rsid w:val="3E6B790F"/>
    <w:rsid w:val="3E7D7914"/>
    <w:rsid w:val="3EDA202D"/>
    <w:rsid w:val="3F6031EC"/>
    <w:rsid w:val="3FBC1E24"/>
    <w:rsid w:val="3FDF697D"/>
    <w:rsid w:val="3FED6871"/>
    <w:rsid w:val="3FFB6333"/>
    <w:rsid w:val="40685EA3"/>
    <w:rsid w:val="407A2AE9"/>
    <w:rsid w:val="408D24DA"/>
    <w:rsid w:val="40932B60"/>
    <w:rsid w:val="40DC2D46"/>
    <w:rsid w:val="40E43586"/>
    <w:rsid w:val="40FF7D51"/>
    <w:rsid w:val="41BF1233"/>
    <w:rsid w:val="41D43C02"/>
    <w:rsid w:val="422051D1"/>
    <w:rsid w:val="42394698"/>
    <w:rsid w:val="42600FED"/>
    <w:rsid w:val="42621029"/>
    <w:rsid w:val="429146ED"/>
    <w:rsid w:val="42982C9D"/>
    <w:rsid w:val="42E67EAC"/>
    <w:rsid w:val="43051C38"/>
    <w:rsid w:val="433B4B0C"/>
    <w:rsid w:val="436F01CA"/>
    <w:rsid w:val="436F1C02"/>
    <w:rsid w:val="438C2802"/>
    <w:rsid w:val="43921508"/>
    <w:rsid w:val="43952960"/>
    <w:rsid w:val="43C138BD"/>
    <w:rsid w:val="43CB5548"/>
    <w:rsid w:val="43FF6E44"/>
    <w:rsid w:val="4403299E"/>
    <w:rsid w:val="441655A2"/>
    <w:rsid w:val="442706C0"/>
    <w:rsid w:val="444E229E"/>
    <w:rsid w:val="44634A97"/>
    <w:rsid w:val="446819DB"/>
    <w:rsid w:val="4473105F"/>
    <w:rsid w:val="450E5B7D"/>
    <w:rsid w:val="454D7C42"/>
    <w:rsid w:val="45500AE0"/>
    <w:rsid w:val="455D2303"/>
    <w:rsid w:val="459E2002"/>
    <w:rsid w:val="45F80246"/>
    <w:rsid w:val="463B406B"/>
    <w:rsid w:val="4679038A"/>
    <w:rsid w:val="469F0A9E"/>
    <w:rsid w:val="46E71F62"/>
    <w:rsid w:val="46EB0BDC"/>
    <w:rsid w:val="46FE4846"/>
    <w:rsid w:val="47574ED5"/>
    <w:rsid w:val="477231BF"/>
    <w:rsid w:val="47A74C48"/>
    <w:rsid w:val="47D15DFF"/>
    <w:rsid w:val="48071717"/>
    <w:rsid w:val="485745AA"/>
    <w:rsid w:val="4907467E"/>
    <w:rsid w:val="490B1711"/>
    <w:rsid w:val="490E5C22"/>
    <w:rsid w:val="49322C6F"/>
    <w:rsid w:val="49550E02"/>
    <w:rsid w:val="497C6E74"/>
    <w:rsid w:val="498540AB"/>
    <w:rsid w:val="49B8126B"/>
    <w:rsid w:val="49EA7C77"/>
    <w:rsid w:val="4A7B715E"/>
    <w:rsid w:val="4AA565D6"/>
    <w:rsid w:val="4B425326"/>
    <w:rsid w:val="4B4E65EF"/>
    <w:rsid w:val="4B6202EC"/>
    <w:rsid w:val="4B6D4481"/>
    <w:rsid w:val="4BCB7C3F"/>
    <w:rsid w:val="4BCF0C16"/>
    <w:rsid w:val="4BD9235C"/>
    <w:rsid w:val="4BF56DAC"/>
    <w:rsid w:val="4C00235D"/>
    <w:rsid w:val="4C3440CD"/>
    <w:rsid w:val="4C742EFD"/>
    <w:rsid w:val="4C787DC7"/>
    <w:rsid w:val="4C942727"/>
    <w:rsid w:val="4CC5050B"/>
    <w:rsid w:val="4D222CE9"/>
    <w:rsid w:val="4D432C40"/>
    <w:rsid w:val="4D4408D9"/>
    <w:rsid w:val="4DB52C4D"/>
    <w:rsid w:val="4E37493D"/>
    <w:rsid w:val="4E914682"/>
    <w:rsid w:val="4EAE2B39"/>
    <w:rsid w:val="4ECC61A8"/>
    <w:rsid w:val="4EE21C17"/>
    <w:rsid w:val="4F074161"/>
    <w:rsid w:val="4F246F6F"/>
    <w:rsid w:val="4F8D6891"/>
    <w:rsid w:val="4F9A742C"/>
    <w:rsid w:val="4FAC1E35"/>
    <w:rsid w:val="4FD15017"/>
    <w:rsid w:val="4FE60326"/>
    <w:rsid w:val="4FE71AF7"/>
    <w:rsid w:val="4FF736F9"/>
    <w:rsid w:val="5027330E"/>
    <w:rsid w:val="507C3BFE"/>
    <w:rsid w:val="507E5F1B"/>
    <w:rsid w:val="509074BA"/>
    <w:rsid w:val="509520F0"/>
    <w:rsid w:val="50F639B0"/>
    <w:rsid w:val="51981C88"/>
    <w:rsid w:val="51BD2490"/>
    <w:rsid w:val="51E2385D"/>
    <w:rsid w:val="520D1772"/>
    <w:rsid w:val="52446E01"/>
    <w:rsid w:val="529D23A4"/>
    <w:rsid w:val="52C03774"/>
    <w:rsid w:val="52F37652"/>
    <w:rsid w:val="530449C0"/>
    <w:rsid w:val="530D1ED2"/>
    <w:rsid w:val="533D01A8"/>
    <w:rsid w:val="535556C4"/>
    <w:rsid w:val="53791E73"/>
    <w:rsid w:val="53C22044"/>
    <w:rsid w:val="54145E9B"/>
    <w:rsid w:val="542778FC"/>
    <w:rsid w:val="547C5E12"/>
    <w:rsid w:val="548136DA"/>
    <w:rsid w:val="54C432DB"/>
    <w:rsid w:val="551C7392"/>
    <w:rsid w:val="553F510E"/>
    <w:rsid w:val="55443E40"/>
    <w:rsid w:val="555B0397"/>
    <w:rsid w:val="557269EA"/>
    <w:rsid w:val="557B1FB1"/>
    <w:rsid w:val="557E7653"/>
    <w:rsid w:val="55911D3E"/>
    <w:rsid w:val="55A80497"/>
    <w:rsid w:val="55AD491E"/>
    <w:rsid w:val="55B84EAE"/>
    <w:rsid w:val="55FF7827"/>
    <w:rsid w:val="565165EB"/>
    <w:rsid w:val="56743D30"/>
    <w:rsid w:val="56DE53C5"/>
    <w:rsid w:val="56FC15AA"/>
    <w:rsid w:val="572E6369"/>
    <w:rsid w:val="577971A2"/>
    <w:rsid w:val="578A4C34"/>
    <w:rsid w:val="578C1931"/>
    <w:rsid w:val="57CF589D"/>
    <w:rsid w:val="57D47FE5"/>
    <w:rsid w:val="582E0ACB"/>
    <w:rsid w:val="584E7471"/>
    <w:rsid w:val="58663036"/>
    <w:rsid w:val="586C030E"/>
    <w:rsid w:val="58C3434A"/>
    <w:rsid w:val="59A41293"/>
    <w:rsid w:val="59B326E7"/>
    <w:rsid w:val="59BA2135"/>
    <w:rsid w:val="59CA2463"/>
    <w:rsid w:val="5A085235"/>
    <w:rsid w:val="5A0D79FC"/>
    <w:rsid w:val="5A0F185C"/>
    <w:rsid w:val="5A221B2E"/>
    <w:rsid w:val="5A633192"/>
    <w:rsid w:val="5A8F3963"/>
    <w:rsid w:val="5B0B3290"/>
    <w:rsid w:val="5B23246E"/>
    <w:rsid w:val="5B426509"/>
    <w:rsid w:val="5B9D2886"/>
    <w:rsid w:val="5BA16CA9"/>
    <w:rsid w:val="5BC61731"/>
    <w:rsid w:val="5D4F04B0"/>
    <w:rsid w:val="5DE27D97"/>
    <w:rsid w:val="5E0133B7"/>
    <w:rsid w:val="5E462D0A"/>
    <w:rsid w:val="5E4F2949"/>
    <w:rsid w:val="5E553AC2"/>
    <w:rsid w:val="5E8D1493"/>
    <w:rsid w:val="5E980438"/>
    <w:rsid w:val="5F0955FB"/>
    <w:rsid w:val="5F12376C"/>
    <w:rsid w:val="5F4911C8"/>
    <w:rsid w:val="5F6367FE"/>
    <w:rsid w:val="5F724B4A"/>
    <w:rsid w:val="5F7B0B93"/>
    <w:rsid w:val="5F853D43"/>
    <w:rsid w:val="5F8D2CC9"/>
    <w:rsid w:val="5FC92A22"/>
    <w:rsid w:val="5FDE07EF"/>
    <w:rsid w:val="601F0B2B"/>
    <w:rsid w:val="60243B12"/>
    <w:rsid w:val="603B794C"/>
    <w:rsid w:val="604E0C27"/>
    <w:rsid w:val="60552C18"/>
    <w:rsid w:val="605D58E0"/>
    <w:rsid w:val="608359BC"/>
    <w:rsid w:val="60F44AF8"/>
    <w:rsid w:val="618F607B"/>
    <w:rsid w:val="61A0175F"/>
    <w:rsid w:val="61A72957"/>
    <w:rsid w:val="625C4772"/>
    <w:rsid w:val="628B5EC2"/>
    <w:rsid w:val="628B7A5D"/>
    <w:rsid w:val="62E50DCE"/>
    <w:rsid w:val="635307EE"/>
    <w:rsid w:val="637067B4"/>
    <w:rsid w:val="637A6239"/>
    <w:rsid w:val="63811978"/>
    <w:rsid w:val="63BE4DCD"/>
    <w:rsid w:val="63CC7186"/>
    <w:rsid w:val="63D30A57"/>
    <w:rsid w:val="63E63410"/>
    <w:rsid w:val="64303D77"/>
    <w:rsid w:val="64BE25DF"/>
    <w:rsid w:val="652706FC"/>
    <w:rsid w:val="652D313E"/>
    <w:rsid w:val="655A5E64"/>
    <w:rsid w:val="656023DA"/>
    <w:rsid w:val="658B7238"/>
    <w:rsid w:val="6597789D"/>
    <w:rsid w:val="659F166F"/>
    <w:rsid w:val="66155BD9"/>
    <w:rsid w:val="666174DB"/>
    <w:rsid w:val="66AE4F91"/>
    <w:rsid w:val="6718400E"/>
    <w:rsid w:val="671E1F2A"/>
    <w:rsid w:val="674462E7"/>
    <w:rsid w:val="67595674"/>
    <w:rsid w:val="67631BB0"/>
    <w:rsid w:val="678911AB"/>
    <w:rsid w:val="67C04BAB"/>
    <w:rsid w:val="67CF6E95"/>
    <w:rsid w:val="687256A3"/>
    <w:rsid w:val="68907DEF"/>
    <w:rsid w:val="68951C23"/>
    <w:rsid w:val="68E56887"/>
    <w:rsid w:val="693353A9"/>
    <w:rsid w:val="69E95A08"/>
    <w:rsid w:val="6A316CB8"/>
    <w:rsid w:val="6A4D36BD"/>
    <w:rsid w:val="6B0A19EB"/>
    <w:rsid w:val="6BD04C6F"/>
    <w:rsid w:val="6BDA5DCF"/>
    <w:rsid w:val="6C283EAB"/>
    <w:rsid w:val="6C5D5BC5"/>
    <w:rsid w:val="6CD53E78"/>
    <w:rsid w:val="6D042B59"/>
    <w:rsid w:val="6D0520F7"/>
    <w:rsid w:val="6D195F0B"/>
    <w:rsid w:val="6D2B6338"/>
    <w:rsid w:val="6D7C40F7"/>
    <w:rsid w:val="6D950538"/>
    <w:rsid w:val="6D9E3231"/>
    <w:rsid w:val="6E085B41"/>
    <w:rsid w:val="6E0E27DB"/>
    <w:rsid w:val="6E1A3C66"/>
    <w:rsid w:val="6E6A3D7F"/>
    <w:rsid w:val="6E8977BA"/>
    <w:rsid w:val="6E897CFD"/>
    <w:rsid w:val="6E8D504A"/>
    <w:rsid w:val="6EA61715"/>
    <w:rsid w:val="6ECD3A3D"/>
    <w:rsid w:val="6ED5666A"/>
    <w:rsid w:val="6F1F3C7A"/>
    <w:rsid w:val="6F201237"/>
    <w:rsid w:val="6FAF4C4A"/>
    <w:rsid w:val="6FC22F83"/>
    <w:rsid w:val="6FEE02BB"/>
    <w:rsid w:val="6FFB5E68"/>
    <w:rsid w:val="70344EA3"/>
    <w:rsid w:val="706B662B"/>
    <w:rsid w:val="708A15C7"/>
    <w:rsid w:val="708E5491"/>
    <w:rsid w:val="70C26258"/>
    <w:rsid w:val="70C66990"/>
    <w:rsid w:val="70DB5B09"/>
    <w:rsid w:val="71205421"/>
    <w:rsid w:val="71511D80"/>
    <w:rsid w:val="716F71A9"/>
    <w:rsid w:val="71877EBD"/>
    <w:rsid w:val="71B27028"/>
    <w:rsid w:val="71B83C78"/>
    <w:rsid w:val="724D0DFA"/>
    <w:rsid w:val="72532C9F"/>
    <w:rsid w:val="727D73D5"/>
    <w:rsid w:val="72AE3CE5"/>
    <w:rsid w:val="732F1389"/>
    <w:rsid w:val="736C64A5"/>
    <w:rsid w:val="736D5EB7"/>
    <w:rsid w:val="737F1AF0"/>
    <w:rsid w:val="738053F9"/>
    <w:rsid w:val="73EA2AA9"/>
    <w:rsid w:val="73F50D50"/>
    <w:rsid w:val="73FF37E7"/>
    <w:rsid w:val="74002A9F"/>
    <w:rsid w:val="74106EF3"/>
    <w:rsid w:val="74337243"/>
    <w:rsid w:val="743B05C1"/>
    <w:rsid w:val="74583EB6"/>
    <w:rsid w:val="74A06723"/>
    <w:rsid w:val="74CF594D"/>
    <w:rsid w:val="74EC6556"/>
    <w:rsid w:val="74F41F6E"/>
    <w:rsid w:val="751759A6"/>
    <w:rsid w:val="7534150C"/>
    <w:rsid w:val="756E5C1E"/>
    <w:rsid w:val="75CF36D6"/>
    <w:rsid w:val="75D305B2"/>
    <w:rsid w:val="762E7B7B"/>
    <w:rsid w:val="76A378E3"/>
    <w:rsid w:val="76BB697E"/>
    <w:rsid w:val="76D66663"/>
    <w:rsid w:val="76DF3D2B"/>
    <w:rsid w:val="76F0011C"/>
    <w:rsid w:val="76F26E6C"/>
    <w:rsid w:val="77630DEE"/>
    <w:rsid w:val="777032C5"/>
    <w:rsid w:val="77B5517C"/>
    <w:rsid w:val="77D81C3E"/>
    <w:rsid w:val="786603F9"/>
    <w:rsid w:val="78795D02"/>
    <w:rsid w:val="78922459"/>
    <w:rsid w:val="78A524CA"/>
    <w:rsid w:val="799C6D6C"/>
    <w:rsid w:val="79F94A3C"/>
    <w:rsid w:val="7A320D06"/>
    <w:rsid w:val="7A3F3E02"/>
    <w:rsid w:val="7A6E36DB"/>
    <w:rsid w:val="7AA74DCC"/>
    <w:rsid w:val="7AA83CC8"/>
    <w:rsid w:val="7AAE2547"/>
    <w:rsid w:val="7AB00F65"/>
    <w:rsid w:val="7AB228ED"/>
    <w:rsid w:val="7ABC12FA"/>
    <w:rsid w:val="7AC626AE"/>
    <w:rsid w:val="7AEE0BA6"/>
    <w:rsid w:val="7B1D1DA4"/>
    <w:rsid w:val="7BA35CA6"/>
    <w:rsid w:val="7BD229EC"/>
    <w:rsid w:val="7BD538A8"/>
    <w:rsid w:val="7BF00B62"/>
    <w:rsid w:val="7C1822AA"/>
    <w:rsid w:val="7C307981"/>
    <w:rsid w:val="7C3264FE"/>
    <w:rsid w:val="7C4316D6"/>
    <w:rsid w:val="7C5510E6"/>
    <w:rsid w:val="7C6505C5"/>
    <w:rsid w:val="7C883F4E"/>
    <w:rsid w:val="7C8E215C"/>
    <w:rsid w:val="7C990C10"/>
    <w:rsid w:val="7CBB0B30"/>
    <w:rsid w:val="7CC97F0E"/>
    <w:rsid w:val="7D831AB3"/>
    <w:rsid w:val="7DB873EF"/>
    <w:rsid w:val="7E470AF8"/>
    <w:rsid w:val="7E4B67C3"/>
    <w:rsid w:val="7E602EE5"/>
    <w:rsid w:val="7E7A6F7E"/>
    <w:rsid w:val="7ED531EF"/>
    <w:rsid w:val="7F1C364B"/>
    <w:rsid w:val="7F6810A2"/>
    <w:rsid w:val="7F954FE2"/>
    <w:rsid w:val="7F9D2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30"/>
    <w:autoRedefine/>
    <w:qFormat/>
    <w:uiPriority w:val="1"/>
    <w:pPr>
      <w:jc w:val="center"/>
      <w:outlineLvl w:val="0"/>
    </w:pPr>
    <w:rPr>
      <w:b/>
      <w:bCs/>
      <w:sz w:val="32"/>
      <w:szCs w:val="32"/>
    </w:rPr>
  </w:style>
  <w:style w:type="paragraph" w:styleId="3">
    <w:name w:val="heading 2"/>
    <w:basedOn w:val="1"/>
    <w:next w:val="1"/>
    <w:autoRedefine/>
    <w:qFormat/>
    <w:uiPriority w:val="1"/>
    <w:pPr>
      <w:spacing w:before="255"/>
      <w:ind w:right="317"/>
      <w:jc w:val="center"/>
      <w:outlineLvl w:val="1"/>
    </w:pPr>
    <w:rPr>
      <w:sz w:val="32"/>
      <w:szCs w:val="32"/>
    </w:rPr>
  </w:style>
  <w:style w:type="paragraph" w:styleId="4">
    <w:name w:val="heading 3"/>
    <w:basedOn w:val="1"/>
    <w:next w:val="1"/>
    <w:link w:val="61"/>
    <w:autoRedefine/>
    <w:qFormat/>
    <w:uiPriority w:val="1"/>
    <w:pPr>
      <w:spacing w:before="42"/>
      <w:ind w:right="320"/>
      <w:jc w:val="center"/>
      <w:outlineLvl w:val="2"/>
    </w:pPr>
    <w:rPr>
      <w:b/>
      <w:bCs/>
      <w:sz w:val="30"/>
      <w:szCs w:val="30"/>
    </w:rPr>
  </w:style>
  <w:style w:type="paragraph" w:styleId="5">
    <w:name w:val="heading 4"/>
    <w:basedOn w:val="1"/>
    <w:next w:val="1"/>
    <w:autoRedefine/>
    <w:qFormat/>
    <w:uiPriority w:val="1"/>
    <w:pPr>
      <w:ind w:left="480"/>
      <w:outlineLvl w:val="3"/>
    </w:pPr>
    <w:rPr>
      <w:b/>
      <w:bCs/>
      <w:sz w:val="28"/>
      <w:szCs w:val="28"/>
    </w:rPr>
  </w:style>
  <w:style w:type="paragraph" w:styleId="6">
    <w:name w:val="heading 5"/>
    <w:basedOn w:val="1"/>
    <w:next w:val="1"/>
    <w:autoRedefine/>
    <w:qFormat/>
    <w:uiPriority w:val="1"/>
    <w:pPr>
      <w:ind w:left="1812"/>
      <w:outlineLvl w:val="4"/>
    </w:pPr>
    <w:rPr>
      <w:sz w:val="28"/>
      <w:szCs w:val="28"/>
    </w:rPr>
  </w:style>
  <w:style w:type="paragraph" w:styleId="7">
    <w:name w:val="heading 6"/>
    <w:basedOn w:val="1"/>
    <w:next w:val="1"/>
    <w:qFormat/>
    <w:uiPriority w:val="1"/>
    <w:pPr>
      <w:ind w:left="480"/>
      <w:outlineLvl w:val="5"/>
    </w:pPr>
    <w:rPr>
      <w:b/>
      <w:bCs/>
      <w:sz w:val="24"/>
      <w:szCs w:val="24"/>
    </w:rPr>
  </w:style>
  <w:style w:type="paragraph" w:styleId="8">
    <w:name w:val="heading 7"/>
    <w:basedOn w:val="1"/>
    <w:next w:val="1"/>
    <w:autoRedefine/>
    <w:qFormat/>
    <w:uiPriority w:val="1"/>
    <w:pPr>
      <w:spacing w:line="436" w:lineRule="auto"/>
      <w:ind w:left="480" w:right="203" w:firstLine="480"/>
      <w:outlineLvl w:val="6"/>
    </w:pPr>
    <w:rPr>
      <w:sz w:val="24"/>
      <w:szCs w:val="24"/>
    </w:rPr>
  </w:style>
  <w:style w:type="paragraph" w:styleId="9">
    <w:name w:val="heading 8"/>
    <w:basedOn w:val="1"/>
    <w:next w:val="1"/>
    <w:autoRedefine/>
    <w:qFormat/>
    <w:uiPriority w:val="1"/>
    <w:pPr>
      <w:ind w:left="900"/>
      <w:outlineLvl w:val="7"/>
    </w:pPr>
  </w:style>
  <w:style w:type="paragraph" w:styleId="10">
    <w:name w:val="heading 9"/>
    <w:basedOn w:val="1"/>
    <w:next w:val="1"/>
    <w:autoRedefine/>
    <w:qFormat/>
    <w:uiPriority w:val="1"/>
    <w:pPr>
      <w:ind w:left="343"/>
      <w:outlineLvl w:val="8"/>
    </w:pPr>
    <w:rPr>
      <w:b/>
      <w:bCs/>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2940"/>
    </w:pPr>
    <w:rPr>
      <w:rFonts w:ascii="Times New Roman" w:hAnsi="Times New Roman" w:cs="Times New Roman"/>
    </w:rPr>
  </w:style>
  <w:style w:type="paragraph" w:styleId="12">
    <w:name w:val="annotation text"/>
    <w:basedOn w:val="1"/>
    <w:link w:val="53"/>
    <w:qFormat/>
    <w:uiPriority w:val="0"/>
  </w:style>
  <w:style w:type="paragraph" w:styleId="13">
    <w:name w:val="Body Text"/>
    <w:basedOn w:val="1"/>
    <w:next w:val="1"/>
    <w:link w:val="52"/>
    <w:autoRedefine/>
    <w:qFormat/>
    <w:uiPriority w:val="99"/>
    <w:rPr>
      <w:sz w:val="21"/>
      <w:szCs w:val="21"/>
    </w:rPr>
  </w:style>
  <w:style w:type="paragraph" w:styleId="14">
    <w:name w:val="toc 3"/>
    <w:basedOn w:val="1"/>
    <w:next w:val="1"/>
    <w:autoRedefine/>
    <w:qFormat/>
    <w:uiPriority w:val="0"/>
    <w:pPr>
      <w:ind w:left="840" w:leftChars="400"/>
    </w:pPr>
  </w:style>
  <w:style w:type="paragraph" w:styleId="15">
    <w:name w:val="Plain Text"/>
    <w:basedOn w:val="1"/>
    <w:next w:val="11"/>
    <w:autoRedefine/>
    <w:qFormat/>
    <w:uiPriority w:val="0"/>
    <w:rPr>
      <w:rFonts w:hAnsi="Courier New"/>
      <w:szCs w:val="20"/>
    </w:rPr>
  </w:style>
  <w:style w:type="paragraph" w:styleId="16">
    <w:name w:val="Balloon Text"/>
    <w:basedOn w:val="1"/>
    <w:link w:val="51"/>
    <w:qFormat/>
    <w:uiPriority w:val="0"/>
    <w:rPr>
      <w:sz w:val="18"/>
      <w:szCs w:val="18"/>
    </w:r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qFormat/>
    <w:uiPriority w:val="1"/>
    <w:pPr>
      <w:spacing w:before="434"/>
      <w:ind w:left="583"/>
    </w:pPr>
    <w:rPr>
      <w:b/>
      <w:bCs/>
      <w:sz w:val="24"/>
      <w:szCs w:val="24"/>
    </w:rPr>
  </w:style>
  <w:style w:type="paragraph" w:styleId="20">
    <w:name w:val="toc 2"/>
    <w:basedOn w:val="1"/>
    <w:next w:val="1"/>
    <w:autoRedefine/>
    <w:qFormat/>
    <w:uiPriority w:val="0"/>
    <w:pPr>
      <w:ind w:left="420" w:leftChars="200"/>
    </w:pPr>
  </w:style>
  <w:style w:type="paragraph" w:styleId="21">
    <w:name w:val="Normal (Web)"/>
    <w:basedOn w:val="1"/>
    <w:qFormat/>
    <w:uiPriority w:val="99"/>
    <w:pPr>
      <w:widowControl/>
      <w:spacing w:before="100" w:beforeAutospacing="1" w:after="100" w:afterAutospacing="1"/>
    </w:pPr>
    <w:rPr>
      <w:sz w:val="24"/>
    </w:rPr>
  </w:style>
  <w:style w:type="paragraph" w:styleId="22">
    <w:name w:val="index 1"/>
    <w:basedOn w:val="1"/>
    <w:next w:val="1"/>
    <w:autoRedefine/>
    <w:semiHidden/>
    <w:qFormat/>
    <w:uiPriority w:val="0"/>
    <w:pPr>
      <w:spacing w:line="400" w:lineRule="exact"/>
      <w:ind w:firstLine="420" w:firstLineChars="200"/>
    </w:pPr>
    <w:rPr>
      <w:rFonts w:hAnsi="Courier New"/>
      <w:szCs w:val="20"/>
    </w:rPr>
  </w:style>
  <w:style w:type="paragraph" w:styleId="23">
    <w:name w:val="Title"/>
    <w:basedOn w:val="1"/>
    <w:autoRedefine/>
    <w:qFormat/>
    <w:uiPriority w:val="1"/>
    <w:pPr>
      <w:spacing w:before="1"/>
      <w:ind w:right="324"/>
      <w:jc w:val="center"/>
    </w:pPr>
    <w:rPr>
      <w:rFonts w:ascii="楷体" w:hAnsi="楷体" w:eastAsia="楷体" w:cs="楷体"/>
      <w:b/>
      <w:bCs/>
      <w:sz w:val="84"/>
      <w:szCs w:val="84"/>
    </w:rPr>
  </w:style>
  <w:style w:type="paragraph" w:styleId="24">
    <w:name w:val="annotation subject"/>
    <w:basedOn w:val="12"/>
    <w:next w:val="12"/>
    <w:link w:val="54"/>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annotation reference"/>
    <w:basedOn w:val="27"/>
    <w:qFormat/>
    <w:uiPriority w:val="0"/>
    <w:rPr>
      <w:sz w:val="21"/>
      <w:szCs w:val="21"/>
    </w:rPr>
  </w:style>
  <w:style w:type="character" w:customStyle="1" w:styleId="30">
    <w:name w:val="标题 1 Char"/>
    <w:link w:val="2"/>
    <w:autoRedefine/>
    <w:qFormat/>
    <w:uiPriority w:val="1"/>
    <w:rPr>
      <w:rFonts w:ascii="宋体" w:hAnsi="宋体" w:eastAsia="宋体" w:cs="宋体"/>
      <w:b/>
      <w:bCs/>
      <w:sz w:val="32"/>
      <w:szCs w:val="32"/>
      <w:lang w:val="en-US" w:eastAsia="zh-CN" w:bidi="ar-SA"/>
    </w:rPr>
  </w:style>
  <w:style w:type="table" w:customStyle="1" w:styleId="31">
    <w:name w:val="Table Normal"/>
    <w:autoRedefine/>
    <w:semiHidden/>
    <w:unhideWhenUsed/>
    <w:qFormat/>
    <w:uiPriority w:val="2"/>
    <w:tblPr>
      <w:tblCellMar>
        <w:top w:w="0" w:type="dxa"/>
        <w:left w:w="0" w:type="dxa"/>
        <w:bottom w:w="0" w:type="dxa"/>
        <w:right w:w="0" w:type="dxa"/>
      </w:tblCellMar>
    </w:tblPr>
  </w:style>
  <w:style w:type="paragraph" w:styleId="32">
    <w:name w:val="List Paragraph"/>
    <w:basedOn w:val="1"/>
    <w:autoRedefine/>
    <w:qFormat/>
    <w:uiPriority w:val="1"/>
    <w:pPr>
      <w:ind w:left="343" w:firstLine="420"/>
    </w:pPr>
  </w:style>
  <w:style w:type="paragraph" w:customStyle="1" w:styleId="33">
    <w:name w:val="Table Paragraph"/>
    <w:basedOn w:val="1"/>
    <w:autoRedefine/>
    <w:qFormat/>
    <w:uiPriority w:val="1"/>
  </w:style>
  <w:style w:type="paragraph" w:customStyle="1" w:styleId="34">
    <w:name w:val="Table Text"/>
    <w:basedOn w:val="1"/>
    <w:autoRedefine/>
    <w:semiHidden/>
    <w:qFormat/>
    <w:uiPriority w:val="0"/>
    <w:pPr>
      <w:tabs>
        <w:tab w:val="left" w:pos="285"/>
        <w:tab w:val="left" w:pos="526"/>
      </w:tabs>
      <w:spacing w:before="236"/>
    </w:pPr>
    <w:rPr>
      <w:rFonts w:ascii="微软雅黑" w:hAnsi="微软雅黑" w:eastAsia="微软雅黑" w:cs="微软雅黑"/>
      <w:sz w:val="24"/>
      <w:szCs w:val="24"/>
      <w:lang w:eastAsia="en-US"/>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7 (4) + 间距 7 pt"/>
    <w:qFormat/>
    <w:uiPriority w:val="0"/>
    <w:rPr>
      <w:rFonts w:ascii="MingLiU" w:hAnsi="MingLiU" w:eastAsia="MingLiU" w:cs="Times New Roman"/>
      <w:color w:val="000000"/>
      <w:spacing w:val="140"/>
      <w:w w:val="100"/>
      <w:position w:val="0"/>
      <w:sz w:val="26"/>
      <w:szCs w:val="26"/>
      <w:lang w:val="zh-CN" w:eastAsia="zh-CN" w:bidi="ar-SA"/>
    </w:rPr>
  </w:style>
  <w:style w:type="paragraph" w:customStyle="1" w:styleId="39">
    <w:name w:val="List Paragraph1"/>
    <w:basedOn w:val="1"/>
    <w:qFormat/>
    <w:uiPriority w:val="0"/>
    <w:pPr>
      <w:ind w:left="424" w:firstLine="480"/>
    </w:pPr>
  </w:style>
  <w:style w:type="character" w:customStyle="1" w:styleId="40">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41">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42">
    <w:name w:val="正文文本 (2)4"/>
    <w:basedOn w:val="1"/>
    <w:qFormat/>
    <w:uiPriority w:val="0"/>
    <w:pPr>
      <w:shd w:val="clear" w:color="auto" w:fill="FFFFFF"/>
      <w:spacing w:before="300" w:line="439" w:lineRule="exact"/>
      <w:jc w:val="distribute"/>
    </w:pPr>
    <w:rPr>
      <w:rFonts w:ascii="MingLiU" w:hAnsi="MingLiU" w:eastAsia="MingLiU"/>
      <w:spacing w:val="20"/>
      <w:szCs w:val="20"/>
    </w:rPr>
  </w:style>
  <w:style w:type="character" w:customStyle="1" w:styleId="43">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44">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45">
    <w:name w:val="正文文本 (42)1"/>
    <w:basedOn w:val="1"/>
    <w:qFormat/>
    <w:uiPriority w:val="0"/>
    <w:pPr>
      <w:shd w:val="clear" w:color="auto" w:fill="FFFFFF"/>
      <w:spacing w:line="398" w:lineRule="exact"/>
      <w:jc w:val="distribute"/>
    </w:pPr>
    <w:rPr>
      <w:rFonts w:ascii="MingLiU" w:hAnsi="MingLiU" w:eastAsia="MingLiU"/>
      <w:b/>
      <w:bCs/>
      <w:sz w:val="20"/>
      <w:szCs w:val="20"/>
    </w:rPr>
  </w:style>
  <w:style w:type="character" w:customStyle="1" w:styleId="46">
    <w:name w:val="正文文本 (42)"/>
    <w:qFormat/>
    <w:uiPriority w:val="0"/>
    <w:rPr>
      <w:rFonts w:ascii="MingLiU" w:hAnsi="MingLiU" w:eastAsia="MingLiU" w:cs="Times New Roman"/>
      <w:b/>
      <w:bCs/>
      <w:color w:val="000000"/>
      <w:spacing w:val="0"/>
      <w:w w:val="100"/>
      <w:position w:val="0"/>
      <w:u w:val="single"/>
      <w:lang w:val="zh-CN" w:eastAsia="zh-CN" w:bidi="ar-SA"/>
    </w:rPr>
  </w:style>
  <w:style w:type="character" w:customStyle="1" w:styleId="47">
    <w:name w:val="标题 #7 (5) + 间距 0 pt"/>
    <w:qFormat/>
    <w:uiPriority w:val="0"/>
    <w:rPr>
      <w:rFonts w:ascii="MingLiU" w:hAnsi="MingLiU" w:eastAsia="MingLiU" w:cs="Times New Roman"/>
      <w:color w:val="000000"/>
      <w:spacing w:val="0"/>
      <w:w w:val="100"/>
      <w:position w:val="0"/>
      <w:sz w:val="30"/>
      <w:szCs w:val="30"/>
      <w:lang w:val="zh-CN" w:eastAsia="zh-CN" w:bidi="ar-SA"/>
    </w:rPr>
  </w:style>
  <w:style w:type="paragraph" w:customStyle="1" w:styleId="48">
    <w:name w:val="正文文本 (14)"/>
    <w:basedOn w:val="1"/>
    <w:qFormat/>
    <w:uiPriority w:val="0"/>
    <w:pPr>
      <w:shd w:val="clear" w:color="auto" w:fill="FFFFFF"/>
      <w:spacing w:before="300" w:line="300" w:lineRule="exact"/>
      <w:jc w:val="distribute"/>
    </w:pPr>
    <w:rPr>
      <w:rFonts w:ascii="MingLiU" w:hAnsi="MingLiU" w:eastAsia="MingLiU"/>
      <w:sz w:val="18"/>
      <w:szCs w:val="18"/>
    </w:rPr>
  </w:style>
  <w:style w:type="character" w:customStyle="1" w:styleId="49">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50">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51">
    <w:name w:val="批注框文本 Char"/>
    <w:basedOn w:val="27"/>
    <w:link w:val="16"/>
    <w:qFormat/>
    <w:uiPriority w:val="0"/>
    <w:rPr>
      <w:rFonts w:ascii="宋体" w:hAnsi="宋体" w:cs="宋体"/>
      <w:sz w:val="18"/>
      <w:szCs w:val="18"/>
    </w:rPr>
  </w:style>
  <w:style w:type="character" w:customStyle="1" w:styleId="52">
    <w:name w:val="正文文本 Char"/>
    <w:basedOn w:val="27"/>
    <w:link w:val="13"/>
    <w:qFormat/>
    <w:uiPriority w:val="99"/>
    <w:rPr>
      <w:rFonts w:ascii="宋体" w:hAnsi="宋体" w:cs="宋体"/>
      <w:sz w:val="21"/>
      <w:szCs w:val="21"/>
    </w:rPr>
  </w:style>
  <w:style w:type="character" w:customStyle="1" w:styleId="53">
    <w:name w:val="批注文字 Char"/>
    <w:link w:val="12"/>
    <w:qFormat/>
    <w:uiPriority w:val="0"/>
    <w:rPr>
      <w:rFonts w:ascii="宋体" w:hAnsi="宋体" w:cs="宋体"/>
      <w:sz w:val="22"/>
      <w:szCs w:val="22"/>
    </w:rPr>
  </w:style>
  <w:style w:type="character" w:customStyle="1" w:styleId="54">
    <w:name w:val="批注主题 Char"/>
    <w:basedOn w:val="53"/>
    <w:link w:val="24"/>
    <w:qFormat/>
    <w:uiPriority w:val="0"/>
    <w:rPr>
      <w:b/>
      <w:bCs/>
    </w:rPr>
  </w:style>
  <w:style w:type="paragraph" w:customStyle="1" w:styleId="55">
    <w:name w:val="BodyText"/>
    <w:basedOn w:val="1"/>
    <w:qFormat/>
    <w:uiPriority w:val="0"/>
    <w:pPr>
      <w:spacing w:line="240" w:lineRule="auto"/>
      <w:jc w:val="both"/>
      <w:textAlignment w:val="baseline"/>
    </w:pPr>
    <w:rPr>
      <w:rFonts w:ascii="Times New Roman" w:hAnsi="Times New Roman" w:eastAsia="宋体" w:cs="Times New Roman"/>
      <w:kern w:val="2"/>
      <w:sz w:val="21"/>
      <w:szCs w:val="21"/>
      <w:lang w:val="en-US" w:eastAsia="zh-CN" w:bidi="ar-SA"/>
    </w:rPr>
  </w:style>
  <w:style w:type="paragraph" w:customStyle="1" w:styleId="56">
    <w:name w:val="Normal_32"/>
    <w:qFormat/>
    <w:uiPriority w:val="0"/>
    <w:rPr>
      <w:rFonts w:ascii="Times New Roman" w:hAnsi="Times New Roman" w:eastAsia="Times New Roman" w:cs="Times New Roman"/>
      <w:sz w:val="24"/>
      <w:szCs w:val="24"/>
      <w:lang w:val="en-US" w:eastAsia="zh-CN" w:bidi="ar-SA"/>
    </w:rPr>
  </w:style>
  <w:style w:type="paragraph" w:customStyle="1" w:styleId="57">
    <w:name w:val="正文_1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2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29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13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1">
    <w:name w:val="标题 3 Char1"/>
    <w:link w:val="4"/>
    <w:qFormat/>
    <w:uiPriority w:val="1"/>
    <w:rPr>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2943</Words>
  <Characters>3702</Characters>
  <Lines>459</Lines>
  <Paragraphs>129</Paragraphs>
  <TotalTime>17</TotalTime>
  <ScaleCrop>false</ScaleCrop>
  <LinksUpToDate>false</LinksUpToDate>
  <CharactersWithSpaces>3750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2024-04-10T02:08:00Z</dcterms:created>
  <dc:creator>微软用户</dc:creator>
  <cp:lastModifiedBy>WPS_1674961633</cp:lastModifiedBy>
  <cp:lastPrinted>2026-04-10T06:48:00Z</cp:lastPrinted>
  <dcterms:modified xsi:type="dcterms:W3CDTF">2026-06-12T10:21:24Z</dcterms:modified>
  <dc:title>医疗设备采购</dc:title>
  <cp:revision>988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WPS 文字</vt:lpwstr>
  </property>
  <property fmtid="{D5CDD505-2E9C-101B-9397-08002B2CF9AE}" pid="4" name="LastSaved">
    <vt:filetime>2024-04-10T00:00:00Z</vt:filetime>
  </property>
  <property fmtid="{D5CDD505-2E9C-101B-9397-08002B2CF9AE}" pid="5" name="SourceModified">
    <vt:lpwstr>D:20240402164517+08'45'</vt:lpwstr>
  </property>
  <property fmtid="{D5CDD505-2E9C-101B-9397-08002B2CF9AE}" pid="6" name="KSOProductBuildVer">
    <vt:lpwstr>2052-12.1.0.26895</vt:lpwstr>
  </property>
  <property fmtid="{D5CDD505-2E9C-101B-9397-08002B2CF9AE}" pid="7" name="ICV">
    <vt:lpwstr>668DE801ED0241BE8C471CA7F6C2FB26_13</vt:lpwstr>
  </property>
  <property fmtid="{D5CDD505-2E9C-101B-9397-08002B2CF9AE}" pid="8" name="KSOTemplateDocerSaveRecord">
    <vt:lpwstr>eyJoZGlkIjoiYmUxZDg5NDE1ODE0ZDJmMGQ0N2RmZjBjMWE3YzE0YjciLCJ1c2VySWQiOiIxNDcwNDEyMzI0In0=</vt:lpwstr>
  </property>
</Properties>
</file>