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E488F">
      <w:pPr>
        <w:pStyle w:val="62"/>
        <w:rPr>
          <w:sz w:val="30"/>
          <w:szCs w:val="30"/>
          <w:highlight w:val="none"/>
        </w:rPr>
      </w:pPr>
      <w:bookmarkStart w:id="158" w:name="_GoBack"/>
      <w:r>
        <w:rPr>
          <w:rFonts w:hint="eastAsia"/>
          <w:sz w:val="30"/>
          <w:szCs w:val="30"/>
          <w:highlight w:val="none"/>
        </w:rPr>
        <w:t>货物类</w:t>
      </w:r>
    </w:p>
    <w:p w14:paraId="31F3E7EC">
      <w:pPr>
        <w:rPr>
          <w:rFonts w:hint="eastAsia"/>
          <w:highlight w:val="none"/>
        </w:rPr>
      </w:pPr>
    </w:p>
    <w:p w14:paraId="4671ED72">
      <w:pPr>
        <w:rPr>
          <w:rFonts w:hint="eastAsia"/>
          <w:highlight w:val="none"/>
        </w:rPr>
      </w:pPr>
    </w:p>
    <w:p w14:paraId="227E06D9">
      <w:pPr>
        <w:rPr>
          <w:rFonts w:hint="eastAsia"/>
          <w:highlight w:val="none"/>
        </w:rPr>
      </w:pPr>
    </w:p>
    <w:p w14:paraId="063F3E2C">
      <w:pPr>
        <w:rPr>
          <w:rFonts w:hint="eastAsia"/>
          <w:highlight w:val="none"/>
        </w:rPr>
      </w:pPr>
    </w:p>
    <w:p w14:paraId="1D66EA39">
      <w:pPr>
        <w:rPr>
          <w:rFonts w:hint="eastAsia"/>
          <w:highlight w:val="none"/>
        </w:rPr>
      </w:pPr>
    </w:p>
    <w:p w14:paraId="2EB37BE3">
      <w:pPr>
        <w:rPr>
          <w:rFonts w:hint="eastAsia"/>
          <w:highlight w:val="none"/>
        </w:rPr>
      </w:pPr>
    </w:p>
    <w:p w14:paraId="7DCF58C7">
      <w:pPr>
        <w:rPr>
          <w:rFonts w:hint="eastAsia"/>
          <w:highlight w:val="none"/>
        </w:rPr>
      </w:pPr>
    </w:p>
    <w:p w14:paraId="552CC895">
      <w:pPr>
        <w:rPr>
          <w:rFonts w:hint="eastAsia"/>
          <w:highlight w:val="none"/>
        </w:rPr>
      </w:pPr>
    </w:p>
    <w:p w14:paraId="654283DE">
      <w:pPr>
        <w:snapToGrid w:val="0"/>
        <w:spacing w:before="165" w:beforeLines="50"/>
        <w:jc w:val="center"/>
        <w:rPr>
          <w:rFonts w:ascii="宋体" w:hAnsi="宋体" w:cs="宋体"/>
          <w:sz w:val="84"/>
          <w:szCs w:val="84"/>
          <w:highlight w:val="none"/>
        </w:rPr>
      </w:pPr>
      <w:r>
        <w:rPr>
          <w:rFonts w:hint="eastAsia" w:ascii="宋体" w:hAnsi="宋体" w:cs="宋体"/>
          <w:sz w:val="84"/>
          <w:szCs w:val="84"/>
          <w:highlight w:val="none"/>
        </w:rPr>
        <w:t>招标文件</w:t>
      </w:r>
    </w:p>
    <w:p w14:paraId="258B35EF">
      <w:pPr>
        <w:rPr>
          <w:highlight w:val="none"/>
        </w:rPr>
      </w:pPr>
    </w:p>
    <w:p w14:paraId="43C9C765">
      <w:pPr>
        <w:pStyle w:val="25"/>
        <w:snapToGrid w:val="0"/>
        <w:jc w:val="center"/>
        <w:rPr>
          <w:highlight w:val="none"/>
        </w:rPr>
      </w:pPr>
      <w:r>
        <w:rPr>
          <w:rFonts w:hint="eastAsia" w:hAnsi="宋体" w:cs="宋体"/>
          <w:sz w:val="30"/>
          <w:szCs w:val="30"/>
          <w:highlight w:val="none"/>
        </w:rPr>
        <w:t>（</w:t>
      </w:r>
      <w:r>
        <w:rPr>
          <w:rFonts w:hint="eastAsia" w:hAnsi="宋体"/>
          <w:highlight w:val="none"/>
        </w:rPr>
        <w:t>全流程电子化评标</w:t>
      </w:r>
      <w:r>
        <w:rPr>
          <w:rFonts w:hint="eastAsia" w:hAnsi="宋体" w:cs="宋体"/>
          <w:sz w:val="30"/>
          <w:szCs w:val="30"/>
          <w:highlight w:val="none"/>
        </w:rPr>
        <w:t>）</w:t>
      </w:r>
    </w:p>
    <w:p w14:paraId="2EF34F2D">
      <w:pPr>
        <w:pStyle w:val="47"/>
        <w:ind w:firstLine="210"/>
        <w:rPr>
          <w:highlight w:val="none"/>
        </w:rPr>
      </w:pPr>
    </w:p>
    <w:p w14:paraId="473130E3">
      <w:pPr>
        <w:pStyle w:val="25"/>
        <w:snapToGrid w:val="0"/>
        <w:spacing w:line="480" w:lineRule="auto"/>
        <w:jc w:val="center"/>
        <w:rPr>
          <w:rFonts w:hint="eastAsia" w:hAnsi="宋体" w:eastAsia="宋体" w:cs="宋体"/>
          <w:b/>
          <w:bCs/>
          <w:w w:val="95"/>
          <w:sz w:val="32"/>
          <w:szCs w:val="32"/>
          <w:highlight w:val="none"/>
          <w:lang w:eastAsia="zh-CN"/>
        </w:rPr>
      </w:pPr>
      <w:r>
        <w:rPr>
          <w:rFonts w:hint="eastAsia" w:hAnsi="宋体" w:cs="宋体"/>
          <w:b/>
          <w:bCs/>
          <w:w w:val="95"/>
          <w:sz w:val="32"/>
          <w:szCs w:val="32"/>
          <w:highlight w:val="none"/>
        </w:rPr>
        <w:t>项目名称：桂林市妇幼保健院2026年艾滋病防治项目经费采购</w:t>
      </w:r>
    </w:p>
    <w:p w14:paraId="452D4F81">
      <w:pPr>
        <w:pStyle w:val="25"/>
        <w:snapToGrid w:val="0"/>
        <w:spacing w:line="480" w:lineRule="auto"/>
        <w:jc w:val="center"/>
        <w:rPr>
          <w:rFonts w:hint="eastAsia" w:hAnsi="宋体" w:eastAsia="宋体" w:cs="宋体"/>
          <w:b/>
          <w:bCs/>
          <w:w w:val="95"/>
          <w:sz w:val="32"/>
          <w:szCs w:val="32"/>
          <w:highlight w:val="none"/>
          <w:lang w:eastAsia="zh-CN"/>
        </w:rPr>
      </w:pPr>
      <w:r>
        <w:rPr>
          <w:rFonts w:hint="eastAsia" w:hAnsi="宋体" w:cs="宋体"/>
          <w:b/>
          <w:bCs/>
          <w:w w:val="95"/>
          <w:sz w:val="32"/>
          <w:szCs w:val="32"/>
          <w:highlight w:val="none"/>
        </w:rPr>
        <w:t>项目编号：</w:t>
      </w:r>
      <w:r>
        <w:rPr>
          <w:rFonts w:hint="eastAsia" w:hAnsi="宋体" w:cs="宋体"/>
          <w:b/>
          <w:bCs/>
          <w:w w:val="95"/>
          <w:sz w:val="32"/>
          <w:szCs w:val="32"/>
          <w:highlight w:val="none"/>
          <w:lang w:eastAsia="zh-CN"/>
        </w:rPr>
        <w:t>GLZC2026-G1-990308-GXCJ</w:t>
      </w:r>
    </w:p>
    <w:p w14:paraId="764FD5F0">
      <w:pPr>
        <w:pStyle w:val="25"/>
        <w:snapToGrid w:val="0"/>
        <w:spacing w:line="360" w:lineRule="auto"/>
        <w:ind w:firstLine="2109" w:firstLineChars="691"/>
        <w:rPr>
          <w:rFonts w:hAnsi="宋体" w:cs="宋体"/>
          <w:b/>
          <w:bCs/>
          <w:w w:val="95"/>
          <w:sz w:val="32"/>
          <w:szCs w:val="32"/>
          <w:highlight w:val="none"/>
        </w:rPr>
      </w:pPr>
    </w:p>
    <w:p w14:paraId="2763E9A4">
      <w:pPr>
        <w:pStyle w:val="25"/>
        <w:snapToGrid w:val="0"/>
        <w:ind w:firstLine="2109" w:firstLineChars="691"/>
        <w:rPr>
          <w:rFonts w:hAnsi="宋体" w:cs="宋体"/>
          <w:b/>
          <w:bCs/>
          <w:w w:val="95"/>
          <w:sz w:val="32"/>
          <w:szCs w:val="32"/>
          <w:highlight w:val="none"/>
        </w:rPr>
      </w:pPr>
    </w:p>
    <w:p w14:paraId="742F9F5A">
      <w:pPr>
        <w:rPr>
          <w:highlight w:val="none"/>
        </w:rPr>
      </w:pPr>
    </w:p>
    <w:p w14:paraId="7A73DFFF">
      <w:pPr>
        <w:rPr>
          <w:sz w:val="32"/>
          <w:szCs w:val="32"/>
          <w:highlight w:val="none"/>
        </w:rPr>
      </w:pPr>
    </w:p>
    <w:p w14:paraId="14A45336">
      <w:pPr>
        <w:pStyle w:val="25"/>
        <w:snapToGrid w:val="0"/>
        <w:ind w:firstLine="2109" w:firstLineChars="691"/>
        <w:rPr>
          <w:rFonts w:hAnsi="宋体" w:cs="宋体"/>
          <w:b/>
          <w:bCs/>
          <w:w w:val="95"/>
          <w:sz w:val="32"/>
          <w:szCs w:val="32"/>
          <w:highlight w:val="none"/>
        </w:rPr>
      </w:pPr>
    </w:p>
    <w:p w14:paraId="19E3CE9A">
      <w:pPr>
        <w:pStyle w:val="25"/>
        <w:snapToGrid w:val="0"/>
        <w:ind w:firstLine="2109" w:firstLineChars="691"/>
        <w:rPr>
          <w:rFonts w:hAnsi="宋体" w:cs="宋体"/>
          <w:b/>
          <w:bCs/>
          <w:w w:val="95"/>
          <w:sz w:val="32"/>
          <w:szCs w:val="32"/>
          <w:highlight w:val="none"/>
        </w:rPr>
      </w:pPr>
    </w:p>
    <w:p w14:paraId="6FCF3C5D">
      <w:pPr>
        <w:pStyle w:val="25"/>
        <w:snapToGrid w:val="0"/>
        <w:ind w:firstLine="2109" w:firstLineChars="691"/>
        <w:rPr>
          <w:rFonts w:hAnsi="宋体" w:cs="宋体"/>
          <w:b/>
          <w:bCs/>
          <w:w w:val="95"/>
          <w:sz w:val="32"/>
          <w:szCs w:val="32"/>
          <w:highlight w:val="none"/>
        </w:rPr>
      </w:pPr>
    </w:p>
    <w:p w14:paraId="7C4BB670">
      <w:pPr>
        <w:pStyle w:val="25"/>
        <w:snapToGrid w:val="0"/>
        <w:spacing w:line="360" w:lineRule="auto"/>
        <w:ind w:firstLine="611" w:firstLineChars="200"/>
        <w:jc w:val="both"/>
        <w:rPr>
          <w:rFonts w:hint="eastAsia" w:hAnsi="宋体" w:eastAsia="宋体" w:cs="宋体"/>
          <w:b/>
          <w:bCs/>
          <w:w w:val="95"/>
          <w:sz w:val="32"/>
          <w:szCs w:val="32"/>
          <w:highlight w:val="none"/>
          <w:lang w:eastAsia="zh-CN"/>
        </w:rPr>
      </w:pPr>
      <w:r>
        <w:rPr>
          <w:rFonts w:hint="eastAsia" w:hAnsi="宋体" w:cs="宋体"/>
          <w:b/>
          <w:bCs/>
          <w:w w:val="95"/>
          <w:sz w:val="32"/>
          <w:szCs w:val="32"/>
          <w:highlight w:val="none"/>
        </w:rPr>
        <w:t>采购人：</w:t>
      </w:r>
      <w:r>
        <w:rPr>
          <w:rFonts w:hint="eastAsia" w:hAnsi="宋体" w:cs="宋体"/>
          <w:b/>
          <w:bCs/>
          <w:w w:val="95"/>
          <w:sz w:val="32"/>
          <w:szCs w:val="32"/>
          <w:highlight w:val="none"/>
          <w:lang w:eastAsia="zh-CN"/>
        </w:rPr>
        <w:t>桂林市妇女儿童医院（桂林市妇幼保健院）</w:t>
      </w:r>
    </w:p>
    <w:p w14:paraId="7FA2F439">
      <w:pPr>
        <w:pStyle w:val="25"/>
        <w:snapToGrid w:val="0"/>
        <w:spacing w:line="360" w:lineRule="auto"/>
        <w:ind w:firstLine="611" w:firstLineChars="200"/>
        <w:jc w:val="both"/>
        <w:rPr>
          <w:rFonts w:hint="eastAsia" w:hAnsi="宋体" w:eastAsia="宋体" w:cs="宋体"/>
          <w:b/>
          <w:bCs/>
          <w:w w:val="95"/>
          <w:sz w:val="32"/>
          <w:szCs w:val="32"/>
          <w:highlight w:val="none"/>
          <w:lang w:eastAsia="zh-CN"/>
        </w:rPr>
      </w:pPr>
      <w:r>
        <w:rPr>
          <w:rFonts w:hint="eastAsia" w:hAnsi="宋体" w:cs="宋体"/>
          <w:b/>
          <w:bCs/>
          <w:w w:val="95"/>
          <w:sz w:val="32"/>
          <w:szCs w:val="32"/>
          <w:highlight w:val="none"/>
        </w:rPr>
        <w:t>采购代理机构：</w:t>
      </w:r>
      <w:r>
        <w:rPr>
          <w:rFonts w:hint="eastAsia" w:hAnsi="宋体" w:cs="宋体"/>
          <w:b/>
          <w:bCs/>
          <w:color w:val="auto"/>
          <w:w w:val="95"/>
          <w:sz w:val="32"/>
          <w:szCs w:val="32"/>
          <w:highlight w:val="none"/>
          <w:lang w:eastAsia="zh-CN"/>
        </w:rPr>
        <w:t>广西城建咨询设计有限公司</w:t>
      </w:r>
    </w:p>
    <w:p w14:paraId="3646AA60">
      <w:pPr>
        <w:pStyle w:val="25"/>
        <w:snapToGrid w:val="0"/>
        <w:spacing w:line="360" w:lineRule="auto"/>
        <w:ind w:firstLine="611" w:firstLineChars="200"/>
        <w:jc w:val="both"/>
        <w:rPr>
          <w:rFonts w:hAnsi="宋体" w:cs="宋体"/>
          <w:sz w:val="32"/>
          <w:szCs w:val="32"/>
          <w:highlight w:val="none"/>
        </w:rPr>
      </w:pPr>
      <w:r>
        <w:rPr>
          <w:rFonts w:hint="eastAsia" w:hAnsi="宋体" w:cs="宋体"/>
          <w:b/>
          <w:bCs/>
          <w:w w:val="95"/>
          <w:sz w:val="32"/>
          <w:szCs w:val="32"/>
          <w:highlight w:val="none"/>
          <w:lang w:val="en-US" w:eastAsia="zh-CN"/>
        </w:rPr>
        <w:t>日期：2026</w:t>
      </w:r>
      <w:r>
        <w:rPr>
          <w:rFonts w:hint="eastAsia" w:hAnsi="宋体" w:cs="宋体"/>
          <w:b/>
          <w:bCs/>
          <w:w w:val="95"/>
          <w:sz w:val="32"/>
          <w:szCs w:val="32"/>
          <w:highlight w:val="none"/>
        </w:rPr>
        <w:t>年</w:t>
      </w:r>
      <w:r>
        <w:rPr>
          <w:rFonts w:hint="eastAsia" w:hAnsi="宋体" w:cs="宋体"/>
          <w:b/>
          <w:bCs/>
          <w:w w:val="95"/>
          <w:sz w:val="32"/>
          <w:szCs w:val="32"/>
          <w:highlight w:val="none"/>
          <w:lang w:val="en-US" w:eastAsia="zh-CN"/>
        </w:rPr>
        <w:t>7</w:t>
      </w:r>
      <w:r>
        <w:rPr>
          <w:rFonts w:hint="eastAsia" w:hAnsi="宋体" w:cs="宋体"/>
          <w:b/>
          <w:bCs/>
          <w:w w:val="95"/>
          <w:sz w:val="32"/>
          <w:szCs w:val="32"/>
          <w:highlight w:val="none"/>
        </w:rPr>
        <w:t>月</w:t>
      </w:r>
      <w:r>
        <w:rPr>
          <w:rFonts w:hint="eastAsia" w:hAnsi="宋体" w:cs="宋体"/>
          <w:b/>
          <w:bCs/>
          <w:w w:val="95"/>
          <w:sz w:val="32"/>
          <w:szCs w:val="32"/>
          <w:highlight w:val="none"/>
          <w:lang w:val="en-US" w:eastAsia="zh-CN"/>
        </w:rPr>
        <w:t>16</w:t>
      </w:r>
      <w:r>
        <w:rPr>
          <w:rFonts w:hint="eastAsia" w:hAnsi="宋体" w:cs="宋体"/>
          <w:b/>
          <w:bCs/>
          <w:w w:val="95"/>
          <w:sz w:val="32"/>
          <w:szCs w:val="32"/>
          <w:highlight w:val="none"/>
        </w:rPr>
        <w:t>日</w:t>
      </w:r>
    </w:p>
    <w:p w14:paraId="18B1AAFC">
      <w:pPr>
        <w:spacing w:line="240" w:lineRule="auto"/>
        <w:jc w:val="left"/>
        <w:rPr>
          <w:rFonts w:hint="eastAsia" w:ascii="宋体" w:hAnsi="宋体" w:cs="宋体"/>
          <w:b/>
          <w:sz w:val="52"/>
          <w:szCs w:val="52"/>
          <w:highlight w:val="none"/>
        </w:rPr>
      </w:pPr>
      <w:r>
        <w:rPr>
          <w:rFonts w:hint="eastAsia" w:ascii="宋体" w:hAnsi="宋体" w:cs="宋体"/>
          <w:b/>
          <w:sz w:val="52"/>
          <w:szCs w:val="52"/>
          <w:highlight w:val="none"/>
        </w:rPr>
        <w:br w:type="page"/>
      </w:r>
    </w:p>
    <w:p w14:paraId="40D97147">
      <w:pPr>
        <w:spacing w:line="360" w:lineRule="auto"/>
        <w:jc w:val="center"/>
        <w:rPr>
          <w:rFonts w:ascii="宋体" w:hAnsi="宋体" w:cs="宋体"/>
          <w:b/>
          <w:sz w:val="52"/>
          <w:szCs w:val="52"/>
          <w:highlight w:val="none"/>
        </w:rPr>
      </w:pPr>
      <w:r>
        <w:rPr>
          <w:rFonts w:hint="eastAsia" w:ascii="宋体" w:hAnsi="宋体" w:cs="宋体"/>
          <w:b/>
          <w:sz w:val="52"/>
          <w:szCs w:val="52"/>
          <w:highlight w:val="none"/>
        </w:rPr>
        <w:t>目录</w:t>
      </w:r>
    </w:p>
    <w:p w14:paraId="70DB750D">
      <w:pPr>
        <w:spacing w:line="360" w:lineRule="auto"/>
        <w:jc w:val="center"/>
        <w:rPr>
          <w:rFonts w:ascii="宋体" w:hAnsi="宋体" w:cs="宋体"/>
          <w:b/>
          <w:sz w:val="52"/>
          <w:szCs w:val="52"/>
          <w:highlight w:val="none"/>
        </w:rPr>
      </w:pPr>
    </w:p>
    <w:p w14:paraId="109D106E">
      <w:pPr>
        <w:pStyle w:val="35"/>
        <w:tabs>
          <w:tab w:val="right" w:leader="dot" w:pos="9072"/>
          <w:tab w:val="clear" w:pos="8398"/>
        </w:tabs>
        <w:rPr>
          <w:highlight w:val="none"/>
        </w:rPr>
      </w:pPr>
      <w:r>
        <w:rPr>
          <w:rFonts w:ascii="仿宋_GB2312" w:eastAsia="仿宋_GB2312"/>
          <w:b w:val="0"/>
          <w:highlight w:val="none"/>
        </w:rPr>
        <w:fldChar w:fldCharType="begin"/>
      </w:r>
      <w:r>
        <w:rPr>
          <w:rFonts w:ascii="仿宋_GB2312" w:eastAsia="仿宋_GB2312"/>
          <w:b w:val="0"/>
          <w:highlight w:val="none"/>
        </w:rPr>
        <w:instrText xml:space="preserve"> </w:instrText>
      </w:r>
      <w:r>
        <w:rPr>
          <w:rFonts w:hint="eastAsia" w:ascii="仿宋_GB2312" w:eastAsia="仿宋_GB2312"/>
          <w:b w:val="0"/>
          <w:highlight w:val="none"/>
        </w:rPr>
        <w:instrText xml:space="preserve">TOC \o "1-2" \h \z \u</w:instrText>
      </w:r>
      <w:r>
        <w:rPr>
          <w:rFonts w:ascii="仿宋_GB2312" w:eastAsia="仿宋_GB2312"/>
          <w:b w:val="0"/>
          <w:highlight w:val="none"/>
        </w:rPr>
        <w:instrText xml:space="preserve"> </w:instrText>
      </w:r>
      <w:r>
        <w:rPr>
          <w:rFonts w:ascii="仿宋_GB2312" w:eastAsia="仿宋_GB2312"/>
          <w:b w:val="0"/>
          <w:highlight w:val="none"/>
        </w:rPr>
        <w:fldChar w:fldCharType="separate"/>
      </w:r>
      <w:r>
        <w:rPr>
          <w:rFonts w:ascii="仿宋_GB2312" w:eastAsia="仿宋_GB2312"/>
          <w:highlight w:val="none"/>
        </w:rPr>
        <w:fldChar w:fldCharType="begin"/>
      </w:r>
      <w:r>
        <w:rPr>
          <w:rFonts w:ascii="仿宋_GB2312" w:eastAsia="仿宋_GB2312"/>
          <w:highlight w:val="none"/>
        </w:rPr>
        <w:instrText xml:space="preserve"> HYPERLINK \l _Toc24475 </w:instrText>
      </w:r>
      <w:r>
        <w:rPr>
          <w:rFonts w:ascii="仿宋_GB2312" w:eastAsia="仿宋_GB2312"/>
          <w:highlight w:val="none"/>
        </w:rPr>
        <w:fldChar w:fldCharType="separate"/>
      </w:r>
      <w:r>
        <w:rPr>
          <w:rFonts w:hint="eastAsia" w:ascii="宋体" w:hAnsi="宋体" w:cs="宋体"/>
          <w:highlight w:val="none"/>
        </w:rPr>
        <w:t>第一章</w:t>
      </w:r>
      <w:r>
        <w:rPr>
          <w:rFonts w:hint="eastAsia" w:ascii="宋体" w:hAnsi="宋体" w:cs="宋体"/>
          <w:highlight w:val="none"/>
          <w:lang w:eastAsia="zh-CN"/>
        </w:rPr>
        <w:t>、</w:t>
      </w:r>
      <w:r>
        <w:rPr>
          <w:rFonts w:hint="eastAsia" w:ascii="宋体" w:hAnsi="宋体" w:cs="宋体"/>
          <w:highlight w:val="none"/>
        </w:rPr>
        <w:t>招标公告</w:t>
      </w:r>
      <w:r>
        <w:rPr>
          <w:highlight w:val="none"/>
        </w:rPr>
        <w:tab/>
      </w:r>
      <w:r>
        <w:rPr>
          <w:highlight w:val="none"/>
        </w:rPr>
        <w:fldChar w:fldCharType="begin"/>
      </w:r>
      <w:r>
        <w:rPr>
          <w:highlight w:val="none"/>
        </w:rPr>
        <w:instrText xml:space="preserve"> PAGEREF _Toc24475 \h </w:instrText>
      </w:r>
      <w:r>
        <w:rPr>
          <w:highlight w:val="none"/>
        </w:rPr>
        <w:fldChar w:fldCharType="separate"/>
      </w:r>
      <w:r>
        <w:rPr>
          <w:highlight w:val="none"/>
        </w:rPr>
        <w:t>1</w:t>
      </w:r>
      <w:r>
        <w:rPr>
          <w:highlight w:val="none"/>
        </w:rPr>
        <w:fldChar w:fldCharType="end"/>
      </w:r>
      <w:r>
        <w:rPr>
          <w:rFonts w:ascii="仿宋_GB2312" w:eastAsia="仿宋_GB2312"/>
          <w:highlight w:val="none"/>
        </w:rPr>
        <w:fldChar w:fldCharType="end"/>
      </w:r>
    </w:p>
    <w:p w14:paraId="58D19E26">
      <w:pPr>
        <w:pStyle w:val="35"/>
        <w:tabs>
          <w:tab w:val="right" w:leader="dot" w:pos="9072"/>
          <w:tab w:val="clear" w:pos="8398"/>
        </w:tabs>
        <w:rPr>
          <w:highlight w:val="none"/>
        </w:rPr>
      </w:pPr>
      <w:r>
        <w:rPr>
          <w:rFonts w:ascii="仿宋_GB2312" w:eastAsia="仿宋_GB2312"/>
          <w:highlight w:val="none"/>
        </w:rPr>
        <w:fldChar w:fldCharType="begin"/>
      </w:r>
      <w:r>
        <w:rPr>
          <w:rFonts w:ascii="仿宋_GB2312" w:eastAsia="仿宋_GB2312"/>
          <w:highlight w:val="none"/>
        </w:rPr>
        <w:instrText xml:space="preserve"> HYPERLINK \l _Toc16120 </w:instrText>
      </w:r>
      <w:r>
        <w:rPr>
          <w:rFonts w:ascii="仿宋_GB2312" w:eastAsia="仿宋_GB2312"/>
          <w:highlight w:val="none"/>
        </w:rPr>
        <w:fldChar w:fldCharType="separate"/>
      </w:r>
      <w:r>
        <w:rPr>
          <w:rFonts w:hint="eastAsia" w:ascii="宋体" w:hAnsi="宋体" w:cs="宋体"/>
          <w:highlight w:val="none"/>
        </w:rPr>
        <w:t>第二章</w:t>
      </w:r>
      <w:r>
        <w:rPr>
          <w:rFonts w:hint="eastAsia" w:ascii="宋体" w:hAnsi="宋体" w:cs="宋体"/>
          <w:highlight w:val="none"/>
          <w:lang w:eastAsia="zh-CN"/>
        </w:rPr>
        <w:t>、</w:t>
      </w:r>
      <w:r>
        <w:rPr>
          <w:rFonts w:hint="eastAsia" w:ascii="宋体" w:hAnsi="宋体" w:cs="宋体"/>
          <w:highlight w:val="none"/>
        </w:rPr>
        <w:t>采购需求</w:t>
      </w:r>
      <w:r>
        <w:rPr>
          <w:highlight w:val="none"/>
        </w:rPr>
        <w:tab/>
      </w:r>
      <w:r>
        <w:rPr>
          <w:highlight w:val="none"/>
        </w:rPr>
        <w:fldChar w:fldCharType="begin"/>
      </w:r>
      <w:r>
        <w:rPr>
          <w:highlight w:val="none"/>
        </w:rPr>
        <w:instrText xml:space="preserve"> PAGEREF _Toc16120 \h </w:instrText>
      </w:r>
      <w:r>
        <w:rPr>
          <w:highlight w:val="none"/>
        </w:rPr>
        <w:fldChar w:fldCharType="separate"/>
      </w:r>
      <w:r>
        <w:rPr>
          <w:highlight w:val="none"/>
        </w:rPr>
        <w:t>6</w:t>
      </w:r>
      <w:r>
        <w:rPr>
          <w:highlight w:val="none"/>
        </w:rPr>
        <w:fldChar w:fldCharType="end"/>
      </w:r>
      <w:r>
        <w:rPr>
          <w:rFonts w:ascii="仿宋_GB2312" w:eastAsia="仿宋_GB2312"/>
          <w:highlight w:val="none"/>
        </w:rPr>
        <w:fldChar w:fldCharType="end"/>
      </w:r>
    </w:p>
    <w:p w14:paraId="48617CDA">
      <w:pPr>
        <w:pStyle w:val="35"/>
        <w:tabs>
          <w:tab w:val="right" w:leader="dot" w:pos="9072"/>
          <w:tab w:val="clear" w:pos="8398"/>
        </w:tabs>
        <w:rPr>
          <w:highlight w:val="none"/>
        </w:rPr>
      </w:pPr>
      <w:r>
        <w:rPr>
          <w:rFonts w:ascii="仿宋_GB2312" w:eastAsia="仿宋_GB2312"/>
          <w:highlight w:val="none"/>
        </w:rPr>
        <w:fldChar w:fldCharType="begin"/>
      </w:r>
      <w:r>
        <w:rPr>
          <w:rFonts w:ascii="仿宋_GB2312" w:eastAsia="仿宋_GB2312"/>
          <w:highlight w:val="none"/>
        </w:rPr>
        <w:instrText xml:space="preserve"> HYPERLINK \l _Toc12721 </w:instrText>
      </w:r>
      <w:r>
        <w:rPr>
          <w:rFonts w:ascii="仿宋_GB2312" w:eastAsia="仿宋_GB2312"/>
          <w:highlight w:val="none"/>
        </w:rPr>
        <w:fldChar w:fldCharType="separate"/>
      </w:r>
      <w:r>
        <w:rPr>
          <w:rFonts w:hint="eastAsia" w:ascii="宋体" w:hAnsi="宋体" w:cs="宋体"/>
          <w:highlight w:val="none"/>
        </w:rPr>
        <w:t>第三章</w:t>
      </w:r>
      <w:r>
        <w:rPr>
          <w:rFonts w:hint="eastAsia" w:ascii="宋体" w:hAnsi="宋体" w:cs="宋体"/>
          <w:highlight w:val="none"/>
          <w:lang w:eastAsia="zh-CN"/>
        </w:rPr>
        <w:t>、</w:t>
      </w:r>
      <w:r>
        <w:rPr>
          <w:rFonts w:hint="eastAsia" w:ascii="宋体" w:hAnsi="宋体" w:cs="宋体"/>
          <w:highlight w:val="none"/>
        </w:rPr>
        <w:t>投标人须知</w:t>
      </w:r>
      <w:r>
        <w:rPr>
          <w:highlight w:val="none"/>
        </w:rPr>
        <w:tab/>
      </w:r>
      <w:r>
        <w:rPr>
          <w:highlight w:val="none"/>
        </w:rPr>
        <w:fldChar w:fldCharType="begin"/>
      </w:r>
      <w:r>
        <w:rPr>
          <w:highlight w:val="none"/>
        </w:rPr>
        <w:instrText xml:space="preserve"> PAGEREF _Toc12721 \h </w:instrText>
      </w:r>
      <w:r>
        <w:rPr>
          <w:highlight w:val="none"/>
        </w:rPr>
        <w:fldChar w:fldCharType="separate"/>
      </w:r>
      <w:r>
        <w:rPr>
          <w:highlight w:val="none"/>
        </w:rPr>
        <w:t>59</w:t>
      </w:r>
      <w:r>
        <w:rPr>
          <w:highlight w:val="none"/>
        </w:rPr>
        <w:fldChar w:fldCharType="end"/>
      </w:r>
      <w:r>
        <w:rPr>
          <w:rFonts w:ascii="仿宋_GB2312" w:eastAsia="仿宋_GB2312"/>
          <w:highlight w:val="none"/>
        </w:rPr>
        <w:fldChar w:fldCharType="end"/>
      </w:r>
    </w:p>
    <w:p w14:paraId="368165EF">
      <w:pPr>
        <w:pStyle w:val="35"/>
        <w:tabs>
          <w:tab w:val="right" w:leader="dot" w:pos="9072"/>
          <w:tab w:val="clear" w:pos="8398"/>
        </w:tabs>
        <w:rPr>
          <w:highlight w:val="none"/>
        </w:rPr>
      </w:pPr>
      <w:r>
        <w:rPr>
          <w:rFonts w:ascii="仿宋_GB2312" w:eastAsia="仿宋_GB2312"/>
          <w:highlight w:val="none"/>
        </w:rPr>
        <w:fldChar w:fldCharType="begin"/>
      </w:r>
      <w:r>
        <w:rPr>
          <w:rFonts w:ascii="仿宋_GB2312" w:eastAsia="仿宋_GB2312"/>
          <w:highlight w:val="none"/>
        </w:rPr>
        <w:instrText xml:space="preserve"> HYPERLINK \l _Toc11659 </w:instrText>
      </w:r>
      <w:r>
        <w:rPr>
          <w:rFonts w:ascii="仿宋_GB2312" w:eastAsia="仿宋_GB2312"/>
          <w:highlight w:val="none"/>
        </w:rPr>
        <w:fldChar w:fldCharType="separate"/>
      </w:r>
      <w:r>
        <w:rPr>
          <w:rFonts w:hint="eastAsia" w:ascii="宋体" w:hAnsi="宋体" w:cs="宋体"/>
          <w:highlight w:val="none"/>
        </w:rPr>
        <w:t>第四章</w:t>
      </w:r>
      <w:r>
        <w:rPr>
          <w:rFonts w:hint="eastAsia" w:ascii="宋体" w:hAnsi="宋体" w:cs="宋体"/>
          <w:highlight w:val="none"/>
          <w:lang w:eastAsia="zh-CN"/>
        </w:rPr>
        <w:t>、</w:t>
      </w:r>
      <w:r>
        <w:rPr>
          <w:rFonts w:hint="eastAsia" w:ascii="宋体" w:hAnsi="宋体" w:cs="宋体"/>
          <w:highlight w:val="none"/>
        </w:rPr>
        <w:t>评标方法及评标标准</w:t>
      </w:r>
      <w:r>
        <w:rPr>
          <w:highlight w:val="none"/>
        </w:rPr>
        <w:tab/>
      </w:r>
      <w:r>
        <w:rPr>
          <w:highlight w:val="none"/>
        </w:rPr>
        <w:fldChar w:fldCharType="begin"/>
      </w:r>
      <w:r>
        <w:rPr>
          <w:highlight w:val="none"/>
        </w:rPr>
        <w:instrText xml:space="preserve"> PAGEREF _Toc11659 \h </w:instrText>
      </w:r>
      <w:r>
        <w:rPr>
          <w:highlight w:val="none"/>
        </w:rPr>
        <w:fldChar w:fldCharType="separate"/>
      </w:r>
      <w:r>
        <w:rPr>
          <w:highlight w:val="none"/>
        </w:rPr>
        <w:t>84</w:t>
      </w:r>
      <w:r>
        <w:rPr>
          <w:highlight w:val="none"/>
        </w:rPr>
        <w:fldChar w:fldCharType="end"/>
      </w:r>
      <w:r>
        <w:rPr>
          <w:rFonts w:ascii="仿宋_GB2312" w:eastAsia="仿宋_GB2312"/>
          <w:highlight w:val="none"/>
        </w:rPr>
        <w:fldChar w:fldCharType="end"/>
      </w:r>
    </w:p>
    <w:p w14:paraId="7A889047">
      <w:pPr>
        <w:pStyle w:val="35"/>
        <w:tabs>
          <w:tab w:val="right" w:leader="dot" w:pos="9072"/>
          <w:tab w:val="clear" w:pos="8398"/>
        </w:tabs>
        <w:rPr>
          <w:highlight w:val="none"/>
        </w:rPr>
      </w:pPr>
      <w:r>
        <w:rPr>
          <w:rFonts w:ascii="仿宋_GB2312" w:eastAsia="仿宋_GB2312"/>
          <w:highlight w:val="none"/>
        </w:rPr>
        <w:fldChar w:fldCharType="begin"/>
      </w:r>
      <w:r>
        <w:rPr>
          <w:rFonts w:ascii="仿宋_GB2312" w:eastAsia="仿宋_GB2312"/>
          <w:highlight w:val="none"/>
        </w:rPr>
        <w:instrText xml:space="preserve"> HYPERLINK \l _Toc27298 </w:instrText>
      </w:r>
      <w:r>
        <w:rPr>
          <w:rFonts w:ascii="仿宋_GB2312" w:eastAsia="仿宋_GB2312"/>
          <w:highlight w:val="none"/>
        </w:rPr>
        <w:fldChar w:fldCharType="separate"/>
      </w:r>
      <w:r>
        <w:rPr>
          <w:rFonts w:hint="eastAsia" w:ascii="宋体" w:hAnsi="宋体" w:cs="宋体"/>
          <w:highlight w:val="none"/>
        </w:rPr>
        <w:t>第五章</w:t>
      </w:r>
      <w:r>
        <w:rPr>
          <w:rFonts w:hint="eastAsia" w:ascii="宋体" w:hAnsi="宋体" w:cs="宋体"/>
          <w:highlight w:val="none"/>
          <w:lang w:eastAsia="zh-CN"/>
        </w:rPr>
        <w:t>、</w:t>
      </w:r>
      <w:r>
        <w:rPr>
          <w:rFonts w:hint="eastAsia" w:ascii="宋体" w:hAnsi="宋体" w:cs="宋体"/>
          <w:highlight w:val="none"/>
        </w:rPr>
        <w:t>拟签订的合同文本</w:t>
      </w:r>
      <w:r>
        <w:rPr>
          <w:highlight w:val="none"/>
        </w:rPr>
        <w:tab/>
      </w:r>
      <w:r>
        <w:rPr>
          <w:highlight w:val="none"/>
        </w:rPr>
        <w:fldChar w:fldCharType="begin"/>
      </w:r>
      <w:r>
        <w:rPr>
          <w:highlight w:val="none"/>
        </w:rPr>
        <w:instrText xml:space="preserve"> PAGEREF _Toc27298 \h </w:instrText>
      </w:r>
      <w:r>
        <w:rPr>
          <w:highlight w:val="none"/>
        </w:rPr>
        <w:fldChar w:fldCharType="separate"/>
      </w:r>
      <w:r>
        <w:rPr>
          <w:highlight w:val="none"/>
        </w:rPr>
        <w:t>97</w:t>
      </w:r>
      <w:r>
        <w:rPr>
          <w:highlight w:val="none"/>
        </w:rPr>
        <w:fldChar w:fldCharType="end"/>
      </w:r>
      <w:r>
        <w:rPr>
          <w:rFonts w:ascii="仿宋_GB2312" w:eastAsia="仿宋_GB2312"/>
          <w:highlight w:val="none"/>
        </w:rPr>
        <w:fldChar w:fldCharType="end"/>
      </w:r>
    </w:p>
    <w:p w14:paraId="57120E0A">
      <w:pPr>
        <w:pStyle w:val="35"/>
        <w:tabs>
          <w:tab w:val="right" w:leader="dot" w:pos="9072"/>
          <w:tab w:val="clear" w:pos="8398"/>
        </w:tabs>
        <w:rPr>
          <w:highlight w:val="none"/>
        </w:rPr>
      </w:pPr>
      <w:r>
        <w:rPr>
          <w:rFonts w:ascii="仿宋_GB2312" w:eastAsia="仿宋_GB2312"/>
          <w:highlight w:val="none"/>
        </w:rPr>
        <w:fldChar w:fldCharType="begin"/>
      </w:r>
      <w:r>
        <w:rPr>
          <w:rFonts w:ascii="仿宋_GB2312" w:eastAsia="仿宋_GB2312"/>
          <w:highlight w:val="none"/>
        </w:rPr>
        <w:instrText xml:space="preserve"> HYPERLINK \l _Toc23387 </w:instrText>
      </w:r>
      <w:r>
        <w:rPr>
          <w:rFonts w:ascii="仿宋_GB2312" w:eastAsia="仿宋_GB2312"/>
          <w:highlight w:val="none"/>
        </w:rPr>
        <w:fldChar w:fldCharType="separate"/>
      </w:r>
      <w:r>
        <w:rPr>
          <w:rFonts w:hint="eastAsia" w:ascii="宋体" w:hAnsi="宋体" w:cs="宋体"/>
          <w:highlight w:val="none"/>
        </w:rPr>
        <w:t>第六章</w:t>
      </w:r>
      <w:r>
        <w:rPr>
          <w:rFonts w:hint="eastAsia" w:ascii="宋体" w:hAnsi="宋体" w:cs="宋体"/>
          <w:highlight w:val="none"/>
          <w:lang w:eastAsia="zh-CN"/>
        </w:rPr>
        <w:t>、</w:t>
      </w:r>
      <w:r>
        <w:rPr>
          <w:rFonts w:hint="eastAsia" w:ascii="宋体" w:hAnsi="宋体" w:cs="宋体"/>
          <w:highlight w:val="none"/>
        </w:rPr>
        <w:t>投标文件格式</w:t>
      </w:r>
      <w:r>
        <w:rPr>
          <w:highlight w:val="none"/>
        </w:rPr>
        <w:tab/>
      </w:r>
      <w:r>
        <w:rPr>
          <w:highlight w:val="none"/>
        </w:rPr>
        <w:fldChar w:fldCharType="begin"/>
      </w:r>
      <w:r>
        <w:rPr>
          <w:highlight w:val="none"/>
        </w:rPr>
        <w:instrText xml:space="preserve"> PAGEREF _Toc23387 \h </w:instrText>
      </w:r>
      <w:r>
        <w:rPr>
          <w:highlight w:val="none"/>
        </w:rPr>
        <w:fldChar w:fldCharType="separate"/>
      </w:r>
      <w:r>
        <w:rPr>
          <w:highlight w:val="none"/>
        </w:rPr>
        <w:t>113</w:t>
      </w:r>
      <w:r>
        <w:rPr>
          <w:highlight w:val="none"/>
        </w:rPr>
        <w:fldChar w:fldCharType="end"/>
      </w:r>
      <w:r>
        <w:rPr>
          <w:rFonts w:ascii="仿宋_GB2312" w:eastAsia="仿宋_GB2312"/>
          <w:highlight w:val="none"/>
        </w:rPr>
        <w:fldChar w:fldCharType="end"/>
      </w:r>
    </w:p>
    <w:p w14:paraId="0FA6C01A">
      <w:pPr>
        <w:pStyle w:val="35"/>
        <w:tabs>
          <w:tab w:val="left" w:pos="1260"/>
        </w:tabs>
        <w:spacing w:line="480" w:lineRule="auto"/>
        <w:ind w:left="1260" w:leftChars="600" w:firstLine="0" w:firstLineChars="0"/>
        <w:rPr>
          <w:rFonts w:cs="宋体"/>
          <w:b w:val="0"/>
          <w:sz w:val="32"/>
          <w:szCs w:val="32"/>
          <w:highlight w:val="none"/>
        </w:rPr>
      </w:pPr>
      <w:r>
        <w:rPr>
          <w:rFonts w:ascii="仿宋_GB2312" w:eastAsia="仿宋_GB2312"/>
          <w:highlight w:val="none"/>
        </w:rPr>
        <w:fldChar w:fldCharType="end"/>
      </w:r>
    </w:p>
    <w:p w14:paraId="030EB5D9">
      <w:pPr>
        <w:spacing w:before="165" w:beforeLines="50" w:line="480" w:lineRule="auto"/>
        <w:ind w:firstLine="1890" w:firstLineChars="525"/>
        <w:rPr>
          <w:rFonts w:ascii="宋体" w:hAnsi="宋体" w:cs="宋体"/>
          <w:sz w:val="36"/>
          <w:szCs w:val="32"/>
          <w:highlight w:val="none"/>
        </w:rPr>
      </w:pPr>
    </w:p>
    <w:p w14:paraId="6662FF00">
      <w:pPr>
        <w:spacing w:line="480" w:lineRule="auto"/>
        <w:ind w:firstLine="1260" w:firstLineChars="525"/>
        <w:rPr>
          <w:rFonts w:ascii="宋体" w:hAnsi="宋体" w:cs="宋体"/>
          <w:sz w:val="24"/>
          <w:szCs w:val="32"/>
          <w:highlight w:val="none"/>
        </w:rPr>
      </w:pPr>
    </w:p>
    <w:p w14:paraId="7EDD938B">
      <w:pPr>
        <w:spacing w:before="165" w:beforeLines="50" w:line="480" w:lineRule="exact"/>
        <w:rPr>
          <w:rFonts w:ascii="宋体" w:hAnsi="宋体" w:cs="宋体"/>
          <w:sz w:val="30"/>
          <w:highlight w:val="none"/>
        </w:rPr>
      </w:pPr>
    </w:p>
    <w:p w14:paraId="15722599">
      <w:pPr>
        <w:spacing w:before="165" w:beforeLines="50" w:line="480" w:lineRule="exact"/>
        <w:rPr>
          <w:rFonts w:ascii="宋体" w:hAnsi="宋体" w:cs="宋体"/>
          <w:sz w:val="30"/>
          <w:highlight w:val="none"/>
        </w:rPr>
      </w:pPr>
    </w:p>
    <w:p w14:paraId="571919D9">
      <w:pPr>
        <w:pStyle w:val="9"/>
        <w:rPr>
          <w:rFonts w:ascii="宋体" w:hAnsi="宋体" w:cs="宋体"/>
          <w:b/>
          <w:bCs/>
          <w:highlight w:val="none"/>
        </w:rPr>
      </w:pPr>
      <w:bookmarkStart w:id="0" w:name="_Toc254970489"/>
      <w:bookmarkStart w:id="1" w:name="_Toc254970630"/>
    </w:p>
    <w:p w14:paraId="79018DAB">
      <w:pPr>
        <w:pStyle w:val="2"/>
        <w:keepNext w:val="0"/>
        <w:keepLines w:val="0"/>
        <w:tabs>
          <w:tab w:val="left" w:pos="0"/>
          <w:tab w:val="left" w:pos="3165"/>
          <w:tab w:val="center" w:pos="4153"/>
        </w:tabs>
        <w:autoSpaceDE w:val="0"/>
        <w:autoSpaceDN w:val="0"/>
        <w:adjustRightInd w:val="0"/>
        <w:spacing w:before="0" w:after="0" w:line="360" w:lineRule="auto"/>
        <w:jc w:val="center"/>
        <w:rPr>
          <w:rFonts w:ascii="宋体" w:hAnsi="宋体" w:cs="宋体"/>
          <w:highlight w:val="none"/>
        </w:rPr>
        <w:sectPr>
          <w:footerReference r:id="rId3" w:type="default"/>
          <w:pgSz w:w="11906" w:h="16838"/>
          <w:pgMar w:top="1417" w:right="1417" w:bottom="1417" w:left="1417" w:header="720" w:footer="720" w:gutter="0"/>
          <w:cols w:space="0" w:num="1"/>
          <w:rtlGutter w:val="0"/>
          <w:docGrid w:type="lines" w:linePitch="333" w:charSpace="0"/>
        </w:sectPr>
      </w:pPr>
      <w:bookmarkStart w:id="2" w:name="_Toc74320800"/>
    </w:p>
    <w:p w14:paraId="4BA4D248">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highlight w:val="none"/>
        </w:rPr>
      </w:pPr>
      <w:bookmarkStart w:id="3" w:name="_Toc24475"/>
      <w:r>
        <w:rPr>
          <w:rFonts w:hint="eastAsia" w:ascii="宋体" w:hAnsi="宋体" w:cs="宋体"/>
          <w:highlight w:val="none"/>
        </w:rPr>
        <w:t>第一章</w:t>
      </w:r>
      <w:bookmarkEnd w:id="0"/>
      <w:bookmarkEnd w:id="1"/>
      <w:bookmarkStart w:id="4" w:name="_Toc28359001"/>
      <w:bookmarkStart w:id="5" w:name="_Toc35393789"/>
      <w:r>
        <w:rPr>
          <w:rFonts w:hint="eastAsia" w:ascii="宋体" w:hAnsi="宋体" w:cs="宋体"/>
          <w:highlight w:val="none"/>
          <w:lang w:eastAsia="zh-CN"/>
        </w:rPr>
        <w:t>、</w:t>
      </w:r>
      <w:r>
        <w:rPr>
          <w:rFonts w:hint="eastAsia" w:ascii="宋体" w:hAnsi="宋体" w:cs="宋体"/>
          <w:highlight w:val="none"/>
        </w:rPr>
        <w:t>招标公告</w:t>
      </w:r>
      <w:bookmarkEnd w:id="2"/>
      <w:bookmarkEnd w:id="3"/>
      <w:bookmarkEnd w:id="4"/>
      <w:bookmarkEnd w:id="5"/>
    </w:p>
    <w:p w14:paraId="6EAD8468">
      <w:pPr>
        <w:rPr>
          <w:highlight w:val="none"/>
        </w:rPr>
      </w:pPr>
    </w:p>
    <w:p w14:paraId="226665BE">
      <w:pPr>
        <w:pBdr>
          <w:top w:val="single" w:color="auto" w:sz="4" w:space="1"/>
          <w:left w:val="single" w:color="auto" w:sz="4" w:space="4"/>
          <w:bottom w:val="single" w:color="auto" w:sz="4" w:space="1"/>
          <w:right w:val="single" w:color="auto" w:sz="4" w:space="4"/>
        </w:pBdr>
        <w:wordWrap w:val="0"/>
        <w:topLinePunct/>
        <w:spacing w:line="360" w:lineRule="auto"/>
        <w:rPr>
          <w:rFonts w:hint="eastAsia" w:ascii="宋体" w:hAnsi="宋体" w:cs="宋体"/>
          <w:b/>
          <w:bCs/>
          <w:sz w:val="21"/>
          <w:szCs w:val="21"/>
          <w:highlight w:val="none"/>
        </w:rPr>
      </w:pPr>
      <w:r>
        <w:rPr>
          <w:rFonts w:hint="eastAsia" w:ascii="宋体" w:hAnsi="宋体" w:cs="宋体"/>
          <w:b/>
          <w:bCs/>
          <w:sz w:val="21"/>
          <w:szCs w:val="21"/>
          <w:highlight w:val="none"/>
        </w:rPr>
        <w:t>项目概况：</w:t>
      </w:r>
    </w:p>
    <w:p w14:paraId="4D59DF99">
      <w:pPr>
        <w:pBdr>
          <w:top w:val="single" w:color="auto" w:sz="4" w:space="1"/>
          <w:left w:val="single" w:color="auto" w:sz="4" w:space="4"/>
          <w:bottom w:val="single" w:color="auto" w:sz="4" w:space="1"/>
          <w:right w:val="single" w:color="auto" w:sz="4" w:space="4"/>
        </w:pBdr>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桂林市妇幼保健院2026年艾滋病防治项目经费采购招标项目的潜在投标人应在广西政府采购云平台（</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"%20https://www.gcy.zfcg.gxzf.gov.cn/）获取（下载）招标文件，并于****年**月**日**时**分" </w:instrText>
      </w:r>
      <w:r>
        <w:rPr>
          <w:rFonts w:hint="eastAsia" w:ascii="宋体" w:hAnsi="宋体" w:cs="宋体"/>
          <w:szCs w:val="21"/>
          <w:highlight w:val="none"/>
        </w:rPr>
        <w:fldChar w:fldCharType="separate"/>
      </w:r>
      <w:r>
        <w:rPr>
          <w:rStyle w:val="55"/>
          <w:rFonts w:hint="eastAsia" w:ascii="宋体" w:hAnsi="宋体" w:cs="宋体"/>
          <w:color w:val="auto"/>
          <w:sz w:val="21"/>
          <w:szCs w:val="21"/>
          <w:highlight w:val="none"/>
        </w:rPr>
        <w:t>https://www.gcy.zfcg.gxzf.gov.cn/）获取（下载）招标文件，并于</w:t>
      </w:r>
      <w:r>
        <w:rPr>
          <w:rStyle w:val="55"/>
          <w:rFonts w:hint="eastAsia" w:ascii="宋体" w:hAnsi="宋体" w:cs="宋体"/>
          <w:color w:val="auto"/>
          <w:sz w:val="21"/>
          <w:szCs w:val="21"/>
          <w:highlight w:val="none"/>
          <w:lang w:val="en-US" w:eastAsia="zh-CN"/>
        </w:rPr>
        <w:t>2026</w:t>
      </w:r>
      <w:r>
        <w:rPr>
          <w:rStyle w:val="55"/>
          <w:rFonts w:hint="eastAsia" w:ascii="宋体" w:hAnsi="宋体" w:cs="宋体"/>
          <w:color w:val="auto"/>
          <w:sz w:val="21"/>
          <w:szCs w:val="21"/>
          <w:highlight w:val="none"/>
        </w:rPr>
        <w:t>年</w:t>
      </w:r>
      <w:r>
        <w:rPr>
          <w:rStyle w:val="55"/>
          <w:rFonts w:hint="eastAsia" w:ascii="宋体" w:hAnsi="宋体" w:cs="宋体"/>
          <w:color w:val="auto"/>
          <w:sz w:val="21"/>
          <w:szCs w:val="21"/>
          <w:highlight w:val="none"/>
          <w:lang w:val="en-US" w:eastAsia="zh-CN"/>
        </w:rPr>
        <w:t>8</w:t>
      </w:r>
      <w:r>
        <w:rPr>
          <w:rStyle w:val="55"/>
          <w:rFonts w:hint="eastAsia" w:ascii="宋体" w:hAnsi="宋体" w:cs="宋体"/>
          <w:color w:val="auto"/>
          <w:sz w:val="21"/>
          <w:szCs w:val="21"/>
          <w:highlight w:val="none"/>
        </w:rPr>
        <w:t>月</w:t>
      </w:r>
      <w:r>
        <w:rPr>
          <w:rStyle w:val="55"/>
          <w:rFonts w:hint="eastAsia" w:ascii="宋体" w:hAnsi="宋体" w:cs="宋体"/>
          <w:color w:val="auto"/>
          <w:sz w:val="21"/>
          <w:szCs w:val="21"/>
          <w:highlight w:val="none"/>
          <w:lang w:val="en-US" w:eastAsia="zh-CN"/>
        </w:rPr>
        <w:t>6</w:t>
      </w:r>
      <w:r>
        <w:rPr>
          <w:rStyle w:val="55"/>
          <w:rFonts w:hint="eastAsia" w:ascii="宋体" w:hAnsi="宋体" w:cs="宋体"/>
          <w:color w:val="auto"/>
          <w:sz w:val="21"/>
          <w:szCs w:val="21"/>
          <w:highlight w:val="none"/>
        </w:rPr>
        <w:t>日</w:t>
      </w:r>
      <w:r>
        <w:rPr>
          <w:rStyle w:val="55"/>
          <w:rFonts w:hint="eastAsia" w:ascii="宋体" w:hAnsi="宋体" w:cs="宋体"/>
          <w:color w:val="auto"/>
          <w:sz w:val="21"/>
          <w:szCs w:val="21"/>
          <w:highlight w:val="none"/>
          <w:lang w:val="en-US" w:eastAsia="zh-CN"/>
        </w:rPr>
        <w:t>09</w:t>
      </w:r>
      <w:r>
        <w:rPr>
          <w:rStyle w:val="55"/>
          <w:rFonts w:hint="eastAsia" w:ascii="宋体" w:hAnsi="宋体" w:cs="宋体"/>
          <w:color w:val="auto"/>
          <w:sz w:val="21"/>
          <w:szCs w:val="21"/>
          <w:highlight w:val="none"/>
        </w:rPr>
        <w:t>时</w:t>
      </w:r>
      <w:r>
        <w:rPr>
          <w:rStyle w:val="55"/>
          <w:rFonts w:hint="eastAsia" w:ascii="宋体" w:hAnsi="宋体" w:cs="宋体"/>
          <w:color w:val="auto"/>
          <w:sz w:val="21"/>
          <w:szCs w:val="21"/>
          <w:highlight w:val="none"/>
          <w:lang w:val="en-US" w:eastAsia="zh-CN"/>
        </w:rPr>
        <w:t>30</w:t>
      </w:r>
      <w:r>
        <w:rPr>
          <w:rStyle w:val="55"/>
          <w:rFonts w:hint="eastAsia" w:ascii="宋体" w:hAnsi="宋体" w:cs="宋体"/>
          <w:color w:val="auto"/>
          <w:sz w:val="21"/>
          <w:szCs w:val="21"/>
          <w:highlight w:val="none"/>
        </w:rPr>
        <w:t>分</w:t>
      </w:r>
      <w:r>
        <w:rPr>
          <w:rStyle w:val="55"/>
          <w:rFonts w:hint="eastAsia" w:ascii="宋体" w:hAnsi="宋体" w:cs="宋体"/>
          <w:color w:val="auto"/>
          <w:sz w:val="21"/>
          <w:szCs w:val="21"/>
          <w:highlight w:val="none"/>
        </w:rPr>
        <w:fldChar w:fldCharType="end"/>
      </w:r>
      <w:r>
        <w:rPr>
          <w:rFonts w:hint="eastAsia" w:ascii="宋体" w:hAnsi="宋体" w:cs="宋体"/>
          <w:bCs/>
          <w:sz w:val="21"/>
          <w:szCs w:val="21"/>
          <w:highlight w:val="none"/>
        </w:rPr>
        <w:t>（北京时间）前递交投标文件</w:t>
      </w:r>
      <w:r>
        <w:rPr>
          <w:rFonts w:hint="eastAsia" w:ascii="宋体" w:hAnsi="宋体" w:cs="宋体"/>
          <w:sz w:val="21"/>
          <w:szCs w:val="21"/>
          <w:highlight w:val="none"/>
        </w:rPr>
        <w:t>。</w:t>
      </w:r>
    </w:p>
    <w:p w14:paraId="3C1E8B50">
      <w:pPr>
        <w:wordWrap w:val="0"/>
        <w:topLinePunct/>
        <w:spacing w:line="360" w:lineRule="auto"/>
        <w:ind w:firstLine="422" w:firstLineChars="200"/>
        <w:rPr>
          <w:rFonts w:hint="eastAsia" w:ascii="宋体" w:hAnsi="宋体" w:cs="宋体"/>
          <w:b/>
          <w:bCs/>
          <w:sz w:val="21"/>
          <w:szCs w:val="21"/>
          <w:highlight w:val="none"/>
        </w:rPr>
      </w:pPr>
      <w:bookmarkStart w:id="6" w:name="_Toc35393621"/>
      <w:bookmarkStart w:id="7" w:name="_Toc28359079"/>
      <w:bookmarkStart w:id="8" w:name="_Toc35393790"/>
      <w:bookmarkStart w:id="9" w:name="_Toc28359002"/>
      <w:bookmarkStart w:id="10" w:name="_Hlk24379207"/>
      <w:r>
        <w:rPr>
          <w:rFonts w:hint="eastAsia" w:ascii="宋体" w:hAnsi="宋体" w:cs="宋体"/>
          <w:b/>
          <w:bCs/>
          <w:sz w:val="21"/>
          <w:szCs w:val="21"/>
          <w:highlight w:val="none"/>
        </w:rPr>
        <w:t>一、项目基本情况</w:t>
      </w:r>
      <w:bookmarkEnd w:id="6"/>
      <w:bookmarkEnd w:id="7"/>
      <w:bookmarkEnd w:id="8"/>
      <w:bookmarkEnd w:id="9"/>
    </w:p>
    <w:p w14:paraId="12CAAE1D">
      <w:pPr>
        <w:wordWrap w:val="0"/>
        <w:topLinePunct/>
        <w:spacing w:line="360" w:lineRule="auto"/>
        <w:ind w:firstLine="420" w:firstLineChars="200"/>
        <w:rPr>
          <w:rFonts w:hint="eastAsia" w:ascii="宋体" w:hAnsi="宋体" w:eastAsia="宋体" w:cs="宋体"/>
          <w:bCs/>
          <w:sz w:val="21"/>
          <w:szCs w:val="21"/>
          <w:highlight w:val="none"/>
          <w:lang w:eastAsia="zh-CN"/>
        </w:rPr>
      </w:pPr>
      <w:r>
        <w:rPr>
          <w:rFonts w:hint="eastAsia" w:ascii="宋体" w:hAnsi="宋体" w:cs="宋体"/>
          <w:sz w:val="21"/>
          <w:szCs w:val="21"/>
          <w:highlight w:val="none"/>
        </w:rPr>
        <w:t>项目名称：桂林市妇幼保健院2026年艾滋病防治项目经费采购</w:t>
      </w:r>
    </w:p>
    <w:p w14:paraId="348716BD">
      <w:p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项目编号：</w:t>
      </w:r>
      <w:r>
        <w:rPr>
          <w:rFonts w:hint="eastAsia" w:ascii="宋体" w:hAnsi="宋体" w:cs="宋体"/>
          <w:sz w:val="21"/>
          <w:szCs w:val="21"/>
          <w:highlight w:val="none"/>
          <w:lang w:eastAsia="zh-CN"/>
        </w:rPr>
        <w:t>GLZC2026-G1-990308-GXCJ</w:t>
      </w:r>
    </w:p>
    <w:p w14:paraId="2C2628FC">
      <w:p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采购计划编号：GLZC2026-G1-00530-001</w:t>
      </w:r>
      <w:r>
        <w:rPr>
          <w:rFonts w:hint="eastAsia" w:ascii="宋体" w:hAnsi="宋体" w:cs="宋体"/>
          <w:sz w:val="21"/>
          <w:szCs w:val="21"/>
          <w:highlight w:val="none"/>
          <w:lang w:eastAsia="zh-CN"/>
        </w:rPr>
        <w:t>、GLZC2026-G1-00530-002、GLZC2026-G1-00530-003</w:t>
      </w:r>
    </w:p>
    <w:bookmarkEnd w:id="10"/>
    <w:p w14:paraId="706755F5">
      <w:pPr>
        <w:wordWrap w:val="0"/>
        <w:topLinePunct/>
        <w:spacing w:line="360" w:lineRule="auto"/>
        <w:ind w:firstLine="420" w:firstLineChars="200"/>
        <w:rPr>
          <w:rFonts w:hint="eastAsia" w:ascii="宋体" w:hAnsi="宋体" w:cs="宋体"/>
          <w:bCs/>
          <w:sz w:val="21"/>
          <w:szCs w:val="21"/>
          <w:highlight w:val="none"/>
        </w:rPr>
      </w:pPr>
      <w:r>
        <w:rPr>
          <w:rFonts w:hint="eastAsia" w:ascii="宋体" w:hAnsi="宋体" w:cs="宋体"/>
          <w:bCs/>
          <w:sz w:val="21"/>
          <w:szCs w:val="21"/>
          <w:highlight w:val="none"/>
        </w:rPr>
        <w:t>预算</w:t>
      </w:r>
      <w:r>
        <w:rPr>
          <w:rFonts w:hint="eastAsia" w:ascii="宋体" w:hAnsi="宋体" w:eastAsia="宋体" w:cs="宋体"/>
          <w:bCs/>
          <w:sz w:val="21"/>
          <w:szCs w:val="21"/>
          <w:highlight w:val="none"/>
        </w:rPr>
        <w:t>总金额（元）</w:t>
      </w:r>
      <w:r>
        <w:rPr>
          <w:rFonts w:hint="eastAsia" w:ascii="宋体" w:hAnsi="宋体" w:cs="宋体"/>
          <w:bCs/>
          <w:sz w:val="21"/>
          <w:szCs w:val="21"/>
          <w:highlight w:val="none"/>
        </w:rPr>
        <w:t>：</w:t>
      </w:r>
      <w:r>
        <w:rPr>
          <w:rFonts w:hint="eastAsia" w:ascii="宋体" w:hAnsi="宋体" w:eastAsia="宋体" w:cs="宋体"/>
          <w:sz w:val="21"/>
          <w:szCs w:val="21"/>
          <w:highlight w:val="none"/>
          <w:lang w:val="en-US" w:eastAsia="zh-CN"/>
        </w:rPr>
        <w:t>1255471.60</w:t>
      </w:r>
    </w:p>
    <w:p w14:paraId="51A72CCB">
      <w:pPr>
        <w:wordWrap w:val="0"/>
        <w:topLinePunct/>
        <w:spacing w:line="360" w:lineRule="auto"/>
        <w:ind w:firstLine="420" w:firstLineChars="200"/>
        <w:rPr>
          <w:highlight w:val="none"/>
        </w:rPr>
      </w:pPr>
      <w:r>
        <w:rPr>
          <w:rFonts w:hint="eastAsia" w:ascii="宋体" w:hAnsi="宋体" w:cs="宋体"/>
          <w:bCs/>
          <w:sz w:val="21"/>
          <w:szCs w:val="21"/>
          <w:highlight w:val="none"/>
        </w:rPr>
        <w:t>采购需求：</w:t>
      </w:r>
    </w:p>
    <w:p w14:paraId="4A33CC4E">
      <w:pPr>
        <w:wordWrap w:val="0"/>
        <w:topLinePunct/>
        <w:spacing w:line="360" w:lineRule="auto"/>
        <w:ind w:firstLine="420" w:firstLineChars="200"/>
        <w:rPr>
          <w:highlight w:val="none"/>
        </w:rPr>
      </w:pPr>
      <w:r>
        <w:rPr>
          <w:highlight w:val="none"/>
        </w:rPr>
        <w:t>标项一</w:t>
      </w:r>
    </w:p>
    <w:p w14:paraId="68EECC9D">
      <w:pPr>
        <w:wordWrap w:val="0"/>
        <w:topLinePunct/>
        <w:spacing w:line="360" w:lineRule="auto"/>
        <w:ind w:firstLine="420" w:firstLineChars="200"/>
        <w:rPr>
          <w:rFonts w:hint="default"/>
          <w:highlight w:val="none"/>
          <w:lang w:val="en-US"/>
        </w:rPr>
      </w:pPr>
      <w:r>
        <w:rPr>
          <w:highlight w:val="none"/>
        </w:rPr>
        <w:t>标项名称</w:t>
      </w:r>
      <w:r>
        <w:rPr>
          <w:rFonts w:hint="eastAsia" w:ascii="宋体" w:hAnsi="宋体" w:eastAsia="宋体" w:cs="宋体"/>
          <w:bCs/>
          <w:sz w:val="21"/>
          <w:szCs w:val="21"/>
          <w:highlight w:val="none"/>
        </w:rPr>
        <w:t>：桂林市妇幼保健院2026年艾滋病防治项目经费采购</w:t>
      </w:r>
      <w:r>
        <w:rPr>
          <w:rFonts w:hint="eastAsia" w:ascii="宋体" w:hAnsi="宋体" w:eastAsia="宋体" w:cs="宋体"/>
          <w:sz w:val="21"/>
          <w:szCs w:val="21"/>
          <w:highlight w:val="none"/>
          <w:lang w:val="en-US" w:eastAsia="zh-CN"/>
        </w:rPr>
        <w:t>-A分标</w:t>
      </w:r>
    </w:p>
    <w:p w14:paraId="126F0753">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highlight w:val="none"/>
        </w:rPr>
        <w:t>数量</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18</w:t>
      </w:r>
    </w:p>
    <w:p w14:paraId="16AA69FA">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预算金额（元）</w:t>
      </w: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1148600.00</w:t>
      </w:r>
    </w:p>
    <w:p w14:paraId="658E1FDC">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简要规格描述或项目基本概况介绍、用途</w:t>
      </w:r>
      <w:r>
        <w:rPr>
          <w:rFonts w:hint="eastAsia" w:ascii="宋体" w:hAnsi="宋体" w:eastAsia="宋体" w:cs="宋体"/>
          <w:bCs/>
          <w:sz w:val="21"/>
          <w:szCs w:val="21"/>
          <w:highlight w:val="none"/>
        </w:rPr>
        <w:t>：持续气道正压呼吸支持系统</w:t>
      </w:r>
      <w:r>
        <w:rPr>
          <w:rFonts w:hint="eastAsia" w:ascii="宋体" w:hAnsi="宋体" w:cs="宋体"/>
          <w:bCs/>
          <w:sz w:val="21"/>
          <w:szCs w:val="21"/>
          <w:highlight w:val="none"/>
          <w:lang w:eastAsia="zh-CN"/>
        </w:rPr>
        <w:t>、</w:t>
      </w:r>
      <w:r>
        <w:rPr>
          <w:rFonts w:hint="eastAsia" w:ascii="宋体" w:hAnsi="宋体" w:cs="宋体"/>
          <w:color w:val="auto"/>
          <w:szCs w:val="21"/>
          <w:highlight w:val="none"/>
        </w:rPr>
        <w:t>新生儿转运暖箱</w:t>
      </w:r>
      <w:r>
        <w:rPr>
          <w:rFonts w:hint="eastAsia" w:ascii="宋体" w:hAnsi="宋体" w:cs="宋体"/>
          <w:color w:val="auto"/>
          <w:szCs w:val="21"/>
          <w:highlight w:val="none"/>
          <w:lang w:eastAsia="zh-CN"/>
        </w:rPr>
        <w:t>、</w:t>
      </w:r>
      <w:r>
        <w:rPr>
          <w:rFonts w:hint="eastAsia" w:ascii="宋体" w:hAnsi="宋体" w:cs="宋体"/>
          <w:color w:val="auto"/>
          <w:szCs w:val="21"/>
          <w:highlight w:val="none"/>
        </w:rPr>
        <w:t>儿童心电监护仪</w:t>
      </w:r>
      <w:r>
        <w:rPr>
          <w:rFonts w:hint="eastAsia" w:ascii="宋体" w:hAnsi="宋体" w:cs="宋体"/>
          <w:color w:val="auto"/>
          <w:szCs w:val="21"/>
          <w:highlight w:val="none"/>
          <w:lang w:eastAsia="zh-CN"/>
        </w:rPr>
        <w:t>、</w:t>
      </w:r>
      <w:r>
        <w:rPr>
          <w:rFonts w:hint="eastAsia" w:ascii="宋体" w:hAnsi="宋体" w:cs="宋体"/>
          <w:color w:val="auto"/>
          <w:szCs w:val="21"/>
          <w:highlight w:val="none"/>
        </w:rPr>
        <w:t>除颤仪</w:t>
      </w:r>
      <w:r>
        <w:rPr>
          <w:rFonts w:hint="eastAsia" w:ascii="宋体" w:hAnsi="宋体" w:cs="宋体"/>
          <w:color w:val="auto"/>
          <w:szCs w:val="21"/>
          <w:highlight w:val="none"/>
          <w:lang w:val="en-US" w:eastAsia="zh-CN"/>
        </w:rPr>
        <w:t>等设备，</w:t>
      </w:r>
      <w:r>
        <w:rPr>
          <w:rFonts w:hint="eastAsia" w:ascii="宋体" w:hAnsi="宋体"/>
          <w:szCs w:val="21"/>
          <w:highlight w:val="none"/>
        </w:rPr>
        <w:t>具体详见招标文件“第</w:t>
      </w:r>
      <w:r>
        <w:rPr>
          <w:rFonts w:hint="eastAsia" w:ascii="宋体" w:hAnsi="宋体"/>
          <w:szCs w:val="21"/>
          <w:highlight w:val="none"/>
          <w:lang w:val="en-US" w:eastAsia="zh-CN"/>
        </w:rPr>
        <w:t>二</w:t>
      </w:r>
      <w:r>
        <w:rPr>
          <w:rFonts w:hint="eastAsia" w:ascii="宋体" w:hAnsi="宋体"/>
          <w:szCs w:val="21"/>
          <w:highlight w:val="none"/>
        </w:rPr>
        <w:t>章 采购需求”。</w:t>
      </w:r>
    </w:p>
    <w:p w14:paraId="20370F0E">
      <w:pPr>
        <w:wordWrap w:val="0"/>
        <w:topLinePunct/>
        <w:spacing w:line="360" w:lineRule="auto"/>
        <w:ind w:firstLine="420" w:firstLineChars="200"/>
        <w:rPr>
          <w:highlight w:val="none"/>
        </w:rPr>
      </w:pPr>
      <w:r>
        <w:rPr>
          <w:highlight w:val="none"/>
        </w:rPr>
        <w:t>最高限价（元）：</w:t>
      </w:r>
      <w:r>
        <w:rPr>
          <w:rFonts w:hint="eastAsia" w:ascii="宋体" w:hAnsi="宋体" w:eastAsia="宋体" w:cs="宋体"/>
          <w:bCs/>
          <w:sz w:val="21"/>
          <w:szCs w:val="21"/>
          <w:highlight w:val="none"/>
          <w:lang w:val="en-US" w:eastAsia="zh-CN"/>
        </w:rPr>
        <w:t>1148600.00</w:t>
      </w:r>
    </w:p>
    <w:p w14:paraId="534FD18F">
      <w:pPr>
        <w:wordWrap w:val="0"/>
        <w:topLinePunct/>
        <w:spacing w:line="360" w:lineRule="auto"/>
        <w:ind w:firstLine="420" w:firstLineChars="200"/>
        <w:rPr>
          <w:rFonts w:hint="eastAsia" w:ascii="Times New Roman" w:hAnsi="Times New Roman" w:cs="Times New Roman"/>
          <w:bCs w:val="0"/>
          <w:sz w:val="21"/>
          <w:highlight w:val="none"/>
        </w:rPr>
      </w:pPr>
      <w:r>
        <w:rPr>
          <w:rFonts w:hint="eastAsia" w:ascii="Times New Roman" w:hAnsi="Times New Roman" w:cs="Times New Roman"/>
          <w:bCs w:val="0"/>
          <w:sz w:val="21"/>
          <w:highlight w:val="none"/>
        </w:rPr>
        <w:t>合同履约期限：自合同签订之日起30个日历日内交货并安装调试合格交付使用。</w:t>
      </w:r>
    </w:p>
    <w:p w14:paraId="26CC22E2">
      <w:pPr>
        <w:wordWrap w:val="0"/>
        <w:topLinePunct/>
        <w:spacing w:line="360" w:lineRule="auto"/>
        <w:ind w:firstLine="420" w:firstLineChars="200"/>
        <w:rPr>
          <w:rFonts w:hint="eastAsia" w:ascii="Times New Roman" w:hAnsi="Times New Roman" w:cs="Times New Roman"/>
          <w:bCs w:val="0"/>
          <w:sz w:val="21"/>
          <w:highlight w:val="none"/>
        </w:rPr>
      </w:pPr>
      <w:r>
        <w:rPr>
          <w:rFonts w:hint="eastAsia" w:ascii="Times New Roman" w:hAnsi="Times New Roman" w:cs="Times New Roman"/>
          <w:bCs w:val="0"/>
          <w:sz w:val="21"/>
          <w:highlight w:val="none"/>
        </w:rPr>
        <w:t>本标项（否）接受联合体投标</w:t>
      </w:r>
    </w:p>
    <w:p w14:paraId="2B8E2527">
      <w:pPr>
        <w:wordWrap w:val="0"/>
        <w:topLinePunct/>
        <w:spacing w:line="360" w:lineRule="auto"/>
        <w:ind w:firstLine="420" w:firstLineChars="200"/>
        <w:rPr>
          <w:rFonts w:hint="eastAsia" w:ascii="Times New Roman" w:hAnsi="Times New Roman" w:eastAsia="宋体" w:cs="Times New Roman"/>
          <w:bCs w:val="0"/>
          <w:sz w:val="21"/>
          <w:highlight w:val="none"/>
          <w:lang w:val="en-US" w:eastAsia="zh-CN"/>
        </w:rPr>
      </w:pPr>
      <w:r>
        <w:rPr>
          <w:rFonts w:hint="eastAsia" w:ascii="Times New Roman" w:hAnsi="Times New Roman" w:cs="Times New Roman"/>
          <w:bCs w:val="0"/>
          <w:sz w:val="21"/>
          <w:highlight w:val="none"/>
        </w:rPr>
        <w:t>备注：</w:t>
      </w:r>
      <w:r>
        <w:rPr>
          <w:rFonts w:hint="eastAsia" w:cs="Times New Roman"/>
          <w:bCs w:val="0"/>
          <w:sz w:val="21"/>
          <w:highlight w:val="none"/>
          <w:lang w:val="en-US" w:eastAsia="zh-CN"/>
        </w:rPr>
        <w:t>/</w:t>
      </w:r>
    </w:p>
    <w:p w14:paraId="010C91A1">
      <w:pPr>
        <w:wordWrap w:val="0"/>
        <w:topLinePunct/>
        <w:spacing w:line="360" w:lineRule="auto"/>
        <w:ind w:firstLine="420" w:firstLineChars="200"/>
        <w:rPr>
          <w:rFonts w:hint="eastAsia" w:eastAsia="宋体"/>
          <w:highlight w:val="none"/>
          <w:lang w:eastAsia="zh-CN"/>
        </w:rPr>
      </w:pPr>
      <w:r>
        <w:rPr>
          <w:highlight w:val="none"/>
        </w:rPr>
        <w:t>标项</w:t>
      </w:r>
      <w:r>
        <w:rPr>
          <w:rFonts w:hint="eastAsia"/>
          <w:highlight w:val="none"/>
          <w:lang w:val="en-US" w:eastAsia="zh-CN"/>
        </w:rPr>
        <w:t>二</w:t>
      </w:r>
    </w:p>
    <w:p w14:paraId="7DA270EB">
      <w:pPr>
        <w:wordWrap w:val="0"/>
        <w:topLinePunct/>
        <w:spacing w:line="360" w:lineRule="auto"/>
        <w:ind w:firstLine="420" w:firstLineChars="200"/>
        <w:rPr>
          <w:rFonts w:hint="default"/>
          <w:highlight w:val="none"/>
          <w:lang w:val="en-US"/>
        </w:rPr>
      </w:pPr>
      <w:r>
        <w:rPr>
          <w:highlight w:val="none"/>
        </w:rPr>
        <w:t>标项名称</w:t>
      </w:r>
      <w:r>
        <w:rPr>
          <w:rFonts w:hint="eastAsia" w:ascii="宋体" w:hAnsi="宋体" w:eastAsia="宋体" w:cs="宋体"/>
          <w:bCs/>
          <w:sz w:val="21"/>
          <w:szCs w:val="21"/>
          <w:highlight w:val="none"/>
        </w:rPr>
        <w:t>：桂林市妇幼保健院2026年艾滋病防治项目经费采购</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B</w:t>
      </w:r>
      <w:r>
        <w:rPr>
          <w:rFonts w:hint="eastAsia" w:ascii="宋体" w:hAnsi="宋体" w:eastAsia="宋体" w:cs="宋体"/>
          <w:sz w:val="21"/>
          <w:szCs w:val="21"/>
          <w:highlight w:val="none"/>
          <w:lang w:val="en-US" w:eastAsia="zh-CN"/>
        </w:rPr>
        <w:t>分标</w:t>
      </w:r>
    </w:p>
    <w:p w14:paraId="47FBFC60">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highlight w:val="none"/>
        </w:rPr>
        <w:t>数量</w:t>
      </w:r>
      <w:r>
        <w:rPr>
          <w:rFonts w:hint="eastAsia" w:ascii="宋体" w:hAnsi="宋体" w:eastAsia="宋体" w:cs="宋体"/>
          <w:bCs/>
          <w:sz w:val="21"/>
          <w:szCs w:val="21"/>
          <w:highlight w:val="none"/>
        </w:rPr>
        <w:t>：</w:t>
      </w:r>
      <w:r>
        <w:rPr>
          <w:rFonts w:hint="eastAsia" w:ascii="宋体" w:hAnsi="宋体" w:cs="宋体"/>
          <w:bCs/>
          <w:sz w:val="21"/>
          <w:szCs w:val="21"/>
          <w:highlight w:val="none"/>
          <w:lang w:val="en-US" w:eastAsia="zh-CN"/>
        </w:rPr>
        <w:t>38644</w:t>
      </w:r>
    </w:p>
    <w:p w14:paraId="0A50133D">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预算金额（元）</w:t>
      </w: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106871.60</w:t>
      </w:r>
    </w:p>
    <w:p w14:paraId="1D3E1823">
      <w:pPr>
        <w:wordWrap w:val="0"/>
        <w:topLinePunct/>
        <w:spacing w:line="360" w:lineRule="auto"/>
        <w:ind w:firstLine="420" w:firstLineChars="200"/>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简要规格描述或项目基本概况介绍、用途</w:t>
      </w:r>
      <w:r>
        <w:rPr>
          <w:rFonts w:hint="eastAsia" w:ascii="宋体" w:hAnsi="宋体" w:eastAsia="宋体" w:cs="宋体"/>
          <w:bCs/>
          <w:sz w:val="21"/>
          <w:szCs w:val="21"/>
          <w:highlight w:val="none"/>
        </w:rPr>
        <w:t>：</w:t>
      </w:r>
      <w:r>
        <w:rPr>
          <w:rFonts w:hint="eastAsia" w:ascii="宋体" w:hAnsi="宋体" w:cs="宋体"/>
          <w:sz w:val="21"/>
          <w:szCs w:val="21"/>
          <w:highlight w:val="none"/>
        </w:rPr>
        <w:t>一次性医用帽子</w:t>
      </w:r>
      <w:r>
        <w:rPr>
          <w:rFonts w:hint="eastAsia" w:ascii="宋体" w:hAnsi="宋体" w:cs="宋体"/>
          <w:sz w:val="21"/>
          <w:szCs w:val="21"/>
          <w:highlight w:val="none"/>
          <w:lang w:eastAsia="zh-CN"/>
        </w:rPr>
        <w:t>、</w:t>
      </w:r>
      <w:r>
        <w:rPr>
          <w:rFonts w:hint="eastAsia" w:ascii="宋体" w:hAnsi="宋体" w:cs="宋体"/>
          <w:sz w:val="21"/>
          <w:szCs w:val="21"/>
          <w:highlight w:val="none"/>
        </w:rPr>
        <w:t>一次性外科口罩</w:t>
      </w:r>
      <w:r>
        <w:rPr>
          <w:rFonts w:hint="eastAsia" w:ascii="宋体" w:hAnsi="宋体" w:cs="宋体"/>
          <w:sz w:val="21"/>
          <w:szCs w:val="21"/>
          <w:highlight w:val="none"/>
          <w:lang w:eastAsia="zh-CN"/>
        </w:rPr>
        <w:t>、</w:t>
      </w:r>
      <w:r>
        <w:rPr>
          <w:rFonts w:hint="eastAsia" w:ascii="宋体" w:hAnsi="宋体" w:cs="宋体"/>
          <w:sz w:val="21"/>
          <w:szCs w:val="21"/>
          <w:highlight w:val="none"/>
        </w:rPr>
        <w:t>一次性使用手术衣</w:t>
      </w:r>
      <w:r>
        <w:rPr>
          <w:rFonts w:hint="eastAsia" w:ascii="宋体" w:hAnsi="宋体" w:cs="宋体"/>
          <w:sz w:val="21"/>
          <w:szCs w:val="21"/>
          <w:highlight w:val="none"/>
          <w:lang w:eastAsia="zh-CN"/>
        </w:rPr>
        <w:t>、</w:t>
      </w:r>
      <w:r>
        <w:rPr>
          <w:rFonts w:hint="eastAsia" w:ascii="宋体" w:hAnsi="宋体" w:cs="宋体"/>
          <w:color w:val="auto"/>
          <w:szCs w:val="21"/>
          <w:highlight w:val="none"/>
        </w:rPr>
        <w:t>一次性面罩</w:t>
      </w:r>
      <w:r>
        <w:rPr>
          <w:rFonts w:hint="eastAsia" w:ascii="宋体" w:hAnsi="宋体" w:cs="宋体"/>
          <w:color w:val="auto"/>
          <w:szCs w:val="21"/>
          <w:highlight w:val="none"/>
          <w:lang w:val="en-US" w:eastAsia="zh-CN"/>
        </w:rPr>
        <w:t>等，</w:t>
      </w:r>
      <w:r>
        <w:rPr>
          <w:rFonts w:hint="eastAsia" w:ascii="宋体" w:hAnsi="宋体"/>
          <w:szCs w:val="21"/>
          <w:highlight w:val="none"/>
        </w:rPr>
        <w:t>具体详见招标文件“第</w:t>
      </w:r>
      <w:r>
        <w:rPr>
          <w:rFonts w:hint="eastAsia" w:ascii="宋体" w:hAnsi="宋体"/>
          <w:szCs w:val="21"/>
          <w:highlight w:val="none"/>
          <w:lang w:val="en-US" w:eastAsia="zh-CN"/>
        </w:rPr>
        <w:t>二</w:t>
      </w:r>
      <w:r>
        <w:rPr>
          <w:rFonts w:hint="eastAsia" w:ascii="宋体" w:hAnsi="宋体"/>
          <w:szCs w:val="21"/>
          <w:highlight w:val="none"/>
        </w:rPr>
        <w:t>章 采购需求”。</w:t>
      </w:r>
    </w:p>
    <w:p w14:paraId="05DD57E5">
      <w:pPr>
        <w:wordWrap w:val="0"/>
        <w:topLinePunct/>
        <w:spacing w:line="360" w:lineRule="auto"/>
        <w:ind w:firstLine="420" w:firstLineChars="200"/>
        <w:rPr>
          <w:highlight w:val="none"/>
        </w:rPr>
      </w:pPr>
      <w:r>
        <w:rPr>
          <w:highlight w:val="none"/>
        </w:rPr>
        <w:t>最高限价（元）：</w:t>
      </w:r>
      <w:r>
        <w:rPr>
          <w:rFonts w:hint="eastAsia" w:ascii="宋体" w:hAnsi="宋体" w:eastAsia="宋体" w:cs="宋体"/>
          <w:bCs/>
          <w:sz w:val="21"/>
          <w:szCs w:val="21"/>
          <w:highlight w:val="none"/>
          <w:lang w:val="en-US" w:eastAsia="zh-CN"/>
        </w:rPr>
        <w:t>106871.60</w:t>
      </w:r>
    </w:p>
    <w:p w14:paraId="001A7E4F">
      <w:pPr>
        <w:wordWrap w:val="0"/>
        <w:topLinePunct/>
        <w:spacing w:line="360" w:lineRule="auto"/>
        <w:ind w:firstLine="420" w:firstLineChars="200"/>
        <w:rPr>
          <w:rFonts w:hint="eastAsia" w:ascii="Times New Roman" w:hAnsi="Times New Roman" w:cs="Times New Roman"/>
          <w:bCs w:val="0"/>
          <w:sz w:val="21"/>
          <w:highlight w:val="none"/>
        </w:rPr>
      </w:pPr>
      <w:r>
        <w:rPr>
          <w:rFonts w:hint="eastAsia" w:ascii="Times New Roman" w:hAnsi="Times New Roman" w:cs="Times New Roman"/>
          <w:bCs w:val="0"/>
          <w:sz w:val="21"/>
          <w:highlight w:val="none"/>
        </w:rPr>
        <w:t>合同履约期限：</w:t>
      </w:r>
      <w:bookmarkStart w:id="11" w:name="OLE_LINK20"/>
      <w:r>
        <w:rPr>
          <w:rFonts w:hint="eastAsia" w:ascii="Times New Roman" w:hAnsi="Times New Roman" w:cs="Times New Roman"/>
          <w:bCs w:val="0"/>
          <w:sz w:val="21"/>
          <w:highlight w:val="none"/>
        </w:rPr>
        <w:t>自合同签订之日起30个日历日内交货并安装调试合格交付使用。</w:t>
      </w:r>
      <w:bookmarkEnd w:id="11"/>
    </w:p>
    <w:p w14:paraId="792C1C66">
      <w:pPr>
        <w:wordWrap w:val="0"/>
        <w:topLinePunct/>
        <w:spacing w:line="360" w:lineRule="auto"/>
        <w:ind w:firstLine="420" w:firstLineChars="200"/>
        <w:rPr>
          <w:rFonts w:hint="eastAsia" w:ascii="Times New Roman" w:hAnsi="Times New Roman" w:cs="Times New Roman"/>
          <w:bCs w:val="0"/>
          <w:sz w:val="21"/>
          <w:highlight w:val="none"/>
        </w:rPr>
      </w:pPr>
      <w:r>
        <w:rPr>
          <w:rFonts w:hint="eastAsia" w:ascii="Times New Roman" w:hAnsi="Times New Roman" w:cs="Times New Roman"/>
          <w:bCs w:val="0"/>
          <w:sz w:val="21"/>
          <w:highlight w:val="none"/>
        </w:rPr>
        <w:t>本标项（否）接受联合体投标</w:t>
      </w:r>
    </w:p>
    <w:p w14:paraId="6E9EA76C">
      <w:pPr>
        <w:wordWrap w:val="0"/>
        <w:topLinePunct/>
        <w:spacing w:line="360" w:lineRule="auto"/>
        <w:ind w:firstLine="420" w:firstLineChars="200"/>
        <w:rPr>
          <w:rFonts w:hint="eastAsia" w:ascii="Times New Roman" w:hAnsi="Times New Roman" w:eastAsia="宋体" w:cs="Times New Roman"/>
          <w:bCs w:val="0"/>
          <w:sz w:val="21"/>
          <w:highlight w:val="none"/>
          <w:lang w:val="en-US" w:eastAsia="zh-CN"/>
        </w:rPr>
      </w:pPr>
      <w:r>
        <w:rPr>
          <w:rFonts w:hint="eastAsia" w:ascii="Times New Roman" w:hAnsi="Times New Roman" w:cs="Times New Roman"/>
          <w:bCs w:val="0"/>
          <w:sz w:val="21"/>
          <w:highlight w:val="none"/>
        </w:rPr>
        <w:t>备注：</w:t>
      </w:r>
      <w:r>
        <w:rPr>
          <w:rFonts w:hint="eastAsia" w:cs="Times New Roman"/>
          <w:bCs w:val="0"/>
          <w:sz w:val="21"/>
          <w:highlight w:val="none"/>
          <w:lang w:val="en-US" w:eastAsia="zh-CN"/>
        </w:rPr>
        <w:t>/</w:t>
      </w:r>
    </w:p>
    <w:p w14:paraId="7A02B896">
      <w:pPr>
        <w:wordWrap w:val="0"/>
        <w:topLinePunct/>
        <w:spacing w:line="360" w:lineRule="auto"/>
        <w:ind w:firstLine="422" w:firstLineChars="200"/>
        <w:rPr>
          <w:rFonts w:hint="eastAsia" w:ascii="宋体" w:hAnsi="宋体" w:cs="宋体"/>
          <w:b/>
          <w:bCs/>
          <w:sz w:val="21"/>
          <w:szCs w:val="21"/>
          <w:highlight w:val="none"/>
        </w:rPr>
      </w:pPr>
      <w:bookmarkStart w:id="12" w:name="_Toc35393791"/>
      <w:bookmarkStart w:id="13" w:name="_Toc28359080"/>
      <w:bookmarkStart w:id="14" w:name="_Toc35393622"/>
      <w:bookmarkStart w:id="15" w:name="_Toc28359003"/>
      <w:r>
        <w:rPr>
          <w:rFonts w:hint="eastAsia" w:ascii="宋体" w:hAnsi="宋体" w:cs="宋体"/>
          <w:b/>
          <w:bCs/>
          <w:sz w:val="21"/>
          <w:szCs w:val="21"/>
          <w:highlight w:val="none"/>
        </w:rPr>
        <w:t>二、申请人的资格要求：</w:t>
      </w:r>
      <w:bookmarkEnd w:id="12"/>
      <w:bookmarkEnd w:id="13"/>
      <w:bookmarkEnd w:id="14"/>
      <w:bookmarkEnd w:id="15"/>
    </w:p>
    <w:p w14:paraId="55703CE4">
      <w:pPr>
        <w:wordWrap w:val="0"/>
        <w:topLinePunct/>
        <w:spacing w:line="360" w:lineRule="auto"/>
        <w:ind w:firstLine="420" w:firstLineChars="200"/>
        <w:rPr>
          <w:rFonts w:hint="eastAsia" w:ascii="宋体" w:hAnsi="宋体" w:cs="宋体"/>
          <w:sz w:val="21"/>
          <w:szCs w:val="21"/>
          <w:highlight w:val="none"/>
        </w:rPr>
      </w:pPr>
      <w:bookmarkStart w:id="16" w:name="_Hlk51746371"/>
      <w:r>
        <w:rPr>
          <w:rFonts w:hint="eastAsia" w:ascii="宋体" w:hAnsi="宋体" w:cs="宋体"/>
          <w:sz w:val="21"/>
          <w:szCs w:val="21"/>
          <w:highlight w:val="none"/>
        </w:rPr>
        <w:t>1.满足《中华人民共和国政府采购法》第二十二条规定；</w:t>
      </w:r>
    </w:p>
    <w:p w14:paraId="4DDCCDF8">
      <w:pPr>
        <w:wordWrap w:val="0"/>
        <w:topLinePunct/>
        <w:spacing w:line="360" w:lineRule="auto"/>
        <w:ind w:firstLine="420" w:firstLineChars="200"/>
        <w:rPr>
          <w:rFonts w:hint="eastAsia" w:ascii="宋体" w:hAnsi="宋体" w:cs="宋体"/>
          <w:sz w:val="21"/>
          <w:szCs w:val="21"/>
          <w:highlight w:val="none"/>
        </w:rPr>
      </w:pPr>
      <w:bookmarkStart w:id="17" w:name="_Toc28359004"/>
      <w:bookmarkStart w:id="18" w:name="_Toc28359081"/>
      <w:r>
        <w:rPr>
          <w:rFonts w:hint="eastAsia" w:ascii="宋体" w:hAnsi="宋体" w:cs="宋体"/>
          <w:sz w:val="21"/>
          <w:szCs w:val="21"/>
          <w:highlight w:val="none"/>
        </w:rPr>
        <w:t>2.落实政府采购政策需满足的资格要求：专门面向中小企业采购（</w:t>
      </w:r>
      <w:r>
        <w:rPr>
          <w:rFonts w:hint="eastAsia" w:ascii="宋体" w:hAnsi="宋体" w:cs="宋体"/>
          <w:sz w:val="21"/>
          <w:szCs w:val="21"/>
          <w:highlight w:val="none"/>
        </w:rPr>
        <w:sym w:font="Wingdings" w:char="00A8"/>
      </w:r>
      <w:r>
        <w:rPr>
          <w:rFonts w:hint="eastAsia" w:ascii="宋体" w:hAnsi="宋体" w:cs="宋体"/>
          <w:sz w:val="21"/>
          <w:szCs w:val="21"/>
          <w:highlight w:val="none"/>
        </w:rPr>
        <w:t>是</w:t>
      </w:r>
      <w:r>
        <w:rPr>
          <w:rFonts w:hint="eastAsia" w:ascii="宋体" w:hAnsi="宋体" w:cs="宋体"/>
          <w:sz w:val="21"/>
          <w:szCs w:val="21"/>
          <w:highlight w:val="none"/>
        </w:rPr>
        <w:sym w:font="Wingdings" w:char="00FE"/>
      </w:r>
      <w:r>
        <w:rPr>
          <w:rFonts w:hint="eastAsia" w:ascii="宋体" w:hAnsi="宋体" w:cs="宋体"/>
          <w:sz w:val="21"/>
          <w:szCs w:val="21"/>
          <w:highlight w:val="none"/>
        </w:rPr>
        <w:t>否）；</w:t>
      </w:r>
    </w:p>
    <w:p w14:paraId="2AD68673">
      <w:pPr>
        <w:wordWrap w:val="0"/>
        <w:topLinePunct/>
        <w:spacing w:line="360" w:lineRule="auto"/>
        <w:ind w:firstLine="420" w:firstLineChars="200"/>
        <w:rPr>
          <w:rFonts w:hint="eastAsia" w:ascii="宋体" w:hAnsi="宋体" w:eastAsia="宋体" w:cs="宋体"/>
          <w:sz w:val="21"/>
          <w:szCs w:val="21"/>
          <w:highlight w:val="none"/>
        </w:rPr>
      </w:pPr>
      <w:r>
        <w:rPr>
          <w:rFonts w:hint="eastAsia" w:ascii="宋体" w:hAnsi="宋体" w:cs="宋体"/>
          <w:sz w:val="21"/>
          <w:szCs w:val="21"/>
          <w:highlight w:val="none"/>
        </w:rPr>
        <w:t>3.本项目的特定资格要求：</w:t>
      </w:r>
      <w:bookmarkEnd w:id="16"/>
    </w:p>
    <w:p w14:paraId="453E1CC7">
      <w:pPr>
        <w:spacing w:line="360" w:lineRule="auto"/>
        <w:ind w:firstLine="420" w:firstLineChars="200"/>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1制造商作为供应商时，如其提供的货物属于第一类医疗器械，无需提供《医疗器械生产许可证》，按规定办理医疗器械生产备案即可</w:t>
      </w:r>
      <w:r>
        <w:rPr>
          <w:rFonts w:hint="eastAsia" w:ascii="宋体" w:hAnsi="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如其提供的货物属于第二类或第三类医疗器械，应提供相应货物的有效《医疗器械生产许可证》。</w:t>
      </w:r>
    </w:p>
    <w:p w14:paraId="64E222D0">
      <w:pPr>
        <w:spacing w:line="360" w:lineRule="auto"/>
        <w:ind w:firstLine="420" w:firstLineChars="200"/>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2供应商非货物的制造商，如其货物属于第三类医疗器械，须提供相应货物的有效《医疗器械经营许可证》；如其货物属于第二类医疗器械，须提供有效的《第二类医疗器械经营备案凭证》</w:t>
      </w:r>
      <w:r>
        <w:rPr>
          <w:rFonts w:hint="eastAsia" w:ascii="宋体" w:hAnsi="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如其货物属于第一类医疗器械，无需办理医疗器械经营许可或备案</w:t>
      </w:r>
      <w:r>
        <w:rPr>
          <w:rFonts w:hint="eastAsia" w:ascii="宋体" w:hAnsi="宋体" w:cs="宋体"/>
          <w:i w:val="0"/>
          <w:iCs w:val="0"/>
          <w:caps w:val="0"/>
          <w:color w:val="auto"/>
          <w:spacing w:val="0"/>
          <w:sz w:val="21"/>
          <w:szCs w:val="21"/>
          <w:highlight w:val="none"/>
          <w:shd w:val="clear" w:color="auto" w:fill="auto"/>
          <w:lang w:eastAsia="zh-CN"/>
        </w:rPr>
        <w:t>。</w:t>
      </w:r>
      <w:r>
        <w:rPr>
          <w:rFonts w:hint="eastAsia" w:ascii="宋体" w:hAnsi="宋体" w:eastAsia="宋体" w:cs="宋体"/>
          <w:i w:val="0"/>
          <w:iCs w:val="0"/>
          <w:caps w:val="0"/>
          <w:color w:val="auto"/>
          <w:spacing w:val="0"/>
          <w:sz w:val="21"/>
          <w:szCs w:val="21"/>
          <w:highlight w:val="none"/>
          <w:shd w:val="clear" w:color="auto" w:fill="auto"/>
        </w:rPr>
        <w:t>（按《医</w:t>
      </w:r>
      <w:r>
        <w:rPr>
          <w:rFonts w:hint="eastAsia" w:ascii="宋体" w:hAnsi="宋体" w:cs="宋体"/>
          <w:i w:val="0"/>
          <w:iCs w:val="0"/>
          <w:caps w:val="0"/>
          <w:color w:val="auto"/>
          <w:spacing w:val="0"/>
          <w:sz w:val="21"/>
          <w:szCs w:val="21"/>
          <w:highlight w:val="none"/>
          <w:shd w:val="clear" w:color="auto" w:fill="auto"/>
          <w:lang w:eastAsia="zh-CN"/>
        </w:rPr>
        <w:t>疗器</w:t>
      </w:r>
      <w:r>
        <w:rPr>
          <w:rFonts w:hint="eastAsia" w:ascii="宋体" w:hAnsi="宋体" w:eastAsia="宋体" w:cs="宋体"/>
          <w:i w:val="0"/>
          <w:iCs w:val="0"/>
          <w:caps w:val="0"/>
          <w:color w:val="auto"/>
          <w:spacing w:val="0"/>
          <w:sz w:val="21"/>
          <w:szCs w:val="21"/>
          <w:highlight w:val="none"/>
          <w:shd w:val="clear" w:color="auto" w:fill="auto"/>
        </w:rPr>
        <w:t>械监督管理条例》免于经营备案和无需办理医疗器械经营许可或者备案的情形除外）。</w:t>
      </w:r>
    </w:p>
    <w:p w14:paraId="0679DEA1">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i w:val="0"/>
          <w:iCs w:val="0"/>
          <w:caps w:val="0"/>
          <w:color w:val="auto"/>
          <w:spacing w:val="0"/>
          <w:sz w:val="21"/>
          <w:szCs w:val="21"/>
          <w:highlight w:val="none"/>
          <w:shd w:val="clear" w:color="auto" w:fill="auto"/>
          <w:lang w:val="en-US" w:eastAsia="zh-CN"/>
        </w:rPr>
        <w:t>3.</w:t>
      </w:r>
      <w:r>
        <w:rPr>
          <w:rFonts w:hint="eastAsia" w:ascii="宋体" w:hAnsi="宋体" w:eastAsia="宋体" w:cs="宋体"/>
          <w:i w:val="0"/>
          <w:iCs w:val="0"/>
          <w:caps w:val="0"/>
          <w:color w:val="auto"/>
          <w:spacing w:val="0"/>
          <w:sz w:val="21"/>
          <w:szCs w:val="21"/>
          <w:highlight w:val="none"/>
          <w:shd w:val="clear" w:color="auto" w:fill="auto"/>
        </w:rPr>
        <w:t>3如货物属于第二类或第三类医疗器械的，均应提供该货物的有效《医疗器械注册证》；如货物属于第一类医疗器械，无需提供《医疗器械注册证》，按规定办理医疗器械产品备案即可。</w:t>
      </w:r>
    </w:p>
    <w:p w14:paraId="02F0BE13">
      <w:pPr>
        <w:wordWrap w:val="0"/>
        <w:topLinePunct/>
        <w:spacing w:line="360" w:lineRule="auto"/>
        <w:ind w:firstLine="422" w:firstLineChars="200"/>
        <w:rPr>
          <w:rFonts w:hint="eastAsia" w:ascii="宋体" w:hAnsi="宋体" w:cs="宋体"/>
          <w:b/>
          <w:bCs/>
          <w:sz w:val="21"/>
          <w:szCs w:val="21"/>
          <w:highlight w:val="none"/>
        </w:rPr>
      </w:pPr>
      <w:bookmarkStart w:id="19" w:name="_Toc35393792"/>
      <w:bookmarkStart w:id="20" w:name="_Toc35393623"/>
      <w:r>
        <w:rPr>
          <w:rFonts w:hint="eastAsia" w:ascii="宋体" w:hAnsi="宋体" w:cs="宋体"/>
          <w:b/>
          <w:bCs/>
          <w:sz w:val="21"/>
          <w:szCs w:val="21"/>
          <w:highlight w:val="none"/>
        </w:rPr>
        <w:t>三、获取招标文件</w:t>
      </w:r>
      <w:bookmarkEnd w:id="17"/>
      <w:bookmarkEnd w:id="18"/>
      <w:bookmarkEnd w:id="19"/>
      <w:bookmarkEnd w:id="20"/>
    </w:p>
    <w:p w14:paraId="68B89FA3">
      <w:pPr>
        <w:wordWrap w:val="0"/>
        <w:topLinePunct/>
        <w:spacing w:line="360" w:lineRule="auto"/>
        <w:ind w:firstLine="420" w:firstLineChars="200"/>
        <w:rPr>
          <w:rFonts w:hint="eastAsia" w:ascii="宋体" w:hAnsi="宋体" w:cs="宋体"/>
          <w:bCs/>
          <w:kern w:val="0"/>
          <w:sz w:val="21"/>
          <w:szCs w:val="21"/>
          <w:highlight w:val="none"/>
        </w:rPr>
      </w:pPr>
      <w:r>
        <w:rPr>
          <w:rFonts w:hint="eastAsia" w:ascii="宋体" w:hAnsi="宋体" w:cs="宋体"/>
          <w:bCs/>
          <w:kern w:val="0"/>
          <w:sz w:val="21"/>
          <w:szCs w:val="21"/>
          <w:highlight w:val="none"/>
        </w:rPr>
        <w:t>时间：</w:t>
      </w:r>
      <w:r>
        <w:rPr>
          <w:rFonts w:hint="eastAsia" w:ascii="宋体" w:hAnsi="宋体" w:cs="宋体"/>
          <w:sz w:val="21"/>
          <w:szCs w:val="21"/>
          <w:highlight w:val="none"/>
          <w:lang w:val="en-US" w:eastAsia="zh-CN"/>
        </w:rPr>
        <w:t>2026</w:t>
      </w:r>
      <w:r>
        <w:rPr>
          <w:rFonts w:hint="eastAsia" w:ascii="宋体" w:hAnsi="宋体" w:cs="宋体"/>
          <w:sz w:val="21"/>
          <w:szCs w:val="21"/>
          <w:highlight w:val="none"/>
        </w:rPr>
        <w:t>年</w:t>
      </w:r>
      <w:r>
        <w:rPr>
          <w:rFonts w:hint="eastAsia" w:ascii="宋体" w:hAnsi="宋体" w:cs="宋体"/>
          <w:sz w:val="21"/>
          <w:szCs w:val="21"/>
          <w:highlight w:val="none"/>
          <w:lang w:val="en-US" w:eastAsia="zh-CN"/>
        </w:rPr>
        <w:t xml:space="preserve"> 7</w:t>
      </w:r>
      <w:r>
        <w:rPr>
          <w:rFonts w:hint="eastAsia" w:ascii="宋体" w:hAnsi="宋体" w:cs="宋体"/>
          <w:sz w:val="21"/>
          <w:szCs w:val="21"/>
          <w:highlight w:val="none"/>
        </w:rPr>
        <w:t>月</w:t>
      </w:r>
      <w:r>
        <w:rPr>
          <w:rFonts w:hint="eastAsia" w:ascii="宋体" w:hAnsi="宋体" w:cs="宋体"/>
          <w:sz w:val="21"/>
          <w:szCs w:val="21"/>
          <w:highlight w:val="none"/>
          <w:lang w:val="en-US" w:eastAsia="zh-CN"/>
        </w:rPr>
        <w:t>16</w:t>
      </w:r>
      <w:r>
        <w:rPr>
          <w:rFonts w:hint="eastAsia" w:ascii="宋体" w:hAnsi="宋体" w:cs="宋体"/>
          <w:sz w:val="21"/>
          <w:szCs w:val="21"/>
          <w:highlight w:val="none"/>
        </w:rPr>
        <w:t>日至</w:t>
      </w:r>
      <w:r>
        <w:rPr>
          <w:rFonts w:hint="eastAsia" w:ascii="宋体" w:hAnsi="宋体" w:cs="宋体"/>
          <w:sz w:val="21"/>
          <w:szCs w:val="21"/>
          <w:highlight w:val="none"/>
          <w:lang w:val="en-US" w:eastAsia="zh-CN"/>
        </w:rPr>
        <w:t>2026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6</w:t>
      </w:r>
      <w:r>
        <w:rPr>
          <w:rFonts w:hint="eastAsia" w:ascii="宋体" w:hAnsi="宋体" w:cs="宋体"/>
          <w:sz w:val="21"/>
          <w:szCs w:val="21"/>
          <w:highlight w:val="none"/>
        </w:rPr>
        <w:t>日，每天上午00:00至12:00，下午12:00至23:59（北京时间，法定节假日除外）</w:t>
      </w:r>
    </w:p>
    <w:p w14:paraId="0DD12E06">
      <w:pPr>
        <w:wordWrap w:val="0"/>
        <w:topLinePunct/>
        <w:spacing w:line="360" w:lineRule="auto"/>
        <w:ind w:firstLine="420" w:firstLineChars="200"/>
        <w:rPr>
          <w:rFonts w:hint="eastAsia" w:ascii="宋体" w:hAnsi="宋体" w:cs="宋体"/>
          <w:bCs/>
          <w:kern w:val="0"/>
          <w:sz w:val="21"/>
          <w:szCs w:val="21"/>
          <w:highlight w:val="none"/>
        </w:rPr>
      </w:pPr>
      <w:r>
        <w:rPr>
          <w:rFonts w:hint="eastAsia" w:ascii="宋体" w:hAnsi="宋体" w:cs="宋体"/>
          <w:bCs/>
          <w:kern w:val="0"/>
          <w:sz w:val="21"/>
          <w:szCs w:val="21"/>
          <w:highlight w:val="none"/>
        </w:rPr>
        <w:t>地点</w:t>
      </w:r>
      <w:r>
        <w:rPr>
          <w:rFonts w:hint="eastAsia" w:ascii="宋体" w:hAnsi="宋体" w:eastAsia="宋体" w:cs="宋体"/>
          <w:bCs/>
          <w:kern w:val="0"/>
          <w:sz w:val="21"/>
          <w:szCs w:val="21"/>
          <w:highlight w:val="none"/>
        </w:rPr>
        <w:t>（网址）</w:t>
      </w:r>
      <w:r>
        <w:rPr>
          <w:rFonts w:hint="eastAsia" w:ascii="宋体" w:hAnsi="宋体" w:cs="宋体"/>
          <w:bCs/>
          <w:kern w:val="0"/>
          <w:sz w:val="21"/>
          <w:szCs w:val="21"/>
          <w:highlight w:val="none"/>
        </w:rPr>
        <w:t>：</w:t>
      </w:r>
      <w:r>
        <w:rPr>
          <w:rFonts w:hint="eastAsia" w:ascii="宋体" w:hAnsi="宋体" w:cs="宋体"/>
          <w:sz w:val="21"/>
          <w:szCs w:val="21"/>
          <w:highlight w:val="none"/>
        </w:rPr>
        <w:t>广西政府采购云平台</w:t>
      </w:r>
      <w:r>
        <w:rPr>
          <w:rFonts w:hint="eastAsia" w:ascii="宋体" w:hAnsi="宋体" w:cs="宋体"/>
          <w:bCs/>
          <w:kern w:val="0"/>
          <w:sz w:val="21"/>
          <w:szCs w:val="21"/>
          <w:highlight w:val="none"/>
        </w:rPr>
        <w:t>（</w:t>
      </w:r>
      <w:r>
        <w:rPr>
          <w:rFonts w:hint="eastAsia" w:ascii="宋体" w:hAnsi="宋体" w:cs="宋体"/>
          <w:sz w:val="21"/>
          <w:szCs w:val="21"/>
          <w:highlight w:val="none"/>
        </w:rPr>
        <w:t>https://www.gcy.zfcg.gxzf.gov.cn/</w:t>
      </w:r>
      <w:r>
        <w:rPr>
          <w:rFonts w:hint="eastAsia" w:ascii="宋体" w:hAnsi="宋体" w:cs="宋体"/>
          <w:bCs/>
          <w:kern w:val="0"/>
          <w:sz w:val="21"/>
          <w:szCs w:val="21"/>
          <w:highlight w:val="none"/>
        </w:rPr>
        <w:t>）</w:t>
      </w:r>
    </w:p>
    <w:p w14:paraId="2CDF65B0">
      <w:pPr>
        <w:wordWrap w:val="0"/>
        <w:topLinePunct/>
        <w:spacing w:line="360" w:lineRule="auto"/>
        <w:ind w:firstLine="420" w:firstLineChars="200"/>
        <w:rPr>
          <w:rFonts w:hint="eastAsia" w:ascii="宋体" w:hAnsi="宋体" w:cs="宋体"/>
          <w:bCs/>
          <w:kern w:val="0"/>
          <w:sz w:val="21"/>
          <w:szCs w:val="21"/>
          <w:highlight w:val="none"/>
        </w:rPr>
      </w:pPr>
      <w:r>
        <w:rPr>
          <w:rFonts w:hint="eastAsia" w:ascii="宋体" w:hAnsi="宋体" w:cs="宋体"/>
          <w:bCs/>
          <w:kern w:val="0"/>
          <w:sz w:val="21"/>
          <w:szCs w:val="21"/>
          <w:highlight w:val="none"/>
        </w:rPr>
        <w:t>方式：网上下载。本项目不发放纸质文件，供应商应自行在</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w:instrText>
      </w:r>
      <w:r>
        <w:rPr>
          <w:rFonts w:hint="eastAsia" w:ascii="宋体" w:hAnsi="宋体" w:cs="宋体"/>
          <w:szCs w:val="21"/>
          <w:highlight w:val="none"/>
        </w:rPr>
        <w:fldChar w:fldCharType="separate"/>
      </w:r>
      <w:r>
        <w:rPr>
          <w:rFonts w:hint="eastAsia" w:ascii="宋体" w:hAnsi="宋体" w:cs="宋体"/>
          <w:szCs w:val="21"/>
          <w:highlight w:val="none"/>
        </w:rPr>
        <w:fldChar w:fldCharType="end"/>
      </w:r>
      <w:r>
        <w:rPr>
          <w:rFonts w:hint="eastAsia" w:ascii="宋体" w:hAnsi="宋体" w:cs="宋体"/>
          <w:sz w:val="21"/>
          <w:szCs w:val="21"/>
          <w:highlight w:val="none"/>
        </w:rPr>
        <w:t>广西政府采购云平台</w:t>
      </w:r>
      <w:r>
        <w:rPr>
          <w:rFonts w:hint="eastAsia" w:ascii="宋体" w:hAnsi="宋体" w:cs="宋体"/>
          <w:bCs/>
          <w:kern w:val="0"/>
          <w:sz w:val="21"/>
          <w:szCs w:val="21"/>
          <w:highlight w:val="none"/>
        </w:rPr>
        <w:t>（</w:t>
      </w:r>
      <w:r>
        <w:rPr>
          <w:rFonts w:hint="eastAsia" w:ascii="宋体" w:hAnsi="宋体" w:cs="宋体"/>
          <w:sz w:val="21"/>
          <w:szCs w:val="21"/>
          <w:highlight w:val="none"/>
        </w:rPr>
        <w:t>https://www.gcy.zfcg.gxzf.gov.cn/</w:t>
      </w:r>
      <w:r>
        <w:rPr>
          <w:rFonts w:hint="eastAsia" w:ascii="宋体" w:hAnsi="宋体" w:cs="宋体"/>
          <w:bCs/>
          <w:kern w:val="0"/>
          <w:sz w:val="21"/>
          <w:szCs w:val="21"/>
          <w:highlight w:val="none"/>
        </w:rPr>
        <w:t>）下载招标文件（操作路径：登录</w:t>
      </w:r>
      <w:r>
        <w:rPr>
          <w:rFonts w:hint="eastAsia" w:ascii="宋体" w:hAnsi="宋体" w:cs="宋体"/>
          <w:sz w:val="21"/>
          <w:szCs w:val="21"/>
          <w:highlight w:val="none"/>
        </w:rPr>
        <w:t>广西政府采购云平台</w:t>
      </w:r>
      <w:r>
        <w:rPr>
          <w:rFonts w:hint="eastAsia" w:ascii="宋体" w:hAnsi="宋体" w:cs="宋体"/>
          <w:bCs/>
          <w:kern w:val="0"/>
          <w:sz w:val="21"/>
          <w:szCs w:val="21"/>
          <w:highlight w:val="none"/>
        </w:rPr>
        <w:t>-项目采购-获取采购文件-找到本项目-点击“申请获取采购文件”），电子投标文件制作需要基于</w:t>
      </w:r>
      <w:r>
        <w:rPr>
          <w:rFonts w:hint="eastAsia" w:ascii="宋体" w:hAnsi="宋体" w:cs="宋体"/>
          <w:sz w:val="21"/>
          <w:szCs w:val="21"/>
          <w:highlight w:val="none"/>
        </w:rPr>
        <w:t>广西政府采购云平台</w:t>
      </w:r>
      <w:r>
        <w:rPr>
          <w:rFonts w:hint="eastAsia" w:ascii="宋体" w:hAnsi="宋体" w:cs="宋体"/>
          <w:bCs/>
          <w:kern w:val="0"/>
          <w:sz w:val="21"/>
          <w:szCs w:val="21"/>
          <w:highlight w:val="none"/>
        </w:rPr>
        <w:t>获取的招标文件编制，通过其他方式获取招标文件的，将有可能导致供应商无法在</w:t>
      </w:r>
      <w:r>
        <w:rPr>
          <w:rFonts w:hint="eastAsia" w:ascii="宋体" w:hAnsi="宋体" w:cs="宋体"/>
          <w:sz w:val="21"/>
          <w:szCs w:val="21"/>
          <w:highlight w:val="none"/>
        </w:rPr>
        <w:t>广西政府采购云平台</w:t>
      </w:r>
      <w:r>
        <w:rPr>
          <w:rFonts w:hint="eastAsia" w:ascii="宋体" w:hAnsi="宋体" w:cs="宋体"/>
          <w:bCs/>
          <w:kern w:val="0"/>
          <w:sz w:val="21"/>
          <w:szCs w:val="21"/>
          <w:highlight w:val="none"/>
        </w:rPr>
        <w:t>编制及上传投标文件。</w:t>
      </w:r>
    </w:p>
    <w:p w14:paraId="114CCBAF">
      <w:pPr>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bCs/>
          <w:kern w:val="0"/>
          <w:sz w:val="21"/>
          <w:szCs w:val="21"/>
          <w:highlight w:val="none"/>
        </w:rPr>
        <w:t>售价</w:t>
      </w:r>
      <w:r>
        <w:rPr>
          <w:rFonts w:hint="eastAsia" w:ascii="宋体" w:hAnsi="宋体" w:eastAsia="宋体" w:cs="宋体"/>
          <w:bCs/>
          <w:kern w:val="0"/>
          <w:sz w:val="21"/>
          <w:szCs w:val="21"/>
          <w:highlight w:val="none"/>
        </w:rPr>
        <w:t>（元）</w:t>
      </w:r>
      <w:r>
        <w:rPr>
          <w:rFonts w:hint="eastAsia" w:ascii="宋体" w:hAnsi="宋体" w:cs="宋体"/>
          <w:bCs/>
          <w:kern w:val="0"/>
          <w:sz w:val="21"/>
          <w:szCs w:val="21"/>
          <w:highlight w:val="none"/>
        </w:rPr>
        <w:t>：0。</w:t>
      </w:r>
    </w:p>
    <w:p w14:paraId="4A2EBBA2">
      <w:pPr>
        <w:wordWrap w:val="0"/>
        <w:topLinePunct/>
        <w:spacing w:line="360" w:lineRule="auto"/>
        <w:ind w:firstLine="422" w:firstLineChars="200"/>
        <w:rPr>
          <w:rFonts w:hint="eastAsia" w:ascii="宋体" w:hAnsi="宋体" w:cs="宋体"/>
          <w:b/>
          <w:bCs/>
          <w:sz w:val="21"/>
          <w:szCs w:val="21"/>
          <w:highlight w:val="none"/>
        </w:rPr>
      </w:pPr>
      <w:bookmarkStart w:id="21" w:name="_Toc28359005"/>
      <w:bookmarkStart w:id="22" w:name="_Toc28359082"/>
      <w:bookmarkStart w:id="23" w:name="_Toc35393624"/>
      <w:bookmarkStart w:id="24" w:name="_Toc35393793"/>
      <w:r>
        <w:rPr>
          <w:rFonts w:hint="eastAsia" w:ascii="宋体" w:hAnsi="宋体" w:cs="宋体"/>
          <w:b/>
          <w:bCs/>
          <w:sz w:val="21"/>
          <w:szCs w:val="21"/>
          <w:highlight w:val="none"/>
        </w:rPr>
        <w:t>四、提交投标文件</w:t>
      </w:r>
      <w:bookmarkEnd w:id="21"/>
      <w:bookmarkEnd w:id="22"/>
      <w:r>
        <w:rPr>
          <w:rFonts w:hint="eastAsia" w:ascii="宋体" w:hAnsi="宋体" w:cs="宋体"/>
          <w:b/>
          <w:bCs/>
          <w:sz w:val="21"/>
          <w:szCs w:val="21"/>
          <w:highlight w:val="none"/>
        </w:rPr>
        <w:t>截止时间、开标时间和地点</w:t>
      </w:r>
      <w:bookmarkEnd w:id="23"/>
      <w:bookmarkEnd w:id="24"/>
    </w:p>
    <w:p w14:paraId="5B33EC19">
      <w:pPr>
        <w:wordWrap w:val="0"/>
        <w:topLinePunct/>
        <w:spacing w:line="360" w:lineRule="auto"/>
        <w:ind w:firstLine="420" w:firstLineChars="200"/>
        <w:rPr>
          <w:rFonts w:hint="eastAsia" w:ascii="宋体" w:hAnsi="宋体" w:cs="宋体"/>
          <w:sz w:val="21"/>
          <w:szCs w:val="21"/>
          <w:highlight w:val="none"/>
        </w:rPr>
      </w:pPr>
      <w:bookmarkStart w:id="25" w:name="_Toc28359007"/>
      <w:bookmarkStart w:id="26" w:name="_Toc28359084"/>
      <w:bookmarkStart w:id="27" w:name="_Toc35393794"/>
      <w:bookmarkStart w:id="28" w:name="_Toc35393625"/>
      <w:r>
        <w:rPr>
          <w:rFonts w:hint="eastAsia" w:ascii="宋体" w:hAnsi="宋体" w:cs="宋体"/>
          <w:sz w:val="21"/>
          <w:szCs w:val="21"/>
          <w:highlight w:val="none"/>
        </w:rPr>
        <w:t>提交投标文件</w:t>
      </w:r>
      <w:r>
        <w:rPr>
          <w:rFonts w:hint="eastAsia" w:ascii="宋体" w:hAnsi="宋体" w:cs="宋体"/>
          <w:sz w:val="21"/>
          <w:szCs w:val="21"/>
          <w:highlight w:val="none"/>
          <w:lang w:bidi="ar"/>
        </w:rPr>
        <w:t>截止时间：</w:t>
      </w:r>
      <w:r>
        <w:rPr>
          <w:rFonts w:hint="eastAsia" w:ascii="宋体" w:hAnsi="宋体" w:cs="宋体"/>
          <w:sz w:val="21"/>
          <w:szCs w:val="21"/>
          <w:highlight w:val="none"/>
          <w:lang w:val="en-US" w:eastAsia="zh-CN"/>
        </w:rPr>
        <w:t>2026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6</w:t>
      </w:r>
      <w:r>
        <w:rPr>
          <w:rFonts w:hint="eastAsia" w:ascii="宋体" w:hAnsi="宋体" w:cs="宋体"/>
          <w:sz w:val="21"/>
          <w:szCs w:val="21"/>
          <w:highlight w:val="none"/>
        </w:rPr>
        <w:t>日</w:t>
      </w:r>
      <w:r>
        <w:rPr>
          <w:rFonts w:hint="eastAsia" w:ascii="宋体" w:hAnsi="宋体" w:cs="宋体"/>
          <w:sz w:val="21"/>
          <w:szCs w:val="21"/>
          <w:highlight w:val="none"/>
          <w:lang w:val="en-US" w:eastAsia="zh-CN"/>
        </w:rPr>
        <w:t>09</w:t>
      </w:r>
      <w:r>
        <w:rPr>
          <w:rFonts w:hint="eastAsia" w:ascii="宋体" w:hAnsi="宋体" w:eastAsia="宋体" w:cs="宋体"/>
          <w:sz w:val="21"/>
          <w:szCs w:val="21"/>
          <w:highlight w:val="none"/>
          <w:lang w:eastAsia="zh-CN"/>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0（北京时间）</w:t>
      </w:r>
    </w:p>
    <w:p w14:paraId="0B7EE944">
      <w:pPr>
        <w:wordWrap w:val="0"/>
        <w:topLinePunct/>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投标地点（网址）：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1E1031D1">
      <w:pPr>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开标时间</w:t>
      </w:r>
      <w:r>
        <w:rPr>
          <w:rFonts w:hint="eastAsia" w:ascii="宋体" w:hAnsi="宋体" w:cs="宋体"/>
          <w:sz w:val="21"/>
          <w:szCs w:val="21"/>
          <w:highlight w:val="none"/>
        </w:rPr>
        <w:t>：</w:t>
      </w:r>
      <w:r>
        <w:rPr>
          <w:rFonts w:hint="eastAsia" w:ascii="宋体" w:hAnsi="宋体" w:cs="宋体"/>
          <w:sz w:val="21"/>
          <w:szCs w:val="21"/>
          <w:highlight w:val="none"/>
          <w:lang w:val="en-US" w:eastAsia="zh-CN"/>
        </w:rPr>
        <w:t>2026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6</w:t>
      </w:r>
      <w:r>
        <w:rPr>
          <w:rFonts w:hint="eastAsia" w:ascii="宋体" w:hAnsi="宋体" w:cs="宋体"/>
          <w:sz w:val="21"/>
          <w:szCs w:val="21"/>
          <w:highlight w:val="none"/>
        </w:rPr>
        <w:t>日</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r>
        <w:rPr>
          <w:rFonts w:hint="eastAsia" w:ascii="宋体" w:hAnsi="宋体" w:cs="宋体"/>
          <w:sz w:val="21"/>
          <w:szCs w:val="21"/>
          <w:highlight w:val="none"/>
        </w:rPr>
        <w:t>（北京时间）</w:t>
      </w:r>
    </w:p>
    <w:p w14:paraId="41684557">
      <w:pPr>
        <w:wordWrap w:val="0"/>
        <w:topLinePunct/>
        <w:spacing w:line="360" w:lineRule="auto"/>
        <w:ind w:firstLine="420" w:firstLineChars="200"/>
        <w:rPr>
          <w:rFonts w:hint="eastAsia" w:ascii="宋体" w:hAnsi="宋体" w:cs="宋体"/>
          <w:sz w:val="21"/>
          <w:szCs w:val="21"/>
          <w:highlight w:val="none"/>
          <w:lang w:bidi="ar"/>
        </w:rPr>
      </w:pPr>
      <w:r>
        <w:rPr>
          <w:rFonts w:hint="eastAsia" w:ascii="宋体" w:hAnsi="宋体" w:eastAsia="宋体" w:cs="宋体"/>
          <w:sz w:val="21"/>
          <w:szCs w:val="21"/>
          <w:highlight w:val="none"/>
          <w:lang w:bidi="ar"/>
        </w:rPr>
        <w:t>开标</w:t>
      </w:r>
      <w:r>
        <w:rPr>
          <w:rFonts w:hint="eastAsia" w:ascii="宋体" w:hAnsi="宋体" w:cs="宋体"/>
          <w:sz w:val="21"/>
          <w:szCs w:val="21"/>
          <w:highlight w:val="none"/>
        </w:rPr>
        <w:t>地点：广西政府采购云平台</w:t>
      </w:r>
      <w:r>
        <w:rPr>
          <w:rFonts w:hint="eastAsia" w:ascii="宋体" w:hAnsi="宋体" w:cs="宋体"/>
          <w:sz w:val="21"/>
          <w:szCs w:val="21"/>
          <w:highlight w:val="none"/>
          <w:lang w:bidi="ar"/>
        </w:rPr>
        <w:t>电子开标大厅。</w:t>
      </w:r>
    </w:p>
    <w:p w14:paraId="2881D193">
      <w:pPr>
        <w:widowControl/>
        <w:wordWrap w:val="0"/>
        <w:topLinePunct/>
        <w:spacing w:line="360" w:lineRule="auto"/>
        <w:ind w:firstLine="422" w:firstLineChars="200"/>
        <w:rPr>
          <w:rFonts w:hint="eastAsia" w:ascii="宋体" w:hAnsi="宋体" w:cs="宋体"/>
          <w:b/>
          <w:sz w:val="21"/>
          <w:szCs w:val="21"/>
          <w:highlight w:val="none"/>
        </w:rPr>
      </w:pPr>
      <w:r>
        <w:rPr>
          <w:rFonts w:hint="eastAsia" w:ascii="宋体" w:hAnsi="宋体" w:cs="宋体"/>
          <w:b/>
          <w:sz w:val="21"/>
          <w:szCs w:val="21"/>
          <w:highlight w:val="none"/>
        </w:rPr>
        <w:t>五、开启</w:t>
      </w:r>
    </w:p>
    <w:p w14:paraId="1751B239">
      <w:pPr>
        <w:wordWrap w:val="0"/>
        <w:topLinePunct/>
        <w:spacing w:line="360" w:lineRule="auto"/>
        <w:ind w:firstLine="420" w:firstLineChars="200"/>
        <w:rPr>
          <w:rFonts w:hint="eastAsia" w:ascii="宋体" w:hAnsi="宋体" w:cs="宋体"/>
          <w:bCs/>
          <w:sz w:val="21"/>
          <w:szCs w:val="21"/>
          <w:highlight w:val="none"/>
          <w:u w:val="single"/>
        </w:rPr>
      </w:pPr>
      <w:r>
        <w:rPr>
          <w:rFonts w:hint="eastAsia" w:ascii="宋体" w:hAnsi="宋体" w:cs="宋体"/>
          <w:sz w:val="21"/>
          <w:szCs w:val="21"/>
          <w:highlight w:val="none"/>
        </w:rPr>
        <w:t>1.投标文件开启时间：</w:t>
      </w:r>
      <w:r>
        <w:rPr>
          <w:rFonts w:hint="eastAsia" w:ascii="宋体" w:hAnsi="宋体" w:cs="宋体"/>
          <w:sz w:val="21"/>
          <w:szCs w:val="21"/>
          <w:highlight w:val="none"/>
          <w:lang w:val="en-US" w:eastAsia="zh-CN"/>
        </w:rPr>
        <w:t>2026</w:t>
      </w:r>
      <w:r>
        <w:rPr>
          <w:rFonts w:hint="eastAsia" w:ascii="宋体" w:hAnsi="宋体" w:cs="宋体"/>
          <w:sz w:val="21"/>
          <w:szCs w:val="21"/>
          <w:highlight w:val="none"/>
        </w:rPr>
        <w:t>年</w:t>
      </w:r>
      <w:r>
        <w:rPr>
          <w:rFonts w:hint="eastAsia" w:ascii="宋体" w:hAnsi="宋体" w:cs="宋体"/>
          <w:sz w:val="21"/>
          <w:szCs w:val="21"/>
          <w:highlight w:val="none"/>
          <w:lang w:val="en-US" w:eastAsia="zh-CN"/>
        </w:rPr>
        <w:t>8</w:t>
      </w:r>
      <w:r>
        <w:rPr>
          <w:rFonts w:hint="eastAsia" w:ascii="宋体" w:hAnsi="宋体" w:cs="宋体"/>
          <w:sz w:val="21"/>
          <w:szCs w:val="21"/>
          <w:highlight w:val="none"/>
        </w:rPr>
        <w:t>月</w:t>
      </w:r>
      <w:r>
        <w:rPr>
          <w:rFonts w:hint="eastAsia" w:ascii="宋体" w:hAnsi="宋体" w:cs="宋体"/>
          <w:sz w:val="21"/>
          <w:szCs w:val="21"/>
          <w:highlight w:val="none"/>
          <w:lang w:val="en-US" w:eastAsia="zh-CN"/>
        </w:rPr>
        <w:t>6</w:t>
      </w:r>
      <w:r>
        <w:rPr>
          <w:rFonts w:hint="eastAsia" w:ascii="宋体" w:hAnsi="宋体" w:cs="宋体"/>
          <w:sz w:val="21"/>
          <w:szCs w:val="21"/>
          <w:highlight w:val="none"/>
        </w:rPr>
        <w:t>日</w:t>
      </w:r>
      <w:r>
        <w:rPr>
          <w:rFonts w:hint="eastAsia" w:ascii="宋体" w:hAnsi="宋体" w:eastAsia="宋体" w:cs="宋体"/>
          <w:sz w:val="21"/>
          <w:szCs w:val="21"/>
          <w:highlight w:val="none"/>
          <w:lang w:val="en-US" w:eastAsia="zh-CN"/>
        </w:rPr>
        <w:t>09</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w:t>
      </w:r>
      <w:r>
        <w:rPr>
          <w:rFonts w:hint="eastAsia" w:ascii="宋体" w:hAnsi="宋体" w:cs="宋体"/>
          <w:bCs/>
          <w:kern w:val="0"/>
          <w:sz w:val="21"/>
          <w:szCs w:val="21"/>
          <w:highlight w:val="none"/>
        </w:rPr>
        <w:t>（北京时间）</w:t>
      </w:r>
    </w:p>
    <w:p w14:paraId="37E8CC31">
      <w:pPr>
        <w:wordWrap w:val="0"/>
        <w:topLinePunct/>
        <w:spacing w:line="360" w:lineRule="auto"/>
        <w:ind w:firstLine="420" w:firstLineChars="200"/>
        <w:rPr>
          <w:rFonts w:hint="eastAsia" w:ascii="宋体" w:hAnsi="宋体" w:cs="宋体"/>
          <w:szCs w:val="21"/>
          <w:highlight w:val="none"/>
          <w:lang w:bidi="ar"/>
        </w:rPr>
      </w:pPr>
      <w:r>
        <w:rPr>
          <w:rFonts w:hint="eastAsia" w:ascii="宋体" w:hAnsi="宋体" w:cs="宋体"/>
          <w:sz w:val="21"/>
          <w:szCs w:val="21"/>
          <w:highlight w:val="none"/>
        </w:rPr>
        <w:t>2.地点：</w:t>
      </w:r>
      <w:r>
        <w:rPr>
          <w:rFonts w:hint="eastAsia" w:ascii="宋体" w:hAnsi="宋体" w:cs="宋体"/>
          <w:sz w:val="21"/>
          <w:szCs w:val="21"/>
          <w:highlight w:val="none"/>
          <w:lang w:bidi="ar"/>
        </w:rPr>
        <w:t>本项目将在</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电子开标大厅解密、开启。</w:t>
      </w:r>
    </w:p>
    <w:p w14:paraId="5838EA1A">
      <w:pPr>
        <w:wordWrap w:val="0"/>
        <w:topLinePunct/>
        <w:spacing w:line="360" w:lineRule="auto"/>
        <w:ind w:firstLine="422" w:firstLineChars="200"/>
        <w:rPr>
          <w:rFonts w:hint="eastAsia" w:ascii="宋体" w:hAnsi="宋体" w:cs="宋体"/>
          <w:b/>
          <w:bCs/>
          <w:sz w:val="21"/>
          <w:szCs w:val="21"/>
          <w:highlight w:val="none"/>
        </w:rPr>
      </w:pPr>
      <w:r>
        <w:rPr>
          <w:rFonts w:hint="eastAsia" w:ascii="宋体" w:hAnsi="宋体" w:cs="宋体"/>
          <w:b/>
          <w:bCs/>
          <w:sz w:val="21"/>
          <w:szCs w:val="21"/>
          <w:highlight w:val="none"/>
        </w:rPr>
        <w:t>六、公告期限</w:t>
      </w:r>
      <w:bookmarkEnd w:id="25"/>
      <w:bookmarkEnd w:id="26"/>
      <w:bookmarkEnd w:id="27"/>
      <w:bookmarkEnd w:id="28"/>
    </w:p>
    <w:p w14:paraId="1A79DCEF">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自本公告发布之日起</w:t>
      </w:r>
      <w:r>
        <w:rPr>
          <w:rFonts w:hint="eastAsia" w:ascii="宋体" w:hAnsi="宋体" w:cs="宋体"/>
          <w:kern w:val="0"/>
          <w:sz w:val="21"/>
          <w:szCs w:val="21"/>
          <w:highlight w:val="none"/>
          <w:lang w:val="en-US" w:eastAsia="zh-CN"/>
        </w:rPr>
        <w:t>5</w:t>
      </w:r>
      <w:r>
        <w:rPr>
          <w:rFonts w:hint="eastAsia" w:ascii="宋体" w:hAnsi="宋体" w:cs="宋体"/>
          <w:kern w:val="0"/>
          <w:sz w:val="21"/>
          <w:szCs w:val="21"/>
          <w:highlight w:val="none"/>
        </w:rPr>
        <w:t>个工作日。</w:t>
      </w:r>
    </w:p>
    <w:p w14:paraId="2E983172">
      <w:pPr>
        <w:wordWrap w:val="0"/>
        <w:topLinePunct/>
        <w:spacing w:line="360" w:lineRule="auto"/>
        <w:ind w:firstLine="422" w:firstLineChars="200"/>
        <w:rPr>
          <w:rFonts w:hint="eastAsia" w:ascii="宋体" w:hAnsi="宋体" w:cs="宋体"/>
          <w:b/>
          <w:bCs/>
          <w:sz w:val="21"/>
          <w:szCs w:val="21"/>
          <w:highlight w:val="none"/>
        </w:rPr>
      </w:pPr>
      <w:bookmarkStart w:id="29" w:name="_Hlk37429674"/>
      <w:r>
        <w:rPr>
          <w:rFonts w:hint="eastAsia" w:ascii="宋体" w:hAnsi="宋体" w:cs="宋体"/>
          <w:b/>
          <w:bCs/>
          <w:sz w:val="21"/>
          <w:szCs w:val="21"/>
          <w:highlight w:val="none"/>
        </w:rPr>
        <w:t>七、其他补充事宜：</w:t>
      </w:r>
    </w:p>
    <w:p w14:paraId="1FADAFE4">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541909F">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2.根据财政部《关于在政府采购活动中查询及使用信用记录有关问题的通知》（财库〔2016〕125号）的规定</w:t>
      </w:r>
      <w:r>
        <w:rPr>
          <w:rFonts w:hint="eastAsia" w:ascii="宋体" w:hAnsi="宋体" w:cs="宋体"/>
          <w:color w:val="auto"/>
          <w:kern w:val="0"/>
          <w:sz w:val="21"/>
          <w:szCs w:val="21"/>
          <w:highlight w:val="none"/>
        </w:rPr>
        <w:t>，对在“信用中国”网站(www.creditchina.gov.cn)、中国政府采购网(www.ccgp.gov.cn)</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中国执行信息公开网（https://zxgk.court.gov.cn/）被列入失信被执行人、重大税收违法失信主体、政府采购严重违法失信行为记录名单及其他不符合《中华人民共和国政府采购法》第二十二条规定条件的投标人，不得参与政府采购活动。</w:t>
      </w:r>
    </w:p>
    <w:p w14:paraId="20EC2329">
      <w:pPr>
        <w:wordWrap w:val="0"/>
        <w:topLinePunct/>
        <w:spacing w:line="360" w:lineRule="auto"/>
        <w:ind w:left="420" w:leftChars="200"/>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rPr>
        <w:t>3.网上查询地址：</w:t>
      </w:r>
    </w:p>
    <w:p w14:paraId="70CABED5">
      <w:pPr>
        <w:wordWrap w:val="0"/>
        <w:topLinePunct/>
        <w:spacing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（1）中国政府采购网（</w:t>
      </w:r>
      <w:r>
        <w:rPr>
          <w:rFonts w:hint="eastAsia" w:ascii="宋体" w:hAnsi="宋体" w:cs="宋体"/>
          <w:szCs w:val="21"/>
          <w:highlight w:val="none"/>
        </w:rPr>
        <w:fldChar w:fldCharType="begin"/>
      </w:r>
      <w:r>
        <w:rPr>
          <w:rFonts w:hint="eastAsia" w:ascii="宋体" w:hAnsi="宋体" w:cs="宋体"/>
          <w:szCs w:val="21"/>
          <w:highlight w:val="none"/>
        </w:rPr>
        <w:instrText xml:space="preserve"> HYPERLINK "http://www.ccgp.gov.cn" </w:instrText>
      </w:r>
      <w:r>
        <w:rPr>
          <w:rFonts w:hint="eastAsia" w:ascii="宋体" w:hAnsi="宋体" w:cs="宋体"/>
          <w:szCs w:val="21"/>
          <w:highlight w:val="none"/>
        </w:rPr>
        <w:fldChar w:fldCharType="separate"/>
      </w:r>
      <w:r>
        <w:rPr>
          <w:rStyle w:val="55"/>
          <w:rFonts w:hint="eastAsia" w:ascii="宋体" w:hAnsi="宋体" w:cs="宋体"/>
          <w:color w:val="auto"/>
          <w:sz w:val="21"/>
          <w:szCs w:val="21"/>
          <w:highlight w:val="none"/>
        </w:rPr>
        <w:t>www.ccgp.gov.cn</w:t>
      </w:r>
      <w:r>
        <w:rPr>
          <w:rStyle w:val="55"/>
          <w:rFonts w:hint="eastAsia" w:ascii="宋体" w:hAnsi="宋体" w:cs="宋体"/>
          <w:color w:val="auto"/>
          <w:sz w:val="21"/>
          <w:szCs w:val="21"/>
          <w:highlight w:val="none"/>
        </w:rPr>
        <w:fldChar w:fldCharType="end"/>
      </w:r>
      <w:r>
        <w:rPr>
          <w:rFonts w:hint="eastAsia" w:ascii="宋体" w:hAnsi="宋体" w:cs="宋体"/>
          <w:sz w:val="21"/>
          <w:szCs w:val="21"/>
          <w:highlight w:val="none"/>
        </w:rPr>
        <w:t>）</w:t>
      </w:r>
    </w:p>
    <w:p w14:paraId="2D07D808">
      <w:pPr>
        <w:wordWrap w:val="0"/>
        <w:topLinePunct/>
        <w:spacing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（2）广西政府采购网（zfcg.gxzf.gov.cn）</w:t>
      </w:r>
    </w:p>
    <w:p w14:paraId="20F77F0E">
      <w:pPr>
        <w:wordWrap w:val="0"/>
        <w:topLinePunct/>
        <w:spacing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color w:val="auto"/>
          <w:kern w:val="0"/>
          <w:szCs w:val="21"/>
          <w:highlight w:val="none"/>
        </w:rPr>
        <w:t>桂林市政府采购网</w:t>
      </w:r>
      <w:r>
        <w:rPr>
          <w:rFonts w:hint="eastAsia" w:ascii="宋体" w:hAnsi="宋体" w:cs="宋体"/>
          <w:color w:val="auto"/>
          <w:kern w:val="0"/>
          <w:szCs w:val="21"/>
          <w:highlight w:val="none"/>
          <w:lang w:eastAsia="zh-CN"/>
        </w:rPr>
        <w:t>（http://gl.zfcg.zcygov.cn/）</w:t>
      </w:r>
    </w:p>
    <w:p w14:paraId="4507FF6A">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4.本项目需要落实的政府采购政策：</w:t>
      </w:r>
    </w:p>
    <w:p w14:paraId="5EDE56E1">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（1）政府采购促进中小企业发展。</w:t>
      </w:r>
    </w:p>
    <w:p w14:paraId="12B7D99F">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（2）政府采购支持采用本国产品的政策。</w:t>
      </w:r>
    </w:p>
    <w:p w14:paraId="3224611C">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（3）强制采购节能产品；优先采购节能产品、环境标志产品。</w:t>
      </w:r>
    </w:p>
    <w:p w14:paraId="38AE396D">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（4）政府采购促进残疾人就业政策。</w:t>
      </w:r>
    </w:p>
    <w:p w14:paraId="0EDDE4AA">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（5）政府采购支持监狱企业发展。</w:t>
      </w:r>
    </w:p>
    <w:p w14:paraId="3E16D67C">
      <w:pPr>
        <w:widowControl/>
        <w:wordWrap w:val="0"/>
        <w:topLinePunct/>
        <w:spacing w:line="36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5.投标注意事项：</w:t>
      </w:r>
    </w:p>
    <w:p w14:paraId="0D2F2266">
      <w:pPr>
        <w:widowControl/>
        <w:wordWrap w:val="0"/>
        <w:topLinePunct/>
        <w:spacing w:line="360" w:lineRule="auto"/>
        <w:ind w:firstLine="420" w:firstLineChars="200"/>
        <w:rPr>
          <w:rFonts w:hint="eastAsia" w:ascii="宋体" w:hAnsi="宋体" w:cs="宋体"/>
          <w:bCs/>
          <w:sz w:val="21"/>
          <w:szCs w:val="21"/>
          <w:highlight w:val="none"/>
        </w:rPr>
      </w:pPr>
      <w:r>
        <w:rPr>
          <w:rFonts w:hint="eastAsia" w:ascii="宋体" w:hAnsi="宋体" w:cs="宋体"/>
          <w:sz w:val="21"/>
          <w:szCs w:val="21"/>
          <w:highlight w:val="none"/>
          <w:lang w:bidi="ar"/>
        </w:rPr>
        <w:t>（1）投标文件提交方式：本项目为全流程电子化政府采购项目，通过</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w:t>
      </w:r>
      <w:r>
        <w:rPr>
          <w:rFonts w:hint="eastAsia" w:ascii="宋体" w:hAnsi="宋体" w:cs="宋体"/>
          <w:sz w:val="21"/>
          <w:szCs w:val="21"/>
          <w:highlight w:val="none"/>
        </w:rPr>
        <w:t>https://www.gcy.zfcg.gxzf.gov.cn/</w:t>
      </w:r>
      <w:r>
        <w:rPr>
          <w:rFonts w:hint="eastAsia" w:ascii="宋体" w:hAnsi="宋体" w:cs="宋体"/>
          <w:sz w:val="21"/>
          <w:szCs w:val="21"/>
          <w:highlight w:val="none"/>
          <w:lang w:bidi="ar"/>
        </w:rPr>
        <w:t>）实行在线电子投标，供应商应先安装“</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电子交易客户端”（请自行前往</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进行下载），并按照本项目招标文件和</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的要求编制、加密后在投标截止时间前通过网络上传至</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w:t>
      </w:r>
      <w:r>
        <w:rPr>
          <w:rFonts w:hint="eastAsia" w:ascii="宋体" w:hAnsi="宋体" w:cs="宋体"/>
          <w:b/>
          <w:sz w:val="21"/>
          <w:szCs w:val="21"/>
          <w:highlight w:val="none"/>
          <w:lang w:bidi="ar"/>
        </w:rPr>
        <w:t>供应商在广西政府采购云平台提交电子版投标文件时，请填写参加远程开标活动经办人联系方式。</w:t>
      </w:r>
    </w:p>
    <w:p w14:paraId="6447643E">
      <w:pPr>
        <w:widowControl/>
        <w:wordWrap w:val="0"/>
        <w:topLinePunct/>
        <w:spacing w:line="360" w:lineRule="auto"/>
        <w:ind w:firstLine="420" w:firstLineChars="200"/>
        <w:rPr>
          <w:rFonts w:hint="eastAsia" w:ascii="宋体" w:hAnsi="宋体" w:cs="宋体"/>
          <w:sz w:val="21"/>
          <w:szCs w:val="21"/>
          <w:highlight w:val="none"/>
          <w:lang w:bidi="ar"/>
        </w:rPr>
      </w:pPr>
      <w:r>
        <w:rPr>
          <w:rFonts w:hint="eastAsia" w:ascii="宋体" w:hAnsi="宋体" w:cs="宋体"/>
          <w:sz w:val="21"/>
          <w:szCs w:val="21"/>
          <w:highlight w:val="none"/>
          <w:lang w:bidi="ar"/>
        </w:rPr>
        <w:t>（2）供应商应及时熟悉掌握电子标系统操作指南（见</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电子卖场首页右上角—服务中心—帮助文档—项目采购）；及时完成CA申领和绑定（见广西壮族自治区政府采购网—办事服务—下载专区-</w:t>
      </w:r>
      <w:r>
        <w:rPr>
          <w:rFonts w:hint="eastAsia" w:ascii="宋体" w:hAnsi="宋体" w:cs="宋体"/>
          <w:sz w:val="21"/>
          <w:szCs w:val="21"/>
          <w:highlight w:val="none"/>
        </w:rPr>
        <w:t>广西政府采购云平台</w:t>
      </w:r>
      <w:r>
        <w:rPr>
          <w:rFonts w:hint="eastAsia" w:ascii="宋体" w:hAnsi="宋体" w:cs="宋体"/>
          <w:sz w:val="21"/>
          <w:szCs w:val="21"/>
          <w:highlight w:val="none"/>
          <w:lang w:bidi="ar"/>
        </w:rPr>
        <w:t>CA证书办理操作指南）。</w:t>
      </w:r>
    </w:p>
    <w:p w14:paraId="21DD796A">
      <w:pPr>
        <w:widowControl/>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3）未进行网上注册并办理数字证书（CA认证）的供应商将无法参与本项目政府采购活动，潜在供应商应当在投标截止时间前，完成电子交易平台上的CA数字证书办理及投标文件的提交。完成CA数字证书办理预计7日左右，投标人只需办理其中一家CA数字证书及签章，建议各投标人抓紧时间办理。</w:t>
      </w:r>
    </w:p>
    <w:p w14:paraId="488797A5">
      <w:pPr>
        <w:widowControl/>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bidi="ar"/>
        </w:rPr>
        <w:t>（4）为确保网上操作合法、有效和安全，请投标人确保在电子投标过程中能够对相关数据电文进行加密和使用电子签章，妥善保管CA数字证书并使用有效的CA数字证书参与整个采购活动。</w:t>
      </w:r>
    </w:p>
    <w:p w14:paraId="14D1815E">
      <w:pPr>
        <w:widowControl/>
        <w:wordWrap w:val="0"/>
        <w:topLinePunct/>
        <w:spacing w:line="360" w:lineRule="auto"/>
        <w:ind w:firstLine="422" w:firstLineChars="200"/>
        <w:rPr>
          <w:rFonts w:hint="eastAsia" w:ascii="宋体" w:hAnsi="宋体" w:eastAsia="宋体" w:cs="宋体"/>
          <w:sz w:val="21"/>
          <w:szCs w:val="21"/>
          <w:highlight w:val="none"/>
          <w:lang w:bidi="ar"/>
        </w:rPr>
      </w:pPr>
      <w:r>
        <w:rPr>
          <w:rFonts w:hint="eastAsia" w:ascii="宋体" w:hAnsi="宋体" w:eastAsia="宋体" w:cs="宋体"/>
          <w:b/>
          <w:bCs/>
          <w:sz w:val="21"/>
          <w:szCs w:val="21"/>
          <w:highlight w:val="none"/>
          <w:lang w:bidi="ar"/>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445CA041">
      <w:pPr>
        <w:widowControl/>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sz w:val="21"/>
          <w:szCs w:val="21"/>
          <w:highlight w:val="none"/>
          <w:lang w:bidi="ar"/>
        </w:rPr>
        <w:t>6.CA证书在线解密：供应商投标时，需携带制作投标文件时用来加</w:t>
      </w:r>
      <w:r>
        <w:rPr>
          <w:rFonts w:hint="eastAsia" w:ascii="宋体" w:hAnsi="宋体" w:cs="宋体"/>
          <w:kern w:val="0"/>
          <w:sz w:val="21"/>
          <w:szCs w:val="21"/>
          <w:highlight w:val="none"/>
          <w:lang w:bidi="ar"/>
        </w:rPr>
        <w:t>密的有效数字证书（CA认证）登录</w:t>
      </w:r>
      <w:r>
        <w:rPr>
          <w:rFonts w:hint="eastAsia" w:ascii="宋体" w:hAnsi="宋体" w:cs="宋体"/>
          <w:sz w:val="21"/>
          <w:szCs w:val="21"/>
          <w:highlight w:val="none"/>
        </w:rPr>
        <w:t>广西政府采购云平台</w:t>
      </w:r>
      <w:r>
        <w:rPr>
          <w:rFonts w:hint="eastAsia" w:ascii="宋体" w:hAnsi="宋体" w:cs="宋体"/>
          <w:kern w:val="0"/>
          <w:sz w:val="21"/>
          <w:szCs w:val="21"/>
          <w:highlight w:val="none"/>
          <w:lang w:bidi="ar"/>
        </w:rPr>
        <w:t>电子开标大厅现场按规定时间对加密的投标文件进行解密，否则后果自负。</w:t>
      </w:r>
    </w:p>
    <w:p w14:paraId="307CC4CA">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7.若对项目采购电子交易系统操作有疑问，可登录</w:t>
      </w:r>
      <w:r>
        <w:rPr>
          <w:rFonts w:hint="eastAsia" w:ascii="宋体" w:hAnsi="宋体" w:cs="宋体"/>
          <w:sz w:val="21"/>
          <w:szCs w:val="21"/>
          <w:highlight w:val="none"/>
        </w:rPr>
        <w:t>广西政府采购云平台</w:t>
      </w:r>
      <w:r>
        <w:rPr>
          <w:rFonts w:hint="eastAsia" w:ascii="宋体" w:hAnsi="宋体" w:cs="宋体"/>
          <w:kern w:val="0"/>
          <w:sz w:val="21"/>
          <w:szCs w:val="21"/>
          <w:highlight w:val="none"/>
        </w:rPr>
        <w:t>（</w:t>
      </w:r>
      <w:r>
        <w:rPr>
          <w:rFonts w:hint="eastAsia" w:ascii="宋体" w:hAnsi="宋体" w:cs="宋体"/>
          <w:sz w:val="21"/>
          <w:szCs w:val="21"/>
          <w:highlight w:val="none"/>
        </w:rPr>
        <w:t>https://www.gcy.zfcg.gxzf.gov.cn/</w:t>
      </w:r>
      <w:r>
        <w:rPr>
          <w:rFonts w:hint="eastAsia" w:ascii="宋体" w:hAnsi="宋体" w:cs="宋体"/>
          <w:kern w:val="0"/>
          <w:sz w:val="21"/>
          <w:szCs w:val="21"/>
          <w:highlight w:val="none"/>
        </w:rPr>
        <w:t>），点击右侧咨询小采，获取采小蜜智能服务管家帮助，或拨打</w:t>
      </w:r>
      <w:r>
        <w:rPr>
          <w:rFonts w:hint="eastAsia" w:ascii="宋体" w:hAnsi="宋体" w:cs="宋体"/>
          <w:sz w:val="21"/>
          <w:szCs w:val="21"/>
          <w:highlight w:val="none"/>
        </w:rPr>
        <w:t>广西政府采购云平台</w:t>
      </w:r>
      <w:r>
        <w:rPr>
          <w:rFonts w:hint="eastAsia" w:ascii="宋体" w:hAnsi="宋体" w:cs="宋体"/>
          <w:kern w:val="0"/>
          <w:sz w:val="21"/>
          <w:szCs w:val="21"/>
          <w:highlight w:val="none"/>
        </w:rPr>
        <w:t>服务热线95763获取热线服务帮助。</w:t>
      </w:r>
      <w:bookmarkEnd w:id="29"/>
    </w:p>
    <w:p w14:paraId="35D51520">
      <w:pPr>
        <w:wordWrap w:val="0"/>
        <w:topLinePunct/>
        <w:spacing w:line="360" w:lineRule="auto"/>
        <w:ind w:firstLine="420" w:firstLineChars="200"/>
        <w:rPr>
          <w:rFonts w:hint="eastAsia" w:ascii="宋体" w:hAnsi="宋体" w:cs="宋体"/>
          <w:kern w:val="0"/>
          <w:sz w:val="21"/>
          <w:szCs w:val="21"/>
          <w:highlight w:val="none"/>
          <w:lang w:val="en-US" w:eastAsia="zh-CN"/>
        </w:rPr>
      </w:pPr>
      <w:r>
        <w:rPr>
          <w:rFonts w:hint="eastAsia" w:ascii="宋体" w:hAnsi="宋体" w:cs="宋体"/>
          <w:kern w:val="0"/>
          <w:sz w:val="21"/>
          <w:szCs w:val="21"/>
          <w:highlight w:val="none"/>
          <w:lang w:val="en-US" w:eastAsia="zh-CN"/>
        </w:rPr>
        <w:t>8.监督部门</w:t>
      </w:r>
    </w:p>
    <w:p w14:paraId="1D00BECA">
      <w:pPr>
        <w:wordWrap w:val="0"/>
        <w:topLinePunct/>
        <w:spacing w:line="360" w:lineRule="auto"/>
        <w:ind w:firstLine="420" w:firstLineChars="200"/>
        <w:rPr>
          <w:rFonts w:hint="eastAsia" w:ascii="宋体" w:hAnsi="宋体" w:eastAsia="宋体" w:cs="宋体"/>
          <w:kern w:val="0"/>
          <w:sz w:val="21"/>
          <w:szCs w:val="21"/>
          <w:highlight w:val="none"/>
          <w:lang w:val="en-US" w:eastAsia="zh-CN"/>
        </w:rPr>
      </w:pPr>
      <w:r>
        <w:rPr>
          <w:rFonts w:hint="eastAsia" w:ascii="宋体" w:hAnsi="宋体" w:cs="宋体"/>
          <w:kern w:val="0"/>
          <w:sz w:val="21"/>
          <w:szCs w:val="21"/>
          <w:highlight w:val="none"/>
        </w:rPr>
        <w:t>监督管理机构：</w:t>
      </w:r>
      <w:r>
        <w:rPr>
          <w:rFonts w:hint="eastAsia" w:ascii="宋体" w:hAnsi="宋体" w:eastAsia="宋体" w:cs="宋体"/>
          <w:kern w:val="0"/>
          <w:sz w:val="21"/>
          <w:szCs w:val="21"/>
          <w:highlight w:val="none"/>
          <w:lang w:val="en-US" w:eastAsia="zh-CN"/>
        </w:rPr>
        <w:t>桂林市财政局</w:t>
      </w:r>
    </w:p>
    <w:p w14:paraId="099846EE">
      <w:pPr>
        <w:wordWrap w:val="0"/>
        <w:topLinePunct/>
        <w:spacing w:line="360" w:lineRule="auto"/>
        <w:ind w:firstLine="420" w:firstLineChars="200"/>
        <w:rPr>
          <w:rFonts w:hint="eastAsia" w:ascii="宋体" w:hAnsi="宋体" w:cs="宋体"/>
          <w:kern w:val="0"/>
          <w:sz w:val="21"/>
          <w:szCs w:val="21"/>
          <w:highlight w:val="none"/>
        </w:rPr>
      </w:pPr>
      <w:r>
        <w:rPr>
          <w:rFonts w:hint="eastAsia" w:ascii="宋体" w:hAnsi="宋体" w:cs="宋体"/>
          <w:kern w:val="0"/>
          <w:sz w:val="21"/>
          <w:szCs w:val="21"/>
          <w:highlight w:val="none"/>
        </w:rPr>
        <w:t>电话：</w:t>
      </w:r>
      <w:r>
        <w:rPr>
          <w:rFonts w:hint="eastAsia" w:ascii="宋体" w:hAnsi="宋体" w:eastAsia="宋体" w:cs="宋体"/>
          <w:kern w:val="0"/>
          <w:sz w:val="21"/>
          <w:szCs w:val="21"/>
          <w:highlight w:val="none"/>
        </w:rPr>
        <w:t>0773-2862142</w:t>
      </w:r>
    </w:p>
    <w:p w14:paraId="3D9657CB">
      <w:pPr>
        <w:wordWrap w:val="0"/>
        <w:topLinePunct/>
        <w:spacing w:line="360" w:lineRule="auto"/>
        <w:ind w:firstLine="422" w:firstLineChars="200"/>
        <w:rPr>
          <w:rFonts w:hint="eastAsia" w:ascii="宋体" w:hAnsi="宋体" w:cs="宋体"/>
          <w:b/>
          <w:bCs/>
          <w:sz w:val="21"/>
          <w:szCs w:val="21"/>
          <w:highlight w:val="none"/>
        </w:rPr>
      </w:pPr>
      <w:bookmarkStart w:id="30" w:name="_Toc35393627"/>
      <w:bookmarkStart w:id="31" w:name="_Toc28359085"/>
      <w:bookmarkStart w:id="32" w:name="_Toc28359008"/>
      <w:bookmarkStart w:id="33" w:name="_Toc35393796"/>
      <w:r>
        <w:rPr>
          <w:rFonts w:hint="eastAsia" w:ascii="宋体" w:hAnsi="宋体" w:cs="宋体"/>
          <w:b/>
          <w:bCs/>
          <w:sz w:val="21"/>
          <w:szCs w:val="21"/>
          <w:highlight w:val="none"/>
        </w:rPr>
        <w:t>八、对本次招标提出询问，请按以下方式联系。</w:t>
      </w:r>
      <w:bookmarkEnd w:id="30"/>
      <w:bookmarkEnd w:id="31"/>
      <w:bookmarkEnd w:id="32"/>
      <w:bookmarkEnd w:id="33"/>
    </w:p>
    <w:p w14:paraId="4BB2DB7D">
      <w:pPr>
        <w:wordWrap w:val="0"/>
        <w:topLinePunct/>
        <w:spacing w:line="360" w:lineRule="auto"/>
        <w:ind w:firstLine="567" w:firstLineChars="270"/>
        <w:jc w:val="left"/>
        <w:rPr>
          <w:rFonts w:hint="eastAsia" w:ascii="宋体" w:hAnsi="宋体" w:cs="宋体"/>
          <w:sz w:val="21"/>
          <w:szCs w:val="21"/>
          <w:highlight w:val="none"/>
        </w:rPr>
      </w:pPr>
      <w:r>
        <w:rPr>
          <w:rFonts w:hint="eastAsia" w:ascii="宋体" w:hAnsi="宋体" w:cs="宋体"/>
          <w:sz w:val="21"/>
          <w:szCs w:val="21"/>
          <w:highlight w:val="none"/>
        </w:rPr>
        <w:t>1.采购人信息</w:t>
      </w:r>
    </w:p>
    <w:p w14:paraId="1B1F0EC9">
      <w:pPr>
        <w:wordWrap w:val="0"/>
        <w:topLinePunct/>
        <w:spacing w:line="360" w:lineRule="auto"/>
        <w:ind w:firstLine="420" w:firstLineChars="200"/>
        <w:jc w:val="left"/>
        <w:rPr>
          <w:rFonts w:hint="eastAsia" w:ascii="宋体" w:hAnsi="宋体" w:cs="宋体"/>
          <w:sz w:val="21"/>
          <w:szCs w:val="21"/>
          <w:highlight w:val="none"/>
          <w:lang w:eastAsia="zh-CN"/>
        </w:rPr>
      </w:pPr>
      <w:r>
        <w:rPr>
          <w:rFonts w:hint="eastAsia" w:ascii="宋体" w:hAnsi="宋体" w:cs="宋体"/>
          <w:sz w:val="21"/>
          <w:szCs w:val="21"/>
          <w:highlight w:val="none"/>
        </w:rPr>
        <w:t>名 称：</w:t>
      </w:r>
      <w:r>
        <w:rPr>
          <w:rFonts w:hint="eastAsia" w:ascii="宋体" w:hAnsi="宋体" w:cs="宋体"/>
          <w:sz w:val="21"/>
          <w:szCs w:val="21"/>
          <w:highlight w:val="none"/>
          <w:lang w:eastAsia="zh-CN"/>
        </w:rPr>
        <w:t>桂林市妇女儿童医院（桂林市妇幼保健院）</w:t>
      </w:r>
    </w:p>
    <w:p w14:paraId="49B73CCC">
      <w:pPr>
        <w:wordWrap w:val="0"/>
        <w:topLinePunct/>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地址：</w:t>
      </w:r>
      <w:r>
        <w:rPr>
          <w:rFonts w:hint="eastAsia" w:ascii="宋体" w:hAnsi="宋体" w:eastAsia="宋体" w:cs="宋体"/>
          <w:sz w:val="21"/>
          <w:szCs w:val="21"/>
          <w:highlight w:val="none"/>
        </w:rPr>
        <w:t>桂林市凤北路20号</w:t>
      </w:r>
    </w:p>
    <w:p w14:paraId="32DEE1C0">
      <w:pPr>
        <w:wordWrap w:val="0"/>
        <w:topLinePunct/>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项目联系人：</w:t>
      </w:r>
      <w:r>
        <w:rPr>
          <w:rFonts w:hint="eastAsia" w:ascii="宋体" w:hAnsi="宋体" w:cs="宋体"/>
          <w:color w:val="auto"/>
          <w:szCs w:val="21"/>
          <w:highlight w:val="none"/>
          <w:lang w:val="en-US" w:eastAsia="zh-CN"/>
        </w:rPr>
        <w:t>阳老师</w:t>
      </w:r>
    </w:p>
    <w:p w14:paraId="589F528C">
      <w:pPr>
        <w:wordWrap w:val="0"/>
        <w:topLinePunct/>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联系方式：</w:t>
      </w:r>
      <w:r>
        <w:rPr>
          <w:rFonts w:hint="eastAsia" w:ascii="宋体" w:hAnsi="宋体"/>
          <w:color w:val="auto"/>
          <w:szCs w:val="21"/>
          <w:highlight w:val="none"/>
        </w:rPr>
        <w:t>0773-2821055</w:t>
      </w:r>
      <w:r>
        <w:rPr>
          <w:rFonts w:hint="eastAsia" w:ascii="宋体" w:hAnsi="宋体" w:cs="宋体"/>
          <w:sz w:val="21"/>
          <w:szCs w:val="21"/>
          <w:highlight w:val="none"/>
        </w:rPr>
        <w:t xml:space="preserve"> </w:t>
      </w:r>
    </w:p>
    <w:p w14:paraId="537D80BE">
      <w:pPr>
        <w:wordWrap w:val="0"/>
        <w:topLinePunct/>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2.采购代理机构信息</w:t>
      </w:r>
    </w:p>
    <w:p w14:paraId="10C0CE12">
      <w:p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名称：</w:t>
      </w:r>
      <w:r>
        <w:rPr>
          <w:rFonts w:hint="eastAsia" w:ascii="宋体" w:hAnsi="宋体" w:cs="宋体"/>
          <w:color w:val="auto"/>
          <w:sz w:val="21"/>
          <w:szCs w:val="21"/>
          <w:highlight w:val="none"/>
          <w:lang w:eastAsia="zh-CN"/>
        </w:rPr>
        <w:t>广西城建咨询设计有限公司</w:t>
      </w:r>
    </w:p>
    <w:p w14:paraId="30E2E045">
      <w:pPr>
        <w:wordWrap w:val="0"/>
        <w:topLinePunct/>
        <w:spacing w:line="360" w:lineRule="auto"/>
        <w:ind w:firstLine="420" w:firstLineChars="200"/>
        <w:rPr>
          <w:rFonts w:hint="eastAsia" w:ascii="宋体" w:hAnsi="宋体" w:eastAsia="宋体" w:cs="宋体"/>
          <w:sz w:val="21"/>
          <w:szCs w:val="21"/>
          <w:highlight w:val="none"/>
        </w:rPr>
      </w:pPr>
      <w:r>
        <w:rPr>
          <w:rFonts w:hint="eastAsia" w:ascii="宋体" w:hAnsi="宋体" w:cs="宋体"/>
          <w:sz w:val="21"/>
          <w:szCs w:val="21"/>
          <w:highlight w:val="none"/>
        </w:rPr>
        <w:t>地址：</w:t>
      </w:r>
      <w:r>
        <w:rPr>
          <w:rFonts w:hint="eastAsia" w:ascii="宋体" w:hAnsi="宋体" w:eastAsia="宋体" w:cs="宋体"/>
          <w:sz w:val="21"/>
          <w:szCs w:val="21"/>
          <w:highlight w:val="none"/>
          <w:lang w:val="en-US" w:eastAsia="zh-CN"/>
        </w:rPr>
        <w:t>桂林市滨江路18号滨江大厦5楼</w:t>
      </w:r>
    </w:p>
    <w:p w14:paraId="6A0F3952">
      <w:pPr>
        <w:wordWrap w:val="0"/>
        <w:topLinePunct/>
        <w:spacing w:line="360" w:lineRule="auto"/>
        <w:ind w:firstLine="420" w:firstLineChars="200"/>
        <w:rPr>
          <w:rFonts w:hint="eastAsia" w:ascii="宋体" w:hAnsi="宋体" w:eastAsia="宋体" w:cs="宋体"/>
          <w:sz w:val="21"/>
          <w:szCs w:val="21"/>
          <w:highlight w:val="none"/>
        </w:rPr>
      </w:pPr>
      <w:bookmarkStart w:id="34" w:name="_Toc28359087"/>
      <w:bookmarkStart w:id="35" w:name="_Toc28359010"/>
      <w:r>
        <w:rPr>
          <w:rFonts w:hint="eastAsia" w:ascii="宋体" w:hAnsi="宋体" w:eastAsia="宋体" w:cs="宋体"/>
          <w:sz w:val="21"/>
          <w:szCs w:val="21"/>
          <w:highlight w:val="none"/>
        </w:rPr>
        <w:t>项目</w:t>
      </w:r>
      <w:r>
        <w:rPr>
          <w:rFonts w:hint="eastAsia" w:ascii="宋体" w:hAnsi="宋体" w:cs="宋体"/>
          <w:sz w:val="21"/>
          <w:szCs w:val="21"/>
          <w:highlight w:val="none"/>
        </w:rPr>
        <w:t>联系人：</w:t>
      </w:r>
      <w:r>
        <w:rPr>
          <w:rFonts w:hint="eastAsia" w:ascii="宋体" w:hAnsi="宋体" w:eastAsia="宋体" w:cs="宋体"/>
          <w:i w:val="0"/>
          <w:iCs w:val="0"/>
          <w:caps w:val="0"/>
          <w:color w:val="auto"/>
          <w:spacing w:val="0"/>
          <w:kern w:val="2"/>
          <w:sz w:val="21"/>
          <w:szCs w:val="21"/>
          <w:highlight w:val="none"/>
          <w:lang w:val="en-US" w:eastAsia="zh-CN" w:bidi="ar"/>
        </w:rPr>
        <w:t>胡丹、秦国军、阳圣</w:t>
      </w:r>
      <w:r>
        <w:rPr>
          <w:rFonts w:hint="eastAsia" w:ascii="宋体" w:hAnsi="宋体" w:eastAsia="宋体" w:cs="宋体"/>
          <w:i w:val="0"/>
          <w:iCs w:val="0"/>
          <w:caps w:val="0"/>
          <w:color w:val="auto"/>
          <w:spacing w:val="0"/>
          <w:kern w:val="2"/>
          <w:sz w:val="21"/>
          <w:szCs w:val="21"/>
          <w:highlight w:val="none"/>
          <w:lang w:bidi="ar"/>
        </w:rPr>
        <w:t>、李文军</w:t>
      </w:r>
    </w:p>
    <w:p w14:paraId="6B2FCC63">
      <w:p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项目</w:t>
      </w:r>
      <w:r>
        <w:rPr>
          <w:rFonts w:hint="eastAsia" w:ascii="宋体" w:hAnsi="宋体" w:cs="宋体"/>
          <w:sz w:val="21"/>
          <w:szCs w:val="21"/>
          <w:highlight w:val="none"/>
        </w:rPr>
        <w:t>联系电话：</w:t>
      </w:r>
      <w:r>
        <w:rPr>
          <w:rFonts w:hint="eastAsia" w:ascii="宋体" w:hAnsi="宋体" w:cs="宋体"/>
          <w:color w:val="auto"/>
          <w:szCs w:val="21"/>
          <w:highlight w:val="none"/>
          <w:lang w:eastAsia="zh-CN"/>
        </w:rPr>
        <w:t>0773-2826203</w:t>
      </w:r>
    </w:p>
    <w:p w14:paraId="23C0F4F1">
      <w:pPr>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3.项目联系方式</w:t>
      </w:r>
      <w:bookmarkEnd w:id="34"/>
      <w:bookmarkEnd w:id="35"/>
    </w:p>
    <w:p w14:paraId="7FBC55BA">
      <w:pPr>
        <w:wordWrap w:val="0"/>
        <w:topLinePunct/>
        <w:spacing w:line="360" w:lineRule="auto"/>
        <w:ind w:left="0" w:leftChars="0" w:firstLine="420" w:firstLineChars="200"/>
        <w:rPr>
          <w:rFonts w:hint="eastAsia" w:ascii="宋体" w:hAnsi="宋体" w:eastAsia="宋体" w:cs="宋体"/>
          <w:i w:val="0"/>
          <w:iCs w:val="0"/>
          <w:caps w:val="0"/>
          <w:color w:val="auto"/>
          <w:spacing w:val="0"/>
          <w:kern w:val="2"/>
          <w:sz w:val="21"/>
          <w:szCs w:val="21"/>
          <w:highlight w:val="none"/>
          <w:lang w:bidi="ar"/>
        </w:rPr>
      </w:pPr>
      <w:r>
        <w:rPr>
          <w:rFonts w:hint="eastAsia" w:ascii="宋体" w:hAnsi="宋体" w:eastAsia="宋体" w:cs="宋体"/>
          <w:sz w:val="21"/>
          <w:szCs w:val="21"/>
          <w:highlight w:val="none"/>
        </w:rPr>
        <w:t>项目联系人：</w:t>
      </w:r>
      <w:r>
        <w:rPr>
          <w:rFonts w:hint="eastAsia" w:ascii="宋体" w:hAnsi="宋体" w:eastAsia="宋体" w:cs="宋体"/>
          <w:i w:val="0"/>
          <w:iCs w:val="0"/>
          <w:caps w:val="0"/>
          <w:color w:val="auto"/>
          <w:spacing w:val="0"/>
          <w:kern w:val="2"/>
          <w:sz w:val="21"/>
          <w:szCs w:val="21"/>
          <w:highlight w:val="none"/>
          <w:lang w:val="en-US" w:eastAsia="zh-CN" w:bidi="ar"/>
        </w:rPr>
        <w:t>胡丹、秦国军、阳圣</w:t>
      </w:r>
      <w:r>
        <w:rPr>
          <w:rFonts w:hint="eastAsia" w:ascii="宋体" w:hAnsi="宋体" w:eastAsia="宋体" w:cs="宋体"/>
          <w:i w:val="0"/>
          <w:iCs w:val="0"/>
          <w:caps w:val="0"/>
          <w:color w:val="auto"/>
          <w:spacing w:val="0"/>
          <w:kern w:val="2"/>
          <w:sz w:val="21"/>
          <w:szCs w:val="21"/>
          <w:highlight w:val="none"/>
          <w:lang w:bidi="ar"/>
        </w:rPr>
        <w:t>、李文军</w:t>
      </w:r>
    </w:p>
    <w:p w14:paraId="562441B3">
      <w:pPr>
        <w:wordWrap w:val="0"/>
        <w:topLinePunct/>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项目联系电话：</w:t>
      </w:r>
      <w:r>
        <w:rPr>
          <w:rFonts w:hint="eastAsia" w:ascii="宋体" w:hAnsi="宋体" w:cs="宋体"/>
          <w:color w:val="auto"/>
          <w:szCs w:val="21"/>
          <w:highlight w:val="none"/>
          <w:lang w:eastAsia="zh-CN"/>
        </w:rPr>
        <w:t>0773-2826203</w:t>
      </w:r>
    </w:p>
    <w:p w14:paraId="666C7CFB">
      <w:pPr>
        <w:wordWrap w:val="0"/>
        <w:topLinePunct/>
        <w:spacing w:line="360" w:lineRule="auto"/>
        <w:ind w:firstLine="4777" w:firstLineChars="2275"/>
        <w:jc w:val="right"/>
        <w:rPr>
          <w:rFonts w:hint="eastAsia" w:ascii="宋体" w:hAnsi="宋体" w:eastAsia="宋体" w:cs="宋体"/>
          <w:sz w:val="21"/>
          <w:szCs w:val="21"/>
          <w:highlight w:val="none"/>
          <w:lang w:eastAsia="zh-CN"/>
        </w:rPr>
      </w:pPr>
      <w:r>
        <w:rPr>
          <w:rFonts w:hint="eastAsia" w:ascii="宋体" w:hAnsi="宋体" w:cs="宋体"/>
          <w:sz w:val="21"/>
          <w:szCs w:val="21"/>
          <w:highlight w:val="none"/>
        </w:rPr>
        <w:t>代理机构：</w:t>
      </w:r>
      <w:r>
        <w:rPr>
          <w:rFonts w:hint="eastAsia" w:ascii="宋体" w:hAnsi="宋体" w:cs="宋体"/>
          <w:color w:val="auto"/>
          <w:sz w:val="21"/>
          <w:szCs w:val="21"/>
          <w:highlight w:val="none"/>
          <w:lang w:eastAsia="zh-CN"/>
        </w:rPr>
        <w:t>广西城建咨询设计有限公司</w:t>
      </w:r>
    </w:p>
    <w:p w14:paraId="5831B122">
      <w:pPr>
        <w:wordWrap w:val="0"/>
        <w:topLinePunct/>
        <w:spacing w:line="360" w:lineRule="auto"/>
        <w:jc w:val="right"/>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日期：2026年7月16</w:t>
      </w:r>
      <w:r>
        <w:rPr>
          <w:rFonts w:hint="eastAsia" w:ascii="宋体" w:hAnsi="宋体" w:cs="宋体"/>
          <w:sz w:val="21"/>
          <w:szCs w:val="21"/>
          <w:highlight w:val="none"/>
        </w:rPr>
        <w:t>日</w:t>
      </w:r>
      <w:bookmarkStart w:id="36" w:name="_Toc74320801"/>
    </w:p>
    <w:p w14:paraId="22178FFD">
      <w:pPr>
        <w:spacing w:line="360" w:lineRule="auto"/>
        <w:jc w:val="center"/>
        <w:rPr>
          <w:rFonts w:ascii="宋体" w:hAnsi="宋体" w:cs="宋体"/>
          <w:highlight w:val="none"/>
        </w:rPr>
      </w:pPr>
      <w:r>
        <w:rPr>
          <w:rFonts w:hint="eastAsia" w:ascii="宋体" w:hAnsi="宋体" w:cs="宋体"/>
          <w:highlight w:val="none"/>
        </w:rPr>
        <w:br w:type="page"/>
      </w:r>
    </w:p>
    <w:p w14:paraId="7CFBA942">
      <w:pPr>
        <w:pStyle w:val="2"/>
        <w:spacing w:line="240" w:lineRule="auto"/>
        <w:jc w:val="center"/>
        <w:rPr>
          <w:rFonts w:ascii="宋体" w:hAnsi="宋体" w:cs="宋体"/>
          <w:highlight w:val="none"/>
        </w:rPr>
      </w:pPr>
      <w:bookmarkStart w:id="37" w:name="_Toc16120"/>
      <w:r>
        <w:rPr>
          <w:rFonts w:hint="eastAsia" w:ascii="宋体" w:hAnsi="宋体" w:cs="宋体"/>
          <w:highlight w:val="none"/>
        </w:rPr>
        <w:t>第二章</w:t>
      </w:r>
      <w:r>
        <w:rPr>
          <w:rFonts w:hint="eastAsia" w:ascii="宋体" w:hAnsi="宋体" w:cs="宋体"/>
          <w:highlight w:val="none"/>
          <w:lang w:eastAsia="zh-CN"/>
        </w:rPr>
        <w:t>、</w:t>
      </w:r>
      <w:r>
        <w:rPr>
          <w:rFonts w:hint="eastAsia" w:ascii="宋体" w:hAnsi="宋体" w:cs="宋体"/>
          <w:highlight w:val="none"/>
        </w:rPr>
        <w:t>采购需求</w:t>
      </w:r>
      <w:bookmarkEnd w:id="36"/>
      <w:bookmarkEnd w:id="37"/>
    </w:p>
    <w:p w14:paraId="5D994CB3">
      <w:pPr>
        <w:jc w:val="left"/>
        <w:rPr>
          <w:rFonts w:hint="eastAsia" w:ascii="宋体" w:hAnsi="宋体" w:cs="宋体"/>
          <w:bCs/>
          <w:sz w:val="21"/>
          <w:szCs w:val="21"/>
          <w:highlight w:val="none"/>
        </w:rPr>
      </w:pPr>
      <w:bookmarkStart w:id="38" w:name="_Toc254970631"/>
      <w:bookmarkStart w:id="39" w:name="_Toc254970490"/>
      <w:r>
        <w:rPr>
          <w:rFonts w:hint="eastAsia" w:ascii="宋体" w:hAnsi="宋体" w:cs="宋体"/>
          <w:bCs/>
          <w:sz w:val="21"/>
          <w:szCs w:val="21"/>
          <w:highlight w:val="none"/>
        </w:rPr>
        <w:t>说明：</w:t>
      </w:r>
    </w:p>
    <w:p w14:paraId="5D205574">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rPr>
        <w:t>1．采购需求中如出现品牌、型号或者生产厂家等均仅起参考作用，不属于指定品牌、型号或者生产厂家的情形，投标人可参照或者选用其他相当的品牌、型号或者生产供应商替代。但投标人的产品实质上应相当于或优于本《采购需求》中的技术要求。</w:t>
      </w:r>
    </w:p>
    <w:p w14:paraId="3C7B2898">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rPr>
        <w:t>2．凡在“技术要求”中表述为“标配”或“标准配置”的设备，投标人应在投标设备性能配置清单中将其标配参数详细列明。</w:t>
      </w:r>
    </w:p>
    <w:p w14:paraId="5BD126CF">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rPr>
        <w:t>3．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加盖投标人电子签章），否则按无效投标处理。</w:t>
      </w:r>
    </w:p>
    <w:p w14:paraId="51FD4E29">
      <w:pPr>
        <w:spacing w:line="360" w:lineRule="auto"/>
        <w:ind w:left="-10" w:leftChars="-5" w:right="2" w:rightChars="1"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．根据国家市场监督管理总局《关于发布强制性产品认证</w:t>
      </w:r>
      <w:r>
        <w:rPr>
          <w:rFonts w:hint="eastAsia" w:ascii="宋体" w:hAnsi="宋体" w:cs="宋体"/>
          <w:bCs/>
          <w:color w:val="auto"/>
          <w:sz w:val="21"/>
          <w:szCs w:val="21"/>
          <w:highlight w:val="none"/>
          <w:lang w:eastAsia="zh-CN"/>
        </w:rPr>
        <w:t>目录</w:t>
      </w:r>
      <w:r>
        <w:rPr>
          <w:rFonts w:hint="eastAsia" w:ascii="宋体" w:hAnsi="宋体" w:cs="宋体"/>
          <w:bCs/>
          <w:color w:val="auto"/>
          <w:sz w:val="21"/>
          <w:szCs w:val="21"/>
          <w:highlight w:val="none"/>
        </w:rPr>
        <w:t>描述与界定表的公告》(2023年第36号)中《强制性产品认证目录描述与界定表》(2023年修订)的界定，本项目采购范围包含强制性产品认证目录内产品的，根据《强制性产品认证管理规定》2009年7月3日国家质量监督检验检疫总局令第117号公布，根据2022年9月29日国家市场监督管理总局令第61号修订第十条：“列入目录产品的生产者或者销售者、进口商(以下统称认证委托人)应当委托经国家认监委指定的认证机构(以下简称认证机构)对其生产、销售或者进口的产品进行认证。”规定，生产厂家应当进行强制性认证，</w:t>
      </w:r>
      <w:r>
        <w:rPr>
          <w:rFonts w:hint="eastAsia" w:ascii="宋体" w:hAnsi="宋体" w:cs="宋体"/>
          <w:bCs/>
          <w:color w:val="auto"/>
          <w:sz w:val="21"/>
          <w:szCs w:val="21"/>
          <w:highlight w:val="none"/>
          <w:lang w:eastAsia="zh-CN"/>
        </w:rPr>
        <w:t>投标人</w:t>
      </w:r>
      <w:r>
        <w:rPr>
          <w:rFonts w:hint="eastAsia" w:ascii="宋体" w:hAnsi="宋体" w:cs="宋体"/>
          <w:bCs/>
          <w:color w:val="auto"/>
          <w:sz w:val="21"/>
          <w:szCs w:val="21"/>
          <w:highlight w:val="none"/>
        </w:rPr>
        <w:t>必须在投标文件中提供强制性认证证书（加盖投标人电子签章），否则投标文件作无效处理。</w:t>
      </w:r>
    </w:p>
    <w:p w14:paraId="389AAF15">
      <w:pPr>
        <w:spacing w:line="360" w:lineRule="auto"/>
        <w:ind w:left="-10" w:leftChars="-5" w:right="2" w:rightChars="1" w:firstLine="420" w:firstLineChars="200"/>
        <w:rPr>
          <w:rFonts w:hint="eastAsia" w:ascii="宋体" w:hAnsi="宋体" w:cs="宋体"/>
          <w:bCs/>
          <w:color w:val="auto"/>
          <w:sz w:val="21"/>
          <w:szCs w:val="21"/>
          <w:highlight w:val="none"/>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．根据国家市场监督管理总局《关于发布强制性产品认证</w:t>
      </w:r>
      <w:r>
        <w:rPr>
          <w:rFonts w:hint="eastAsia" w:ascii="宋体" w:hAnsi="宋体" w:cs="宋体"/>
          <w:bCs/>
          <w:color w:val="auto"/>
          <w:sz w:val="21"/>
          <w:szCs w:val="21"/>
          <w:highlight w:val="none"/>
          <w:lang w:eastAsia="zh-CN"/>
        </w:rPr>
        <w:t>目录</w:t>
      </w:r>
      <w:r>
        <w:rPr>
          <w:rFonts w:hint="eastAsia" w:ascii="宋体" w:hAnsi="宋体" w:cs="宋体"/>
          <w:bCs/>
          <w:color w:val="auto"/>
          <w:sz w:val="21"/>
          <w:szCs w:val="21"/>
          <w:highlight w:val="none"/>
        </w:rPr>
        <w:t>描述与界定表的公告》(2023年第36号)中《强制性产品认证目录描述与界定表》(2023年修订)的界定，本项目采购范围包含强制性产品认证目录内产品的，根据《强制性产品认证管理规定》2009年7月3日国家质量监督检验检疫总局令第117号公布，根据2022年9月29日国家市场监督管理总局令第61号修订第十条：“列入目录产品的生产者或者销售者、进口商(以下统称认证委托人)应当委托经国家认监委指定的认证机构(以下简称认证机构)对其生产、销售或者进口的产品进行认证。”规定，生产厂家应当进行强制性认证，</w:t>
      </w:r>
      <w:r>
        <w:rPr>
          <w:rFonts w:hint="eastAsia" w:ascii="宋体" w:hAnsi="宋体" w:cs="宋体"/>
          <w:bCs/>
          <w:color w:val="auto"/>
          <w:sz w:val="21"/>
          <w:szCs w:val="21"/>
          <w:highlight w:val="none"/>
          <w:lang w:eastAsia="zh-CN"/>
        </w:rPr>
        <w:t>投标人</w:t>
      </w:r>
      <w:r>
        <w:rPr>
          <w:rFonts w:hint="eastAsia" w:ascii="宋体" w:hAnsi="宋体" w:cs="宋体"/>
          <w:bCs/>
          <w:color w:val="auto"/>
          <w:sz w:val="21"/>
          <w:szCs w:val="21"/>
          <w:highlight w:val="none"/>
        </w:rPr>
        <w:t>必须在投标文件中提供强制性认证证书（（加盖投标人电子签章）），否则投标文件作无效处理。</w:t>
      </w:r>
    </w:p>
    <w:p w14:paraId="01CABA01">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lang w:val="en-US" w:eastAsia="zh-CN"/>
        </w:rPr>
        <w:t>6</w:t>
      </w:r>
      <w:r>
        <w:rPr>
          <w:rFonts w:hint="eastAsia" w:ascii="宋体" w:hAnsi="宋体" w:cs="宋体"/>
          <w:bCs/>
          <w:sz w:val="21"/>
          <w:szCs w:val="21"/>
          <w:highlight w:val="none"/>
        </w:rPr>
        <w:t>．如投标人投标产品存在侵犯他人的知识产权或者专利成果行为的，由投标人自行承担相应法律责任。</w:t>
      </w:r>
    </w:p>
    <w:p w14:paraId="48721898">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lang w:val="en-US" w:eastAsia="zh-CN"/>
        </w:rPr>
        <w:t>7</w:t>
      </w:r>
      <w:r>
        <w:rPr>
          <w:rFonts w:hint="eastAsia" w:ascii="宋体" w:hAnsi="宋体" w:cs="宋体"/>
          <w:bCs/>
          <w:sz w:val="21"/>
          <w:szCs w:val="21"/>
          <w:highlight w:val="none"/>
        </w:rPr>
        <w:t>．“实质性要求”是指招标文件中已经指明不满足则投标无效的条款，或者不容许负偏离的条款，或者采购需求中带“▲”的条款。</w:t>
      </w:r>
      <w:r>
        <w:rPr>
          <w:rFonts w:hint="eastAsia" w:ascii="宋体" w:hAnsi="宋体" w:cs="宋体"/>
          <w:bCs/>
          <w:sz w:val="21"/>
          <w:szCs w:val="21"/>
          <w:highlight w:val="none"/>
          <w:u w:val="single"/>
        </w:rPr>
        <w:t>未标注“▲”号的非实质性条款</w:t>
      </w:r>
      <w:r>
        <w:rPr>
          <w:rFonts w:hint="eastAsia" w:ascii="宋体" w:hAnsi="宋体" w:cs="宋体"/>
          <w:sz w:val="21"/>
          <w:szCs w:val="21"/>
          <w:highlight w:val="none"/>
          <w:u w:val="single"/>
        </w:rPr>
        <w:t>允许负偏离的条款数为</w:t>
      </w:r>
      <w:r>
        <w:rPr>
          <w:rFonts w:hint="eastAsia" w:ascii="宋体" w:hAnsi="宋体" w:cs="宋体"/>
          <w:sz w:val="21"/>
          <w:szCs w:val="21"/>
          <w:highlight w:val="none"/>
          <w:u w:val="single"/>
          <w:lang w:val="en-US" w:eastAsia="zh-CN"/>
        </w:rPr>
        <w:t>10</w:t>
      </w:r>
      <w:r>
        <w:rPr>
          <w:rFonts w:hint="eastAsia" w:ascii="宋体" w:hAnsi="宋体" w:cs="宋体"/>
          <w:sz w:val="21"/>
          <w:szCs w:val="21"/>
          <w:highlight w:val="none"/>
          <w:u w:val="single"/>
        </w:rPr>
        <w:t>项，项及以上的负偏离则投标无效。</w:t>
      </w:r>
    </w:p>
    <w:p w14:paraId="0822B6E1">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rPr>
        <w:t>采购预算：详见采购公告</w:t>
      </w:r>
    </w:p>
    <w:p w14:paraId="36CE9CFF">
      <w:pPr>
        <w:spacing w:line="360" w:lineRule="auto"/>
        <w:ind w:left="-10" w:leftChars="-5" w:right="2" w:rightChars="1" w:firstLine="420" w:firstLineChars="200"/>
        <w:rPr>
          <w:rFonts w:hint="eastAsia" w:ascii="宋体" w:hAnsi="宋体" w:cs="宋体"/>
          <w:bCs/>
          <w:sz w:val="21"/>
          <w:szCs w:val="21"/>
          <w:highlight w:val="none"/>
        </w:rPr>
      </w:pPr>
      <w:r>
        <w:rPr>
          <w:rFonts w:hint="eastAsia" w:ascii="宋体" w:hAnsi="宋体" w:cs="宋体"/>
          <w:bCs/>
          <w:sz w:val="21"/>
          <w:szCs w:val="21"/>
          <w:highlight w:val="none"/>
        </w:rPr>
        <w:t>项目所属行业：工业。</w:t>
      </w:r>
    </w:p>
    <w:p w14:paraId="02566D0C">
      <w:pPr>
        <w:rPr>
          <w:highlight w:val="none"/>
        </w:rPr>
      </w:pPr>
    </w:p>
    <w:tbl>
      <w:tblPr>
        <w:tblStyle w:val="49"/>
        <w:tblW w:w="10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1387"/>
        <w:gridCol w:w="728"/>
        <w:gridCol w:w="498"/>
        <w:gridCol w:w="201"/>
        <w:gridCol w:w="4775"/>
        <w:gridCol w:w="1134"/>
        <w:gridCol w:w="1275"/>
      </w:tblGrid>
      <w:tr w14:paraId="67E3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0604" w:type="dxa"/>
            <w:gridSpan w:val="8"/>
            <w:vAlign w:val="center"/>
          </w:tcPr>
          <w:p w14:paraId="60744764">
            <w:pPr>
              <w:widowControl/>
              <w:jc w:val="center"/>
              <w:rPr>
                <w:rFonts w:hint="eastAsia" w:ascii="宋体" w:hAnsi="宋体" w:cs="宋体"/>
                <w:b/>
                <w:bCs/>
                <w:kern w:val="0"/>
                <w:sz w:val="21"/>
                <w:szCs w:val="21"/>
                <w:highlight w:val="none"/>
              </w:rPr>
            </w:pPr>
            <w:r>
              <w:rPr>
                <w:rFonts w:hint="eastAsia" w:ascii="宋体" w:hAnsi="宋体" w:cs="宋体"/>
                <w:b/>
                <w:bCs/>
                <w:kern w:val="0"/>
                <w:sz w:val="28"/>
                <w:szCs w:val="28"/>
                <w:highlight w:val="none"/>
                <w:lang w:val="en-US" w:eastAsia="zh-CN"/>
              </w:rPr>
              <w:t>标项一：采购需求</w:t>
            </w:r>
          </w:p>
        </w:tc>
      </w:tr>
      <w:tr w14:paraId="06D5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1C44568E">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1387" w:type="dxa"/>
            <w:vAlign w:val="center"/>
          </w:tcPr>
          <w:p w14:paraId="53B53182">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标的名称</w:t>
            </w:r>
          </w:p>
        </w:tc>
        <w:tc>
          <w:tcPr>
            <w:tcW w:w="728" w:type="dxa"/>
            <w:vAlign w:val="center"/>
          </w:tcPr>
          <w:p w14:paraId="39578C34">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数量</w:t>
            </w:r>
          </w:p>
        </w:tc>
        <w:tc>
          <w:tcPr>
            <w:tcW w:w="699" w:type="dxa"/>
            <w:gridSpan w:val="2"/>
            <w:vAlign w:val="center"/>
          </w:tcPr>
          <w:p w14:paraId="629C0B2A">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单位</w:t>
            </w:r>
          </w:p>
        </w:tc>
        <w:tc>
          <w:tcPr>
            <w:tcW w:w="4775" w:type="dxa"/>
            <w:vAlign w:val="center"/>
          </w:tcPr>
          <w:p w14:paraId="4BB52302">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技术参数及性能（配置）要求</w:t>
            </w:r>
          </w:p>
        </w:tc>
        <w:tc>
          <w:tcPr>
            <w:tcW w:w="1134" w:type="dxa"/>
            <w:vAlign w:val="center"/>
          </w:tcPr>
          <w:p w14:paraId="41C80749">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预算单价（元/人民币）</w:t>
            </w:r>
          </w:p>
        </w:tc>
        <w:tc>
          <w:tcPr>
            <w:tcW w:w="1275" w:type="dxa"/>
            <w:vAlign w:val="center"/>
          </w:tcPr>
          <w:p w14:paraId="4D63FE0D">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单项预算合计（元/人民币）</w:t>
            </w:r>
          </w:p>
        </w:tc>
      </w:tr>
      <w:tr w14:paraId="1778F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26A172A5">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w:t>
            </w:r>
          </w:p>
        </w:tc>
        <w:tc>
          <w:tcPr>
            <w:tcW w:w="1387" w:type="dxa"/>
            <w:vAlign w:val="center"/>
          </w:tcPr>
          <w:p w14:paraId="33445C6D">
            <w:pPr>
              <w:snapToGrid w:val="0"/>
              <w:spacing w:line="360" w:lineRule="auto"/>
              <w:jc w:val="center"/>
              <w:rPr>
                <w:rFonts w:hint="eastAsia" w:ascii="宋体" w:hAnsi="宋体" w:cs="宋体"/>
                <w:sz w:val="21"/>
                <w:szCs w:val="21"/>
                <w:highlight w:val="none"/>
              </w:rPr>
            </w:pPr>
            <w:r>
              <w:rPr>
                <w:rFonts w:hint="eastAsia" w:ascii="宋体" w:hAnsi="宋体" w:cs="宋体"/>
                <w:color w:val="auto"/>
                <w:szCs w:val="21"/>
                <w:highlight w:val="none"/>
                <w:lang w:val="en-US" w:eastAsia="zh-CN"/>
              </w:rPr>
              <w:t>持续气道正压呼吸支持系统</w:t>
            </w:r>
          </w:p>
        </w:tc>
        <w:tc>
          <w:tcPr>
            <w:tcW w:w="728" w:type="dxa"/>
            <w:vAlign w:val="center"/>
          </w:tcPr>
          <w:p w14:paraId="1A349105">
            <w:pPr>
              <w:snapToGrid w:val="0"/>
              <w:spacing w:line="360" w:lineRule="auto"/>
              <w:jc w:val="center"/>
              <w:rPr>
                <w:rFonts w:hint="eastAsia" w:ascii="宋体" w:hAnsi="宋体" w:cs="宋体"/>
                <w:sz w:val="21"/>
                <w:szCs w:val="21"/>
                <w:highlight w:val="none"/>
              </w:rPr>
            </w:pPr>
            <w:r>
              <w:rPr>
                <w:rFonts w:hint="eastAsia" w:ascii="宋体" w:hAnsi="宋体" w:cs="宋体"/>
                <w:color w:val="auto"/>
                <w:szCs w:val="21"/>
                <w:highlight w:val="none"/>
                <w:lang w:val="en-US" w:eastAsia="zh-CN"/>
              </w:rPr>
              <w:t>2</w:t>
            </w:r>
          </w:p>
        </w:tc>
        <w:tc>
          <w:tcPr>
            <w:tcW w:w="699" w:type="dxa"/>
            <w:gridSpan w:val="2"/>
            <w:vAlign w:val="center"/>
          </w:tcPr>
          <w:p w14:paraId="3D8B2EAD">
            <w:pPr>
              <w:jc w:val="center"/>
              <w:rPr>
                <w:rFonts w:hint="eastAsia" w:ascii="宋体" w:hAnsi="宋体" w:cs="宋体"/>
                <w:sz w:val="21"/>
                <w:szCs w:val="21"/>
                <w:highlight w:val="none"/>
              </w:rPr>
            </w:pPr>
            <w:r>
              <w:rPr>
                <w:rFonts w:hint="eastAsia" w:ascii="宋体" w:hAnsi="宋体" w:cs="宋体"/>
                <w:color w:val="auto"/>
                <w:szCs w:val="21"/>
                <w:highlight w:val="none"/>
                <w:lang w:val="en-US" w:eastAsia="zh-CN"/>
              </w:rPr>
              <w:t>台</w:t>
            </w:r>
          </w:p>
        </w:tc>
        <w:tc>
          <w:tcPr>
            <w:tcW w:w="4775" w:type="dxa"/>
            <w:vAlign w:val="center"/>
          </w:tcPr>
          <w:p w14:paraId="0159B437">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1.设备由包括但不限于空氧混合器、复苏装置及气源组件组成，内置空氧混合装置，长×宽×高≤30cm×20cm×15cm，重量≤5kg，便于院内转运（抢救室、产房、NICU 间移动）。</w:t>
            </w:r>
          </w:p>
          <w:p w14:paraId="0FD78FD6">
            <w:pPr>
              <w:numPr>
                <w:ilvl w:val="-1"/>
                <w:numId w:val="0"/>
              </w:numPr>
              <w:wordWrap w:val="0"/>
              <w:topLinePunct/>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具备可控吸气峰压（PIP）功能，安全实施肺部扩张及氧合支持。</w:t>
            </w:r>
          </w:p>
          <w:p w14:paraId="3BD2148E">
            <w:pPr>
              <w:numPr>
                <w:ilvl w:val="-1"/>
                <w:numId w:val="0"/>
              </w:numPr>
              <w:wordWrap w:val="0"/>
              <w:topLinePunct/>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可提供恒定CPAP/PEEP，维持呼气末肺容积，防止肺泡塌陷，保障功能残气量</w:t>
            </w:r>
            <w:r>
              <w:rPr>
                <w:rFonts w:hint="eastAsia" w:ascii="宋体" w:hAnsi="宋体" w:eastAsia="宋体" w:cs="宋体"/>
                <w:color w:val="auto"/>
                <w:sz w:val="21"/>
                <w:szCs w:val="21"/>
                <w:highlight w:val="none"/>
                <w:lang w:eastAsia="zh-CN"/>
              </w:rPr>
              <w:t>。</w:t>
            </w:r>
          </w:p>
          <w:p w14:paraId="51D27D19">
            <w:pPr>
              <w:wordWrap w:val="0"/>
              <w:topLinePunct/>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气体流量调节范围：0–15</w:t>
            </w:r>
            <w:r>
              <w:rPr>
                <w:rFonts w:hint="eastAsia" w:ascii="宋体" w:hAnsi="宋体" w:eastAsia="宋体" w:cs="宋体"/>
                <w:color w:val="auto"/>
                <w:sz w:val="21"/>
                <w:szCs w:val="21"/>
                <w:highlight w:val="none"/>
                <w:lang w:val="en-US" w:eastAsia="zh-CN"/>
              </w:rPr>
              <w:t>L/min，流量稳定性 ±0.5L/min</w:t>
            </w:r>
            <w:r>
              <w:rPr>
                <w:rFonts w:hint="eastAsia" w:ascii="宋体" w:hAnsi="宋体" w:eastAsia="宋体" w:cs="宋体"/>
                <w:color w:val="auto"/>
                <w:sz w:val="21"/>
                <w:szCs w:val="21"/>
                <w:highlight w:val="none"/>
                <w:lang w:eastAsia="zh-CN"/>
              </w:rPr>
              <w:t>。</w:t>
            </w:r>
          </w:p>
          <w:p w14:paraId="225FF598">
            <w:pPr>
              <w:wordWrap w:val="0"/>
              <w:topLinePunct/>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氧浓度调节范围：21%–100%</w:t>
            </w:r>
            <w:r>
              <w:rPr>
                <w:rFonts w:hint="eastAsia" w:ascii="宋体" w:hAnsi="宋体" w:eastAsia="宋体" w:cs="宋体"/>
                <w:color w:val="auto"/>
                <w:sz w:val="21"/>
                <w:szCs w:val="21"/>
                <w:highlight w:val="none"/>
                <w:lang w:eastAsia="zh-CN"/>
              </w:rPr>
              <w:t>，（适配空气 - 氧气混合气源），调节精度 ±5%，满足不同复苏阶段氧供需求</w:t>
            </w:r>
            <w:r>
              <w:rPr>
                <w:rFonts w:hint="eastAsia" w:ascii="宋体" w:hAnsi="宋体" w:eastAsia="宋体" w:cs="宋体"/>
                <w:color w:val="auto"/>
                <w:sz w:val="21"/>
                <w:szCs w:val="21"/>
                <w:highlight w:val="none"/>
              </w:rPr>
              <w:t>。</w:t>
            </w:r>
          </w:p>
          <w:p w14:paraId="309973AE">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6.压力表规格：量程 -10-80cmH2O，精度 ±2% 满刻度，支持实时压力显示，读数分辨率≤1cmH2O。</w:t>
            </w:r>
          </w:p>
          <w:p w14:paraId="1353BCC0">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7.压力调节方式：PIP和PEEP必须通过独立的、带有清晰刻度的旋钮进行控制，</w:t>
            </w:r>
            <w:r>
              <w:rPr>
                <w:rFonts w:hint="eastAsia" w:ascii="宋体" w:hAnsi="宋体" w:eastAsia="宋体" w:cs="宋体"/>
                <w:color w:val="auto"/>
                <w:sz w:val="21"/>
                <w:szCs w:val="21"/>
                <w:highlight w:val="none"/>
              </w:rPr>
              <w:t>旋钮设计应能有效防止意外误触改变设置</w:t>
            </w:r>
            <w:r>
              <w:rPr>
                <w:rFonts w:hint="eastAsia" w:ascii="宋体" w:hAnsi="宋体" w:eastAsia="宋体" w:cs="宋体"/>
                <w:color w:val="auto"/>
                <w:sz w:val="21"/>
                <w:szCs w:val="21"/>
                <w:highlight w:val="none"/>
                <w:lang w:val="en-US" w:eastAsia="zh-CN"/>
              </w:rPr>
              <w:t>。</w:t>
            </w:r>
          </w:p>
          <w:p w14:paraId="042B757F">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.压力限制（MAX-P）：可调节范围 1-60 cmH2O，超过设定值自动泄压。</w:t>
            </w:r>
          </w:p>
          <w:p w14:paraId="2A60E553">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.吸气峰压（PIP）范围：设置范围 2-57 cmH2O，在流量 5-15L/min 工况下，压力波动≤±2 cmH2O。</w:t>
            </w:r>
          </w:p>
          <w:p w14:paraId="15F7C88A">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 xml:space="preserve">.CPAP/PEEP范围：设置范围 0.3-23 cmH2O（流量 5L/min 时），持续通气时 PEEP 维持精度 ±1cmH2O，无明显压力衰减。 </w:t>
            </w:r>
          </w:p>
          <w:p w14:paraId="7946CFEC">
            <w:pPr>
              <w:wordWrap w:val="0"/>
              <w:topLinePunct/>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设备运行噪声≤55 dB（A）</w:t>
            </w:r>
            <w:r>
              <w:rPr>
                <w:rFonts w:hint="eastAsia" w:ascii="宋体" w:hAnsi="宋体" w:cs="宋体"/>
                <w:color w:val="auto"/>
                <w:sz w:val="21"/>
                <w:szCs w:val="21"/>
                <w:highlight w:val="none"/>
                <w:lang w:eastAsia="zh-CN"/>
              </w:rPr>
              <w:t>。</w:t>
            </w:r>
          </w:p>
          <w:p w14:paraId="08476F58">
            <w:pPr>
              <w:wordWrap w:val="0"/>
              <w:topLinePunct/>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.气源适配：输入压力 0.3-0.4MPa，兼容医院中心供氧或便携式氧气瓶（≥100L 容量）。</w:t>
            </w:r>
          </w:p>
          <w:p w14:paraId="2B69D2C9">
            <w:pPr>
              <w:wordWrap w:val="0"/>
              <w:topLinePunct/>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 xml:space="preserve">具备气源供应故障及系统故障听觉报警功能。 </w:t>
            </w:r>
          </w:p>
          <w:p w14:paraId="71BEDE96">
            <w:pPr>
              <w:wordWrap w:val="0"/>
              <w:topLinePunct/>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安全及性能标准：符合YY0600.5及YY0893相关要求。</w:t>
            </w:r>
          </w:p>
          <w:p w14:paraId="125386D3">
            <w:pPr>
              <w:wordWrap w:val="0"/>
              <w:topLinePunct/>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.配备可重复使用呼吸管路不少于2套。</w:t>
            </w:r>
          </w:p>
        </w:tc>
        <w:tc>
          <w:tcPr>
            <w:tcW w:w="1134" w:type="dxa"/>
            <w:vAlign w:val="center"/>
          </w:tcPr>
          <w:p w14:paraId="00AFFFCA">
            <w:pPr>
              <w:pStyle w:val="60"/>
              <w:jc w:val="center"/>
              <w:rPr>
                <w:rFonts w:hint="eastAsia" w:ascii="宋体" w:hAnsi="宋体" w:cs="宋体"/>
                <w:b/>
                <w:bCs/>
                <w:sz w:val="21"/>
                <w:szCs w:val="21"/>
                <w:highlight w:val="none"/>
              </w:rPr>
            </w:pPr>
            <w:r>
              <w:rPr>
                <w:rFonts w:hint="eastAsia" w:ascii="宋体" w:hAnsi="宋体" w:eastAsia="宋体" w:cs="宋体"/>
                <w:sz w:val="21"/>
                <w:szCs w:val="21"/>
                <w:highlight w:val="none"/>
                <w:lang w:val="en-US" w:eastAsia="zh-CN"/>
              </w:rPr>
              <w:t>398</w:t>
            </w:r>
            <w:r>
              <w:rPr>
                <w:rFonts w:hint="eastAsia" w:ascii="宋体" w:hAnsi="宋体" w:cs="宋体"/>
                <w:sz w:val="21"/>
                <w:szCs w:val="21"/>
                <w:highlight w:val="none"/>
                <w:lang w:val="en-US" w:eastAsia="zh-CN"/>
              </w:rPr>
              <w:t>00</w:t>
            </w:r>
          </w:p>
        </w:tc>
        <w:tc>
          <w:tcPr>
            <w:tcW w:w="1275" w:type="dxa"/>
            <w:vAlign w:val="center"/>
          </w:tcPr>
          <w:p w14:paraId="7AF4AC0A">
            <w:pPr>
              <w:pStyle w:val="60"/>
              <w:jc w:val="center"/>
              <w:rPr>
                <w:rFonts w:hint="eastAsia" w:ascii="宋体" w:hAnsi="宋体" w:cs="宋体"/>
                <w:b/>
                <w:bCs/>
                <w:sz w:val="21"/>
                <w:szCs w:val="21"/>
                <w:highlight w:val="none"/>
              </w:rPr>
            </w:pPr>
            <w:r>
              <w:rPr>
                <w:rFonts w:hint="eastAsia" w:ascii="宋体" w:hAnsi="宋体" w:eastAsia="宋体" w:cs="宋体"/>
                <w:sz w:val="21"/>
                <w:szCs w:val="21"/>
                <w:highlight w:val="none"/>
                <w:lang w:val="en-US" w:eastAsia="zh-CN"/>
              </w:rPr>
              <w:t>796</w:t>
            </w:r>
            <w:r>
              <w:rPr>
                <w:rFonts w:hint="eastAsia" w:ascii="宋体" w:hAnsi="宋体" w:cs="宋体"/>
                <w:sz w:val="21"/>
                <w:szCs w:val="21"/>
                <w:highlight w:val="none"/>
                <w:lang w:val="en-US" w:eastAsia="zh-CN"/>
              </w:rPr>
              <w:t>00</w:t>
            </w:r>
          </w:p>
        </w:tc>
      </w:tr>
      <w:tr w14:paraId="11BB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6AF3E3B7">
            <w:pPr>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w:t>
            </w:r>
          </w:p>
        </w:tc>
        <w:tc>
          <w:tcPr>
            <w:tcW w:w="1387" w:type="dxa"/>
            <w:vAlign w:val="center"/>
          </w:tcPr>
          <w:p w14:paraId="672A7EC7">
            <w:pPr>
              <w:snapToGrid w:val="0"/>
              <w:spacing w:line="360" w:lineRule="auto"/>
              <w:jc w:val="center"/>
              <w:rPr>
                <w:rFonts w:hint="eastAsia" w:ascii="宋体" w:hAnsi="宋体" w:cs="宋体"/>
                <w:sz w:val="21"/>
                <w:szCs w:val="21"/>
                <w:highlight w:val="none"/>
              </w:rPr>
            </w:pPr>
            <w:r>
              <w:rPr>
                <w:rFonts w:hint="eastAsia" w:ascii="宋体" w:hAnsi="宋体" w:cs="宋体"/>
                <w:color w:val="auto"/>
                <w:szCs w:val="21"/>
                <w:highlight w:val="none"/>
              </w:rPr>
              <w:t>新生儿转运暖箱</w:t>
            </w:r>
          </w:p>
        </w:tc>
        <w:tc>
          <w:tcPr>
            <w:tcW w:w="728" w:type="dxa"/>
            <w:vAlign w:val="center"/>
          </w:tcPr>
          <w:p w14:paraId="644E7C2C">
            <w:pPr>
              <w:snapToGrid/>
              <w:spacing w:line="240" w:lineRule="auto"/>
              <w:jc w:val="center"/>
              <w:rPr>
                <w:rFonts w:hint="eastAsia" w:ascii="宋体" w:hAnsi="宋体" w:cs="宋体"/>
                <w:color w:val="auto"/>
                <w:sz w:val="21"/>
                <w:szCs w:val="21"/>
                <w:highlight w:val="none"/>
              </w:rPr>
            </w:pPr>
            <w:r>
              <w:rPr>
                <w:rFonts w:hint="eastAsia" w:ascii="宋体" w:hAnsi="宋体" w:cs="宋体"/>
                <w:color w:val="auto"/>
                <w:szCs w:val="21"/>
                <w:highlight w:val="none"/>
                <w:lang w:val="en-US" w:eastAsia="zh-CN"/>
              </w:rPr>
              <w:t>1</w:t>
            </w:r>
          </w:p>
        </w:tc>
        <w:tc>
          <w:tcPr>
            <w:tcW w:w="699" w:type="dxa"/>
            <w:gridSpan w:val="2"/>
            <w:vAlign w:val="center"/>
          </w:tcPr>
          <w:p w14:paraId="204E2D0F">
            <w:pPr>
              <w:jc w:val="center"/>
              <w:rPr>
                <w:rFonts w:hint="eastAsia" w:ascii="宋体" w:hAnsi="宋体" w:cs="宋体"/>
                <w:sz w:val="21"/>
                <w:szCs w:val="21"/>
                <w:highlight w:val="none"/>
              </w:rPr>
            </w:pPr>
            <w:r>
              <w:rPr>
                <w:rFonts w:hint="eastAsia" w:ascii="宋体" w:hAnsi="宋体" w:cs="宋体"/>
                <w:color w:val="auto"/>
                <w:szCs w:val="21"/>
                <w:highlight w:val="none"/>
                <w:lang w:val="en-US" w:eastAsia="zh-CN"/>
              </w:rPr>
              <w:t>台</w:t>
            </w:r>
          </w:p>
        </w:tc>
        <w:tc>
          <w:tcPr>
            <w:tcW w:w="4775" w:type="dxa"/>
            <w:vAlign w:val="center"/>
          </w:tcPr>
          <w:p w14:paraId="6F9C9FA7">
            <w:pPr>
              <w:numPr>
                <w:ilvl w:val="-1"/>
                <w:numId w:val="0"/>
              </w:numPr>
              <w:wordWrap w:val="0"/>
              <w:topLinePunct/>
              <w:spacing w:line="360" w:lineRule="auto"/>
              <w:ind w:firstLine="420" w:firstLineChars="200"/>
              <w:rPr>
                <w:rFonts w:hint="eastAsia" w:ascii="宋体" w:hAnsi="宋体" w:eastAsia="宋体" w:cs="宋体"/>
                <w:color w:val="auto"/>
                <w:kern w:val="0"/>
                <w:sz w:val="21"/>
                <w:szCs w:val="21"/>
                <w:highlight w:val="none"/>
                <w:lang w:val="en-US"/>
              </w:rPr>
            </w:pPr>
            <w:r>
              <w:rPr>
                <w:rFonts w:hint="eastAsia" w:ascii="宋体" w:hAnsi="宋体" w:cs="宋体"/>
                <w:color w:val="auto"/>
                <w:szCs w:val="21"/>
                <w:highlight w:val="none"/>
                <w:lang w:val="en-US" w:eastAsia="zh-CN"/>
              </w:rPr>
              <w:t>1.</w:t>
            </w:r>
            <w:r>
              <w:rPr>
                <w:rFonts w:hint="eastAsia" w:ascii="宋体" w:hAnsi="宋体" w:eastAsia="宋体" w:cs="宋体"/>
                <w:color w:val="auto"/>
                <w:kern w:val="0"/>
                <w:sz w:val="21"/>
                <w:szCs w:val="21"/>
                <w:highlight w:val="none"/>
                <w:lang w:val="en-US"/>
              </w:rPr>
              <w:t>整机尺寸：长×宽×高≤1200mm×800mm×1600mm</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rPr>
              <w:t>适配医院标准病房门</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rPr>
              <w:t>电梯及走廊宽度。</w:t>
            </w:r>
          </w:p>
          <w:p w14:paraId="08CDF83B">
            <w:pPr>
              <w:numPr>
                <w:ilvl w:val="-1"/>
                <w:numId w:val="0"/>
              </w:numPr>
              <w:wordWrap w:val="0"/>
              <w:topLinePunct/>
              <w:spacing w:line="360" w:lineRule="auto"/>
              <w:ind w:firstLine="420" w:firstLineChars="200"/>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rPr>
              <w:t>婴儿舱空间：内部净空高度≥380mm，提供充足操作空间</w:t>
            </w:r>
            <w:r>
              <w:rPr>
                <w:rFonts w:hint="eastAsia" w:ascii="宋体" w:hAnsi="宋体" w:eastAsia="宋体" w:cs="宋体"/>
                <w:color w:val="auto"/>
                <w:kern w:val="0"/>
                <w:sz w:val="21"/>
                <w:szCs w:val="21"/>
                <w:highlight w:val="none"/>
                <w:lang w:val="en-US" w:eastAsia="zh-CN"/>
              </w:rPr>
              <w:t>。</w:t>
            </w:r>
          </w:p>
          <w:p w14:paraId="53126BC2">
            <w:pPr>
              <w:numPr>
                <w:ilvl w:val="-1"/>
                <w:numId w:val="0"/>
              </w:numPr>
              <w:wordWrap w:val="0"/>
              <w:topLinePunct/>
              <w:spacing w:line="360" w:lineRule="auto"/>
              <w:ind w:left="0" w:firstLine="420" w:firstLineChars="200"/>
              <w:rPr>
                <w:rFonts w:hint="eastAsia" w:ascii="宋体" w:hAnsi="宋体" w:eastAsia="宋体" w:cs="宋体"/>
                <w:color w:val="auto"/>
                <w:kern w:val="0"/>
                <w:sz w:val="21"/>
                <w:szCs w:val="21"/>
                <w:highlight w:val="none"/>
                <w:lang w:val="en-US"/>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kern w:val="0"/>
                <w:sz w:val="21"/>
                <w:szCs w:val="21"/>
                <w:highlight w:val="none"/>
                <w:lang w:val="en-US"/>
              </w:rPr>
              <w:t>具有</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lang w:val="en-US"/>
              </w:rPr>
              <w:t>培养箱和保暖台</w:t>
            </w:r>
            <w:r>
              <w:rPr>
                <w:rFonts w:hint="eastAsia" w:ascii="宋体" w:hAnsi="宋体" w:eastAsia="宋体" w:cs="宋体"/>
                <w:color w:val="auto"/>
                <w:kern w:val="0"/>
                <w:sz w:val="21"/>
                <w:szCs w:val="21"/>
                <w:highlight w:val="none"/>
                <w:lang w:val="en-US" w:eastAsia="zh-CN"/>
              </w:rPr>
              <w:t>两种</w:t>
            </w:r>
            <w:r>
              <w:rPr>
                <w:rFonts w:hint="eastAsia" w:ascii="宋体" w:hAnsi="宋体" w:eastAsia="宋体" w:cs="宋体"/>
                <w:color w:val="auto"/>
                <w:kern w:val="0"/>
                <w:sz w:val="21"/>
                <w:szCs w:val="21"/>
                <w:highlight w:val="none"/>
                <w:lang w:val="en-US"/>
              </w:rPr>
              <w:t>工作模式，模式可实现电动转换</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lang w:val="en-US"/>
              </w:rPr>
              <w:t>脚踏开关和按钮</w:t>
            </w:r>
            <w:r>
              <w:rPr>
                <w:rFonts w:hint="eastAsia" w:ascii="宋体" w:hAnsi="宋体" w:eastAsia="宋体" w:cs="宋体"/>
                <w:color w:val="auto"/>
                <w:kern w:val="0"/>
                <w:sz w:val="21"/>
                <w:szCs w:val="21"/>
                <w:highlight w:val="none"/>
                <w:lang w:val="en-US" w:eastAsia="zh-CN"/>
              </w:rPr>
              <w:t>两种方式）</w:t>
            </w:r>
            <w:r>
              <w:rPr>
                <w:rFonts w:hint="eastAsia" w:ascii="宋体" w:hAnsi="宋体" w:eastAsia="宋体" w:cs="宋体"/>
                <w:color w:val="auto"/>
                <w:kern w:val="0"/>
                <w:sz w:val="21"/>
                <w:szCs w:val="21"/>
                <w:highlight w:val="none"/>
                <w:lang w:val="en-US"/>
              </w:rPr>
              <w:t>，无需移动患儿即可满足不同临床治疗需求。</w:t>
            </w:r>
          </w:p>
          <w:p w14:paraId="3645608A">
            <w:pPr>
              <w:numPr>
                <w:ilvl w:val="-1"/>
                <w:numId w:val="0"/>
              </w:numPr>
              <w:wordWrap w:val="0"/>
              <w:topLinePunct/>
              <w:spacing w:line="360" w:lineRule="auto"/>
              <w:ind w:left="0" w:firstLine="420" w:firstLineChars="200"/>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4.培养箱工作模式需同时具备肤温控制模式和箱温控制模式，两种模式可切换操作</w:t>
            </w:r>
            <w:r>
              <w:rPr>
                <w:rFonts w:hint="eastAsia" w:ascii="宋体" w:hAnsi="宋体" w:eastAsia="宋体" w:cs="宋体"/>
                <w:color w:val="auto"/>
                <w:kern w:val="0"/>
                <w:sz w:val="21"/>
                <w:szCs w:val="21"/>
                <w:highlight w:val="none"/>
                <w:lang w:val="en-US"/>
              </w:rPr>
              <w:t>。</w:t>
            </w:r>
          </w:p>
          <w:p w14:paraId="6ACFBE5A">
            <w:pPr>
              <w:wordWrap w:val="0"/>
              <w:topLinePunct/>
              <w:spacing w:line="360" w:lineRule="auto"/>
              <w:ind w:firstLine="420" w:firstLineChars="200"/>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val="en-US"/>
              </w:rPr>
              <w:t>.箱温控制范围: 20℃～39℃ ,控制精度 ±</w:t>
            </w:r>
            <w:r>
              <w:rPr>
                <w:rFonts w:hint="eastAsia" w:ascii="宋体" w:hAnsi="宋体" w:eastAsia="宋体" w:cs="宋体"/>
                <w:color w:val="auto"/>
                <w:kern w:val="0"/>
                <w:sz w:val="21"/>
                <w:szCs w:val="21"/>
                <w:highlight w:val="none"/>
                <w:lang w:val="en-US" w:eastAsia="zh-CN"/>
              </w:rPr>
              <w:t>0.5</w:t>
            </w:r>
            <w:r>
              <w:rPr>
                <w:rFonts w:hint="eastAsia" w:ascii="宋体" w:hAnsi="宋体" w:eastAsia="宋体" w:cs="宋体"/>
                <w:color w:val="auto"/>
                <w:kern w:val="0"/>
                <w:sz w:val="21"/>
                <w:szCs w:val="21"/>
                <w:highlight w:val="none"/>
                <w:lang w:val="en-US"/>
              </w:rPr>
              <w:t>℃。</w:t>
            </w:r>
          </w:p>
          <w:p w14:paraId="234C41E2">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rPr>
              <w:t>.皮肤温度控制范围: 30℃～38℃</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rPr>
              <w:t>控制精度 ±0.</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rPr>
              <w:t>℃</w:t>
            </w:r>
            <w:r>
              <w:rPr>
                <w:rFonts w:hint="eastAsia" w:ascii="宋体" w:hAnsi="宋体" w:eastAsia="宋体" w:cs="宋体"/>
                <w:color w:val="auto"/>
                <w:kern w:val="0"/>
                <w:sz w:val="21"/>
                <w:szCs w:val="21"/>
                <w:highlight w:val="none"/>
                <w:lang w:val="en-US" w:eastAsia="zh-CN"/>
              </w:rPr>
              <w:t>。</w:t>
            </w:r>
          </w:p>
          <w:p w14:paraId="7229058C">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7.升温时间：从25℃环境温度开始，空载运行至35℃箱温，所需时间≤40分钟。</w:t>
            </w:r>
          </w:p>
          <w:p w14:paraId="22E48FCE">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val="en-US"/>
              </w:rPr>
              <w:t>湿度控制范围: 0%RH～99%RH</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rPr>
              <w:t>湿度控制精度: ±5%RH内</w:t>
            </w:r>
            <w:r>
              <w:rPr>
                <w:rFonts w:hint="eastAsia" w:ascii="宋体" w:hAnsi="宋体" w:eastAsia="宋体" w:cs="宋体"/>
                <w:color w:val="auto"/>
                <w:kern w:val="0"/>
                <w:sz w:val="21"/>
                <w:szCs w:val="21"/>
                <w:highlight w:val="none"/>
                <w:lang w:val="en-US" w:eastAsia="zh-CN"/>
              </w:rPr>
              <w:t>。</w:t>
            </w:r>
          </w:p>
          <w:p w14:paraId="7622A06B">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9.肤温探头：需配备防水、抗拉扯的肤温探头，其表面温度需有限制措施，最高温度不得超过41℃，防止烫伤。</w:t>
            </w:r>
          </w:p>
          <w:p w14:paraId="32315B6B">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val="en-US"/>
              </w:rPr>
              <w:t>保暖台模式</w:t>
            </w:r>
            <w:r>
              <w:rPr>
                <w:rFonts w:hint="eastAsia" w:ascii="宋体" w:hAnsi="宋体" w:eastAsia="宋体" w:cs="宋体"/>
                <w:color w:val="auto"/>
                <w:kern w:val="0"/>
                <w:sz w:val="21"/>
                <w:szCs w:val="21"/>
                <w:highlight w:val="none"/>
                <w:lang w:val="en-US" w:eastAsia="zh-CN"/>
              </w:rPr>
              <w:t>需</w:t>
            </w:r>
            <w:r>
              <w:rPr>
                <w:rFonts w:hint="eastAsia" w:ascii="宋体" w:hAnsi="宋体" w:eastAsia="宋体" w:cs="宋体"/>
                <w:color w:val="auto"/>
                <w:kern w:val="0"/>
                <w:sz w:val="21"/>
                <w:szCs w:val="21"/>
                <w:highlight w:val="none"/>
                <w:lang w:val="en-US"/>
              </w:rPr>
              <w:t>具有预热、手控、肤温</w:t>
            </w:r>
            <w:r>
              <w:rPr>
                <w:rFonts w:hint="eastAsia" w:ascii="宋体" w:hAnsi="宋体" w:eastAsia="宋体" w:cs="宋体"/>
                <w:color w:val="auto"/>
                <w:kern w:val="0"/>
                <w:sz w:val="21"/>
                <w:szCs w:val="21"/>
                <w:highlight w:val="none"/>
                <w:lang w:val="en-US" w:eastAsia="zh-CN"/>
              </w:rPr>
              <w:t>等包括但不限于</w:t>
            </w:r>
            <w:r>
              <w:rPr>
                <w:rFonts w:hint="eastAsia" w:ascii="宋体" w:hAnsi="宋体" w:eastAsia="宋体" w:cs="宋体"/>
                <w:color w:val="auto"/>
                <w:kern w:val="0"/>
                <w:sz w:val="21"/>
                <w:szCs w:val="21"/>
                <w:highlight w:val="none"/>
                <w:lang w:val="en-US"/>
              </w:rPr>
              <w:t>三种控制方式</w:t>
            </w:r>
            <w:r>
              <w:rPr>
                <w:rFonts w:hint="eastAsia" w:ascii="宋体" w:hAnsi="宋体" w:eastAsia="宋体" w:cs="宋体"/>
                <w:color w:val="auto"/>
                <w:kern w:val="0"/>
                <w:sz w:val="21"/>
                <w:szCs w:val="21"/>
                <w:highlight w:val="none"/>
                <w:lang w:val="en-US" w:eastAsia="zh-CN"/>
              </w:rPr>
              <w:t>。</w:t>
            </w:r>
          </w:p>
          <w:p w14:paraId="0BA15047">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11.顶盖及床体具备电动升降功能，便于临床操作。</w:t>
            </w:r>
          </w:p>
          <w:p w14:paraId="0A3183A6">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lang w:val="en-US"/>
              </w:rPr>
              <w:t>床体可顺时针、逆时针360°旋转，便于临床定位；床板需具备倾角调节功能（头高脚低位），角度无极可调；床下可放置X光射线拍片盒</w:t>
            </w:r>
            <w:r>
              <w:rPr>
                <w:rFonts w:hint="eastAsia" w:ascii="宋体" w:hAnsi="宋体" w:eastAsia="宋体" w:cs="宋体"/>
                <w:color w:val="auto"/>
                <w:kern w:val="0"/>
                <w:sz w:val="21"/>
                <w:szCs w:val="21"/>
                <w:highlight w:val="none"/>
                <w:lang w:val="en-US" w:eastAsia="zh-CN"/>
              </w:rPr>
              <w:t>。</w:t>
            </w:r>
          </w:p>
          <w:p w14:paraId="4EAB7A2C">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rPr>
              <w:t>.内置体重秤，重量显示范围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lang w:val="en-US"/>
              </w:rPr>
              <w:t>100-8000g</w:t>
            </w:r>
            <w:r>
              <w:rPr>
                <w:rFonts w:hint="eastAsia" w:ascii="宋体" w:hAnsi="宋体" w:eastAsia="宋体" w:cs="宋体"/>
                <w:color w:val="auto"/>
                <w:kern w:val="0"/>
                <w:sz w:val="21"/>
                <w:szCs w:val="21"/>
                <w:highlight w:val="none"/>
                <w:lang w:val="en-US" w:eastAsia="zh-CN"/>
              </w:rPr>
              <w:t>。</w:t>
            </w:r>
          </w:p>
          <w:p w14:paraId="6BF41251">
            <w:pPr>
              <w:wordWrap w:val="0"/>
              <w:topLinePunct/>
              <w:spacing w:line="360" w:lineRule="auto"/>
              <w:ind w:firstLine="420" w:firstLineChars="200"/>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rPr>
              <w:t>.具有数据储存</w:t>
            </w:r>
            <w:r>
              <w:rPr>
                <w:rFonts w:hint="eastAsia" w:ascii="宋体" w:hAnsi="宋体" w:eastAsia="宋体" w:cs="宋体"/>
                <w:color w:val="auto"/>
                <w:kern w:val="0"/>
                <w:sz w:val="21"/>
                <w:szCs w:val="21"/>
                <w:highlight w:val="none"/>
                <w:lang w:val="en-US" w:eastAsia="zh-CN"/>
              </w:rPr>
              <w:t>及</w:t>
            </w:r>
            <w:r>
              <w:rPr>
                <w:rFonts w:hint="eastAsia" w:ascii="宋体" w:hAnsi="宋体" w:eastAsia="宋体" w:cs="宋体"/>
                <w:color w:val="auto"/>
                <w:kern w:val="0"/>
                <w:sz w:val="21"/>
                <w:szCs w:val="21"/>
                <w:highlight w:val="none"/>
                <w:lang w:val="en-US"/>
              </w:rPr>
              <w:t>曲线显示功能</w:t>
            </w:r>
            <w:r>
              <w:rPr>
                <w:rFonts w:hint="eastAsia" w:ascii="宋体" w:hAnsi="宋体" w:eastAsia="宋体" w:cs="宋体"/>
                <w:color w:val="auto"/>
                <w:kern w:val="0"/>
                <w:sz w:val="21"/>
                <w:szCs w:val="21"/>
                <w:highlight w:val="none"/>
                <w:lang w:val="en-US" w:eastAsia="zh-CN"/>
              </w:rPr>
              <w:t>。</w:t>
            </w:r>
          </w:p>
          <w:p w14:paraId="07D3C90B">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15</w:t>
            </w:r>
            <w:r>
              <w:rPr>
                <w:rFonts w:hint="eastAsia" w:ascii="宋体" w:hAnsi="宋体" w:eastAsia="宋体" w:cs="宋体"/>
                <w:color w:val="auto"/>
                <w:kern w:val="0"/>
                <w:sz w:val="21"/>
                <w:szCs w:val="21"/>
                <w:highlight w:val="none"/>
                <w:lang w:val="en-US"/>
              </w:rPr>
              <w:t>.具有氧浓度控制功能</w:t>
            </w:r>
            <w:r>
              <w:rPr>
                <w:rFonts w:hint="eastAsia" w:ascii="宋体" w:hAnsi="宋体" w:eastAsia="宋体" w:cs="宋体"/>
                <w:color w:val="auto"/>
                <w:kern w:val="0"/>
                <w:sz w:val="21"/>
                <w:szCs w:val="21"/>
                <w:highlight w:val="none"/>
                <w:lang w:val="en-US" w:eastAsia="zh-CN"/>
              </w:rPr>
              <w:t>。</w:t>
            </w:r>
          </w:p>
          <w:p w14:paraId="13CEB6D5">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16</w:t>
            </w:r>
            <w:r>
              <w:rPr>
                <w:rFonts w:hint="eastAsia" w:ascii="宋体" w:hAnsi="宋体" w:eastAsia="宋体" w:cs="宋体"/>
                <w:color w:val="auto"/>
                <w:kern w:val="0"/>
                <w:sz w:val="21"/>
                <w:szCs w:val="21"/>
                <w:highlight w:val="none"/>
                <w:lang w:val="en-US"/>
              </w:rPr>
              <w:t>.具有</w:t>
            </w:r>
            <w:r>
              <w:rPr>
                <w:rFonts w:hint="eastAsia" w:ascii="宋体" w:hAnsi="宋体" w:eastAsia="宋体" w:cs="宋体"/>
                <w:color w:val="auto"/>
                <w:kern w:val="0"/>
                <w:sz w:val="21"/>
                <w:szCs w:val="21"/>
                <w:highlight w:val="none"/>
                <w:lang w:val="en-US" w:eastAsia="zh-CN"/>
              </w:rPr>
              <w:t>电源故障/</w:t>
            </w:r>
            <w:r>
              <w:rPr>
                <w:rFonts w:hint="eastAsia" w:ascii="宋体" w:hAnsi="宋体" w:eastAsia="宋体" w:cs="宋体"/>
                <w:color w:val="auto"/>
                <w:kern w:val="0"/>
                <w:sz w:val="21"/>
                <w:szCs w:val="21"/>
                <w:highlight w:val="none"/>
                <w:lang w:val="en-US"/>
              </w:rPr>
              <w:t>断电、传感器</w:t>
            </w:r>
            <w:r>
              <w:rPr>
                <w:rFonts w:hint="eastAsia" w:ascii="宋体" w:hAnsi="宋体" w:eastAsia="宋体" w:cs="宋体"/>
                <w:color w:val="auto"/>
                <w:kern w:val="0"/>
                <w:sz w:val="21"/>
                <w:szCs w:val="21"/>
                <w:highlight w:val="none"/>
                <w:lang w:val="en-US" w:eastAsia="zh-CN"/>
              </w:rPr>
              <w:t>故障</w:t>
            </w:r>
            <w:r>
              <w:rPr>
                <w:rFonts w:hint="eastAsia" w:ascii="宋体" w:hAnsi="宋体" w:eastAsia="宋体" w:cs="宋体"/>
                <w:color w:val="auto"/>
                <w:kern w:val="0"/>
                <w:sz w:val="21"/>
                <w:szCs w:val="21"/>
                <w:highlight w:val="none"/>
                <w:lang w:val="en-US"/>
              </w:rPr>
              <w:t>、</w:t>
            </w:r>
            <w:r>
              <w:rPr>
                <w:rFonts w:hint="eastAsia" w:ascii="宋体" w:hAnsi="宋体" w:eastAsia="宋体" w:cs="宋体"/>
                <w:color w:val="auto"/>
                <w:kern w:val="0"/>
                <w:sz w:val="21"/>
                <w:szCs w:val="21"/>
                <w:highlight w:val="none"/>
                <w:lang w:val="en-US" w:eastAsia="zh-CN"/>
              </w:rPr>
              <w:t>高低</w:t>
            </w:r>
            <w:r>
              <w:rPr>
                <w:rFonts w:hint="eastAsia" w:ascii="宋体" w:hAnsi="宋体" w:eastAsia="宋体" w:cs="宋体"/>
                <w:color w:val="auto"/>
                <w:kern w:val="0"/>
                <w:sz w:val="21"/>
                <w:szCs w:val="21"/>
                <w:highlight w:val="none"/>
                <w:lang w:val="en-US"/>
              </w:rPr>
              <w:t>温、水箱放置错误、缺水和系统故障</w:t>
            </w:r>
            <w:r>
              <w:rPr>
                <w:rFonts w:hint="eastAsia" w:ascii="宋体" w:hAnsi="宋体" w:eastAsia="宋体" w:cs="宋体"/>
                <w:color w:val="auto"/>
                <w:kern w:val="0"/>
                <w:sz w:val="21"/>
                <w:szCs w:val="21"/>
                <w:highlight w:val="none"/>
                <w:lang w:val="en-US" w:eastAsia="zh-CN"/>
              </w:rPr>
              <w:t>等声光</w:t>
            </w:r>
            <w:r>
              <w:rPr>
                <w:rFonts w:hint="eastAsia" w:ascii="宋体" w:hAnsi="宋体" w:eastAsia="宋体" w:cs="宋体"/>
                <w:color w:val="auto"/>
                <w:kern w:val="0"/>
                <w:sz w:val="21"/>
                <w:szCs w:val="21"/>
                <w:highlight w:val="none"/>
                <w:lang w:val="en-US"/>
              </w:rPr>
              <w:t>报警功能</w:t>
            </w:r>
            <w:r>
              <w:rPr>
                <w:rFonts w:hint="eastAsia" w:ascii="宋体" w:hAnsi="宋体" w:eastAsia="宋体" w:cs="宋体"/>
                <w:color w:val="auto"/>
                <w:kern w:val="0"/>
                <w:sz w:val="21"/>
                <w:szCs w:val="21"/>
                <w:highlight w:val="none"/>
                <w:lang w:val="en-US" w:eastAsia="zh-CN"/>
              </w:rPr>
              <w:t>，报警声级≥65dB（A），并具备静音功能（静音时间≤120秒）。</w:t>
            </w:r>
          </w:p>
          <w:p w14:paraId="5CFE71A0">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17.噪音控制：设备正常运行（含风机）时，在婴儿头部位置测量的噪音≤50dB（A）。</w:t>
            </w:r>
          </w:p>
          <w:p w14:paraId="3B0B5DEE">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18.暖箱需提供稳固、防滑落的平台或支架，用于固定：转运监护仪（心电、血氧、呼吸、无创血压）、输液泵/注射泵（至少2台）、T组合复苏器。所有支架或平台需配备安全带或锁扣，防止设备在转运中跌落。</w:t>
            </w:r>
          </w:p>
          <w:p w14:paraId="20F872EA">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19.需配备</w:t>
            </w:r>
            <w:r>
              <w:rPr>
                <w:rFonts w:hint="eastAsia" w:ascii="宋体" w:hAnsi="宋体" w:eastAsia="宋体" w:cs="宋体"/>
                <w:color w:val="auto"/>
                <w:kern w:val="0"/>
                <w:sz w:val="21"/>
                <w:szCs w:val="21"/>
                <w:highlight w:val="none"/>
                <w:lang w:val="en-US"/>
              </w:rPr>
              <w:t>≥</w:t>
            </w:r>
            <w:r>
              <w:rPr>
                <w:rFonts w:hint="eastAsia" w:ascii="宋体" w:hAnsi="宋体" w:eastAsia="宋体" w:cs="宋体"/>
                <w:color w:val="auto"/>
                <w:kern w:val="0"/>
                <w:sz w:val="21"/>
                <w:szCs w:val="21"/>
                <w:highlight w:val="none"/>
                <w:lang w:val="en-US" w:eastAsia="zh-CN"/>
              </w:rPr>
              <w:t>1个医用氧气瓶固定架，并符合安全规范。</w:t>
            </w:r>
          </w:p>
          <w:p w14:paraId="1D1809FA">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20.电源：配备UPS移动电源，续航时间≥45分钟。</w:t>
            </w:r>
          </w:p>
          <w:p w14:paraId="687D9121">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21.移动脚轮至少两个带锁定功能，推行灵活且静止时稳固。</w:t>
            </w:r>
          </w:p>
          <w:p w14:paraId="7AF30943">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22.照明系统及消毒：配备独立照明灯，不影响温度控制；箱体内部设计应便于快速清洁和终端消毒。</w:t>
            </w:r>
          </w:p>
          <w:p w14:paraId="0E6D65F7">
            <w:pPr>
              <w:wordWrap w:val="0"/>
              <w:topLinePunct/>
              <w:spacing w:line="360" w:lineRule="auto"/>
              <w:ind w:firstLine="420" w:firstLineChars="20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23.储物空间：暖箱底部应设计有储物箱，用于存放复苏囊、面罩、气管插管、药品等急救物品。</w:t>
            </w:r>
          </w:p>
          <w:p w14:paraId="5674E31B">
            <w:pPr>
              <w:wordWrap w:val="0"/>
              <w:topLinePunct/>
              <w:spacing w:line="360" w:lineRule="auto"/>
              <w:ind w:firstLine="420" w:firstLineChars="200"/>
              <w:rPr>
                <w:rFonts w:hint="eastAsia" w:ascii="宋体" w:hAnsi="宋体" w:cs="宋体"/>
                <w:color w:val="auto"/>
                <w:sz w:val="21"/>
                <w:szCs w:val="21"/>
                <w:highlight w:val="none"/>
              </w:rPr>
            </w:pPr>
            <w:r>
              <w:rPr>
                <w:rFonts w:hint="eastAsia" w:ascii="宋体" w:hAnsi="宋体" w:eastAsia="宋体" w:cs="宋体"/>
                <w:color w:val="auto"/>
                <w:kern w:val="0"/>
                <w:sz w:val="21"/>
                <w:szCs w:val="21"/>
                <w:highlight w:val="none"/>
                <w:lang w:val="en-US" w:eastAsia="zh-CN"/>
              </w:rPr>
              <w:t>24.提供 7×24小时紧急支援服务。</w:t>
            </w:r>
          </w:p>
        </w:tc>
        <w:tc>
          <w:tcPr>
            <w:tcW w:w="1134" w:type="dxa"/>
            <w:vAlign w:val="center"/>
          </w:tcPr>
          <w:p w14:paraId="0BE8B0EC">
            <w:pPr>
              <w:pStyle w:val="60"/>
              <w:jc w:val="center"/>
              <w:rPr>
                <w:rFonts w:hint="eastAsia" w:ascii="宋体" w:hAnsi="宋体" w:cs="宋体"/>
                <w:b/>
                <w:bCs/>
                <w:sz w:val="21"/>
                <w:szCs w:val="21"/>
                <w:highlight w:val="none"/>
              </w:rPr>
            </w:pPr>
            <w:r>
              <w:rPr>
                <w:rFonts w:hint="eastAsia" w:ascii="宋体" w:hAnsi="宋体" w:eastAsia="宋体" w:cs="宋体"/>
                <w:sz w:val="21"/>
                <w:szCs w:val="21"/>
                <w:highlight w:val="none"/>
                <w:lang w:val="en-US" w:eastAsia="zh-CN"/>
              </w:rPr>
              <w:t>198000</w:t>
            </w:r>
          </w:p>
        </w:tc>
        <w:tc>
          <w:tcPr>
            <w:tcW w:w="1275" w:type="dxa"/>
            <w:vAlign w:val="center"/>
          </w:tcPr>
          <w:p w14:paraId="78D8016F">
            <w:pPr>
              <w:pStyle w:val="60"/>
              <w:jc w:val="center"/>
              <w:rPr>
                <w:rFonts w:hint="eastAsia" w:ascii="宋体" w:hAnsi="宋体" w:cs="宋体"/>
                <w:b/>
                <w:bCs/>
                <w:sz w:val="21"/>
                <w:szCs w:val="21"/>
                <w:highlight w:val="none"/>
              </w:rPr>
            </w:pPr>
            <w:r>
              <w:rPr>
                <w:rFonts w:hint="eastAsia" w:ascii="宋体" w:hAnsi="宋体" w:eastAsia="宋体" w:cs="宋体"/>
                <w:sz w:val="21"/>
                <w:szCs w:val="21"/>
                <w:highlight w:val="none"/>
                <w:lang w:val="en-US" w:eastAsia="zh-CN"/>
              </w:rPr>
              <w:t>198000</w:t>
            </w:r>
          </w:p>
        </w:tc>
      </w:tr>
      <w:tr w14:paraId="68DA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7D1FB31A">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1387" w:type="dxa"/>
            <w:vAlign w:val="center"/>
          </w:tcPr>
          <w:p w14:paraId="04C14223">
            <w:pPr>
              <w:spacing w:line="360" w:lineRule="auto"/>
              <w:ind w:firstLine="0" w:firstLineChars="0"/>
              <w:jc w:val="center"/>
              <w:rPr>
                <w:rFonts w:hint="eastAsia" w:ascii="宋体" w:hAnsi="宋体" w:cs="宋体"/>
                <w:sz w:val="21"/>
                <w:szCs w:val="21"/>
                <w:highlight w:val="none"/>
              </w:rPr>
            </w:pPr>
            <w:r>
              <w:rPr>
                <w:rFonts w:hint="eastAsia" w:ascii="宋体" w:hAnsi="宋体" w:cs="宋体"/>
                <w:color w:val="auto"/>
                <w:szCs w:val="21"/>
                <w:highlight w:val="none"/>
              </w:rPr>
              <w:t>儿童心电监护仪</w:t>
            </w:r>
          </w:p>
        </w:tc>
        <w:tc>
          <w:tcPr>
            <w:tcW w:w="728" w:type="dxa"/>
            <w:vAlign w:val="center"/>
          </w:tcPr>
          <w:p w14:paraId="0512F5C9">
            <w:pPr>
              <w:snapToGrid/>
              <w:spacing w:line="240" w:lineRule="auto"/>
              <w:jc w:val="center"/>
              <w:rPr>
                <w:rFonts w:hint="eastAsia" w:ascii="宋体" w:hAnsi="宋体" w:cs="宋体"/>
                <w:color w:val="auto"/>
                <w:sz w:val="21"/>
                <w:szCs w:val="21"/>
                <w:highlight w:val="none"/>
              </w:rPr>
            </w:pPr>
            <w:r>
              <w:rPr>
                <w:rFonts w:hint="eastAsia" w:ascii="宋体" w:hAnsi="宋体" w:cs="宋体"/>
                <w:color w:val="auto"/>
                <w:szCs w:val="21"/>
                <w:highlight w:val="none"/>
                <w:lang w:val="en-US" w:eastAsia="zh-CN"/>
              </w:rPr>
              <w:t>1</w:t>
            </w:r>
          </w:p>
        </w:tc>
        <w:tc>
          <w:tcPr>
            <w:tcW w:w="699" w:type="dxa"/>
            <w:gridSpan w:val="2"/>
            <w:vAlign w:val="center"/>
          </w:tcPr>
          <w:p w14:paraId="52469CDD">
            <w:pPr>
              <w:jc w:val="center"/>
              <w:rPr>
                <w:rFonts w:hint="eastAsia" w:ascii="宋体" w:hAnsi="宋体" w:cs="宋体"/>
                <w:sz w:val="21"/>
                <w:szCs w:val="21"/>
                <w:highlight w:val="none"/>
              </w:rPr>
            </w:pPr>
            <w:r>
              <w:rPr>
                <w:rFonts w:hint="eastAsia" w:ascii="宋体" w:hAnsi="宋体" w:cs="宋体"/>
                <w:color w:val="auto"/>
                <w:szCs w:val="21"/>
                <w:highlight w:val="none"/>
                <w:lang w:val="en-US" w:eastAsia="zh-CN"/>
              </w:rPr>
              <w:t>台</w:t>
            </w:r>
          </w:p>
        </w:tc>
        <w:tc>
          <w:tcPr>
            <w:tcW w:w="4775" w:type="dxa"/>
            <w:vAlign w:val="center"/>
          </w:tcPr>
          <w:p w14:paraId="52872F03">
            <w:pPr>
              <w:pStyle w:val="126"/>
              <w:widowControl/>
              <w:numPr>
                <w:ilvl w:val="-1"/>
                <w:numId w:val="0"/>
              </w:numPr>
              <w:wordWrap w:val="0"/>
              <w:topLinePunct/>
              <w:adjustRightInd/>
              <w:snapToGrid/>
              <w:spacing w:line="360" w:lineRule="auto"/>
              <w:ind w:lef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cs="宋体"/>
                <w:szCs w:val="21"/>
                <w:highlight w:val="none"/>
                <w:lang w:val="en-US" w:eastAsia="zh-CN"/>
              </w:rPr>
              <w:t>1.</w:t>
            </w:r>
            <w:r>
              <w:rPr>
                <w:rFonts w:hint="eastAsia" w:ascii="宋体" w:hAnsi="宋体" w:eastAsia="宋体" w:cs="宋体"/>
                <w:b w:val="0"/>
                <w:bCs w:val="0"/>
                <w:kern w:val="0"/>
                <w:sz w:val="21"/>
                <w:szCs w:val="21"/>
                <w:highlight w:val="none"/>
              </w:rPr>
              <w:t>模块化插件式床边监护仪，主机、显示屏和插件槽一体化设计，主机插槽位数≥4个，监护仪主机（非辅助插件箱）每个槽位均具备插件模块红外通讯接口以及金属硬件通讯接口（非供电接口），每个槽位可互插互用，保证模块通讯</w:t>
            </w:r>
            <w:r>
              <w:rPr>
                <w:rFonts w:hint="eastAsia" w:ascii="宋体" w:hAnsi="宋体" w:eastAsia="宋体" w:cs="宋体"/>
                <w:b w:val="0"/>
                <w:bCs w:val="0"/>
                <w:color w:val="auto"/>
                <w:kern w:val="0"/>
                <w:sz w:val="21"/>
                <w:szCs w:val="21"/>
                <w:highlight w:val="none"/>
              </w:rPr>
              <w:t>速率及稳定性。</w:t>
            </w:r>
          </w:p>
          <w:p w14:paraId="26A6A96F">
            <w:pPr>
              <w:pStyle w:val="126"/>
              <w:widowControl/>
              <w:numPr>
                <w:ilvl w:val="-1"/>
                <w:numId w:val="0"/>
              </w:numPr>
              <w:wordWrap w:val="0"/>
              <w:topLinePunct/>
              <w:adjustRightInd/>
              <w:snapToGrid/>
              <w:spacing w:line="360" w:lineRule="auto"/>
              <w:ind w:lef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2.</w:t>
            </w:r>
            <w:r>
              <w:rPr>
                <w:rFonts w:hint="eastAsia" w:ascii="宋体" w:hAnsi="宋体" w:eastAsia="宋体" w:cs="宋体"/>
                <w:b w:val="0"/>
                <w:bCs w:val="0"/>
                <w:color w:val="auto"/>
                <w:kern w:val="0"/>
                <w:sz w:val="21"/>
                <w:szCs w:val="21"/>
                <w:highlight w:val="none"/>
              </w:rPr>
              <w:t>主机显示屏≥12英寸彩色电容触摸屏、多点触摸操作，高分辨率达≥1280×800像素，≥8通道显示，根据环境光自动调节屏幕亮度。</w:t>
            </w:r>
          </w:p>
          <w:p w14:paraId="6E60529E">
            <w:pPr>
              <w:pStyle w:val="126"/>
              <w:widowControl/>
              <w:numPr>
                <w:ilvl w:val="-1"/>
                <w:numId w:val="0"/>
              </w:numPr>
              <w:wordWrap w:val="0"/>
              <w:topLinePunct/>
              <w:adjustRightInd/>
              <w:snapToGrid/>
              <w:spacing w:line="360" w:lineRule="auto"/>
              <w:ind w:left="0" w:firstLine="420" w:firstLineChars="200"/>
              <w:jc w:val="both"/>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3.</w:t>
            </w:r>
            <w:r>
              <w:rPr>
                <w:rFonts w:hint="eastAsia" w:ascii="宋体" w:hAnsi="宋体" w:eastAsia="宋体" w:cs="宋体"/>
                <w:b w:val="0"/>
                <w:bCs w:val="0"/>
                <w:color w:val="auto"/>
                <w:kern w:val="0"/>
                <w:sz w:val="21"/>
                <w:szCs w:val="21"/>
                <w:highlight w:val="none"/>
              </w:rPr>
              <w:t>要求整机无风扇设计，标配内置高能锂离子电池，供电时间≥4小时。</w:t>
            </w:r>
          </w:p>
          <w:p w14:paraId="731BE032">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配置≥4个USB接口，支持连接存储介质、鼠标、键盘、条码扫描枪等USB设备。</w:t>
            </w:r>
          </w:p>
          <w:p w14:paraId="5144EAFA">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.支持扩展镜像显示屏，支持升级扩展独立显示屏。</w:t>
            </w:r>
          </w:p>
          <w:p w14:paraId="4B37307E">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.配多功能模块</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支持</w:t>
            </w:r>
            <w:r>
              <w:rPr>
                <w:rFonts w:hint="eastAsia" w:ascii="宋体" w:hAnsi="宋体" w:eastAsia="宋体" w:cs="宋体"/>
                <w:b w:val="0"/>
                <w:bCs w:val="0"/>
                <w:color w:val="auto"/>
                <w:sz w:val="21"/>
                <w:szCs w:val="21"/>
                <w:highlight w:val="none"/>
                <w:lang w:val="en-US" w:eastAsia="zh-CN"/>
              </w:rPr>
              <w:t>功能包括但不限于</w:t>
            </w:r>
            <w:r>
              <w:rPr>
                <w:rFonts w:hint="eastAsia" w:ascii="宋体" w:hAnsi="宋体" w:eastAsia="宋体" w:cs="宋体"/>
                <w:b w:val="0"/>
                <w:bCs w:val="0"/>
                <w:color w:val="auto"/>
                <w:sz w:val="21"/>
                <w:szCs w:val="21"/>
                <w:highlight w:val="none"/>
              </w:rPr>
              <w:t>心电，呼吸，心率，无创血压，血氧饱和度，脉搏，双通道体温和双通道有创血压的同时监测。模块支持从监护仪拔出后作为一个独立的监护仪支持病人的转移，具有显示屏，屏幕尺寸≥5.5英寸触摸屏，内置锂电池供电不小于7小时，无风扇设计。</w:t>
            </w:r>
          </w:p>
          <w:p w14:paraId="77C8CD5F">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.支持3/5导心电监测，支持升级12导心电测量，并在监护仪上完成12导静息分析。</w:t>
            </w:r>
          </w:p>
          <w:p w14:paraId="7E8C2A3B">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.支持≥3通道心电波形同步分析算法。支持双通道</w:t>
            </w:r>
            <w:r>
              <w:rPr>
                <w:rFonts w:hint="eastAsia" w:ascii="宋体" w:hAnsi="宋体" w:eastAsia="宋体" w:cs="宋体"/>
                <w:b w:val="0"/>
                <w:bCs w:val="0"/>
                <w:color w:val="auto"/>
                <w:sz w:val="21"/>
                <w:szCs w:val="21"/>
                <w:highlight w:val="none"/>
                <w:lang w:val="en-US" w:eastAsia="zh-CN"/>
              </w:rPr>
              <w:t>包括但不限于</w:t>
            </w:r>
            <w:r>
              <w:rPr>
                <w:rFonts w:hint="eastAsia" w:ascii="宋体" w:hAnsi="宋体" w:eastAsia="宋体" w:cs="宋体"/>
                <w:b w:val="0"/>
                <w:bCs w:val="0"/>
                <w:color w:val="auto"/>
                <w:sz w:val="21"/>
                <w:szCs w:val="21"/>
                <w:highlight w:val="none"/>
              </w:rPr>
              <w:t>有创压IBP监测，适用于成人、小儿和新生儿，支持升级</w:t>
            </w:r>
            <w:r>
              <w:rPr>
                <w:rFonts w:hint="eastAsia" w:ascii="宋体" w:hAnsi="宋体" w:eastAsia="宋体" w:cs="宋体"/>
                <w:b w:val="0"/>
                <w:bCs w:val="0"/>
                <w:color w:val="auto"/>
                <w:sz w:val="21"/>
                <w:szCs w:val="21"/>
                <w:highlight w:val="none"/>
                <w:lang w:val="en-US" w:eastAsia="zh-CN"/>
              </w:rPr>
              <w:t>包括但不限于</w:t>
            </w:r>
            <w:r>
              <w:rPr>
                <w:rFonts w:hint="eastAsia" w:ascii="宋体" w:hAnsi="宋体" w:eastAsia="宋体" w:cs="宋体"/>
                <w:b w:val="0"/>
                <w:bCs w:val="0"/>
                <w:color w:val="auto"/>
                <w:sz w:val="21"/>
                <w:szCs w:val="21"/>
                <w:highlight w:val="none"/>
              </w:rPr>
              <w:t>8通道有创压监测。</w:t>
            </w:r>
          </w:p>
          <w:p w14:paraId="46C1F85D">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.支持房颤心律失常分析功能，支持≥27种实时心律失常分析。</w:t>
            </w:r>
          </w:p>
          <w:p w14:paraId="75D1D6E9">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w:t>
            </w:r>
            <w:r>
              <w:rPr>
                <w:rFonts w:hint="eastAsia" w:ascii="宋体" w:hAnsi="宋体" w:eastAsia="宋体" w:cs="宋体"/>
                <w:b w:val="0"/>
                <w:bCs w:val="0"/>
                <w:color w:val="auto"/>
                <w:sz w:val="21"/>
                <w:szCs w:val="21"/>
                <w:highlight w:val="none"/>
              </w:rPr>
              <w:t>.提供ST段分析功能，支持在专门的窗口中分组显示心脏前壁，下壁和侧壁的ST实时片段和参考片段。</w:t>
            </w:r>
          </w:p>
          <w:p w14:paraId="333B8ACF">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11</w:t>
            </w:r>
            <w:r>
              <w:rPr>
                <w:rFonts w:hint="eastAsia" w:ascii="宋体" w:hAnsi="宋体" w:eastAsia="宋体" w:cs="宋体"/>
                <w:b w:val="0"/>
                <w:bCs w:val="0"/>
                <w:color w:val="auto"/>
                <w:sz w:val="21"/>
                <w:szCs w:val="21"/>
                <w:highlight w:val="none"/>
              </w:rPr>
              <w:t>.具有QT/QTc测量功能，提供QT、QTc和ΔQTc参数值，并提供QTc和ΔQTc报警。</w:t>
            </w:r>
          </w:p>
          <w:p w14:paraId="4349816A">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.支持RR呼吸率测量，测量范围</w:t>
            </w:r>
            <w:r>
              <w:rPr>
                <w:rFonts w:hint="eastAsia" w:ascii="宋体" w:hAnsi="宋体" w:eastAsia="宋体" w:cs="宋体"/>
                <w:b w:val="0"/>
                <w:bCs w:val="0"/>
                <w:color w:val="auto"/>
                <w:sz w:val="21"/>
                <w:szCs w:val="21"/>
                <w:highlight w:val="none"/>
                <w:lang w:val="en-US" w:eastAsia="zh-CN"/>
              </w:rPr>
              <w:t>包括但不限于</w:t>
            </w:r>
            <w:r>
              <w:rPr>
                <w:rFonts w:hint="eastAsia" w:ascii="宋体" w:hAnsi="宋体" w:eastAsia="宋体" w:cs="宋体"/>
                <w:b w:val="0"/>
                <w:bCs w:val="0"/>
                <w:color w:val="auto"/>
                <w:sz w:val="21"/>
                <w:szCs w:val="21"/>
                <w:highlight w:val="none"/>
              </w:rPr>
              <w:t>1～200rpm。</w:t>
            </w:r>
          </w:p>
          <w:p w14:paraId="5237F7A6">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.无创血压，适用于成人、小儿和新生儿，提供手动、自动间隔、连续、序列和整点≥5种测量模式。无创血压成人测量范围：</w:t>
            </w:r>
            <w:r>
              <w:rPr>
                <w:rFonts w:hint="eastAsia" w:ascii="宋体" w:hAnsi="宋体" w:eastAsia="宋体" w:cs="宋体"/>
                <w:b w:val="0"/>
                <w:bCs w:val="0"/>
                <w:color w:val="auto"/>
                <w:sz w:val="21"/>
                <w:szCs w:val="21"/>
                <w:highlight w:val="none"/>
                <w:lang w:val="en-US" w:eastAsia="zh-CN"/>
                <w:woUserID w:val="1"/>
              </w:rPr>
              <w:t>包括但不限于</w:t>
            </w:r>
            <w:r>
              <w:rPr>
                <w:rFonts w:hint="eastAsia" w:ascii="宋体" w:hAnsi="宋体" w:eastAsia="宋体" w:cs="宋体"/>
                <w:b w:val="0"/>
                <w:bCs w:val="0"/>
                <w:color w:val="auto"/>
                <w:sz w:val="21"/>
                <w:szCs w:val="21"/>
                <w:highlight w:val="none"/>
              </w:rPr>
              <w:t>25-290mmHg（收缩压）</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10-250mmHg（舒张压）</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15-260mmHg（平均压）。</w:t>
            </w:r>
          </w:p>
          <w:p w14:paraId="197E4302">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.血氧监测提供灌注指数（PI）的监测，支持升级CQI心肺复苏质量指数显示。</w:t>
            </w:r>
          </w:p>
          <w:p w14:paraId="551428C7">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.配置指套式血氧探头，支持浸泡清洁与消毒，防水等级≥IPx7。</w:t>
            </w:r>
          </w:p>
          <w:p w14:paraId="4FB032D7">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.提供肺动脉锲压（PAWP）的监测和PPV参数监测。</w:t>
            </w:r>
          </w:p>
          <w:p w14:paraId="534A8ACC">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.支持</w:t>
            </w:r>
            <w:r>
              <w:rPr>
                <w:rFonts w:hint="eastAsia" w:ascii="宋体" w:hAnsi="宋体" w:eastAsia="宋体" w:cs="宋体"/>
                <w:b w:val="0"/>
                <w:bCs w:val="0"/>
                <w:color w:val="auto"/>
                <w:sz w:val="21"/>
                <w:szCs w:val="21"/>
                <w:highlight w:val="none"/>
                <w:shd w:val="clear"/>
                <w:lang w:val="en-US" w:eastAsia="zh-CN"/>
              </w:rPr>
              <w:t>不少于</w:t>
            </w:r>
            <w:r>
              <w:rPr>
                <w:rFonts w:hint="eastAsia" w:ascii="宋体" w:hAnsi="宋体" w:eastAsia="宋体" w:cs="宋体"/>
                <w:b w:val="0"/>
                <w:bCs w:val="0"/>
                <w:color w:val="auto"/>
                <w:sz w:val="21"/>
                <w:szCs w:val="21"/>
                <w:highlight w:val="none"/>
              </w:rPr>
              <w:t>4道IBP波形叠加显示，满足临床对比查看和节约显示空间的需求。</w:t>
            </w:r>
          </w:p>
          <w:p w14:paraId="35EAA311">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.支持升级EtCO2监测模块，单槽位设计。</w:t>
            </w:r>
          </w:p>
          <w:p w14:paraId="22123FC6">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.支持升级BISx4监测模块或者单机，提供不少于4通道EEG，双频指数（BIS），肌电活动（EMG），抑制比（SR），频谱边缘频率（SEF）等参数的监测。</w:t>
            </w:r>
          </w:p>
          <w:p w14:paraId="2CA3C8FE">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20</w:t>
            </w:r>
            <w:r>
              <w:rPr>
                <w:rFonts w:hint="eastAsia" w:ascii="宋体" w:hAnsi="宋体" w:eastAsia="宋体" w:cs="宋体"/>
                <w:b w:val="0"/>
                <w:bCs w:val="0"/>
                <w:color w:val="auto"/>
                <w:sz w:val="21"/>
                <w:szCs w:val="21"/>
                <w:highlight w:val="none"/>
              </w:rPr>
              <w:t>.支持升级提供功率谱密度（DSA）显示界面，可以直观地显示一段时间内的双侧功率谱分布变化的情况。</w:t>
            </w:r>
          </w:p>
          <w:p w14:paraId="756BE528">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21</w:t>
            </w:r>
            <w:r>
              <w:rPr>
                <w:rFonts w:hint="eastAsia" w:ascii="宋体" w:hAnsi="宋体" w:eastAsia="宋体" w:cs="宋体"/>
                <w:b w:val="0"/>
                <w:bCs w:val="0"/>
                <w:color w:val="auto"/>
                <w:sz w:val="21"/>
                <w:szCs w:val="21"/>
                <w:highlight w:val="none"/>
              </w:rPr>
              <w:t>.支持升级监测模块技术股动脉和中心静脉常规穿刺实现微创CCO等血液动力学监测参数，并提供蛛网图，直观观察病人的变化情况。</w:t>
            </w:r>
          </w:p>
          <w:p w14:paraId="66515988">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.支持升级RM呼吸力学监测，监测参数</w:t>
            </w:r>
            <w:r>
              <w:rPr>
                <w:rFonts w:hint="eastAsia" w:ascii="宋体" w:hAnsi="宋体" w:eastAsia="宋体" w:cs="宋体"/>
                <w:b w:val="0"/>
                <w:bCs w:val="0"/>
                <w:color w:val="auto"/>
                <w:sz w:val="21"/>
                <w:szCs w:val="21"/>
                <w:highlight w:val="none"/>
                <w:shd w:val="clear"/>
              </w:rPr>
              <w:t>包括</w:t>
            </w:r>
            <w:r>
              <w:rPr>
                <w:rFonts w:hint="eastAsia" w:ascii="宋体" w:hAnsi="宋体" w:eastAsia="宋体" w:cs="宋体"/>
                <w:b w:val="0"/>
                <w:bCs w:val="0"/>
                <w:color w:val="auto"/>
                <w:sz w:val="21"/>
                <w:szCs w:val="21"/>
                <w:highlight w:val="none"/>
                <w:shd w:val="clear"/>
                <w:lang w:val="en-US" w:eastAsia="zh-CN"/>
              </w:rPr>
              <w:t>但不限于</w:t>
            </w:r>
            <w:r>
              <w:rPr>
                <w:rFonts w:hint="eastAsia" w:ascii="宋体" w:hAnsi="宋体" w:eastAsia="宋体" w:cs="宋体"/>
                <w:b w:val="0"/>
                <w:bCs w:val="0"/>
                <w:color w:val="auto"/>
                <w:sz w:val="21"/>
                <w:szCs w:val="21"/>
                <w:highlight w:val="none"/>
                <w:shd w:val="clear"/>
              </w:rPr>
              <w:t>F</w:t>
            </w:r>
            <w:r>
              <w:rPr>
                <w:rFonts w:hint="eastAsia" w:ascii="宋体" w:hAnsi="宋体" w:eastAsia="宋体" w:cs="宋体"/>
                <w:b w:val="0"/>
                <w:bCs w:val="0"/>
                <w:color w:val="auto"/>
                <w:sz w:val="21"/>
                <w:szCs w:val="21"/>
                <w:highlight w:val="none"/>
              </w:rPr>
              <w:t>EV1.0，RSBI，WOB等17种参数。</w:t>
            </w:r>
          </w:p>
          <w:p w14:paraId="3E13989E">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.支持升级NMT监测参数，采用三轴加速度方向识别技术，支持TOF，ST0.1，ST1.0，DBS3.2，DBS3.3，PTC测量模式。</w:t>
            </w:r>
          </w:p>
          <w:p w14:paraId="5BD2203F">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rPr>
              <w:t>.支持升级EEG监测参数，支持进</w:t>
            </w:r>
            <w:r>
              <w:rPr>
                <w:rFonts w:hint="eastAsia" w:ascii="宋体" w:hAnsi="宋体" w:eastAsia="宋体" w:cs="宋体"/>
                <w:b w:val="0"/>
                <w:bCs w:val="0"/>
                <w:color w:val="auto"/>
                <w:sz w:val="21"/>
                <w:szCs w:val="21"/>
                <w:highlight w:val="none"/>
                <w:shd w:val="clear"/>
              </w:rPr>
              <w:t>行</w:t>
            </w:r>
            <w:r>
              <w:rPr>
                <w:rFonts w:hint="eastAsia" w:ascii="宋体" w:hAnsi="宋体" w:eastAsia="宋体" w:cs="宋体"/>
                <w:b w:val="0"/>
                <w:bCs w:val="0"/>
                <w:color w:val="auto"/>
                <w:sz w:val="21"/>
                <w:szCs w:val="21"/>
                <w:highlight w:val="none"/>
                <w:shd w:val="clear"/>
                <w:lang w:val="en-US" w:eastAsia="zh-CN"/>
              </w:rPr>
              <w:t>不少于</w:t>
            </w:r>
            <w:r>
              <w:rPr>
                <w:rFonts w:hint="eastAsia" w:ascii="宋体" w:hAnsi="宋体" w:eastAsia="宋体" w:cs="宋体"/>
                <w:b w:val="0"/>
                <w:bCs w:val="0"/>
                <w:color w:val="auto"/>
                <w:sz w:val="21"/>
                <w:szCs w:val="21"/>
                <w:highlight w:val="none"/>
              </w:rPr>
              <w:t>4通道脑电的监测。</w:t>
            </w:r>
          </w:p>
          <w:p w14:paraId="0A7ED3BA">
            <w:pPr>
              <w:pStyle w:val="136"/>
              <w:shd w:val="clear"/>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.支持升级rSO2组织氧饱和度的监测，无创，连续，适用于成人、小儿和新生儿。</w:t>
            </w:r>
          </w:p>
          <w:p w14:paraId="6366854A">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.支持升级监测功能模块，非漂浮导管热稀释法或无创阻抗法，可通过监测挠动脉压力提供连续心排量（CCO），每搏量变异（SVV），实时外周血管阻力（SVR）等监测参数，满足连续血流动力学监测需求。</w:t>
            </w:r>
          </w:p>
          <w:p w14:paraId="14335011">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.支持升级与呼吸机、输注泵，CRRT设备相连，实现床旁设备设备的信息在监护仪上显示、存储、记录、打印或者用于参与计算。</w:t>
            </w:r>
          </w:p>
          <w:p w14:paraId="57A17209">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.大字体界面支持≥6个参数的设置和显示。</w:t>
            </w:r>
          </w:p>
          <w:p w14:paraId="166A35FB">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具有图形化报警指示功能，看报警信息更容易。</w:t>
            </w:r>
          </w:p>
          <w:p w14:paraId="1EE1C24E">
            <w:pPr>
              <w:pStyle w:val="136"/>
              <w:wordWrap w:val="0"/>
              <w:topLinePunct/>
              <w:spacing w:line="360" w:lineRule="auto"/>
              <w:ind w:firstLine="420" w:firstLineChars="200"/>
              <w:jc w:val="both"/>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30</w:t>
            </w:r>
            <w:r>
              <w:rPr>
                <w:rFonts w:hint="eastAsia" w:ascii="宋体" w:hAnsi="宋体" w:eastAsia="宋体" w:cs="宋体"/>
                <w:b w:val="0"/>
                <w:bCs w:val="0"/>
                <w:color w:val="auto"/>
                <w:sz w:val="21"/>
                <w:szCs w:val="21"/>
                <w:highlight w:val="none"/>
              </w:rPr>
              <w:t>.所有参数报警限提供一键自动设置。</w:t>
            </w:r>
          </w:p>
          <w:p w14:paraId="63FF6B3D">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31</w:t>
            </w:r>
            <w:r>
              <w:rPr>
                <w:rFonts w:hint="eastAsia" w:ascii="宋体" w:hAnsi="宋体" w:eastAsia="宋体" w:cs="宋体"/>
                <w:b w:val="0"/>
                <w:bCs w:val="0"/>
                <w:sz w:val="21"/>
                <w:szCs w:val="21"/>
                <w:highlight w:val="none"/>
              </w:rPr>
              <w:t>.能够设置护理组，一个护理组能够设置6～12个病人，这些病人之间能够互相进行它床观察。</w:t>
            </w:r>
          </w:p>
          <w:p w14:paraId="32C02A72">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.具备血液动力学，药物计算，氧合计算，通气计算和肾功能计算功能。</w:t>
            </w:r>
          </w:p>
          <w:p w14:paraId="541B5D48">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120小时趋势表和趋势图回顾，≥1000条事件回顾，事件回顾时能够提供报警事件列表。能够根据时间、报警优先级、报警类型和参数组对事件进行筛选。具备≥48小时全息波形的存储与回顾功能。≥120小时ST片段回顾。</w:t>
            </w:r>
          </w:p>
          <w:p w14:paraId="4DBF9FBF">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4</w:t>
            </w:r>
            <w:r>
              <w:rPr>
                <w:rFonts w:hint="eastAsia" w:ascii="宋体" w:hAnsi="宋体" w:eastAsia="宋体" w:cs="宋体"/>
                <w:b w:val="0"/>
                <w:bCs w:val="0"/>
                <w:sz w:val="21"/>
                <w:szCs w:val="21"/>
                <w:highlight w:val="none"/>
              </w:rPr>
              <w:t>.具有在线帮助功能，能够指导使用者掌握如何设置参数。</w:t>
            </w:r>
          </w:p>
          <w:p w14:paraId="23A97069">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5</w:t>
            </w:r>
            <w:r>
              <w:rPr>
                <w:rFonts w:hint="eastAsia" w:ascii="宋体" w:hAnsi="宋体" w:eastAsia="宋体" w:cs="宋体"/>
                <w:b w:val="0"/>
                <w:bCs w:val="0"/>
                <w:sz w:val="21"/>
                <w:szCs w:val="21"/>
                <w:highlight w:val="none"/>
              </w:rPr>
              <w:t>.具有高级参数指导功能，能够指导使用者掌握高级参数的使用方法。</w:t>
            </w:r>
          </w:p>
          <w:p w14:paraId="2D9178B5">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.提供监护模式、待机模式、体外循环模式、插管模式，夜间模式、隐私模式、演示模式等工作模式。</w:t>
            </w:r>
          </w:p>
          <w:p w14:paraId="00275D7C">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.支持具有专业的血流动力学辅助应用，能够图形化显示监测参数，体现参数之间的关系，提供目标治疗决策建议，提供抬腿试验辅助工具，提供心功能图指示，提供蛛网图参数跟踪。</w:t>
            </w:r>
          </w:p>
          <w:p w14:paraId="582DFD41">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rPr>
              <w:t>.提供心肌缺血评估工具，可以快速查看ST值的变化。</w:t>
            </w:r>
          </w:p>
          <w:p w14:paraId="32490BE9">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3</w:t>
            </w:r>
            <w:r>
              <w:rPr>
                <w:rFonts w:hint="eastAsia" w:ascii="宋体" w:hAnsi="宋体" w:eastAsia="宋体" w:cs="宋体"/>
                <w:b w:val="0"/>
                <w:bCs w:val="0"/>
                <w:sz w:val="21"/>
                <w:szCs w:val="21"/>
                <w:highlight w:val="none"/>
                <w:lang w:val="en-US" w:eastAsia="zh-CN"/>
              </w:rPr>
              <w:t>9</w:t>
            </w:r>
            <w:r>
              <w:rPr>
                <w:rFonts w:hint="eastAsia" w:ascii="宋体" w:hAnsi="宋体" w:eastAsia="宋体" w:cs="宋体"/>
                <w:b w:val="0"/>
                <w:bCs w:val="0"/>
                <w:sz w:val="21"/>
                <w:szCs w:val="21"/>
                <w:highlight w:val="none"/>
              </w:rPr>
              <w:t>.支持脓毒症筛查工具，以及满足2012 SSC指南和Sepsis3.0的治疗建议检查清单，并提供治疗建议。</w:t>
            </w:r>
          </w:p>
          <w:p w14:paraId="21A35D82">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40</w:t>
            </w:r>
            <w:r>
              <w:rPr>
                <w:rFonts w:hint="eastAsia" w:ascii="宋体" w:hAnsi="宋体" w:eastAsia="宋体" w:cs="宋体"/>
                <w:b w:val="0"/>
                <w:bCs w:val="0"/>
                <w:sz w:val="21"/>
                <w:szCs w:val="21"/>
                <w:highlight w:val="none"/>
              </w:rPr>
              <w:t>.支持升级输注泵用药信息回顾工具，可同时间轴显示病人生命体征参数及用药信息回顾，呈现病人生命体征变化趋势与药物输注流速变化之间的关系。</w:t>
            </w:r>
          </w:p>
          <w:p w14:paraId="01707544">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41</w:t>
            </w:r>
            <w:r>
              <w:rPr>
                <w:rFonts w:hint="eastAsia" w:ascii="宋体" w:hAnsi="宋体" w:eastAsia="宋体" w:cs="宋体"/>
                <w:b w:val="0"/>
                <w:bCs w:val="0"/>
                <w:sz w:val="21"/>
                <w:szCs w:val="21"/>
                <w:highlight w:val="none"/>
              </w:rPr>
              <w:t>.具备趋势共存界面、呼吸氧合图界面，大字体显示界面，及标准显示界面等多种显示界面。</w:t>
            </w:r>
          </w:p>
          <w:p w14:paraId="50AA72BD">
            <w:pPr>
              <w:pStyle w:val="136"/>
              <w:wordWrap w:val="0"/>
              <w:topLinePunct/>
              <w:spacing w:line="360" w:lineRule="auto"/>
              <w:ind w:firstLine="420" w:firstLineChars="200"/>
              <w:jc w:val="both"/>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rPr>
              <w:t>.支持与除颤监护仪，遥测，生命体征监测仪、呼吸机、输注泵、超声混合联通至中心监护系统，实现护士站的集中管理。</w:t>
            </w:r>
          </w:p>
          <w:p w14:paraId="4F6C95E0">
            <w:pPr>
              <w:pStyle w:val="136"/>
              <w:wordWrap w:val="0"/>
              <w:topLinePunct/>
              <w:spacing w:line="360" w:lineRule="auto"/>
              <w:ind w:firstLine="0"/>
              <w:jc w:val="both"/>
              <w:rPr>
                <w:rFonts w:hint="eastAsia" w:ascii="宋体" w:hAnsi="宋体" w:eastAsia="宋体" w:cs="宋体"/>
                <w:b w:val="0"/>
                <w:bCs w:val="0"/>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sz w:val="21"/>
                <w:szCs w:val="21"/>
                <w:highlight w:val="none"/>
              </w:rPr>
              <w:t>4</w:t>
            </w:r>
            <w:r>
              <w:rPr>
                <w:rFonts w:hint="eastAsia" w:ascii="宋体" w:hAnsi="宋体" w:eastAsia="宋体" w:cs="宋体"/>
                <w:b w:val="0"/>
                <w:bCs w:val="0"/>
                <w:sz w:val="21"/>
                <w:szCs w:val="21"/>
                <w:highlight w:val="none"/>
                <w:lang w:val="en-US" w:eastAsia="zh-CN"/>
              </w:rPr>
              <w:t>3</w:t>
            </w:r>
            <w:r>
              <w:rPr>
                <w:rFonts w:hint="eastAsia" w:ascii="宋体" w:hAnsi="宋体" w:eastAsia="宋体" w:cs="宋体"/>
                <w:b w:val="0"/>
                <w:bCs w:val="0"/>
                <w:sz w:val="21"/>
                <w:szCs w:val="21"/>
                <w:highlight w:val="none"/>
              </w:rPr>
              <w:t>.配置要求：</w:t>
            </w:r>
          </w:p>
          <w:tbl>
            <w:tblPr>
              <w:tblStyle w:val="48"/>
              <w:tblW w:w="3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9"/>
              <w:gridCol w:w="2120"/>
              <w:gridCol w:w="568"/>
              <w:gridCol w:w="625"/>
            </w:tblGrid>
            <w:tr w14:paraId="4118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549" w:type="dxa"/>
                  <w:noWrap w:val="0"/>
                  <w:vAlign w:val="center"/>
                </w:tcPr>
                <w:p w14:paraId="24A7E0AF">
                  <w:pPr>
                    <w:widowControl/>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rPr>
                    <w:t>序号</w:t>
                  </w:r>
                </w:p>
              </w:tc>
              <w:tc>
                <w:tcPr>
                  <w:tcW w:w="2120" w:type="dxa"/>
                  <w:noWrap w:val="0"/>
                  <w:vAlign w:val="center"/>
                </w:tcPr>
                <w:p w14:paraId="3A8CEC59">
                  <w:pPr>
                    <w:widowControl/>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rPr>
                    <w:t>产品名称</w:t>
                  </w:r>
                </w:p>
              </w:tc>
              <w:tc>
                <w:tcPr>
                  <w:tcW w:w="568" w:type="dxa"/>
                  <w:noWrap w:val="0"/>
                  <w:vAlign w:val="center"/>
                </w:tcPr>
                <w:p w14:paraId="5CCB89F8">
                  <w:pPr>
                    <w:widowControl/>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rPr>
                    <w:t>数量</w:t>
                  </w:r>
                </w:p>
              </w:tc>
              <w:tc>
                <w:tcPr>
                  <w:tcW w:w="625" w:type="dxa"/>
                  <w:noWrap w:val="0"/>
                  <w:vAlign w:val="center"/>
                </w:tcPr>
                <w:p w14:paraId="6229018B">
                  <w:pPr>
                    <w:widowControl/>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rPr>
                    <w:t>单位</w:t>
                  </w:r>
                </w:p>
              </w:tc>
            </w:tr>
            <w:tr w14:paraId="2672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7455CA03">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2120" w:type="dxa"/>
                  <w:noWrap w:val="0"/>
                  <w:vAlign w:val="center"/>
                </w:tcPr>
                <w:p w14:paraId="55818CB5">
                  <w:pPr>
                    <w:numPr>
                      <w:ilvl w:val="-1"/>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主机</w:t>
                  </w:r>
                </w:p>
              </w:tc>
              <w:tc>
                <w:tcPr>
                  <w:tcW w:w="568" w:type="dxa"/>
                  <w:noWrap w:val="0"/>
                  <w:vAlign w:val="center"/>
                </w:tcPr>
                <w:p w14:paraId="13F5EBD7">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71F7516C">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台</w:t>
                  </w:r>
                </w:p>
              </w:tc>
            </w:tr>
            <w:tr w14:paraId="24A28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6DA0F699">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2120" w:type="dxa"/>
                  <w:noWrap w:val="0"/>
                  <w:vAlign w:val="center"/>
                </w:tcPr>
                <w:p w14:paraId="3B729A51">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转运模块</w:t>
                  </w:r>
                </w:p>
              </w:tc>
              <w:tc>
                <w:tcPr>
                  <w:tcW w:w="568" w:type="dxa"/>
                  <w:noWrap w:val="0"/>
                  <w:vAlign w:val="center"/>
                </w:tcPr>
                <w:p w14:paraId="187BC77F">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4B31CC63">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个</w:t>
                  </w:r>
                </w:p>
              </w:tc>
            </w:tr>
            <w:tr w14:paraId="411D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37EF7A96">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2120" w:type="dxa"/>
                  <w:noWrap w:val="0"/>
                  <w:vAlign w:val="center"/>
                </w:tcPr>
                <w:p w14:paraId="3EA783F5">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三芯电源线</w:t>
                  </w:r>
                </w:p>
              </w:tc>
              <w:tc>
                <w:tcPr>
                  <w:tcW w:w="568" w:type="dxa"/>
                  <w:noWrap w:val="0"/>
                  <w:vAlign w:val="center"/>
                </w:tcPr>
                <w:p w14:paraId="3F866ED2">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04B866F3">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3552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37B1D24D">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2120" w:type="dxa"/>
                  <w:noWrap w:val="0"/>
                  <w:vAlign w:val="center"/>
                </w:tcPr>
                <w:p w14:paraId="361FEB4F">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配备3／5导除颤型分体式主电缆组件</w:t>
                  </w:r>
                </w:p>
              </w:tc>
              <w:tc>
                <w:tcPr>
                  <w:tcW w:w="568" w:type="dxa"/>
                  <w:noWrap w:val="0"/>
                  <w:vAlign w:val="center"/>
                </w:tcPr>
                <w:p w14:paraId="53AAB3C4">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37462957">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58B97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549" w:type="dxa"/>
                  <w:noWrap w:val="0"/>
                  <w:vAlign w:val="center"/>
                </w:tcPr>
                <w:p w14:paraId="39BFBD18">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2120" w:type="dxa"/>
                  <w:noWrap w:val="0"/>
                  <w:vAlign w:val="center"/>
                </w:tcPr>
                <w:p w14:paraId="430E44A7">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配备5导分体式导联线组件AHA按扣式</w:t>
                  </w:r>
                </w:p>
              </w:tc>
              <w:tc>
                <w:tcPr>
                  <w:tcW w:w="568" w:type="dxa"/>
                  <w:noWrap w:val="0"/>
                  <w:vAlign w:val="center"/>
                </w:tcPr>
                <w:p w14:paraId="052985B6">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19865095">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35D3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42F6E360">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2120" w:type="dxa"/>
                  <w:noWrap w:val="0"/>
                  <w:vAlign w:val="center"/>
                </w:tcPr>
                <w:p w14:paraId="0898807F">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心电电极</w:t>
                  </w:r>
                </w:p>
              </w:tc>
              <w:tc>
                <w:tcPr>
                  <w:tcW w:w="568" w:type="dxa"/>
                  <w:noWrap w:val="0"/>
                  <w:vAlign w:val="center"/>
                </w:tcPr>
                <w:p w14:paraId="7D2022BE">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4DA4B92B">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包</w:t>
                  </w:r>
                </w:p>
              </w:tc>
            </w:tr>
            <w:tr w14:paraId="7F2F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0AFC80AD">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2120" w:type="dxa"/>
                  <w:noWrap w:val="0"/>
                  <w:vAlign w:val="center"/>
                </w:tcPr>
                <w:p w14:paraId="3E420D5D">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配备7针血氧主电缆</w:t>
                  </w:r>
                </w:p>
              </w:tc>
              <w:tc>
                <w:tcPr>
                  <w:tcW w:w="568" w:type="dxa"/>
                  <w:noWrap w:val="0"/>
                  <w:vAlign w:val="center"/>
                </w:tcPr>
                <w:p w14:paraId="4307B724">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70240D2A">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66739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549" w:type="dxa"/>
                  <w:noWrap w:val="0"/>
                  <w:vAlign w:val="center"/>
                </w:tcPr>
                <w:p w14:paraId="2B6F9B07">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2120" w:type="dxa"/>
                  <w:noWrap w:val="0"/>
                  <w:vAlign w:val="center"/>
                </w:tcPr>
                <w:p w14:paraId="3AA809C3">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成人指套式血氧探头</w:t>
                  </w:r>
                </w:p>
              </w:tc>
              <w:tc>
                <w:tcPr>
                  <w:tcW w:w="568" w:type="dxa"/>
                  <w:noWrap w:val="0"/>
                  <w:vAlign w:val="center"/>
                </w:tcPr>
                <w:p w14:paraId="26DBF4AB">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25DF3225">
                  <w:pPr>
                    <w:numPr>
                      <w:ilvl w:val="0"/>
                      <w:numId w:val="0"/>
                    </w:numPr>
                    <w:wordWrap w:val="0"/>
                    <w:topLinePunct/>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597F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49" w:type="dxa"/>
                  <w:noWrap w:val="0"/>
                  <w:vAlign w:val="center"/>
                </w:tcPr>
                <w:p w14:paraId="53B2952F">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2120" w:type="dxa"/>
                  <w:noWrap w:val="0"/>
                  <w:vAlign w:val="center"/>
                </w:tcPr>
                <w:p w14:paraId="47609A0A">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无创血压导气管</w:t>
                  </w:r>
                </w:p>
              </w:tc>
              <w:tc>
                <w:tcPr>
                  <w:tcW w:w="568" w:type="dxa"/>
                  <w:noWrap w:val="0"/>
                  <w:vAlign w:val="center"/>
                </w:tcPr>
                <w:p w14:paraId="2740C89D">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099E31F2">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b w:val="0"/>
                      <w:bCs w:val="0"/>
                      <w:sz w:val="21"/>
                      <w:szCs w:val="21"/>
                      <w:highlight w:val="none"/>
                    </w:rPr>
                    <w:t>根</w:t>
                  </w:r>
                </w:p>
              </w:tc>
            </w:tr>
            <w:tr w14:paraId="36C5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49" w:type="dxa"/>
                  <w:noWrap w:val="0"/>
                  <w:vAlign w:val="center"/>
                </w:tcPr>
                <w:p w14:paraId="213C27EB">
                  <w:pPr>
                    <w:numPr>
                      <w:ilvl w:val="0"/>
                      <w:numId w:val="0"/>
                    </w:numPr>
                    <w:wordWrap w:val="0"/>
                    <w:topLinePunct/>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2120" w:type="dxa"/>
                  <w:noWrap w:val="0"/>
                  <w:vAlign w:val="center"/>
                </w:tcPr>
                <w:p w14:paraId="11E27F02">
                  <w:pPr>
                    <w:numPr>
                      <w:ilvl w:val="0"/>
                      <w:numId w:val="0"/>
                    </w:numPr>
                    <w:wordWrap w:val="0"/>
                    <w:topLinePunct/>
                    <w:spacing w:line="360" w:lineRule="auto"/>
                    <w:jc w:val="center"/>
                    <w:rPr>
                      <w:rFonts w:hint="eastAsia" w:ascii="宋体" w:hAnsi="宋体" w:eastAsia="宋体" w:cs="宋体"/>
                      <w:kern w:val="0"/>
                      <w:sz w:val="21"/>
                      <w:szCs w:val="21"/>
                      <w:highlight w:val="none"/>
                    </w:rPr>
                  </w:pPr>
                  <w:r>
                    <w:rPr>
                      <w:rFonts w:hint="eastAsia" w:ascii="宋体" w:hAnsi="宋体" w:eastAsia="宋体" w:cs="宋体"/>
                      <w:b w:val="0"/>
                      <w:bCs w:val="0"/>
                      <w:sz w:val="21"/>
                      <w:szCs w:val="21"/>
                      <w:highlight w:val="none"/>
                    </w:rPr>
                    <w:t>成人血压袖套</w:t>
                  </w:r>
                </w:p>
              </w:tc>
              <w:tc>
                <w:tcPr>
                  <w:tcW w:w="568" w:type="dxa"/>
                  <w:noWrap w:val="0"/>
                  <w:vAlign w:val="center"/>
                </w:tcPr>
                <w:p w14:paraId="693AA8A2">
                  <w:pPr>
                    <w:numPr>
                      <w:ilvl w:val="0"/>
                      <w:numId w:val="0"/>
                    </w:numPr>
                    <w:wordWrap w:val="0"/>
                    <w:topLinePunct/>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b w:val="0"/>
                      <w:bCs w:val="0"/>
                      <w:sz w:val="21"/>
                      <w:szCs w:val="21"/>
                      <w:highlight w:val="none"/>
                    </w:rPr>
                    <w:t>1</w:t>
                  </w:r>
                </w:p>
              </w:tc>
              <w:tc>
                <w:tcPr>
                  <w:tcW w:w="625" w:type="dxa"/>
                  <w:noWrap w:val="0"/>
                  <w:vAlign w:val="center"/>
                </w:tcPr>
                <w:p w14:paraId="557567B4">
                  <w:pPr>
                    <w:numPr>
                      <w:ilvl w:val="0"/>
                      <w:numId w:val="0"/>
                    </w:numPr>
                    <w:wordWrap w:val="0"/>
                    <w:topLinePunct/>
                    <w:spacing w:line="360" w:lineRule="auto"/>
                    <w:jc w:val="center"/>
                    <w:rPr>
                      <w:rFonts w:hint="eastAsia" w:ascii="宋体" w:hAnsi="宋体" w:eastAsia="宋体" w:cs="宋体"/>
                      <w:kern w:val="0"/>
                      <w:sz w:val="21"/>
                      <w:szCs w:val="21"/>
                      <w:highlight w:val="none"/>
                    </w:rPr>
                  </w:pPr>
                  <w:r>
                    <w:rPr>
                      <w:rFonts w:hint="eastAsia" w:ascii="宋体" w:hAnsi="宋体" w:eastAsia="宋体" w:cs="宋体"/>
                      <w:b w:val="0"/>
                      <w:bCs w:val="0"/>
                      <w:sz w:val="21"/>
                      <w:szCs w:val="21"/>
                      <w:highlight w:val="none"/>
                    </w:rPr>
                    <w:t>根</w:t>
                  </w:r>
                </w:p>
              </w:tc>
            </w:tr>
          </w:tbl>
          <w:p w14:paraId="7D86F948">
            <w:pPr>
              <w:pStyle w:val="126"/>
              <w:spacing w:line="360" w:lineRule="auto"/>
              <w:ind w:left="0" w:leftChars="0" w:firstLine="0" w:firstLineChars="0"/>
              <w:jc w:val="left"/>
              <w:rPr>
                <w:rFonts w:hint="eastAsia" w:ascii="宋体" w:hAnsi="宋体" w:cs="宋体"/>
                <w:sz w:val="21"/>
                <w:szCs w:val="21"/>
                <w:highlight w:val="none"/>
              </w:rPr>
            </w:pPr>
          </w:p>
        </w:tc>
        <w:tc>
          <w:tcPr>
            <w:tcW w:w="1134" w:type="dxa"/>
            <w:vAlign w:val="center"/>
          </w:tcPr>
          <w:p w14:paraId="1AD41E5B">
            <w:pPr>
              <w:pStyle w:val="60"/>
              <w:jc w:val="center"/>
              <w:rPr>
                <w:rFonts w:hint="eastAsia" w:ascii="宋体" w:hAnsi="宋体" w:cs="宋体"/>
                <w:b/>
                <w:bCs/>
                <w:sz w:val="21"/>
                <w:szCs w:val="21"/>
                <w:highlight w:val="none"/>
              </w:rPr>
            </w:pPr>
            <w:r>
              <w:rPr>
                <w:rFonts w:hint="eastAsia" w:ascii="宋体" w:hAnsi="宋体" w:cs="宋体"/>
                <w:sz w:val="21"/>
                <w:szCs w:val="21"/>
                <w:highlight w:val="none"/>
                <w:lang w:val="en-US" w:eastAsia="zh-CN"/>
              </w:rPr>
              <w:t>60000</w:t>
            </w:r>
          </w:p>
        </w:tc>
        <w:tc>
          <w:tcPr>
            <w:tcW w:w="1275" w:type="dxa"/>
            <w:vAlign w:val="center"/>
          </w:tcPr>
          <w:p w14:paraId="569D3A83">
            <w:pPr>
              <w:pStyle w:val="60"/>
              <w:jc w:val="center"/>
              <w:rPr>
                <w:rFonts w:hint="eastAsia" w:ascii="宋体" w:hAnsi="宋体" w:cs="宋体"/>
                <w:b/>
                <w:bCs/>
                <w:sz w:val="21"/>
                <w:szCs w:val="21"/>
                <w:highlight w:val="none"/>
              </w:rPr>
            </w:pPr>
            <w:r>
              <w:rPr>
                <w:rFonts w:hint="eastAsia" w:ascii="宋体" w:hAnsi="宋体" w:cs="宋体"/>
                <w:sz w:val="21"/>
                <w:szCs w:val="21"/>
                <w:highlight w:val="none"/>
                <w:lang w:val="en-US" w:eastAsia="zh-CN"/>
              </w:rPr>
              <w:t>60000</w:t>
            </w:r>
          </w:p>
        </w:tc>
      </w:tr>
      <w:tr w14:paraId="2DC4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37FCE907">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w:t>
            </w:r>
          </w:p>
        </w:tc>
        <w:tc>
          <w:tcPr>
            <w:tcW w:w="1387" w:type="dxa"/>
            <w:vAlign w:val="center"/>
          </w:tcPr>
          <w:p w14:paraId="4E8A3048">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除颤仪</w:t>
            </w:r>
          </w:p>
        </w:tc>
        <w:tc>
          <w:tcPr>
            <w:tcW w:w="728" w:type="dxa"/>
            <w:vAlign w:val="center"/>
          </w:tcPr>
          <w:p w14:paraId="7251416D">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79BD305A">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4775" w:type="dxa"/>
            <w:vAlign w:val="center"/>
          </w:tcPr>
          <w:p w14:paraId="5FE9780F">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一、外观设计</w:t>
            </w:r>
          </w:p>
          <w:p w14:paraId="54CD7BD5">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1.重量以及尺寸：≤4.5KG（主机重量）</w:t>
            </w:r>
          </w:p>
          <w:p w14:paraId="1DB765DD">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2.彩色TFT显示屏≥7英寸, 分辨率包括但不限于800×480，最多可显示4道监护参数波形，有高对比度显示界</w:t>
            </w:r>
          </w:p>
          <w:p w14:paraId="2F3D9FF3">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3.具有网络接口，可通过有线或者无线连接同品牌中央监护系统</w:t>
            </w:r>
          </w:p>
          <w:p w14:paraId="5BFED858">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4.具有USB2.0接口，数据可以通过 USB 快闪存储器导出到 PC端</w:t>
            </w:r>
          </w:p>
          <w:p w14:paraId="7AA96632">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5.要求防尘防水等级IP55</w:t>
            </w:r>
          </w:p>
          <w:p w14:paraId="7F32C922">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6.至少配置1块电池，最大可支持360J除颤≥180次，电池体上带有≥4段LED 电池电量指示装置，用于快速评估电池电量</w:t>
            </w:r>
          </w:p>
          <w:p w14:paraId="2B6117A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7.具备生理报警和技术报警功能，并且具有双报警灯，分别显示生理报警和技术报警</w:t>
            </w:r>
          </w:p>
          <w:p w14:paraId="3AFF69AF">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二、除颤功能</w:t>
            </w:r>
          </w:p>
          <w:p w14:paraId="2306C087">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1.具有手动异步除颤、同步除颤</w:t>
            </w:r>
          </w:p>
          <w:p w14:paraId="7FA2795A">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2.采用双相指数截断波形，波形参数可根据病人阻抗进行自动补偿</w:t>
            </w:r>
          </w:p>
          <w:p w14:paraId="78F0D38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3.同步除颤和手动除颤中，能量分25档以上，可通过体外电极板进行能量选择最小为1J，最大为360J</w:t>
            </w:r>
          </w:p>
          <w:p w14:paraId="24C00E0D">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4.除颤充电迅速，在电池供电情况下，充电至200J&lt;3s，充电至360J&lt;7s</w:t>
            </w:r>
          </w:p>
          <w:p w14:paraId="1EB76DD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5.成人、小儿一体化电极板，体外除颤电极板手柄支持充电、放电、能量选择，具备充电完成指示灯</w:t>
            </w:r>
          </w:p>
          <w:p w14:paraId="0551382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6.支持升级配置体内除颤电极板进行体内除颤</w:t>
            </w:r>
          </w:p>
          <w:p w14:paraId="1C7C221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7.病人阻抗范围：体外除颤：</w:t>
            </w:r>
            <w:bookmarkStart w:id="40" w:name="OLE_LINK4"/>
            <w:bookmarkStart w:id="41" w:name="OLE_LINK3"/>
            <w:r>
              <w:rPr>
                <w:rFonts w:hint="eastAsia" w:ascii="宋体" w:hAnsi="宋体" w:eastAsia="宋体" w:cs="宋体"/>
                <w:sz w:val="21"/>
                <w:szCs w:val="21"/>
                <w:highlight w:val="none"/>
              </w:rPr>
              <w:t>包括但不限于</w:t>
            </w:r>
            <w:bookmarkEnd w:id="40"/>
            <w:bookmarkEnd w:id="41"/>
            <w:r>
              <w:rPr>
                <w:rFonts w:hint="eastAsia" w:ascii="宋体" w:hAnsi="宋体" w:eastAsia="宋体" w:cs="宋体"/>
                <w:sz w:val="21"/>
                <w:szCs w:val="21"/>
                <w:highlight w:val="none"/>
              </w:rPr>
              <w:t>20-250Ω；体内除颤：包括但不限于15-250Ω</w:t>
            </w:r>
          </w:p>
          <w:p w14:paraId="487CF3F0">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8.除颤后心电基线恢复时间：≤3s</w:t>
            </w:r>
          </w:p>
          <w:p w14:paraId="57D97767">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三、监护功能</w:t>
            </w:r>
          </w:p>
          <w:p w14:paraId="7A0019A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1.支持3/5/6/12导和自动导联心电监测，并提供12导联心电静息报告输出功能。</w:t>
            </w:r>
          </w:p>
          <w:p w14:paraId="719AF5B5">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sz w:val="21"/>
                <w:szCs w:val="21"/>
                <w:highlight w:val="none"/>
              </w:rPr>
              <w:t>2.具有智能导联脱落和多导同步分析功能，具有≥27种心律失常分析</w:t>
            </w:r>
          </w:p>
          <w:p w14:paraId="0F6A7677">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3.心电扫描速度：</w:t>
            </w:r>
            <w:bookmarkStart w:id="42" w:name="OLE_LINK6"/>
            <w:bookmarkStart w:id="43" w:name="OLE_LINK5"/>
            <w:r>
              <w:rPr>
                <w:rFonts w:hint="eastAsia" w:ascii="宋体" w:hAnsi="宋体" w:eastAsia="宋体" w:cs="宋体"/>
                <w:sz w:val="21"/>
                <w:szCs w:val="21"/>
                <w:highlight w:val="none"/>
              </w:rPr>
              <w:t>包括但不限于</w:t>
            </w:r>
            <w:bookmarkEnd w:id="42"/>
            <w:bookmarkEnd w:id="43"/>
            <w:r>
              <w:rPr>
                <w:rFonts w:hint="eastAsia" w:ascii="宋体" w:hAnsi="宋体" w:eastAsia="宋体" w:cs="宋体"/>
                <w:sz w:val="21"/>
                <w:szCs w:val="21"/>
                <w:highlight w:val="none"/>
              </w:rPr>
              <w:t>6.25mm/s、12.5mm/s、25mm/s、50mm/s</w:t>
            </w:r>
          </w:p>
          <w:p w14:paraId="2E15E041">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4.具有ST段监测功能以及ST片段保存功能，测量范围-2.0-2.0mV</w:t>
            </w:r>
          </w:p>
          <w:p w14:paraId="5DD3999C">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四、软件功能</w:t>
            </w:r>
          </w:p>
          <w:p w14:paraId="58BBEB54">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1.支持≥160小时趋势存储、≥2000条血压数据回顾、≥1000条用户事件回顾，可通过U盘导出到PC端</w:t>
            </w:r>
          </w:p>
          <w:p w14:paraId="160A8C4F">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2.具有用户事件标注功能</w:t>
            </w:r>
          </w:p>
          <w:p w14:paraId="7BECD74C">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3.具有高对比度显示功能，适合户外查看除颤监护仪信息</w:t>
            </w:r>
          </w:p>
          <w:p w14:paraId="5DE729C2">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4.关机状态下设备可自动运行自检，支持大能量自检（不低于200J）、屏幕、按键检测 </w:t>
            </w:r>
          </w:p>
          <w:p w14:paraId="4BA9F2A9">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五、</w:t>
            </w:r>
            <w:r>
              <w:rPr>
                <w:rFonts w:hint="eastAsia" w:ascii="宋体" w:hAnsi="宋体" w:eastAsia="宋体" w:cs="宋体"/>
                <w:b/>
                <w:bCs/>
                <w:sz w:val="21"/>
                <w:szCs w:val="21"/>
                <w:highlight w:val="none"/>
              </w:rPr>
              <w:t>无创起搏：</w:t>
            </w:r>
          </w:p>
          <w:p w14:paraId="659A15D5">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1.支持固定起搏和按需起搏模式</w:t>
            </w:r>
          </w:p>
          <w:p w14:paraId="723D8C5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2.起搏频率范围包括但不限于40-170ppm</w:t>
            </w:r>
          </w:p>
          <w:p w14:paraId="35A4D9E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3.起搏电流范围包括但不限于0-200mA</w:t>
            </w:r>
          </w:p>
          <w:p w14:paraId="36EBC779">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4.起搏脉冲宽度：包括但不限于20ms</w:t>
            </w:r>
          </w:p>
          <w:p w14:paraId="1739CB28">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5.具有降速起搏功能，打开此功能时，起搏频率将为原数值的1/4</w:t>
            </w:r>
          </w:p>
          <w:p w14:paraId="71F03AB2">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六、</w:t>
            </w:r>
            <w:r>
              <w:rPr>
                <w:rFonts w:hint="eastAsia" w:ascii="宋体" w:hAnsi="宋体" w:eastAsia="宋体" w:cs="宋体"/>
                <w:b/>
                <w:bCs/>
                <w:sz w:val="21"/>
                <w:szCs w:val="21"/>
                <w:highlight w:val="none"/>
              </w:rPr>
              <w:t xml:space="preserve">无创血压： </w:t>
            </w:r>
          </w:p>
          <w:p w14:paraId="31BE713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1.无创血压测量模式：手动、自动、序列、整点和连续测量模式</w:t>
            </w:r>
          </w:p>
          <w:p w14:paraId="49CBC3E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2.血压测量范围：成人：收缩压包括但不限于25-290mmHg、平均压包括但不限于15-260mmHg、舒张压包括但不限于10-250 mmHg</w:t>
            </w:r>
          </w:p>
          <w:p w14:paraId="08FC08B7">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小儿：收缩压包括但不限于25-250mmHg、 平均压包括但不限于 15-225mmHg 、舒张压包括但不限于 10-210 mmHg</w:t>
            </w:r>
          </w:p>
          <w:p w14:paraId="1BBB3ED2">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新生儿：收缩压包括但不限于25-140mmHg、 平均压包括但不限于 15-125mmHg、 舒张压包括但不限于 10-115mmHg</w:t>
            </w:r>
          </w:p>
          <w:p w14:paraId="2605996B">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3.具有辅助静脉穿刺功能</w:t>
            </w:r>
          </w:p>
          <w:p w14:paraId="075101E0">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七、</w:t>
            </w:r>
            <w:r>
              <w:rPr>
                <w:rFonts w:hint="eastAsia" w:ascii="宋体" w:hAnsi="宋体" w:eastAsia="宋体" w:cs="宋体"/>
                <w:b/>
                <w:bCs/>
                <w:sz w:val="21"/>
                <w:szCs w:val="21"/>
                <w:highlight w:val="none"/>
              </w:rPr>
              <w:t>脉搏氧饱和度：</w:t>
            </w:r>
          </w:p>
          <w:p w14:paraId="44982B41">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1.具有脉搏波形、脉搏氧饱和度及灌注指数显示；</w:t>
            </w:r>
          </w:p>
          <w:p w14:paraId="77D63F8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2.可选Masimo血氧：测量范围：1-100%，在70-100%范围内，成人/小儿测量精度为±2%（非运动状态）、±3%（运动状态），新生儿为±3%（非运动状态和运动状态）</w:t>
            </w:r>
          </w:p>
          <w:p w14:paraId="4AE67649">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3.PI灌注指数范围：包括但不限于0.02-20%</w:t>
            </w:r>
          </w:p>
          <w:p w14:paraId="52337C59">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八、</w:t>
            </w:r>
            <w:r>
              <w:rPr>
                <w:rFonts w:hint="eastAsia" w:ascii="宋体" w:hAnsi="宋体" w:eastAsia="宋体" w:cs="宋体"/>
                <w:b/>
                <w:bCs/>
                <w:sz w:val="21"/>
                <w:szCs w:val="21"/>
                <w:highlight w:val="none"/>
              </w:rPr>
              <w:t>呼吸末二氧化碳：</w:t>
            </w:r>
          </w:p>
          <w:p w14:paraId="43C078F5">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1.可选主流和旁流二氧化碳模块</w:t>
            </w:r>
          </w:p>
          <w:p w14:paraId="2FF63C96">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2.旁流二氧化碳监测范围：包括但不限于0-190mmHg</w:t>
            </w:r>
          </w:p>
          <w:p w14:paraId="590A6CD2">
            <w:pPr>
              <w:pStyle w:val="21"/>
              <w:spacing w:before="0" w:line="360" w:lineRule="auto"/>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九、</w:t>
            </w:r>
            <w:r>
              <w:rPr>
                <w:rFonts w:hint="eastAsia" w:ascii="宋体" w:hAnsi="宋体" w:eastAsia="宋体" w:cs="宋体"/>
                <w:b/>
                <w:bCs/>
                <w:sz w:val="21"/>
                <w:szCs w:val="21"/>
                <w:highlight w:val="none"/>
              </w:rPr>
              <w:t>打印机</w:t>
            </w:r>
          </w:p>
          <w:p w14:paraId="6B7530AE">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1.配置50mm热敏打印机，可同时输出不少于3道波形</w:t>
            </w:r>
          </w:p>
          <w:p w14:paraId="68E00745">
            <w:pPr>
              <w:pStyle w:val="21"/>
              <w:spacing w:before="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2.实时记录时间有3s、5s、8s、16s、32s、连续</w:t>
            </w:r>
          </w:p>
          <w:p w14:paraId="3938C79E">
            <w:pPr>
              <w:pStyle w:val="126"/>
              <w:spacing w:line="360" w:lineRule="auto"/>
              <w:ind w:left="0" w:leftChars="0" w:firstLine="420" w:firstLineChars="200"/>
              <w:jc w:val="left"/>
              <w:rPr>
                <w:rFonts w:hint="eastAsia" w:ascii="宋体" w:hAnsi="宋体" w:eastAsia="仿宋" w:cs="宋体"/>
                <w:b w:val="0"/>
                <w:bCs w:val="0"/>
                <w:color w:val="auto"/>
                <w:szCs w:val="21"/>
                <w:highlight w:val="none"/>
                <w:lang w:eastAsia="zh-CN"/>
              </w:rPr>
            </w:pPr>
            <w:r>
              <w:rPr>
                <w:rFonts w:hint="eastAsia" w:ascii="宋体" w:hAnsi="宋体" w:eastAsia="宋体" w:cs="宋体"/>
                <w:szCs w:val="21"/>
                <w:highlight w:val="none"/>
              </w:rPr>
              <w:t xml:space="preserve"> 3.打印内容包括：趋势回顾、全息波形、充电事件、自检结果、自检记录、用户事件等</w:t>
            </w:r>
            <w:r>
              <w:rPr>
                <w:rFonts w:hint="eastAsia" w:ascii="宋体" w:hAnsi="宋体" w:eastAsia="宋体" w:cs="宋体"/>
                <w:szCs w:val="21"/>
                <w:highlight w:val="none"/>
                <w:lang w:eastAsia="zh-CN"/>
              </w:rPr>
              <w:t>。</w:t>
            </w:r>
          </w:p>
        </w:tc>
        <w:tc>
          <w:tcPr>
            <w:tcW w:w="1134" w:type="dxa"/>
            <w:vAlign w:val="center"/>
          </w:tcPr>
          <w:p w14:paraId="62713556">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47000</w:t>
            </w:r>
          </w:p>
        </w:tc>
        <w:tc>
          <w:tcPr>
            <w:tcW w:w="1275" w:type="dxa"/>
            <w:vAlign w:val="center"/>
          </w:tcPr>
          <w:p w14:paraId="50215B70">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47000</w:t>
            </w:r>
          </w:p>
        </w:tc>
      </w:tr>
      <w:tr w14:paraId="7437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625D43BB">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w:t>
            </w:r>
          </w:p>
        </w:tc>
        <w:tc>
          <w:tcPr>
            <w:tcW w:w="1387" w:type="dxa"/>
            <w:vAlign w:val="center"/>
          </w:tcPr>
          <w:p w14:paraId="65FBFAD4">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新生儿心电监护仪</w:t>
            </w:r>
          </w:p>
        </w:tc>
        <w:tc>
          <w:tcPr>
            <w:tcW w:w="728" w:type="dxa"/>
            <w:vAlign w:val="center"/>
          </w:tcPr>
          <w:p w14:paraId="44654813">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7B49A1EC">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台</w:t>
            </w:r>
          </w:p>
        </w:tc>
        <w:tc>
          <w:tcPr>
            <w:tcW w:w="4775" w:type="dxa"/>
            <w:vAlign w:val="center"/>
          </w:tcPr>
          <w:p w14:paraId="098998F4">
            <w:pPr>
              <w:autoSpaceDE/>
              <w:autoSpaceDN/>
              <w:adjustRightInd w:val="0"/>
              <w:spacing w:line="360" w:lineRule="auto"/>
              <w:ind w:firstLine="420" w:firstLineChars="200"/>
              <w:jc w:val="left"/>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1</w:t>
            </w:r>
            <w:r>
              <w:rPr>
                <w:rFonts w:hint="eastAsia" w:ascii="宋体" w:hAnsi="宋体" w:eastAsia="宋体" w:cs="宋体"/>
                <w:b w:val="0"/>
                <w:bCs/>
                <w:kern w:val="0"/>
                <w:sz w:val="21"/>
                <w:szCs w:val="21"/>
                <w:highlight w:val="none"/>
                <w:lang w:val="en-US" w:eastAsia="zh-CN"/>
              </w:rPr>
              <w:t>.</w:t>
            </w:r>
            <w:r>
              <w:rPr>
                <w:rFonts w:hint="eastAsia" w:ascii="宋体" w:hAnsi="宋体" w:eastAsia="宋体" w:cs="宋体"/>
                <w:b w:val="0"/>
                <w:bCs/>
                <w:kern w:val="0"/>
                <w:sz w:val="21"/>
                <w:szCs w:val="21"/>
                <w:highlight w:val="none"/>
              </w:rPr>
              <w:t>整机要求：</w:t>
            </w:r>
          </w:p>
          <w:p w14:paraId="0C66054D">
            <w:pPr>
              <w:numPr>
                <w:ilvl w:val="1"/>
                <w:numId w:val="0"/>
              </w:numPr>
              <w:autoSpaceDE/>
              <w:autoSpaceDN/>
              <w:adjustRightInd w:val="0"/>
              <w:spacing w:line="360" w:lineRule="auto"/>
              <w:ind w:firstLine="420" w:firstLineChars="200"/>
              <w:jc w:val="left"/>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kern w:val="2"/>
                <w:sz w:val="21"/>
                <w:szCs w:val="21"/>
                <w:highlight w:val="none"/>
                <w:lang w:val="en-US" w:eastAsia="zh-CN" w:bidi="ar-SA"/>
              </w:rPr>
              <w:t xml:space="preserve">1.1 </w:t>
            </w:r>
            <w:r>
              <w:rPr>
                <w:rFonts w:hint="eastAsia" w:ascii="宋体" w:hAnsi="宋体" w:eastAsia="宋体" w:cs="宋体"/>
                <w:b w:val="0"/>
                <w:bCs/>
                <w:sz w:val="21"/>
                <w:szCs w:val="21"/>
                <w:highlight w:val="none"/>
              </w:rPr>
              <w:t>≥1</w:t>
            </w:r>
            <w:r>
              <w:rPr>
                <w:rFonts w:hint="eastAsia" w:ascii="宋体" w:hAnsi="宋体" w:eastAsia="宋体" w:cs="宋体"/>
                <w:b w:val="0"/>
                <w:bCs/>
                <w:sz w:val="21"/>
                <w:szCs w:val="21"/>
                <w:highlight w:val="none"/>
                <w:lang w:val="en-US" w:eastAsia="zh-CN"/>
              </w:rPr>
              <w:t>2</w:t>
            </w:r>
            <w:r>
              <w:rPr>
                <w:rFonts w:hint="eastAsia" w:ascii="宋体" w:hAnsi="宋体" w:eastAsia="宋体" w:cs="宋体"/>
                <w:b w:val="0"/>
                <w:bCs/>
                <w:sz w:val="21"/>
                <w:szCs w:val="21"/>
                <w:highlight w:val="none"/>
              </w:rPr>
              <w:t>.1英寸彩色液晶触摸屏，屏幕采用最新电容屏非电阻屏，</w:t>
            </w:r>
            <w:r>
              <w:rPr>
                <w:rFonts w:hint="eastAsia" w:ascii="宋体" w:hAnsi="宋体" w:eastAsia="宋体" w:cs="宋体"/>
                <w:b w:val="0"/>
                <w:bCs/>
                <w:color w:val="000000" w:themeColor="text1"/>
                <w:sz w:val="21"/>
                <w:szCs w:val="21"/>
                <w:highlight w:val="none"/>
                <w14:textFill>
                  <w14:solidFill>
                    <w14:schemeClr w14:val="tx1"/>
                  </w14:solidFill>
                </w14:textFill>
              </w:rPr>
              <w:t>分辨率</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000000" w:themeColor="text1"/>
                <w:sz w:val="21"/>
                <w:szCs w:val="21"/>
                <w:highlight w:val="none"/>
                <w14:textFill>
                  <w14:solidFill>
                    <w14:schemeClr w14:val="tx1"/>
                  </w14:solidFill>
                </w14:textFill>
              </w:rPr>
              <w:t>1280×800像素</w:t>
            </w:r>
            <w:r>
              <w:rPr>
                <w:rFonts w:hint="eastAsia" w:ascii="宋体" w:hAnsi="宋体" w:eastAsia="宋体" w:cs="宋体"/>
                <w:b w:val="0"/>
                <w:bCs/>
                <w:sz w:val="21"/>
                <w:szCs w:val="21"/>
                <w:highlight w:val="none"/>
              </w:rPr>
              <w:t>，</w:t>
            </w:r>
            <w:r>
              <w:rPr>
                <w:rFonts w:hint="eastAsia" w:ascii="宋体" w:hAnsi="宋体" w:eastAsia="宋体" w:cs="宋体"/>
                <w:b w:val="0"/>
                <w:bCs w:val="0"/>
                <w:color w:val="000000"/>
                <w:sz w:val="21"/>
                <w:szCs w:val="21"/>
                <w:highlight w:val="none"/>
              </w:rPr>
              <w:t>块化监护仪，主机集成内置</w:t>
            </w:r>
            <w:r>
              <w:rPr>
                <w:rFonts w:hint="eastAsia" w:ascii="宋体" w:hAnsi="宋体" w:eastAsia="宋体" w:cs="宋体"/>
                <w:b w:val="0"/>
                <w:bCs w:val="0"/>
                <w:color w:val="000000"/>
                <w:sz w:val="21"/>
                <w:szCs w:val="21"/>
                <w:highlight w:val="none"/>
                <w:lang w:val="en-US" w:eastAsia="zh-CN"/>
              </w:rPr>
              <w:t>至少</w:t>
            </w:r>
            <w:r>
              <w:rPr>
                <w:rFonts w:hint="eastAsia" w:ascii="宋体" w:hAnsi="宋体" w:eastAsia="宋体" w:cs="宋体"/>
                <w:b w:val="0"/>
                <w:bCs w:val="0"/>
                <w:color w:val="000000"/>
                <w:sz w:val="21"/>
                <w:szCs w:val="21"/>
                <w:highlight w:val="none"/>
              </w:rPr>
              <w:t>2槽位插件槽。</w:t>
            </w:r>
          </w:p>
          <w:p w14:paraId="5C6CA041">
            <w:pPr>
              <w:numPr>
                <w:ilvl w:val="0"/>
                <w:numId w:val="0"/>
              </w:num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1.2</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显示屏可支持亮度自动调节功能，屏幕倾斜</w:t>
            </w:r>
            <w:r>
              <w:rPr>
                <w:rFonts w:hint="eastAsia" w:ascii="宋体" w:hAnsi="宋体" w:eastAsia="宋体" w:cs="宋体"/>
                <w:b w:val="0"/>
                <w:bCs/>
                <w:sz w:val="21"/>
                <w:szCs w:val="21"/>
                <w:highlight w:val="none"/>
                <w:lang w:val="en-US" w:eastAsia="zh-CN"/>
              </w:rPr>
              <w:t>不限于</w:t>
            </w:r>
            <w:r>
              <w:rPr>
                <w:rFonts w:hint="eastAsia" w:ascii="宋体" w:hAnsi="宋体" w:eastAsia="宋体" w:cs="宋体"/>
                <w:b w:val="0"/>
                <w:bCs/>
                <w:sz w:val="21"/>
                <w:szCs w:val="21"/>
                <w:highlight w:val="none"/>
              </w:rPr>
              <w:t>10～15度设计，符合人机工程学，便于临床团队观察和操作。</w:t>
            </w:r>
          </w:p>
          <w:p w14:paraId="6E2A48CE">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1.3</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可支持遥控器无线远程操作监护仪。</w:t>
            </w:r>
          </w:p>
          <w:p w14:paraId="380C74D9">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1.4</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内置</w:t>
            </w:r>
            <w:r>
              <w:rPr>
                <w:rFonts w:hint="eastAsia" w:ascii="宋体" w:hAnsi="宋体" w:eastAsia="宋体" w:cs="宋体"/>
                <w:b w:val="0"/>
                <w:bCs/>
                <w:sz w:val="21"/>
                <w:szCs w:val="21"/>
                <w:highlight w:val="none"/>
                <w:lang w:val="en-US" w:eastAsia="zh-CN"/>
              </w:rPr>
              <w:t>高性能</w:t>
            </w:r>
            <w:r>
              <w:rPr>
                <w:rFonts w:hint="eastAsia" w:ascii="宋体" w:hAnsi="宋体" w:eastAsia="宋体" w:cs="宋体"/>
                <w:b w:val="0"/>
                <w:bCs/>
                <w:sz w:val="21"/>
                <w:szCs w:val="21"/>
                <w:highlight w:val="none"/>
              </w:rPr>
              <w:t>锂电池，</w:t>
            </w:r>
            <w:r>
              <w:rPr>
                <w:rFonts w:hint="eastAsia" w:ascii="宋体" w:hAnsi="宋体" w:eastAsia="宋体" w:cs="宋体"/>
                <w:b w:val="0"/>
                <w:bCs/>
                <w:color w:val="auto"/>
                <w:sz w:val="21"/>
                <w:szCs w:val="21"/>
                <w:highlight w:val="none"/>
                <w:lang w:val="en-US" w:eastAsia="zh-CN"/>
              </w:rPr>
              <w:t>工作时间≥6小时，</w:t>
            </w:r>
            <w:r>
              <w:rPr>
                <w:rFonts w:hint="eastAsia" w:ascii="宋体" w:hAnsi="宋体" w:eastAsia="宋体" w:cs="宋体"/>
                <w:b w:val="0"/>
                <w:bCs/>
                <w:sz w:val="21"/>
                <w:szCs w:val="21"/>
                <w:highlight w:val="none"/>
              </w:rPr>
              <w:t>插槽式设计，无需螺丝刀工具支持快速拆卸和安装。</w:t>
            </w:r>
          </w:p>
          <w:p w14:paraId="116DD0D6">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1.5</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安全规格：ECG, TEMP, IBP, SpO2 , NIBP监测参数抗电击程度为防除颤CF型。</w:t>
            </w:r>
          </w:p>
          <w:p w14:paraId="2F9A2432">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1.6</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监护仪设计使用年限≥</w:t>
            </w:r>
            <w:r>
              <w:rPr>
                <w:rFonts w:hint="eastAsia" w:ascii="宋体" w:hAnsi="宋体" w:eastAsia="宋体" w:cs="宋体"/>
                <w:b w:val="0"/>
                <w:bCs/>
                <w:sz w:val="21"/>
                <w:szCs w:val="21"/>
                <w:highlight w:val="none"/>
                <w:lang w:val="en-US" w:eastAsia="zh-CN"/>
              </w:rPr>
              <w:t>10</w:t>
            </w:r>
            <w:r>
              <w:rPr>
                <w:rFonts w:hint="eastAsia" w:ascii="宋体" w:hAnsi="宋体" w:eastAsia="宋体" w:cs="宋体"/>
                <w:b w:val="0"/>
                <w:bCs/>
                <w:sz w:val="21"/>
                <w:szCs w:val="21"/>
                <w:highlight w:val="none"/>
              </w:rPr>
              <w:t>年。</w:t>
            </w:r>
          </w:p>
          <w:p w14:paraId="0AC4536E">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1.7</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监护仪清洁维护支持的清洁剂≥4</w:t>
            </w:r>
            <w:r>
              <w:rPr>
                <w:rFonts w:hint="eastAsia" w:ascii="宋体"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rPr>
              <w:t>种。</w:t>
            </w:r>
          </w:p>
          <w:p w14:paraId="40E9086F">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1.8</w:t>
            </w:r>
            <w:r>
              <w:rPr>
                <w:rFonts w:hint="eastAsia" w:ascii="宋体" w:hAnsi="宋体" w:eastAsia="宋体" w:cs="宋体"/>
                <w:b w:val="0"/>
                <w:bCs/>
                <w:sz w:val="21"/>
                <w:szCs w:val="21"/>
                <w:highlight w:val="none"/>
                <w:lang w:eastAsia="zh-CN"/>
              </w:rPr>
              <w:t xml:space="preserve"> </w:t>
            </w:r>
            <w:r>
              <w:rPr>
                <w:rFonts w:hint="eastAsia" w:ascii="宋体" w:hAnsi="宋体" w:eastAsia="宋体" w:cs="宋体"/>
                <w:b w:val="0"/>
                <w:bCs/>
                <w:sz w:val="21"/>
                <w:szCs w:val="21"/>
                <w:highlight w:val="none"/>
              </w:rPr>
              <w:t>监护仪主机工作大气压环境范围：</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rPr>
              <w:t>57.0～107.4kPa，监护仪主机工作温度环境范围：</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rPr>
              <w:t>0～40°C，监护仪主机工作湿度环境范围；15～95%。</w:t>
            </w:r>
          </w:p>
          <w:p w14:paraId="4E2D0A65">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1.9</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防水等级≥IPX2</w:t>
            </w:r>
            <w:r>
              <w:rPr>
                <w:rFonts w:hint="eastAsia" w:ascii="宋体" w:hAnsi="宋体" w:eastAsia="宋体" w:cs="宋体"/>
                <w:b w:val="0"/>
                <w:bCs/>
                <w:sz w:val="21"/>
                <w:szCs w:val="21"/>
                <w:highlight w:val="none"/>
                <w:lang w:eastAsia="zh-CN"/>
              </w:rPr>
              <w:t>。</w:t>
            </w:r>
          </w:p>
          <w:p w14:paraId="6081CFE4">
            <w:pPr>
              <w:wordWrap w:val="0"/>
              <w:topLinePunct/>
              <w:autoSpaceDE/>
              <w:autoSpaceDN/>
              <w:adjustRightInd w:val="0"/>
              <w:spacing w:line="360" w:lineRule="auto"/>
              <w:ind w:firstLine="420" w:firstLineChars="200"/>
              <w:jc w:val="left"/>
              <w:rPr>
                <w:rFonts w:hint="eastAsia" w:ascii="宋体" w:hAnsi="宋体" w:eastAsia="宋体" w:cs="宋体"/>
                <w:b w:val="0"/>
                <w:bCs/>
                <w:kern w:val="0"/>
                <w:sz w:val="21"/>
                <w:szCs w:val="21"/>
                <w:highlight w:val="none"/>
              </w:rPr>
            </w:pPr>
            <w:r>
              <w:rPr>
                <w:rFonts w:hint="eastAsia" w:ascii="宋体" w:hAnsi="宋体" w:eastAsia="宋体" w:cs="宋体"/>
                <w:b w:val="0"/>
                <w:bCs/>
                <w:sz w:val="21"/>
                <w:szCs w:val="21"/>
                <w:highlight w:val="none"/>
              </w:rPr>
              <w:t>1.10</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整机抗跌落设计通过</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rPr>
              <w:t>0.75米6面跌落测试。</w:t>
            </w:r>
          </w:p>
          <w:p w14:paraId="21ABD5BC">
            <w:pPr>
              <w:autoSpaceDE/>
              <w:autoSpaceDN/>
              <w:adjustRightInd w:val="0"/>
              <w:spacing w:line="360" w:lineRule="auto"/>
              <w:ind w:firstLine="420" w:firstLineChars="200"/>
              <w:jc w:val="left"/>
              <w:rPr>
                <w:rFonts w:hint="eastAsia" w:ascii="宋体" w:hAnsi="宋体" w:eastAsia="宋体" w:cs="宋体"/>
                <w:b w:val="0"/>
                <w:bCs/>
                <w:kern w:val="0"/>
                <w:sz w:val="21"/>
                <w:szCs w:val="21"/>
                <w:highlight w:val="none"/>
              </w:rPr>
            </w:pPr>
            <w:r>
              <w:rPr>
                <w:rFonts w:hint="eastAsia" w:ascii="宋体" w:hAnsi="宋体" w:eastAsia="宋体" w:cs="宋体"/>
                <w:b w:val="0"/>
                <w:bCs/>
                <w:kern w:val="0"/>
                <w:sz w:val="21"/>
                <w:szCs w:val="21"/>
                <w:highlight w:val="none"/>
              </w:rPr>
              <w:t>2</w:t>
            </w:r>
            <w:r>
              <w:rPr>
                <w:rFonts w:hint="eastAsia" w:ascii="宋体" w:hAnsi="宋体" w:eastAsia="宋体" w:cs="宋体"/>
                <w:b w:val="0"/>
                <w:bCs/>
                <w:kern w:val="0"/>
                <w:sz w:val="21"/>
                <w:szCs w:val="21"/>
                <w:highlight w:val="none"/>
                <w:lang w:val="en-US" w:eastAsia="zh-CN"/>
              </w:rPr>
              <w:t>.</w:t>
            </w:r>
            <w:r>
              <w:rPr>
                <w:rFonts w:hint="eastAsia" w:ascii="宋体" w:hAnsi="宋体" w:eastAsia="宋体" w:cs="宋体"/>
                <w:b w:val="0"/>
                <w:bCs/>
                <w:kern w:val="0"/>
                <w:sz w:val="21"/>
                <w:szCs w:val="21"/>
                <w:highlight w:val="none"/>
              </w:rPr>
              <w:t>监测参数：</w:t>
            </w:r>
          </w:p>
          <w:p w14:paraId="3F306A24">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2.1</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配置3/5导心电，呼吸，无创血压，血氧饱和度，脉搏和双通道体温参数监测</w:t>
            </w:r>
          </w:p>
          <w:p w14:paraId="2655999F">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2.2</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心电监护支持心率，ST段测量，心律失常分析，QT/QTc连续实时测量和对应报警功能，</w:t>
            </w:r>
            <w:r>
              <w:rPr>
                <w:rFonts w:hint="eastAsia" w:ascii="宋体" w:hAnsi="宋体" w:eastAsia="宋体" w:cs="宋体"/>
                <w:b w:val="0"/>
                <w:bCs/>
                <w:sz w:val="21"/>
                <w:szCs w:val="21"/>
                <w:highlight w:val="none"/>
              </w:rPr>
              <w:t>心电算法通过数据库验证，心</w:t>
            </w:r>
            <w:r>
              <w:rPr>
                <w:rFonts w:hint="eastAsia" w:ascii="宋体" w:hAnsi="宋体" w:eastAsia="宋体" w:cs="宋体"/>
                <w:b w:val="0"/>
                <w:bCs/>
                <w:sz w:val="21"/>
                <w:szCs w:val="21"/>
                <w:highlight w:val="none"/>
              </w:rPr>
              <w:t>电波形扫描速度支持</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rPr>
              <w:t>6.25mm/s、12.5 mm/s、25 mm/s和50 mm/s，提供窗口支持心脏下壁，侧壁和前壁对应多个ST片段的同屏实时显示，提供参考片段和实时片段的对比查看。</w:t>
            </w:r>
          </w:p>
          <w:p w14:paraId="421D2A0C">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2.3</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支持≥2</w:t>
            </w:r>
            <w:r>
              <w:rPr>
                <w:rFonts w:hint="eastAsia" w:ascii="宋体" w:hAnsi="宋体" w:eastAsia="宋体" w:cs="宋体"/>
                <w:b w:val="0"/>
                <w:bCs/>
                <w:sz w:val="21"/>
                <w:szCs w:val="21"/>
                <w:highlight w:val="none"/>
                <w:lang w:val="en-US" w:eastAsia="zh-CN"/>
              </w:rPr>
              <w:t>9</w:t>
            </w:r>
            <w:r>
              <w:rPr>
                <w:rFonts w:hint="eastAsia" w:ascii="宋体" w:hAnsi="宋体" w:eastAsia="宋体" w:cs="宋体"/>
                <w:b w:val="0"/>
                <w:bCs/>
                <w:sz w:val="21"/>
                <w:szCs w:val="21"/>
                <w:highlight w:val="none"/>
              </w:rPr>
              <w:t>种心律失常分析,包括房颤分析。</w:t>
            </w:r>
          </w:p>
          <w:p w14:paraId="106A72E4">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2.4</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QT和QTc实时监测参数测量范围：</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rPr>
              <w:t>200～800 ms。</w:t>
            </w:r>
          </w:p>
          <w:p w14:paraId="37E44D65">
            <w:pPr>
              <w:wordWrap w:val="0"/>
              <w:topLinePunct/>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2.5</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支持升级提供过去≥24小时心电概览报告查看与打印，包括心率统计结果，心律失常统计结果，ST统计和QT/QTc统计结果。</w:t>
            </w:r>
          </w:p>
          <w:p w14:paraId="1A9350D8">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2.6</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提供SpO2,PR和PI参数的实时监测，适用于成人，小儿和新生儿。</w:t>
            </w:r>
          </w:p>
          <w:p w14:paraId="5F6D7A42">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b w:val="0"/>
                <w:bCs/>
                <w:sz w:val="21"/>
                <w:szCs w:val="21"/>
                <w:highlight w:val="none"/>
              </w:rPr>
              <w:t>2.7</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支持指套式血氧探头，</w:t>
            </w:r>
            <w:r>
              <w:rPr>
                <w:rFonts w:hint="eastAsia" w:ascii="宋体" w:hAnsi="宋体" w:eastAsia="宋体" w:cs="宋体"/>
                <w:b w:val="0"/>
                <w:bCs/>
                <w:sz w:val="21"/>
                <w:szCs w:val="21"/>
                <w:highlight w:val="none"/>
              </w:rPr>
              <w:t>IPX7防水等级，</w:t>
            </w:r>
            <w:r>
              <w:rPr>
                <w:rFonts w:hint="eastAsia" w:ascii="宋体" w:hAnsi="宋体" w:eastAsia="宋体" w:cs="宋体"/>
                <w:b w:val="0"/>
                <w:bCs/>
                <w:sz w:val="21"/>
                <w:szCs w:val="21"/>
                <w:highlight w:val="none"/>
              </w:rPr>
              <w:t>支持液体浸泡消毒和清洁。</w:t>
            </w:r>
          </w:p>
          <w:p w14:paraId="5487FF93">
            <w:pPr>
              <w:wordWrap w:val="0"/>
              <w:topLinePunct/>
              <w:autoSpaceDE/>
              <w:autoSpaceDN/>
              <w:adjustRightInd/>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2.8</w:t>
            </w:r>
            <w:r>
              <w:rPr>
                <w:rFonts w:hint="eastAsia" w:ascii="宋体" w:hAnsi="宋体" w:eastAsia="宋体" w:cs="宋体"/>
                <w:b w:val="0"/>
                <w:bCs/>
                <w:color w:val="auto"/>
                <w:sz w:val="21"/>
                <w:szCs w:val="21"/>
                <w:highlight w:val="none"/>
                <w:lang w:val="en-US" w:eastAsia="zh-CN"/>
              </w:rPr>
              <w:t xml:space="preserve"> </w:t>
            </w:r>
            <w:r>
              <w:rPr>
                <w:rFonts w:hint="eastAsia" w:ascii="宋体" w:hAnsi="宋体" w:eastAsia="宋体" w:cs="宋体"/>
                <w:b w:val="0"/>
                <w:bCs/>
                <w:color w:val="auto"/>
                <w:sz w:val="21"/>
                <w:szCs w:val="21"/>
                <w:highlight w:val="none"/>
              </w:rPr>
              <w:t>配置无创血压测量，适用于成人，小儿和新生儿，提供手动，自动，连续和序列、整点</w:t>
            </w:r>
            <w:r>
              <w:rPr>
                <w:rFonts w:hint="eastAsia" w:ascii="宋体" w:hAnsi="宋体" w:eastAsia="宋体" w:cs="宋体"/>
                <w:b w:val="0"/>
                <w:bCs/>
                <w:sz w:val="21"/>
                <w:szCs w:val="21"/>
                <w:highlight w:val="none"/>
              </w:rPr>
              <w:t>≥</w:t>
            </w:r>
            <w:r>
              <w:rPr>
                <w:rFonts w:hint="eastAsia" w:ascii="宋体" w:hAnsi="宋体" w:eastAsia="宋体" w:cs="宋体"/>
                <w:b w:val="0"/>
                <w:bCs/>
                <w:color w:val="auto"/>
                <w:sz w:val="21"/>
                <w:szCs w:val="21"/>
                <w:highlight w:val="none"/>
              </w:rPr>
              <w:t>5种测量模式，并提供动态血压分析</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可以直观地了解病人在</w:t>
            </w:r>
            <w:r>
              <w:rPr>
                <w:rFonts w:hint="eastAsia" w:ascii="宋体" w:hAnsi="宋体" w:eastAsia="宋体" w:cs="宋体"/>
                <w:b w:val="0"/>
                <w:bCs/>
                <w:sz w:val="21"/>
                <w:szCs w:val="21"/>
                <w:highlight w:val="none"/>
              </w:rPr>
              <w:t>≥</w:t>
            </w:r>
            <w:r>
              <w:rPr>
                <w:rFonts w:hint="eastAsia" w:ascii="宋体" w:hAnsi="宋体" w:eastAsia="宋体" w:cs="宋体"/>
                <w:b w:val="0"/>
                <w:bCs/>
                <w:color w:val="auto"/>
                <w:sz w:val="21"/>
                <w:szCs w:val="21"/>
                <w:highlight w:val="none"/>
                <w:lang w:val="en-US" w:eastAsia="zh-CN"/>
              </w:rPr>
              <w:t>24小时</w:t>
            </w:r>
            <w:r>
              <w:rPr>
                <w:rFonts w:hint="eastAsia" w:ascii="宋体" w:hAnsi="宋体" w:eastAsia="宋体" w:cs="宋体"/>
                <w:b w:val="0"/>
                <w:bCs/>
                <w:color w:val="auto"/>
                <w:sz w:val="21"/>
                <w:szCs w:val="21"/>
                <w:highlight w:val="none"/>
              </w:rPr>
              <w:t>内的血压变化和分布情况</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满足临床应用，无创血压成人测量范围：收缩压</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color w:val="auto"/>
                <w:sz w:val="21"/>
                <w:szCs w:val="21"/>
                <w:highlight w:val="none"/>
              </w:rPr>
              <w:t>25～290mmHg，舒张压</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color w:val="auto"/>
                <w:sz w:val="21"/>
                <w:szCs w:val="21"/>
                <w:highlight w:val="none"/>
              </w:rPr>
              <w:t>10～250mmHg，平均压</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color w:val="auto"/>
                <w:sz w:val="21"/>
                <w:szCs w:val="21"/>
                <w:highlight w:val="none"/>
              </w:rPr>
              <w:t>15～260mmHg。</w:t>
            </w:r>
          </w:p>
          <w:p w14:paraId="46BEA77C">
            <w:pPr>
              <w:autoSpaceDE/>
              <w:autoSpaceDN/>
              <w:adjustRightIn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w:t>
            </w:r>
            <w:r>
              <w:rPr>
                <w:rFonts w:hint="eastAsia" w:ascii="宋体" w:hAnsi="宋体" w:eastAsia="宋体" w:cs="宋体"/>
                <w:b w:val="0"/>
                <w:bCs/>
                <w:color w:val="auto"/>
                <w:sz w:val="21"/>
                <w:szCs w:val="21"/>
                <w:highlight w:val="none"/>
                <w:lang w:val="en-US" w:eastAsia="zh-CN"/>
              </w:rPr>
              <w:t xml:space="preserve">9 </w:t>
            </w:r>
            <w:r>
              <w:rPr>
                <w:rFonts w:hint="eastAsia" w:ascii="宋体" w:hAnsi="宋体" w:eastAsia="宋体" w:cs="宋体"/>
                <w:b w:val="0"/>
                <w:bCs/>
                <w:color w:val="auto"/>
                <w:sz w:val="21"/>
                <w:szCs w:val="21"/>
                <w:highlight w:val="none"/>
              </w:rPr>
              <w:t>提供辅助静脉穿刺功能。</w:t>
            </w:r>
          </w:p>
          <w:p w14:paraId="432FE628">
            <w:p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w:t>
            </w:r>
            <w:r>
              <w:rPr>
                <w:rFonts w:hint="eastAsia" w:ascii="宋体" w:hAnsi="宋体" w:eastAsia="宋体" w:cs="宋体"/>
                <w:b w:val="0"/>
                <w:bCs/>
                <w:sz w:val="21"/>
                <w:szCs w:val="21"/>
                <w:highlight w:val="none"/>
                <w:lang w:val="en-US" w:eastAsia="zh-CN"/>
              </w:rPr>
              <w:t xml:space="preserve">10 </w:t>
            </w:r>
            <w:r>
              <w:rPr>
                <w:rFonts w:hint="eastAsia" w:ascii="宋体" w:hAnsi="宋体" w:eastAsia="宋体" w:cs="宋体"/>
                <w:b w:val="0"/>
                <w:bCs/>
                <w:sz w:val="21"/>
                <w:szCs w:val="21"/>
                <w:highlight w:val="none"/>
              </w:rPr>
              <w:t>提供双通道体温和温差参数的监测</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并可根据需要更改体温通道标名。</w:t>
            </w:r>
          </w:p>
          <w:p w14:paraId="17AA536B">
            <w:pPr>
              <w:autoSpaceDE/>
              <w:autoSpaceDN/>
              <w:adjustRightInd w:val="0"/>
              <w:spacing w:line="360" w:lineRule="auto"/>
              <w:ind w:firstLine="420" w:firstLineChars="200"/>
              <w:jc w:val="left"/>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2.11 心电波形基线恢复时间＜5秒，呼吸波形、无创血压波形、血氧饱和度波形除颤恢复时间≤15秒</w:t>
            </w:r>
          </w:p>
          <w:p w14:paraId="747E070B">
            <w:pPr>
              <w:pStyle w:val="126"/>
              <w:numPr>
                <w:ilvl w:val="0"/>
                <w:numId w:val="0"/>
              </w:numPr>
              <w:autoSpaceDE/>
              <w:autoSpaceDN/>
              <w:adjustRightIn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2.12 可升级旁流呼吸末二氧化碳，监测采样可选择</w:t>
            </w:r>
            <w:r>
              <w:rPr>
                <w:rFonts w:hint="eastAsia" w:ascii="宋体" w:hAnsi="宋体" w:eastAsia="宋体" w:cs="宋体"/>
                <w:color w:val="000000"/>
                <w:kern w:val="0"/>
                <w:sz w:val="21"/>
                <w:szCs w:val="21"/>
                <w:highlight w:val="none"/>
                <w:lang w:val="en-US" w:eastAsia="zh-CN" w:bidi="ar"/>
              </w:rPr>
              <w:t>包括但不限于</w:t>
            </w:r>
            <w:r>
              <w:rPr>
                <w:rFonts w:hint="eastAsia" w:ascii="宋体" w:hAnsi="宋体" w:eastAsia="宋体" w:cs="宋体"/>
                <w:b w:val="0"/>
                <w:bCs/>
                <w:sz w:val="21"/>
                <w:szCs w:val="21"/>
                <w:highlight w:val="none"/>
                <w:lang w:val="en-US" w:eastAsia="zh-CN"/>
              </w:rPr>
              <w:t>120ml/min；90ml/min；70ml/min三种速率。</w:t>
            </w:r>
          </w:p>
          <w:p w14:paraId="4FB84515">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w:t>
            </w:r>
            <w:r>
              <w:rPr>
                <w:rFonts w:hint="eastAsia" w:ascii="宋体" w:hAnsi="宋体" w:eastAsia="宋体" w:cs="宋体"/>
                <w:b w:val="0"/>
                <w:bCs/>
                <w:sz w:val="21"/>
                <w:szCs w:val="21"/>
                <w:highlight w:val="none"/>
                <w:lang w:val="en-US" w:eastAsia="zh-CN"/>
              </w:rPr>
              <w:t>.</w:t>
            </w:r>
            <w:r>
              <w:rPr>
                <w:rFonts w:hint="eastAsia" w:ascii="宋体" w:hAnsi="宋体" w:eastAsia="宋体" w:cs="宋体"/>
                <w:b w:val="0"/>
                <w:bCs/>
                <w:sz w:val="21"/>
                <w:szCs w:val="21"/>
                <w:highlight w:val="none"/>
              </w:rPr>
              <w:t>系统功能：</w:t>
            </w:r>
          </w:p>
          <w:p w14:paraId="5BDECA28">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支持所有监测参数报警限一键自动设置功能，满足医护团队快速管理患者报警需求，产品用户手册提供报警限自动设置规则。</w:t>
            </w:r>
          </w:p>
          <w:p w14:paraId="5C3F3102">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3.2</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支持肾功能计算功能。</w:t>
            </w:r>
          </w:p>
          <w:p w14:paraId="353822FF">
            <w:pPr>
              <w:spacing w:line="360" w:lineRule="auto"/>
              <w:ind w:right="42" w:rightChars="20"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sz w:val="21"/>
                <w:szCs w:val="21"/>
                <w:highlight w:val="none"/>
              </w:rPr>
              <w:t>3.3</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具有图形化技术报警指示功能，帮助医护团队快速识别报警来源。</w:t>
            </w:r>
          </w:p>
          <w:p w14:paraId="07D19ED7">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3.4</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支持≥120小时趋势图和趋势表回顾，支持选择不同趋势组回顾</w:t>
            </w:r>
            <w:r>
              <w:rPr>
                <w:rFonts w:hint="eastAsia" w:ascii="宋体" w:hAnsi="宋体" w:eastAsia="宋体" w:cs="宋体"/>
                <w:b w:val="0"/>
                <w:bCs/>
                <w:sz w:val="21"/>
                <w:szCs w:val="21"/>
                <w:highlight w:val="none"/>
                <w:lang w:eastAsia="zh-CN"/>
              </w:rPr>
              <w:t>。</w:t>
            </w:r>
          </w:p>
          <w:p w14:paraId="133CA000">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3.5</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≥1000条事件回顾。每条报警事件至少能够存储32秒三道相关波形，以及报警触发时所有测量参数值</w:t>
            </w:r>
            <w:r>
              <w:rPr>
                <w:rFonts w:hint="eastAsia" w:ascii="宋体" w:hAnsi="宋体" w:eastAsia="宋体" w:cs="宋体"/>
                <w:b w:val="0"/>
                <w:bCs/>
                <w:sz w:val="21"/>
                <w:szCs w:val="21"/>
                <w:highlight w:val="none"/>
                <w:lang w:eastAsia="zh-CN"/>
              </w:rPr>
              <w:t>。</w:t>
            </w:r>
          </w:p>
          <w:p w14:paraId="2DBBAAC5">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3.6</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≥1000组NIBP测量结果</w:t>
            </w:r>
            <w:r>
              <w:rPr>
                <w:rFonts w:hint="eastAsia" w:ascii="宋体" w:hAnsi="宋体" w:eastAsia="宋体" w:cs="宋体"/>
                <w:b w:val="0"/>
                <w:bCs/>
                <w:sz w:val="21"/>
                <w:szCs w:val="21"/>
                <w:highlight w:val="none"/>
                <w:lang w:eastAsia="zh-CN"/>
              </w:rPr>
              <w:t>。</w:t>
            </w:r>
          </w:p>
          <w:p w14:paraId="06F59E16">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3.7</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≥120小时（分辨率1分钟）ST模板存储与回顾</w:t>
            </w:r>
            <w:r>
              <w:rPr>
                <w:rFonts w:hint="eastAsia" w:ascii="宋体" w:hAnsi="宋体" w:eastAsia="宋体" w:cs="宋体"/>
                <w:b w:val="0"/>
                <w:bCs/>
                <w:sz w:val="21"/>
                <w:szCs w:val="21"/>
                <w:highlight w:val="none"/>
                <w:lang w:eastAsia="zh-CN"/>
              </w:rPr>
              <w:t>。</w:t>
            </w:r>
          </w:p>
          <w:p w14:paraId="0059C413">
            <w:pPr>
              <w:spacing w:line="360" w:lineRule="auto"/>
              <w:ind w:right="42" w:rightChars="20" w:firstLine="420" w:firstLineChars="200"/>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3.8</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支持</w:t>
            </w:r>
            <w:r>
              <w:rPr>
                <w:rFonts w:hint="eastAsia" w:ascii="宋体" w:hAnsi="宋体" w:eastAsia="宋体" w:cs="宋体"/>
                <w:b w:val="0"/>
                <w:bCs/>
                <w:sz w:val="21"/>
                <w:szCs w:val="21"/>
                <w:highlight w:val="none"/>
              </w:rPr>
              <w:t>≥</w:t>
            </w:r>
            <w:r>
              <w:rPr>
                <w:rFonts w:hint="eastAsia" w:ascii="宋体" w:hAnsi="宋体" w:eastAsia="宋体" w:cs="宋体"/>
                <w:b w:val="0"/>
                <w:bCs/>
                <w:color w:val="000000" w:themeColor="text1"/>
                <w:sz w:val="21"/>
                <w:szCs w:val="21"/>
                <w:highlight w:val="none"/>
                <w14:textFill>
                  <w14:solidFill>
                    <w14:schemeClr w14:val="tx1"/>
                  </w14:solidFill>
                </w14:textFill>
              </w:rPr>
              <w:t>48小时全息波形的存储与回顾功能</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596E7815">
            <w:pPr>
              <w:spacing w:line="360" w:lineRule="auto"/>
              <w:ind w:right="42" w:rightChars="20" w:firstLine="420" w:firstLineChars="200"/>
              <w:rPr>
                <w:rFonts w:hint="eastAsia" w:ascii="宋体" w:hAnsi="宋体" w:eastAsia="宋体" w:cs="宋体"/>
                <w:b w:val="0"/>
                <w:bCs/>
                <w:sz w:val="21"/>
                <w:szCs w:val="21"/>
                <w:highlight w:val="none"/>
              </w:rPr>
            </w:pPr>
            <w:r>
              <w:rPr>
                <w:rFonts w:hint="eastAsia" w:ascii="宋体" w:hAnsi="宋体" w:eastAsia="宋体" w:cs="宋体"/>
                <w:b w:val="0"/>
                <w:bCs/>
                <w:color w:val="000000" w:themeColor="text1"/>
                <w:sz w:val="21"/>
                <w:szCs w:val="21"/>
                <w:highlight w:val="none"/>
                <w14:textFill>
                  <w14:solidFill>
                    <w14:schemeClr w14:val="tx1"/>
                  </w14:solidFill>
                </w14:textFill>
              </w:rPr>
              <w:t>3.9</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val="0"/>
                <w:bCs/>
                <w:color w:val="000000" w:themeColor="text1"/>
                <w:sz w:val="21"/>
                <w:szCs w:val="21"/>
                <w:highlight w:val="none"/>
                <w14:textFill>
                  <w14:solidFill>
                    <w14:schemeClr w14:val="tx1"/>
                  </w14:solidFill>
                </w14:textFill>
              </w:rPr>
              <w:t>支持监护仪历史病人数据的存储和回顾，并支持通过USB接口将历史病人数据导出到U盘。</w:t>
            </w:r>
          </w:p>
          <w:p w14:paraId="45CA7750">
            <w:pPr>
              <w:spacing w:line="360" w:lineRule="auto"/>
              <w:ind w:right="84" w:rightChars="4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3.10</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支持RJ45接口进行有线网络通信，和除颤监护仪一起联网通信到中心监护系统。</w:t>
            </w:r>
          </w:p>
          <w:p w14:paraId="5A39EE02">
            <w:pPr>
              <w:spacing w:line="360" w:lineRule="auto"/>
              <w:ind w:right="84" w:rightChars="4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3.11</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支持监护仪进入夜间模式，隐私模式，演示模式和待机模式。</w:t>
            </w:r>
          </w:p>
          <w:p w14:paraId="7EAC8B42">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3.12</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sz w:val="21"/>
                <w:szCs w:val="21"/>
                <w:highlight w:val="none"/>
              </w:rPr>
              <w:t>可升级配置临床评分系统，如MEWS（改良早期预警评分）、NEWS（英国早期预警评分），可支持定时自动EWS评分功能。</w:t>
            </w:r>
          </w:p>
          <w:p w14:paraId="1FCF33DF">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b w:val="0"/>
                <w:bCs/>
                <w:i w:val="0"/>
                <w:iCs w:val="0"/>
                <w:color w:val="auto"/>
                <w:kern w:val="0"/>
                <w:sz w:val="21"/>
                <w:szCs w:val="21"/>
                <w:highlight w:val="none"/>
                <w:u w:val="none"/>
                <w:lang w:val="en-US" w:eastAsia="zh-CN" w:bidi="ar"/>
              </w:rPr>
              <w:t>3.13 呼吸氧合界面可显示呼吸暂停、心动过缓、低血氧饱和度事件提示。</w:t>
            </w:r>
          </w:p>
          <w:p w14:paraId="3AC650B5">
            <w:pPr>
              <w:spacing w:line="360" w:lineRule="auto"/>
              <w:ind w:right="84" w:rightChars="40" w:firstLine="420" w:firstLineChars="200"/>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w:t>
            </w:r>
            <w:r>
              <w:rPr>
                <w:rFonts w:hint="eastAsia" w:ascii="宋体" w:hAnsi="宋体" w:eastAsia="宋体" w:cs="宋体"/>
                <w:b w:val="0"/>
                <w:bCs/>
                <w:sz w:val="21"/>
                <w:szCs w:val="21"/>
                <w:highlight w:val="none"/>
                <w:lang w:val="en-US" w:eastAsia="zh-CN"/>
              </w:rPr>
              <w:t xml:space="preserve">4 </w:t>
            </w:r>
            <w:r>
              <w:rPr>
                <w:rFonts w:hint="eastAsia" w:ascii="宋体" w:hAnsi="宋体" w:eastAsia="宋体" w:cs="宋体"/>
                <w:b w:val="0"/>
                <w:bCs/>
                <w:sz w:val="21"/>
                <w:szCs w:val="21"/>
                <w:highlight w:val="none"/>
              </w:rPr>
              <w:t>提供心肌缺血评估工具，可以快速查看ST值的变化。</w:t>
            </w:r>
          </w:p>
          <w:p w14:paraId="2AE71B38">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w:t>
            </w:r>
            <w:r>
              <w:rPr>
                <w:rFonts w:hint="eastAsia" w:ascii="宋体" w:hAnsi="宋体" w:eastAsia="宋体" w:cs="宋体"/>
                <w:b w:val="0"/>
                <w:bCs/>
                <w:sz w:val="21"/>
                <w:szCs w:val="21"/>
                <w:highlight w:val="none"/>
                <w:lang w:val="en-US" w:eastAsia="zh-CN"/>
              </w:rPr>
              <w:t xml:space="preserve">5 </w:t>
            </w:r>
            <w:r>
              <w:rPr>
                <w:rFonts w:hint="eastAsia" w:ascii="宋体" w:hAnsi="宋体" w:eastAsia="宋体" w:cs="宋体"/>
                <w:b w:val="0"/>
                <w:bCs/>
                <w:sz w:val="21"/>
                <w:szCs w:val="21"/>
                <w:highlight w:val="none"/>
              </w:rPr>
              <w:t>提供计时器功能，界面区提供设置≥4个计时器，每个计时器支持独立设置和计时功能，计时方向包括正计时和倒计时两种选择。</w:t>
            </w:r>
          </w:p>
          <w:p w14:paraId="318D97DF">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b w:val="0"/>
                <w:bCs/>
                <w:i w:val="0"/>
                <w:iCs w:val="0"/>
                <w:color w:val="auto"/>
                <w:kern w:val="0"/>
                <w:sz w:val="21"/>
                <w:szCs w:val="21"/>
                <w:highlight w:val="none"/>
                <w:u w:val="none"/>
                <w:lang w:val="en-US" w:eastAsia="zh-CN" w:bidi="ar"/>
              </w:rPr>
              <w:t>3.16 心电支持≥3个分析导联实时动态同步分析，并非多个导联波形同屏显示及12导联静息分析。</w:t>
            </w:r>
          </w:p>
          <w:p w14:paraId="1D955A2F">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3.1</w:t>
            </w:r>
            <w:r>
              <w:rPr>
                <w:rFonts w:hint="eastAsia" w:ascii="宋体" w:hAnsi="宋体" w:eastAsia="宋体" w:cs="宋体"/>
                <w:b w:val="0"/>
                <w:bCs/>
                <w:sz w:val="21"/>
                <w:szCs w:val="21"/>
                <w:highlight w:val="none"/>
                <w:lang w:val="en-US" w:eastAsia="zh-CN"/>
              </w:rPr>
              <w:t xml:space="preserve">7 </w:t>
            </w:r>
            <w:r>
              <w:rPr>
                <w:rFonts w:hint="eastAsia" w:ascii="宋体" w:hAnsi="宋体" w:eastAsia="宋体" w:cs="宋体"/>
                <w:b w:val="0"/>
                <w:bCs/>
                <w:sz w:val="21"/>
                <w:szCs w:val="21"/>
                <w:highlight w:val="none"/>
              </w:rPr>
              <w:t>支持格拉斯哥昏迷评分（GCS）功能。</w:t>
            </w:r>
          </w:p>
          <w:p w14:paraId="21678BBB">
            <w:pPr>
              <w:autoSpaceDE/>
              <w:autoSpaceDN/>
              <w:adjustRightInd w:val="0"/>
              <w:spacing w:line="360" w:lineRule="auto"/>
              <w:ind w:right="84" w:rightChars="40" w:firstLine="420" w:firstLineChars="200"/>
              <w:jc w:val="left"/>
              <w:rPr>
                <w:rFonts w:hint="eastAsia" w:ascii="宋体" w:hAnsi="宋体" w:eastAsia="宋体" w:cs="宋体"/>
                <w:b w:val="0"/>
                <w:bCs/>
                <w:i w:val="0"/>
                <w:iCs w:val="0"/>
                <w:color w:val="auto"/>
                <w:kern w:val="0"/>
                <w:sz w:val="21"/>
                <w:szCs w:val="21"/>
                <w:highlight w:val="none"/>
                <w:u w:val="none"/>
                <w:lang w:val="en-US" w:eastAsia="zh-CN" w:bidi="ar"/>
              </w:rPr>
            </w:pPr>
            <w:r>
              <w:rPr>
                <w:rFonts w:hint="eastAsia" w:ascii="宋体" w:hAnsi="宋体" w:eastAsia="宋体" w:cs="宋体"/>
                <w:b w:val="0"/>
                <w:bCs/>
                <w:sz w:val="21"/>
                <w:szCs w:val="21"/>
                <w:highlight w:val="none"/>
              </w:rPr>
              <w:t>3.1</w:t>
            </w:r>
            <w:r>
              <w:rPr>
                <w:rFonts w:hint="eastAsia" w:ascii="宋体" w:hAnsi="宋体" w:eastAsia="宋体" w:cs="宋体"/>
                <w:b w:val="0"/>
                <w:bCs/>
                <w:sz w:val="21"/>
                <w:szCs w:val="21"/>
                <w:highlight w:val="none"/>
                <w:lang w:val="en-US" w:eastAsia="zh-CN"/>
              </w:rPr>
              <w:t xml:space="preserve">8 </w:t>
            </w:r>
            <w:r>
              <w:rPr>
                <w:rFonts w:hint="eastAsia" w:ascii="宋体" w:hAnsi="宋体" w:eastAsia="宋体" w:cs="宋体"/>
                <w:b w:val="0"/>
                <w:bCs/>
                <w:sz w:val="21"/>
                <w:szCs w:val="21"/>
                <w:highlight w:val="none"/>
              </w:rPr>
              <w:t>动态趋势界面可支持统计1～24小时心律失常报警、参数超限报警信息，并对超限报警区间的波形进行高亮显示，帮助医护人员快速识别异常趋势信息。</w:t>
            </w:r>
          </w:p>
          <w:p w14:paraId="3F62FA41">
            <w:pPr>
              <w:autoSpaceDE/>
              <w:autoSpaceDN/>
              <w:adjustRightInd w:val="0"/>
              <w:spacing w:line="360" w:lineRule="auto"/>
              <w:ind w:right="84" w:rightChars="40" w:firstLine="420" w:firstLineChars="200"/>
              <w:jc w:val="left"/>
              <w:rPr>
                <w:rFonts w:hint="eastAsia" w:ascii="宋体" w:hAnsi="宋体" w:eastAsia="宋体" w:cs="宋体"/>
                <w:b w:val="0"/>
                <w:bCs/>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b w:val="0"/>
                <w:bCs/>
                <w:i w:val="0"/>
                <w:iCs w:val="0"/>
                <w:color w:val="auto"/>
                <w:kern w:val="0"/>
                <w:sz w:val="21"/>
                <w:szCs w:val="21"/>
                <w:highlight w:val="none"/>
                <w:u w:val="none"/>
                <w:lang w:val="en-US" w:eastAsia="zh-CN" w:bidi="ar"/>
              </w:rPr>
              <w:t>3.19 支持房颤概览显示内容包括但不限于：房颤心率分布、每小时的房颤负荷、生命体征参数趋势图、心搏标志开关。</w:t>
            </w:r>
          </w:p>
          <w:p w14:paraId="436C03F6">
            <w:pPr>
              <w:pStyle w:val="126"/>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b w:val="0"/>
                <w:bCs/>
                <w:kern w:val="0"/>
                <w:sz w:val="21"/>
                <w:szCs w:val="21"/>
                <w:highlight w:val="none"/>
              </w:rPr>
              <w:t>3.</w:t>
            </w:r>
            <w:r>
              <w:rPr>
                <w:rFonts w:hint="eastAsia" w:ascii="宋体" w:hAnsi="宋体" w:cs="宋体"/>
                <w:b w:val="0"/>
                <w:bCs/>
                <w:kern w:val="0"/>
                <w:sz w:val="21"/>
                <w:szCs w:val="21"/>
                <w:highlight w:val="none"/>
                <w:lang w:val="en-US" w:eastAsia="zh-CN"/>
              </w:rPr>
              <w:t>20</w:t>
            </w:r>
            <w:r>
              <w:rPr>
                <w:rFonts w:hint="eastAsia" w:ascii="宋体" w:hAnsi="宋体" w:eastAsia="宋体" w:cs="宋体"/>
                <w:b w:val="0"/>
                <w:bCs/>
                <w:sz w:val="21"/>
                <w:szCs w:val="21"/>
                <w:highlight w:val="none"/>
                <w:lang w:val="en-US" w:eastAsia="zh-CN"/>
              </w:rPr>
              <w:t xml:space="preserve"> </w:t>
            </w:r>
            <w:r>
              <w:rPr>
                <w:rFonts w:hint="eastAsia" w:ascii="宋体" w:hAnsi="宋体" w:eastAsia="宋体" w:cs="宋体"/>
                <w:b w:val="0"/>
                <w:bCs/>
                <w:kern w:val="0"/>
                <w:sz w:val="21"/>
                <w:szCs w:val="21"/>
                <w:highlight w:val="none"/>
              </w:rPr>
              <w:t>信息互连：支持有线和无线（内置WiFi模块）方式直接与同品牌中央监护系统互联，把监测信息参数和波形实时显示到中央监护系统上，满足科室信息化的需求。</w:t>
            </w:r>
          </w:p>
        </w:tc>
        <w:tc>
          <w:tcPr>
            <w:tcW w:w="1134" w:type="dxa"/>
            <w:vAlign w:val="center"/>
          </w:tcPr>
          <w:p w14:paraId="29E960F7">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52000</w:t>
            </w:r>
          </w:p>
        </w:tc>
        <w:tc>
          <w:tcPr>
            <w:tcW w:w="1275" w:type="dxa"/>
            <w:vAlign w:val="center"/>
          </w:tcPr>
          <w:p w14:paraId="614227CE">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52000</w:t>
            </w:r>
          </w:p>
        </w:tc>
      </w:tr>
      <w:tr w14:paraId="4597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0D2C9D42">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6</w:t>
            </w:r>
          </w:p>
        </w:tc>
        <w:tc>
          <w:tcPr>
            <w:tcW w:w="1387" w:type="dxa"/>
            <w:vAlign w:val="center"/>
          </w:tcPr>
          <w:p w14:paraId="1FC3CA58">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成人便携式心电监护仪</w:t>
            </w:r>
          </w:p>
        </w:tc>
        <w:tc>
          <w:tcPr>
            <w:tcW w:w="728" w:type="dxa"/>
            <w:vAlign w:val="center"/>
          </w:tcPr>
          <w:p w14:paraId="5AD1B8DD">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1</w:t>
            </w:r>
          </w:p>
        </w:tc>
        <w:tc>
          <w:tcPr>
            <w:tcW w:w="699" w:type="dxa"/>
            <w:gridSpan w:val="2"/>
            <w:vAlign w:val="center"/>
          </w:tcPr>
          <w:p w14:paraId="31247D89">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台</w:t>
            </w:r>
          </w:p>
        </w:tc>
        <w:tc>
          <w:tcPr>
            <w:tcW w:w="4775" w:type="dxa"/>
            <w:vAlign w:val="center"/>
          </w:tcPr>
          <w:p w14:paraId="22200DCF">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1.适用于成人、小儿、新生儿的监测。 </w:t>
            </w:r>
          </w:p>
          <w:p w14:paraId="6D4C4A7E">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2.工作大气压力包括但不限于57.0 ～107.4 kPa。 </w:t>
            </w:r>
          </w:p>
          <w:p w14:paraId="17AD162A">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3.转运监护仪，满足救护车，直升飞机和固定翼飞机。 </w:t>
            </w:r>
          </w:p>
          <w:p w14:paraId="5401719B">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4. ≥5.5 英寸电容彩色触摸屏，分辨率≥1280×720。 </w:t>
            </w:r>
          </w:p>
          <w:p w14:paraId="52BC8878">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5.≥IP44 防尘防水。 </w:t>
            </w:r>
          </w:p>
          <w:p w14:paraId="68247735">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6.≥1.2 米 6 面跌落。 </w:t>
            </w:r>
          </w:p>
          <w:p w14:paraId="5C05BD2A">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7.整机无风扇设计。 </w:t>
            </w:r>
          </w:p>
          <w:p w14:paraId="2A13ABA1">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8.内置锂电池供电，支持≥6 小时的持续监测。 </w:t>
            </w:r>
          </w:p>
          <w:p w14:paraId="380FFF79">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9.内置 DC 电源接口，可以进行车载充电。 </w:t>
            </w:r>
          </w:p>
          <w:p w14:paraId="35880A84">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10.支持 3/5 导心电，阻抗呼吸，血氧、无创血压和2通道体温。 </w:t>
            </w:r>
          </w:p>
          <w:p w14:paraId="3726ADDF">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000000"/>
                <w:kern w:val="0"/>
                <w:sz w:val="21"/>
                <w:szCs w:val="21"/>
                <w:highlight w:val="none"/>
                <w:lang w:val="en-US" w:eastAsia="zh-CN" w:bidi="ar"/>
              </w:rPr>
              <w:t>11.可升级有创血压模块，旁流 CO2和 PICCO 模块</w:t>
            </w:r>
            <w:r>
              <w:rPr>
                <w:rFonts w:hint="eastAsia" w:ascii="宋体" w:hAnsi="宋体" w:eastAsia="宋体" w:cs="宋体"/>
                <w:b/>
                <w:bCs/>
                <w:color w:val="000000"/>
                <w:kern w:val="0"/>
                <w:sz w:val="21"/>
                <w:szCs w:val="21"/>
                <w:highlight w:val="none"/>
                <w:lang w:val="en-US" w:eastAsia="zh-CN" w:bidi="ar"/>
              </w:rPr>
              <w:t xml:space="preserve">。 </w:t>
            </w:r>
          </w:p>
          <w:p w14:paraId="43E87BBB">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12.转运监护仪支持插入床旁监护仪插槽作为参数模块使用。 </w:t>
            </w:r>
          </w:p>
          <w:p w14:paraId="1F79970F">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13.具有多导心电监护算法 ，同步分析至少2通道心电波形。 </w:t>
            </w:r>
          </w:p>
          <w:p w14:paraId="5E9EA718">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14.心率测量范围：成人包括但不限于 15～300 bpm，小儿/新生儿包括但不限于15～350bpm。 </w:t>
            </w:r>
          </w:p>
          <w:p w14:paraId="4166449D">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15.波速提供包括但不限于 50mm/s，25 mm/s、12.5 mm/s、6.25 mm/s 可选。 </w:t>
            </w:r>
          </w:p>
          <w:p w14:paraId="12858D32">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16.滤波模式提供包括但不限于诊断模式（0.05 ～150Hz），监护模式（0.5 ～ 40Hz），ST 模式（0.05 ～ 40Hz），手术模式（1～20Hz）。</w:t>
            </w:r>
          </w:p>
          <w:p w14:paraId="54166C57">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17.提供≥25 种心律失常事件的分析。 </w:t>
            </w:r>
          </w:p>
          <w:p w14:paraId="28FA725E">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18.提供 ST 段分析，提供显示和存储 ST 值和每个 ST 的模板。 </w:t>
            </w:r>
          </w:p>
          <w:p w14:paraId="03254510">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19.具有 QT/QTc 测量功能，提供不限于 QT，QTc 和ΔQTc 参数值。 </w:t>
            </w:r>
          </w:p>
          <w:p w14:paraId="0108F361">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20.可显示弱灌注指数（PI）。 </w:t>
            </w:r>
          </w:p>
          <w:p w14:paraId="4F730247">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21.提供至少双通道体温测量，提供两通道体温测量差值显示。 </w:t>
            </w:r>
          </w:p>
          <w:p w14:paraId="0F060556">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000000"/>
                <w:kern w:val="0"/>
                <w:sz w:val="21"/>
                <w:szCs w:val="21"/>
                <w:highlight w:val="none"/>
                <w:lang w:val="en-US" w:eastAsia="zh-CN" w:bidi="ar"/>
              </w:rPr>
              <w:t>22.提供不限于手动测量、自动间隔测量、连续测量、序列测量、整点测量五种无创血压测量模式，无创血压成人测量范围：收缩压包括但不限于25～290mmHg，舒张压包括但不限于 10～250mmHg，平均压包括但不限于 15～260mmHg。无创血压小儿测量范围：收缩压包括但不限于25～240mmHg，舒张压包括但不限于 10～200mmHg，平均压包括但不限于 15～215mmHg，新生儿测量范围：收缩压包括但不限于 25～140mmHg，舒张压 包括但不限于10～115mmHg，平均压包括但不限于 15～125mmHg。</w:t>
            </w:r>
          </w:p>
          <w:p w14:paraId="204F1D14">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23.≥120 小时（分辨率1分钟）趋势表、趋势图回顾。 </w:t>
            </w:r>
          </w:p>
          <w:p w14:paraId="7B73D4EF">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24. ≥1000 条事件回顾。每条报警事件至少能够存储 32 秒三道相关波形，以及报警触发时所有测量参数值。 </w:t>
            </w:r>
          </w:p>
          <w:p w14:paraId="76AA1C78">
            <w:pPr>
              <w:keepNext w:val="0"/>
              <w:keepLines w:val="0"/>
              <w:widowControl/>
              <w:suppressLineNumbers w:val="0"/>
              <w:wordWrap w:val="0"/>
              <w:topLinePunct/>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rPr>
              <w:t xml:space="preserve">25. ≥1000条NIBP 测量结果回顾。 </w:t>
            </w:r>
          </w:p>
          <w:p w14:paraId="15FABAFC">
            <w:pPr>
              <w:widowControl/>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color w:val="000000"/>
                <w:kern w:val="0"/>
                <w:sz w:val="21"/>
                <w:szCs w:val="21"/>
                <w:highlight w:val="none"/>
                <w:lang w:val="en-US" w:eastAsia="zh-CN" w:bidi="ar"/>
              </w:rPr>
              <w:t>26. ≥48小时全息波形回顾,全息波形至少能存储所有测量值，以及至少3道波形。</w:t>
            </w:r>
          </w:p>
        </w:tc>
        <w:tc>
          <w:tcPr>
            <w:tcW w:w="1134" w:type="dxa"/>
            <w:vAlign w:val="center"/>
          </w:tcPr>
          <w:p w14:paraId="62F570F1">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30000</w:t>
            </w:r>
          </w:p>
        </w:tc>
        <w:tc>
          <w:tcPr>
            <w:tcW w:w="1275" w:type="dxa"/>
            <w:vAlign w:val="center"/>
          </w:tcPr>
          <w:p w14:paraId="010F3752">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30000</w:t>
            </w:r>
          </w:p>
        </w:tc>
      </w:tr>
      <w:tr w14:paraId="3825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646511B2">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7</w:t>
            </w:r>
          </w:p>
        </w:tc>
        <w:tc>
          <w:tcPr>
            <w:tcW w:w="1387" w:type="dxa"/>
            <w:vAlign w:val="center"/>
          </w:tcPr>
          <w:p w14:paraId="4F0FE011">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婴儿辐射保暖台</w:t>
            </w:r>
          </w:p>
        </w:tc>
        <w:tc>
          <w:tcPr>
            <w:tcW w:w="728" w:type="dxa"/>
            <w:vAlign w:val="center"/>
          </w:tcPr>
          <w:p w14:paraId="3BE5C011">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7A7BE7EE">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rPr>
              <w:t>台</w:t>
            </w:r>
          </w:p>
        </w:tc>
        <w:tc>
          <w:tcPr>
            <w:tcW w:w="4775" w:type="dxa"/>
            <w:vAlign w:val="center"/>
          </w:tcPr>
          <w:p w14:paraId="25690B55">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显示方式：设置温度、皮肤温度、加热功率LED分屏显示。</w:t>
            </w:r>
          </w:p>
          <w:p w14:paraId="1D1B6EA8">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工作模式：预热模式、手动模式和婴儿模式。</w:t>
            </w:r>
          </w:p>
          <w:p w14:paraId="07027DB8">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婴儿模式</w:t>
            </w:r>
            <w:r>
              <w:rPr>
                <w:rFonts w:hint="eastAsia" w:ascii="宋体" w:hAnsi="宋体" w:eastAsia="宋体" w:cs="宋体"/>
                <w:color w:val="auto"/>
                <w:kern w:val="0"/>
                <w:sz w:val="21"/>
                <w:szCs w:val="21"/>
                <w:highlight w:val="none"/>
              </w:rPr>
              <w:t>下控制温度范围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32℃～38℃，步进0.1℃。</w:t>
            </w:r>
          </w:p>
          <w:p w14:paraId="4E3D5DC3">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温控精度≤±0.5℃。</w:t>
            </w:r>
          </w:p>
          <w:p w14:paraId="1432E4E9">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温度测量范围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5℃～70℃。</w:t>
            </w:r>
          </w:p>
          <w:p w14:paraId="12BD23D4">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w:t>
            </w:r>
            <w:r>
              <w:rPr>
                <w:rFonts w:hint="eastAsia" w:ascii="宋体" w:hAnsi="宋体" w:eastAsia="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rPr>
              <w:t>温度测量精度：±0.2℃。</w:t>
            </w:r>
          </w:p>
          <w:p w14:paraId="6148B454">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床面温度均匀性：≤2℃。</w:t>
            </w:r>
          </w:p>
          <w:p w14:paraId="2E3884B5">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手动模式下加热功率显示范围：0～100%，分辨率为5%，20档可调。</w:t>
            </w:r>
          </w:p>
          <w:p w14:paraId="1C713476">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9.</w:t>
            </w:r>
            <w:r>
              <w:rPr>
                <w:rFonts w:hint="eastAsia" w:ascii="宋体" w:hAnsi="宋体" w:eastAsia="宋体" w:cs="宋体"/>
                <w:color w:val="auto"/>
                <w:kern w:val="0"/>
                <w:sz w:val="21"/>
                <w:szCs w:val="21"/>
                <w:highlight w:val="none"/>
              </w:rPr>
              <w:t>温度报警：婴儿模式下报警设置值为控制温度值的±1℃（即报警范围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31-39℃），步进0.1℃；报警误差为±0.3℃。</w:t>
            </w:r>
          </w:p>
          <w:p w14:paraId="39906C36">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手动模式加热15分钟后无任何操作会报警，加热功率自行下降到</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15%。</w:t>
            </w:r>
          </w:p>
          <w:p w14:paraId="13D51580">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lang w:val="en-US" w:eastAsia="zh-CN"/>
              </w:rPr>
              <w:t>11.</w:t>
            </w:r>
            <w:r>
              <w:rPr>
                <w:rFonts w:hint="eastAsia" w:ascii="宋体" w:hAnsi="宋体" w:eastAsia="宋体" w:cs="宋体"/>
                <w:kern w:val="0"/>
                <w:sz w:val="21"/>
                <w:szCs w:val="21"/>
                <w:highlight w:val="none"/>
              </w:rPr>
              <w:t>斜照灯头设计，床面正上方无加热器遮挡，治疗操作时无需旋转或移动加热器，同时可避免医护人员操作时过热。</w:t>
            </w:r>
          </w:p>
          <w:p w14:paraId="3BAF41FD">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12.</w:t>
            </w:r>
            <w:r>
              <w:rPr>
                <w:rFonts w:hint="eastAsia" w:ascii="宋体" w:hAnsi="宋体" w:eastAsia="宋体" w:cs="宋体"/>
                <w:kern w:val="0"/>
                <w:sz w:val="21"/>
                <w:szCs w:val="21"/>
                <w:highlight w:val="none"/>
              </w:rPr>
              <w:t>内置气泡水平仪，用于确定床体是否水平。</w:t>
            </w:r>
          </w:p>
          <w:p w14:paraId="1F64A5CA">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13.</w:t>
            </w:r>
            <w:r>
              <w:rPr>
                <w:rFonts w:hint="eastAsia" w:ascii="宋体" w:hAnsi="宋体" w:eastAsia="宋体" w:cs="宋体"/>
                <w:kern w:val="0"/>
                <w:sz w:val="21"/>
                <w:szCs w:val="21"/>
                <w:highlight w:val="none"/>
              </w:rPr>
              <w:t>内置穿刺照明灯，椭圆形光斑，强度≥4500LUX，方便随时检查婴儿状况。</w:t>
            </w:r>
          </w:p>
          <w:p w14:paraId="0472ABC4">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14.</w:t>
            </w:r>
            <w:r>
              <w:rPr>
                <w:rFonts w:hint="eastAsia" w:ascii="宋体" w:hAnsi="宋体" w:eastAsia="宋体" w:cs="宋体"/>
                <w:kern w:val="0"/>
                <w:sz w:val="21"/>
                <w:szCs w:val="21"/>
                <w:highlight w:val="none"/>
              </w:rPr>
              <w:t>具有APGAR计时器功能，并提供声音提示。</w:t>
            </w:r>
          </w:p>
          <w:p w14:paraId="6115C96E">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lang w:val="en-US" w:eastAsia="zh-CN"/>
              </w:rPr>
              <w:t>15.</w:t>
            </w:r>
            <w:r>
              <w:rPr>
                <w:rFonts w:hint="eastAsia" w:ascii="宋体" w:hAnsi="宋体" w:eastAsia="宋体" w:cs="宋体"/>
                <w:kern w:val="0"/>
                <w:sz w:val="21"/>
                <w:szCs w:val="21"/>
                <w:highlight w:val="none"/>
              </w:rPr>
              <w:t>内置X线托盘，可直接进行X线拍片。X光拍片操作时，无需旋转或移动辐射加热器。</w:t>
            </w:r>
          </w:p>
          <w:p w14:paraId="6F49DDEA">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16.</w:t>
            </w:r>
            <w:r>
              <w:rPr>
                <w:rFonts w:hint="eastAsia" w:ascii="宋体" w:hAnsi="宋体" w:eastAsia="宋体" w:cs="宋体"/>
                <w:kern w:val="0"/>
                <w:sz w:val="21"/>
                <w:szCs w:val="21"/>
                <w:highlight w:val="none"/>
              </w:rPr>
              <w:t>具备声光双级报警功能，包括：断电、传感器故障、超温、肤温偏差、检查婴儿等报警。</w:t>
            </w:r>
          </w:p>
          <w:p w14:paraId="6C451CEE">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17.</w:t>
            </w:r>
            <w:r>
              <w:rPr>
                <w:rFonts w:hint="eastAsia" w:ascii="宋体" w:hAnsi="宋体" w:eastAsia="宋体" w:cs="宋体"/>
                <w:kern w:val="0"/>
                <w:sz w:val="21"/>
                <w:szCs w:val="21"/>
                <w:highlight w:val="none"/>
              </w:rPr>
              <w:t>具有肤温传感器脱落报警提示功能。</w:t>
            </w:r>
          </w:p>
          <w:p w14:paraId="43FCCB18">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18.</w:t>
            </w:r>
            <w:r>
              <w:rPr>
                <w:rFonts w:hint="eastAsia" w:ascii="宋体" w:hAnsi="宋体" w:eastAsia="宋体" w:cs="宋体"/>
                <w:kern w:val="0"/>
                <w:sz w:val="21"/>
                <w:szCs w:val="21"/>
                <w:highlight w:val="none"/>
              </w:rPr>
              <w:t>婴儿床体倾斜：-12°-+12°，误差±1°。</w:t>
            </w:r>
          </w:p>
          <w:p w14:paraId="2C8961AB">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19.</w:t>
            </w:r>
            <w:r>
              <w:rPr>
                <w:rFonts w:hint="eastAsia" w:ascii="宋体" w:hAnsi="宋体" w:eastAsia="宋体" w:cs="宋体"/>
                <w:kern w:val="0"/>
                <w:sz w:val="21"/>
                <w:szCs w:val="21"/>
                <w:highlight w:val="none"/>
              </w:rPr>
              <w:t>配置有储物盆，便于医护人员放置必备物品。</w:t>
            </w:r>
          </w:p>
          <w:p w14:paraId="70AB94AF">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lang w:val="en-US" w:eastAsia="zh-CN"/>
              </w:rPr>
              <w:t>20.配有</w:t>
            </w:r>
            <w:r>
              <w:rPr>
                <w:rFonts w:hint="eastAsia" w:ascii="宋体" w:hAnsi="宋体" w:eastAsia="宋体" w:cs="宋体"/>
                <w:kern w:val="0"/>
                <w:sz w:val="21"/>
                <w:szCs w:val="21"/>
                <w:highlight w:val="none"/>
              </w:rPr>
              <w:t>输液杆和托盘</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T组合各一套。</w:t>
            </w:r>
          </w:p>
          <w:p w14:paraId="485DA6BB">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21.</w:t>
            </w:r>
            <w:r>
              <w:rPr>
                <w:rFonts w:hint="eastAsia" w:ascii="宋体" w:hAnsi="宋体" w:eastAsia="宋体" w:cs="宋体"/>
                <w:kern w:val="0"/>
                <w:sz w:val="21"/>
                <w:szCs w:val="21"/>
                <w:highlight w:val="none"/>
              </w:rPr>
              <w:t>超大床面：床面尺寸≥700mm*570mm，方便护理。</w:t>
            </w:r>
          </w:p>
          <w:p w14:paraId="3077460E">
            <w:pPr>
              <w:pStyle w:val="126"/>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kern w:val="0"/>
                <w:sz w:val="21"/>
                <w:szCs w:val="21"/>
                <w:highlight w:val="none"/>
                <w:lang w:val="en-US" w:eastAsia="zh-CN"/>
              </w:rPr>
              <w:t>22.</w:t>
            </w:r>
            <w:r>
              <w:rPr>
                <w:rFonts w:hint="eastAsia" w:ascii="宋体" w:hAnsi="宋体" w:eastAsia="宋体" w:cs="宋体"/>
                <w:kern w:val="0"/>
                <w:sz w:val="21"/>
                <w:szCs w:val="21"/>
                <w:highlight w:val="none"/>
              </w:rPr>
              <w:t>具有USB接口。</w:t>
            </w:r>
          </w:p>
        </w:tc>
        <w:tc>
          <w:tcPr>
            <w:tcW w:w="1134" w:type="dxa"/>
            <w:vAlign w:val="center"/>
          </w:tcPr>
          <w:p w14:paraId="4069527E">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40000</w:t>
            </w:r>
          </w:p>
        </w:tc>
        <w:tc>
          <w:tcPr>
            <w:tcW w:w="1275" w:type="dxa"/>
            <w:vAlign w:val="center"/>
          </w:tcPr>
          <w:p w14:paraId="4E557E9A">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40000</w:t>
            </w:r>
          </w:p>
        </w:tc>
      </w:tr>
      <w:tr w14:paraId="7734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48C36B46">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8</w:t>
            </w:r>
          </w:p>
        </w:tc>
        <w:tc>
          <w:tcPr>
            <w:tcW w:w="1387" w:type="dxa"/>
            <w:vAlign w:val="center"/>
          </w:tcPr>
          <w:p w14:paraId="2FFD54A5">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冷光源手术无影灯</w:t>
            </w:r>
          </w:p>
        </w:tc>
        <w:tc>
          <w:tcPr>
            <w:tcW w:w="728" w:type="dxa"/>
            <w:vAlign w:val="center"/>
          </w:tcPr>
          <w:p w14:paraId="0A526BEE">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0423F15B">
            <w:pPr>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4775" w:type="dxa"/>
            <w:vAlign w:val="center"/>
          </w:tcPr>
          <w:p w14:paraId="04C75E9C">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lang w:val="zh-CN" w:eastAsia="zh-CN"/>
              </w:rPr>
              <w:t>照度（相距1M处LUX)≥1</w:t>
            </w: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val="zh-CN" w:eastAsia="zh-CN"/>
              </w:rPr>
              <w:t>0000。</w:t>
            </w:r>
          </w:p>
          <w:p w14:paraId="47465B28">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eastAsia="zh-CN"/>
              </w:rPr>
              <w:t>色温（K）：4300±500。</w:t>
            </w:r>
          </w:p>
          <w:p w14:paraId="0B07EF29">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lang w:val="zh-CN" w:eastAsia="zh-CN"/>
              </w:rPr>
              <w:t>光斑直径：（mm）100—300。</w:t>
            </w:r>
          </w:p>
          <w:p w14:paraId="4859F606">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lang w:val="zh-CN" w:eastAsia="zh-CN"/>
              </w:rPr>
              <w:t>照明深度：（mm）≥1200。</w:t>
            </w:r>
          </w:p>
          <w:p w14:paraId="74AD8D17">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lang w:val="zh-CN" w:eastAsia="zh-CN"/>
              </w:rPr>
              <w:t>亮度调节：1-1（℃）</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zh-CN" w:eastAsia="zh-CN"/>
              </w:rPr>
              <w:t>≤2。</w:t>
            </w:r>
          </w:p>
          <w:p w14:paraId="765DA5F5">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6.</w:t>
            </w:r>
            <w:r>
              <w:rPr>
                <w:rFonts w:hint="eastAsia" w:ascii="宋体" w:hAnsi="宋体" w:eastAsia="宋体" w:cs="宋体"/>
                <w:kern w:val="0"/>
                <w:sz w:val="21"/>
                <w:szCs w:val="21"/>
                <w:highlight w:val="none"/>
                <w:lang w:val="zh-CN" w:eastAsia="zh-CN"/>
              </w:rPr>
              <w:t>电源电压：</w:t>
            </w:r>
            <w:r>
              <w:rPr>
                <w:rFonts w:hint="eastAsia" w:ascii="宋体" w:hAnsi="宋体" w:eastAsia="宋体" w:cs="宋体"/>
                <w:kern w:val="0"/>
                <w:sz w:val="21"/>
                <w:szCs w:val="21"/>
                <w:highlight w:val="none"/>
                <w:lang w:val="zh-CN" w:eastAsia="zh-CN"/>
              </w:rPr>
              <w:t>220V。</w:t>
            </w:r>
          </w:p>
          <w:p w14:paraId="6FB956B6">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7.</w:t>
            </w:r>
            <w:r>
              <w:rPr>
                <w:rFonts w:hint="eastAsia" w:ascii="宋体" w:hAnsi="宋体" w:eastAsia="宋体" w:cs="宋体"/>
                <w:kern w:val="0"/>
                <w:sz w:val="21"/>
                <w:szCs w:val="21"/>
                <w:highlight w:val="none"/>
                <w:lang w:val="zh-CN" w:eastAsia="zh-CN"/>
              </w:rPr>
              <w:t>演色性指数CRI：≥97%。</w:t>
            </w:r>
          </w:p>
          <w:p w14:paraId="190E5FB8">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8.</w:t>
            </w:r>
            <w:r>
              <w:rPr>
                <w:rFonts w:hint="eastAsia" w:ascii="宋体" w:hAnsi="宋体" w:eastAsia="宋体" w:cs="宋体"/>
                <w:kern w:val="0"/>
                <w:sz w:val="21"/>
                <w:szCs w:val="21"/>
                <w:highlight w:val="none"/>
                <w:lang w:val="zh-CN" w:eastAsia="zh-CN"/>
              </w:rPr>
              <w:t>色彩还原指数Ra</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lang w:val="zh-CN" w:eastAsia="zh-CN"/>
              </w:rPr>
              <w:t>≥97%。</w:t>
            </w:r>
          </w:p>
          <w:p w14:paraId="68E71E9D">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9.</w:t>
            </w:r>
            <w:r>
              <w:rPr>
                <w:rFonts w:hint="eastAsia" w:ascii="宋体" w:hAnsi="宋体" w:eastAsia="宋体" w:cs="宋体"/>
                <w:kern w:val="0"/>
                <w:sz w:val="21"/>
                <w:szCs w:val="21"/>
                <w:highlight w:val="none"/>
                <w:lang w:val="zh-CN" w:eastAsia="zh-CN"/>
              </w:rPr>
              <w:t>术者头部温升（℃）：≤1。</w:t>
            </w:r>
          </w:p>
          <w:p w14:paraId="72458E3C">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lang w:val="zh-CN" w:eastAsia="zh-CN"/>
              </w:rPr>
              <w:t>术野工作区域温升22V 50HZ±1HZ。</w:t>
            </w:r>
          </w:p>
          <w:p w14:paraId="5111BE6C">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11.</w:t>
            </w:r>
            <w:r>
              <w:rPr>
                <w:rFonts w:hint="eastAsia" w:ascii="宋体" w:hAnsi="宋体" w:eastAsia="宋体" w:cs="宋体"/>
                <w:kern w:val="0"/>
                <w:sz w:val="21"/>
                <w:szCs w:val="21"/>
                <w:highlight w:val="none"/>
                <w:lang w:val="zh-CN" w:eastAsia="zh-CN"/>
              </w:rPr>
              <w:t>输入功率：400VA。</w:t>
            </w:r>
          </w:p>
          <w:p w14:paraId="5AEE59E8">
            <w:pPr>
              <w:numPr>
                <w:ilvl w:val="-1"/>
                <w:numId w:val="0"/>
              </w:numPr>
              <w:wordWrap w:val="0"/>
              <w:topLinePunct/>
              <w:spacing w:line="360" w:lineRule="auto"/>
              <w:ind w:left="420" w:leftChars="200" w:firstLine="0" w:firstLineChars="0"/>
              <w:rPr>
                <w:rFonts w:hint="eastAsia" w:ascii="宋体" w:hAnsi="宋体" w:eastAsia="宋体" w:cs="宋体"/>
                <w:kern w:val="0"/>
                <w:sz w:val="21"/>
                <w:szCs w:val="21"/>
                <w:highlight w:val="none"/>
                <w:lang w:val="zh-CN" w:eastAsia="zh-CN"/>
              </w:rPr>
            </w:pPr>
            <w:r>
              <w:rPr>
                <w:rFonts w:hint="eastAsia" w:ascii="宋体" w:hAnsi="宋体" w:eastAsia="宋体" w:cs="宋体"/>
                <w:kern w:val="0"/>
                <w:sz w:val="21"/>
                <w:szCs w:val="21"/>
                <w:highlight w:val="none"/>
                <w:lang w:val="en-US" w:eastAsia="zh-CN"/>
              </w:rPr>
              <w:t>12.</w:t>
            </w:r>
            <w:r>
              <w:rPr>
                <w:rFonts w:hint="eastAsia" w:ascii="宋体" w:hAnsi="宋体" w:eastAsia="宋体" w:cs="宋体"/>
                <w:kern w:val="0"/>
                <w:sz w:val="21"/>
                <w:szCs w:val="21"/>
                <w:highlight w:val="none"/>
                <w:lang w:val="zh-CN" w:eastAsia="zh-CN"/>
              </w:rPr>
              <w:t>灯泡平均寿命（h）：≥60000。</w:t>
            </w:r>
          </w:p>
          <w:p w14:paraId="66B3A011">
            <w:pPr>
              <w:pStyle w:val="126"/>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kern w:val="0"/>
                <w:sz w:val="21"/>
                <w:szCs w:val="21"/>
                <w:highlight w:val="none"/>
                <w:lang w:val="en-US" w:eastAsia="zh-CN"/>
              </w:rPr>
              <w:t>13.</w:t>
            </w:r>
            <w:r>
              <w:rPr>
                <w:rFonts w:hint="eastAsia" w:ascii="宋体" w:hAnsi="宋体" w:eastAsia="宋体" w:cs="宋体"/>
                <w:kern w:val="0"/>
                <w:sz w:val="21"/>
                <w:szCs w:val="21"/>
                <w:highlight w:val="none"/>
                <w:lang w:val="zh-CN" w:eastAsia="zh-CN"/>
              </w:rPr>
              <w:t>灯泡功率：1W/3V。</w:t>
            </w:r>
          </w:p>
        </w:tc>
        <w:tc>
          <w:tcPr>
            <w:tcW w:w="1134" w:type="dxa"/>
            <w:vAlign w:val="center"/>
          </w:tcPr>
          <w:p w14:paraId="0A03BAE4">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10000</w:t>
            </w:r>
          </w:p>
        </w:tc>
        <w:tc>
          <w:tcPr>
            <w:tcW w:w="1275" w:type="dxa"/>
            <w:vAlign w:val="center"/>
          </w:tcPr>
          <w:p w14:paraId="18B000E7">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10000</w:t>
            </w:r>
          </w:p>
        </w:tc>
      </w:tr>
      <w:tr w14:paraId="364F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6" w:type="dxa"/>
            <w:vAlign w:val="center"/>
          </w:tcPr>
          <w:p w14:paraId="13C3C51E">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9</w:t>
            </w:r>
          </w:p>
        </w:tc>
        <w:tc>
          <w:tcPr>
            <w:tcW w:w="1387" w:type="dxa"/>
            <w:vAlign w:val="center"/>
          </w:tcPr>
          <w:p w14:paraId="4D3EA502">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医用输血输液加温器</w:t>
            </w:r>
          </w:p>
        </w:tc>
        <w:tc>
          <w:tcPr>
            <w:tcW w:w="728" w:type="dxa"/>
            <w:vAlign w:val="center"/>
          </w:tcPr>
          <w:p w14:paraId="55A0BEF8">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746FE6CB">
            <w:pPr>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4775" w:type="dxa"/>
            <w:vAlign w:val="center"/>
          </w:tcPr>
          <w:p w14:paraId="21176A25">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适用范围：用于输血、输液过程中对输液（输血）管路内的液体进行即时加温。</w:t>
            </w:r>
          </w:p>
          <w:p w14:paraId="3419C023">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工作用途：无菌液体、血液加温。</w:t>
            </w:r>
          </w:p>
          <w:p w14:paraId="75795043">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外形</w:t>
            </w:r>
            <w:r>
              <w:rPr>
                <w:rFonts w:hint="eastAsia" w:ascii="宋体" w:hAnsi="宋体" w:eastAsia="宋体" w:cs="宋体"/>
                <w:color w:val="auto"/>
                <w:kern w:val="0"/>
                <w:sz w:val="21"/>
                <w:szCs w:val="21"/>
                <w:highlight w:val="none"/>
              </w:rPr>
              <w:t>尺寸</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260mm</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150mm</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127mm(长×宽×高)</w:t>
            </w:r>
            <w:r>
              <w:rPr>
                <w:rFonts w:hint="eastAsia" w:ascii="宋体" w:hAnsi="宋体" w:eastAsia="宋体" w:cs="宋体"/>
                <w:color w:val="auto"/>
                <w:kern w:val="0"/>
                <w:sz w:val="21"/>
                <w:szCs w:val="21"/>
                <w:highlight w:val="none"/>
                <w:lang w:eastAsia="zh-CN"/>
              </w:rPr>
              <w:t>。</w:t>
            </w:r>
          </w:p>
          <w:p w14:paraId="4DA71D3D">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主机结构：一体化支架提手，方便移动仪器和固定加热管。</w:t>
            </w:r>
          </w:p>
          <w:p w14:paraId="4CC72D77">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w:t>
            </w:r>
            <w:r>
              <w:rPr>
                <w:rFonts w:hint="eastAsia" w:ascii="宋体" w:hAnsi="宋体" w:eastAsia="宋体" w:cs="宋体"/>
                <w:color w:val="auto"/>
                <w:kern w:val="0"/>
                <w:sz w:val="21"/>
                <w:szCs w:val="21"/>
                <w:highlight w:val="none"/>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通道</w:t>
            </w:r>
            <w:r>
              <w:rPr>
                <w:rFonts w:hint="eastAsia" w:ascii="宋体" w:hAnsi="宋体" w:eastAsia="宋体" w:cs="宋体"/>
                <w:color w:val="auto"/>
                <w:kern w:val="0"/>
                <w:sz w:val="21"/>
                <w:szCs w:val="21"/>
                <w:highlight w:val="none"/>
                <w:lang w:val="en-US" w:eastAsia="zh-CN"/>
              </w:rPr>
              <w:t>≥2个，</w:t>
            </w:r>
            <w:r>
              <w:rPr>
                <w:rFonts w:hint="eastAsia" w:ascii="宋体" w:hAnsi="宋体" w:eastAsia="宋体" w:cs="宋体"/>
                <w:color w:val="auto"/>
                <w:kern w:val="0"/>
                <w:sz w:val="21"/>
                <w:szCs w:val="21"/>
                <w:highlight w:val="none"/>
              </w:rPr>
              <w:t>独立控温</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互不干扰，可设置不同温度，可独立或协同工作。</w:t>
            </w:r>
          </w:p>
          <w:p w14:paraId="6EEF708E">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预热时间：从20℃-38℃小于4分钟。</w:t>
            </w:r>
          </w:p>
          <w:p w14:paraId="7BFB5323">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w:t>
            </w:r>
            <w:r>
              <w:rPr>
                <w:rFonts w:hint="eastAsia" w:ascii="宋体" w:hAnsi="宋体" w:eastAsia="宋体" w:cs="宋体"/>
                <w:color w:val="auto"/>
                <w:kern w:val="0"/>
                <w:sz w:val="21"/>
                <w:szCs w:val="21"/>
                <w:highlight w:val="none"/>
              </w:rPr>
              <w:t>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温度可调范围：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33℃-43℃，连续可调，1.0℃步进，控温精度为±1.0℃</w:t>
            </w:r>
          </w:p>
          <w:p w14:paraId="251FFD52">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显示屏：微电脑PID闭环温控系统，配置高亮度彩色显示屏，可同时显示两个通道的设定温度、实时温度、加温时间。</w:t>
            </w:r>
          </w:p>
          <w:p w14:paraId="4F1F8049">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屏幕监测数据至少包括：加热时间，设定温度，当前温度，故障信息。</w:t>
            </w:r>
          </w:p>
          <w:p w14:paraId="6A234378">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薄膜按键：轻触按键，操作可靠。</w:t>
            </w:r>
          </w:p>
          <w:p w14:paraId="6D90B709">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高温报警：超过44℃系统声光报警自动停止加热。</w:t>
            </w:r>
          </w:p>
          <w:p w14:paraId="23334B1C">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低温提示：运行5分钟，该通道当前温度低于32℃。低温提示出现时，机器继续运行，无报警声，界面显示“运行中低温”。</w:t>
            </w:r>
          </w:p>
          <w:p w14:paraId="03E5CD76">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故障报警和故障提示：高温报警、传感器故障报警、加温器件故障报警、低温提示。</w:t>
            </w:r>
          </w:p>
          <w:p w14:paraId="2BC8C4F7">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rPr>
              <w:t>14</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rPr>
              <w:t>适用管径</w:t>
            </w:r>
            <w:r>
              <w:rPr>
                <w:rFonts w:hint="eastAsia" w:ascii="宋体" w:hAnsi="宋体" w:eastAsia="宋体" w:cs="宋体"/>
                <w:color w:val="auto"/>
                <w:kern w:val="0"/>
                <w:sz w:val="21"/>
                <w:szCs w:val="21"/>
                <w:highlight w:val="none"/>
              </w:rPr>
              <w:t>范围</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3.5-5mm。</w:t>
            </w:r>
          </w:p>
          <w:p w14:paraId="7F254C25">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设备组成：主机、加热条、固定装置组成。</w:t>
            </w:r>
          </w:p>
          <w:p w14:paraId="10F406F0">
            <w:pPr>
              <w:wordWrap w:val="0"/>
              <w:topLinePunct/>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重量</w:t>
            </w:r>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rPr>
              <w:t>2.5kg。</w:t>
            </w:r>
          </w:p>
          <w:p w14:paraId="2376129F">
            <w:pPr>
              <w:pStyle w:val="126"/>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color w:val="auto"/>
                <w:kern w:val="0"/>
                <w:sz w:val="21"/>
                <w:szCs w:val="21"/>
                <w:highlight w:val="none"/>
              </w:rPr>
              <w:t>17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正常工作条件：环境温度</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 xml:space="preserve"> +10°C－ +40°C；相对湿度</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30%－80%；大气压力</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700hPa－</w:t>
            </w:r>
            <w:r>
              <w:rPr>
                <w:rFonts w:hint="eastAsia" w:ascii="宋体" w:hAnsi="宋体" w:eastAsia="宋体" w:cs="宋体"/>
                <w:kern w:val="0"/>
                <w:sz w:val="21"/>
                <w:szCs w:val="21"/>
                <w:highlight w:val="none"/>
              </w:rPr>
              <w:t>1060hPa。</w:t>
            </w:r>
          </w:p>
        </w:tc>
        <w:tc>
          <w:tcPr>
            <w:tcW w:w="1134" w:type="dxa"/>
            <w:vAlign w:val="center"/>
          </w:tcPr>
          <w:p w14:paraId="6800BD72">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35000</w:t>
            </w:r>
          </w:p>
        </w:tc>
        <w:tc>
          <w:tcPr>
            <w:tcW w:w="1275" w:type="dxa"/>
            <w:vAlign w:val="center"/>
          </w:tcPr>
          <w:p w14:paraId="49E92C83">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35000</w:t>
            </w:r>
          </w:p>
        </w:tc>
      </w:tr>
      <w:tr w14:paraId="6FD6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4782B598">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w:t>
            </w:r>
          </w:p>
        </w:tc>
        <w:tc>
          <w:tcPr>
            <w:tcW w:w="1387" w:type="dxa"/>
            <w:vAlign w:val="center"/>
          </w:tcPr>
          <w:p w14:paraId="6B59FF8C">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产后康复综合治疗仪</w:t>
            </w:r>
          </w:p>
        </w:tc>
        <w:tc>
          <w:tcPr>
            <w:tcW w:w="728" w:type="dxa"/>
            <w:vAlign w:val="center"/>
          </w:tcPr>
          <w:p w14:paraId="22548ACE">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2B919FC0">
            <w:pPr>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4775" w:type="dxa"/>
            <w:vAlign w:val="center"/>
          </w:tcPr>
          <w:p w14:paraId="2D4B4772">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rPr>
              <w:t>1．适用</w:t>
            </w:r>
            <w:r>
              <w:rPr>
                <w:rFonts w:hint="eastAsia" w:ascii="宋体" w:hAnsi="宋体" w:eastAsia="宋体" w:cs="宋体"/>
                <w:kern w:val="0"/>
                <w:sz w:val="21"/>
                <w:szCs w:val="21"/>
                <w:highlight w:val="none"/>
                <w:lang w:val="en-US" w:eastAsia="zh-CN"/>
              </w:rPr>
              <w:t>于</w:t>
            </w:r>
            <w:r>
              <w:rPr>
                <w:rFonts w:hint="eastAsia" w:ascii="宋体" w:hAnsi="宋体" w:eastAsia="宋体" w:cs="宋体"/>
                <w:kern w:val="0"/>
                <w:sz w:val="21"/>
                <w:szCs w:val="21"/>
                <w:highlight w:val="none"/>
              </w:rPr>
              <w:t>肌肉功能障碍、催乳、产后排尿、子宫复旧以及镇痛的治疗。</w:t>
            </w:r>
          </w:p>
          <w:p w14:paraId="6E62636B">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rPr>
              <w:t>2．独立刺激通道≥四个，可扩展为八个通道。</w:t>
            </w:r>
          </w:p>
          <w:p w14:paraId="27E0B5D6">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3．肌电测量范围</w:t>
            </w:r>
            <w:r>
              <w:rPr>
                <w:rFonts w:hint="eastAsia" w:ascii="宋体" w:hAnsi="宋体" w:eastAsia="宋体" w:cs="宋体"/>
                <w:kern w:val="0"/>
                <w:sz w:val="21"/>
                <w:szCs w:val="21"/>
                <w:highlight w:val="none"/>
                <w:lang w:val="en-US" w:eastAsia="zh-CN"/>
              </w:rPr>
              <w:t>包括但不限于</w:t>
            </w:r>
            <w:r>
              <w:rPr>
                <w:rFonts w:hint="eastAsia" w:ascii="宋体" w:hAnsi="宋体" w:eastAsia="宋体" w:cs="宋体"/>
                <w:kern w:val="0"/>
                <w:sz w:val="21"/>
                <w:szCs w:val="21"/>
                <w:highlight w:val="none"/>
              </w:rPr>
              <w:t>1-2500μV，肌电信号分辨率≤0.5μV，差模输入阻抗≥8 MΩ。</w:t>
            </w:r>
          </w:p>
          <w:p w14:paraId="6B948CA7">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4．外置电流调节旋钮≥四个，可分别对刺激通道的电流强度进行独立调节。</w:t>
            </w:r>
          </w:p>
          <w:p w14:paraId="0DA6A93A">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5．便携电容触屏，屏幕尺寸≥10寸，整机重量≤3Kg，刺激频率</w:t>
            </w:r>
            <w:r>
              <w:rPr>
                <w:rFonts w:hint="eastAsia" w:ascii="宋体" w:hAnsi="宋体" w:eastAsia="宋体" w:cs="宋体"/>
                <w:kern w:val="0"/>
                <w:sz w:val="21"/>
                <w:szCs w:val="21"/>
                <w:highlight w:val="none"/>
                <w:lang w:val="en-US" w:eastAsia="zh-CN"/>
              </w:rPr>
              <w:t>包括但不限于</w:t>
            </w:r>
            <w:r>
              <w:rPr>
                <w:rFonts w:hint="eastAsia" w:ascii="宋体" w:hAnsi="宋体" w:eastAsia="宋体" w:cs="宋体"/>
                <w:kern w:val="0"/>
                <w:sz w:val="21"/>
                <w:szCs w:val="21"/>
                <w:highlight w:val="none"/>
              </w:rPr>
              <w:t>0.5–500Hz，刺激脉宽</w:t>
            </w:r>
            <w:r>
              <w:rPr>
                <w:rFonts w:hint="eastAsia" w:ascii="宋体" w:hAnsi="宋体" w:eastAsia="宋体" w:cs="宋体"/>
                <w:kern w:val="0"/>
                <w:sz w:val="21"/>
                <w:szCs w:val="21"/>
                <w:highlight w:val="none"/>
                <w:lang w:val="en-US" w:eastAsia="zh-CN"/>
              </w:rPr>
              <w:t>包括但不限于</w:t>
            </w:r>
            <w:r>
              <w:rPr>
                <w:rFonts w:hint="eastAsia" w:ascii="宋体" w:hAnsi="宋体" w:eastAsia="宋体" w:cs="宋体"/>
                <w:kern w:val="0"/>
                <w:sz w:val="21"/>
                <w:szCs w:val="21"/>
                <w:highlight w:val="none"/>
              </w:rPr>
              <w:t>20–900μs，具有至少两套不同UI界面。</w:t>
            </w:r>
          </w:p>
          <w:p w14:paraId="46DB5303">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rPr>
              <w:t>6．内置高容量锂电池，插拔式设计，容量≥6000mAH，续航时间≥7小时。内置指纹识别模块、蓝牙及wifi模块。</w:t>
            </w:r>
          </w:p>
          <w:p w14:paraId="0BAE5DF2">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cs="宋体"/>
                <w:color w:val="auto"/>
                <w:szCs w:val="21"/>
                <w:highlight w:val="none"/>
              </w:rPr>
              <w:t>▲</w:t>
            </w:r>
            <w:r>
              <w:rPr>
                <w:rFonts w:hint="eastAsia" w:ascii="宋体" w:hAnsi="宋体" w:eastAsia="宋体" w:cs="宋体"/>
                <w:kern w:val="0"/>
                <w:sz w:val="21"/>
                <w:szCs w:val="21"/>
                <w:highlight w:val="none"/>
              </w:rPr>
              <w:t>7．可实现单相波、双相波及交互波等多种刺激波形进行刺激。</w:t>
            </w:r>
          </w:p>
          <w:p w14:paraId="3D90C494">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8．具有联网功能模块，支持护士工作站、医生工作站、同类设备以及服务器联网。 </w:t>
            </w:r>
          </w:p>
          <w:p w14:paraId="7BADB6AD">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9．具有多种康复方案，包括尿潴留、子宫复旧、腹直肌分离等，且每个方案具有操作示意图。</w:t>
            </w:r>
          </w:p>
          <w:p w14:paraId="0CC56D4F">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10．可实现方案通道数量的自定义设置，对于四通道方案，在选择方案时仅需选择一次即可完成。</w:t>
            </w:r>
          </w:p>
          <w:p w14:paraId="50C81875">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11．实时智能检测各刺激通道阻抗，出现脱落等异常情况自动报警提示。</w:t>
            </w:r>
          </w:p>
          <w:p w14:paraId="7AEF29F8">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12．可实现变频刺激、关联刺激、多阶段刺激、时序刺激等刺激模式。</w:t>
            </w:r>
          </w:p>
          <w:p w14:paraId="7404D539">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13．治疗过程中可实现多个电刺激参数调整，包括刺激波形、刺激频率、刺激脉宽、波升时间、波降时间、刺激时间和休息时间等。</w:t>
            </w:r>
          </w:p>
          <w:p w14:paraId="6A8D2640">
            <w:pPr>
              <w:wordWrap w:val="0"/>
              <w:topLinePunct/>
              <w:spacing w:line="360" w:lineRule="auto"/>
              <w:ind w:left="0" w:leftChars="0"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14．支持方案参数自定义，可导入外部方案，可设置产康疗程次数。</w:t>
            </w:r>
          </w:p>
          <w:p w14:paraId="65549610">
            <w:pPr>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kern w:val="0"/>
                <w:sz w:val="21"/>
                <w:szCs w:val="21"/>
                <w:highlight w:val="none"/>
              </w:rPr>
              <w:t>15．设备需登录使用，可对使用者进行管理，包括新增、删除等操作，同时，也可对使用者的操作权限进行设置，包括病历修改、删除等操作。</w:t>
            </w:r>
          </w:p>
        </w:tc>
        <w:tc>
          <w:tcPr>
            <w:tcW w:w="1134" w:type="dxa"/>
            <w:vAlign w:val="center"/>
          </w:tcPr>
          <w:p w14:paraId="65950A33">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42000</w:t>
            </w:r>
          </w:p>
        </w:tc>
        <w:tc>
          <w:tcPr>
            <w:tcW w:w="1275" w:type="dxa"/>
            <w:vAlign w:val="center"/>
          </w:tcPr>
          <w:p w14:paraId="4B0F1A20">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42000</w:t>
            </w:r>
          </w:p>
        </w:tc>
      </w:tr>
      <w:tr w14:paraId="0FE6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7B801FB6">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11</w:t>
            </w:r>
          </w:p>
        </w:tc>
        <w:tc>
          <w:tcPr>
            <w:tcW w:w="1387" w:type="dxa"/>
            <w:vAlign w:val="center"/>
          </w:tcPr>
          <w:p w14:paraId="67537F53">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电切内窥镜</w:t>
            </w:r>
          </w:p>
        </w:tc>
        <w:tc>
          <w:tcPr>
            <w:tcW w:w="728" w:type="dxa"/>
            <w:vAlign w:val="center"/>
          </w:tcPr>
          <w:p w14:paraId="1877EF5D">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p>
        </w:tc>
        <w:tc>
          <w:tcPr>
            <w:tcW w:w="699" w:type="dxa"/>
            <w:gridSpan w:val="2"/>
            <w:vAlign w:val="center"/>
          </w:tcPr>
          <w:p w14:paraId="0E046F96">
            <w:pPr>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4775" w:type="dxa"/>
            <w:vAlign w:val="center"/>
          </w:tcPr>
          <w:p w14:paraId="0DB2CBCA">
            <w:pPr>
              <w:wordWrap w:val="0"/>
              <w:topLinePunct/>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kern w:val="0"/>
                <w:sz w:val="21"/>
                <w:szCs w:val="21"/>
                <w:highlight w:val="none"/>
              </w:rPr>
              <w:t>一、电切镜（22Fr）</w:t>
            </w:r>
          </w:p>
          <w:p w14:paraId="01B1F583">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r>
              <w:rPr>
                <w:rFonts w:hint="eastAsia" w:ascii="宋体" w:hAnsi="宋体" w:eastAsia="宋体" w:cs="宋体"/>
                <w:kern w:val="0"/>
                <w:sz w:val="21"/>
                <w:szCs w:val="21"/>
                <w:highlight w:val="none"/>
                <w:lang w:val="en-US" w:eastAsia="zh-CN"/>
              </w:rPr>
              <w:t>.</w:t>
            </w:r>
            <w:r>
              <w:rPr>
                <w:rFonts w:hint="eastAsia" w:ascii="宋体" w:hAnsi="宋体" w:eastAsia="宋体" w:cs="宋体"/>
                <w:sz w:val="21"/>
                <w:szCs w:val="21"/>
                <w:highlight w:val="none"/>
              </w:rPr>
              <w:t>内窥镜镜头：12°蓝宝石镜，Φ2.9mm，工作长度≤302mm</w:t>
            </w:r>
            <w:r>
              <w:rPr>
                <w:rFonts w:hint="eastAsia" w:ascii="宋体" w:hAnsi="宋体" w:eastAsia="宋体" w:cs="宋体"/>
                <w:kern w:val="0"/>
                <w:sz w:val="21"/>
                <w:szCs w:val="21"/>
                <w:highlight w:val="none"/>
                <w:lang w:eastAsia="zh-CN"/>
              </w:rPr>
              <w:t>。</w:t>
            </w:r>
          </w:p>
          <w:p w14:paraId="0F3215EC">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工作把手，被动式</w:t>
            </w:r>
            <w:r>
              <w:rPr>
                <w:rFonts w:hint="eastAsia" w:ascii="宋体" w:hAnsi="宋体" w:eastAsia="宋体" w:cs="宋体"/>
                <w:kern w:val="0"/>
                <w:sz w:val="21"/>
                <w:szCs w:val="21"/>
                <w:highlight w:val="none"/>
                <w:lang w:eastAsia="zh-CN"/>
              </w:rPr>
              <w:t>。</w:t>
            </w:r>
          </w:p>
          <w:p w14:paraId="4DB5D417">
            <w:pPr>
              <w:widowControl/>
              <w:wordWrap w:val="0"/>
              <w:topLinePunct/>
              <w:autoSpaceDE/>
              <w:autoSpaceDN/>
              <w:adjustRightInd w:val="0"/>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内鞘：≤21Fr</w:t>
            </w:r>
            <w:r>
              <w:rPr>
                <w:rFonts w:hint="eastAsia" w:ascii="宋体" w:hAnsi="宋体" w:eastAsia="宋体" w:cs="宋体"/>
                <w:kern w:val="0"/>
                <w:sz w:val="21"/>
                <w:szCs w:val="21"/>
                <w:highlight w:val="none"/>
                <w:lang w:eastAsia="zh-CN"/>
              </w:rPr>
              <w:t>。</w:t>
            </w:r>
          </w:p>
          <w:p w14:paraId="35364C96">
            <w:pPr>
              <w:widowControl/>
              <w:wordWrap w:val="0"/>
              <w:topLinePunct/>
              <w:autoSpaceDE/>
              <w:autoSpaceDN/>
              <w:adjustRightInd w:val="0"/>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外鞘：≤22Fr，带进、出水通道和控制开关</w:t>
            </w:r>
            <w:r>
              <w:rPr>
                <w:rFonts w:hint="eastAsia" w:ascii="宋体" w:hAnsi="宋体" w:eastAsia="宋体" w:cs="宋体"/>
                <w:kern w:val="0"/>
                <w:sz w:val="21"/>
                <w:szCs w:val="21"/>
                <w:highlight w:val="none"/>
                <w:lang w:eastAsia="zh-CN"/>
              </w:rPr>
              <w:t>。</w:t>
            </w:r>
          </w:p>
          <w:p w14:paraId="106873C6">
            <w:pPr>
              <w:widowControl/>
              <w:wordWrap w:val="0"/>
              <w:topLinePunct/>
              <w:autoSpaceDE/>
              <w:autoSpaceDN/>
              <w:adjustRightInd w:val="0"/>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内窥镜镜头可高温高压灭菌</w:t>
            </w:r>
            <w:r>
              <w:rPr>
                <w:rFonts w:hint="eastAsia" w:ascii="宋体" w:hAnsi="宋体" w:eastAsia="宋体" w:cs="宋体"/>
                <w:kern w:val="0"/>
                <w:sz w:val="21"/>
                <w:szCs w:val="21"/>
                <w:highlight w:val="none"/>
                <w:lang w:eastAsia="zh-CN"/>
              </w:rPr>
              <w:t>。</w:t>
            </w:r>
          </w:p>
          <w:p w14:paraId="654DFED0">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 xml:space="preserve">电切镜具备防堵塞功能，具备狭窄宫腔环境下的持续水循环能力，保持视野清晰。  </w:t>
            </w:r>
          </w:p>
          <w:p w14:paraId="3C19D8EE">
            <w:pPr>
              <w:wordWrap w:val="0"/>
              <w:topLinePunct/>
              <w:spacing w:line="360" w:lineRule="auto"/>
              <w:ind w:firstLine="420" w:firstLineChars="200"/>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7</w:t>
            </w:r>
            <w:r>
              <w:rPr>
                <w:rFonts w:hint="eastAsia" w:ascii="宋体" w:hAnsi="宋体" w:eastAsia="宋体" w:cs="宋体"/>
                <w:kern w:val="0"/>
                <w:sz w:val="21"/>
                <w:szCs w:val="21"/>
                <w:highlight w:val="none"/>
                <w:lang w:val="en-US" w:eastAsia="zh-CN"/>
              </w:rPr>
              <w:t>.</w:t>
            </w:r>
            <w:r>
              <w:rPr>
                <w:rFonts w:hint="eastAsia" w:ascii="宋体" w:hAnsi="宋体" w:eastAsia="宋体" w:cs="宋体"/>
                <w:sz w:val="21"/>
                <w:szCs w:val="21"/>
                <w:highlight w:val="none"/>
              </w:rPr>
              <w:t>视场角≥65°</w:t>
            </w:r>
            <w:r>
              <w:rPr>
                <w:rFonts w:hint="eastAsia" w:ascii="宋体" w:hAnsi="宋体" w:eastAsia="宋体" w:cs="宋体"/>
                <w:kern w:val="0"/>
                <w:sz w:val="21"/>
                <w:szCs w:val="21"/>
                <w:highlight w:val="none"/>
                <w:lang w:eastAsia="zh-CN"/>
              </w:rPr>
              <w:t>。</w:t>
            </w:r>
          </w:p>
          <w:p w14:paraId="358C61D2">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镜头有效景深范围3~100mm</w:t>
            </w:r>
            <w:r>
              <w:rPr>
                <w:rFonts w:hint="eastAsia" w:ascii="宋体" w:hAnsi="宋体" w:eastAsia="宋体" w:cs="宋体"/>
                <w:kern w:val="0"/>
                <w:sz w:val="21"/>
                <w:szCs w:val="21"/>
                <w:highlight w:val="none"/>
                <w:lang w:eastAsia="zh-CN"/>
              </w:rPr>
              <w:t>。</w:t>
            </w:r>
          </w:p>
          <w:p w14:paraId="724143F2">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镜头视场中心角分辨力≥3.0 C/（°）</w:t>
            </w:r>
            <w:r>
              <w:rPr>
                <w:rFonts w:hint="eastAsia" w:ascii="宋体" w:hAnsi="宋体" w:eastAsia="宋体" w:cs="宋体"/>
                <w:kern w:val="0"/>
                <w:sz w:val="21"/>
                <w:szCs w:val="21"/>
                <w:highlight w:val="none"/>
                <w:lang w:eastAsia="zh-CN"/>
              </w:rPr>
              <w:t>。</w:t>
            </w:r>
          </w:p>
          <w:p w14:paraId="24CC24DB">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镜头综合镜体光效SLeR≥0.35</w:t>
            </w:r>
            <w:r>
              <w:rPr>
                <w:rFonts w:hint="eastAsia" w:ascii="宋体" w:hAnsi="宋体" w:eastAsia="宋体" w:cs="宋体"/>
                <w:kern w:val="0"/>
                <w:sz w:val="21"/>
                <w:szCs w:val="21"/>
                <w:highlight w:val="none"/>
                <w:lang w:eastAsia="zh-CN"/>
              </w:rPr>
              <w:t>。</w:t>
            </w:r>
          </w:p>
          <w:p w14:paraId="74566BFF">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11</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闭孔器，具备主动弯曲功能，面对后曲子宫等异位情况更便于置入。</w:t>
            </w:r>
          </w:p>
          <w:p w14:paraId="68EE9461">
            <w:pPr>
              <w:wordWrap w:val="0"/>
              <w:topLinePunct/>
              <w:spacing w:line="360" w:lineRule="auto"/>
              <w:ind w:firstLine="420" w:firstLineChars="200"/>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kern w:val="0"/>
                <w:sz w:val="21"/>
                <w:szCs w:val="21"/>
                <w:highlight w:val="none"/>
              </w:rPr>
              <w:t>12</w:t>
            </w:r>
            <w:r>
              <w:rPr>
                <w:rFonts w:hint="eastAsia" w:ascii="宋体" w:hAnsi="宋体" w:eastAsia="宋体" w:cs="宋体"/>
                <w:kern w:val="0"/>
                <w:sz w:val="21"/>
                <w:szCs w:val="21"/>
                <w:highlight w:val="none"/>
                <w:lang w:val="en-US" w:eastAsia="zh-CN"/>
              </w:rPr>
              <w:t>.</w:t>
            </w:r>
            <w:r>
              <w:rPr>
                <w:rFonts w:hint="eastAsia" w:ascii="宋体" w:hAnsi="宋体" w:eastAsia="宋体" w:cs="宋体"/>
                <w:kern w:val="0"/>
                <w:sz w:val="21"/>
                <w:szCs w:val="21"/>
                <w:highlight w:val="none"/>
              </w:rPr>
              <w:t>要求电切镜及手术电极为三类医疗器械注册证</w:t>
            </w:r>
            <w:r>
              <w:rPr>
                <w:rFonts w:hint="eastAsia" w:ascii="宋体" w:hAnsi="宋体" w:eastAsia="宋体" w:cs="宋体"/>
                <w:kern w:val="0"/>
                <w:sz w:val="21"/>
                <w:szCs w:val="21"/>
                <w:highlight w:val="none"/>
                <w:lang w:eastAsia="zh-CN"/>
              </w:rPr>
              <w:t>。</w:t>
            </w:r>
          </w:p>
          <w:p w14:paraId="3D26182F">
            <w:pPr>
              <w:wordWrap w:val="0"/>
              <w:topLinePunct/>
              <w:spacing w:line="360" w:lineRule="auto"/>
              <w:ind w:firstLine="420" w:firstLineChars="200"/>
              <w:jc w:val="left"/>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13</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手术电极总长度：</w:t>
            </w:r>
            <w:r>
              <w:rPr>
                <w:rFonts w:hint="eastAsia" w:ascii="宋体" w:hAnsi="宋体" w:eastAsia="宋体" w:cs="宋体"/>
                <w:color w:val="000000"/>
                <w:sz w:val="21"/>
                <w:szCs w:val="21"/>
                <w:highlight w:val="none"/>
                <w:lang w:val="en-US" w:eastAsia="zh-CN"/>
              </w:rPr>
              <w:t>263mm±1mm。</w:t>
            </w:r>
          </w:p>
          <w:p w14:paraId="2185BA74">
            <w:pPr>
              <w:wordWrap w:val="0"/>
              <w:topLinePunct/>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具有环状、针状、球状等形状，且可重复灭菌使用。</w:t>
            </w:r>
          </w:p>
          <w:p w14:paraId="335F8E3B">
            <w:pPr>
              <w:wordWrap w:val="0"/>
              <w:topLinePunct/>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使用期限</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5年，手术电极连续切割寿命</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2小时。</w:t>
            </w:r>
          </w:p>
          <w:p w14:paraId="440AE00C">
            <w:pPr>
              <w:wordWrap w:val="0"/>
              <w:topLinePunct/>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手术电极采用分体式设计，高频线与手术电极可拆分，方便医生手术过程中更换刀头。</w:t>
            </w:r>
          </w:p>
          <w:p w14:paraId="4830032D">
            <w:pPr>
              <w:wordWrap w:val="0"/>
              <w:topLinePunct/>
              <w:spacing w:line="360" w:lineRule="auto"/>
              <w:ind w:firstLine="420" w:firstLineChars="200"/>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17</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val="en-US" w:eastAsia="zh-CN"/>
              </w:rPr>
              <w:t>免转接适配器，电切镜与手术电极兼容医院现有各品牌能量主机设备</w:t>
            </w:r>
            <w:r>
              <w:rPr>
                <w:rFonts w:hint="eastAsia" w:ascii="宋体" w:hAnsi="宋体" w:cs="宋体"/>
                <w:color w:val="000000"/>
                <w:sz w:val="21"/>
                <w:szCs w:val="21"/>
                <w:highlight w:val="none"/>
                <w:lang w:val="en-US" w:eastAsia="zh-CN"/>
              </w:rPr>
              <w:t>。</w:t>
            </w:r>
          </w:p>
          <w:p w14:paraId="5965B053">
            <w:pPr>
              <w:wordWrap w:val="0"/>
              <w:topLinePunct/>
              <w:spacing w:line="360" w:lineRule="auto"/>
              <w:ind w:firstLine="420" w:firstLineChars="200"/>
              <w:rPr>
                <w:rFonts w:hint="eastAsia" w:ascii="宋体" w:hAnsi="宋体" w:eastAsia="宋体" w:cs="宋体"/>
                <w:kern w:val="0"/>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kern w:val="0"/>
                <w:sz w:val="21"/>
                <w:szCs w:val="21"/>
                <w:highlight w:val="none"/>
              </w:rPr>
              <w:t>二、</w:t>
            </w:r>
            <w:r>
              <w:rPr>
                <w:rFonts w:hint="eastAsia" w:ascii="宋体" w:hAnsi="宋体" w:eastAsia="宋体" w:cs="宋体"/>
                <w:kern w:val="0"/>
                <w:sz w:val="21"/>
                <w:szCs w:val="21"/>
                <w:highlight w:val="none"/>
                <w:lang w:val="en-US" w:eastAsia="zh-CN"/>
              </w:rPr>
              <w:t>配置清单</w:t>
            </w:r>
          </w:p>
          <w:tbl>
            <w:tblPr>
              <w:tblStyle w:val="48"/>
              <w:tblW w:w="3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52"/>
              <w:gridCol w:w="568"/>
              <w:gridCol w:w="625"/>
            </w:tblGrid>
            <w:tr w14:paraId="3EE2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817" w:type="dxa"/>
                  <w:noWrap w:val="0"/>
                  <w:vAlign w:val="center"/>
                </w:tcPr>
                <w:p w14:paraId="5A989324">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序号</w:t>
                  </w:r>
                </w:p>
              </w:tc>
              <w:tc>
                <w:tcPr>
                  <w:tcW w:w="1852" w:type="dxa"/>
                  <w:noWrap w:val="0"/>
                  <w:vAlign w:val="center"/>
                </w:tcPr>
                <w:p w14:paraId="05702974">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产品名称</w:t>
                  </w:r>
                </w:p>
              </w:tc>
              <w:tc>
                <w:tcPr>
                  <w:tcW w:w="568" w:type="dxa"/>
                  <w:noWrap w:val="0"/>
                  <w:vAlign w:val="center"/>
                </w:tcPr>
                <w:p w14:paraId="60E0FA55">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数量</w:t>
                  </w:r>
                </w:p>
              </w:tc>
              <w:tc>
                <w:tcPr>
                  <w:tcW w:w="625" w:type="dxa"/>
                  <w:noWrap w:val="0"/>
                  <w:vAlign w:val="center"/>
                </w:tcPr>
                <w:p w14:paraId="6A01BEAA">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单位</w:t>
                  </w:r>
                </w:p>
              </w:tc>
            </w:tr>
            <w:tr w14:paraId="2F9B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6B65854C">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852" w:type="dxa"/>
                  <w:noWrap w:val="0"/>
                  <w:vAlign w:val="center"/>
                </w:tcPr>
                <w:p w14:paraId="5D7F270D">
                  <w:pPr>
                    <w:numPr>
                      <w:ilvl w:val="-1"/>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内窥镜</w:t>
                  </w:r>
                </w:p>
              </w:tc>
              <w:tc>
                <w:tcPr>
                  <w:tcW w:w="568" w:type="dxa"/>
                  <w:noWrap w:val="0"/>
                  <w:vAlign w:val="center"/>
                </w:tcPr>
                <w:p w14:paraId="2BE44CB0">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4CDF4E6E">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5D17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61730388">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852" w:type="dxa"/>
                  <w:noWrap w:val="0"/>
                  <w:vAlign w:val="center"/>
                </w:tcPr>
                <w:p w14:paraId="09735487">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工作把手</w:t>
                  </w:r>
                </w:p>
              </w:tc>
              <w:tc>
                <w:tcPr>
                  <w:tcW w:w="568" w:type="dxa"/>
                  <w:noWrap w:val="0"/>
                  <w:vAlign w:val="center"/>
                </w:tcPr>
                <w:p w14:paraId="6A3EEC7E">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625" w:type="dxa"/>
                  <w:noWrap w:val="0"/>
                  <w:vAlign w:val="center"/>
                </w:tcPr>
                <w:p w14:paraId="2398AF04">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把</w:t>
                  </w:r>
                </w:p>
              </w:tc>
            </w:tr>
            <w:tr w14:paraId="330E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1CD4AC6C">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852" w:type="dxa"/>
                  <w:noWrap w:val="0"/>
                  <w:vAlign w:val="center"/>
                </w:tcPr>
                <w:p w14:paraId="7A21E47E">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外鞘</w:t>
                  </w:r>
                </w:p>
              </w:tc>
              <w:tc>
                <w:tcPr>
                  <w:tcW w:w="568" w:type="dxa"/>
                  <w:noWrap w:val="0"/>
                  <w:vAlign w:val="center"/>
                </w:tcPr>
                <w:p w14:paraId="79EDEE28">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69B678E2">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2A98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56BE4C8C">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1852" w:type="dxa"/>
                  <w:noWrap w:val="0"/>
                  <w:vAlign w:val="center"/>
                </w:tcPr>
                <w:p w14:paraId="2675B6AF">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内鞘</w:t>
                  </w:r>
                </w:p>
              </w:tc>
              <w:tc>
                <w:tcPr>
                  <w:tcW w:w="568" w:type="dxa"/>
                  <w:noWrap w:val="0"/>
                  <w:vAlign w:val="center"/>
                </w:tcPr>
                <w:p w14:paraId="7F4C4FB3">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22F3F8E6">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166A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17" w:type="dxa"/>
                  <w:noWrap w:val="0"/>
                  <w:vAlign w:val="center"/>
                </w:tcPr>
                <w:p w14:paraId="6E49FE0C">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w:t>
                  </w:r>
                </w:p>
              </w:tc>
              <w:tc>
                <w:tcPr>
                  <w:tcW w:w="1852" w:type="dxa"/>
                  <w:noWrap w:val="0"/>
                  <w:vAlign w:val="center"/>
                </w:tcPr>
                <w:p w14:paraId="648AD2C6">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闭孔器</w:t>
                  </w:r>
                </w:p>
              </w:tc>
              <w:tc>
                <w:tcPr>
                  <w:tcW w:w="568" w:type="dxa"/>
                  <w:noWrap w:val="0"/>
                  <w:vAlign w:val="center"/>
                </w:tcPr>
                <w:p w14:paraId="6CF35458">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3574E5BD">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19B3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6A01B62E">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w:t>
                  </w:r>
                </w:p>
              </w:tc>
              <w:tc>
                <w:tcPr>
                  <w:tcW w:w="1852" w:type="dxa"/>
                  <w:noWrap w:val="0"/>
                  <w:vAlign w:val="center"/>
                </w:tcPr>
                <w:p w14:paraId="507796E8">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环形电极</w:t>
                  </w:r>
                </w:p>
              </w:tc>
              <w:tc>
                <w:tcPr>
                  <w:tcW w:w="568" w:type="dxa"/>
                  <w:noWrap w:val="0"/>
                  <w:vAlign w:val="center"/>
                </w:tcPr>
                <w:p w14:paraId="46963133">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3</w:t>
                  </w:r>
                </w:p>
              </w:tc>
              <w:tc>
                <w:tcPr>
                  <w:tcW w:w="625" w:type="dxa"/>
                  <w:noWrap w:val="0"/>
                  <w:vAlign w:val="center"/>
                </w:tcPr>
                <w:p w14:paraId="6F0718C1">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151C8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6474581B">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p>
              </w:tc>
              <w:tc>
                <w:tcPr>
                  <w:tcW w:w="1852" w:type="dxa"/>
                  <w:noWrap w:val="0"/>
                  <w:vAlign w:val="center"/>
                </w:tcPr>
                <w:p w14:paraId="44F94B4F">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针形电极</w:t>
                  </w:r>
                </w:p>
              </w:tc>
              <w:tc>
                <w:tcPr>
                  <w:tcW w:w="568" w:type="dxa"/>
                  <w:noWrap w:val="0"/>
                  <w:vAlign w:val="center"/>
                </w:tcPr>
                <w:p w14:paraId="7BACB6F1">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2D43E6C9">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60DB6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17" w:type="dxa"/>
                  <w:noWrap w:val="0"/>
                  <w:vAlign w:val="center"/>
                </w:tcPr>
                <w:p w14:paraId="2466AE30">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w:t>
                  </w:r>
                </w:p>
              </w:tc>
              <w:tc>
                <w:tcPr>
                  <w:tcW w:w="1852" w:type="dxa"/>
                  <w:noWrap w:val="0"/>
                  <w:vAlign w:val="center"/>
                </w:tcPr>
                <w:p w14:paraId="49B4E16C">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球形电极</w:t>
                  </w:r>
                </w:p>
              </w:tc>
              <w:tc>
                <w:tcPr>
                  <w:tcW w:w="568" w:type="dxa"/>
                  <w:noWrap w:val="0"/>
                  <w:vAlign w:val="center"/>
                </w:tcPr>
                <w:p w14:paraId="52CEAF0C">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04122002">
                  <w:pPr>
                    <w:numPr>
                      <w:ilvl w:val="0"/>
                      <w:numId w:val="0"/>
                    </w:numPr>
                    <w:spacing w:line="360" w:lineRule="auto"/>
                    <w:ind w:left="0" w:leftChars="0" w:firstLine="0" w:firstLineChars="0"/>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支</w:t>
                  </w:r>
                </w:p>
              </w:tc>
            </w:tr>
            <w:tr w14:paraId="5BF8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noWrap w:val="0"/>
                  <w:vAlign w:val="center"/>
                </w:tcPr>
                <w:p w14:paraId="16F995F0">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1852" w:type="dxa"/>
                  <w:noWrap w:val="0"/>
                  <w:vAlign w:val="center"/>
                </w:tcPr>
                <w:p w14:paraId="096B0C13">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高频线</w:t>
                  </w:r>
                </w:p>
              </w:tc>
              <w:tc>
                <w:tcPr>
                  <w:tcW w:w="568" w:type="dxa"/>
                  <w:noWrap w:val="0"/>
                  <w:vAlign w:val="center"/>
                </w:tcPr>
                <w:p w14:paraId="4CAF9661">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2F9C5AAE">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kern w:val="0"/>
                      <w:sz w:val="21"/>
                      <w:szCs w:val="21"/>
                      <w:highlight w:val="none"/>
                    </w:rPr>
                    <w:t>条</w:t>
                  </w:r>
                </w:p>
              </w:tc>
            </w:tr>
            <w:tr w14:paraId="45FA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7" w:type="dxa"/>
                  <w:noWrap w:val="0"/>
                  <w:vAlign w:val="center"/>
                </w:tcPr>
                <w:p w14:paraId="6CA5400F">
                  <w:pPr>
                    <w:numPr>
                      <w:ilvl w:val="0"/>
                      <w:numId w:val="0"/>
                    </w:num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852" w:type="dxa"/>
                  <w:noWrap w:val="0"/>
                  <w:vAlign w:val="center"/>
                </w:tcPr>
                <w:p w14:paraId="7F654535">
                  <w:pPr>
                    <w:numPr>
                      <w:ilvl w:val="0"/>
                      <w:numId w:val="0"/>
                    </w:num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消毒盒</w:t>
                  </w:r>
                </w:p>
              </w:tc>
              <w:tc>
                <w:tcPr>
                  <w:tcW w:w="568" w:type="dxa"/>
                  <w:noWrap w:val="0"/>
                  <w:vAlign w:val="center"/>
                </w:tcPr>
                <w:p w14:paraId="79805C02">
                  <w:pPr>
                    <w:numPr>
                      <w:ilvl w:val="0"/>
                      <w:numId w:val="0"/>
                    </w:numPr>
                    <w:spacing w:line="360" w:lineRule="auto"/>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1</w:t>
                  </w:r>
                </w:p>
              </w:tc>
              <w:tc>
                <w:tcPr>
                  <w:tcW w:w="625" w:type="dxa"/>
                  <w:noWrap w:val="0"/>
                  <w:vAlign w:val="center"/>
                </w:tcPr>
                <w:p w14:paraId="49DD3E3E">
                  <w:pPr>
                    <w:numPr>
                      <w:ilvl w:val="0"/>
                      <w:numId w:val="0"/>
                    </w:numPr>
                    <w:spacing w:line="360" w:lineRule="auto"/>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个</w:t>
                  </w:r>
                </w:p>
              </w:tc>
            </w:tr>
          </w:tbl>
          <w:p w14:paraId="61322550">
            <w:pPr>
              <w:pStyle w:val="126"/>
              <w:spacing w:line="360" w:lineRule="auto"/>
              <w:ind w:left="0" w:leftChars="0" w:firstLine="0" w:firstLineChars="0"/>
              <w:jc w:val="left"/>
              <w:rPr>
                <w:rFonts w:hint="eastAsia" w:ascii="宋体" w:hAnsi="宋体" w:cs="宋体"/>
                <w:b w:val="0"/>
                <w:bCs w:val="0"/>
                <w:color w:val="auto"/>
                <w:szCs w:val="21"/>
                <w:highlight w:val="none"/>
              </w:rPr>
            </w:pPr>
          </w:p>
        </w:tc>
        <w:tc>
          <w:tcPr>
            <w:tcW w:w="1134" w:type="dxa"/>
            <w:vAlign w:val="center"/>
          </w:tcPr>
          <w:p w14:paraId="6AF78BC0">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125000</w:t>
            </w:r>
          </w:p>
        </w:tc>
        <w:tc>
          <w:tcPr>
            <w:tcW w:w="1275" w:type="dxa"/>
            <w:vAlign w:val="center"/>
          </w:tcPr>
          <w:p w14:paraId="69DE20E1">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250000</w:t>
            </w:r>
          </w:p>
        </w:tc>
      </w:tr>
      <w:tr w14:paraId="6F9D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78BE9C63">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12</w:t>
            </w:r>
          </w:p>
        </w:tc>
        <w:tc>
          <w:tcPr>
            <w:tcW w:w="1387" w:type="dxa"/>
            <w:vAlign w:val="center"/>
          </w:tcPr>
          <w:p w14:paraId="03E97C4F">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肌瘤破碎器</w:t>
            </w:r>
          </w:p>
        </w:tc>
        <w:tc>
          <w:tcPr>
            <w:tcW w:w="728" w:type="dxa"/>
            <w:vAlign w:val="center"/>
          </w:tcPr>
          <w:p w14:paraId="04B3A126">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6C2BB432">
            <w:pPr>
              <w:jc w:val="center"/>
              <w:rPr>
                <w:rFonts w:hint="eastAsia" w:ascii="宋体" w:hAnsi="宋体" w:cs="宋体"/>
                <w:color w:val="auto"/>
                <w:szCs w:val="21"/>
                <w:highlight w:val="none"/>
              </w:rPr>
            </w:pPr>
            <w:r>
              <w:rPr>
                <w:rFonts w:hint="eastAsia" w:ascii="宋体" w:hAnsi="宋体" w:cs="宋体"/>
                <w:color w:val="auto"/>
                <w:szCs w:val="21"/>
                <w:highlight w:val="none"/>
              </w:rPr>
              <w:t>台</w:t>
            </w:r>
          </w:p>
        </w:tc>
        <w:tc>
          <w:tcPr>
            <w:tcW w:w="4775" w:type="dxa"/>
            <w:vAlign w:val="center"/>
          </w:tcPr>
          <w:p w14:paraId="4C002972">
            <w:pPr>
              <w:keepNext w:val="0"/>
              <w:keepLines w:val="0"/>
              <w:pageBreakBefore w:val="0"/>
              <w:numPr>
                <w:ilvl w:val="0"/>
                <w:numId w:val="0"/>
              </w:numPr>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 xml:space="preserve">产品特点 </w:t>
            </w:r>
          </w:p>
          <w:p w14:paraId="19141A3B">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1</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产品品种规格和功能齐全；器械头部粗糙度Ra≤0.4μm，杆部Ra≤0.8μm，其余部位Ra≤1.6μm</w:t>
            </w:r>
            <w:r>
              <w:rPr>
                <w:rFonts w:hint="eastAsia" w:ascii="宋体" w:hAnsi="宋体" w:eastAsia="宋体" w:cs="宋体"/>
                <w:kern w:val="0"/>
                <w:sz w:val="21"/>
                <w:szCs w:val="21"/>
                <w:highlight w:val="none"/>
                <w:lang w:eastAsia="zh-CN"/>
              </w:rPr>
              <w:t>。</w:t>
            </w:r>
          </w:p>
          <w:p w14:paraId="109DEFD4">
            <w:pPr>
              <w:keepNext w:val="0"/>
              <w:keepLines w:val="0"/>
              <w:pageBreakBefore w:val="0"/>
              <w:widowControl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1.2</w:t>
            </w:r>
            <w:r>
              <w:rPr>
                <w:rFonts w:hint="eastAsia" w:ascii="宋体" w:hAnsi="宋体" w:eastAsia="宋体" w:cs="宋体"/>
                <w:kern w:val="0"/>
                <w:sz w:val="21"/>
                <w:szCs w:val="21"/>
                <w:highlight w:val="none"/>
              </w:rPr>
              <w:t>电流制式：双路热备份。</w:t>
            </w:r>
          </w:p>
          <w:p w14:paraId="168F96C8">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kern w:val="0"/>
                <w:sz w:val="21"/>
                <w:szCs w:val="21"/>
                <w:highlight w:val="none"/>
                <w:lang w:val="en-US" w:eastAsia="zh-CN"/>
              </w:rPr>
              <w:t>1.3</w:t>
            </w:r>
            <w:r>
              <w:rPr>
                <w:rFonts w:hint="eastAsia" w:ascii="宋体" w:hAnsi="宋体" w:eastAsia="宋体" w:cs="宋体"/>
                <w:kern w:val="0"/>
                <w:sz w:val="21"/>
                <w:szCs w:val="21"/>
                <w:highlight w:val="none"/>
              </w:rPr>
              <w:t>采用可拆卸式电机。除手持电机内芯，其他部件均可采用高温高压消毒</w:t>
            </w:r>
            <w:r>
              <w:rPr>
                <w:rFonts w:hint="eastAsia" w:ascii="宋体" w:hAnsi="宋体" w:eastAsia="宋体" w:cs="宋体"/>
                <w:kern w:val="0"/>
                <w:sz w:val="21"/>
                <w:szCs w:val="21"/>
                <w:highlight w:val="none"/>
                <w:lang w:eastAsia="zh-CN"/>
              </w:rPr>
              <w:t>。</w:t>
            </w:r>
          </w:p>
          <w:p w14:paraId="1D6A4F30">
            <w:pPr>
              <w:keepNext w:val="0"/>
              <w:keepLines w:val="0"/>
              <w:pageBreakBefore w:val="0"/>
              <w:numPr>
                <w:ilvl w:val="0"/>
                <w:numId w:val="0"/>
              </w:numPr>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主要技术参数</w:t>
            </w:r>
          </w:p>
          <w:p w14:paraId="2D31DB91">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lang w:val="en-US" w:eastAsia="zh-CN"/>
              </w:rPr>
              <w:t>2.1</w:t>
            </w:r>
            <w:r>
              <w:rPr>
                <w:rFonts w:hint="eastAsia" w:ascii="宋体" w:hAnsi="宋体" w:eastAsia="宋体" w:cs="宋体"/>
                <w:kern w:val="0"/>
                <w:sz w:val="21"/>
                <w:szCs w:val="21"/>
                <w:highlight w:val="none"/>
              </w:rPr>
              <w:t>电动子宫切除器</w:t>
            </w:r>
            <w:r>
              <w:rPr>
                <w:rFonts w:hint="eastAsia" w:ascii="宋体" w:hAnsi="宋体" w:eastAsia="宋体" w:cs="宋体"/>
                <w:kern w:val="0"/>
                <w:sz w:val="21"/>
                <w:szCs w:val="21"/>
                <w:highlight w:val="none"/>
                <w:lang w:eastAsia="zh-CN"/>
              </w:rPr>
              <w:t>：</w:t>
            </w:r>
          </w:p>
          <w:p w14:paraId="57368824">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可调节手持电机转速，方式为无级调速，调速范围：80～220rpm，允差±10％</w:t>
            </w:r>
            <w:r>
              <w:rPr>
                <w:rFonts w:hint="eastAsia" w:ascii="宋体" w:hAnsi="宋体" w:eastAsia="宋体" w:cs="宋体"/>
                <w:kern w:val="0"/>
                <w:sz w:val="21"/>
                <w:szCs w:val="21"/>
                <w:highlight w:val="none"/>
                <w:lang w:eastAsia="zh-CN"/>
              </w:rPr>
              <w:t>。</w:t>
            </w:r>
          </w:p>
          <w:p w14:paraId="048F600A">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2.2</w:t>
            </w:r>
            <w:r>
              <w:rPr>
                <w:rFonts w:hint="eastAsia" w:ascii="宋体" w:hAnsi="宋体" w:eastAsia="宋体" w:cs="宋体"/>
                <w:kern w:val="0"/>
                <w:sz w:val="21"/>
                <w:szCs w:val="21"/>
                <w:highlight w:val="none"/>
              </w:rPr>
              <w:t>手持电机（电动马达）</w:t>
            </w:r>
          </w:p>
          <w:p w14:paraId="30B7185C">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正常工作时，温升不超过25℃；</w:t>
            </w:r>
          </w:p>
          <w:p w14:paraId="6ACFDD1C">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最大输出转矩不小于15N.cm，转速下降不大于20%；</w:t>
            </w:r>
          </w:p>
          <w:p w14:paraId="4B00502F">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对切割刀管的夹持力不小于20N；</w:t>
            </w:r>
          </w:p>
          <w:p w14:paraId="476E3416">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4</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切割器在距刀管头端6mm处，径向跳动量不大于2.0mm；</w:t>
            </w:r>
          </w:p>
          <w:p w14:paraId="21A60DB1">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kern w:val="0"/>
                <w:sz w:val="21"/>
                <w:szCs w:val="21"/>
                <w:highlight w:val="none"/>
              </w:rPr>
              <w:t>工作时的噪声：≤60 dB（A）</w:t>
            </w:r>
            <w:r>
              <w:rPr>
                <w:rFonts w:hint="eastAsia" w:ascii="宋体" w:hAnsi="宋体" w:eastAsia="宋体" w:cs="宋体"/>
                <w:kern w:val="0"/>
                <w:sz w:val="21"/>
                <w:szCs w:val="21"/>
                <w:highlight w:val="none"/>
                <w:lang w:eastAsia="zh-CN"/>
              </w:rPr>
              <w:t>。</w:t>
            </w:r>
          </w:p>
          <w:p w14:paraId="747F4FA5">
            <w:pPr>
              <w:keepNext w:val="0"/>
              <w:keepLines w:val="0"/>
              <w:pageBreakBefore w:val="0"/>
              <w:numPr>
                <w:ilvl w:val="0"/>
                <w:numId w:val="0"/>
              </w:numPr>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2.3</w:t>
            </w:r>
            <w:r>
              <w:rPr>
                <w:rFonts w:hint="eastAsia" w:ascii="宋体" w:hAnsi="宋体" w:eastAsia="宋体" w:cs="宋体"/>
                <w:kern w:val="0"/>
                <w:sz w:val="21"/>
                <w:szCs w:val="21"/>
                <w:highlight w:val="none"/>
              </w:rPr>
              <w:t>穿刺套管</w:t>
            </w:r>
          </w:p>
          <w:p w14:paraId="3445FE45">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规格：Φ15、Φ18两种；</w:t>
            </w:r>
          </w:p>
          <w:p w14:paraId="45874AE7">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穿刺套管与扩张器、切割刀管配合密封良好；</w:t>
            </w:r>
          </w:p>
          <w:p w14:paraId="2C2D7CC7">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2.4</w:t>
            </w:r>
            <w:r>
              <w:rPr>
                <w:rFonts w:hint="eastAsia" w:ascii="宋体" w:hAnsi="宋体" w:eastAsia="宋体" w:cs="宋体"/>
                <w:kern w:val="0"/>
                <w:sz w:val="21"/>
                <w:szCs w:val="21"/>
                <w:highlight w:val="none"/>
              </w:rPr>
              <w:t>抓钳</w:t>
            </w:r>
          </w:p>
          <w:p w14:paraId="20DC617F">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规格：Φ5、Φ10两种；</w:t>
            </w:r>
          </w:p>
          <w:p w14:paraId="30A89117">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抓钳头部经热处理，硬</w:t>
            </w:r>
            <w:r>
              <w:rPr>
                <w:rFonts w:hint="eastAsia" w:ascii="宋体" w:hAnsi="宋体" w:eastAsia="宋体" w:cs="宋体"/>
                <w:color w:val="auto"/>
                <w:kern w:val="0"/>
                <w:sz w:val="21"/>
                <w:szCs w:val="21"/>
                <w:highlight w:val="none"/>
              </w:rPr>
              <w:t>度</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450HV0.2～490HV0.2 ；</w:t>
            </w:r>
          </w:p>
          <w:p w14:paraId="2B0A0F45">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3</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抓钳具有良好夹持力，钳头部夹持力不小于15N</w:t>
            </w:r>
            <w:r>
              <w:rPr>
                <w:rFonts w:hint="eastAsia" w:ascii="宋体" w:hAnsi="宋体" w:eastAsia="宋体" w:cs="宋体"/>
                <w:color w:val="auto"/>
                <w:kern w:val="0"/>
                <w:sz w:val="21"/>
                <w:szCs w:val="21"/>
                <w:highlight w:val="none"/>
                <w:lang w:eastAsia="zh-CN"/>
              </w:rPr>
              <w:t>。</w:t>
            </w:r>
          </w:p>
          <w:p w14:paraId="3D8EE0CE">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2.5</w:t>
            </w:r>
            <w:r>
              <w:rPr>
                <w:rFonts w:hint="eastAsia" w:ascii="宋体" w:hAnsi="宋体" w:eastAsia="宋体" w:cs="宋体"/>
                <w:color w:val="auto"/>
                <w:kern w:val="0"/>
                <w:sz w:val="21"/>
                <w:szCs w:val="21"/>
                <w:highlight w:val="none"/>
              </w:rPr>
              <w:t>子宫抓钳</w:t>
            </w:r>
          </w:p>
          <w:p w14:paraId="5555BE43">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1</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头部经热处理，硬度</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color w:val="auto"/>
                <w:kern w:val="0"/>
                <w:sz w:val="21"/>
                <w:szCs w:val="21"/>
                <w:highlight w:val="none"/>
              </w:rPr>
              <w:t>510HV0.2～570HV0.2 ；</w:t>
            </w:r>
          </w:p>
          <w:p w14:paraId="19439682">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宫颈钳开闭灵活，锁卡牢固</w:t>
            </w:r>
            <w:r>
              <w:rPr>
                <w:rFonts w:hint="eastAsia" w:ascii="宋体" w:hAnsi="宋体" w:eastAsia="宋体" w:cs="宋体"/>
                <w:kern w:val="0"/>
                <w:sz w:val="21"/>
                <w:szCs w:val="21"/>
                <w:highlight w:val="none"/>
                <w:lang w:eastAsia="zh-CN"/>
              </w:rPr>
              <w:t>。</w:t>
            </w:r>
          </w:p>
          <w:p w14:paraId="11176A56">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2.6</w:t>
            </w:r>
            <w:r>
              <w:rPr>
                <w:rFonts w:hint="eastAsia" w:ascii="宋体" w:hAnsi="宋体" w:eastAsia="宋体" w:cs="宋体"/>
                <w:kern w:val="0"/>
                <w:sz w:val="21"/>
                <w:szCs w:val="21"/>
                <w:highlight w:val="none"/>
              </w:rPr>
              <w:t>切割刀管</w:t>
            </w:r>
          </w:p>
          <w:p w14:paraId="7B29A293">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规格：切割刀管有Φ10、Φ15、Φ18三种规格，其中Φ15、Φ18有阴式和腹式之分，阴式是由患者阴道进入子宫，所以有内芯保护头，以防锋利的刀头损伤组织。</w:t>
            </w:r>
          </w:p>
          <w:p w14:paraId="4CE4E9A6">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kern w:val="0"/>
                <w:sz w:val="21"/>
                <w:szCs w:val="21"/>
                <w:highlight w:val="none"/>
              </w:rPr>
              <w:t>头部经热处理，硬度</w:t>
            </w:r>
            <w:r>
              <w:rPr>
                <w:rFonts w:hint="eastAsia" w:ascii="宋体" w:hAnsi="宋体" w:eastAsia="宋体" w:cs="宋体"/>
                <w:color w:val="auto"/>
                <w:kern w:val="0"/>
                <w:sz w:val="21"/>
                <w:szCs w:val="21"/>
                <w:highlight w:val="none"/>
                <w:lang w:val="en-US" w:eastAsia="zh-CN"/>
              </w:rPr>
              <w:t>包括但不限于</w:t>
            </w:r>
            <w:r>
              <w:rPr>
                <w:rFonts w:hint="eastAsia" w:ascii="宋体" w:hAnsi="宋体" w:eastAsia="宋体" w:cs="宋体"/>
                <w:kern w:val="0"/>
                <w:sz w:val="21"/>
                <w:szCs w:val="21"/>
                <w:highlight w:val="none"/>
              </w:rPr>
              <w:t>370HV0.2～410HV0.2 ；头部锋利，具有良好的切割性能，在正常旋转状态下，能顺利切割泡沫、海绵等软性材料</w:t>
            </w:r>
            <w:r>
              <w:rPr>
                <w:rFonts w:hint="eastAsia" w:ascii="宋体" w:hAnsi="宋体" w:eastAsia="宋体" w:cs="宋体"/>
                <w:kern w:val="0"/>
                <w:sz w:val="21"/>
                <w:szCs w:val="21"/>
                <w:highlight w:val="none"/>
                <w:lang w:eastAsia="zh-CN"/>
              </w:rPr>
              <w:t>。</w:t>
            </w:r>
          </w:p>
          <w:p w14:paraId="4F7D553E">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2.7</w:t>
            </w:r>
            <w:r>
              <w:rPr>
                <w:rFonts w:hint="eastAsia" w:ascii="宋体" w:hAnsi="宋体" w:eastAsia="宋体" w:cs="宋体"/>
                <w:kern w:val="0"/>
                <w:sz w:val="21"/>
                <w:szCs w:val="21"/>
                <w:highlight w:val="none"/>
              </w:rPr>
              <w:t>举宫器</w:t>
            </w:r>
          </w:p>
          <w:p w14:paraId="51130E92">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弹簧机构灵活可靠，伸缩自如，无卡滞现象；</w:t>
            </w:r>
          </w:p>
          <w:p w14:paraId="6A89335A">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头部表面光滑、平直、无明显的碰伤和划痕；</w:t>
            </w:r>
          </w:p>
          <w:p w14:paraId="44E4504B">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头部粗糙度Ra≤0.4μm，杆部Ra≤0.8μm，其余部位Ra≤1.6μm</w:t>
            </w:r>
            <w:r>
              <w:rPr>
                <w:rFonts w:hint="eastAsia" w:ascii="宋体" w:hAnsi="宋体" w:eastAsia="宋体" w:cs="宋体"/>
                <w:kern w:val="0"/>
                <w:sz w:val="21"/>
                <w:szCs w:val="21"/>
                <w:highlight w:val="none"/>
                <w:lang w:eastAsia="zh-CN"/>
              </w:rPr>
              <w:t>。</w:t>
            </w:r>
          </w:p>
          <w:p w14:paraId="2DA574CC">
            <w:pPr>
              <w:keepNext w:val="0"/>
              <w:keepLines w:val="0"/>
              <w:pageBreakBefore w:val="0"/>
              <w:numPr>
                <w:ilvl w:val="0"/>
                <w:numId w:val="0"/>
              </w:numPr>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2.8</w:t>
            </w:r>
            <w:r>
              <w:rPr>
                <w:rFonts w:hint="eastAsia" w:ascii="宋体" w:hAnsi="宋体" w:eastAsia="宋体" w:cs="宋体"/>
                <w:kern w:val="0"/>
                <w:sz w:val="21"/>
                <w:szCs w:val="21"/>
                <w:highlight w:val="none"/>
              </w:rPr>
              <w:t>量棒</w:t>
            </w:r>
          </w:p>
          <w:p w14:paraId="47E96071">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表面光滑、平直、无明显的碰伤和划痕，标明刻度；</w:t>
            </w:r>
          </w:p>
          <w:p w14:paraId="7692869F">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进入腔内与人体接触部位表面粗糙度Ra≤0.4μm, 其余部位 Ra≤0.8μm。</w:t>
            </w:r>
          </w:p>
          <w:p w14:paraId="1DB19676">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2.9</w:t>
            </w:r>
            <w:r>
              <w:rPr>
                <w:rFonts w:hint="eastAsia" w:ascii="宋体" w:hAnsi="宋体" w:eastAsia="宋体" w:cs="宋体"/>
                <w:kern w:val="0"/>
                <w:sz w:val="21"/>
                <w:szCs w:val="21"/>
                <w:highlight w:val="none"/>
              </w:rPr>
              <w:t>肌瘤钻</w:t>
            </w:r>
          </w:p>
          <w:p w14:paraId="658B76EC">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表面光滑、平直、无明显的碰伤和划痕；</w:t>
            </w:r>
          </w:p>
          <w:p w14:paraId="4CFAEDAE">
            <w:pPr>
              <w:pStyle w:val="21"/>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进入腔内与人体接触部位表面粗糙度Ra≤0.4μm， 其余部位 Ra≤0.8μm；钻头锋利，在50N 力作用下能顺利穿刺子宫肌瘤；</w:t>
            </w:r>
          </w:p>
          <w:p w14:paraId="78B6DAC0">
            <w:pPr>
              <w:pStyle w:val="21"/>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 xml:space="preserve">钻头硬度≥450HV0.2。 </w:t>
            </w:r>
          </w:p>
          <w:p w14:paraId="22898DB8">
            <w:pPr>
              <w:keepNext w:val="0"/>
              <w:keepLines w:val="0"/>
              <w:pageBreakBefore w:val="0"/>
              <w:numPr>
                <w:ilvl w:val="0"/>
                <w:numId w:val="0"/>
              </w:numPr>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bidi="ar-SA"/>
              </w:rPr>
              <w:t>2.10</w:t>
            </w:r>
            <w:r>
              <w:rPr>
                <w:rFonts w:hint="eastAsia" w:ascii="宋体" w:hAnsi="宋体" w:eastAsia="宋体" w:cs="宋体"/>
                <w:kern w:val="0"/>
                <w:sz w:val="21"/>
                <w:szCs w:val="21"/>
                <w:highlight w:val="none"/>
              </w:rPr>
              <w:t>推结棒</w:t>
            </w:r>
          </w:p>
          <w:p w14:paraId="53CEE5AB">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表面光滑、平直、无明显的碰伤和划痕；</w:t>
            </w:r>
          </w:p>
          <w:p w14:paraId="38EB927C">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进入腔内与人体接触部位表面粗糙度Ra≤0.4μm, 其余部位Ra≤0.8μm；</w:t>
            </w:r>
          </w:p>
          <w:p w14:paraId="2A1E58AE">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能顺利通过转换器，并密封良好，在1min 内渗水不多于5滴。</w:t>
            </w:r>
          </w:p>
          <w:p w14:paraId="7555B1A2">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2.11</w:t>
            </w:r>
            <w:r>
              <w:rPr>
                <w:rFonts w:hint="eastAsia" w:ascii="宋体" w:hAnsi="宋体" w:eastAsia="宋体" w:cs="宋体"/>
                <w:kern w:val="0"/>
                <w:sz w:val="21"/>
                <w:szCs w:val="21"/>
                <w:highlight w:val="none"/>
              </w:rPr>
              <w:t>引导棒</w:t>
            </w:r>
          </w:p>
          <w:p w14:paraId="2D655C4C">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表面光滑、平直、无明显的碰伤和划痕；</w:t>
            </w:r>
          </w:p>
          <w:p w14:paraId="211181B1">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进入腔内与人体接触部位表面粗糙度Ra≤0.4μm， 其余部位 Ra≤0.8μm；能顺利进入扩张器。</w:t>
            </w:r>
          </w:p>
          <w:p w14:paraId="637CBC47">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2.12</w:t>
            </w:r>
            <w:r>
              <w:rPr>
                <w:rFonts w:hint="eastAsia" w:ascii="宋体" w:hAnsi="宋体" w:eastAsia="宋体" w:cs="宋体"/>
                <w:kern w:val="0"/>
                <w:sz w:val="21"/>
                <w:szCs w:val="21"/>
                <w:highlight w:val="none"/>
              </w:rPr>
              <w:t>扩张器</w:t>
            </w:r>
          </w:p>
          <w:p w14:paraId="3EE4E15F">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表面光滑、平直、无明显的碰伤和划痕；</w:t>
            </w:r>
          </w:p>
          <w:p w14:paraId="30792B29">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进入腔内与人体接触部位表面粗糙度Ra≤0.4μm，其余部位Ra≤0.8μm；</w:t>
            </w:r>
          </w:p>
          <w:p w14:paraId="7B63F2E9">
            <w:pPr>
              <w:keepNext w:val="0"/>
              <w:keepLines w:val="0"/>
              <w:pageBreakBefore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能顺利进入穿刺套管。</w:t>
            </w:r>
          </w:p>
          <w:p w14:paraId="79ACD03F">
            <w:pPr>
              <w:keepNext w:val="0"/>
              <w:keepLines w:val="0"/>
              <w:pageBreakBefore w:val="0"/>
              <w:kinsoku/>
              <w:wordWrap w:val="0"/>
              <w:overflowPunct/>
              <w:topLinePunct/>
              <w:autoSpaceDE/>
              <w:autoSpaceDN/>
              <w:bidi w:val="0"/>
              <w:adjustRightInd/>
              <w:snapToGrid/>
              <w:spacing w:line="360" w:lineRule="auto"/>
              <w:ind w:left="0" w:leftChars="0"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2.13</w:t>
            </w:r>
            <w:r>
              <w:rPr>
                <w:rFonts w:hint="eastAsia" w:ascii="宋体" w:hAnsi="宋体" w:eastAsia="宋体" w:cs="宋体"/>
                <w:kern w:val="0"/>
                <w:sz w:val="21"/>
                <w:szCs w:val="21"/>
                <w:highlight w:val="none"/>
              </w:rPr>
              <w:t>转换器</w:t>
            </w:r>
          </w:p>
          <w:p w14:paraId="60B891E9">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D:Φ15+0.3,Φ18+0.3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L（mm）:50～150</w:t>
            </w:r>
            <w:r>
              <w:rPr>
                <w:rFonts w:hint="eastAsia" w:ascii="宋体" w:hAnsi="宋体" w:cs="宋体"/>
                <w:kern w:val="0"/>
                <w:sz w:val="21"/>
                <w:szCs w:val="21"/>
                <w:highlight w:val="none"/>
                <w:lang w:eastAsia="zh-CN"/>
              </w:rPr>
              <w:t>；</w:t>
            </w:r>
          </w:p>
          <w:p w14:paraId="3971F21C">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表面光滑、平直、无明显的碰伤和划痕；</w:t>
            </w:r>
          </w:p>
          <w:p w14:paraId="2E7713FC">
            <w:pPr>
              <w:pStyle w:val="21"/>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表面粗糙度Ra≤0.4μm，其余部位 Ra≤0.8μm；</w:t>
            </w:r>
          </w:p>
          <w:p w14:paraId="31EA9984">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4</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能顺利进入穿刺套管。</w:t>
            </w:r>
          </w:p>
          <w:p w14:paraId="31F78395">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2.14</w:t>
            </w:r>
            <w:r>
              <w:rPr>
                <w:rFonts w:hint="eastAsia" w:ascii="宋体" w:hAnsi="宋体" w:eastAsia="宋体" w:cs="宋体"/>
                <w:kern w:val="0"/>
                <w:sz w:val="21"/>
                <w:szCs w:val="21"/>
                <w:highlight w:val="none"/>
              </w:rPr>
              <w:t>拨棒</w:t>
            </w:r>
          </w:p>
          <w:p w14:paraId="20314345">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1</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D(直径)Φ5±0.2 mm</w:t>
            </w:r>
            <w:r>
              <w:rPr>
                <w:rFonts w:hint="eastAsia" w:ascii="宋体" w:hAnsi="宋体" w:eastAsia="宋体" w:cs="宋体"/>
                <w:kern w:val="0"/>
                <w:sz w:val="21"/>
                <w:szCs w:val="21"/>
                <w:highlight w:val="none"/>
                <w:lang w:eastAsia="zh-CN"/>
              </w:rPr>
              <w:t>；</w:t>
            </w:r>
          </w:p>
          <w:p w14:paraId="3D8A2225">
            <w:pPr>
              <w:keepNext w:val="0"/>
              <w:keepLines w:val="0"/>
              <w:pageBreakBefore w:val="0"/>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rPr>
              <w:t>L(工作长度)420±5mm</w:t>
            </w:r>
            <w:r>
              <w:rPr>
                <w:rFonts w:hint="eastAsia" w:ascii="宋体" w:hAnsi="宋体" w:eastAsia="宋体" w:cs="宋体"/>
                <w:kern w:val="0"/>
                <w:sz w:val="21"/>
                <w:szCs w:val="21"/>
                <w:highlight w:val="none"/>
                <w:lang w:eastAsia="zh-CN"/>
              </w:rPr>
              <w:t>；</w:t>
            </w:r>
          </w:p>
          <w:p w14:paraId="132CD4DE">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 xml:space="preserve"> 表面光滑、平直、无明显的碰伤和划痕；</w:t>
            </w:r>
          </w:p>
          <w:p w14:paraId="6290FD0B">
            <w:pPr>
              <w:pStyle w:val="21"/>
              <w:keepNext w:val="0"/>
              <w:keepLines w:val="0"/>
              <w:pageBreakBefore w:val="0"/>
              <w:widowControl/>
              <w:kinsoku/>
              <w:wordWrap w:val="0"/>
              <w:overflowPunct/>
              <w:topLinePunct/>
              <w:autoSpaceDE/>
              <w:autoSpaceDN/>
              <w:bidi w:val="0"/>
              <w:adjustRightInd/>
              <w:snapToGrid/>
              <w:spacing w:line="360" w:lineRule="auto"/>
              <w:ind w:left="0" w:leftChars="0" w:firstLine="420" w:firstLineChars="200"/>
              <w:textAlignment w:val="auto"/>
              <w:rPr>
                <w:rFonts w:hint="eastAsia" w:ascii="宋体" w:hAnsi="宋体" w:eastAsia="宋体" w:cs="宋体"/>
                <w:kern w:val="0"/>
                <w:sz w:val="21"/>
                <w:szCs w:val="21"/>
                <w:highlight w:val="none"/>
                <w:lang w:eastAsia="zh-CN"/>
              </w:rPr>
            </w:pPr>
            <w:r>
              <w:rPr>
                <w:rFonts w:hint="eastAsia" w:ascii="宋体" w:hAnsi="宋体" w:cs="宋体"/>
                <w:kern w:val="0"/>
                <w:sz w:val="21"/>
                <w:szCs w:val="21"/>
                <w:highlight w:val="none"/>
                <w:lang w:eastAsia="zh-CN"/>
              </w:rPr>
              <w:t>（</w:t>
            </w:r>
            <w:r>
              <w:rPr>
                <w:rFonts w:hint="eastAsia" w:ascii="宋体" w:hAnsi="宋体" w:cs="宋体"/>
                <w:kern w:val="0"/>
                <w:sz w:val="21"/>
                <w:szCs w:val="21"/>
                <w:highlight w:val="none"/>
                <w:lang w:val="en-US" w:eastAsia="zh-CN"/>
              </w:rPr>
              <w:t>4</w:t>
            </w:r>
            <w:r>
              <w:rPr>
                <w:rFonts w:hint="eastAsia" w:ascii="宋体" w:hAnsi="宋体" w:cs="宋体"/>
                <w:kern w:val="0"/>
                <w:sz w:val="21"/>
                <w:szCs w:val="21"/>
                <w:highlight w:val="none"/>
                <w:lang w:eastAsia="zh-CN"/>
              </w:rPr>
              <w:t>）</w:t>
            </w:r>
            <w:r>
              <w:rPr>
                <w:rFonts w:hint="eastAsia" w:ascii="宋体" w:hAnsi="宋体" w:eastAsia="宋体" w:cs="宋体"/>
                <w:kern w:val="0"/>
                <w:sz w:val="21"/>
                <w:szCs w:val="21"/>
                <w:highlight w:val="none"/>
                <w:lang w:eastAsia="zh-CN"/>
              </w:rPr>
              <w:t>进入腔内与人体接触部位表面粗糙度Ra≤0.4μm, 其余部位 Ra≤0.8μm。</w:t>
            </w:r>
          </w:p>
          <w:p w14:paraId="29E6B307">
            <w:pPr>
              <w:pStyle w:val="21"/>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FF0000"/>
                <w:kern w:val="0"/>
                <w:sz w:val="21"/>
                <w:szCs w:val="21"/>
                <w:highlight w:val="none"/>
                <w:lang w:val="en-US" w:eastAsia="zh-CN"/>
              </w:rPr>
            </w:pPr>
            <w:r>
              <w:rPr>
                <w:rFonts w:hint="eastAsia" w:ascii="宋体" w:hAnsi="宋体" w:eastAsia="宋体" w:cs="宋体"/>
                <w:color w:val="FF0000"/>
                <w:kern w:val="0"/>
                <w:sz w:val="21"/>
                <w:szCs w:val="21"/>
                <w:highlight w:val="non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配置清单</w:t>
            </w:r>
          </w:p>
          <w:tbl>
            <w:tblPr>
              <w:tblStyle w:val="48"/>
              <w:tblW w:w="4413" w:type="dxa"/>
              <w:tblInd w:w="-5" w:type="dxa"/>
              <w:tblLayout w:type="fixed"/>
              <w:tblCellMar>
                <w:top w:w="0" w:type="dxa"/>
                <w:left w:w="108" w:type="dxa"/>
                <w:bottom w:w="0" w:type="dxa"/>
                <w:right w:w="108" w:type="dxa"/>
              </w:tblCellMar>
            </w:tblPr>
            <w:tblGrid>
              <w:gridCol w:w="603"/>
              <w:gridCol w:w="1065"/>
              <w:gridCol w:w="1617"/>
              <w:gridCol w:w="582"/>
              <w:gridCol w:w="546"/>
            </w:tblGrid>
            <w:tr w14:paraId="7BFB43F3">
              <w:tblPrEx>
                <w:tblCellMar>
                  <w:top w:w="0" w:type="dxa"/>
                  <w:left w:w="108" w:type="dxa"/>
                  <w:bottom w:w="0" w:type="dxa"/>
                  <w:right w:w="108" w:type="dxa"/>
                </w:tblCellMar>
              </w:tblPrEx>
              <w:trPr>
                <w:trHeight w:val="618"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C9DA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序号</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3E9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产品名称</w:t>
                  </w:r>
                </w:p>
              </w:tc>
              <w:tc>
                <w:tcPr>
                  <w:tcW w:w="1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BFC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规格型号（mm）</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1BB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数量</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6DD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单位</w:t>
                  </w:r>
                </w:p>
              </w:tc>
            </w:tr>
            <w:tr w14:paraId="5A60746B">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973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0DB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切割刀管（腹式）</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9C5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φ10×320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07E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B76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2C5EE3DF">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74C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80D0">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切割刀管（腹式）</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AFB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φ15×320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D18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53F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7F2E067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378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B41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切割刀管（腹式）</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721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φ18×320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881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2D69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475589FD">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9B1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E17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切割刀管（阴式）</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1E8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φ15×320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F09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D68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0744FB6D">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18CD">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356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切割刀管（阴式）</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DA6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φ18×320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D26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8BC0">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5BBB455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A6C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7A4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量棒</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1AB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φ5×500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202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26A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085F538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FE6C">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9731D">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拨棒</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AF5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φ5×420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2B28">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F90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60B5ECB8">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8D7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B01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穿刺套管</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E9D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φ15×105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01D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1E6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740ED1FF">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9E9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CD3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穿刺套管</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588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φ18×105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FBFD">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156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43A3081C">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889E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40D10">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扩张器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5D5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φ10/φ15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4BAC">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FBE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2E53FD0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B05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A07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扩张器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CD3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φ10/φ18</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F51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9DA2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68BF4671">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A04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DDB5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引导棒</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071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φ10×330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085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1E9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4E865C8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792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C3B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转换器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E0F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φ15-φ5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247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933C">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1066192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7E9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CF3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转换器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7CC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φ18-φ5</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C4648">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0C9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50E1E35B">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63E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BD8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推结棒</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F1E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φ5×330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231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1CD8D">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1BB8B3CF">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E69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65E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抓钳</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224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φ10×420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364C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06E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把</w:t>
                  </w:r>
                </w:p>
              </w:tc>
            </w:tr>
            <w:tr w14:paraId="313423A6">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0F28">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17</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743D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抓钳</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1825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φ5×420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947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DF86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把</w:t>
                  </w:r>
                </w:p>
              </w:tc>
            </w:tr>
            <w:tr w14:paraId="41EA0683">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618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18</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83A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举宫器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12ED">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400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1D3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2F47C">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把</w:t>
                  </w:r>
                </w:p>
              </w:tc>
            </w:tr>
            <w:tr w14:paraId="5367C64D">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827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19</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B920">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肌瘤钻</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6A68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φ5×420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413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682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600B3040">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DC6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20</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47E2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肌瘤钻</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EDA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φ10×420</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23F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4FD6">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73A2A3A0">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BEF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21</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81E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子宫抓钳</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DD5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161B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9520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把</w:t>
                  </w:r>
                </w:p>
              </w:tc>
            </w:tr>
            <w:tr w14:paraId="51B971B3">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92E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22</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0CB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子宫抓钳（加长）</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09E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E868">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AD9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把</w:t>
                  </w:r>
                </w:p>
              </w:tc>
            </w:tr>
            <w:tr w14:paraId="156DBCD3">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FD6A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23</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D5B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电动子宫切除器</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8D0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B9ABF">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0A9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台</w:t>
                  </w:r>
                </w:p>
              </w:tc>
            </w:tr>
            <w:tr w14:paraId="60B5B3B0">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B95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24</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CECE">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手持电机</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8120">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760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3F0E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台</w:t>
                  </w:r>
                </w:p>
              </w:tc>
            </w:tr>
            <w:tr w14:paraId="6E0E3F47">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E7C3">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25</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854C5">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电源线</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BE61">
                  <w:pPr>
                    <w:keepNext w:val="0"/>
                    <w:keepLines w:val="0"/>
                    <w:pageBreakBefore w:val="0"/>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492B">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82BA">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w:t>
                  </w:r>
                </w:p>
              </w:tc>
            </w:tr>
            <w:tr w14:paraId="4F13B5F8">
              <w:tblPrEx>
                <w:tblCellMar>
                  <w:top w:w="0" w:type="dxa"/>
                  <w:left w:w="108" w:type="dxa"/>
                  <w:bottom w:w="0" w:type="dxa"/>
                  <w:right w:w="108" w:type="dxa"/>
                </w:tblCellMar>
              </w:tblPrEx>
              <w:trPr>
                <w:trHeight w:val="341"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ADE9">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26</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993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密封帽</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E1D7">
                  <w:pPr>
                    <w:keepNext w:val="0"/>
                    <w:keepLines w:val="0"/>
                    <w:pageBreakBefore w:val="0"/>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DF84">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85B1">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只</w:t>
                  </w:r>
                </w:p>
              </w:tc>
            </w:tr>
            <w:tr w14:paraId="0AD054B4">
              <w:tblPrEx>
                <w:tblCellMar>
                  <w:top w:w="0" w:type="dxa"/>
                  <w:left w:w="108" w:type="dxa"/>
                  <w:bottom w:w="0" w:type="dxa"/>
                  <w:right w:w="108" w:type="dxa"/>
                </w:tblCellMar>
              </w:tblPrEx>
              <w:trPr>
                <w:trHeight w:val="485" w:hRule="atLeast"/>
              </w:trPr>
              <w:tc>
                <w:tcPr>
                  <w:tcW w:w="6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650B">
                  <w:pPr>
                    <w:keepNext w:val="0"/>
                    <w:keepLines w:val="0"/>
                    <w:pageBreakBefore w:val="0"/>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8B02">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535F">
                  <w:pPr>
                    <w:keepNext w:val="0"/>
                    <w:keepLines w:val="0"/>
                    <w:pageBreakBefore w:val="0"/>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E087">
                  <w:pPr>
                    <w:keepNext w:val="0"/>
                    <w:keepLines w:val="0"/>
                    <w:pageBreakBefore w:val="0"/>
                    <w:widowControl/>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4FC8">
                  <w:pPr>
                    <w:keepNext w:val="0"/>
                    <w:keepLines w:val="0"/>
                    <w:pageBreakBefore w:val="0"/>
                    <w:kinsoku/>
                    <w:wordWrap w:val="0"/>
                    <w:overflowPunct/>
                    <w:topLinePunct/>
                    <w:autoSpaceDE/>
                    <w:autoSpaceDN/>
                    <w:bidi w:val="0"/>
                    <w:adjustRightInd/>
                    <w:snapToGrid/>
                    <w:spacing w:line="360" w:lineRule="auto"/>
                    <w:ind w:left="0" w:leftChars="0"/>
                    <w:jc w:val="center"/>
                    <w:textAlignment w:val="auto"/>
                    <w:rPr>
                      <w:rFonts w:hint="eastAsia" w:ascii="宋体" w:hAnsi="宋体" w:eastAsia="宋体" w:cs="宋体"/>
                      <w:color w:val="000000"/>
                      <w:sz w:val="21"/>
                      <w:szCs w:val="21"/>
                      <w:highlight w:val="none"/>
                    </w:rPr>
                  </w:pPr>
                </w:p>
              </w:tc>
            </w:tr>
          </w:tbl>
          <w:p w14:paraId="2FCF112F">
            <w:pPr>
              <w:pStyle w:val="126"/>
              <w:spacing w:line="360" w:lineRule="auto"/>
              <w:ind w:left="0" w:leftChars="0" w:firstLine="0" w:firstLineChars="0"/>
              <w:jc w:val="left"/>
              <w:rPr>
                <w:rFonts w:hint="eastAsia" w:ascii="宋体" w:hAnsi="宋体" w:cs="宋体"/>
                <w:b w:val="0"/>
                <w:bCs w:val="0"/>
                <w:color w:val="auto"/>
                <w:szCs w:val="21"/>
                <w:highlight w:val="none"/>
              </w:rPr>
            </w:pPr>
          </w:p>
        </w:tc>
        <w:tc>
          <w:tcPr>
            <w:tcW w:w="1134" w:type="dxa"/>
            <w:vAlign w:val="center"/>
          </w:tcPr>
          <w:p w14:paraId="72299956">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68000</w:t>
            </w:r>
          </w:p>
        </w:tc>
        <w:tc>
          <w:tcPr>
            <w:tcW w:w="1275" w:type="dxa"/>
            <w:vAlign w:val="center"/>
          </w:tcPr>
          <w:p w14:paraId="176FA3B8">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68000</w:t>
            </w:r>
          </w:p>
        </w:tc>
      </w:tr>
      <w:tr w14:paraId="417E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4B935ABF">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13</w:t>
            </w:r>
          </w:p>
        </w:tc>
        <w:tc>
          <w:tcPr>
            <w:tcW w:w="1387" w:type="dxa"/>
            <w:vAlign w:val="center"/>
          </w:tcPr>
          <w:p w14:paraId="6972C432">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举宫器</w:t>
            </w:r>
          </w:p>
        </w:tc>
        <w:tc>
          <w:tcPr>
            <w:tcW w:w="728" w:type="dxa"/>
            <w:vAlign w:val="center"/>
          </w:tcPr>
          <w:p w14:paraId="3A0D84AF">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08F13322">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台</w:t>
            </w:r>
          </w:p>
        </w:tc>
        <w:tc>
          <w:tcPr>
            <w:tcW w:w="4775" w:type="dxa"/>
            <w:vAlign w:val="center"/>
          </w:tcPr>
          <w:p w14:paraId="670B2119">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1.</w:t>
            </w:r>
            <w:r>
              <w:rPr>
                <w:rFonts w:hint="eastAsia" w:ascii="宋体" w:hAnsi="宋体" w:cs="宋体"/>
                <w:bCs/>
                <w:color w:val="000000" w:themeColor="text1"/>
                <w:kern w:val="0"/>
                <w:sz w:val="21"/>
                <w:szCs w:val="21"/>
                <w:highlight w:val="none"/>
                <w14:textFill>
                  <w14:solidFill>
                    <w14:schemeClr w14:val="tx1"/>
                  </w14:solidFill>
                </w14:textFill>
              </w:rPr>
              <w:t>尺寸：D(外径)Φ15±0.2 L(长度)330±10</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0CF2A603">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2.</w:t>
            </w:r>
            <w:r>
              <w:rPr>
                <w:rFonts w:hint="eastAsia" w:ascii="宋体" w:hAnsi="宋体" w:cs="宋体"/>
                <w:bCs/>
                <w:color w:val="000000" w:themeColor="text1"/>
                <w:kern w:val="0"/>
                <w:sz w:val="21"/>
                <w:szCs w:val="21"/>
                <w:highlight w:val="none"/>
                <w14:textFill>
                  <w14:solidFill>
                    <w14:schemeClr w14:val="tx1"/>
                  </w14:solidFill>
                </w14:textFill>
              </w:rPr>
              <w:t>手柄：d(内径)Φ15.5±0.2   L(长度)210±10</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2D06D8B8">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3.</w:t>
            </w:r>
            <w:r>
              <w:rPr>
                <w:rFonts w:hint="eastAsia" w:ascii="宋体" w:hAnsi="宋体" w:cs="宋体"/>
                <w:bCs/>
                <w:color w:val="000000" w:themeColor="text1"/>
                <w:kern w:val="0"/>
                <w:sz w:val="21"/>
                <w:szCs w:val="21"/>
                <w:highlight w:val="none"/>
                <w14:textFill>
                  <w14:solidFill>
                    <w14:schemeClr w14:val="tx1"/>
                  </w14:solidFill>
                </w14:textFill>
              </w:rPr>
              <w:t>引导棒：D(外径)Φ5±0.2  L(长度)480± 10</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6A1D6607">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4.</w:t>
            </w:r>
            <w:r>
              <w:rPr>
                <w:rFonts w:hint="eastAsia" w:ascii="宋体" w:hAnsi="宋体" w:cs="宋体"/>
                <w:bCs/>
                <w:color w:val="000000" w:themeColor="text1"/>
                <w:kern w:val="0"/>
                <w:sz w:val="21"/>
                <w:szCs w:val="21"/>
                <w:highlight w:val="none"/>
                <w14:textFill>
                  <w14:solidFill>
                    <w14:schemeClr w14:val="tx1"/>
                  </w14:solidFill>
                </w14:textFill>
              </w:rPr>
              <w:t>举宫杯 ：D(外径)Φ46/Φ41/Φ38</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31D0A595">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5.</w:t>
            </w:r>
            <w:r>
              <w:rPr>
                <w:rFonts w:hint="eastAsia" w:ascii="宋体" w:hAnsi="宋体" w:cs="宋体"/>
                <w:bCs/>
                <w:color w:val="000000" w:themeColor="text1"/>
                <w:kern w:val="0"/>
                <w:sz w:val="21"/>
                <w:szCs w:val="21"/>
                <w:highlight w:val="none"/>
                <w14:textFill>
                  <w14:solidFill>
                    <w14:schemeClr w14:val="tx1"/>
                  </w14:solidFill>
                </w14:textFill>
              </w:rPr>
              <w:t>操纵头：D(外径) Φ18/Φ15</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242BF42C">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6.</w:t>
            </w:r>
            <w:r>
              <w:rPr>
                <w:rFonts w:hint="eastAsia" w:ascii="宋体" w:hAnsi="宋体" w:cs="宋体"/>
                <w:bCs/>
                <w:color w:val="000000" w:themeColor="text1"/>
                <w:kern w:val="0"/>
                <w:sz w:val="21"/>
                <w:szCs w:val="21"/>
                <w:highlight w:val="none"/>
                <w14:textFill>
                  <w14:solidFill>
                    <w14:schemeClr w14:val="tx1"/>
                  </w14:solidFill>
                </w14:textFill>
              </w:rPr>
              <w:t>粗糙度：头部Ra≤0.8µm</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3F8984ED">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7.</w:t>
            </w:r>
            <w:r>
              <w:rPr>
                <w:rFonts w:hint="eastAsia" w:ascii="宋体" w:hAnsi="宋体" w:cs="宋体"/>
                <w:bCs/>
                <w:color w:val="000000" w:themeColor="text1"/>
                <w:kern w:val="0"/>
                <w:sz w:val="21"/>
                <w:szCs w:val="21"/>
                <w:highlight w:val="none"/>
                <w14:textFill>
                  <w14:solidFill>
                    <w14:schemeClr w14:val="tx1"/>
                  </w14:solidFill>
                </w14:textFill>
              </w:rPr>
              <w:t>消毒灭菌：压力蒸汽灭菌，过氧化氢低温等离子体灭菌</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64246A41">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8.</w:t>
            </w:r>
            <w:r>
              <w:rPr>
                <w:rFonts w:hint="eastAsia" w:ascii="宋体" w:hAnsi="宋体" w:cs="宋体"/>
                <w:bCs/>
                <w:color w:val="000000" w:themeColor="text1"/>
                <w:kern w:val="0"/>
                <w:sz w:val="21"/>
                <w:szCs w:val="21"/>
                <w:highlight w:val="none"/>
                <w14:textFill>
                  <w14:solidFill>
                    <w14:schemeClr w14:val="tx1"/>
                  </w14:solidFill>
                </w14:textFill>
              </w:rPr>
              <w:t>密封性能：引导棒进入操纵杆，1min内渗漏不多于5滴</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p w14:paraId="7B71F3CA">
            <w:pPr>
              <w:wordWrap w:val="0"/>
              <w:topLinePunct/>
              <w:spacing w:line="360" w:lineRule="auto"/>
              <w:ind w:firstLine="420" w:firstLineChars="200"/>
              <w:jc w:val="left"/>
              <w:rPr>
                <w:rFonts w:hint="eastAsia"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lang w:val="en-US" w:eastAsia="zh-CN"/>
                <w14:textFill>
                  <w14:solidFill>
                    <w14:schemeClr w14:val="tx1"/>
                  </w14:solidFill>
                </w14:textFill>
              </w:rPr>
              <w:t>9.</w:t>
            </w:r>
            <w:r>
              <w:rPr>
                <w:rFonts w:hint="eastAsia" w:ascii="宋体" w:hAnsi="宋体" w:cs="宋体"/>
                <w:bCs/>
                <w:color w:val="000000" w:themeColor="text1"/>
                <w:kern w:val="0"/>
                <w:sz w:val="21"/>
                <w:szCs w:val="21"/>
                <w:highlight w:val="none"/>
                <w14:textFill>
                  <w14:solidFill>
                    <w14:schemeClr w14:val="tx1"/>
                  </w14:solidFill>
                </w14:textFill>
              </w:rPr>
              <w:t>耐腐蚀性能：b级，耐酸、耐碱（YY/T 0149标准 ）</w:t>
            </w: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w:t>
            </w:r>
          </w:p>
          <w:tbl>
            <w:tblPr>
              <w:tblStyle w:val="48"/>
              <w:tblW w:w="3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0"/>
              <w:gridCol w:w="1485"/>
              <w:gridCol w:w="689"/>
              <w:gridCol w:w="625"/>
            </w:tblGrid>
            <w:tr w14:paraId="07F4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79" w:type="dxa"/>
                  <w:gridSpan w:val="4"/>
                  <w:noWrap w:val="0"/>
                  <w:vAlign w:val="top"/>
                </w:tcPr>
                <w:p w14:paraId="4A4F567E">
                  <w:pPr>
                    <w:numPr>
                      <w:ilvl w:val="0"/>
                      <w:numId w:val="0"/>
                    </w:numPr>
                    <w:spacing w:line="360" w:lineRule="auto"/>
                    <w:jc w:val="center"/>
                    <w:rPr>
                      <w:rFonts w:hint="eastAsia" w:ascii="宋体" w:hAnsi="宋体" w:cs="Arial"/>
                      <w:color w:val="auto"/>
                      <w:szCs w:val="21"/>
                      <w:highlight w:val="none"/>
                      <w:vertAlign w:val="baseli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配置</w:t>
                  </w:r>
                  <w:r>
                    <w:rPr>
                      <w:rFonts w:hint="eastAsia" w:ascii="宋体" w:hAnsi="宋体" w:eastAsia="宋体" w:cs="宋体"/>
                      <w:color w:val="auto"/>
                      <w:kern w:val="0"/>
                      <w:sz w:val="21"/>
                      <w:szCs w:val="21"/>
                      <w:highlight w:val="none"/>
                      <w:lang w:val="en-US" w:eastAsia="zh-CN"/>
                    </w:rPr>
                    <w:t>清单</w:t>
                  </w:r>
                </w:p>
              </w:tc>
            </w:tr>
            <w:tr w14:paraId="26AE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1180" w:type="dxa"/>
                  <w:noWrap w:val="0"/>
                  <w:vAlign w:val="center"/>
                </w:tcPr>
                <w:p w14:paraId="26B75993">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auto"/>
                      <w:kern w:val="0"/>
                      <w:sz w:val="21"/>
                      <w:szCs w:val="21"/>
                      <w:highlight w:val="none"/>
                    </w:rPr>
                    <w:t>产品名称</w:t>
                  </w:r>
                </w:p>
              </w:tc>
              <w:tc>
                <w:tcPr>
                  <w:tcW w:w="1485" w:type="dxa"/>
                  <w:noWrap w:val="0"/>
                  <w:vAlign w:val="center"/>
                </w:tcPr>
                <w:p w14:paraId="03C5B304">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auto"/>
                      <w:kern w:val="0"/>
                      <w:sz w:val="21"/>
                      <w:szCs w:val="21"/>
                      <w:highlight w:val="none"/>
                    </w:rPr>
                    <w:t>规格型号（mm）</w:t>
                  </w:r>
                </w:p>
              </w:tc>
              <w:tc>
                <w:tcPr>
                  <w:tcW w:w="689" w:type="dxa"/>
                  <w:noWrap w:val="0"/>
                  <w:vAlign w:val="center"/>
                </w:tcPr>
                <w:p w14:paraId="56D0AC77">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auto"/>
                      <w:kern w:val="0"/>
                      <w:sz w:val="21"/>
                      <w:szCs w:val="21"/>
                      <w:highlight w:val="none"/>
                    </w:rPr>
                    <w:t>数量</w:t>
                  </w:r>
                </w:p>
              </w:tc>
              <w:tc>
                <w:tcPr>
                  <w:tcW w:w="625" w:type="dxa"/>
                  <w:noWrap w:val="0"/>
                  <w:vAlign w:val="center"/>
                </w:tcPr>
                <w:p w14:paraId="7357287A">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auto"/>
                      <w:kern w:val="0"/>
                      <w:sz w:val="21"/>
                      <w:szCs w:val="21"/>
                      <w:highlight w:val="none"/>
                    </w:rPr>
                    <w:t>单位</w:t>
                  </w:r>
                </w:p>
              </w:tc>
            </w:tr>
            <w:tr w14:paraId="2D3E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59B22049">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手柄</w:t>
                  </w:r>
                </w:p>
              </w:tc>
              <w:tc>
                <w:tcPr>
                  <w:tcW w:w="1485" w:type="dxa"/>
                  <w:noWrap w:val="0"/>
                  <w:vAlign w:val="center"/>
                </w:tcPr>
                <w:p w14:paraId="0A39FE4B">
                  <w:pPr>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lang w:val="en-US" w:eastAsia="zh-CN"/>
                    </w:rPr>
                    <w:t>/</w:t>
                  </w:r>
                </w:p>
              </w:tc>
              <w:tc>
                <w:tcPr>
                  <w:tcW w:w="689" w:type="dxa"/>
                  <w:noWrap w:val="0"/>
                  <w:vAlign w:val="center"/>
                </w:tcPr>
                <w:p w14:paraId="571A2965">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09159661">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35EF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4E2AABE5">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操纵杆</w:t>
                  </w:r>
                </w:p>
              </w:tc>
              <w:tc>
                <w:tcPr>
                  <w:tcW w:w="1485" w:type="dxa"/>
                  <w:noWrap w:val="0"/>
                  <w:vAlign w:val="center"/>
                </w:tcPr>
                <w:p w14:paraId="5757924F">
                  <w:pPr>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lang w:val="en-US" w:eastAsia="zh-CN"/>
                    </w:rPr>
                    <w:t>/</w:t>
                  </w:r>
                </w:p>
              </w:tc>
              <w:tc>
                <w:tcPr>
                  <w:tcW w:w="689" w:type="dxa"/>
                  <w:noWrap w:val="0"/>
                  <w:vAlign w:val="center"/>
                </w:tcPr>
                <w:p w14:paraId="7F8A6217">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57022526">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支</w:t>
                  </w:r>
                </w:p>
              </w:tc>
            </w:tr>
            <w:tr w14:paraId="05CF7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7C67EF51">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引导棒</w:t>
                  </w:r>
                </w:p>
              </w:tc>
              <w:tc>
                <w:tcPr>
                  <w:tcW w:w="1485" w:type="dxa"/>
                  <w:noWrap w:val="0"/>
                  <w:vAlign w:val="center"/>
                </w:tcPr>
                <w:p w14:paraId="4846619C">
                  <w:pPr>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lang w:val="en-US" w:eastAsia="zh-CN"/>
                    </w:rPr>
                    <w:t>/</w:t>
                  </w:r>
                </w:p>
              </w:tc>
              <w:tc>
                <w:tcPr>
                  <w:tcW w:w="689" w:type="dxa"/>
                  <w:noWrap w:val="0"/>
                  <w:vAlign w:val="center"/>
                </w:tcPr>
                <w:p w14:paraId="384509CE">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13518FE5">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7A8C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10DF4FFD">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锁杆</w:t>
                  </w:r>
                </w:p>
              </w:tc>
              <w:tc>
                <w:tcPr>
                  <w:tcW w:w="1485" w:type="dxa"/>
                  <w:noWrap w:val="0"/>
                  <w:vAlign w:val="center"/>
                </w:tcPr>
                <w:p w14:paraId="7A14C8A0">
                  <w:pPr>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lang w:val="en-US" w:eastAsia="zh-CN"/>
                    </w:rPr>
                    <w:t>/</w:t>
                  </w:r>
                </w:p>
              </w:tc>
              <w:tc>
                <w:tcPr>
                  <w:tcW w:w="689" w:type="dxa"/>
                  <w:noWrap w:val="0"/>
                  <w:vAlign w:val="center"/>
                </w:tcPr>
                <w:p w14:paraId="5A80CB0B">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55C30F01">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支</w:t>
                  </w:r>
                </w:p>
              </w:tc>
            </w:tr>
            <w:tr w14:paraId="3238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80" w:type="dxa"/>
                  <w:noWrap w:val="0"/>
                  <w:vAlign w:val="center"/>
                </w:tcPr>
                <w:p w14:paraId="6C4C82E8">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操纵头</w:t>
                  </w:r>
                </w:p>
              </w:tc>
              <w:tc>
                <w:tcPr>
                  <w:tcW w:w="1485" w:type="dxa"/>
                  <w:noWrap w:val="0"/>
                  <w:vAlign w:val="center"/>
                </w:tcPr>
                <w:p w14:paraId="3F5CA107">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大</w:t>
                  </w:r>
                </w:p>
              </w:tc>
              <w:tc>
                <w:tcPr>
                  <w:tcW w:w="689" w:type="dxa"/>
                  <w:noWrap w:val="0"/>
                  <w:vAlign w:val="center"/>
                </w:tcPr>
                <w:p w14:paraId="5DEA05D2">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56C18B26">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支</w:t>
                  </w:r>
                </w:p>
              </w:tc>
            </w:tr>
            <w:tr w14:paraId="777E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7C896ADF">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操纵头</w:t>
                  </w:r>
                </w:p>
              </w:tc>
              <w:tc>
                <w:tcPr>
                  <w:tcW w:w="1485" w:type="dxa"/>
                  <w:noWrap w:val="0"/>
                  <w:vAlign w:val="center"/>
                </w:tcPr>
                <w:p w14:paraId="21FE51AE">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小</w:t>
                  </w:r>
                </w:p>
              </w:tc>
              <w:tc>
                <w:tcPr>
                  <w:tcW w:w="689" w:type="dxa"/>
                  <w:noWrap w:val="0"/>
                  <w:vAlign w:val="center"/>
                </w:tcPr>
                <w:p w14:paraId="6F516F2A">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703FB982">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支</w:t>
                  </w:r>
                </w:p>
              </w:tc>
            </w:tr>
            <w:tr w14:paraId="2F2B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16353072">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举宫头</w:t>
                  </w:r>
                </w:p>
              </w:tc>
              <w:tc>
                <w:tcPr>
                  <w:tcW w:w="1485" w:type="dxa"/>
                  <w:noWrap w:val="0"/>
                  <w:vAlign w:val="center"/>
                </w:tcPr>
                <w:p w14:paraId="2E583C8C">
                  <w:pPr>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lang w:val="en-US" w:eastAsia="zh-CN"/>
                    </w:rPr>
                    <w:t>/</w:t>
                  </w:r>
                </w:p>
              </w:tc>
              <w:tc>
                <w:tcPr>
                  <w:tcW w:w="689" w:type="dxa"/>
                  <w:noWrap w:val="0"/>
                  <w:vAlign w:val="center"/>
                </w:tcPr>
                <w:p w14:paraId="39EAB508">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0CF3A6CF">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190F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80" w:type="dxa"/>
                  <w:noWrap w:val="0"/>
                  <w:vAlign w:val="center"/>
                </w:tcPr>
                <w:p w14:paraId="680C64CC">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举宫杯</w:t>
                  </w:r>
                </w:p>
              </w:tc>
              <w:tc>
                <w:tcPr>
                  <w:tcW w:w="1485" w:type="dxa"/>
                  <w:noWrap w:val="0"/>
                  <w:vAlign w:val="center"/>
                </w:tcPr>
                <w:p w14:paraId="4A9060F8">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大</w:t>
                  </w:r>
                </w:p>
              </w:tc>
              <w:tc>
                <w:tcPr>
                  <w:tcW w:w="689" w:type="dxa"/>
                  <w:noWrap w:val="0"/>
                  <w:vAlign w:val="center"/>
                </w:tcPr>
                <w:p w14:paraId="3A2A05B5">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7B8F1625">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2393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80" w:type="dxa"/>
                  <w:noWrap w:val="0"/>
                  <w:vAlign w:val="center"/>
                </w:tcPr>
                <w:p w14:paraId="54A61F12">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举宫杯</w:t>
                  </w:r>
                </w:p>
              </w:tc>
              <w:tc>
                <w:tcPr>
                  <w:tcW w:w="1485" w:type="dxa"/>
                  <w:noWrap w:val="0"/>
                  <w:vAlign w:val="center"/>
                </w:tcPr>
                <w:p w14:paraId="0419A898">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中</w:t>
                  </w:r>
                </w:p>
              </w:tc>
              <w:tc>
                <w:tcPr>
                  <w:tcW w:w="689" w:type="dxa"/>
                  <w:noWrap w:val="0"/>
                  <w:vAlign w:val="center"/>
                </w:tcPr>
                <w:p w14:paraId="25A95496">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7C273964">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7CB4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80" w:type="dxa"/>
                  <w:noWrap w:val="0"/>
                  <w:vAlign w:val="center"/>
                </w:tcPr>
                <w:p w14:paraId="2106D034">
                  <w:pPr>
                    <w:widowControl/>
                    <w:jc w:val="center"/>
                    <w:rPr>
                      <w:rFonts w:hint="default"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举宫杯</w:t>
                  </w:r>
                </w:p>
              </w:tc>
              <w:tc>
                <w:tcPr>
                  <w:tcW w:w="1485" w:type="dxa"/>
                  <w:noWrap w:val="0"/>
                  <w:vAlign w:val="center"/>
                </w:tcPr>
                <w:p w14:paraId="734DB4A0">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小</w:t>
                  </w:r>
                </w:p>
              </w:tc>
              <w:tc>
                <w:tcPr>
                  <w:tcW w:w="689" w:type="dxa"/>
                  <w:noWrap w:val="0"/>
                  <w:vAlign w:val="center"/>
                </w:tcPr>
                <w:p w14:paraId="629FE51F">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sz w:val="21"/>
                      <w:szCs w:val="21"/>
                      <w:highlight w:val="none"/>
                    </w:rPr>
                    <w:t>2</w:t>
                  </w:r>
                </w:p>
              </w:tc>
              <w:tc>
                <w:tcPr>
                  <w:tcW w:w="625" w:type="dxa"/>
                  <w:noWrap w:val="0"/>
                  <w:vAlign w:val="center"/>
                </w:tcPr>
                <w:p w14:paraId="3E4FFB8D">
                  <w:pPr>
                    <w:widowControl/>
                    <w:jc w:val="center"/>
                    <w:rPr>
                      <w:rFonts w:hint="eastAsia" w:ascii="宋体" w:hAnsi="宋体" w:eastAsia="宋体" w:cs="宋体"/>
                      <w:color w:val="auto"/>
                      <w:szCs w:val="21"/>
                      <w:highlight w:val="none"/>
                      <w:lang w:val="en-US" w:eastAsia="zh-CN"/>
                    </w:rPr>
                  </w:pPr>
                  <w:r>
                    <w:rPr>
                      <w:rFonts w:hint="eastAsia" w:ascii="宋体" w:hAnsi="宋体" w:eastAsia="宋体"/>
                      <w:color w:val="000000"/>
                      <w:kern w:val="0"/>
                      <w:sz w:val="21"/>
                      <w:szCs w:val="21"/>
                      <w:highlight w:val="none"/>
                    </w:rPr>
                    <w:t>只</w:t>
                  </w:r>
                </w:p>
              </w:tc>
            </w:tr>
            <w:tr w14:paraId="3D78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80" w:type="dxa"/>
                  <w:noWrap w:val="0"/>
                  <w:vAlign w:val="center"/>
                </w:tcPr>
                <w:p w14:paraId="722B2AC3">
                  <w:pPr>
                    <w:jc w:val="center"/>
                    <w:rPr>
                      <w:rFonts w:hint="eastAsia" w:ascii="宋体" w:hAnsi="宋体" w:eastAsia="宋体"/>
                      <w:color w:val="000000"/>
                      <w:kern w:val="0"/>
                      <w:sz w:val="21"/>
                      <w:szCs w:val="21"/>
                      <w:highlight w:val="none"/>
                    </w:rPr>
                  </w:pPr>
                  <w:r>
                    <w:rPr>
                      <w:rFonts w:hint="eastAsia" w:ascii="宋体" w:hAnsi="宋体" w:eastAsia="宋体"/>
                      <w:color w:val="000000"/>
                      <w:sz w:val="21"/>
                      <w:szCs w:val="21"/>
                      <w:highlight w:val="none"/>
                      <w:lang w:val="en-US" w:eastAsia="zh-CN"/>
                    </w:rPr>
                    <w:t>合计</w:t>
                  </w:r>
                </w:p>
              </w:tc>
              <w:tc>
                <w:tcPr>
                  <w:tcW w:w="1485" w:type="dxa"/>
                  <w:noWrap w:val="0"/>
                  <w:vAlign w:val="center"/>
                </w:tcPr>
                <w:p w14:paraId="6E0EC778">
                  <w:pPr>
                    <w:jc w:val="center"/>
                    <w:rPr>
                      <w:rFonts w:hint="eastAsia" w:ascii="宋体" w:hAnsi="宋体" w:eastAsia="宋体"/>
                      <w:color w:val="000000"/>
                      <w:kern w:val="0"/>
                      <w:sz w:val="21"/>
                      <w:szCs w:val="21"/>
                      <w:highlight w:val="none"/>
                    </w:rPr>
                  </w:pPr>
                </w:p>
              </w:tc>
              <w:tc>
                <w:tcPr>
                  <w:tcW w:w="689" w:type="dxa"/>
                  <w:noWrap w:val="0"/>
                  <w:vAlign w:val="center"/>
                </w:tcPr>
                <w:p w14:paraId="50B5AD94">
                  <w:pPr>
                    <w:widowControl/>
                    <w:jc w:val="center"/>
                    <w:rPr>
                      <w:rFonts w:hint="eastAsia" w:ascii="宋体" w:hAnsi="宋体" w:eastAsia="宋体"/>
                      <w:color w:val="000000"/>
                      <w:sz w:val="21"/>
                      <w:szCs w:val="21"/>
                      <w:highlight w:val="none"/>
                    </w:rPr>
                  </w:pPr>
                  <w:r>
                    <w:rPr>
                      <w:rFonts w:hint="eastAsia" w:ascii="宋体" w:hAnsi="宋体" w:eastAsia="宋体"/>
                      <w:color w:val="000000"/>
                      <w:sz w:val="21"/>
                      <w:szCs w:val="21"/>
                      <w:highlight w:val="none"/>
                    </w:rPr>
                    <w:t>20</w:t>
                  </w:r>
                </w:p>
              </w:tc>
              <w:tc>
                <w:tcPr>
                  <w:tcW w:w="625" w:type="dxa"/>
                  <w:noWrap w:val="0"/>
                  <w:vAlign w:val="center"/>
                </w:tcPr>
                <w:p w14:paraId="156E2EAA">
                  <w:pPr>
                    <w:widowControl/>
                    <w:jc w:val="center"/>
                    <w:rPr>
                      <w:rFonts w:hint="eastAsia" w:ascii="宋体" w:hAnsi="宋体" w:eastAsia="宋体"/>
                      <w:color w:val="000000"/>
                      <w:kern w:val="0"/>
                      <w:sz w:val="21"/>
                      <w:szCs w:val="21"/>
                      <w:highlight w:val="none"/>
                    </w:rPr>
                  </w:pPr>
                  <w:r>
                    <w:rPr>
                      <w:rFonts w:hint="eastAsia" w:ascii="宋体" w:hAnsi="宋体" w:eastAsia="宋体"/>
                      <w:color w:val="000000"/>
                      <w:kern w:val="0"/>
                      <w:sz w:val="21"/>
                      <w:szCs w:val="21"/>
                      <w:highlight w:val="none"/>
                    </w:rPr>
                    <w:t>件</w:t>
                  </w:r>
                </w:p>
              </w:tc>
            </w:tr>
          </w:tbl>
          <w:p w14:paraId="3D270EB7">
            <w:pPr>
              <w:pStyle w:val="126"/>
              <w:spacing w:line="360" w:lineRule="auto"/>
              <w:ind w:left="0" w:leftChars="0" w:firstLine="0" w:firstLineChars="0"/>
              <w:jc w:val="left"/>
              <w:rPr>
                <w:rFonts w:hint="eastAsia" w:ascii="宋体" w:hAnsi="宋体" w:cs="宋体"/>
                <w:b w:val="0"/>
                <w:bCs w:val="0"/>
                <w:color w:val="auto"/>
                <w:szCs w:val="21"/>
                <w:highlight w:val="none"/>
              </w:rPr>
            </w:pPr>
          </w:p>
        </w:tc>
        <w:tc>
          <w:tcPr>
            <w:tcW w:w="1134" w:type="dxa"/>
            <w:vAlign w:val="center"/>
          </w:tcPr>
          <w:p w14:paraId="52844EEC">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45000</w:t>
            </w:r>
          </w:p>
        </w:tc>
        <w:tc>
          <w:tcPr>
            <w:tcW w:w="1275" w:type="dxa"/>
            <w:vAlign w:val="center"/>
          </w:tcPr>
          <w:p w14:paraId="2E255BC9">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45000</w:t>
            </w:r>
          </w:p>
        </w:tc>
      </w:tr>
      <w:tr w14:paraId="2BE00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06" w:type="dxa"/>
            <w:vAlign w:val="center"/>
          </w:tcPr>
          <w:p w14:paraId="32956E68">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14</w:t>
            </w:r>
          </w:p>
        </w:tc>
        <w:tc>
          <w:tcPr>
            <w:tcW w:w="1387" w:type="dxa"/>
            <w:vAlign w:val="center"/>
          </w:tcPr>
          <w:p w14:paraId="781E33CA">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术后康复仪</w:t>
            </w:r>
          </w:p>
        </w:tc>
        <w:tc>
          <w:tcPr>
            <w:tcW w:w="728" w:type="dxa"/>
            <w:vAlign w:val="center"/>
          </w:tcPr>
          <w:p w14:paraId="1E8D3FB3">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4EC515BF">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台</w:t>
            </w:r>
          </w:p>
        </w:tc>
        <w:tc>
          <w:tcPr>
            <w:tcW w:w="4775" w:type="dxa"/>
            <w:vAlign w:val="center"/>
          </w:tcPr>
          <w:p w14:paraId="20566784">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1</w:t>
            </w:r>
            <w:r>
              <w:rPr>
                <w:rFonts w:hint="eastAsia" w:ascii="宋体" w:hAnsi="宋体" w:eastAsia="宋体" w:cs="宋体"/>
                <w:highlight w:val="none"/>
                <w:lang w:val="en-US" w:eastAsia="zh-CN"/>
              </w:rPr>
              <w:t>.</w:t>
            </w:r>
            <w:r>
              <w:rPr>
                <w:rFonts w:hint="eastAsia" w:ascii="宋体" w:hAnsi="宋体" w:cs="宋体"/>
                <w:highlight w:val="none"/>
                <w:lang w:val="en-US" w:eastAsia="zh-CN"/>
              </w:rPr>
              <w:t>显示方式≥10.4寸液晶触摸屏。</w:t>
            </w:r>
          </w:p>
          <w:p w14:paraId="44261C59">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2</w:t>
            </w:r>
            <w:r>
              <w:rPr>
                <w:rFonts w:hint="eastAsia" w:ascii="宋体" w:hAnsi="宋体" w:eastAsia="宋体" w:cs="宋体"/>
                <w:highlight w:val="none"/>
                <w:lang w:val="en-US" w:eastAsia="zh-CN"/>
              </w:rPr>
              <w:t>.</w:t>
            </w:r>
            <w:r>
              <w:rPr>
                <w:rFonts w:hint="eastAsia" w:ascii="宋体" w:hAnsi="宋体" w:cs="宋体"/>
                <w:highlight w:val="none"/>
                <w:lang w:val="en-US" w:eastAsia="zh-CN"/>
              </w:rPr>
              <w:t>尺寸规格：（长380 宽315 高155）mm，允差±10%。</w:t>
            </w:r>
          </w:p>
          <w:p w14:paraId="4C511536">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3</w:t>
            </w:r>
            <w:r>
              <w:rPr>
                <w:rFonts w:hint="eastAsia" w:ascii="宋体" w:hAnsi="宋体" w:eastAsia="宋体" w:cs="宋体"/>
                <w:highlight w:val="none"/>
                <w:lang w:val="en-US" w:eastAsia="zh-CN"/>
              </w:rPr>
              <w:t>.</w:t>
            </w:r>
            <w:r>
              <w:rPr>
                <w:rFonts w:hint="eastAsia" w:ascii="宋体" w:hAnsi="宋体" w:cs="宋体"/>
                <w:highlight w:val="none"/>
                <w:lang w:val="en-US" w:eastAsia="zh-CN"/>
              </w:rPr>
              <w:t>输出通道：≥四通道脉冲输出。</w:t>
            </w:r>
          </w:p>
          <w:p w14:paraId="573D0F28">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4</w:t>
            </w:r>
            <w:r>
              <w:rPr>
                <w:rFonts w:hint="eastAsia" w:ascii="宋体" w:hAnsi="宋体" w:eastAsia="宋体" w:cs="宋体"/>
                <w:highlight w:val="none"/>
                <w:lang w:val="en-US" w:eastAsia="zh-CN"/>
              </w:rPr>
              <w:t>.</w:t>
            </w:r>
            <w:r>
              <w:rPr>
                <w:rFonts w:hint="eastAsia" w:ascii="宋体" w:hAnsi="宋体" w:cs="宋体"/>
                <w:highlight w:val="none"/>
                <w:lang w:val="en-US" w:eastAsia="zh-CN"/>
              </w:rPr>
              <w:t>电极片包括但不限于椭圆形电极片、环形电极片和半圆形电极片。</w:t>
            </w:r>
          </w:p>
          <w:p w14:paraId="12435AB5">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color w:val="auto"/>
                <w:szCs w:val="21"/>
                <w:highlight w:val="none"/>
              </w:rPr>
              <w:t>▲</w:t>
            </w:r>
            <w:r>
              <w:rPr>
                <w:rFonts w:hint="eastAsia" w:ascii="宋体" w:hAnsi="宋体" w:cs="宋体"/>
                <w:highlight w:val="none"/>
                <w:lang w:val="en-US" w:eastAsia="zh-CN"/>
              </w:rPr>
              <w:t>5</w:t>
            </w:r>
            <w:r>
              <w:rPr>
                <w:rFonts w:hint="eastAsia" w:ascii="宋体" w:hAnsi="宋体" w:eastAsia="宋体" w:cs="宋体"/>
                <w:highlight w:val="none"/>
                <w:lang w:val="en-US" w:eastAsia="zh-CN"/>
              </w:rPr>
              <w:t>.</w:t>
            </w:r>
            <w:r>
              <w:rPr>
                <w:rFonts w:hint="eastAsia" w:ascii="宋体" w:hAnsi="宋体" w:cs="宋体"/>
                <w:highlight w:val="none"/>
                <w:lang w:val="en-US" w:eastAsia="zh-CN"/>
              </w:rPr>
              <w:t>治疗处方：不少于三种治疗处方（乳汁分泌少、术后镇痛、子宫复旧等）。</w:t>
            </w:r>
          </w:p>
          <w:p w14:paraId="15FEF31B">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6</w:t>
            </w:r>
            <w:r>
              <w:rPr>
                <w:rFonts w:hint="eastAsia" w:ascii="宋体" w:hAnsi="宋体" w:eastAsia="宋体" w:cs="宋体"/>
                <w:highlight w:val="none"/>
                <w:lang w:val="en-US" w:eastAsia="zh-CN"/>
              </w:rPr>
              <w:t>.</w:t>
            </w:r>
            <w:r>
              <w:rPr>
                <w:rFonts w:hint="eastAsia" w:ascii="宋体" w:hAnsi="宋体" w:cs="宋体"/>
                <w:highlight w:val="none"/>
                <w:lang w:val="en-US" w:eastAsia="zh-CN"/>
              </w:rPr>
              <w:t>输出强度：电极片输出幅度不大于30V。</w:t>
            </w:r>
          </w:p>
          <w:p w14:paraId="7D659B14">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7</w:t>
            </w:r>
            <w:r>
              <w:rPr>
                <w:rFonts w:hint="eastAsia" w:ascii="宋体" w:hAnsi="宋体" w:eastAsia="宋体" w:cs="宋体"/>
                <w:highlight w:val="none"/>
                <w:lang w:val="en-US" w:eastAsia="zh-CN"/>
              </w:rPr>
              <w:t>.</w:t>
            </w:r>
            <w:r>
              <w:rPr>
                <w:rFonts w:hint="eastAsia" w:ascii="宋体" w:hAnsi="宋体" w:cs="宋体"/>
                <w:highlight w:val="none"/>
                <w:lang w:val="en-US" w:eastAsia="zh-CN"/>
              </w:rPr>
              <w:t xml:space="preserve">输出载波频率：800Hz，允差±10%。 </w:t>
            </w:r>
          </w:p>
          <w:p w14:paraId="4428F48D">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color w:val="auto"/>
                <w:szCs w:val="21"/>
                <w:highlight w:val="none"/>
              </w:rPr>
              <w:t>▲</w:t>
            </w:r>
            <w:r>
              <w:rPr>
                <w:rFonts w:hint="eastAsia" w:ascii="宋体" w:hAnsi="宋体" w:cs="宋体"/>
                <w:highlight w:val="none"/>
                <w:lang w:val="en-US" w:eastAsia="zh-CN"/>
              </w:rPr>
              <w:t>8</w:t>
            </w:r>
            <w:r>
              <w:rPr>
                <w:rFonts w:hint="eastAsia" w:ascii="宋体" w:hAnsi="宋体" w:eastAsia="宋体" w:cs="宋体"/>
                <w:highlight w:val="none"/>
                <w:lang w:val="en-US" w:eastAsia="zh-CN"/>
              </w:rPr>
              <w:t>.</w:t>
            </w:r>
            <w:r>
              <w:rPr>
                <w:rFonts w:hint="eastAsia" w:ascii="宋体" w:hAnsi="宋体" w:cs="宋体"/>
                <w:highlight w:val="none"/>
                <w:lang w:val="en-US" w:eastAsia="zh-CN"/>
              </w:rPr>
              <w:t>调制波频率：0Hz、1.1Hz、3.3Hz、4.5Hz、6.3Hz、6.7Hz、8.3Hz和12.5Hz，允差±10%。</w:t>
            </w:r>
          </w:p>
          <w:p w14:paraId="5E19576F">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9</w:t>
            </w:r>
            <w:r>
              <w:rPr>
                <w:rFonts w:hint="eastAsia" w:ascii="宋体" w:hAnsi="宋体" w:eastAsia="宋体" w:cs="宋体"/>
                <w:highlight w:val="none"/>
                <w:lang w:val="en-US" w:eastAsia="zh-CN"/>
              </w:rPr>
              <w:t>.</w:t>
            </w:r>
            <w:r>
              <w:rPr>
                <w:rFonts w:hint="eastAsia" w:ascii="宋体" w:hAnsi="宋体" w:cs="宋体"/>
                <w:highlight w:val="none"/>
                <w:lang w:val="en-US" w:eastAsia="zh-CN"/>
              </w:rPr>
              <w:t>输出载波波形：方波。</w:t>
            </w:r>
          </w:p>
          <w:p w14:paraId="109BDAA4">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10</w:t>
            </w:r>
            <w:r>
              <w:rPr>
                <w:rFonts w:hint="eastAsia" w:ascii="宋体" w:hAnsi="宋体" w:eastAsia="宋体" w:cs="宋体"/>
                <w:highlight w:val="none"/>
                <w:lang w:val="en-US" w:eastAsia="zh-CN"/>
              </w:rPr>
              <w:t>.</w:t>
            </w:r>
            <w:r>
              <w:rPr>
                <w:rFonts w:hint="eastAsia" w:ascii="宋体" w:hAnsi="宋体" w:cs="宋体"/>
                <w:highlight w:val="none"/>
                <w:lang w:val="en-US" w:eastAsia="zh-CN"/>
              </w:rPr>
              <w:t>输出调制波形：连续波、三角波、梯形波。</w:t>
            </w:r>
          </w:p>
          <w:p w14:paraId="0F164C73">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11</w:t>
            </w:r>
            <w:r>
              <w:rPr>
                <w:rFonts w:hint="eastAsia" w:ascii="宋体" w:hAnsi="宋体" w:eastAsia="宋体" w:cs="宋体"/>
                <w:highlight w:val="none"/>
                <w:lang w:val="en-US" w:eastAsia="zh-CN"/>
              </w:rPr>
              <w:t>.</w:t>
            </w:r>
            <w:r>
              <w:rPr>
                <w:rFonts w:hint="eastAsia" w:ascii="宋体" w:hAnsi="宋体" w:cs="宋体"/>
                <w:highlight w:val="none"/>
                <w:lang w:val="en-US" w:eastAsia="zh-CN"/>
              </w:rPr>
              <w:t>脉冲宽度：300μs，允差±10%。</w:t>
            </w:r>
          </w:p>
          <w:p w14:paraId="44A0F005">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12</w:t>
            </w:r>
            <w:r>
              <w:rPr>
                <w:rFonts w:hint="eastAsia" w:ascii="宋体" w:hAnsi="宋体" w:eastAsia="宋体" w:cs="宋体"/>
                <w:highlight w:val="none"/>
                <w:lang w:val="en-US" w:eastAsia="zh-CN"/>
              </w:rPr>
              <w:t>.</w:t>
            </w:r>
            <w:r>
              <w:rPr>
                <w:rFonts w:hint="eastAsia" w:ascii="宋体" w:hAnsi="宋体" w:cs="宋体"/>
                <w:highlight w:val="none"/>
                <w:lang w:val="en-US" w:eastAsia="zh-CN"/>
              </w:rPr>
              <w:t>调幅度：0%、100%，允差±10%。</w:t>
            </w:r>
          </w:p>
          <w:p w14:paraId="47E9FA0F">
            <w:pPr>
              <w:wordWrap w:val="0"/>
              <w:topLinePunct/>
              <w:bidi w:val="0"/>
              <w:spacing w:line="360" w:lineRule="auto"/>
              <w:ind w:firstLine="420" w:firstLineChars="200"/>
              <w:rPr>
                <w:rFonts w:hint="eastAsia" w:ascii="宋体" w:hAnsi="宋体" w:cs="宋体"/>
                <w:highlight w:val="none"/>
                <w:lang w:val="en-US" w:eastAsia="zh-CN"/>
              </w:rPr>
            </w:pPr>
            <w:r>
              <w:rPr>
                <w:rFonts w:hint="eastAsia" w:ascii="宋体" w:hAnsi="宋体" w:cs="宋体"/>
                <w:highlight w:val="none"/>
                <w:lang w:val="en-US" w:eastAsia="zh-CN"/>
              </w:rPr>
              <w:t>13</w:t>
            </w:r>
            <w:r>
              <w:rPr>
                <w:rFonts w:hint="eastAsia" w:ascii="宋体" w:hAnsi="宋体" w:eastAsia="宋体" w:cs="宋体"/>
                <w:highlight w:val="none"/>
                <w:lang w:val="en-US" w:eastAsia="zh-CN"/>
              </w:rPr>
              <w:t>.</w:t>
            </w:r>
            <w:r>
              <w:rPr>
                <w:rFonts w:hint="eastAsia" w:ascii="宋体" w:hAnsi="宋体" w:cs="宋体"/>
                <w:highlight w:val="none"/>
                <w:lang w:val="en-US" w:eastAsia="zh-CN"/>
              </w:rPr>
              <w:t>治疗时间：1min～99min可调，级差1min，允差±30s。</w:t>
            </w:r>
          </w:p>
          <w:p w14:paraId="2B2D701C">
            <w:pPr>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eastAsia="宋体" w:cs="宋体"/>
                <w:highlight w:val="none"/>
                <w:lang w:val="en-US" w:eastAsia="zh-CN"/>
              </w:rPr>
              <w:t>14.脉冲周期：电极片输出载波脉冲周期1.25ms，允差±10%。</w:t>
            </w:r>
          </w:p>
        </w:tc>
        <w:tc>
          <w:tcPr>
            <w:tcW w:w="1134" w:type="dxa"/>
            <w:vAlign w:val="center"/>
          </w:tcPr>
          <w:p w14:paraId="49187C53">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42000</w:t>
            </w:r>
          </w:p>
        </w:tc>
        <w:tc>
          <w:tcPr>
            <w:tcW w:w="1275" w:type="dxa"/>
            <w:vAlign w:val="center"/>
          </w:tcPr>
          <w:p w14:paraId="7D18E208">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42000</w:t>
            </w:r>
          </w:p>
        </w:tc>
      </w:tr>
      <w:tr w14:paraId="48EA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7C247C55">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15</w:t>
            </w:r>
          </w:p>
        </w:tc>
        <w:tc>
          <w:tcPr>
            <w:tcW w:w="1387" w:type="dxa"/>
            <w:vAlign w:val="center"/>
          </w:tcPr>
          <w:p w14:paraId="687E9B0D">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超声骨密度分析仪</w:t>
            </w:r>
          </w:p>
        </w:tc>
        <w:tc>
          <w:tcPr>
            <w:tcW w:w="728" w:type="dxa"/>
            <w:vAlign w:val="center"/>
          </w:tcPr>
          <w:p w14:paraId="2435AF0A">
            <w:pPr>
              <w:snapToGrid/>
              <w:spacing w:line="240" w:lineRule="auto"/>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20219640">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台</w:t>
            </w:r>
          </w:p>
        </w:tc>
        <w:tc>
          <w:tcPr>
            <w:tcW w:w="4775" w:type="dxa"/>
            <w:vAlign w:val="center"/>
          </w:tcPr>
          <w:p w14:paraId="3EE4861D">
            <w:pPr>
              <w:pStyle w:val="21"/>
              <w:wordWrap w:val="0"/>
              <w:topLinePunct/>
              <w:spacing w:before="0" w:line="360" w:lineRule="auto"/>
              <w:ind w:left="0" w:leftChars="0" w:right="0" w:firstLine="444" w:firstLineChars="200"/>
              <w:rPr>
                <w:rFonts w:hint="eastAsia" w:ascii="宋体" w:hAnsi="宋体" w:cs="宋体"/>
                <w:sz w:val="21"/>
                <w:szCs w:val="21"/>
                <w:highlight w:val="none"/>
              </w:rPr>
            </w:pPr>
            <w:r>
              <w:rPr>
                <w:rFonts w:hint="eastAsia" w:ascii="宋体" w:hAnsi="宋体" w:cs="宋体"/>
                <w:spacing w:val="6"/>
                <w:sz w:val="21"/>
                <w:szCs w:val="21"/>
                <w:highlight w:val="none"/>
                <w:lang w:val="en-US" w:eastAsia="zh-CN"/>
              </w:rPr>
              <w:t>1.</w:t>
            </w:r>
            <w:r>
              <w:rPr>
                <w:rFonts w:hint="eastAsia" w:ascii="宋体" w:hAnsi="宋体" w:cs="宋体"/>
                <w:spacing w:val="6"/>
                <w:sz w:val="21"/>
                <w:szCs w:val="21"/>
                <w:highlight w:val="none"/>
              </w:rPr>
              <w:t>全干式超声波测量骨质声速</w:t>
            </w:r>
            <w:r>
              <w:rPr>
                <w:rFonts w:hint="eastAsia" w:ascii="宋体" w:hAnsi="宋体" w:eastAsia="宋体" w:cs="宋体"/>
                <w:spacing w:val="6"/>
                <w:sz w:val="21"/>
                <w:szCs w:val="21"/>
                <w:highlight w:val="none"/>
              </w:rPr>
              <w:t>(</w:t>
            </w:r>
            <w:r>
              <w:rPr>
                <w:rFonts w:hint="eastAsia" w:ascii="宋体" w:hAnsi="宋体" w:eastAsia="宋体" w:cs="宋体"/>
                <w:sz w:val="21"/>
                <w:szCs w:val="21"/>
                <w:highlight w:val="none"/>
              </w:rPr>
              <w:t>SOS</w:t>
            </w:r>
            <w:r>
              <w:rPr>
                <w:rFonts w:hint="eastAsia" w:ascii="宋体" w:hAnsi="宋体" w:eastAsia="宋体" w:cs="宋体"/>
                <w:spacing w:val="6"/>
                <w:sz w:val="21"/>
                <w:szCs w:val="21"/>
                <w:highlight w:val="none"/>
              </w:rPr>
              <w:t>),</w:t>
            </w:r>
            <w:r>
              <w:rPr>
                <w:rFonts w:hint="eastAsia" w:ascii="宋体" w:hAnsi="宋体" w:eastAsia="宋体" w:cs="宋体"/>
                <w:spacing w:val="-13"/>
                <w:sz w:val="21"/>
                <w:szCs w:val="21"/>
                <w:highlight w:val="none"/>
              </w:rPr>
              <w:t xml:space="preserve"> </w:t>
            </w:r>
            <w:r>
              <w:rPr>
                <w:rFonts w:hint="eastAsia" w:ascii="宋体" w:hAnsi="宋体" w:cs="宋体"/>
                <w:spacing w:val="6"/>
                <w:sz w:val="21"/>
                <w:szCs w:val="21"/>
                <w:highlight w:val="none"/>
              </w:rPr>
              <w:t>双向超声波发射与接收，无创伤，无辐射，适用多人群测量(婴儿/儿童(0-</w:t>
            </w:r>
            <w:r>
              <w:rPr>
                <w:rFonts w:hint="eastAsia" w:ascii="宋体" w:hAnsi="宋体" w:cs="宋体"/>
                <w:sz w:val="21"/>
                <w:szCs w:val="21"/>
                <w:highlight w:val="none"/>
              </w:rPr>
              <w:t xml:space="preserve"> </w:t>
            </w:r>
            <w:r>
              <w:rPr>
                <w:rFonts w:hint="eastAsia" w:ascii="宋体" w:hAnsi="宋体" w:cs="宋体"/>
                <w:spacing w:val="12"/>
                <w:sz w:val="21"/>
                <w:szCs w:val="21"/>
                <w:highlight w:val="none"/>
              </w:rPr>
              <w:t>20岁),成人/老人(20-1</w:t>
            </w:r>
            <w:r>
              <w:rPr>
                <w:rFonts w:hint="eastAsia" w:ascii="宋体" w:hAnsi="宋体" w:cs="宋体"/>
                <w:spacing w:val="12"/>
                <w:sz w:val="21"/>
                <w:szCs w:val="21"/>
                <w:highlight w:val="none"/>
                <w:lang w:val="en-US" w:eastAsia="zh-CN"/>
              </w:rPr>
              <w:t>0</w:t>
            </w:r>
            <w:r>
              <w:rPr>
                <w:rFonts w:hint="eastAsia" w:ascii="宋体" w:hAnsi="宋体" w:cs="宋体"/>
                <w:spacing w:val="12"/>
                <w:sz w:val="21"/>
                <w:szCs w:val="21"/>
                <w:highlight w:val="none"/>
              </w:rPr>
              <w:t>0岁)</w:t>
            </w:r>
            <w:r>
              <w:rPr>
                <w:rFonts w:hint="eastAsia" w:ascii="宋体" w:hAnsi="宋体" w:cs="宋体"/>
                <w:spacing w:val="12"/>
                <w:sz w:val="21"/>
                <w:szCs w:val="21"/>
                <w:highlight w:val="none"/>
                <w:lang w:eastAsia="zh-CN"/>
              </w:rPr>
              <w:t>，</w:t>
            </w:r>
            <w:r>
              <w:rPr>
                <w:rFonts w:hint="eastAsia" w:ascii="宋体" w:hAnsi="宋体" w:cs="宋体"/>
                <w:spacing w:val="12"/>
                <w:sz w:val="21"/>
                <w:szCs w:val="21"/>
                <w:highlight w:val="none"/>
              </w:rPr>
              <w:t>全自动专业自主研发软件分析和报告。</w:t>
            </w:r>
          </w:p>
          <w:p w14:paraId="7E618355">
            <w:pPr>
              <w:pStyle w:val="21"/>
              <w:wordWrap w:val="0"/>
              <w:topLinePunct/>
              <w:spacing w:before="0" w:line="360" w:lineRule="auto"/>
              <w:ind w:left="0" w:leftChars="0" w:right="0" w:firstLine="420" w:firstLineChars="200"/>
              <w:rPr>
                <w:rFonts w:hint="eastAsia" w:ascii="宋体" w:hAnsi="宋体" w:eastAsia="宋体" w:cs="宋体"/>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spacing w:val="3"/>
                <w:sz w:val="21"/>
                <w:szCs w:val="21"/>
                <w:highlight w:val="none"/>
              </w:rPr>
              <w:t>2</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手持式宽频聚焦探头，探头工作频率和标称频率为</w:t>
            </w:r>
            <w:r>
              <w:rPr>
                <w:rFonts w:hint="eastAsia" w:ascii="宋体" w:hAnsi="宋体" w:cs="宋体"/>
                <w:spacing w:val="3"/>
                <w:sz w:val="21"/>
                <w:szCs w:val="21"/>
                <w:highlight w:val="none"/>
                <w:lang w:val="en-US" w:eastAsia="zh-CN"/>
              </w:rPr>
              <w:t>1</w:t>
            </w:r>
            <w:r>
              <w:rPr>
                <w:rFonts w:hint="eastAsia" w:ascii="宋体" w:hAnsi="宋体" w:eastAsia="宋体" w:cs="宋体"/>
                <w:sz w:val="21"/>
                <w:szCs w:val="21"/>
                <w:highlight w:val="none"/>
              </w:rPr>
              <w:t>MHz</w:t>
            </w:r>
            <w:r>
              <w:rPr>
                <w:rFonts w:hint="eastAsia" w:ascii="宋体" w:hAnsi="宋体" w:eastAsia="宋体" w:cs="宋体"/>
                <w:sz w:val="21"/>
                <w:szCs w:val="21"/>
                <w:highlight w:val="none"/>
                <w:lang w:val="en-US" w:eastAsia="zh-CN"/>
              </w:rPr>
              <w:t>±10%</w:t>
            </w:r>
            <w:r>
              <w:rPr>
                <w:rFonts w:hint="eastAsia" w:ascii="宋体" w:hAnsi="宋体" w:cs="宋体"/>
                <w:spacing w:val="8"/>
                <w:sz w:val="21"/>
                <w:szCs w:val="21"/>
                <w:highlight w:val="none"/>
                <w:lang w:eastAsia="zh-CN"/>
              </w:rPr>
              <w:t>。</w:t>
            </w:r>
          </w:p>
          <w:p w14:paraId="11998E65">
            <w:pPr>
              <w:pStyle w:val="21"/>
              <w:wordWrap w:val="0"/>
              <w:topLinePunct/>
              <w:spacing w:before="0" w:line="360" w:lineRule="auto"/>
              <w:ind w:left="0" w:leftChars="0" w:firstLine="432" w:firstLineChars="200"/>
              <w:rPr>
                <w:rFonts w:hint="eastAsia" w:ascii="宋体" w:hAnsi="宋体" w:eastAsia="宋体" w:cs="宋体"/>
                <w:sz w:val="21"/>
                <w:szCs w:val="21"/>
                <w:highlight w:val="none"/>
                <w:lang w:eastAsia="zh-CN"/>
              </w:rPr>
            </w:pPr>
            <w:r>
              <w:rPr>
                <w:rFonts w:hint="eastAsia" w:ascii="宋体" w:hAnsi="宋体" w:cs="宋体"/>
                <w:spacing w:val="3"/>
                <w:sz w:val="21"/>
                <w:szCs w:val="21"/>
                <w:highlight w:val="none"/>
              </w:rPr>
              <w:t>3</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探头组成：完全自主研发四晶体超声探头，自动消除软组织干扰，单次检查获取大于40000组数据</w:t>
            </w:r>
            <w:r>
              <w:rPr>
                <w:rFonts w:hint="eastAsia" w:ascii="宋体" w:hAnsi="宋体" w:cs="宋体"/>
                <w:spacing w:val="3"/>
                <w:sz w:val="21"/>
                <w:szCs w:val="21"/>
                <w:highlight w:val="none"/>
                <w:lang w:eastAsia="zh-CN"/>
              </w:rPr>
              <w:t>。</w:t>
            </w:r>
          </w:p>
          <w:p w14:paraId="12F44F36">
            <w:pPr>
              <w:pStyle w:val="21"/>
              <w:wordWrap w:val="0"/>
              <w:topLinePunct/>
              <w:spacing w:before="0" w:line="360" w:lineRule="auto"/>
              <w:ind w:left="0" w:leftChars="0" w:firstLine="424" w:firstLineChars="200"/>
              <w:rPr>
                <w:rFonts w:hint="eastAsia" w:ascii="宋体" w:hAnsi="宋体" w:cs="宋体"/>
                <w:sz w:val="21"/>
                <w:szCs w:val="21"/>
                <w:highlight w:val="none"/>
              </w:rPr>
            </w:pPr>
            <w:r>
              <w:rPr>
                <w:rFonts w:hint="eastAsia" w:ascii="宋体" w:hAnsi="宋体" w:cs="宋体"/>
                <w:spacing w:val="1"/>
                <w:sz w:val="21"/>
                <w:szCs w:val="21"/>
                <w:highlight w:val="none"/>
              </w:rPr>
              <w:t>4</w:t>
            </w:r>
            <w:r>
              <w:rPr>
                <w:rFonts w:hint="eastAsia" w:ascii="宋体" w:hAnsi="宋体" w:cs="宋体"/>
                <w:spacing w:val="1"/>
                <w:sz w:val="21"/>
                <w:szCs w:val="21"/>
                <w:highlight w:val="none"/>
                <w:lang w:val="en-US" w:eastAsia="zh-CN"/>
              </w:rPr>
              <w:t>.</w:t>
            </w:r>
            <w:r>
              <w:rPr>
                <w:rFonts w:hint="eastAsia" w:ascii="宋体" w:hAnsi="宋体" w:cs="宋体"/>
                <w:spacing w:val="1"/>
                <w:sz w:val="21"/>
                <w:szCs w:val="21"/>
                <w:highlight w:val="none"/>
              </w:rPr>
              <w:t>收发模式：轴向超声波传导技术，</w:t>
            </w:r>
            <w:r>
              <w:rPr>
                <w:rFonts w:hint="eastAsia" w:ascii="宋体" w:hAnsi="宋体" w:cs="宋体"/>
                <w:sz w:val="21"/>
                <w:szCs w:val="21"/>
                <w:highlight w:val="none"/>
              </w:rPr>
              <w:t>双晶体发射双晶体接收。</w:t>
            </w:r>
          </w:p>
          <w:p w14:paraId="2FE0F9DD">
            <w:pPr>
              <w:pStyle w:val="21"/>
              <w:wordWrap w:val="0"/>
              <w:topLinePunct/>
              <w:spacing w:before="0" w:line="360" w:lineRule="auto"/>
              <w:ind w:left="0" w:leftChars="0" w:firstLine="392" w:firstLineChars="200"/>
              <w:rPr>
                <w:rFonts w:hint="eastAsia" w:ascii="宋体" w:hAnsi="宋体" w:cs="宋体"/>
                <w:sz w:val="21"/>
                <w:szCs w:val="21"/>
                <w:highlight w:val="none"/>
              </w:rPr>
            </w:pPr>
            <w:r>
              <w:rPr>
                <w:rFonts w:hint="eastAsia" w:ascii="宋体" w:hAnsi="宋体" w:eastAsia="宋体" w:cs="宋体"/>
                <w:spacing w:val="-7"/>
                <w:sz w:val="21"/>
                <w:szCs w:val="21"/>
                <w:highlight w:val="none"/>
              </w:rPr>
              <w:t>5</w:t>
            </w:r>
            <w:r>
              <w:rPr>
                <w:rFonts w:hint="eastAsia" w:ascii="宋体" w:hAnsi="宋体" w:eastAsia="宋体" w:cs="宋体"/>
                <w:spacing w:val="-25"/>
                <w:sz w:val="21"/>
                <w:szCs w:val="21"/>
                <w:highlight w:val="none"/>
              </w:rPr>
              <w:t xml:space="preserve"> </w:t>
            </w:r>
            <w:r>
              <w:rPr>
                <w:rFonts w:hint="eastAsia" w:ascii="宋体" w:hAnsi="宋体" w:eastAsia="宋体" w:cs="宋体"/>
                <w:spacing w:val="-7"/>
                <w:sz w:val="21"/>
                <w:szCs w:val="21"/>
                <w:highlight w:val="none"/>
                <w:lang w:val="en-US" w:eastAsia="zh-CN"/>
              </w:rPr>
              <w:t>.</w:t>
            </w:r>
            <w:r>
              <w:rPr>
                <w:rFonts w:hint="eastAsia" w:ascii="宋体" w:hAnsi="宋体" w:cs="宋体"/>
                <w:spacing w:val="-7"/>
                <w:sz w:val="21"/>
                <w:szCs w:val="21"/>
                <w:highlight w:val="none"/>
              </w:rPr>
              <w:t>计算参数齐全：</w:t>
            </w:r>
            <w:r>
              <w:rPr>
                <w:rFonts w:hint="eastAsia" w:ascii="宋体" w:hAnsi="宋体" w:eastAsia="宋体" w:cs="宋体"/>
                <w:spacing w:val="-7"/>
                <w:sz w:val="21"/>
                <w:szCs w:val="21"/>
                <w:highlight w:val="none"/>
              </w:rPr>
              <w:t>T</w:t>
            </w:r>
            <w:r>
              <w:rPr>
                <w:rFonts w:hint="eastAsia" w:ascii="宋体" w:hAnsi="宋体" w:eastAsia="宋体" w:cs="宋体"/>
                <w:spacing w:val="-10"/>
                <w:sz w:val="21"/>
                <w:szCs w:val="21"/>
                <w:highlight w:val="none"/>
              </w:rPr>
              <w:t xml:space="preserve"> </w:t>
            </w:r>
            <w:r>
              <w:rPr>
                <w:rFonts w:hint="eastAsia" w:ascii="宋体" w:hAnsi="宋体" w:cs="宋体"/>
                <w:spacing w:val="-7"/>
                <w:sz w:val="21"/>
                <w:szCs w:val="21"/>
                <w:highlight w:val="none"/>
              </w:rPr>
              <w:t>值</w:t>
            </w:r>
            <w:r>
              <w:rPr>
                <w:rFonts w:hint="eastAsia" w:ascii="宋体" w:hAnsi="宋体" w:cs="宋体"/>
                <w:spacing w:val="-37"/>
                <w:sz w:val="21"/>
                <w:szCs w:val="21"/>
                <w:highlight w:val="none"/>
              </w:rPr>
              <w:t xml:space="preserve"> </w:t>
            </w:r>
            <w:r>
              <w:rPr>
                <w:rFonts w:hint="eastAsia" w:ascii="宋体" w:hAnsi="宋体" w:cs="宋体"/>
                <w:spacing w:val="-7"/>
                <w:sz w:val="21"/>
                <w:szCs w:val="21"/>
                <w:highlight w:val="none"/>
              </w:rPr>
              <w:t>、</w:t>
            </w:r>
            <w:r>
              <w:rPr>
                <w:rFonts w:hint="eastAsia" w:ascii="宋体" w:hAnsi="宋体" w:eastAsia="宋体" w:cs="宋体"/>
                <w:spacing w:val="-7"/>
                <w:sz w:val="21"/>
                <w:szCs w:val="21"/>
                <w:highlight w:val="none"/>
              </w:rPr>
              <w:t xml:space="preserve">Z </w:t>
            </w:r>
            <w:r>
              <w:rPr>
                <w:rFonts w:hint="eastAsia" w:ascii="宋体" w:hAnsi="宋体" w:cs="宋体"/>
                <w:spacing w:val="-7"/>
                <w:sz w:val="21"/>
                <w:szCs w:val="21"/>
                <w:highlight w:val="none"/>
              </w:rPr>
              <w:t>值</w:t>
            </w:r>
            <w:r>
              <w:rPr>
                <w:rFonts w:hint="eastAsia" w:ascii="宋体" w:hAnsi="宋体" w:cs="宋体"/>
                <w:spacing w:val="-37"/>
                <w:sz w:val="21"/>
                <w:szCs w:val="21"/>
                <w:highlight w:val="none"/>
              </w:rPr>
              <w:t xml:space="preserve"> </w:t>
            </w:r>
            <w:r>
              <w:rPr>
                <w:rFonts w:hint="eastAsia" w:ascii="宋体" w:hAnsi="宋体" w:cs="宋体"/>
                <w:spacing w:val="-7"/>
                <w:sz w:val="21"/>
                <w:szCs w:val="21"/>
                <w:highlight w:val="none"/>
              </w:rPr>
              <w:t>、</w:t>
            </w:r>
            <w:r>
              <w:rPr>
                <w:rFonts w:hint="eastAsia" w:ascii="宋体" w:hAnsi="宋体" w:eastAsia="宋体" w:cs="宋体"/>
                <w:spacing w:val="-7"/>
                <w:sz w:val="21"/>
                <w:szCs w:val="21"/>
                <w:highlight w:val="none"/>
              </w:rPr>
              <w:t>SOS</w:t>
            </w:r>
            <w:r>
              <w:rPr>
                <w:rFonts w:hint="eastAsia" w:ascii="宋体" w:hAnsi="宋体" w:cs="宋体"/>
                <w:spacing w:val="-7"/>
                <w:sz w:val="21"/>
                <w:szCs w:val="21"/>
                <w:highlight w:val="none"/>
              </w:rPr>
              <w:t>、</w:t>
            </w:r>
            <w:r>
              <w:rPr>
                <w:rFonts w:hint="eastAsia" w:ascii="宋体" w:hAnsi="宋体" w:eastAsia="宋体" w:cs="宋体"/>
                <w:spacing w:val="-7"/>
                <w:sz w:val="21"/>
                <w:szCs w:val="21"/>
                <w:highlight w:val="none"/>
              </w:rPr>
              <w:t>OPR</w:t>
            </w:r>
            <w:r>
              <w:rPr>
                <w:rFonts w:hint="eastAsia" w:ascii="宋体" w:hAnsi="宋体" w:cs="宋体"/>
                <w:spacing w:val="-8"/>
                <w:sz w:val="21"/>
                <w:szCs w:val="21"/>
                <w:highlight w:val="none"/>
              </w:rPr>
              <w:t>、</w:t>
            </w:r>
            <w:r>
              <w:rPr>
                <w:rFonts w:hint="eastAsia" w:ascii="宋体" w:hAnsi="宋体" w:eastAsia="宋体" w:cs="宋体"/>
                <w:spacing w:val="-8"/>
                <w:sz w:val="21"/>
                <w:szCs w:val="21"/>
                <w:highlight w:val="none"/>
              </w:rPr>
              <w:t>%</w:t>
            </w:r>
            <w:r>
              <w:rPr>
                <w:rFonts w:hint="eastAsia" w:ascii="宋体" w:hAnsi="宋体" w:cs="宋体"/>
                <w:spacing w:val="-8"/>
                <w:sz w:val="21"/>
                <w:szCs w:val="21"/>
                <w:highlight w:val="none"/>
              </w:rPr>
              <w:t>百分比，骨骼年龄、相对骨折风险</w:t>
            </w:r>
            <w:r>
              <w:rPr>
                <w:rFonts w:hint="eastAsia" w:ascii="宋体" w:hAnsi="宋体" w:cs="宋体"/>
                <w:spacing w:val="-27"/>
                <w:sz w:val="21"/>
                <w:szCs w:val="21"/>
                <w:highlight w:val="none"/>
              </w:rPr>
              <w:t xml:space="preserve"> </w:t>
            </w:r>
            <w:r>
              <w:rPr>
                <w:rFonts w:hint="eastAsia" w:ascii="宋体" w:hAnsi="宋体" w:eastAsia="宋体" w:cs="宋体"/>
                <w:spacing w:val="-8"/>
                <w:sz w:val="21"/>
                <w:szCs w:val="21"/>
                <w:highlight w:val="none"/>
              </w:rPr>
              <w:t xml:space="preserve">(RRF)  </w:t>
            </w:r>
            <w:r>
              <w:rPr>
                <w:rFonts w:hint="eastAsia" w:ascii="宋体" w:hAnsi="宋体" w:cs="宋体"/>
                <w:spacing w:val="-8"/>
                <w:sz w:val="21"/>
                <w:szCs w:val="21"/>
                <w:highlight w:val="none"/>
              </w:rPr>
              <w:t>等</w:t>
            </w:r>
            <w:r>
              <w:rPr>
                <w:rFonts w:hint="eastAsia" w:ascii="宋体" w:hAnsi="宋体" w:cs="宋体"/>
                <w:spacing w:val="-30"/>
                <w:sz w:val="21"/>
                <w:szCs w:val="21"/>
                <w:highlight w:val="none"/>
              </w:rPr>
              <w:t xml:space="preserve"> </w:t>
            </w:r>
            <w:r>
              <w:rPr>
                <w:rFonts w:hint="eastAsia" w:ascii="宋体" w:hAnsi="宋体" w:cs="宋体"/>
                <w:spacing w:val="-8"/>
                <w:sz w:val="21"/>
                <w:szCs w:val="21"/>
                <w:highlight w:val="none"/>
              </w:rPr>
              <w:t>；</w:t>
            </w:r>
          </w:p>
          <w:p w14:paraId="3F6249FD">
            <w:pPr>
              <w:pStyle w:val="21"/>
              <w:wordWrap w:val="0"/>
              <w:topLinePunct/>
              <w:spacing w:before="0" w:line="360" w:lineRule="auto"/>
              <w:ind w:left="0" w:leftChars="0" w:right="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6</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内置参考数据：含有世界人种/亚洲人种/欧洲/美洲/(中国)正常参考值对比数据库及统计功能，中、英文软件</w:t>
            </w:r>
            <w:r>
              <w:rPr>
                <w:rFonts w:hint="eastAsia" w:ascii="宋体" w:hAnsi="宋体" w:cs="宋体"/>
                <w:spacing w:val="8"/>
                <w:sz w:val="21"/>
                <w:szCs w:val="21"/>
                <w:highlight w:val="none"/>
              </w:rPr>
              <w:t xml:space="preserve"> </w:t>
            </w:r>
            <w:r>
              <w:rPr>
                <w:rFonts w:hint="eastAsia" w:ascii="宋体" w:hAnsi="宋体" w:cs="宋体"/>
                <w:spacing w:val="1"/>
                <w:sz w:val="21"/>
                <w:szCs w:val="21"/>
                <w:highlight w:val="none"/>
              </w:rPr>
              <w:t>可选，支持多国语言。</w:t>
            </w:r>
          </w:p>
          <w:p w14:paraId="0D68D0A0">
            <w:pPr>
              <w:pStyle w:val="21"/>
              <w:wordWrap w:val="0"/>
              <w:topLinePunct/>
              <w:spacing w:before="0" w:line="360" w:lineRule="auto"/>
              <w:ind w:left="0" w:leftChars="0" w:right="0" w:firstLine="420" w:firstLineChars="200"/>
              <w:rPr>
                <w:rFonts w:hint="eastAsia" w:ascii="宋体" w:hAnsi="宋体" w:cs="宋体"/>
                <w:sz w:val="21"/>
                <w:szCs w:val="21"/>
                <w:highlight w:val="none"/>
              </w:rPr>
            </w:pPr>
            <w:r>
              <w:rPr>
                <w:rFonts w:hint="eastAsia" w:ascii="宋体" w:hAnsi="宋体" w:cs="宋体"/>
                <w:color w:val="auto"/>
                <w:sz w:val="21"/>
                <w:szCs w:val="21"/>
                <w:highlight w:val="none"/>
              </w:rPr>
              <w:t>▲</w:t>
            </w:r>
            <w:r>
              <w:rPr>
                <w:rFonts w:hint="eastAsia" w:ascii="宋体" w:hAnsi="宋体" w:cs="宋体"/>
                <w:spacing w:val="7"/>
                <w:sz w:val="21"/>
                <w:szCs w:val="21"/>
                <w:highlight w:val="none"/>
              </w:rPr>
              <w:t>7</w:t>
            </w:r>
            <w:r>
              <w:rPr>
                <w:rFonts w:hint="eastAsia" w:ascii="宋体" w:hAnsi="宋体" w:cs="宋体"/>
                <w:spacing w:val="7"/>
                <w:sz w:val="21"/>
                <w:szCs w:val="21"/>
                <w:highlight w:val="none"/>
                <w:lang w:val="en-US" w:eastAsia="zh-CN"/>
              </w:rPr>
              <w:t>.单次测量时间≤5秒，测量时间可切换，</w:t>
            </w:r>
            <w:r>
              <w:rPr>
                <w:rFonts w:hint="eastAsia" w:ascii="宋体" w:hAnsi="宋体" w:cs="宋体"/>
                <w:spacing w:val="7"/>
                <w:sz w:val="21"/>
                <w:szCs w:val="21"/>
                <w:highlight w:val="none"/>
              </w:rPr>
              <w:t>多部位测量(桡骨+胫骨)。</w:t>
            </w:r>
          </w:p>
          <w:p w14:paraId="2140903A">
            <w:pPr>
              <w:pStyle w:val="21"/>
              <w:wordWrap w:val="0"/>
              <w:topLinePunct/>
              <w:spacing w:before="0" w:line="360" w:lineRule="auto"/>
              <w:ind w:left="0" w:leftChars="0" w:right="0" w:firstLine="428" w:firstLineChars="200"/>
              <w:rPr>
                <w:rFonts w:hint="eastAsia" w:ascii="宋体" w:hAnsi="宋体" w:cs="宋体"/>
                <w:sz w:val="21"/>
                <w:szCs w:val="21"/>
                <w:highlight w:val="none"/>
              </w:rPr>
            </w:pPr>
            <w:r>
              <w:rPr>
                <w:rFonts w:hint="eastAsia" w:ascii="宋体" w:hAnsi="宋体" w:cs="宋体"/>
                <w:spacing w:val="2"/>
                <w:sz w:val="21"/>
                <w:szCs w:val="21"/>
                <w:highlight w:val="none"/>
              </w:rPr>
              <w:t>8</w:t>
            </w:r>
            <w:r>
              <w:rPr>
                <w:rFonts w:hint="eastAsia" w:ascii="宋体" w:hAnsi="宋体" w:cs="宋体"/>
                <w:spacing w:val="2"/>
                <w:sz w:val="21"/>
                <w:szCs w:val="21"/>
                <w:highlight w:val="none"/>
                <w:lang w:val="en-US" w:eastAsia="zh-CN"/>
              </w:rPr>
              <w:t>.</w:t>
            </w:r>
            <w:r>
              <w:rPr>
                <w:rFonts w:hint="eastAsia" w:ascii="宋体" w:hAnsi="宋体" w:cs="宋体"/>
                <w:spacing w:val="2"/>
                <w:sz w:val="21"/>
                <w:szCs w:val="21"/>
                <w:highlight w:val="none"/>
              </w:rPr>
              <w:t>探头导航：显示器实时可视探头与皮肤</w:t>
            </w:r>
            <w:r>
              <w:rPr>
                <w:rFonts w:hint="eastAsia" w:ascii="宋体" w:hAnsi="宋体" w:cs="宋体"/>
                <w:spacing w:val="1"/>
                <w:sz w:val="21"/>
                <w:szCs w:val="21"/>
                <w:highlight w:val="none"/>
              </w:rPr>
              <w:t>接触状态、探头与骨骼平面夹角，并有文字提示引导操作，便于快速矫正</w:t>
            </w:r>
            <w:r>
              <w:rPr>
                <w:rFonts w:hint="eastAsia" w:ascii="宋体" w:hAnsi="宋体" w:cs="宋体"/>
                <w:sz w:val="21"/>
                <w:szCs w:val="21"/>
                <w:highlight w:val="none"/>
              </w:rPr>
              <w:t xml:space="preserve"> </w:t>
            </w:r>
            <w:r>
              <w:rPr>
                <w:rFonts w:hint="eastAsia" w:ascii="宋体" w:hAnsi="宋体" w:cs="宋体"/>
                <w:spacing w:val="1"/>
                <w:sz w:val="21"/>
                <w:szCs w:val="21"/>
                <w:highlight w:val="none"/>
              </w:rPr>
              <w:t>检测角度，提高检测速度、提高数据准确性。</w:t>
            </w:r>
          </w:p>
          <w:p w14:paraId="7E7E9680">
            <w:pPr>
              <w:pStyle w:val="21"/>
              <w:wordWrap w:val="0"/>
              <w:topLinePunct/>
              <w:spacing w:before="0" w:line="360" w:lineRule="auto"/>
              <w:ind w:left="0" w:leftChars="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9</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动画播放功能：儿童检查时吸引其注意力，使医生轻松完成检查。动画片内容可更换、增加。</w:t>
            </w:r>
          </w:p>
          <w:p w14:paraId="432BB6CB">
            <w:pPr>
              <w:pStyle w:val="21"/>
              <w:wordWrap w:val="0"/>
              <w:topLinePunct/>
              <w:spacing w:before="0" w:line="360" w:lineRule="auto"/>
              <w:ind w:left="0" w:leftChars="0" w:right="0" w:firstLine="424" w:firstLineChars="200"/>
              <w:rPr>
                <w:rFonts w:hint="eastAsia" w:ascii="宋体" w:hAnsi="宋体" w:cs="宋体"/>
                <w:sz w:val="21"/>
                <w:szCs w:val="21"/>
                <w:highlight w:val="none"/>
              </w:rPr>
            </w:pPr>
            <w:r>
              <w:rPr>
                <w:rFonts w:hint="eastAsia" w:ascii="宋体" w:hAnsi="宋体" w:cs="宋体"/>
                <w:spacing w:val="1"/>
                <w:sz w:val="21"/>
                <w:szCs w:val="21"/>
                <w:highlight w:val="none"/>
              </w:rPr>
              <w:t>10</w:t>
            </w:r>
            <w:r>
              <w:rPr>
                <w:rFonts w:hint="eastAsia" w:ascii="宋体" w:hAnsi="宋体" w:cs="宋体"/>
                <w:spacing w:val="1"/>
                <w:sz w:val="21"/>
                <w:szCs w:val="21"/>
                <w:highlight w:val="none"/>
                <w:lang w:val="en-US" w:eastAsia="zh-CN"/>
              </w:rPr>
              <w:t>.</w:t>
            </w:r>
            <w:r>
              <w:rPr>
                <w:rFonts w:hint="eastAsia" w:ascii="宋体" w:hAnsi="宋体" w:cs="宋体"/>
                <w:spacing w:val="1"/>
                <w:sz w:val="21"/>
                <w:szCs w:val="21"/>
                <w:highlight w:val="none"/>
              </w:rPr>
              <w:t>温度显示校准块：黄铜、纯铜、有机玻璃多重校准，校验模块可显示当前温度以及当前温度下标准声速值，出</w:t>
            </w:r>
            <w:r>
              <w:rPr>
                <w:rFonts w:hint="eastAsia" w:ascii="宋体" w:hAnsi="宋体" w:cs="宋体"/>
                <w:sz w:val="21"/>
                <w:szCs w:val="21"/>
                <w:highlight w:val="none"/>
              </w:rPr>
              <w:t>厂配备。</w:t>
            </w:r>
          </w:p>
          <w:p w14:paraId="3B6B9C37">
            <w:pPr>
              <w:pStyle w:val="21"/>
              <w:wordWrap w:val="0"/>
              <w:topLinePunct/>
              <w:spacing w:before="0" w:line="360" w:lineRule="auto"/>
              <w:ind w:left="0" w:leftChars="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11</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实时显示骨质声速值、测量次数、测量时间</w:t>
            </w:r>
            <w:r>
              <w:rPr>
                <w:rFonts w:hint="eastAsia" w:ascii="宋体" w:hAnsi="宋体" w:cs="宋体"/>
                <w:spacing w:val="2"/>
                <w:sz w:val="21"/>
                <w:szCs w:val="21"/>
                <w:highlight w:val="none"/>
              </w:rPr>
              <w:t>，直观易懂。</w:t>
            </w:r>
          </w:p>
          <w:p w14:paraId="6EBA8E06">
            <w:pPr>
              <w:pStyle w:val="21"/>
              <w:wordWrap w:val="0"/>
              <w:topLinePunct/>
              <w:spacing w:before="0" w:line="360" w:lineRule="auto"/>
              <w:ind w:left="0" w:leftChars="0" w:firstLine="428" w:firstLineChars="200"/>
              <w:rPr>
                <w:rFonts w:hint="eastAsia" w:ascii="宋体" w:hAnsi="宋体" w:cs="宋体"/>
                <w:sz w:val="21"/>
                <w:szCs w:val="21"/>
                <w:highlight w:val="none"/>
              </w:rPr>
            </w:pPr>
            <w:r>
              <w:rPr>
                <w:rFonts w:hint="eastAsia" w:ascii="宋体" w:hAnsi="宋体" w:cs="宋体"/>
                <w:spacing w:val="2"/>
                <w:sz w:val="21"/>
                <w:szCs w:val="21"/>
                <w:highlight w:val="none"/>
              </w:rPr>
              <w:t>12</w:t>
            </w:r>
            <w:r>
              <w:rPr>
                <w:rFonts w:hint="eastAsia" w:ascii="宋体" w:hAnsi="宋体" w:cs="宋体"/>
                <w:spacing w:val="2"/>
                <w:sz w:val="21"/>
                <w:szCs w:val="21"/>
                <w:highlight w:val="none"/>
                <w:lang w:val="en-US" w:eastAsia="zh-CN"/>
              </w:rPr>
              <w:t>.</w:t>
            </w:r>
            <w:r>
              <w:rPr>
                <w:rFonts w:hint="eastAsia" w:ascii="宋体" w:hAnsi="宋体" w:cs="宋体"/>
                <w:spacing w:val="2"/>
                <w:sz w:val="21"/>
                <w:szCs w:val="21"/>
                <w:highlight w:val="none"/>
              </w:rPr>
              <w:t>快速、高精度两种测量模式。</w:t>
            </w:r>
          </w:p>
          <w:p w14:paraId="41D8FEC5">
            <w:pPr>
              <w:pStyle w:val="21"/>
              <w:wordWrap w:val="0"/>
              <w:topLinePunct/>
              <w:spacing w:before="0" w:line="360" w:lineRule="auto"/>
              <w:ind w:left="0" w:leftChars="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13</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筛查模式：患者信息通过身份证</w:t>
            </w:r>
            <w:r>
              <w:rPr>
                <w:rFonts w:hint="eastAsia" w:ascii="宋体" w:hAnsi="宋体" w:cs="宋体"/>
                <w:spacing w:val="3"/>
                <w:sz w:val="21"/>
                <w:szCs w:val="21"/>
                <w:highlight w:val="none"/>
                <w:lang w:eastAsia="zh-CN"/>
              </w:rPr>
              <w:t>（</w:t>
            </w:r>
            <w:r>
              <w:rPr>
                <w:rFonts w:hint="eastAsia" w:ascii="宋体" w:hAnsi="宋体" w:cs="宋体"/>
                <w:spacing w:val="3"/>
                <w:sz w:val="21"/>
                <w:szCs w:val="21"/>
                <w:highlight w:val="none"/>
                <w:lang w:val="en-US" w:eastAsia="zh-CN"/>
              </w:rPr>
              <w:t>选配</w:t>
            </w:r>
            <w:r>
              <w:rPr>
                <w:rFonts w:hint="eastAsia" w:ascii="宋体" w:hAnsi="宋体" w:cs="宋体"/>
                <w:spacing w:val="3"/>
                <w:sz w:val="21"/>
                <w:szCs w:val="21"/>
                <w:highlight w:val="none"/>
                <w:lang w:eastAsia="zh-CN"/>
              </w:rPr>
              <w:t>）</w:t>
            </w:r>
            <w:r>
              <w:rPr>
                <w:rFonts w:hint="eastAsia" w:ascii="宋体" w:hAnsi="宋体" w:cs="宋体"/>
                <w:spacing w:val="3"/>
                <w:sz w:val="21"/>
                <w:szCs w:val="21"/>
                <w:highlight w:val="none"/>
              </w:rPr>
              <w:t>识别系统快速进入系统或网</w:t>
            </w:r>
            <w:r>
              <w:rPr>
                <w:rFonts w:hint="eastAsia" w:ascii="宋体" w:hAnsi="宋体" w:cs="宋体"/>
                <w:spacing w:val="2"/>
                <w:sz w:val="21"/>
                <w:szCs w:val="21"/>
                <w:highlight w:val="none"/>
              </w:rPr>
              <w:t>络提前预约，以便更加快捷的筛查出患者信息。</w:t>
            </w:r>
          </w:p>
          <w:p w14:paraId="46C009C2">
            <w:pPr>
              <w:pStyle w:val="21"/>
              <w:wordWrap w:val="0"/>
              <w:topLinePunct/>
              <w:spacing w:before="0" w:line="360" w:lineRule="auto"/>
              <w:ind w:left="0" w:leftChars="0" w:right="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14</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 xml:space="preserve">筛查模式下检测结束后无需切换界面即可完成报告打印、检测结果自动上传终端服务器，具备后台数据库连接 </w:t>
            </w:r>
            <w:r>
              <w:rPr>
                <w:rFonts w:hint="eastAsia" w:ascii="宋体" w:hAnsi="宋体" w:cs="宋体"/>
                <w:sz w:val="21"/>
                <w:szCs w:val="21"/>
                <w:highlight w:val="none"/>
              </w:rPr>
              <w:t>实现网络登记功能。</w:t>
            </w:r>
          </w:p>
          <w:p w14:paraId="64BE921D">
            <w:pPr>
              <w:pStyle w:val="21"/>
              <w:wordWrap w:val="0"/>
              <w:topLinePunct/>
              <w:spacing w:before="0" w:line="360" w:lineRule="auto"/>
              <w:ind w:left="0" w:leftChars="0" w:right="0" w:firstLine="428" w:firstLineChars="200"/>
              <w:rPr>
                <w:rFonts w:hint="eastAsia" w:ascii="宋体" w:hAnsi="宋体" w:cs="宋体"/>
                <w:sz w:val="21"/>
                <w:szCs w:val="21"/>
                <w:highlight w:val="none"/>
              </w:rPr>
            </w:pPr>
            <w:r>
              <w:rPr>
                <w:rFonts w:hint="eastAsia" w:ascii="宋体" w:hAnsi="宋体" w:eastAsia="宋体" w:cs="宋体"/>
                <w:spacing w:val="2"/>
                <w:sz w:val="21"/>
                <w:szCs w:val="21"/>
                <w:highlight w:val="none"/>
              </w:rPr>
              <w:t>15</w:t>
            </w:r>
            <w:r>
              <w:rPr>
                <w:rFonts w:hint="eastAsia" w:ascii="宋体" w:hAnsi="宋体" w:eastAsia="宋体" w:cs="宋体"/>
                <w:spacing w:val="-25"/>
                <w:sz w:val="21"/>
                <w:szCs w:val="21"/>
                <w:highlight w:val="none"/>
              </w:rPr>
              <w:t xml:space="preserve"> </w:t>
            </w:r>
            <w:r>
              <w:rPr>
                <w:rFonts w:hint="eastAsia" w:ascii="宋体" w:hAnsi="宋体" w:eastAsia="宋体" w:cs="宋体"/>
                <w:spacing w:val="2"/>
                <w:sz w:val="21"/>
                <w:szCs w:val="21"/>
                <w:highlight w:val="none"/>
                <w:lang w:val="en-US" w:eastAsia="zh-CN"/>
              </w:rPr>
              <w:t>.</w:t>
            </w:r>
            <w:r>
              <w:rPr>
                <w:rFonts w:hint="eastAsia" w:ascii="宋体" w:hAnsi="宋体" w:cs="宋体"/>
                <w:spacing w:val="2"/>
                <w:sz w:val="21"/>
                <w:szCs w:val="21"/>
                <w:highlight w:val="none"/>
              </w:rPr>
              <w:t>全中文彩色报告单，可以单独保存，并随时预览、打印。</w:t>
            </w:r>
          </w:p>
          <w:p w14:paraId="770A9FB9">
            <w:pPr>
              <w:pStyle w:val="21"/>
              <w:wordWrap w:val="0"/>
              <w:topLinePunct/>
              <w:spacing w:before="0" w:line="360" w:lineRule="auto"/>
              <w:ind w:left="0" w:leftChars="0" w:right="0" w:firstLine="420" w:firstLineChars="200"/>
              <w:rPr>
                <w:rFonts w:hint="eastAsia" w:ascii="宋体" w:hAnsi="宋体" w:eastAsia="宋体" w:cs="宋体"/>
                <w:sz w:val="21"/>
                <w:szCs w:val="21"/>
                <w:highlight w:val="none"/>
              </w:rPr>
            </w:pPr>
            <w:r>
              <w:rPr>
                <w:rFonts w:hint="eastAsia" w:ascii="宋体" w:hAnsi="宋体" w:cs="宋体"/>
                <w:color w:val="auto"/>
                <w:sz w:val="21"/>
                <w:szCs w:val="21"/>
                <w:highlight w:val="none"/>
              </w:rPr>
              <w:t>▲</w:t>
            </w:r>
            <w:r>
              <w:rPr>
                <w:rFonts w:hint="eastAsia" w:ascii="宋体" w:hAnsi="宋体" w:eastAsia="宋体" w:cs="宋体"/>
                <w:spacing w:val="9"/>
                <w:sz w:val="21"/>
                <w:szCs w:val="21"/>
                <w:highlight w:val="none"/>
              </w:rPr>
              <w:t>16</w:t>
            </w:r>
            <w:r>
              <w:rPr>
                <w:rFonts w:hint="eastAsia" w:ascii="宋体" w:hAnsi="宋体" w:eastAsia="宋体" w:cs="宋体"/>
                <w:spacing w:val="-25"/>
                <w:sz w:val="21"/>
                <w:szCs w:val="21"/>
                <w:highlight w:val="none"/>
                <w:lang w:val="en-US" w:eastAsia="zh-CN"/>
              </w:rPr>
              <w:t>.</w:t>
            </w:r>
            <w:r>
              <w:rPr>
                <w:rFonts w:hint="eastAsia" w:ascii="宋体" w:hAnsi="宋体" w:cs="宋体"/>
                <w:spacing w:val="9"/>
                <w:sz w:val="21"/>
                <w:szCs w:val="21"/>
                <w:highlight w:val="none"/>
              </w:rPr>
              <w:t xml:space="preserve"> 声速</w:t>
            </w:r>
            <w:r>
              <w:rPr>
                <w:rFonts w:hint="eastAsia" w:ascii="宋体" w:hAnsi="宋体" w:eastAsia="宋体" w:cs="宋体"/>
                <w:sz w:val="21"/>
                <w:szCs w:val="21"/>
                <w:highlight w:val="none"/>
              </w:rPr>
              <w:t>SOS</w:t>
            </w:r>
            <w:r>
              <w:rPr>
                <w:rFonts w:hint="eastAsia" w:ascii="宋体" w:hAnsi="宋体" w:cs="宋体"/>
                <w:spacing w:val="9"/>
                <w:sz w:val="21"/>
                <w:szCs w:val="21"/>
                <w:highlight w:val="none"/>
              </w:rPr>
              <w:t>测量范围</w:t>
            </w:r>
            <w:r>
              <w:rPr>
                <w:rFonts w:hint="eastAsia" w:ascii="宋体" w:hAnsi="宋体" w:cs="宋体"/>
                <w:spacing w:val="9"/>
                <w:sz w:val="21"/>
                <w:szCs w:val="21"/>
                <w:highlight w:val="none"/>
                <w:lang w:val="en-US" w:eastAsia="zh-CN"/>
              </w:rPr>
              <w:t>包括但不限于</w:t>
            </w:r>
            <w:r>
              <w:rPr>
                <w:rFonts w:hint="eastAsia" w:ascii="宋体" w:hAnsi="宋体" w:cs="宋体"/>
                <w:spacing w:val="9"/>
                <w:sz w:val="21"/>
                <w:szCs w:val="21"/>
                <w:highlight w:val="none"/>
              </w:rPr>
              <w:t>2500-4800</w:t>
            </w:r>
            <w:r>
              <w:rPr>
                <w:rFonts w:hint="eastAsia" w:ascii="宋体" w:hAnsi="宋体" w:eastAsia="宋体" w:cs="宋体"/>
                <w:spacing w:val="9"/>
                <w:sz w:val="21"/>
                <w:szCs w:val="21"/>
                <w:highlight w:val="none"/>
              </w:rPr>
              <w:t>m/s</w:t>
            </w:r>
            <w:r>
              <w:rPr>
                <w:rFonts w:hint="eastAsia" w:ascii="宋体" w:hAnsi="宋体" w:eastAsia="宋体" w:cs="宋体"/>
                <w:spacing w:val="9"/>
                <w:sz w:val="21"/>
                <w:szCs w:val="21"/>
                <w:highlight w:val="none"/>
                <w:lang w:eastAsia="zh-CN"/>
              </w:rPr>
              <w:t>；</w:t>
            </w:r>
            <w:r>
              <w:rPr>
                <w:rFonts w:hint="eastAsia" w:ascii="宋体" w:hAnsi="宋体" w:eastAsia="宋体" w:cs="宋体"/>
                <w:spacing w:val="2"/>
                <w:sz w:val="21"/>
                <w:szCs w:val="21"/>
                <w:highlight w:val="none"/>
              </w:rPr>
              <w:t xml:space="preserve">  </w:t>
            </w:r>
            <w:r>
              <w:rPr>
                <w:rFonts w:hint="eastAsia" w:ascii="宋体" w:hAnsi="宋体" w:cs="宋体"/>
                <w:spacing w:val="9"/>
                <w:sz w:val="21"/>
                <w:szCs w:val="21"/>
                <w:highlight w:val="none"/>
              </w:rPr>
              <w:t>精确度≤0.</w:t>
            </w:r>
            <w:r>
              <w:rPr>
                <w:rFonts w:hint="eastAsia" w:ascii="宋体" w:hAnsi="宋体" w:cs="宋体"/>
                <w:spacing w:val="-48"/>
                <w:sz w:val="21"/>
                <w:szCs w:val="21"/>
                <w:highlight w:val="none"/>
              </w:rPr>
              <w:t xml:space="preserve"> </w:t>
            </w:r>
            <w:r>
              <w:rPr>
                <w:rFonts w:hint="eastAsia" w:ascii="宋体" w:hAnsi="宋体" w:cs="宋体"/>
                <w:spacing w:val="9"/>
                <w:sz w:val="21"/>
                <w:szCs w:val="21"/>
                <w:highlight w:val="none"/>
              </w:rPr>
              <w:t>15%</w:t>
            </w:r>
            <w:r>
              <w:rPr>
                <w:rFonts w:hint="eastAsia" w:ascii="宋体" w:hAnsi="宋体" w:cs="宋体"/>
                <w:spacing w:val="9"/>
                <w:sz w:val="21"/>
                <w:szCs w:val="21"/>
                <w:highlight w:val="none"/>
                <w:lang w:eastAsia="zh-CN"/>
              </w:rPr>
              <w:t>（</w:t>
            </w:r>
            <w:r>
              <w:rPr>
                <w:rFonts w:hint="eastAsia" w:ascii="宋体" w:hAnsi="宋体" w:cs="宋体"/>
                <w:spacing w:val="9"/>
                <w:sz w:val="21"/>
                <w:szCs w:val="21"/>
                <w:highlight w:val="none"/>
                <w:lang w:val="en-US" w:eastAsia="zh-CN"/>
              </w:rPr>
              <w:t>实际检验结果-0.5%</w:t>
            </w:r>
            <w:r>
              <w:rPr>
                <w:rFonts w:hint="eastAsia" w:ascii="宋体" w:hAnsi="宋体" w:cs="宋体"/>
                <w:spacing w:val="9"/>
                <w:sz w:val="21"/>
                <w:szCs w:val="21"/>
                <w:highlight w:val="none"/>
                <w:lang w:eastAsia="zh-CN"/>
              </w:rPr>
              <w:t>）</w:t>
            </w:r>
            <w:r>
              <w:rPr>
                <w:rFonts w:hint="eastAsia" w:ascii="宋体" w:hAnsi="宋体" w:eastAsia="宋体" w:cs="宋体"/>
                <w:spacing w:val="9"/>
                <w:sz w:val="21"/>
                <w:szCs w:val="21"/>
                <w:highlight w:val="none"/>
                <w:lang w:eastAsia="zh-CN"/>
              </w:rPr>
              <w:t>；</w:t>
            </w:r>
            <w:r>
              <w:rPr>
                <w:rFonts w:hint="eastAsia" w:ascii="宋体" w:hAnsi="宋体" w:cs="宋体"/>
                <w:spacing w:val="9"/>
                <w:sz w:val="21"/>
                <w:szCs w:val="21"/>
                <w:highlight w:val="none"/>
              </w:rPr>
              <w:t>声速</w:t>
            </w:r>
            <w:r>
              <w:rPr>
                <w:rFonts w:hint="eastAsia" w:ascii="宋体" w:hAnsi="宋体" w:eastAsia="宋体" w:cs="宋体"/>
                <w:sz w:val="21"/>
                <w:szCs w:val="21"/>
                <w:highlight w:val="none"/>
              </w:rPr>
              <w:t>SOS</w:t>
            </w:r>
            <w:r>
              <w:rPr>
                <w:rFonts w:hint="eastAsia" w:ascii="宋体" w:hAnsi="宋体" w:cs="宋体"/>
                <w:spacing w:val="9"/>
                <w:sz w:val="21"/>
                <w:szCs w:val="21"/>
                <w:highlight w:val="none"/>
              </w:rPr>
              <w:t>测</w:t>
            </w:r>
            <w:r>
              <w:rPr>
                <w:rFonts w:hint="eastAsia" w:ascii="宋体" w:hAnsi="宋体" w:cs="宋体"/>
                <w:spacing w:val="8"/>
                <w:sz w:val="21"/>
                <w:szCs w:val="21"/>
                <w:highlight w:val="none"/>
              </w:rPr>
              <w:t>量重</w:t>
            </w:r>
            <w:r>
              <w:rPr>
                <w:rFonts w:hint="eastAsia" w:ascii="宋体" w:hAnsi="宋体" w:cs="宋体"/>
                <w:sz w:val="21"/>
                <w:szCs w:val="21"/>
                <w:highlight w:val="none"/>
              </w:rPr>
              <w:t xml:space="preserve"> </w:t>
            </w:r>
            <w:r>
              <w:rPr>
                <w:rFonts w:hint="eastAsia" w:ascii="宋体" w:hAnsi="宋体" w:cs="宋体"/>
                <w:spacing w:val="2"/>
                <w:sz w:val="21"/>
                <w:szCs w:val="21"/>
                <w:highlight w:val="none"/>
              </w:rPr>
              <w:t>复性：变异系数</w:t>
            </w:r>
            <w:r>
              <w:rPr>
                <w:rFonts w:hint="eastAsia" w:ascii="宋体" w:hAnsi="宋体" w:eastAsia="宋体" w:cs="宋体"/>
                <w:sz w:val="21"/>
                <w:szCs w:val="21"/>
                <w:highlight w:val="none"/>
              </w:rPr>
              <w:t>CV</w:t>
            </w:r>
            <w:r>
              <w:rPr>
                <w:rFonts w:hint="eastAsia" w:ascii="宋体" w:hAnsi="宋体" w:eastAsia="宋体" w:cs="宋体"/>
                <w:spacing w:val="2"/>
                <w:sz w:val="21"/>
                <w:szCs w:val="21"/>
                <w:highlight w:val="none"/>
              </w:rPr>
              <w:t>≤</w:t>
            </w:r>
            <w:r>
              <w:rPr>
                <w:rFonts w:hint="eastAsia" w:ascii="宋体" w:hAnsi="宋体" w:cs="宋体"/>
                <w:spacing w:val="2"/>
                <w:sz w:val="21"/>
                <w:szCs w:val="21"/>
                <w:highlight w:val="none"/>
                <w:lang w:val="en-US" w:eastAsia="zh-CN"/>
              </w:rPr>
              <w:t>0.4</w:t>
            </w:r>
            <w:r>
              <w:rPr>
                <w:rFonts w:hint="eastAsia" w:ascii="宋体" w:hAnsi="宋体" w:eastAsia="宋体" w:cs="宋体"/>
                <w:spacing w:val="2"/>
                <w:sz w:val="21"/>
                <w:szCs w:val="21"/>
                <w:highlight w:val="none"/>
              </w:rPr>
              <w:t>%</w:t>
            </w:r>
            <w:r>
              <w:rPr>
                <w:rFonts w:hint="eastAsia" w:ascii="宋体" w:hAnsi="宋体" w:cs="宋体"/>
                <w:spacing w:val="9"/>
                <w:sz w:val="21"/>
                <w:szCs w:val="21"/>
                <w:highlight w:val="none"/>
                <w:lang w:eastAsia="zh-CN"/>
              </w:rPr>
              <w:t>（</w:t>
            </w:r>
            <w:r>
              <w:rPr>
                <w:rFonts w:hint="eastAsia" w:ascii="宋体" w:hAnsi="宋体" w:cs="宋体"/>
                <w:spacing w:val="9"/>
                <w:sz w:val="21"/>
                <w:szCs w:val="21"/>
                <w:highlight w:val="none"/>
                <w:lang w:val="en-US" w:eastAsia="zh-CN"/>
              </w:rPr>
              <w:t>实际检验结果为0%</w:t>
            </w:r>
            <w:r>
              <w:rPr>
                <w:rFonts w:hint="eastAsia" w:ascii="宋体" w:hAnsi="宋体" w:cs="宋体"/>
                <w:spacing w:val="9"/>
                <w:sz w:val="21"/>
                <w:szCs w:val="21"/>
                <w:highlight w:val="none"/>
                <w:lang w:eastAsia="zh-CN"/>
              </w:rPr>
              <w:t>）</w:t>
            </w:r>
            <w:r>
              <w:rPr>
                <w:rFonts w:hint="eastAsia" w:ascii="宋体" w:hAnsi="宋体" w:eastAsia="宋体" w:cs="宋体"/>
                <w:spacing w:val="2"/>
                <w:sz w:val="21"/>
                <w:szCs w:val="21"/>
                <w:highlight w:val="none"/>
                <w:lang w:eastAsia="zh-CN"/>
              </w:rPr>
              <w:t>。</w:t>
            </w:r>
          </w:p>
          <w:p w14:paraId="379E2830">
            <w:pPr>
              <w:pStyle w:val="21"/>
              <w:wordWrap w:val="0"/>
              <w:topLinePunct/>
              <w:spacing w:before="0" w:line="360" w:lineRule="auto"/>
              <w:ind w:left="0" w:leftChars="0" w:right="0" w:firstLine="424" w:firstLineChars="200"/>
              <w:rPr>
                <w:rFonts w:hint="eastAsia" w:ascii="宋体" w:hAnsi="宋体" w:cs="宋体"/>
                <w:sz w:val="21"/>
                <w:szCs w:val="21"/>
                <w:highlight w:val="none"/>
              </w:rPr>
            </w:pPr>
            <w:r>
              <w:rPr>
                <w:rFonts w:hint="eastAsia" w:ascii="宋体" w:hAnsi="宋体" w:eastAsia="宋体" w:cs="宋体"/>
                <w:spacing w:val="1"/>
                <w:sz w:val="21"/>
                <w:szCs w:val="21"/>
                <w:highlight w:val="none"/>
              </w:rPr>
              <w:t>17</w:t>
            </w:r>
            <w:r>
              <w:rPr>
                <w:rFonts w:hint="eastAsia" w:ascii="宋体" w:hAnsi="宋体" w:eastAsia="宋体" w:cs="宋体"/>
                <w:spacing w:val="1"/>
                <w:sz w:val="21"/>
                <w:szCs w:val="21"/>
                <w:highlight w:val="none"/>
                <w:lang w:val="en-US" w:eastAsia="zh-CN"/>
              </w:rPr>
              <w:t>.</w:t>
            </w:r>
            <w:r>
              <w:rPr>
                <w:rFonts w:hint="eastAsia" w:ascii="宋体" w:hAnsi="宋体" w:eastAsia="宋体" w:cs="宋体"/>
                <w:sz w:val="21"/>
                <w:szCs w:val="21"/>
                <w:highlight w:val="none"/>
              </w:rPr>
              <w:t>WINDOWS</w:t>
            </w:r>
            <w:r>
              <w:rPr>
                <w:rFonts w:hint="eastAsia" w:ascii="宋体" w:hAnsi="宋体" w:eastAsia="宋体" w:cs="宋体"/>
                <w:spacing w:val="1"/>
                <w:sz w:val="21"/>
                <w:szCs w:val="21"/>
                <w:highlight w:val="none"/>
              </w:rPr>
              <w:t>10</w:t>
            </w:r>
            <w:r>
              <w:rPr>
                <w:rFonts w:hint="eastAsia" w:ascii="宋体" w:hAnsi="宋体" w:eastAsia="宋体" w:cs="宋体"/>
                <w:spacing w:val="39"/>
                <w:w w:val="101"/>
                <w:sz w:val="21"/>
                <w:szCs w:val="21"/>
                <w:highlight w:val="none"/>
              </w:rPr>
              <w:t xml:space="preserve"> </w:t>
            </w:r>
            <w:r>
              <w:rPr>
                <w:rFonts w:hint="eastAsia" w:ascii="宋体" w:hAnsi="宋体" w:cs="宋体"/>
                <w:spacing w:val="1"/>
                <w:sz w:val="21"/>
                <w:szCs w:val="21"/>
                <w:highlight w:val="none"/>
              </w:rPr>
              <w:t>中/英文工控嵌入式操作系统，内置工作站，显示器尺寸</w:t>
            </w:r>
            <w:r>
              <w:rPr>
                <w:rFonts w:hint="eastAsia" w:ascii="宋体" w:hAnsi="宋体" w:cs="宋体"/>
                <w:spacing w:val="1"/>
                <w:sz w:val="21"/>
                <w:szCs w:val="21"/>
                <w:highlight w:val="none"/>
                <w:lang w:val="en-US" w:eastAsia="zh-CN"/>
              </w:rPr>
              <w:t>≥</w:t>
            </w:r>
            <w:r>
              <w:rPr>
                <w:rFonts w:hint="eastAsia" w:ascii="宋体" w:hAnsi="宋体" w:cs="宋体"/>
                <w:spacing w:val="1"/>
                <w:sz w:val="21"/>
                <w:szCs w:val="21"/>
                <w:highlight w:val="none"/>
              </w:rPr>
              <w:t>14英</w:t>
            </w:r>
            <w:r>
              <w:rPr>
                <w:rFonts w:hint="eastAsia" w:ascii="宋体" w:hAnsi="宋体" w:cs="宋体"/>
                <w:sz w:val="21"/>
                <w:szCs w:val="21"/>
                <w:highlight w:val="none"/>
              </w:rPr>
              <w:t xml:space="preserve">寸，整机体积小，搭载高清分辨率 </w:t>
            </w:r>
            <w:r>
              <w:rPr>
                <w:rFonts w:hint="eastAsia" w:ascii="宋体" w:hAnsi="宋体" w:cs="宋体"/>
                <w:spacing w:val="1"/>
                <w:sz w:val="21"/>
                <w:szCs w:val="21"/>
                <w:highlight w:val="none"/>
              </w:rPr>
              <w:t>多点触摸屏，可外出</w:t>
            </w:r>
            <w:r>
              <w:rPr>
                <w:rFonts w:hint="eastAsia" w:ascii="宋体" w:hAnsi="宋体" w:cs="宋体"/>
                <w:spacing w:val="1"/>
                <w:sz w:val="21"/>
                <w:szCs w:val="21"/>
                <w:highlight w:val="none"/>
                <w:lang w:val="en-US" w:eastAsia="zh-CN"/>
              </w:rPr>
              <w:t>携带</w:t>
            </w:r>
            <w:r>
              <w:rPr>
                <w:rFonts w:hint="eastAsia" w:ascii="宋体" w:hAnsi="宋体" w:cs="宋体"/>
                <w:spacing w:val="1"/>
                <w:sz w:val="21"/>
                <w:szCs w:val="21"/>
                <w:highlight w:val="none"/>
              </w:rPr>
              <w:t>就诊。</w:t>
            </w:r>
          </w:p>
          <w:p w14:paraId="3409F041">
            <w:pPr>
              <w:pStyle w:val="21"/>
              <w:wordWrap w:val="0"/>
              <w:topLinePunct/>
              <w:spacing w:before="0" w:line="360" w:lineRule="auto"/>
              <w:ind w:firstLine="448" w:firstLineChars="200"/>
              <w:rPr>
                <w:rFonts w:hint="eastAsia" w:ascii="宋体" w:hAnsi="宋体" w:cs="宋体"/>
                <w:sz w:val="21"/>
                <w:szCs w:val="21"/>
                <w:highlight w:val="none"/>
              </w:rPr>
            </w:pPr>
            <w:r>
              <w:rPr>
                <w:rFonts w:hint="eastAsia" w:ascii="宋体" w:hAnsi="宋体" w:cs="宋体"/>
                <w:spacing w:val="7"/>
                <w:sz w:val="21"/>
                <w:szCs w:val="21"/>
                <w:highlight w:val="none"/>
              </w:rPr>
              <w:t>18</w:t>
            </w:r>
            <w:r>
              <w:rPr>
                <w:rFonts w:hint="eastAsia" w:ascii="宋体" w:hAnsi="宋体" w:cs="宋体"/>
                <w:spacing w:val="7"/>
                <w:sz w:val="21"/>
                <w:szCs w:val="21"/>
                <w:highlight w:val="none"/>
                <w:lang w:val="en-US" w:eastAsia="zh-CN"/>
              </w:rPr>
              <w:t>.</w:t>
            </w:r>
            <w:r>
              <w:rPr>
                <w:rFonts w:hint="eastAsia" w:ascii="宋体" w:hAnsi="宋体" w:cs="宋体"/>
                <w:spacing w:val="7"/>
                <w:sz w:val="21"/>
                <w:szCs w:val="21"/>
                <w:highlight w:val="none"/>
              </w:rPr>
              <w:t>声光电智能手法提示(骨轴偏离度，旋转度，偏角度等)和智能结果分析。</w:t>
            </w:r>
          </w:p>
          <w:p w14:paraId="7C7A6C35">
            <w:pPr>
              <w:pStyle w:val="21"/>
              <w:wordWrap w:val="0"/>
              <w:topLinePunct/>
              <w:spacing w:before="0" w:line="360" w:lineRule="auto"/>
              <w:ind w:firstLine="424" w:firstLineChars="200"/>
              <w:rPr>
                <w:rFonts w:hint="eastAsia" w:ascii="宋体" w:hAnsi="宋体" w:cs="宋体"/>
                <w:sz w:val="21"/>
                <w:szCs w:val="21"/>
                <w:highlight w:val="none"/>
              </w:rPr>
            </w:pPr>
            <w:r>
              <w:rPr>
                <w:rFonts w:hint="eastAsia" w:ascii="宋体" w:hAnsi="宋体" w:eastAsia="宋体" w:cs="宋体"/>
                <w:spacing w:val="1"/>
                <w:sz w:val="21"/>
                <w:szCs w:val="21"/>
                <w:highlight w:val="none"/>
              </w:rPr>
              <w:t>19</w:t>
            </w:r>
            <w:r>
              <w:rPr>
                <w:rFonts w:hint="eastAsia" w:ascii="宋体" w:hAnsi="宋体" w:eastAsia="宋体" w:cs="宋体"/>
                <w:spacing w:val="-15"/>
                <w:sz w:val="21"/>
                <w:szCs w:val="21"/>
                <w:highlight w:val="none"/>
              </w:rPr>
              <w:t xml:space="preserve"> </w:t>
            </w:r>
            <w:r>
              <w:rPr>
                <w:rFonts w:hint="eastAsia" w:ascii="宋体" w:hAnsi="宋体" w:eastAsia="宋体" w:cs="宋体"/>
                <w:spacing w:val="1"/>
                <w:sz w:val="21"/>
                <w:szCs w:val="21"/>
                <w:highlight w:val="none"/>
                <w:lang w:val="en-US" w:eastAsia="zh-CN"/>
              </w:rPr>
              <w:t>.</w:t>
            </w:r>
            <w:r>
              <w:rPr>
                <w:rFonts w:hint="eastAsia" w:ascii="宋体" w:hAnsi="宋体" w:cs="宋体"/>
                <w:spacing w:val="1"/>
                <w:sz w:val="21"/>
                <w:szCs w:val="21"/>
                <w:highlight w:val="none"/>
              </w:rPr>
              <w:t>整机防水等级≥</w:t>
            </w:r>
            <w:r>
              <w:rPr>
                <w:rFonts w:hint="eastAsia" w:ascii="宋体" w:hAnsi="宋体" w:eastAsia="宋体" w:cs="宋体"/>
                <w:sz w:val="21"/>
                <w:szCs w:val="21"/>
                <w:highlight w:val="none"/>
              </w:rPr>
              <w:t>IPXO</w:t>
            </w:r>
            <w:r>
              <w:rPr>
                <w:rFonts w:hint="eastAsia" w:ascii="宋体" w:hAnsi="宋体" w:eastAsia="宋体" w:cs="宋体"/>
                <w:spacing w:val="1"/>
                <w:sz w:val="21"/>
                <w:szCs w:val="21"/>
                <w:highlight w:val="none"/>
              </w:rPr>
              <w:t>,</w:t>
            </w:r>
            <w:r>
              <w:rPr>
                <w:rFonts w:hint="eastAsia" w:ascii="宋体" w:hAnsi="宋体" w:eastAsia="宋体" w:cs="宋体"/>
                <w:spacing w:val="25"/>
                <w:sz w:val="21"/>
                <w:szCs w:val="21"/>
                <w:highlight w:val="none"/>
              </w:rPr>
              <w:t xml:space="preserve"> </w:t>
            </w:r>
            <w:r>
              <w:rPr>
                <w:rFonts w:hint="eastAsia" w:ascii="宋体" w:hAnsi="宋体" w:cs="宋体"/>
                <w:spacing w:val="1"/>
                <w:sz w:val="21"/>
                <w:szCs w:val="21"/>
                <w:highlight w:val="none"/>
              </w:rPr>
              <w:t>探头防水等级≥</w:t>
            </w:r>
            <w:r>
              <w:rPr>
                <w:rFonts w:hint="eastAsia" w:ascii="宋体" w:hAnsi="宋体" w:cs="宋体"/>
                <w:spacing w:val="1"/>
                <w:sz w:val="21"/>
                <w:szCs w:val="21"/>
                <w:highlight w:val="none"/>
                <w:lang w:val="en-US" w:eastAsia="zh-CN"/>
              </w:rPr>
              <w:t>4</w:t>
            </w:r>
            <w:r>
              <w:rPr>
                <w:rFonts w:hint="eastAsia" w:ascii="宋体" w:hAnsi="宋体" w:eastAsia="宋体" w:cs="宋体"/>
                <w:sz w:val="21"/>
                <w:szCs w:val="21"/>
                <w:highlight w:val="none"/>
              </w:rPr>
              <w:t>IPX</w:t>
            </w:r>
            <w:r>
              <w:rPr>
                <w:rFonts w:hint="eastAsia" w:ascii="宋体" w:hAnsi="宋体" w:cs="宋体"/>
                <w:spacing w:val="1"/>
                <w:sz w:val="21"/>
                <w:szCs w:val="21"/>
                <w:highlight w:val="none"/>
              </w:rPr>
              <w:t>。</w:t>
            </w:r>
          </w:p>
          <w:p w14:paraId="45068286">
            <w:pPr>
              <w:pStyle w:val="21"/>
              <w:wordWrap w:val="0"/>
              <w:topLinePunct/>
              <w:spacing w:before="0" w:line="360" w:lineRule="auto"/>
              <w:ind w:left="0" w:firstLine="432" w:firstLineChars="200"/>
              <w:rPr>
                <w:rFonts w:hint="eastAsia" w:ascii="宋体" w:hAnsi="宋体" w:cs="宋体"/>
                <w:sz w:val="21"/>
                <w:szCs w:val="21"/>
                <w:highlight w:val="none"/>
              </w:rPr>
            </w:pPr>
            <w:r>
              <w:rPr>
                <w:rFonts w:hint="eastAsia" w:ascii="宋体" w:hAnsi="宋体" w:cs="宋体"/>
                <w:spacing w:val="3"/>
                <w:sz w:val="21"/>
                <w:szCs w:val="21"/>
                <w:highlight w:val="none"/>
              </w:rPr>
              <w:t>20</w:t>
            </w:r>
            <w:r>
              <w:rPr>
                <w:rFonts w:hint="eastAsia" w:ascii="宋体" w:hAnsi="宋体" w:cs="宋体"/>
                <w:spacing w:val="3"/>
                <w:sz w:val="21"/>
                <w:szCs w:val="21"/>
                <w:highlight w:val="none"/>
                <w:lang w:val="en-US" w:eastAsia="zh-CN"/>
              </w:rPr>
              <w:t>.</w:t>
            </w:r>
            <w:r>
              <w:rPr>
                <w:rFonts w:hint="eastAsia" w:ascii="宋体" w:hAnsi="宋体" w:cs="宋体"/>
                <w:spacing w:val="3"/>
                <w:sz w:val="21"/>
                <w:szCs w:val="21"/>
                <w:highlight w:val="none"/>
              </w:rPr>
              <w:t>完善的病例数据库管理系统，自动记录、查询、分类、备份、预约、转换、导出、导入等功能，快速方便；测</w:t>
            </w:r>
            <w:r>
              <w:rPr>
                <w:rFonts w:hint="eastAsia" w:ascii="宋体" w:hAnsi="宋体" w:cs="宋体"/>
                <w:spacing w:val="10"/>
                <w:sz w:val="21"/>
                <w:szCs w:val="21"/>
                <w:highlight w:val="none"/>
              </w:rPr>
              <w:t xml:space="preserve"> </w:t>
            </w:r>
            <w:r>
              <w:rPr>
                <w:rFonts w:hint="eastAsia" w:ascii="宋体" w:hAnsi="宋体" w:cs="宋体"/>
                <w:spacing w:val="-1"/>
                <w:sz w:val="21"/>
                <w:szCs w:val="21"/>
                <w:highlight w:val="none"/>
              </w:rPr>
              <w:t>量结果可导出成</w:t>
            </w:r>
            <w:r>
              <w:rPr>
                <w:rFonts w:hint="eastAsia" w:ascii="宋体" w:hAnsi="宋体" w:eastAsia="宋体" w:cs="宋体"/>
                <w:spacing w:val="-1"/>
                <w:sz w:val="21"/>
                <w:szCs w:val="21"/>
                <w:highlight w:val="none"/>
              </w:rPr>
              <w:t>EXCEL</w:t>
            </w:r>
            <w:r>
              <w:rPr>
                <w:rFonts w:hint="eastAsia" w:ascii="宋体" w:hAnsi="宋体" w:eastAsia="宋体" w:cs="宋体"/>
                <w:spacing w:val="3"/>
                <w:sz w:val="21"/>
                <w:szCs w:val="21"/>
                <w:highlight w:val="none"/>
              </w:rPr>
              <w:t xml:space="preserve"> </w:t>
            </w:r>
            <w:r>
              <w:rPr>
                <w:rFonts w:hint="eastAsia" w:ascii="宋体" w:hAnsi="宋体" w:cs="宋体"/>
                <w:spacing w:val="-1"/>
                <w:sz w:val="21"/>
                <w:szCs w:val="21"/>
                <w:highlight w:val="none"/>
              </w:rPr>
              <w:t>格式，便于医生进行数据统计和分析。</w:t>
            </w:r>
          </w:p>
          <w:p w14:paraId="1294E103">
            <w:pPr>
              <w:pStyle w:val="21"/>
              <w:wordWrap w:val="0"/>
              <w:topLinePunct/>
              <w:spacing w:before="0" w:line="360" w:lineRule="auto"/>
              <w:ind w:left="0" w:right="0" w:firstLine="420" w:firstLineChars="200"/>
              <w:rPr>
                <w:rFonts w:hint="eastAsia" w:ascii="宋体" w:hAnsi="宋体" w:cs="宋体"/>
                <w:sz w:val="21"/>
                <w:szCs w:val="21"/>
                <w:highlight w:val="none"/>
              </w:rPr>
            </w:pPr>
            <w:r>
              <w:rPr>
                <w:rFonts w:hint="eastAsia" w:ascii="宋体" w:hAnsi="宋体" w:cs="宋体"/>
                <w:color w:val="auto"/>
                <w:sz w:val="21"/>
                <w:szCs w:val="21"/>
                <w:highlight w:val="none"/>
              </w:rPr>
              <w:t>▲</w:t>
            </w:r>
            <w:r>
              <w:rPr>
                <w:rFonts w:hint="eastAsia" w:ascii="宋体" w:hAnsi="宋体" w:cs="宋体"/>
                <w:spacing w:val="1"/>
                <w:sz w:val="21"/>
                <w:szCs w:val="21"/>
                <w:highlight w:val="none"/>
              </w:rPr>
              <w:t>21</w:t>
            </w:r>
            <w:r>
              <w:rPr>
                <w:rFonts w:hint="eastAsia" w:ascii="宋体" w:hAnsi="宋体" w:cs="宋体"/>
                <w:spacing w:val="1"/>
                <w:sz w:val="21"/>
                <w:szCs w:val="21"/>
                <w:highlight w:val="none"/>
                <w:lang w:val="en-US" w:eastAsia="zh-CN"/>
              </w:rPr>
              <w:t>.</w:t>
            </w:r>
            <w:r>
              <w:rPr>
                <w:rFonts w:hint="eastAsia" w:ascii="宋体" w:hAnsi="宋体" w:cs="宋体"/>
                <w:spacing w:val="1"/>
                <w:sz w:val="21"/>
                <w:szCs w:val="21"/>
                <w:highlight w:val="none"/>
              </w:rPr>
              <w:t>产品符合</w:t>
            </w:r>
            <w:r>
              <w:rPr>
                <w:rFonts w:hint="eastAsia" w:ascii="宋体" w:hAnsi="宋体" w:eastAsia="宋体" w:cs="宋体"/>
                <w:sz w:val="21"/>
                <w:szCs w:val="21"/>
                <w:highlight w:val="none"/>
              </w:rPr>
              <w:t>GB</w:t>
            </w:r>
            <w:r>
              <w:rPr>
                <w:rFonts w:hint="eastAsia" w:ascii="宋体" w:hAnsi="宋体" w:eastAsia="宋体" w:cs="宋体"/>
                <w:spacing w:val="1"/>
                <w:sz w:val="21"/>
                <w:szCs w:val="21"/>
                <w:highlight w:val="none"/>
              </w:rPr>
              <w:t>9706.1-202</w:t>
            </w:r>
            <w:r>
              <w:rPr>
                <w:rFonts w:hint="eastAsia" w:ascii="宋体" w:hAnsi="宋体" w:cs="宋体"/>
                <w:spacing w:val="1"/>
                <w:sz w:val="21"/>
                <w:szCs w:val="21"/>
                <w:highlight w:val="none"/>
                <w:lang w:val="en-US" w:eastAsia="zh-CN"/>
              </w:rPr>
              <w:t>0</w:t>
            </w:r>
            <w:r>
              <w:rPr>
                <w:rFonts w:hint="eastAsia" w:ascii="宋体" w:hAnsi="宋体" w:eastAsia="宋体" w:cs="宋体"/>
                <w:spacing w:val="-9"/>
                <w:sz w:val="21"/>
                <w:szCs w:val="21"/>
                <w:highlight w:val="none"/>
              </w:rPr>
              <w:t xml:space="preserve"> </w:t>
            </w:r>
            <w:r>
              <w:rPr>
                <w:rFonts w:hint="eastAsia" w:ascii="宋体" w:hAnsi="宋体" w:cs="宋体"/>
                <w:spacing w:val="1"/>
                <w:sz w:val="21"/>
                <w:szCs w:val="21"/>
                <w:highlight w:val="none"/>
              </w:rPr>
              <w:t>、</w:t>
            </w:r>
            <w:r>
              <w:rPr>
                <w:rFonts w:hint="eastAsia" w:ascii="宋体" w:hAnsi="宋体" w:eastAsia="宋体" w:cs="宋体"/>
                <w:sz w:val="21"/>
                <w:szCs w:val="21"/>
                <w:highlight w:val="none"/>
              </w:rPr>
              <w:t>GB</w:t>
            </w:r>
            <w:r>
              <w:rPr>
                <w:rFonts w:hint="eastAsia" w:ascii="宋体" w:hAnsi="宋体" w:eastAsia="宋体" w:cs="宋体"/>
                <w:spacing w:val="1"/>
                <w:sz w:val="21"/>
                <w:szCs w:val="21"/>
                <w:highlight w:val="none"/>
              </w:rPr>
              <w:t>9706.237-2020</w:t>
            </w:r>
            <w:r>
              <w:rPr>
                <w:rFonts w:hint="eastAsia" w:ascii="宋体" w:hAnsi="宋体" w:eastAsia="宋体" w:cs="宋体"/>
                <w:spacing w:val="-25"/>
                <w:sz w:val="21"/>
                <w:szCs w:val="21"/>
                <w:highlight w:val="none"/>
              </w:rPr>
              <w:t xml:space="preserve"> </w:t>
            </w:r>
            <w:r>
              <w:rPr>
                <w:rFonts w:hint="eastAsia" w:ascii="宋体" w:hAnsi="宋体" w:cs="宋体"/>
                <w:spacing w:val="1"/>
                <w:sz w:val="21"/>
                <w:szCs w:val="21"/>
                <w:highlight w:val="none"/>
              </w:rPr>
              <w:t>、</w:t>
            </w:r>
            <w:r>
              <w:rPr>
                <w:rFonts w:hint="eastAsia" w:ascii="宋体" w:hAnsi="宋体" w:eastAsia="宋体" w:cs="宋体"/>
                <w:sz w:val="21"/>
                <w:szCs w:val="21"/>
                <w:highlight w:val="none"/>
              </w:rPr>
              <w:t>YY</w:t>
            </w:r>
            <w:r>
              <w:rPr>
                <w:rFonts w:hint="eastAsia" w:ascii="宋体" w:hAnsi="宋体" w:eastAsia="宋体" w:cs="宋体"/>
                <w:spacing w:val="1"/>
                <w:sz w:val="21"/>
                <w:szCs w:val="21"/>
                <w:highlight w:val="none"/>
              </w:rPr>
              <w:t xml:space="preserve">9706.102-20210   </w:t>
            </w:r>
            <w:r>
              <w:rPr>
                <w:rFonts w:hint="eastAsia" w:ascii="宋体" w:hAnsi="宋体" w:cs="宋体"/>
                <w:spacing w:val="1"/>
                <w:sz w:val="21"/>
                <w:szCs w:val="21"/>
                <w:highlight w:val="none"/>
              </w:rPr>
              <w:t>国标和行标要求，并通过了标准检测。提供</w:t>
            </w:r>
            <w:r>
              <w:rPr>
                <w:rFonts w:hint="eastAsia" w:ascii="宋体" w:hAnsi="宋体" w:cs="宋体"/>
                <w:sz w:val="21"/>
                <w:szCs w:val="21"/>
                <w:highlight w:val="none"/>
              </w:rPr>
              <w:t xml:space="preserve"> </w:t>
            </w:r>
            <w:r>
              <w:rPr>
                <w:rFonts w:hint="eastAsia" w:ascii="宋体" w:hAnsi="宋体" w:cs="宋体"/>
                <w:spacing w:val="1"/>
                <w:sz w:val="21"/>
                <w:szCs w:val="21"/>
                <w:highlight w:val="none"/>
              </w:rPr>
              <w:t>检验报告证明。</w:t>
            </w:r>
          </w:p>
          <w:p w14:paraId="45E70D6E">
            <w:pPr>
              <w:pStyle w:val="21"/>
              <w:wordWrap w:val="0"/>
              <w:topLinePunct/>
              <w:spacing w:line="360" w:lineRule="auto"/>
              <w:ind w:left="0" w:leftChars="0" w:firstLine="428" w:firstLineChars="200"/>
              <w:jc w:val="left"/>
              <w:rPr>
                <w:rFonts w:hint="eastAsia" w:ascii="宋体" w:hAnsi="宋体" w:cs="宋体"/>
                <w:b w:val="0"/>
                <w:bCs w:val="0"/>
                <w:color w:val="auto"/>
                <w:szCs w:val="21"/>
                <w:highlight w:val="none"/>
              </w:rPr>
            </w:pPr>
            <w:r>
              <w:rPr>
                <w:rFonts w:hint="eastAsia" w:ascii="宋体" w:hAnsi="宋体" w:eastAsia="宋体" w:cs="宋体"/>
                <w:spacing w:val="2"/>
                <w:sz w:val="21"/>
                <w:szCs w:val="21"/>
                <w:highlight w:val="none"/>
              </w:rPr>
              <w:t>22</w:t>
            </w:r>
            <w:r>
              <w:rPr>
                <w:rFonts w:hint="eastAsia" w:ascii="宋体" w:hAnsi="宋体" w:eastAsia="宋体" w:cs="宋体"/>
                <w:spacing w:val="2"/>
                <w:sz w:val="21"/>
                <w:szCs w:val="21"/>
                <w:highlight w:val="none"/>
                <w:lang w:val="en-US" w:eastAsia="zh-CN"/>
              </w:rPr>
              <w:t>.</w:t>
            </w:r>
            <w:r>
              <w:rPr>
                <w:rFonts w:hint="eastAsia" w:ascii="宋体" w:hAnsi="宋体" w:eastAsia="宋体" w:cs="宋体"/>
                <w:spacing w:val="2"/>
                <w:sz w:val="21"/>
                <w:szCs w:val="21"/>
                <w:highlight w:val="none"/>
              </w:rPr>
              <w:t>产品软件和网络安全符合</w:t>
            </w:r>
            <w:r>
              <w:rPr>
                <w:rFonts w:hint="eastAsia" w:ascii="宋体" w:hAnsi="宋体" w:eastAsia="宋体" w:cs="宋体"/>
                <w:sz w:val="21"/>
                <w:szCs w:val="21"/>
                <w:highlight w:val="none"/>
              </w:rPr>
              <w:t>GB</w:t>
            </w:r>
            <w:r>
              <w:rPr>
                <w:rFonts w:hint="eastAsia" w:ascii="宋体" w:hAnsi="宋体" w:eastAsia="宋体" w:cs="宋体"/>
                <w:spacing w:val="2"/>
                <w:sz w:val="21"/>
                <w:szCs w:val="21"/>
                <w:highlight w:val="none"/>
              </w:rPr>
              <w:t>/T25000.51-2016</w:t>
            </w:r>
            <w:r>
              <w:rPr>
                <w:rFonts w:hint="eastAsia" w:ascii="宋体" w:hAnsi="宋体" w:eastAsia="宋体" w:cs="宋体"/>
                <w:spacing w:val="-21"/>
                <w:sz w:val="21"/>
                <w:szCs w:val="21"/>
                <w:highlight w:val="none"/>
              </w:rPr>
              <w:t xml:space="preserve"> </w:t>
            </w:r>
            <w:r>
              <w:rPr>
                <w:rFonts w:hint="eastAsia" w:ascii="宋体" w:hAnsi="宋体" w:eastAsia="宋体" w:cs="宋体"/>
                <w:spacing w:val="2"/>
                <w:sz w:val="21"/>
                <w:szCs w:val="21"/>
                <w:highlight w:val="none"/>
              </w:rPr>
              <w:t>、</w:t>
            </w:r>
            <w:r>
              <w:rPr>
                <w:rFonts w:hint="eastAsia" w:ascii="宋体" w:hAnsi="宋体" w:eastAsia="宋体" w:cs="宋体"/>
                <w:sz w:val="21"/>
                <w:szCs w:val="21"/>
                <w:highlight w:val="none"/>
              </w:rPr>
              <w:t>YY</w:t>
            </w:r>
            <w:r>
              <w:rPr>
                <w:rFonts w:hint="eastAsia" w:ascii="宋体" w:hAnsi="宋体" w:eastAsia="宋体" w:cs="宋体"/>
                <w:spacing w:val="2"/>
                <w:sz w:val="21"/>
                <w:szCs w:val="21"/>
                <w:highlight w:val="none"/>
              </w:rPr>
              <w:t>/T1843-2022国标和行标要求，并通过了该标准的检测。</w:t>
            </w:r>
          </w:p>
        </w:tc>
        <w:tc>
          <w:tcPr>
            <w:tcW w:w="1134" w:type="dxa"/>
            <w:vAlign w:val="center"/>
          </w:tcPr>
          <w:p w14:paraId="03295FFD">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45000</w:t>
            </w:r>
          </w:p>
        </w:tc>
        <w:tc>
          <w:tcPr>
            <w:tcW w:w="1275" w:type="dxa"/>
            <w:vAlign w:val="center"/>
          </w:tcPr>
          <w:p w14:paraId="781E2848">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45000</w:t>
            </w:r>
          </w:p>
        </w:tc>
      </w:tr>
      <w:tr w14:paraId="3B35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606" w:type="dxa"/>
            <w:vAlign w:val="center"/>
          </w:tcPr>
          <w:p w14:paraId="6EE6DBFC">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16</w:t>
            </w:r>
          </w:p>
        </w:tc>
        <w:tc>
          <w:tcPr>
            <w:tcW w:w="1387" w:type="dxa"/>
            <w:vAlign w:val="center"/>
          </w:tcPr>
          <w:p w14:paraId="0C78EC7D">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听力筛查仪耳声发射测试仪</w:t>
            </w:r>
          </w:p>
        </w:tc>
        <w:tc>
          <w:tcPr>
            <w:tcW w:w="728" w:type="dxa"/>
            <w:vAlign w:val="center"/>
          </w:tcPr>
          <w:p w14:paraId="57937B31">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99" w:type="dxa"/>
            <w:gridSpan w:val="2"/>
            <w:vAlign w:val="center"/>
          </w:tcPr>
          <w:p w14:paraId="744D1975">
            <w:pPr>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台</w:t>
            </w:r>
          </w:p>
        </w:tc>
        <w:tc>
          <w:tcPr>
            <w:tcW w:w="4775" w:type="dxa"/>
            <w:vAlign w:val="center"/>
          </w:tcPr>
          <w:p w14:paraId="4185AE7A">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 主机尺寸：≤15.8×8.3×1.9 cm，机身小巧便携，适配临床筛查场景。</w:t>
            </w:r>
          </w:p>
          <w:p w14:paraId="2F163D5A">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2. 整机重量：≤280g（含内置电池），轻便易手持操作，降低医护人员工作负荷。</w:t>
            </w:r>
          </w:p>
          <w:p w14:paraId="712FCE32">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▲3. 显示屏：配备彩色液晶触摸屏，操作直观便捷，适配临床快速操作需求。</w:t>
            </w:r>
          </w:p>
          <w:p w14:paraId="6CA143F3">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4. 屏幕尺寸：≥9.5×5.6 cm，屏幕视野充足，便于清晰查看测试数据与结果。</w:t>
            </w:r>
          </w:p>
          <w:p w14:paraId="4058D91C">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▲5. 屏幕分辨率：≥ 272×480 像素，显示清晰，数据、图形无模糊失真。</w:t>
            </w:r>
          </w:p>
          <w:p w14:paraId="4C630F9B">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6. 提示音：内置扬声器，支持屏幕触控反馈、测试结果语音/音效提醒，操作便捷、提示清晰。</w:t>
            </w:r>
          </w:p>
          <w:p w14:paraId="70B62352">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7. 语言设置：支持中文显示，同时支持多语种切换，满足不同使用场景需求。</w:t>
            </w:r>
          </w:p>
          <w:p w14:paraId="70B9B15C">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8. 电池参数：标配可充电锂电池，标准电压3.70V，电池容量≥3850mAh，续航持久，满足全天临床筛查使用。</w:t>
            </w:r>
          </w:p>
          <w:p w14:paraId="310A9C3C">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9. 内存容量：可存储≥250名患者数据，单患者可保存不少于50次测试数据，满足基础数据存储需求。</w:t>
            </w:r>
          </w:p>
          <w:p w14:paraId="59E6523F">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10. 数据传输：支持无线数据传输功能，通用医用无线传输频段，传输稳定、适配常规医疗数据对接标准。</w:t>
            </w:r>
          </w:p>
          <w:p w14:paraId="01A38624">
            <w:pPr>
              <w:wordWrap w:val="0"/>
              <w:topLinePunct/>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11. 运输与存储条件：温度范围-25℃～+70℃，相对湿度≤93%（非冷凝），设备耐储运，适配常规仓储、转运环境。</w:t>
            </w:r>
          </w:p>
          <w:p w14:paraId="3DFB6F0D">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12. 工作环境要求：工作温度5℃～40℃，工作湿度15%～93%（非冷凝），工作气压98kPa～104kPa；设备启动时间≤5秒，预热时间≤1.5分钟，开机快速就绪，适配高频筛查工作场景。</w:t>
            </w:r>
          </w:p>
          <w:p w14:paraId="7F7C3A57">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13. 电源适配器：适配常规市电，输入电压100–240V交流电、50/60Hz，输出5.0V直流电，满足设备稳定供电需求，符合医用电源安全标准。</w:t>
            </w:r>
          </w:p>
          <w:p w14:paraId="5FDBB166">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▲14. 打印方式：支持本机热敏打印或连接电脑打印，双模式打印，适配不同归档、报告输出需求。</w:t>
            </w:r>
          </w:p>
          <w:p w14:paraId="4F207F0B">
            <w:pPr>
              <w:wordWrap w:val="0"/>
              <w:topLinePunct/>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15. 检测技术：支持畸变产物耳声发射（DPOAE）筛查模式，适配常规听力筛查临床标准。</w:t>
            </w:r>
          </w:p>
          <w:p w14:paraId="7FDC7B0A">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16. 检测频率范围：1.5kHz～6kHz，支持常规听力筛查标准频率配比，可实现精准听力筛查。</w:t>
            </w:r>
          </w:p>
          <w:p w14:paraId="55E30B3B">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17. 刺激声强度：50-65dB SPL，符合婴幼儿及成人听力筛查安全、标准声强要求。</w:t>
            </w:r>
          </w:p>
          <w:p w14:paraId="3ABE1A00">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▲18. 检测探头：配备医用专用听力筛查探头，支持探头自动识别、耳道容积自动校准功能，适配不同人群耳道特征，保障检测精准度。</w:t>
            </w:r>
          </w:p>
          <w:p w14:paraId="05947F89">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19. 检测性能：单组测试分析时间≤60秒，配备24位A/D分辨率，内置噪音伪迹抑制系统，可有效抑制30dB SPL环境噪音，抗干扰能力强，适配门诊、病房常规环境检测。</w:t>
            </w:r>
          </w:p>
          <w:p w14:paraId="4A4C810E">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▲20. 筛查算法：采用医用精准筛查算法，抗干扰性强、筛查准确率高，常规筛查协议下算法灵敏度≥99%，满足临床筛查精准度要求。</w:t>
            </w:r>
          </w:p>
          <w:p w14:paraId="5A4F8FF3">
            <w:pPr>
              <w:spacing w:before="0" w:after="0" w:line="360" w:lineRule="auto"/>
              <w:ind w:left="0" w:firstLine="420" w:firstLineChars="200"/>
              <w:jc w:val="left"/>
              <w:rPr>
                <w:rFonts w:hint="eastAsia" w:ascii="宋体" w:hAnsi="宋体" w:eastAsia="宋体" w:cs="宋体"/>
                <w:szCs w:val="21"/>
                <w:highlight w:val="none"/>
              </w:rPr>
            </w:pPr>
            <w:r>
              <w:rPr>
                <w:rFonts w:hint="eastAsia" w:ascii="宋体" w:hAnsi="宋体" w:eastAsia="宋体" w:cs="宋体"/>
                <w:sz w:val="21"/>
                <w:szCs w:val="21"/>
                <w:highlight w:val="none"/>
              </w:rPr>
              <w:t>21. 显示功能：设备屏幕可实时显示换能器状态、测试结果（通过/参考/不完整）、探头稳定性、测试时长、环境噪声水平，数据可视化全面，便于医护人员实时判断检测有效性。</w:t>
            </w:r>
          </w:p>
          <w:p w14:paraId="036FDFE9">
            <w:pPr>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cs="宋体"/>
                <w:color w:val="auto"/>
                <w:szCs w:val="21"/>
                <w:highlight w:val="none"/>
                <w:lang w:val="en-US" w:eastAsia="zh-CN"/>
              </w:rPr>
              <w:t>22.</w:t>
            </w:r>
            <w:r>
              <w:rPr>
                <w:rFonts w:hint="eastAsia" w:ascii="宋体" w:hAnsi="宋体" w:eastAsia="宋体" w:cs="宋体"/>
                <w:color w:val="000000"/>
                <w:szCs w:val="21"/>
                <w:highlight w:val="none"/>
              </w:rPr>
              <w:t>配置清单</w:t>
            </w:r>
            <w:r>
              <w:rPr>
                <w:rFonts w:hint="eastAsia" w:ascii="宋体" w:hAnsi="宋体" w:eastAsia="宋体" w:cs="宋体"/>
                <w:color w:val="000000"/>
                <w:szCs w:val="21"/>
                <w:highlight w:val="none"/>
                <w:lang w:eastAsia="zh-CN"/>
              </w:rPr>
              <w:t>：</w:t>
            </w:r>
          </w:p>
          <w:tbl>
            <w:tblPr>
              <w:tblStyle w:val="49"/>
              <w:tblW w:w="3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2180"/>
              <w:gridCol w:w="568"/>
              <w:gridCol w:w="625"/>
            </w:tblGrid>
            <w:tr w14:paraId="29DEC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64" w:type="dxa"/>
                  <w:gridSpan w:val="4"/>
                  <w:noWrap w:val="0"/>
                  <w:vAlign w:val="top"/>
                </w:tcPr>
                <w:p w14:paraId="1CE7C138">
                  <w:pPr>
                    <w:numPr>
                      <w:ilvl w:val="0"/>
                      <w:numId w:val="0"/>
                    </w:numPr>
                    <w:spacing w:line="360" w:lineRule="auto"/>
                    <w:jc w:val="center"/>
                    <w:rPr>
                      <w:rFonts w:hint="eastAsia" w:ascii="宋体" w:hAnsi="宋体" w:cs="Arial"/>
                      <w:color w:val="auto"/>
                      <w:szCs w:val="21"/>
                      <w:highlight w:val="none"/>
                      <w:vertAlign w:val="baseline"/>
                      <w:lang w:val="en-US" w:eastAsia="zh-CN"/>
                    </w:rPr>
                  </w:pPr>
                  <w:r>
                    <w:rPr>
                      <w:rFonts w:hint="eastAsia" w:ascii="宋体" w:hAnsi="宋体" w:eastAsia="宋体" w:cs="宋体"/>
                      <w:color w:val="auto"/>
                      <w:kern w:val="0"/>
                      <w:sz w:val="21"/>
                      <w:szCs w:val="21"/>
                      <w:highlight w:val="none"/>
                    </w:rPr>
                    <w:t>配置</w:t>
                  </w:r>
                  <w:r>
                    <w:rPr>
                      <w:rFonts w:hint="eastAsia" w:ascii="宋体" w:hAnsi="宋体" w:eastAsia="宋体" w:cs="宋体"/>
                      <w:color w:val="auto"/>
                      <w:kern w:val="0"/>
                      <w:sz w:val="21"/>
                      <w:szCs w:val="21"/>
                      <w:highlight w:val="none"/>
                      <w:lang w:val="en-US" w:eastAsia="zh-CN"/>
                    </w:rPr>
                    <w:t>清单</w:t>
                  </w:r>
                </w:p>
              </w:tc>
            </w:tr>
            <w:tr w14:paraId="630F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491" w:type="dxa"/>
                  <w:noWrap w:val="0"/>
                  <w:vAlign w:val="center"/>
                </w:tcPr>
                <w:p w14:paraId="78FF7809">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序号</w:t>
                  </w:r>
                </w:p>
              </w:tc>
              <w:tc>
                <w:tcPr>
                  <w:tcW w:w="2180" w:type="dxa"/>
                  <w:noWrap w:val="0"/>
                  <w:vAlign w:val="center"/>
                </w:tcPr>
                <w:p w14:paraId="6072E6A9">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产品名称</w:t>
                  </w:r>
                </w:p>
              </w:tc>
              <w:tc>
                <w:tcPr>
                  <w:tcW w:w="568" w:type="dxa"/>
                  <w:noWrap w:val="0"/>
                  <w:vAlign w:val="center"/>
                </w:tcPr>
                <w:p w14:paraId="7433D820">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数量</w:t>
                  </w:r>
                </w:p>
              </w:tc>
              <w:tc>
                <w:tcPr>
                  <w:tcW w:w="625" w:type="dxa"/>
                  <w:noWrap w:val="0"/>
                  <w:vAlign w:val="center"/>
                </w:tcPr>
                <w:p w14:paraId="5B85E74A">
                  <w:pPr>
                    <w:widowControl/>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kern w:val="0"/>
                      <w:sz w:val="21"/>
                      <w:szCs w:val="21"/>
                      <w:highlight w:val="none"/>
                    </w:rPr>
                    <w:t>单位</w:t>
                  </w:r>
                </w:p>
              </w:tc>
            </w:tr>
            <w:tr w14:paraId="3B96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532CDAD9">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2180" w:type="dxa"/>
                  <w:noWrap w:val="0"/>
                  <w:vAlign w:val="center"/>
                </w:tcPr>
                <w:p w14:paraId="5AE8CC20">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主机</w:t>
                  </w:r>
                </w:p>
              </w:tc>
              <w:tc>
                <w:tcPr>
                  <w:tcW w:w="568" w:type="dxa"/>
                  <w:noWrap w:val="0"/>
                  <w:vAlign w:val="center"/>
                </w:tcPr>
                <w:p w14:paraId="6C6268BF">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2788E52D">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台</w:t>
                  </w:r>
                </w:p>
              </w:tc>
            </w:tr>
            <w:tr w14:paraId="05634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1F4AD015">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2180" w:type="dxa"/>
                  <w:noWrap w:val="0"/>
                  <w:vAlign w:val="center"/>
                </w:tcPr>
                <w:p w14:paraId="2BC0B6CF">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医用筛查探头</w:t>
                  </w:r>
                </w:p>
              </w:tc>
              <w:tc>
                <w:tcPr>
                  <w:tcW w:w="568" w:type="dxa"/>
                  <w:noWrap w:val="0"/>
                  <w:vAlign w:val="center"/>
                </w:tcPr>
                <w:p w14:paraId="1C8AAB89">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43693FF9">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r>
            <w:tr w14:paraId="5501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51E02F55">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2180" w:type="dxa"/>
                  <w:noWrap w:val="0"/>
                  <w:vAlign w:val="center"/>
                </w:tcPr>
                <w:p w14:paraId="4BE0DD99">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配套电脑数据管理软件安装程序</w:t>
                  </w:r>
                </w:p>
              </w:tc>
              <w:tc>
                <w:tcPr>
                  <w:tcW w:w="568" w:type="dxa"/>
                  <w:noWrap w:val="0"/>
                  <w:vAlign w:val="center"/>
                </w:tcPr>
                <w:p w14:paraId="33292EF2">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7C910BBA">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份</w:t>
                  </w:r>
                </w:p>
              </w:tc>
            </w:tr>
            <w:tr w14:paraId="1F16B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710193E3">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2180" w:type="dxa"/>
                  <w:noWrap w:val="0"/>
                  <w:vAlign w:val="center"/>
                </w:tcPr>
                <w:p w14:paraId="39817EA7">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设备专用底座</w:t>
                  </w:r>
                </w:p>
              </w:tc>
              <w:tc>
                <w:tcPr>
                  <w:tcW w:w="568" w:type="dxa"/>
                  <w:noWrap w:val="0"/>
                  <w:vAlign w:val="center"/>
                </w:tcPr>
                <w:p w14:paraId="4F7D9833">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32952064">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台</w:t>
                  </w:r>
                </w:p>
              </w:tc>
            </w:tr>
            <w:tr w14:paraId="6C12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491" w:type="dxa"/>
                  <w:noWrap w:val="0"/>
                  <w:vAlign w:val="center"/>
                </w:tcPr>
                <w:p w14:paraId="784AC551">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2180" w:type="dxa"/>
                  <w:noWrap w:val="0"/>
                  <w:vAlign w:val="center"/>
                </w:tcPr>
                <w:p w14:paraId="21B1345F">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专用连接线</w:t>
                  </w:r>
                </w:p>
              </w:tc>
              <w:tc>
                <w:tcPr>
                  <w:tcW w:w="568" w:type="dxa"/>
                  <w:noWrap w:val="0"/>
                  <w:vAlign w:val="center"/>
                </w:tcPr>
                <w:p w14:paraId="102B23CE">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517C41BC">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w:t>
                  </w:r>
                </w:p>
              </w:tc>
            </w:tr>
            <w:tr w14:paraId="34A1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5671F445">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6</w:t>
                  </w:r>
                </w:p>
              </w:tc>
              <w:tc>
                <w:tcPr>
                  <w:tcW w:w="2180" w:type="dxa"/>
                  <w:noWrap w:val="0"/>
                  <w:vAlign w:val="center"/>
                </w:tcPr>
                <w:p w14:paraId="25C885FC">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专用电源充电器</w:t>
                  </w:r>
                </w:p>
              </w:tc>
              <w:tc>
                <w:tcPr>
                  <w:tcW w:w="568" w:type="dxa"/>
                  <w:noWrap w:val="0"/>
                  <w:vAlign w:val="center"/>
                </w:tcPr>
                <w:p w14:paraId="4F3453AD">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41F82329">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个</w:t>
                  </w:r>
                </w:p>
              </w:tc>
            </w:tr>
            <w:tr w14:paraId="7CD3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46E0E79E">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2180" w:type="dxa"/>
                  <w:noWrap w:val="0"/>
                  <w:vAlign w:val="center"/>
                </w:tcPr>
                <w:p w14:paraId="27CF80C6">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医用筛查耳塞</w:t>
                  </w:r>
                </w:p>
              </w:tc>
              <w:tc>
                <w:tcPr>
                  <w:tcW w:w="568" w:type="dxa"/>
                  <w:noWrap w:val="0"/>
                  <w:vAlign w:val="center"/>
                </w:tcPr>
                <w:p w14:paraId="404F6298">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5ECC7503">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盒</w:t>
                  </w:r>
                </w:p>
              </w:tc>
            </w:tr>
            <w:tr w14:paraId="43A3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91" w:type="dxa"/>
                  <w:noWrap w:val="0"/>
                  <w:vAlign w:val="center"/>
                </w:tcPr>
                <w:p w14:paraId="4F712723">
                  <w:pPr>
                    <w:numPr>
                      <w:ilvl w:val="0"/>
                      <w:numId w:val="0"/>
                    </w:numPr>
                    <w:spacing w:line="360" w:lineRule="auto"/>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2180" w:type="dxa"/>
                  <w:noWrap w:val="0"/>
                  <w:vAlign w:val="center"/>
                </w:tcPr>
                <w:p w14:paraId="109C9C31">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官方标准操作手册</w:t>
                  </w:r>
                </w:p>
              </w:tc>
              <w:tc>
                <w:tcPr>
                  <w:tcW w:w="568" w:type="dxa"/>
                  <w:noWrap w:val="0"/>
                  <w:vAlign w:val="center"/>
                </w:tcPr>
                <w:p w14:paraId="31C1DFC4">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000000"/>
                      <w:szCs w:val="21"/>
                      <w:highlight w:val="none"/>
                    </w:rPr>
                    <w:t>1</w:t>
                  </w:r>
                </w:p>
              </w:tc>
              <w:tc>
                <w:tcPr>
                  <w:tcW w:w="625" w:type="dxa"/>
                  <w:noWrap w:val="0"/>
                  <w:vAlign w:val="center"/>
                </w:tcPr>
                <w:p w14:paraId="50548224">
                  <w:pPr>
                    <w:numPr>
                      <w:ilvl w:val="0"/>
                      <w:numId w:val="0"/>
                    </w:num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份</w:t>
                  </w:r>
                </w:p>
              </w:tc>
            </w:tr>
          </w:tbl>
          <w:p w14:paraId="430B921F">
            <w:pPr>
              <w:pStyle w:val="126"/>
              <w:spacing w:line="360" w:lineRule="auto"/>
              <w:ind w:left="0" w:leftChars="0" w:firstLine="0" w:firstLineChars="0"/>
              <w:jc w:val="left"/>
              <w:rPr>
                <w:rFonts w:hint="eastAsia" w:ascii="宋体" w:hAnsi="宋体" w:cs="宋体"/>
                <w:b w:val="0"/>
                <w:bCs w:val="0"/>
                <w:color w:val="auto"/>
                <w:szCs w:val="21"/>
                <w:highlight w:val="none"/>
              </w:rPr>
            </w:pPr>
          </w:p>
        </w:tc>
        <w:tc>
          <w:tcPr>
            <w:tcW w:w="1134" w:type="dxa"/>
            <w:vAlign w:val="center"/>
          </w:tcPr>
          <w:p w14:paraId="53247C64">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105000</w:t>
            </w:r>
          </w:p>
        </w:tc>
        <w:tc>
          <w:tcPr>
            <w:tcW w:w="1275" w:type="dxa"/>
            <w:vAlign w:val="center"/>
          </w:tcPr>
          <w:p w14:paraId="722FA55F">
            <w:pPr>
              <w:pStyle w:val="60"/>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105000</w:t>
            </w:r>
          </w:p>
        </w:tc>
      </w:tr>
      <w:tr w14:paraId="50B6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04" w:type="dxa"/>
            <w:gridSpan w:val="8"/>
            <w:vAlign w:val="center"/>
          </w:tcPr>
          <w:p w14:paraId="14B72296">
            <w:pPr>
              <w:widowControl/>
              <w:jc w:val="left"/>
              <w:rPr>
                <w:rFonts w:hint="eastAsia" w:ascii="宋体" w:hAnsi="宋体" w:cs="宋体"/>
                <w:bCs/>
                <w:sz w:val="21"/>
                <w:szCs w:val="21"/>
                <w:highlight w:val="none"/>
              </w:rPr>
            </w:pPr>
            <w:r>
              <w:rPr>
                <w:rFonts w:hint="eastAsia" w:ascii="宋体" w:hAnsi="宋体" w:cs="宋体"/>
                <w:bCs/>
                <w:sz w:val="21"/>
                <w:szCs w:val="21"/>
                <w:highlight w:val="none"/>
              </w:rPr>
              <w:t>▲</w:t>
            </w:r>
            <w:r>
              <w:rPr>
                <w:rFonts w:hint="eastAsia" w:ascii="宋体" w:hAnsi="宋体" w:cs="宋体"/>
                <w:b/>
                <w:sz w:val="21"/>
                <w:szCs w:val="21"/>
                <w:highlight w:val="none"/>
              </w:rPr>
              <w:t>商务要求</w:t>
            </w:r>
          </w:p>
        </w:tc>
      </w:tr>
      <w:tr w14:paraId="6184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219" w:type="dxa"/>
            <w:gridSpan w:val="4"/>
            <w:vAlign w:val="center"/>
          </w:tcPr>
          <w:p w14:paraId="0659FD75">
            <w:pPr>
              <w:widowControl/>
              <w:spacing w:line="360" w:lineRule="auto"/>
              <w:jc w:val="center"/>
              <w:rPr>
                <w:rFonts w:hint="eastAsia" w:ascii="宋体" w:hAnsi="宋体" w:cs="宋体"/>
                <w:sz w:val="21"/>
                <w:szCs w:val="21"/>
                <w:highlight w:val="none"/>
              </w:rPr>
            </w:pPr>
            <w:r>
              <w:rPr>
                <w:rFonts w:hint="eastAsia" w:ascii="宋体" w:hAnsi="宋体" w:cs="宋体"/>
                <w:b/>
                <w:bCs/>
                <w:sz w:val="21"/>
                <w:szCs w:val="21"/>
                <w:highlight w:val="none"/>
              </w:rPr>
              <w:t>合同签订时间</w:t>
            </w:r>
          </w:p>
        </w:tc>
        <w:tc>
          <w:tcPr>
            <w:tcW w:w="7385" w:type="dxa"/>
            <w:gridSpan w:val="4"/>
            <w:vAlign w:val="center"/>
          </w:tcPr>
          <w:p w14:paraId="0E4AAABD">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自中标通知书发出之日起</w:t>
            </w:r>
            <w:r>
              <w:rPr>
                <w:rFonts w:hint="eastAsia" w:ascii="宋体" w:hAnsi="宋体" w:cs="宋体"/>
                <w:sz w:val="21"/>
                <w:szCs w:val="21"/>
                <w:highlight w:val="none"/>
                <w:lang w:eastAsia="zh-CN"/>
              </w:rPr>
              <w:t>8</w:t>
            </w:r>
            <w:r>
              <w:rPr>
                <w:rFonts w:hint="eastAsia" w:ascii="宋体" w:hAnsi="宋体" w:cs="宋体"/>
                <w:sz w:val="21"/>
                <w:szCs w:val="21"/>
                <w:highlight w:val="none"/>
                <w:lang w:val="en-US" w:eastAsia="zh-CN"/>
              </w:rPr>
              <w:t>个工作</w:t>
            </w:r>
            <w:r>
              <w:rPr>
                <w:rFonts w:hint="eastAsia" w:ascii="宋体" w:hAnsi="宋体" w:cs="宋体"/>
                <w:sz w:val="21"/>
                <w:szCs w:val="21"/>
                <w:highlight w:val="none"/>
              </w:rPr>
              <w:t>日内。</w:t>
            </w:r>
          </w:p>
        </w:tc>
      </w:tr>
      <w:tr w14:paraId="4635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3219" w:type="dxa"/>
            <w:gridSpan w:val="4"/>
            <w:vAlign w:val="center"/>
          </w:tcPr>
          <w:p w14:paraId="3DCDDA96">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交货时间及地点</w:t>
            </w:r>
          </w:p>
        </w:tc>
        <w:tc>
          <w:tcPr>
            <w:tcW w:w="7385" w:type="dxa"/>
            <w:gridSpan w:val="4"/>
            <w:vAlign w:val="center"/>
          </w:tcPr>
          <w:p w14:paraId="4E2AE2A6">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交货时间：自合同签订之日起30个日历日内交货并安装调试合格交付使用</w:t>
            </w:r>
            <w:r>
              <w:rPr>
                <w:rFonts w:hint="eastAsia" w:ascii="Times New Roman" w:hAnsi="Times New Roman" w:cs="Times New Roman"/>
                <w:bCs w:val="0"/>
                <w:sz w:val="21"/>
                <w:highlight w:val="none"/>
              </w:rPr>
              <w:t>。</w:t>
            </w:r>
          </w:p>
          <w:p w14:paraId="44427FFF">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交货地点：广西桂林市采购人指定地点。</w:t>
            </w:r>
          </w:p>
        </w:tc>
      </w:tr>
      <w:tr w14:paraId="5C04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040CE997">
            <w:pPr>
              <w:spacing w:line="360" w:lineRule="auto"/>
              <w:jc w:val="center"/>
              <w:rPr>
                <w:rFonts w:hint="eastAsia" w:ascii="宋体" w:hAnsi="宋体" w:cs="宋体"/>
                <w:sz w:val="21"/>
                <w:szCs w:val="21"/>
                <w:highlight w:val="none"/>
              </w:rPr>
            </w:pPr>
            <w:r>
              <w:rPr>
                <w:rFonts w:hint="eastAsia" w:ascii="宋体" w:hAnsi="宋体" w:cs="宋体"/>
                <w:b/>
                <w:kern w:val="0"/>
                <w:szCs w:val="21"/>
                <w:highlight w:val="none"/>
              </w:rPr>
              <w:t>包装和运输</w:t>
            </w:r>
          </w:p>
        </w:tc>
        <w:tc>
          <w:tcPr>
            <w:tcW w:w="7385" w:type="dxa"/>
            <w:gridSpan w:val="4"/>
            <w:vAlign w:val="center"/>
          </w:tcPr>
          <w:p w14:paraId="55D884F9">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5DF2112">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2.运输要求按合同条款执行。</w:t>
            </w:r>
          </w:p>
        </w:tc>
      </w:tr>
      <w:tr w14:paraId="4B21B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2FAABE60">
            <w:pPr>
              <w:spacing w:line="360" w:lineRule="auto"/>
              <w:jc w:val="center"/>
              <w:rPr>
                <w:rFonts w:hint="eastAsia" w:ascii="宋体" w:hAnsi="宋体" w:cs="宋体"/>
                <w:sz w:val="21"/>
                <w:szCs w:val="21"/>
                <w:highlight w:val="none"/>
              </w:rPr>
            </w:pPr>
            <w:r>
              <w:rPr>
                <w:rFonts w:hint="eastAsia" w:ascii="宋体" w:hAnsi="宋体" w:cs="宋体"/>
                <w:b/>
                <w:kern w:val="0"/>
                <w:szCs w:val="21"/>
                <w:highlight w:val="none"/>
              </w:rPr>
              <w:t>质量标准和验收标准</w:t>
            </w:r>
          </w:p>
        </w:tc>
        <w:tc>
          <w:tcPr>
            <w:tcW w:w="7385" w:type="dxa"/>
            <w:gridSpan w:val="4"/>
            <w:vAlign w:val="center"/>
          </w:tcPr>
          <w:p w14:paraId="55E280D4">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1.中标人提供的产品必须符合国家、行业强制执行的相关质量标准要求以及产品制造厂家合格产品的出厂质量标准。</w:t>
            </w:r>
          </w:p>
          <w:p w14:paraId="656BCE96">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2.设备须全新、完好、无破损，产品到货后，采购人现场根据招标文件要求、投标文件承诺以及国家相关标准、厂方标准进行验收，必要时，采购人有权邀请国家质量监督检验部门或国家认可的检测机构参与共同验收。如产品不满足招标文件要求、中标人投标文件承诺或国家、行业强制执行的相关质量标准要求以及产品制造厂家合格产品的出厂质量标准，采购人有权不予验收，由此造成采购人的经济损失由中标人承担全部赔偿责任。</w:t>
            </w:r>
          </w:p>
          <w:p w14:paraId="2996B7EC">
            <w:pPr>
              <w:adjustRightInd/>
              <w:snapToGrid/>
              <w:spacing w:line="360" w:lineRule="auto"/>
              <w:textAlignment w:val="center"/>
              <w:rPr>
                <w:rFonts w:hint="eastAsia" w:ascii="宋体" w:hAnsi="宋体" w:eastAsia="宋体" w:cs="宋体"/>
                <w:b w:val="0"/>
                <w:bCs/>
                <w:szCs w:val="21"/>
                <w:highlight w:val="none"/>
                <w:lang w:eastAsia="zh-CN"/>
              </w:rPr>
            </w:pPr>
            <w:r>
              <w:rPr>
                <w:rFonts w:hint="eastAsia" w:ascii="宋体" w:hAnsi="宋体" w:cs="宋体"/>
                <w:b w:val="0"/>
                <w:bCs/>
                <w:szCs w:val="21"/>
                <w:highlight w:val="none"/>
              </w:rPr>
              <w:t>3.中标人供货时须向采购人提交医疗器械产品全套合格证明相关资料（含监管部门核准资质文件、产品参数说明书等），用于核验产品技术参数；资料不全不予验收，由此产生的逾期交货违约责任由中标人承担</w:t>
            </w:r>
            <w:r>
              <w:rPr>
                <w:rFonts w:hint="eastAsia" w:ascii="宋体" w:hAnsi="宋体" w:cs="宋体"/>
                <w:b w:val="0"/>
                <w:bCs/>
                <w:szCs w:val="21"/>
                <w:highlight w:val="none"/>
                <w:lang w:eastAsia="zh-CN"/>
              </w:rPr>
              <w:t>。</w:t>
            </w:r>
          </w:p>
          <w:p w14:paraId="7B6D5270">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4.中标人应根据国家计量相关法律法规和管理规定提供有效期内的计量检定报告，或根据采购人需求提供有效期内的计量检定报告。</w:t>
            </w:r>
          </w:p>
          <w:p w14:paraId="7961B090">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5.中标人交货前应对产品做出全面的检查和对验收文件进行整理，并列出清单，作为采购人验收和使用的技术条件依据，验收的结果应随货物交采购人。</w:t>
            </w:r>
          </w:p>
          <w:p w14:paraId="4ECB358C">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6.采购人依据招标文件的技术规格要求和国家有关质量标准对货物进行现场初步验收，外观、说明书符合招标文件技术要求的，给予签收，初步验收不合格的不予签收。货到后，采购人应当在到货（安装、调试完）后七个工作日内进行验收。验收合格后由双方签署货物验收单并加盖公章，双方各执一份。</w:t>
            </w:r>
          </w:p>
          <w:p w14:paraId="5D818215">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7.采购人对中标人提供的货物在使用前进行调试时，中标人须负责安装并培训采购人的使用操作人员，并协助采购人一起调试，直到符合技术要求，采购人才做最终验收。</w:t>
            </w:r>
          </w:p>
          <w:p w14:paraId="1953F446">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8.对技术复杂的货物，采购人应请国家认可的专业检测机构参与初步验收及最终验收，并由其出具质量检测报告，第三方检测费用由中标人承担。采购人委托采购代理机构组织的验收项目，其验收时间以该项目验收方案确定的验收时间为准，验收结果以该项目验收报告结论为准。在验收过程中发现中标人有违约问题，可暂缓资金结算，待违约问题解决后，方可办理资金结算事宜。</w:t>
            </w:r>
          </w:p>
          <w:p w14:paraId="4936A6CE">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9.验收时中标人必须在现场，验收完毕后作出验收结果报告，验收费用由中标人负责。</w:t>
            </w:r>
          </w:p>
          <w:p w14:paraId="119331D7">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10.采购人对验收有异议的，在验收后7个工作日内以书面形式向中标人提出，经采购人提出书面整改之日起，中标人七日内仍无法解决的，或经整改达不到采购人验收要求的，采购人有权终止合同，中标人无条件同意终止合同，中标人自愿放弃所有的索赔，由此造成采购人的经济损失由中标人承担全部赔偿责任包括但不限于采购人的经济损失及律师费、诉讼费、鉴定费等。</w:t>
            </w:r>
          </w:p>
          <w:p w14:paraId="4A7023FF">
            <w:pPr>
              <w:tabs>
                <w:tab w:val="left" w:pos="420"/>
              </w:tabs>
              <w:spacing w:line="360" w:lineRule="auto"/>
              <w:rPr>
                <w:rFonts w:hint="eastAsia" w:ascii="宋体" w:hAnsi="宋体" w:cs="宋体"/>
                <w:bCs/>
                <w:szCs w:val="21"/>
                <w:highlight w:val="none"/>
              </w:rPr>
            </w:pPr>
            <w:r>
              <w:rPr>
                <w:rFonts w:hint="eastAsia" w:ascii="宋体" w:hAnsi="宋体" w:cs="宋体"/>
                <w:b w:val="0"/>
                <w:bCs/>
                <w:szCs w:val="21"/>
                <w:highlight w:val="none"/>
              </w:rPr>
              <w:t>11.其他验收未尽事宜按照《关于印发广西壮族自治区政府采购项目履约验收管理办法的通知》[桂财采〔2015〕22号]以及《财政部关于进一步加强政府采购需求和履约验收管理的指导意见》[财库〔2016〕205号]规定执行。</w:t>
            </w:r>
          </w:p>
        </w:tc>
      </w:tr>
      <w:tr w14:paraId="4B9E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67A11F80">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售后服务要求</w:t>
            </w:r>
          </w:p>
        </w:tc>
        <w:tc>
          <w:tcPr>
            <w:tcW w:w="7385" w:type="dxa"/>
            <w:gridSpan w:val="4"/>
            <w:vAlign w:val="center"/>
          </w:tcPr>
          <w:p w14:paraId="5138CD53">
            <w:pPr>
              <w:adjustRightInd/>
              <w:snapToGrid/>
              <w:spacing w:line="360" w:lineRule="auto"/>
              <w:jc w:val="left"/>
              <w:rPr>
                <w:rFonts w:hint="eastAsia" w:ascii="宋体" w:hAnsi="宋体" w:cs="宋体"/>
                <w:b w:val="0"/>
                <w:bCs/>
                <w:szCs w:val="21"/>
                <w:highlight w:val="none"/>
                <w:lang w:eastAsia="zh-Hans"/>
              </w:rPr>
            </w:pPr>
            <w:r>
              <w:rPr>
                <w:rFonts w:hint="eastAsia" w:ascii="宋体" w:hAnsi="宋体" w:cs="宋体"/>
                <w:b w:val="0"/>
                <w:bCs/>
                <w:szCs w:val="21"/>
                <w:highlight w:val="none"/>
                <w:lang w:eastAsia="zh-Hans"/>
              </w:rPr>
              <w:t>投标人提供的以下售后服务均应包含在投标报价中，采购人不再就此另行支付任何费用：</w:t>
            </w:r>
          </w:p>
          <w:p w14:paraId="5F2C1232">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1.按国家有关产品“三包”规定执行“三包”。保修期：不得少于</w:t>
            </w:r>
            <w:r>
              <w:rPr>
                <w:rFonts w:hint="eastAsia" w:ascii="宋体" w:hAnsi="宋体" w:cs="宋体"/>
                <w:b w:val="0"/>
                <w:bCs/>
                <w:highlight w:val="none"/>
                <w:u w:val="single"/>
              </w:rPr>
              <w:t>3</w:t>
            </w:r>
            <w:r>
              <w:rPr>
                <w:rFonts w:hint="eastAsia" w:ascii="宋体" w:hAnsi="宋体" w:cs="宋体"/>
                <w:b w:val="0"/>
                <w:bCs/>
                <w:szCs w:val="21"/>
                <w:highlight w:val="none"/>
              </w:rPr>
              <w:t>年（分项货物或配置有明确要求的按分项要求；生产厂家承诺的质量保证期更长的按生产厂家的承诺期限），保修期从验收合格之日起计算。</w:t>
            </w:r>
          </w:p>
          <w:p w14:paraId="5E8D1540">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2.在保修期内因货物本身的质量问题发生故障，投标人应负责修理和更换零部件。对达不到时限、达不到技术要求者，根据实际情况，经双方协商，可按以下办法处理：</w:t>
            </w:r>
          </w:p>
          <w:p w14:paraId="704165C1">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（1）更换：由投标人承担所有发生的全部费用。</w:t>
            </w:r>
          </w:p>
          <w:p w14:paraId="3B985460">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（2）贬值处理：由采购人与投标人双方合议定价。</w:t>
            </w:r>
          </w:p>
          <w:p w14:paraId="576A40CD">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（3）退货处理：投标人应退还采购人支付的合同款，同时应承担该货物的直接费用（运输、保险、检验、贷款利息及银行手续费等）。</w:t>
            </w:r>
          </w:p>
          <w:p w14:paraId="45E30C48">
            <w:pPr>
              <w:adjustRightInd/>
              <w:snapToGrid/>
              <w:spacing w:line="360" w:lineRule="auto"/>
              <w:jc w:val="left"/>
              <w:rPr>
                <w:rFonts w:hint="eastAsia" w:ascii="宋体" w:hAnsi="宋体" w:cs="宋体"/>
                <w:b w:val="0"/>
                <w:bCs/>
                <w:szCs w:val="21"/>
                <w:highlight w:val="none"/>
              </w:rPr>
            </w:pPr>
            <w:r>
              <w:rPr>
                <w:rFonts w:hint="eastAsia" w:ascii="宋体" w:hAnsi="宋体" w:cs="宋体"/>
                <w:b w:val="0"/>
                <w:bCs/>
                <w:szCs w:val="21"/>
                <w:highlight w:val="none"/>
              </w:rPr>
              <w:t>3.招标范围内的货物送货上门、装卸、安装调试合格。提供技术服务及技术培训，保证采购人操作人员熟练操作设备。使采购人使用人员熟练掌握所培训内容，熟练掌握全部功能。</w:t>
            </w:r>
          </w:p>
          <w:p w14:paraId="6362D4F9">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4.保修期内上门提供维护服务，如在使用过程中出现故障时，投标人在1小时内响应，8小时内到达现场，24小时内解决故障，如24小时内无法解决故障，投标人按照科室要求提供备用设备。</w:t>
            </w:r>
          </w:p>
          <w:p w14:paraId="35EAA6CD">
            <w:pPr>
              <w:adjustRightInd/>
              <w:snapToGrid/>
              <w:spacing w:line="360" w:lineRule="auto"/>
              <w:textAlignment w:val="center"/>
              <w:rPr>
                <w:rFonts w:hint="eastAsia" w:ascii="宋体" w:hAnsi="宋体" w:cs="宋体"/>
                <w:b w:val="0"/>
                <w:bCs/>
                <w:szCs w:val="21"/>
                <w:highlight w:val="none"/>
              </w:rPr>
            </w:pPr>
            <w:r>
              <w:rPr>
                <w:rFonts w:hint="eastAsia" w:ascii="宋体" w:hAnsi="宋体" w:cs="宋体"/>
                <w:b w:val="0"/>
                <w:bCs/>
                <w:szCs w:val="21"/>
                <w:highlight w:val="none"/>
              </w:rPr>
              <w:t>5.在保修期内提供上门维修服务（含更换零部件、免收人工费、维修费等）；如果需要更换配件的，所更换的配件应当为原供货产品品牌、类型相一致或者是同等档次的替代品，后者需征得采购人相关人员同意；若采购人发现产品存在制造上的缺陷，投标人应负责采取补救措施，若该缺陷导致产品存在安全隐患或不能使用的，投标人应负责更换整件产品。</w:t>
            </w:r>
          </w:p>
          <w:p w14:paraId="1BB6B72E">
            <w:pPr>
              <w:tabs>
                <w:tab w:val="left" w:pos="420"/>
              </w:tabs>
              <w:spacing w:line="360" w:lineRule="auto"/>
              <w:rPr>
                <w:rFonts w:hint="eastAsia" w:ascii="宋体" w:hAnsi="宋体" w:cs="宋体"/>
                <w:bCs/>
                <w:szCs w:val="21"/>
                <w:highlight w:val="none"/>
              </w:rPr>
            </w:pPr>
            <w:r>
              <w:rPr>
                <w:rFonts w:hint="eastAsia" w:ascii="宋体" w:hAnsi="宋体" w:cs="宋体"/>
                <w:b w:val="0"/>
                <w:bCs/>
                <w:szCs w:val="21"/>
                <w:highlight w:val="none"/>
              </w:rPr>
              <w:t>6.售后服务其他要求按合同条款执行。</w:t>
            </w:r>
          </w:p>
        </w:tc>
      </w:tr>
      <w:tr w14:paraId="3655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19" w:type="dxa"/>
            <w:gridSpan w:val="4"/>
            <w:vAlign w:val="center"/>
          </w:tcPr>
          <w:p w14:paraId="00A29693">
            <w:pPr>
              <w:spacing w:line="360" w:lineRule="auto"/>
              <w:jc w:val="center"/>
              <w:rPr>
                <w:rFonts w:hint="eastAsia" w:ascii="宋体" w:hAnsi="宋体" w:cs="宋体"/>
                <w:b/>
                <w:sz w:val="21"/>
                <w:szCs w:val="21"/>
                <w:highlight w:val="none"/>
              </w:rPr>
            </w:pPr>
            <w:r>
              <w:rPr>
                <w:rFonts w:hint="eastAsia" w:ascii="宋体" w:hAnsi="宋体" w:cs="宋体"/>
                <w:b/>
                <w:kern w:val="0"/>
                <w:szCs w:val="21"/>
                <w:highlight w:val="none"/>
              </w:rPr>
              <w:t>保险</w:t>
            </w:r>
          </w:p>
        </w:tc>
        <w:tc>
          <w:tcPr>
            <w:tcW w:w="7385" w:type="dxa"/>
            <w:gridSpan w:val="4"/>
            <w:vAlign w:val="center"/>
          </w:tcPr>
          <w:p w14:paraId="34A3407A">
            <w:pPr>
              <w:tabs>
                <w:tab w:val="left" w:pos="420"/>
              </w:tabs>
              <w:spacing w:line="360" w:lineRule="auto"/>
              <w:rPr>
                <w:rFonts w:hint="eastAsia" w:ascii="宋体" w:hAnsi="宋体" w:cs="宋体"/>
                <w:bCs/>
                <w:sz w:val="21"/>
                <w:szCs w:val="21"/>
                <w:highlight w:val="none"/>
              </w:rPr>
            </w:pPr>
            <w:r>
              <w:rPr>
                <w:rFonts w:hint="eastAsia" w:ascii="宋体" w:hAnsi="宋体" w:cs="宋体"/>
                <w:b w:val="0"/>
                <w:bCs/>
                <w:szCs w:val="21"/>
                <w:highlight w:val="none"/>
              </w:rPr>
              <w:t>中标人负责办理运输和保险，将货物运抵交货地点。与运输、保险相关的费用由中标人承担。</w:t>
            </w:r>
          </w:p>
        </w:tc>
      </w:tr>
      <w:tr w14:paraId="346E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0CC86DCA">
            <w:pPr>
              <w:spacing w:line="360" w:lineRule="auto"/>
              <w:jc w:val="center"/>
              <w:rPr>
                <w:rFonts w:hint="eastAsia" w:ascii="宋体" w:hAnsi="宋体" w:cs="宋体"/>
                <w:sz w:val="21"/>
                <w:szCs w:val="21"/>
                <w:highlight w:val="none"/>
              </w:rPr>
            </w:pPr>
            <w:r>
              <w:rPr>
                <w:rStyle w:val="127"/>
                <w:rFonts w:hint="eastAsia" w:ascii="宋体" w:hAnsi="宋体" w:cs="宋体"/>
                <w:color w:val="auto"/>
                <w:sz w:val="21"/>
                <w:szCs w:val="21"/>
                <w:highlight w:val="none"/>
              </w:rPr>
              <w:t>履约保证金收取及退付</w:t>
            </w:r>
          </w:p>
        </w:tc>
        <w:tc>
          <w:tcPr>
            <w:tcW w:w="7385" w:type="dxa"/>
            <w:gridSpan w:val="4"/>
            <w:vAlign w:val="center"/>
          </w:tcPr>
          <w:p w14:paraId="1C40D489">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1.履约保证金金额：履约保证金为合同金额的5%（中标人为中小微企业的，履约保证金为合同金额的2%。以投标文件中提交的中小企业声明函为依据）；签订合同时交至指定账户。</w:t>
            </w:r>
          </w:p>
          <w:p w14:paraId="7E264370">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2.履约保证金缴纳方式：银行转账、保函等非现金方式。由中标人在签订合同时按规定的金额直接缴入以下采购人账户或将保函原件交给采购人。</w:t>
            </w:r>
          </w:p>
          <w:p w14:paraId="28F5E25E">
            <w:pPr>
              <w:tabs>
                <w:tab w:val="left" w:pos="420"/>
              </w:tabs>
              <w:spacing w:line="360" w:lineRule="auto"/>
              <w:rPr>
                <w:rFonts w:hint="default" w:ascii="宋体" w:hAnsi="宋体" w:eastAsia="宋体" w:cs="宋体"/>
                <w:sz w:val="21"/>
                <w:szCs w:val="21"/>
                <w:highlight w:val="none"/>
                <w:lang w:val="en-US" w:eastAsia="zh-CN"/>
              </w:rPr>
            </w:pPr>
            <w:r>
              <w:rPr>
                <w:rFonts w:hint="eastAsia" w:ascii="宋体" w:hAnsi="宋体" w:cs="宋体"/>
                <w:sz w:val="21"/>
                <w:szCs w:val="21"/>
                <w:highlight w:val="none"/>
              </w:rPr>
              <w:t>户名：</w:t>
            </w:r>
            <w:r>
              <w:rPr>
                <w:rFonts w:hint="eastAsia" w:ascii="宋体" w:hAnsi="宋体" w:cs="宋体"/>
                <w:sz w:val="21"/>
                <w:szCs w:val="21"/>
                <w:highlight w:val="none"/>
                <w:lang w:val="en-US" w:eastAsia="zh-CN"/>
              </w:rPr>
              <w:t>中标后提供</w:t>
            </w:r>
          </w:p>
          <w:p w14:paraId="7BF9FAEC">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开户行：</w:t>
            </w:r>
            <w:r>
              <w:rPr>
                <w:rFonts w:hint="eastAsia" w:ascii="宋体" w:hAnsi="宋体" w:cs="宋体"/>
                <w:sz w:val="21"/>
                <w:szCs w:val="21"/>
                <w:highlight w:val="none"/>
                <w:lang w:val="en-US" w:eastAsia="zh-CN"/>
              </w:rPr>
              <w:t>中标后提供</w:t>
            </w:r>
            <w:r>
              <w:rPr>
                <w:rFonts w:hint="eastAsia" w:ascii="宋体" w:hAnsi="宋体" w:cs="宋体"/>
                <w:sz w:val="21"/>
                <w:szCs w:val="21"/>
                <w:highlight w:val="none"/>
              </w:rPr>
              <w:t>（行号：</w:t>
            </w:r>
            <w:r>
              <w:rPr>
                <w:rFonts w:hint="eastAsia" w:ascii="宋体" w:hAnsi="宋体" w:cs="宋体"/>
                <w:sz w:val="21"/>
                <w:szCs w:val="21"/>
                <w:highlight w:val="none"/>
                <w:lang w:val="en-US" w:eastAsia="zh-CN"/>
              </w:rPr>
              <w:t>中标后提供</w:t>
            </w:r>
            <w:r>
              <w:rPr>
                <w:rFonts w:hint="eastAsia" w:ascii="宋体" w:hAnsi="宋体" w:cs="宋体"/>
                <w:sz w:val="21"/>
                <w:szCs w:val="21"/>
                <w:highlight w:val="none"/>
              </w:rPr>
              <w:t>）</w:t>
            </w:r>
          </w:p>
          <w:p w14:paraId="401C3A94">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账号：</w:t>
            </w:r>
            <w:r>
              <w:rPr>
                <w:rFonts w:hint="eastAsia" w:ascii="宋体" w:hAnsi="宋体" w:cs="宋体"/>
                <w:sz w:val="21"/>
                <w:szCs w:val="21"/>
                <w:highlight w:val="none"/>
                <w:lang w:val="en-US" w:eastAsia="zh-CN"/>
              </w:rPr>
              <w:t>中标后提供</w:t>
            </w:r>
          </w:p>
          <w:p w14:paraId="58710A8B">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地址</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中标后提供</w:t>
            </w:r>
          </w:p>
          <w:p w14:paraId="16000993">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电话：</w:t>
            </w:r>
            <w:r>
              <w:rPr>
                <w:rFonts w:hint="eastAsia" w:ascii="宋体" w:hAnsi="宋体" w:cs="宋体"/>
                <w:sz w:val="21"/>
                <w:szCs w:val="21"/>
                <w:highlight w:val="none"/>
                <w:lang w:val="en-US" w:eastAsia="zh-CN"/>
              </w:rPr>
              <w:t>中标后提供</w:t>
            </w:r>
          </w:p>
          <w:p w14:paraId="1A7BFCA9">
            <w:pPr>
              <w:tabs>
                <w:tab w:val="left" w:pos="420"/>
              </w:tabs>
              <w:spacing w:line="360" w:lineRule="auto"/>
              <w:rPr>
                <w:rFonts w:hint="eastAsia" w:ascii="宋体" w:hAnsi="宋体" w:cs="宋体"/>
                <w:b/>
                <w:sz w:val="21"/>
                <w:szCs w:val="21"/>
                <w:highlight w:val="none"/>
              </w:rPr>
            </w:pPr>
            <w:r>
              <w:rPr>
                <w:rFonts w:hint="eastAsia" w:ascii="宋体" w:hAnsi="宋体" w:cs="宋体"/>
                <w:b/>
                <w:sz w:val="21"/>
                <w:szCs w:val="21"/>
                <w:highlight w:val="none"/>
              </w:rPr>
              <w:t>缴纳履约保证金注明：“项目名称+项目编号”履约保证金。</w:t>
            </w:r>
          </w:p>
          <w:p w14:paraId="219891F9">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3.履约保证金退付方式、时间及条件：中标人若不能完全履行合同，履约保证金不予退还；中标人若完全履行合同，货物验收合格后，中标人凭履约保证金缴款凭证、退付意见书到采购人财务部门办理无息退还手续。</w:t>
            </w:r>
          </w:p>
          <w:p w14:paraId="7524C83C">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4.备注：</w:t>
            </w:r>
          </w:p>
          <w:p w14:paraId="1F228A47">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（1）履约保证金必须足额缴纳，或出具的保函额度必须足额且保函有效期不能低于合同履行期限（即签订采购合同之日起至履行完合同约定的权利及义务之日止），否则视为无效履约保证金。</w:t>
            </w:r>
          </w:p>
          <w:p w14:paraId="6BEB1413">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（2）采用保函的，必须为无条件保函，否则视为无效履约保证金。</w:t>
            </w:r>
          </w:p>
        </w:tc>
      </w:tr>
      <w:tr w14:paraId="3633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7BD8CF29">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付款方式</w:t>
            </w:r>
          </w:p>
        </w:tc>
        <w:tc>
          <w:tcPr>
            <w:tcW w:w="7385" w:type="dxa"/>
            <w:gridSpan w:val="4"/>
            <w:vAlign w:val="center"/>
          </w:tcPr>
          <w:p w14:paraId="3AEE7442">
            <w:pPr>
              <w:spacing w:line="360" w:lineRule="auto"/>
              <w:rPr>
                <w:rFonts w:ascii="宋体" w:hAnsi="宋体" w:cs="宋体"/>
                <w:b w:val="0"/>
                <w:bCs/>
                <w:szCs w:val="21"/>
                <w:highlight w:val="none"/>
              </w:rPr>
            </w:pPr>
            <w:r>
              <w:rPr>
                <w:rFonts w:hint="eastAsia" w:ascii="宋体" w:hAnsi="宋体" w:cs="宋体"/>
                <w:b w:val="0"/>
                <w:bCs/>
                <w:szCs w:val="21"/>
                <w:highlight w:val="none"/>
              </w:rPr>
              <w:t>1</w:t>
            </w:r>
            <w:r>
              <w:rPr>
                <w:rFonts w:ascii="宋体" w:hAnsi="宋体" w:cs="宋体"/>
                <w:b w:val="0"/>
                <w:bCs/>
                <w:szCs w:val="21"/>
                <w:highlight w:val="none"/>
              </w:rPr>
              <w:t>.</w:t>
            </w:r>
            <w:r>
              <w:rPr>
                <w:rFonts w:hint="eastAsia" w:ascii="宋体" w:hAnsi="宋体" w:cs="宋体"/>
                <w:szCs w:val="21"/>
                <w:highlight w:val="none"/>
              </w:rPr>
              <w:t>在合同签订且设备验收合格之后，以及财政资金已成功拨付至</w:t>
            </w:r>
            <w:r>
              <w:rPr>
                <w:rFonts w:hint="eastAsia" w:ascii="宋体" w:hAnsi="宋体" w:cs="宋体"/>
                <w:szCs w:val="21"/>
                <w:highlight w:val="none"/>
                <w:lang w:val="en-US" w:eastAsia="zh-CN"/>
              </w:rPr>
              <w:t>采购人</w:t>
            </w:r>
            <w:r>
              <w:rPr>
                <w:rFonts w:hint="eastAsia" w:ascii="宋体" w:hAnsi="宋体" w:cs="宋体"/>
                <w:szCs w:val="21"/>
                <w:highlight w:val="none"/>
              </w:rPr>
              <w:t>账户的前提下，经</w:t>
            </w:r>
            <w:r>
              <w:rPr>
                <w:rFonts w:hint="eastAsia" w:ascii="宋体" w:hAnsi="宋体" w:cs="宋体"/>
                <w:szCs w:val="21"/>
                <w:highlight w:val="none"/>
                <w:lang w:val="en-US" w:eastAsia="zh-CN"/>
              </w:rPr>
              <w:t>中标人</w:t>
            </w:r>
            <w:r>
              <w:rPr>
                <w:rFonts w:hint="eastAsia" w:ascii="宋体" w:hAnsi="宋体" w:cs="宋体"/>
                <w:szCs w:val="21"/>
                <w:highlight w:val="none"/>
              </w:rPr>
              <w:t>提交书面申请及配套资料后，</w:t>
            </w:r>
            <w:r>
              <w:rPr>
                <w:rFonts w:hint="eastAsia" w:ascii="宋体" w:hAnsi="宋体" w:cs="宋体"/>
                <w:szCs w:val="21"/>
                <w:highlight w:val="none"/>
                <w:lang w:val="en-US" w:eastAsia="zh-CN"/>
              </w:rPr>
              <w:t>采购人</w:t>
            </w:r>
            <w:r>
              <w:rPr>
                <w:rFonts w:hint="eastAsia" w:ascii="宋体" w:hAnsi="宋体" w:cs="宋体"/>
                <w:szCs w:val="21"/>
                <w:highlight w:val="none"/>
              </w:rPr>
              <w:t>一次性支付合同约定的全部价款给</w:t>
            </w:r>
            <w:r>
              <w:rPr>
                <w:rFonts w:hint="eastAsia" w:ascii="宋体" w:hAnsi="宋体" w:cs="宋体"/>
                <w:szCs w:val="21"/>
                <w:highlight w:val="none"/>
                <w:lang w:val="en-US" w:eastAsia="zh-CN"/>
              </w:rPr>
              <w:t>中标人</w:t>
            </w:r>
            <w:r>
              <w:rPr>
                <w:rFonts w:hint="eastAsia" w:ascii="宋体" w:hAnsi="宋体" w:cs="宋体"/>
                <w:szCs w:val="21"/>
                <w:highlight w:val="none"/>
              </w:rPr>
              <w:t>（无息）</w:t>
            </w:r>
            <w:r>
              <w:rPr>
                <w:rFonts w:hint="eastAsia" w:ascii="宋体" w:hAnsi="宋体" w:cs="宋体"/>
                <w:b w:val="0"/>
                <w:bCs/>
                <w:szCs w:val="21"/>
                <w:highlight w:val="none"/>
              </w:rPr>
              <w:t>。</w:t>
            </w:r>
          </w:p>
          <w:p w14:paraId="213981C0">
            <w:pPr>
              <w:tabs>
                <w:tab w:val="left" w:pos="420"/>
              </w:tabs>
              <w:spacing w:line="360" w:lineRule="auto"/>
              <w:rPr>
                <w:rFonts w:hint="eastAsia" w:ascii="宋体" w:hAnsi="宋体" w:cs="宋体"/>
                <w:szCs w:val="21"/>
                <w:highlight w:val="none"/>
              </w:rPr>
            </w:pPr>
            <w:r>
              <w:rPr>
                <w:rFonts w:hint="eastAsia" w:ascii="宋体" w:hAnsi="宋体" w:cs="宋体"/>
                <w:b w:val="0"/>
                <w:bCs/>
                <w:szCs w:val="21"/>
                <w:highlight w:val="none"/>
              </w:rPr>
              <w:t>2</w:t>
            </w:r>
            <w:r>
              <w:rPr>
                <w:rFonts w:ascii="宋体" w:hAnsi="宋体" w:cs="宋体"/>
                <w:b w:val="0"/>
                <w:bCs/>
                <w:szCs w:val="21"/>
                <w:highlight w:val="none"/>
              </w:rPr>
              <w:t>.</w:t>
            </w:r>
            <w:r>
              <w:rPr>
                <w:rFonts w:hint="eastAsia" w:ascii="宋体" w:hAnsi="宋体" w:cs="宋体"/>
                <w:b w:val="0"/>
                <w:bCs/>
                <w:szCs w:val="21"/>
                <w:highlight w:val="none"/>
              </w:rPr>
              <w:t>每次付款前中标人应当向采购人开具相应金额的增值税发票。</w:t>
            </w:r>
          </w:p>
        </w:tc>
      </w:tr>
      <w:tr w14:paraId="3877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6C4E8BEB">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其他要求</w:t>
            </w:r>
          </w:p>
        </w:tc>
        <w:tc>
          <w:tcPr>
            <w:tcW w:w="7385" w:type="dxa"/>
            <w:gridSpan w:val="4"/>
            <w:vAlign w:val="center"/>
          </w:tcPr>
          <w:p w14:paraId="467FBE19">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1.要求供货产品是全新的、未经改装的、合格的、满足本项目《技术参数及性能（配置）要求》及要求的货物。所有零部件、配件必须是未经使用的全新的并符合国家有关质量安全标准的产品。负责提供设备使用培训、操作技能训练等；提供相关设备说明书、管理和配置指南手册、使用手册和故障定位/排除指南手册等</w:t>
            </w:r>
          </w:p>
          <w:p w14:paraId="2DACAD75">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2.投标报价应包括</w:t>
            </w:r>
            <w:r>
              <w:rPr>
                <w:rFonts w:hint="eastAsia" w:ascii="宋体" w:hAnsi="宋体" w:cs="宋体"/>
                <w:szCs w:val="21"/>
                <w:highlight w:val="none"/>
              </w:rPr>
              <w:t>本次招标范围内货物货款（若供应商所投本项目货物选用进口产品投标的，其货款必须包含进出口代理公司佣金、海关办证费、报关费、报检费、银行手续费、运杂费及其它全部费用的总和，由中标供应商自行与进出口代理公司结算，采购人不再支付除中标价以外的任何费用）、货物标准附件、备品备件、专用工具、包装、运输、装卸、保险、税金、货到就位以及安装、调试、培训、保修等一切税金和费用</w:t>
            </w:r>
            <w:r>
              <w:rPr>
                <w:rFonts w:hint="eastAsia" w:ascii="宋体" w:hAnsi="宋体" w:cs="宋体"/>
                <w:sz w:val="21"/>
                <w:szCs w:val="21"/>
                <w:highlight w:val="none"/>
              </w:rPr>
              <w:t>。</w:t>
            </w:r>
          </w:p>
          <w:p w14:paraId="54873C51">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3.中标人承担货物交付验收前的运输、安装等作业工人人身、设备安全责任；验收前，如果设备丢失、因投标人自身原因及第三人原因导致损坏，中标人应自行负责并承担不能交付货物的责任。</w:t>
            </w:r>
          </w:p>
          <w:p w14:paraId="66BC88CB">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4.（纯国产设备适用该条）本项目货物不接受进口产品（即通过中国海关报关验放进入中国境内且产自关境外的产品）参与投标，如有此类产品参与投标的按无效标处理。</w:t>
            </w:r>
          </w:p>
          <w:p w14:paraId="4CDF9585">
            <w:pPr>
              <w:widowControl/>
              <w:spacing w:line="360" w:lineRule="auto"/>
              <w:rPr>
                <w:rFonts w:hint="eastAsia" w:ascii="宋体" w:hAnsi="宋体" w:cs="宋体"/>
                <w:szCs w:val="21"/>
                <w:highlight w:val="none"/>
              </w:rPr>
            </w:pPr>
            <w:r>
              <w:rPr>
                <w:rFonts w:hint="eastAsia" w:ascii="宋体" w:hAnsi="宋体" w:cs="宋体"/>
                <w:sz w:val="21"/>
                <w:szCs w:val="21"/>
                <w:highlight w:val="none"/>
              </w:rPr>
              <w:t>5</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本分标</w:t>
            </w:r>
            <w:r>
              <w:rPr>
                <w:rFonts w:hint="eastAsia" w:ascii="宋体" w:hAnsi="宋体" w:cs="宋体"/>
                <w:b/>
                <w:bCs/>
                <w:sz w:val="21"/>
                <w:szCs w:val="21"/>
                <w:highlight w:val="none"/>
              </w:rPr>
              <w:t>投标人的投标报价不能超过</w:t>
            </w:r>
            <w:r>
              <w:rPr>
                <w:rFonts w:hint="eastAsia" w:ascii="宋体" w:hAnsi="宋体" w:cs="宋体"/>
                <w:b/>
                <w:bCs/>
                <w:sz w:val="21"/>
                <w:szCs w:val="21"/>
                <w:highlight w:val="none"/>
                <w:lang w:val="en-US" w:eastAsia="zh-CN"/>
              </w:rPr>
              <w:t>项目的预算金额</w:t>
            </w:r>
            <w:r>
              <w:rPr>
                <w:rFonts w:hint="eastAsia" w:ascii="宋体" w:hAnsi="宋体" w:cs="宋体"/>
                <w:b/>
                <w:bCs/>
                <w:sz w:val="21"/>
                <w:szCs w:val="21"/>
                <w:highlight w:val="none"/>
              </w:rPr>
              <w:t>，且各分项的报价也不能超过该分项的预算，否则投标无效。</w:t>
            </w:r>
          </w:p>
        </w:tc>
      </w:tr>
      <w:tr w14:paraId="00492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00E7C7AD">
            <w:pPr>
              <w:spacing w:line="360" w:lineRule="auto"/>
              <w:jc w:val="center"/>
              <w:rPr>
                <w:rFonts w:hint="eastAsia" w:ascii="宋体" w:hAnsi="宋体" w:cs="宋体"/>
                <w:b/>
                <w:sz w:val="21"/>
                <w:szCs w:val="21"/>
                <w:highlight w:val="none"/>
              </w:rPr>
            </w:pPr>
            <w:r>
              <w:rPr>
                <w:rFonts w:hint="eastAsia" w:ascii="宋体" w:hAnsi="宋体" w:cs="宋体"/>
                <w:b/>
                <w:sz w:val="21"/>
                <w:szCs w:val="21"/>
                <w:highlight w:val="none"/>
              </w:rPr>
              <w:t>核心产品</w:t>
            </w:r>
          </w:p>
        </w:tc>
        <w:tc>
          <w:tcPr>
            <w:tcW w:w="7385" w:type="dxa"/>
            <w:gridSpan w:val="4"/>
            <w:vAlign w:val="center"/>
          </w:tcPr>
          <w:p w14:paraId="56E3E807">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本分标核心产品为</w:t>
            </w:r>
            <w:r>
              <w:rPr>
                <w:rFonts w:hint="eastAsia" w:ascii="宋体" w:hAnsi="宋体" w:cs="宋体"/>
                <w:sz w:val="21"/>
                <w:szCs w:val="21"/>
                <w:highlight w:val="none"/>
              </w:rPr>
              <w:t>第</w:t>
            </w:r>
            <w:r>
              <w:rPr>
                <w:rFonts w:hint="eastAsia" w:ascii="宋体" w:hAnsi="宋体" w:cs="宋体"/>
                <w:sz w:val="21"/>
                <w:szCs w:val="21"/>
                <w:highlight w:val="none"/>
                <w:lang w:val="en-US" w:eastAsia="zh-CN"/>
              </w:rPr>
              <w:t>11</w:t>
            </w:r>
            <w:r>
              <w:rPr>
                <w:rFonts w:hint="eastAsia" w:ascii="宋体" w:hAnsi="宋体" w:cs="宋体"/>
                <w:sz w:val="21"/>
                <w:szCs w:val="21"/>
                <w:highlight w:val="none"/>
              </w:rPr>
              <w:t>项</w:t>
            </w:r>
            <w:r>
              <w:rPr>
                <w:rFonts w:hint="eastAsia" w:ascii="宋体" w:hAnsi="宋体" w:cs="宋体"/>
                <w:sz w:val="21"/>
                <w:szCs w:val="21"/>
                <w:highlight w:val="none"/>
                <w:lang w:eastAsia="zh-CN"/>
              </w:rPr>
              <w:t xml:space="preserve"> </w:t>
            </w:r>
            <w:r>
              <w:rPr>
                <w:rFonts w:hint="eastAsia" w:ascii="宋体" w:hAnsi="宋体" w:cs="宋体"/>
                <w:color w:val="auto"/>
                <w:szCs w:val="21"/>
                <w:highlight w:val="none"/>
              </w:rPr>
              <w:t>电切内窥镜</w:t>
            </w:r>
          </w:p>
        </w:tc>
      </w:tr>
    </w:tbl>
    <w:p w14:paraId="0ACD988E">
      <w:pPr>
        <w:widowControl/>
        <w:jc w:val="left"/>
        <w:rPr>
          <w:rFonts w:hint="eastAsia" w:ascii="宋体" w:hAnsi="宋体" w:cs="宋体"/>
          <w:kern w:val="0"/>
          <w:sz w:val="24"/>
          <w:highlight w:val="none"/>
        </w:rPr>
      </w:pPr>
      <w:r>
        <w:rPr>
          <w:rFonts w:hint="eastAsia" w:ascii="宋体" w:hAnsi="宋体" w:cs="宋体"/>
          <w:kern w:val="0"/>
          <w:sz w:val="24"/>
          <w:highlight w:val="none"/>
        </w:rPr>
        <w:br w:type="page"/>
      </w:r>
    </w:p>
    <w:tbl>
      <w:tblPr>
        <w:tblStyle w:val="49"/>
        <w:tblW w:w="10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
        <w:gridCol w:w="1633"/>
        <w:gridCol w:w="796"/>
        <w:gridCol w:w="251"/>
        <w:gridCol w:w="493"/>
        <w:gridCol w:w="4483"/>
        <w:gridCol w:w="1134"/>
        <w:gridCol w:w="1275"/>
      </w:tblGrid>
      <w:tr w14:paraId="69F8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0604" w:type="dxa"/>
            <w:gridSpan w:val="8"/>
            <w:vAlign w:val="center"/>
          </w:tcPr>
          <w:p w14:paraId="4345C339">
            <w:pPr>
              <w:widowControl/>
              <w:jc w:val="center"/>
              <w:rPr>
                <w:rFonts w:hint="eastAsia" w:ascii="宋体" w:hAnsi="宋体" w:eastAsia="宋体" w:cs="宋体"/>
                <w:b/>
                <w:bCs/>
                <w:kern w:val="0"/>
                <w:sz w:val="21"/>
                <w:szCs w:val="21"/>
                <w:highlight w:val="none"/>
                <w:lang w:eastAsia="zh-CN"/>
              </w:rPr>
            </w:pPr>
            <w:r>
              <w:rPr>
                <w:rFonts w:hint="eastAsia" w:ascii="宋体" w:hAnsi="宋体" w:cs="宋体"/>
                <w:b/>
                <w:bCs/>
                <w:kern w:val="0"/>
                <w:sz w:val="28"/>
                <w:szCs w:val="28"/>
                <w:highlight w:val="none"/>
                <w:lang w:val="en-US" w:eastAsia="zh-CN"/>
              </w:rPr>
              <w:t>标项二：采购需求</w:t>
            </w:r>
          </w:p>
        </w:tc>
      </w:tr>
      <w:tr w14:paraId="04AA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539" w:type="dxa"/>
            <w:vAlign w:val="center"/>
          </w:tcPr>
          <w:p w14:paraId="3C9D4F29">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1633" w:type="dxa"/>
            <w:vAlign w:val="center"/>
          </w:tcPr>
          <w:p w14:paraId="72204EFE">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标的名称</w:t>
            </w:r>
          </w:p>
        </w:tc>
        <w:tc>
          <w:tcPr>
            <w:tcW w:w="796" w:type="dxa"/>
            <w:vAlign w:val="center"/>
          </w:tcPr>
          <w:p w14:paraId="6C9FFA2D">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数量</w:t>
            </w:r>
          </w:p>
        </w:tc>
        <w:tc>
          <w:tcPr>
            <w:tcW w:w="744" w:type="dxa"/>
            <w:gridSpan w:val="2"/>
            <w:vAlign w:val="center"/>
          </w:tcPr>
          <w:p w14:paraId="4B7FECB3">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单位</w:t>
            </w:r>
          </w:p>
        </w:tc>
        <w:tc>
          <w:tcPr>
            <w:tcW w:w="4483" w:type="dxa"/>
            <w:vAlign w:val="center"/>
          </w:tcPr>
          <w:p w14:paraId="3AB09CDF">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技术参数及性能（配置）要求</w:t>
            </w:r>
          </w:p>
        </w:tc>
        <w:tc>
          <w:tcPr>
            <w:tcW w:w="1134" w:type="dxa"/>
            <w:vAlign w:val="center"/>
          </w:tcPr>
          <w:p w14:paraId="6813451F">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预算单价（元/人民币）</w:t>
            </w:r>
          </w:p>
        </w:tc>
        <w:tc>
          <w:tcPr>
            <w:tcW w:w="1275" w:type="dxa"/>
            <w:vAlign w:val="center"/>
          </w:tcPr>
          <w:p w14:paraId="2164956D">
            <w:pPr>
              <w:widowControl/>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单项预算合计（元/人民币）</w:t>
            </w:r>
          </w:p>
        </w:tc>
      </w:tr>
      <w:tr w14:paraId="270A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374E0F8A">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w:t>
            </w:r>
          </w:p>
        </w:tc>
        <w:tc>
          <w:tcPr>
            <w:tcW w:w="1633" w:type="dxa"/>
            <w:vAlign w:val="center"/>
          </w:tcPr>
          <w:p w14:paraId="68EA3B2B">
            <w:pPr>
              <w:snapToGrid w:val="0"/>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一次性医用帽子</w:t>
            </w:r>
          </w:p>
        </w:tc>
        <w:tc>
          <w:tcPr>
            <w:tcW w:w="796" w:type="dxa"/>
            <w:vAlign w:val="center"/>
          </w:tcPr>
          <w:p w14:paraId="29AAF844">
            <w:pPr>
              <w:snapToGrid w:val="0"/>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10000</w:t>
            </w:r>
          </w:p>
        </w:tc>
        <w:tc>
          <w:tcPr>
            <w:tcW w:w="744" w:type="dxa"/>
            <w:gridSpan w:val="2"/>
            <w:vAlign w:val="center"/>
          </w:tcPr>
          <w:p w14:paraId="0F099B7F">
            <w:pPr>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4483" w:type="dxa"/>
            <w:vAlign w:val="center"/>
          </w:tcPr>
          <w:p w14:paraId="50436386">
            <w:pPr>
              <w:wordWrap w:val="0"/>
              <w:topLinePunct/>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1</w:t>
            </w:r>
            <w:r>
              <w:rPr>
                <w:rFonts w:hint="eastAsia" w:ascii="宋体" w:hAnsi="宋体" w:cs="宋体"/>
                <w:szCs w:val="21"/>
                <w:highlight w:val="none"/>
                <w:lang w:val="en-US" w:eastAsia="zh-CN"/>
              </w:rPr>
              <w:t>.</w:t>
            </w:r>
            <w:r>
              <w:rPr>
                <w:rFonts w:hint="eastAsia" w:ascii="宋体" w:hAnsi="宋体" w:cs="宋体"/>
                <w:szCs w:val="21"/>
                <w:highlight w:val="none"/>
              </w:rPr>
              <w:t>采用费织造布为主要原料，经裁剪、缝纫制成</w:t>
            </w:r>
            <w:r>
              <w:rPr>
                <w:rFonts w:hint="eastAsia" w:ascii="宋体" w:hAnsi="宋体" w:cs="宋体"/>
                <w:szCs w:val="21"/>
                <w:highlight w:val="none"/>
                <w:lang w:eastAsia="zh-CN"/>
              </w:rPr>
              <w:t>。</w:t>
            </w:r>
          </w:p>
          <w:p w14:paraId="465E2120">
            <w:pPr>
              <w:wordWrap w:val="0"/>
              <w:topLinePunct/>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val="en-US" w:eastAsia="zh-CN"/>
              </w:rPr>
              <w:t>.</w:t>
            </w:r>
            <w:r>
              <w:rPr>
                <w:rFonts w:hint="eastAsia" w:ascii="宋体" w:hAnsi="宋体" w:cs="宋体"/>
                <w:szCs w:val="21"/>
                <w:highlight w:val="none"/>
              </w:rPr>
              <w:t>均码。</w:t>
            </w:r>
          </w:p>
        </w:tc>
        <w:tc>
          <w:tcPr>
            <w:tcW w:w="1134" w:type="dxa"/>
            <w:vAlign w:val="center"/>
          </w:tcPr>
          <w:p w14:paraId="3637B6B4">
            <w:pPr>
              <w:pStyle w:val="60"/>
              <w:jc w:val="center"/>
              <w:rPr>
                <w:rFonts w:hint="eastAsia" w:ascii="宋体" w:hAnsi="宋体" w:cs="宋体"/>
                <w:b w:val="0"/>
                <w:bCs w:val="0"/>
                <w:sz w:val="21"/>
                <w:szCs w:val="21"/>
                <w:highlight w:val="none"/>
              </w:rPr>
            </w:pPr>
            <w:r>
              <w:rPr>
                <w:rFonts w:hint="eastAsia" w:ascii="宋体" w:hAnsi="宋体" w:cs="宋体"/>
                <w:b w:val="0"/>
                <w:bCs w:val="0"/>
                <w:sz w:val="21"/>
                <w:szCs w:val="21"/>
                <w:highlight w:val="none"/>
              </w:rPr>
              <w:t>0.24</w:t>
            </w:r>
          </w:p>
        </w:tc>
        <w:tc>
          <w:tcPr>
            <w:tcW w:w="1275" w:type="dxa"/>
            <w:vAlign w:val="center"/>
          </w:tcPr>
          <w:p w14:paraId="18E858E5">
            <w:pPr>
              <w:pStyle w:val="60"/>
              <w:jc w:val="center"/>
              <w:rPr>
                <w:rFonts w:hint="default" w:ascii="宋体" w:hAnsi="宋体" w:eastAsia="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2400</w:t>
            </w:r>
          </w:p>
        </w:tc>
      </w:tr>
      <w:tr w14:paraId="3331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1EBD924E">
            <w:pPr>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w:t>
            </w:r>
          </w:p>
        </w:tc>
        <w:tc>
          <w:tcPr>
            <w:tcW w:w="1633" w:type="dxa"/>
            <w:vAlign w:val="center"/>
          </w:tcPr>
          <w:p w14:paraId="51D3B805">
            <w:pPr>
              <w:snapToGrid w:val="0"/>
              <w:spacing w:line="360" w:lineRule="auto"/>
              <w:jc w:val="center"/>
              <w:rPr>
                <w:rFonts w:hint="eastAsia" w:ascii="宋体" w:hAnsi="宋体" w:cs="宋体"/>
                <w:sz w:val="21"/>
                <w:szCs w:val="21"/>
                <w:highlight w:val="none"/>
              </w:rPr>
            </w:pPr>
            <w:r>
              <w:rPr>
                <w:rFonts w:hint="eastAsia" w:ascii="宋体" w:hAnsi="宋体" w:cs="宋体"/>
                <w:sz w:val="21"/>
                <w:szCs w:val="21"/>
                <w:highlight w:val="none"/>
              </w:rPr>
              <w:t>一次性外科口罩</w:t>
            </w:r>
          </w:p>
        </w:tc>
        <w:tc>
          <w:tcPr>
            <w:tcW w:w="796" w:type="dxa"/>
            <w:vAlign w:val="center"/>
          </w:tcPr>
          <w:p w14:paraId="09FF2E1F">
            <w:pPr>
              <w:snapToGrid/>
              <w:spacing w:line="24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14000</w:t>
            </w:r>
          </w:p>
        </w:tc>
        <w:tc>
          <w:tcPr>
            <w:tcW w:w="744" w:type="dxa"/>
            <w:gridSpan w:val="2"/>
            <w:vAlign w:val="center"/>
          </w:tcPr>
          <w:p w14:paraId="39FB1F5F">
            <w:pPr>
              <w:jc w:val="center"/>
              <w:rPr>
                <w:rFonts w:hint="eastAsia" w:ascii="宋体" w:hAnsi="宋体" w:cs="宋体"/>
                <w:sz w:val="21"/>
                <w:szCs w:val="21"/>
                <w:highlight w:val="none"/>
              </w:rPr>
            </w:pPr>
            <w:r>
              <w:rPr>
                <w:rFonts w:hint="eastAsia" w:ascii="宋体" w:hAnsi="宋体" w:cs="宋体"/>
                <w:sz w:val="21"/>
                <w:szCs w:val="21"/>
                <w:highlight w:val="none"/>
              </w:rPr>
              <w:t>个</w:t>
            </w:r>
          </w:p>
        </w:tc>
        <w:tc>
          <w:tcPr>
            <w:tcW w:w="4483" w:type="dxa"/>
            <w:vAlign w:val="center"/>
          </w:tcPr>
          <w:p w14:paraId="747E61E6">
            <w:p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cs="宋体"/>
                <w:sz w:val="21"/>
                <w:szCs w:val="21"/>
                <w:highlight w:val="none"/>
              </w:rPr>
              <w:t>17.5cm×9.5cm</w:t>
            </w:r>
            <w:r>
              <w:rPr>
                <w:rFonts w:hint="eastAsia" w:ascii="宋体" w:hAnsi="宋体" w:cs="宋体"/>
                <w:sz w:val="21"/>
                <w:szCs w:val="21"/>
                <w:highlight w:val="none"/>
                <w:lang w:eastAsia="zh-CN"/>
              </w:rPr>
              <w:t>。</w:t>
            </w:r>
          </w:p>
          <w:p w14:paraId="785A49E1">
            <w:pPr>
              <w:numPr>
                <w:ilvl w:val="-1"/>
                <w:numId w:val="0"/>
              </w:numPr>
              <w:wordWrap w:val="0"/>
              <w:topLinePunct/>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口罩设计应提供良好的密合性，口罩总适合因数不低于100</w:t>
            </w:r>
            <w:r>
              <w:rPr>
                <w:rFonts w:hint="eastAsia" w:ascii="宋体" w:hAnsi="宋体" w:cs="宋体"/>
                <w:sz w:val="21"/>
                <w:szCs w:val="21"/>
                <w:highlight w:val="none"/>
                <w:lang w:eastAsia="zh-CN"/>
              </w:rPr>
              <w:t>。</w:t>
            </w:r>
          </w:p>
          <w:p w14:paraId="3A981ACD">
            <w:pPr>
              <w:numPr>
                <w:ilvl w:val="-1"/>
                <w:numId w:val="0"/>
              </w:numPr>
              <w:wordWrap w:val="0"/>
              <w:topLinePunct/>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lang w:val="en-US" w:eastAsia="zh-CN"/>
              </w:rPr>
              <w:t>.</w:t>
            </w:r>
            <w:r>
              <w:rPr>
                <w:rFonts w:hint="eastAsia" w:ascii="宋体" w:hAnsi="宋体" w:cs="宋体"/>
                <w:sz w:val="21"/>
                <w:szCs w:val="21"/>
                <w:highlight w:val="none"/>
              </w:rPr>
              <w:t>产品经环氧乙烷灭菌，应无菌。</w:t>
            </w:r>
          </w:p>
        </w:tc>
        <w:tc>
          <w:tcPr>
            <w:tcW w:w="1134" w:type="dxa"/>
            <w:vAlign w:val="center"/>
          </w:tcPr>
          <w:p w14:paraId="7FB2C821">
            <w:pPr>
              <w:pStyle w:val="60"/>
              <w:jc w:val="center"/>
              <w:rPr>
                <w:rFonts w:hint="eastAsia" w:ascii="宋体" w:hAnsi="宋体" w:cs="宋体"/>
                <w:b w:val="0"/>
                <w:bCs w:val="0"/>
                <w:sz w:val="21"/>
                <w:szCs w:val="21"/>
                <w:highlight w:val="none"/>
              </w:rPr>
            </w:pPr>
            <w:r>
              <w:rPr>
                <w:rFonts w:hint="eastAsia" w:ascii="宋体" w:hAnsi="宋体" w:cs="宋体"/>
                <w:b w:val="0"/>
                <w:bCs w:val="0"/>
                <w:sz w:val="21"/>
                <w:szCs w:val="21"/>
                <w:highlight w:val="none"/>
              </w:rPr>
              <w:t xml:space="preserve">0.2 </w:t>
            </w:r>
          </w:p>
        </w:tc>
        <w:tc>
          <w:tcPr>
            <w:tcW w:w="1275" w:type="dxa"/>
            <w:vAlign w:val="center"/>
          </w:tcPr>
          <w:p w14:paraId="1A89789B">
            <w:pPr>
              <w:pStyle w:val="60"/>
              <w:jc w:val="center"/>
              <w:rPr>
                <w:rFonts w:hint="eastAsia" w:ascii="宋体" w:hAnsi="宋体" w:cs="宋体"/>
                <w:b w:val="0"/>
                <w:bCs w:val="0"/>
                <w:sz w:val="21"/>
                <w:szCs w:val="21"/>
                <w:highlight w:val="none"/>
              </w:rPr>
            </w:pPr>
            <w:r>
              <w:rPr>
                <w:rFonts w:hint="eastAsia" w:ascii="宋体" w:hAnsi="宋体" w:cs="宋体"/>
                <w:b w:val="0"/>
                <w:bCs w:val="0"/>
                <w:sz w:val="21"/>
                <w:szCs w:val="21"/>
                <w:highlight w:val="none"/>
              </w:rPr>
              <w:t>2800</w:t>
            </w:r>
          </w:p>
        </w:tc>
      </w:tr>
      <w:tr w14:paraId="320F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11BBA02B">
            <w:pPr>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1633" w:type="dxa"/>
            <w:vAlign w:val="center"/>
          </w:tcPr>
          <w:p w14:paraId="408A06EE">
            <w:pPr>
              <w:spacing w:line="360" w:lineRule="auto"/>
              <w:ind w:firstLine="0" w:firstLineChars="0"/>
              <w:jc w:val="center"/>
              <w:rPr>
                <w:rFonts w:hint="eastAsia" w:ascii="宋体" w:hAnsi="宋体" w:cs="宋体"/>
                <w:sz w:val="21"/>
                <w:szCs w:val="21"/>
                <w:highlight w:val="none"/>
              </w:rPr>
            </w:pPr>
            <w:r>
              <w:rPr>
                <w:rFonts w:hint="eastAsia" w:ascii="宋体" w:hAnsi="宋体" w:cs="宋体"/>
                <w:sz w:val="21"/>
                <w:szCs w:val="21"/>
                <w:highlight w:val="none"/>
              </w:rPr>
              <w:t>一次性使用手术衣</w:t>
            </w:r>
          </w:p>
        </w:tc>
        <w:tc>
          <w:tcPr>
            <w:tcW w:w="796" w:type="dxa"/>
            <w:vAlign w:val="center"/>
          </w:tcPr>
          <w:p w14:paraId="4A3C584C">
            <w:pPr>
              <w:snapToGrid/>
              <w:spacing w:line="240" w:lineRule="auto"/>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2400</w:t>
            </w:r>
          </w:p>
        </w:tc>
        <w:tc>
          <w:tcPr>
            <w:tcW w:w="744" w:type="dxa"/>
            <w:gridSpan w:val="2"/>
            <w:vAlign w:val="center"/>
          </w:tcPr>
          <w:p w14:paraId="5345191A">
            <w:pPr>
              <w:jc w:val="center"/>
              <w:rPr>
                <w:rFonts w:hint="eastAsia" w:ascii="宋体" w:hAnsi="宋体" w:cs="宋体"/>
                <w:sz w:val="21"/>
                <w:szCs w:val="21"/>
                <w:highlight w:val="none"/>
              </w:rPr>
            </w:pPr>
            <w:r>
              <w:rPr>
                <w:rFonts w:hint="eastAsia" w:ascii="宋体" w:hAnsi="宋体" w:cs="宋体"/>
                <w:sz w:val="21"/>
                <w:szCs w:val="21"/>
                <w:highlight w:val="none"/>
              </w:rPr>
              <w:t>套</w:t>
            </w:r>
          </w:p>
        </w:tc>
        <w:tc>
          <w:tcPr>
            <w:tcW w:w="4483" w:type="dxa"/>
            <w:vAlign w:val="center"/>
          </w:tcPr>
          <w:p w14:paraId="3770F101">
            <w:pPr>
              <w:pStyle w:val="126"/>
              <w:spacing w:line="360" w:lineRule="auto"/>
              <w:ind w:left="0" w:leftChars="0" w:firstLine="420" w:firstLineChars="200"/>
              <w:jc w:val="left"/>
              <w:rPr>
                <w:rFonts w:hint="eastAsia" w:ascii="宋体" w:hAnsi="宋体" w:eastAsia="宋体" w:cs="宋体"/>
                <w:sz w:val="21"/>
                <w:szCs w:val="21"/>
                <w:highlight w:val="none"/>
                <w:lang w:eastAsia="zh-CN"/>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w:t>
            </w:r>
            <w:r>
              <w:rPr>
                <w:rFonts w:hint="eastAsia" w:ascii="宋体" w:hAnsi="宋体" w:cs="宋体"/>
                <w:sz w:val="21"/>
                <w:szCs w:val="21"/>
                <w:highlight w:val="none"/>
              </w:rPr>
              <w:t>防水材料</w:t>
            </w:r>
            <w:r>
              <w:rPr>
                <w:rFonts w:hint="eastAsia" w:ascii="宋体" w:hAnsi="宋体" w:cs="宋体"/>
                <w:sz w:val="21"/>
                <w:szCs w:val="21"/>
                <w:highlight w:val="none"/>
                <w:lang w:eastAsia="zh-CN"/>
              </w:rPr>
              <w:t>。</w:t>
            </w:r>
          </w:p>
          <w:p w14:paraId="75D4E81D">
            <w:pPr>
              <w:pStyle w:val="126"/>
              <w:spacing w:line="360" w:lineRule="auto"/>
              <w:ind w:left="0" w:leftChars="0"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w:t>
            </w:r>
            <w:r>
              <w:rPr>
                <w:rFonts w:hint="eastAsia" w:ascii="宋体" w:hAnsi="宋体" w:cs="宋体"/>
                <w:sz w:val="21"/>
                <w:szCs w:val="21"/>
                <w:highlight w:val="none"/>
              </w:rPr>
              <w:t>反穿大中小号。</w:t>
            </w:r>
          </w:p>
        </w:tc>
        <w:tc>
          <w:tcPr>
            <w:tcW w:w="1134" w:type="dxa"/>
            <w:vAlign w:val="center"/>
          </w:tcPr>
          <w:p w14:paraId="591A6F95">
            <w:pPr>
              <w:pStyle w:val="60"/>
              <w:jc w:val="center"/>
              <w:rPr>
                <w:rFonts w:hint="eastAsia" w:ascii="宋体" w:hAnsi="宋体" w:cs="宋体"/>
                <w:b w:val="0"/>
                <w:bCs w:val="0"/>
                <w:sz w:val="21"/>
                <w:szCs w:val="21"/>
                <w:highlight w:val="none"/>
              </w:rPr>
            </w:pPr>
            <w:r>
              <w:rPr>
                <w:rFonts w:hint="eastAsia" w:ascii="宋体" w:hAnsi="宋体" w:cs="宋体"/>
                <w:b w:val="0"/>
                <w:bCs w:val="0"/>
                <w:sz w:val="21"/>
                <w:szCs w:val="21"/>
                <w:highlight w:val="none"/>
              </w:rPr>
              <w:t xml:space="preserve">8.5 </w:t>
            </w:r>
          </w:p>
        </w:tc>
        <w:tc>
          <w:tcPr>
            <w:tcW w:w="1275" w:type="dxa"/>
            <w:vAlign w:val="center"/>
          </w:tcPr>
          <w:p w14:paraId="3D90E49C">
            <w:pPr>
              <w:pStyle w:val="60"/>
              <w:jc w:val="center"/>
              <w:rPr>
                <w:rFonts w:hint="eastAsia" w:ascii="宋体" w:hAnsi="宋体" w:cs="宋体"/>
                <w:b w:val="0"/>
                <w:bCs w:val="0"/>
                <w:sz w:val="21"/>
                <w:szCs w:val="21"/>
                <w:highlight w:val="none"/>
              </w:rPr>
            </w:pPr>
            <w:r>
              <w:rPr>
                <w:rFonts w:hint="eastAsia" w:ascii="宋体" w:hAnsi="宋体" w:cs="宋体"/>
                <w:b w:val="0"/>
                <w:bCs w:val="0"/>
                <w:sz w:val="21"/>
                <w:szCs w:val="21"/>
                <w:highlight w:val="none"/>
              </w:rPr>
              <w:t>20400</w:t>
            </w:r>
          </w:p>
        </w:tc>
      </w:tr>
      <w:tr w14:paraId="29D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42022F80">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4</w:t>
            </w:r>
          </w:p>
        </w:tc>
        <w:tc>
          <w:tcPr>
            <w:tcW w:w="1633" w:type="dxa"/>
            <w:vAlign w:val="center"/>
          </w:tcPr>
          <w:p w14:paraId="050EB1F2">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一次性面罩</w:t>
            </w:r>
          </w:p>
        </w:tc>
        <w:tc>
          <w:tcPr>
            <w:tcW w:w="796" w:type="dxa"/>
            <w:vAlign w:val="center"/>
          </w:tcPr>
          <w:p w14:paraId="01846CF6">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400</w:t>
            </w:r>
          </w:p>
        </w:tc>
        <w:tc>
          <w:tcPr>
            <w:tcW w:w="744" w:type="dxa"/>
            <w:gridSpan w:val="2"/>
            <w:vAlign w:val="center"/>
          </w:tcPr>
          <w:p w14:paraId="653CD28A">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个</w:t>
            </w:r>
          </w:p>
        </w:tc>
        <w:tc>
          <w:tcPr>
            <w:tcW w:w="4483" w:type="dxa"/>
            <w:vAlign w:val="center"/>
          </w:tcPr>
          <w:p w14:paraId="0063468E">
            <w:pPr>
              <w:pStyle w:val="126"/>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1.由高分子材料制成的硬质防护罩。</w:t>
            </w:r>
          </w:p>
          <w:p w14:paraId="5FD5432C">
            <w:pPr>
              <w:pStyle w:val="126"/>
              <w:spacing w:line="360" w:lineRule="auto"/>
              <w:ind w:left="0" w:leftChars="0" w:firstLine="420" w:firstLineChars="200"/>
              <w:jc w:val="left"/>
              <w:rPr>
                <w:rFonts w:hint="eastAsia" w:ascii="宋体" w:hAnsi="宋体" w:eastAsia="仿宋" w:cs="宋体"/>
                <w:b w:val="0"/>
                <w:bCs w:val="0"/>
                <w:color w:val="auto"/>
                <w:szCs w:val="21"/>
                <w:highlight w:val="none"/>
                <w:lang w:eastAsia="zh-CN"/>
              </w:rPr>
            </w:pPr>
            <w:r>
              <w:rPr>
                <w:rFonts w:hint="eastAsia" w:ascii="宋体" w:hAnsi="宋体" w:eastAsia="宋体" w:cs="宋体"/>
                <w:b w:val="0"/>
                <w:bCs w:val="0"/>
                <w:color w:val="auto"/>
                <w:szCs w:val="21"/>
                <w:highlight w:val="none"/>
                <w:lang w:eastAsia="zh-CN"/>
              </w:rPr>
              <w:t>2.泡沫条和固定装置组成。</w:t>
            </w:r>
          </w:p>
        </w:tc>
        <w:tc>
          <w:tcPr>
            <w:tcW w:w="1134" w:type="dxa"/>
            <w:vAlign w:val="center"/>
          </w:tcPr>
          <w:p w14:paraId="148F3D06">
            <w:pPr>
              <w:pStyle w:val="60"/>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w:t>
            </w:r>
          </w:p>
        </w:tc>
        <w:tc>
          <w:tcPr>
            <w:tcW w:w="1275" w:type="dxa"/>
            <w:vAlign w:val="center"/>
          </w:tcPr>
          <w:p w14:paraId="6E54DE98">
            <w:pPr>
              <w:pStyle w:val="60"/>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2400</w:t>
            </w:r>
          </w:p>
        </w:tc>
      </w:tr>
      <w:tr w14:paraId="1EAA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6C739FFF">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5</w:t>
            </w:r>
          </w:p>
        </w:tc>
        <w:tc>
          <w:tcPr>
            <w:tcW w:w="1633" w:type="dxa"/>
            <w:vAlign w:val="center"/>
          </w:tcPr>
          <w:p w14:paraId="37763367">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一次性使用医用橡胶检查手套</w:t>
            </w:r>
          </w:p>
        </w:tc>
        <w:tc>
          <w:tcPr>
            <w:tcW w:w="796" w:type="dxa"/>
            <w:vAlign w:val="center"/>
          </w:tcPr>
          <w:p w14:paraId="2F14A72C">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4000</w:t>
            </w:r>
          </w:p>
        </w:tc>
        <w:tc>
          <w:tcPr>
            <w:tcW w:w="744" w:type="dxa"/>
            <w:gridSpan w:val="2"/>
            <w:vAlign w:val="center"/>
          </w:tcPr>
          <w:p w14:paraId="6D74D483">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副</w:t>
            </w:r>
          </w:p>
        </w:tc>
        <w:tc>
          <w:tcPr>
            <w:tcW w:w="4483" w:type="dxa"/>
            <w:vAlign w:val="center"/>
          </w:tcPr>
          <w:p w14:paraId="3DCAB3A2">
            <w:pPr>
              <w:pStyle w:val="126"/>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产品以天然橡胶胶乳为主要原材料制成。</w:t>
            </w:r>
          </w:p>
          <w:p w14:paraId="67E4E53E">
            <w:pPr>
              <w:pStyle w:val="126"/>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规格型号：大、中、小码。</w:t>
            </w:r>
          </w:p>
        </w:tc>
        <w:tc>
          <w:tcPr>
            <w:tcW w:w="1134" w:type="dxa"/>
            <w:vAlign w:val="center"/>
          </w:tcPr>
          <w:p w14:paraId="44D1C60B">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1.52</w:t>
            </w:r>
          </w:p>
        </w:tc>
        <w:tc>
          <w:tcPr>
            <w:tcW w:w="1275" w:type="dxa"/>
            <w:vAlign w:val="center"/>
          </w:tcPr>
          <w:p w14:paraId="5FF06AD9">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6080</w:t>
            </w:r>
          </w:p>
        </w:tc>
      </w:tr>
      <w:tr w14:paraId="6B668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43BFDDD1">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6</w:t>
            </w:r>
          </w:p>
        </w:tc>
        <w:tc>
          <w:tcPr>
            <w:tcW w:w="1633" w:type="dxa"/>
            <w:vAlign w:val="center"/>
          </w:tcPr>
          <w:p w14:paraId="68EC9DAB">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一次性使用无菌橡胶外科手套</w:t>
            </w:r>
          </w:p>
        </w:tc>
        <w:tc>
          <w:tcPr>
            <w:tcW w:w="796" w:type="dxa"/>
            <w:vAlign w:val="center"/>
          </w:tcPr>
          <w:p w14:paraId="1E2C0376">
            <w:pPr>
              <w:snapToGrid/>
              <w:spacing w:line="240" w:lineRule="auto"/>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2800</w:t>
            </w:r>
          </w:p>
        </w:tc>
        <w:tc>
          <w:tcPr>
            <w:tcW w:w="744" w:type="dxa"/>
            <w:gridSpan w:val="2"/>
            <w:vAlign w:val="center"/>
          </w:tcPr>
          <w:p w14:paraId="39E29AFC">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副</w:t>
            </w:r>
          </w:p>
        </w:tc>
        <w:tc>
          <w:tcPr>
            <w:tcW w:w="4483" w:type="dxa"/>
            <w:vAlign w:val="center"/>
          </w:tcPr>
          <w:p w14:paraId="05A20FAB">
            <w:pPr>
              <w:widowControl/>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用于外科操作中保护病人和使用者，避免交叉感染</w:t>
            </w:r>
            <w:r>
              <w:rPr>
                <w:rFonts w:hint="eastAsia" w:ascii="宋体" w:hAnsi="宋体" w:cs="宋体"/>
                <w:b w:val="0"/>
                <w:bCs w:val="0"/>
                <w:color w:val="auto"/>
                <w:szCs w:val="21"/>
                <w:highlight w:val="none"/>
                <w:lang w:eastAsia="zh-CN"/>
              </w:rPr>
              <w:t>。</w:t>
            </w:r>
          </w:p>
          <w:p w14:paraId="6C07C89D">
            <w:pPr>
              <w:widowControl/>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2</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规格型号：大、中、小码。</w:t>
            </w:r>
          </w:p>
        </w:tc>
        <w:tc>
          <w:tcPr>
            <w:tcW w:w="1134" w:type="dxa"/>
            <w:vAlign w:val="center"/>
          </w:tcPr>
          <w:p w14:paraId="176C6ADD">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2.47</w:t>
            </w:r>
          </w:p>
        </w:tc>
        <w:tc>
          <w:tcPr>
            <w:tcW w:w="1275" w:type="dxa"/>
            <w:vAlign w:val="center"/>
          </w:tcPr>
          <w:p w14:paraId="2622429C">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6916</w:t>
            </w:r>
          </w:p>
        </w:tc>
      </w:tr>
      <w:tr w14:paraId="1BF2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1C64DE5E">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7</w:t>
            </w:r>
          </w:p>
        </w:tc>
        <w:tc>
          <w:tcPr>
            <w:tcW w:w="1633" w:type="dxa"/>
            <w:vAlign w:val="center"/>
          </w:tcPr>
          <w:p w14:paraId="260C5EEA">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医用被服包</w:t>
            </w:r>
          </w:p>
        </w:tc>
        <w:tc>
          <w:tcPr>
            <w:tcW w:w="796" w:type="dxa"/>
            <w:vAlign w:val="center"/>
          </w:tcPr>
          <w:p w14:paraId="3F1EB09E">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350</w:t>
            </w:r>
          </w:p>
        </w:tc>
        <w:tc>
          <w:tcPr>
            <w:tcW w:w="744" w:type="dxa"/>
            <w:gridSpan w:val="2"/>
            <w:vAlign w:val="center"/>
          </w:tcPr>
          <w:p w14:paraId="44715FEC">
            <w:pPr>
              <w:jc w:val="center"/>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套</w:t>
            </w:r>
          </w:p>
        </w:tc>
        <w:tc>
          <w:tcPr>
            <w:tcW w:w="4483" w:type="dxa"/>
            <w:vAlign w:val="center"/>
          </w:tcPr>
          <w:p w14:paraId="677C838D">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用于医院门诊、手术室等场所的术后患者、产后护理等</w:t>
            </w:r>
            <w:r>
              <w:rPr>
                <w:rFonts w:hint="eastAsia" w:ascii="宋体" w:hAnsi="宋体" w:cs="宋体"/>
                <w:b w:val="0"/>
                <w:bCs w:val="0"/>
                <w:color w:val="auto"/>
                <w:szCs w:val="21"/>
                <w:highlight w:val="none"/>
                <w:lang w:eastAsia="zh-CN"/>
              </w:rPr>
              <w:t>。</w:t>
            </w:r>
          </w:p>
          <w:p w14:paraId="0FD59131">
            <w:pPr>
              <w:pStyle w:val="126"/>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内含枕套、床单、被罩三件套。</w:t>
            </w:r>
          </w:p>
        </w:tc>
        <w:tc>
          <w:tcPr>
            <w:tcW w:w="1134" w:type="dxa"/>
            <w:vAlign w:val="center"/>
          </w:tcPr>
          <w:p w14:paraId="7E98E919">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20</w:t>
            </w:r>
          </w:p>
        </w:tc>
        <w:tc>
          <w:tcPr>
            <w:tcW w:w="1275" w:type="dxa"/>
            <w:vAlign w:val="center"/>
          </w:tcPr>
          <w:p w14:paraId="2FE9A19F">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7000</w:t>
            </w:r>
          </w:p>
        </w:tc>
      </w:tr>
      <w:tr w14:paraId="7A3F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5A38CC37">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8</w:t>
            </w:r>
          </w:p>
        </w:tc>
        <w:tc>
          <w:tcPr>
            <w:tcW w:w="1633" w:type="dxa"/>
            <w:vAlign w:val="center"/>
          </w:tcPr>
          <w:p w14:paraId="72775EB8">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免洗手消毒凝胶Ⅱ型（258ml)</w:t>
            </w:r>
          </w:p>
        </w:tc>
        <w:tc>
          <w:tcPr>
            <w:tcW w:w="796" w:type="dxa"/>
            <w:vAlign w:val="center"/>
          </w:tcPr>
          <w:p w14:paraId="58C3D201">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2400</w:t>
            </w:r>
          </w:p>
        </w:tc>
        <w:tc>
          <w:tcPr>
            <w:tcW w:w="744" w:type="dxa"/>
            <w:gridSpan w:val="2"/>
            <w:vAlign w:val="center"/>
          </w:tcPr>
          <w:p w14:paraId="1D4A4CAD">
            <w:pPr>
              <w:jc w:val="center"/>
              <w:rPr>
                <w:rFonts w:hint="eastAsia" w:ascii="宋体" w:hAnsi="宋体" w:cs="宋体"/>
                <w:color w:val="auto"/>
                <w:szCs w:val="21"/>
                <w:highlight w:val="none"/>
              </w:rPr>
            </w:pPr>
            <w:r>
              <w:rPr>
                <w:rFonts w:hint="eastAsia" w:ascii="宋体" w:hAnsi="宋体" w:cs="宋体"/>
                <w:color w:val="auto"/>
                <w:szCs w:val="21"/>
                <w:highlight w:val="none"/>
              </w:rPr>
              <w:t>瓶</w:t>
            </w:r>
          </w:p>
        </w:tc>
        <w:tc>
          <w:tcPr>
            <w:tcW w:w="4483" w:type="dxa"/>
            <w:vAlign w:val="center"/>
          </w:tcPr>
          <w:p w14:paraId="2E487344">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本品是以三氯羟基二苯醚和乙醇为主要有效成分的消毒凝胶</w:t>
            </w:r>
            <w:r>
              <w:rPr>
                <w:rFonts w:hint="eastAsia" w:ascii="宋体" w:hAnsi="宋体" w:cs="宋体"/>
                <w:b w:val="0"/>
                <w:bCs w:val="0"/>
                <w:color w:val="auto"/>
                <w:szCs w:val="21"/>
                <w:highlight w:val="none"/>
                <w:lang w:eastAsia="zh-CN"/>
              </w:rPr>
              <w:t>。</w:t>
            </w:r>
          </w:p>
          <w:p w14:paraId="00CBC498">
            <w:pPr>
              <w:pStyle w:val="126"/>
              <w:wordWrap w:val="0"/>
              <w:topLinePunct/>
              <w:spacing w:line="360" w:lineRule="auto"/>
              <w:ind w:left="0" w:leftChars="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产品滋润不黏腻、舒适清爽，内含保湿护肤成分，呵护双手。</w:t>
            </w:r>
          </w:p>
        </w:tc>
        <w:tc>
          <w:tcPr>
            <w:tcW w:w="1134" w:type="dxa"/>
            <w:vAlign w:val="center"/>
          </w:tcPr>
          <w:p w14:paraId="51830E90">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9.6</w:t>
            </w:r>
          </w:p>
        </w:tc>
        <w:tc>
          <w:tcPr>
            <w:tcW w:w="1275" w:type="dxa"/>
            <w:vAlign w:val="center"/>
          </w:tcPr>
          <w:p w14:paraId="5D315140">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23040</w:t>
            </w:r>
          </w:p>
        </w:tc>
      </w:tr>
      <w:tr w14:paraId="5432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22013740">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9</w:t>
            </w:r>
          </w:p>
        </w:tc>
        <w:tc>
          <w:tcPr>
            <w:tcW w:w="1633" w:type="dxa"/>
            <w:vAlign w:val="center"/>
          </w:tcPr>
          <w:p w14:paraId="0364E56A">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医用折叠擦手纸</w:t>
            </w:r>
          </w:p>
        </w:tc>
        <w:tc>
          <w:tcPr>
            <w:tcW w:w="796" w:type="dxa"/>
            <w:vAlign w:val="center"/>
          </w:tcPr>
          <w:p w14:paraId="1D6FBD68">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1000</w:t>
            </w:r>
          </w:p>
        </w:tc>
        <w:tc>
          <w:tcPr>
            <w:tcW w:w="744" w:type="dxa"/>
            <w:gridSpan w:val="2"/>
            <w:vAlign w:val="center"/>
          </w:tcPr>
          <w:p w14:paraId="3E54561C">
            <w:pPr>
              <w:jc w:val="center"/>
              <w:rPr>
                <w:rFonts w:hint="eastAsia" w:ascii="宋体" w:hAnsi="宋体" w:cs="宋体"/>
                <w:color w:val="auto"/>
                <w:szCs w:val="21"/>
                <w:highlight w:val="none"/>
              </w:rPr>
            </w:pPr>
            <w:r>
              <w:rPr>
                <w:rFonts w:hint="eastAsia" w:ascii="宋体" w:hAnsi="宋体" w:cs="宋体"/>
                <w:color w:val="auto"/>
                <w:szCs w:val="21"/>
                <w:highlight w:val="none"/>
              </w:rPr>
              <w:t>盒</w:t>
            </w:r>
          </w:p>
        </w:tc>
        <w:tc>
          <w:tcPr>
            <w:tcW w:w="4483" w:type="dxa"/>
            <w:vAlign w:val="center"/>
          </w:tcPr>
          <w:p w14:paraId="7080CF21">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规格：230mm</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220mm  抽数：200抽</w:t>
            </w:r>
            <w:r>
              <w:rPr>
                <w:rFonts w:hint="eastAsia" w:ascii="宋体" w:hAnsi="宋体" w:cs="宋体"/>
                <w:b w:val="0"/>
                <w:bCs w:val="0"/>
                <w:color w:val="auto"/>
                <w:szCs w:val="21"/>
                <w:highlight w:val="none"/>
                <w:lang w:eastAsia="zh-CN"/>
              </w:rPr>
              <w:t>。</w:t>
            </w:r>
          </w:p>
          <w:p w14:paraId="767F2969">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val="en-US" w:eastAsia="zh-CN"/>
              </w:rPr>
              <w:t xml:space="preserve">2. </w:t>
            </w:r>
            <w:r>
              <w:rPr>
                <w:rFonts w:hint="eastAsia" w:ascii="宋体" w:hAnsi="宋体" w:cs="宋体"/>
                <w:b w:val="0"/>
                <w:bCs w:val="0"/>
                <w:color w:val="auto"/>
                <w:szCs w:val="21"/>
                <w:highlight w:val="none"/>
              </w:rPr>
              <w:t>20包每箱</w:t>
            </w:r>
            <w:r>
              <w:rPr>
                <w:rFonts w:hint="eastAsia" w:ascii="宋体" w:hAnsi="宋体" w:cs="宋体"/>
                <w:b w:val="0"/>
                <w:bCs w:val="0"/>
                <w:color w:val="auto"/>
                <w:szCs w:val="21"/>
                <w:highlight w:val="none"/>
                <w:lang w:eastAsia="zh-CN"/>
              </w:rPr>
              <w:t>。</w:t>
            </w:r>
          </w:p>
        </w:tc>
        <w:tc>
          <w:tcPr>
            <w:tcW w:w="1134" w:type="dxa"/>
            <w:vAlign w:val="center"/>
          </w:tcPr>
          <w:p w14:paraId="1EDC7E0B">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10</w:t>
            </w:r>
          </w:p>
        </w:tc>
        <w:tc>
          <w:tcPr>
            <w:tcW w:w="1275" w:type="dxa"/>
            <w:vAlign w:val="center"/>
          </w:tcPr>
          <w:p w14:paraId="664EDFE9">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10000</w:t>
            </w:r>
          </w:p>
        </w:tc>
      </w:tr>
      <w:tr w14:paraId="46A7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667F93C3">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10</w:t>
            </w:r>
          </w:p>
        </w:tc>
        <w:tc>
          <w:tcPr>
            <w:tcW w:w="1633" w:type="dxa"/>
            <w:vAlign w:val="center"/>
          </w:tcPr>
          <w:p w14:paraId="689EDFBB">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抗菌洗手液</w:t>
            </w:r>
          </w:p>
        </w:tc>
        <w:tc>
          <w:tcPr>
            <w:tcW w:w="796" w:type="dxa"/>
            <w:vAlign w:val="center"/>
          </w:tcPr>
          <w:p w14:paraId="09D4D8A8">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1000</w:t>
            </w:r>
          </w:p>
        </w:tc>
        <w:tc>
          <w:tcPr>
            <w:tcW w:w="744" w:type="dxa"/>
            <w:gridSpan w:val="2"/>
            <w:vAlign w:val="center"/>
          </w:tcPr>
          <w:p w14:paraId="533EFE77">
            <w:pPr>
              <w:jc w:val="center"/>
              <w:rPr>
                <w:rFonts w:hint="eastAsia" w:ascii="宋体" w:hAnsi="宋体" w:cs="宋体"/>
                <w:color w:val="auto"/>
                <w:szCs w:val="21"/>
                <w:highlight w:val="none"/>
              </w:rPr>
            </w:pPr>
            <w:r>
              <w:rPr>
                <w:rFonts w:hint="eastAsia" w:ascii="宋体" w:hAnsi="宋体" w:cs="宋体"/>
                <w:color w:val="auto"/>
                <w:szCs w:val="21"/>
                <w:highlight w:val="none"/>
              </w:rPr>
              <w:t>瓶</w:t>
            </w:r>
          </w:p>
        </w:tc>
        <w:tc>
          <w:tcPr>
            <w:tcW w:w="4483" w:type="dxa"/>
            <w:vAlign w:val="center"/>
          </w:tcPr>
          <w:p w14:paraId="3D63DEB5">
            <w:pPr>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适用于日常皮肤的清洁、去污、杀菌及外科手术第一遍洗手</w:t>
            </w:r>
            <w:r>
              <w:rPr>
                <w:rFonts w:hint="eastAsia" w:ascii="宋体" w:hAnsi="宋体" w:cs="宋体"/>
                <w:b w:val="0"/>
                <w:bCs w:val="0"/>
                <w:color w:val="auto"/>
                <w:szCs w:val="21"/>
                <w:highlight w:val="none"/>
                <w:lang w:eastAsia="zh-CN"/>
              </w:rPr>
              <w:t>。</w:t>
            </w:r>
          </w:p>
          <w:p w14:paraId="7C91836E">
            <w:pPr>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规格：500ml每瓶</w:t>
            </w:r>
            <w:r>
              <w:rPr>
                <w:rFonts w:hint="eastAsia" w:ascii="宋体" w:hAnsi="宋体" w:cs="宋体"/>
                <w:b w:val="0"/>
                <w:bCs w:val="0"/>
                <w:color w:val="auto"/>
                <w:szCs w:val="21"/>
                <w:highlight w:val="none"/>
                <w:lang w:eastAsia="zh-CN"/>
              </w:rPr>
              <w:t>。</w:t>
            </w:r>
          </w:p>
        </w:tc>
        <w:tc>
          <w:tcPr>
            <w:tcW w:w="1134" w:type="dxa"/>
            <w:vAlign w:val="center"/>
          </w:tcPr>
          <w:p w14:paraId="4D1DB271">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6.29</w:t>
            </w:r>
          </w:p>
        </w:tc>
        <w:tc>
          <w:tcPr>
            <w:tcW w:w="1275" w:type="dxa"/>
            <w:vAlign w:val="center"/>
          </w:tcPr>
          <w:p w14:paraId="53D91A41">
            <w:pPr>
              <w:pStyle w:val="60"/>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6290</w:t>
            </w:r>
          </w:p>
        </w:tc>
      </w:tr>
      <w:tr w14:paraId="4448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2E22C109">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11</w:t>
            </w:r>
          </w:p>
        </w:tc>
        <w:tc>
          <w:tcPr>
            <w:tcW w:w="1633" w:type="dxa"/>
            <w:vAlign w:val="center"/>
          </w:tcPr>
          <w:p w14:paraId="58A16C86">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消佳净含氯消毒液</w:t>
            </w:r>
          </w:p>
        </w:tc>
        <w:tc>
          <w:tcPr>
            <w:tcW w:w="796" w:type="dxa"/>
            <w:vAlign w:val="center"/>
          </w:tcPr>
          <w:p w14:paraId="2D6DAF1E">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120</w:t>
            </w:r>
          </w:p>
        </w:tc>
        <w:tc>
          <w:tcPr>
            <w:tcW w:w="744" w:type="dxa"/>
            <w:gridSpan w:val="2"/>
            <w:vAlign w:val="center"/>
          </w:tcPr>
          <w:p w14:paraId="7EB8EF5F">
            <w:pPr>
              <w:jc w:val="center"/>
              <w:rPr>
                <w:rFonts w:hint="eastAsia" w:ascii="宋体" w:hAnsi="宋体" w:cs="宋体"/>
                <w:color w:val="auto"/>
                <w:szCs w:val="21"/>
                <w:highlight w:val="none"/>
              </w:rPr>
            </w:pPr>
            <w:r>
              <w:rPr>
                <w:rFonts w:hint="eastAsia" w:ascii="宋体" w:hAnsi="宋体" w:cs="宋体"/>
                <w:color w:val="auto"/>
                <w:szCs w:val="21"/>
                <w:highlight w:val="none"/>
              </w:rPr>
              <w:t>桶</w:t>
            </w:r>
          </w:p>
        </w:tc>
        <w:tc>
          <w:tcPr>
            <w:tcW w:w="4483" w:type="dxa"/>
            <w:vAlign w:val="center"/>
          </w:tcPr>
          <w:p w14:paraId="6157219A">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主要成分：次氯酸钠，含有效氯45.0g/L-60.0g/L</w:t>
            </w:r>
            <w:r>
              <w:rPr>
                <w:rFonts w:hint="eastAsia" w:ascii="宋体" w:hAnsi="宋体" w:cs="宋体"/>
                <w:b w:val="0"/>
                <w:bCs w:val="0"/>
                <w:color w:val="auto"/>
                <w:szCs w:val="21"/>
                <w:highlight w:val="none"/>
                <w:lang w:eastAsia="zh-CN"/>
              </w:rPr>
              <w:t>。</w:t>
            </w:r>
          </w:p>
          <w:p w14:paraId="3C20C350">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2</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使用范围：医院、宾馆等公共场所的消毒清洁</w:t>
            </w:r>
            <w:r>
              <w:rPr>
                <w:rFonts w:hint="eastAsia" w:ascii="宋体" w:hAnsi="宋体" w:cs="宋体"/>
                <w:b w:val="0"/>
                <w:bCs w:val="0"/>
                <w:color w:val="auto"/>
                <w:szCs w:val="21"/>
                <w:highlight w:val="none"/>
                <w:lang w:eastAsia="zh-CN"/>
              </w:rPr>
              <w:t>。</w:t>
            </w:r>
          </w:p>
          <w:p w14:paraId="6F06013F">
            <w:pPr>
              <w:pStyle w:val="126"/>
              <w:wordWrap w:val="0"/>
              <w:topLinePunct/>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val="en-US" w:eastAsia="zh-CN"/>
              </w:rPr>
              <w:t xml:space="preserve">3. </w:t>
            </w:r>
            <w:r>
              <w:rPr>
                <w:rFonts w:hint="eastAsia" w:ascii="宋体" w:hAnsi="宋体" w:cs="宋体"/>
                <w:b w:val="0"/>
                <w:bCs w:val="0"/>
                <w:color w:val="auto"/>
                <w:szCs w:val="21"/>
                <w:highlight w:val="none"/>
              </w:rPr>
              <w:t>5L每桶</w:t>
            </w:r>
            <w:r>
              <w:rPr>
                <w:rFonts w:hint="eastAsia" w:ascii="宋体" w:hAnsi="宋体" w:cs="宋体"/>
                <w:b w:val="0"/>
                <w:bCs w:val="0"/>
                <w:color w:val="auto"/>
                <w:szCs w:val="21"/>
                <w:highlight w:val="none"/>
                <w:lang w:eastAsia="zh-CN"/>
              </w:rPr>
              <w:t>。</w:t>
            </w:r>
          </w:p>
        </w:tc>
        <w:tc>
          <w:tcPr>
            <w:tcW w:w="1134" w:type="dxa"/>
            <w:vAlign w:val="center"/>
          </w:tcPr>
          <w:p w14:paraId="25340C56">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23.68</w:t>
            </w:r>
          </w:p>
        </w:tc>
        <w:tc>
          <w:tcPr>
            <w:tcW w:w="1275" w:type="dxa"/>
            <w:vAlign w:val="center"/>
          </w:tcPr>
          <w:p w14:paraId="281CAA2F">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2841.6</w:t>
            </w:r>
          </w:p>
        </w:tc>
      </w:tr>
      <w:tr w14:paraId="7DC2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539" w:type="dxa"/>
            <w:vAlign w:val="center"/>
          </w:tcPr>
          <w:p w14:paraId="57561C15">
            <w:pPr>
              <w:jc w:val="center"/>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12</w:t>
            </w:r>
          </w:p>
        </w:tc>
        <w:tc>
          <w:tcPr>
            <w:tcW w:w="1633" w:type="dxa"/>
            <w:vAlign w:val="center"/>
          </w:tcPr>
          <w:p w14:paraId="6FA47432">
            <w:pPr>
              <w:spacing w:line="360" w:lineRule="auto"/>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一次性使用医用外科擦手纸</w:t>
            </w:r>
          </w:p>
        </w:tc>
        <w:tc>
          <w:tcPr>
            <w:tcW w:w="796" w:type="dxa"/>
            <w:vAlign w:val="center"/>
          </w:tcPr>
          <w:p w14:paraId="2A8457F4">
            <w:pPr>
              <w:snapToGrid/>
              <w:spacing w:line="240" w:lineRule="auto"/>
              <w:jc w:val="center"/>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174</w:t>
            </w:r>
          </w:p>
        </w:tc>
        <w:tc>
          <w:tcPr>
            <w:tcW w:w="744" w:type="dxa"/>
            <w:gridSpan w:val="2"/>
            <w:vAlign w:val="center"/>
          </w:tcPr>
          <w:p w14:paraId="3CBBECC8">
            <w:pPr>
              <w:jc w:val="center"/>
              <w:rPr>
                <w:rFonts w:hint="eastAsia" w:ascii="宋体" w:hAnsi="宋体" w:cs="宋体"/>
                <w:color w:val="auto"/>
                <w:szCs w:val="21"/>
                <w:highlight w:val="none"/>
              </w:rPr>
            </w:pPr>
            <w:r>
              <w:rPr>
                <w:rFonts w:hint="eastAsia" w:ascii="宋体" w:hAnsi="宋体" w:cs="宋体"/>
                <w:color w:val="auto"/>
                <w:szCs w:val="21"/>
                <w:highlight w:val="none"/>
              </w:rPr>
              <w:t>卷</w:t>
            </w:r>
          </w:p>
        </w:tc>
        <w:tc>
          <w:tcPr>
            <w:tcW w:w="4483" w:type="dxa"/>
            <w:vAlign w:val="center"/>
          </w:tcPr>
          <w:p w14:paraId="7CEAE89B">
            <w:pPr>
              <w:pStyle w:val="126"/>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rPr>
              <w:t>1</w:t>
            </w:r>
            <w:r>
              <w:rPr>
                <w:rFonts w:hint="eastAsia" w:ascii="宋体" w:hAnsi="宋体" w:cs="宋体"/>
                <w:b w:val="0"/>
                <w:bCs w:val="0"/>
                <w:color w:val="auto"/>
                <w:szCs w:val="21"/>
                <w:highlight w:val="none"/>
                <w:lang w:val="en-US" w:eastAsia="zh-CN"/>
              </w:rPr>
              <w:t>.</w:t>
            </w:r>
            <w:r>
              <w:rPr>
                <w:rFonts w:hint="eastAsia" w:ascii="宋体" w:hAnsi="宋体" w:cs="宋体"/>
                <w:b w:val="0"/>
                <w:bCs w:val="0"/>
                <w:color w:val="auto"/>
                <w:szCs w:val="21"/>
                <w:highlight w:val="none"/>
              </w:rPr>
              <w:t>主要成分</w:t>
            </w:r>
            <w:r>
              <w:rPr>
                <w:rFonts w:hint="eastAsia" w:ascii="宋体" w:hAnsi="宋体" w:cs="宋体"/>
                <w:b w:val="0"/>
                <w:bCs w:val="0"/>
                <w:color w:val="auto"/>
                <w:szCs w:val="21"/>
                <w:highlight w:val="none"/>
                <w:lang w:eastAsia="zh-CN"/>
              </w:rPr>
              <w:t>：</w:t>
            </w:r>
            <w:r>
              <w:rPr>
                <w:rFonts w:hint="eastAsia" w:ascii="宋体" w:hAnsi="宋体" w:cs="宋体"/>
                <w:b w:val="0"/>
                <w:bCs w:val="0"/>
                <w:color w:val="auto"/>
                <w:szCs w:val="21"/>
                <w:highlight w:val="none"/>
              </w:rPr>
              <w:t>原生竹浆</w:t>
            </w:r>
            <w:r>
              <w:rPr>
                <w:rFonts w:hint="eastAsia" w:ascii="宋体" w:hAnsi="宋体" w:cs="宋体"/>
                <w:b w:val="0"/>
                <w:bCs w:val="0"/>
                <w:color w:val="auto"/>
                <w:szCs w:val="21"/>
                <w:highlight w:val="none"/>
                <w:lang w:eastAsia="zh-CN"/>
              </w:rPr>
              <w:t>。</w:t>
            </w:r>
          </w:p>
          <w:p w14:paraId="7E272722">
            <w:pPr>
              <w:pStyle w:val="126"/>
              <w:spacing w:line="360" w:lineRule="auto"/>
              <w:ind w:left="0" w:leftChars="0" w:firstLine="420" w:firstLineChars="200"/>
              <w:jc w:val="left"/>
              <w:rPr>
                <w:rFonts w:hint="eastAsia" w:ascii="宋体" w:hAnsi="宋体" w:eastAsia="宋体" w:cs="宋体"/>
                <w:b w:val="0"/>
                <w:bCs w:val="0"/>
                <w:color w:val="auto"/>
                <w:szCs w:val="21"/>
                <w:highlight w:val="none"/>
                <w:lang w:eastAsia="zh-CN"/>
              </w:rPr>
            </w:pPr>
            <w:r>
              <w:rPr>
                <w:rFonts w:hint="eastAsia" w:ascii="宋体" w:hAnsi="宋体" w:cs="宋体"/>
                <w:b w:val="0"/>
                <w:bCs w:val="0"/>
                <w:color w:val="auto"/>
                <w:szCs w:val="21"/>
                <w:highlight w:val="none"/>
                <w:lang w:val="en-US" w:eastAsia="zh-CN"/>
              </w:rPr>
              <w:t>2.</w:t>
            </w:r>
            <w:r>
              <w:rPr>
                <w:rFonts w:hint="eastAsia" w:ascii="宋体" w:hAnsi="宋体" w:cs="宋体"/>
                <w:b w:val="0"/>
                <w:bCs w:val="0"/>
                <w:color w:val="auto"/>
                <w:szCs w:val="21"/>
                <w:highlight w:val="none"/>
              </w:rPr>
              <w:t>使用范围：适用于手术室、ICU等重症科室的干手及物表擦试</w:t>
            </w:r>
            <w:r>
              <w:rPr>
                <w:rFonts w:hint="eastAsia" w:ascii="宋体" w:hAnsi="宋体" w:cs="宋体"/>
                <w:b w:val="0"/>
                <w:bCs w:val="0"/>
                <w:color w:val="auto"/>
                <w:szCs w:val="21"/>
                <w:highlight w:val="none"/>
                <w:lang w:eastAsia="zh-CN"/>
              </w:rPr>
              <w:t>。</w:t>
            </w:r>
          </w:p>
        </w:tc>
        <w:tc>
          <w:tcPr>
            <w:tcW w:w="1134" w:type="dxa"/>
            <w:vAlign w:val="center"/>
          </w:tcPr>
          <w:p w14:paraId="2AC4AF20">
            <w:pPr>
              <w:pStyle w:val="60"/>
              <w:jc w:val="center"/>
              <w:rPr>
                <w:rFonts w:hint="default" w:ascii="宋体" w:hAnsi="宋体" w:cs="宋体"/>
                <w:sz w:val="21"/>
                <w:szCs w:val="21"/>
                <w:highlight w:val="none"/>
                <w:lang w:val="en-US" w:eastAsia="zh-CN"/>
              </w:rPr>
            </w:pPr>
            <w:r>
              <w:rPr>
                <w:rFonts w:hint="default" w:ascii="宋体" w:hAnsi="宋体" w:cs="宋体"/>
                <w:sz w:val="21"/>
                <w:szCs w:val="21"/>
                <w:highlight w:val="none"/>
                <w:lang w:val="en-US" w:eastAsia="zh-CN"/>
              </w:rPr>
              <w:t>96</w:t>
            </w:r>
          </w:p>
        </w:tc>
        <w:tc>
          <w:tcPr>
            <w:tcW w:w="1275" w:type="dxa"/>
            <w:vAlign w:val="center"/>
          </w:tcPr>
          <w:p w14:paraId="41EFBB87">
            <w:pPr>
              <w:pStyle w:val="60"/>
              <w:jc w:val="center"/>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16704</w:t>
            </w:r>
          </w:p>
        </w:tc>
      </w:tr>
      <w:tr w14:paraId="1129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604" w:type="dxa"/>
            <w:gridSpan w:val="8"/>
            <w:vAlign w:val="center"/>
          </w:tcPr>
          <w:p w14:paraId="286BDE2D">
            <w:pPr>
              <w:widowControl/>
              <w:jc w:val="left"/>
              <w:rPr>
                <w:rFonts w:hint="eastAsia" w:ascii="宋体" w:hAnsi="宋体" w:cs="宋体"/>
                <w:bCs/>
                <w:sz w:val="21"/>
                <w:szCs w:val="21"/>
                <w:highlight w:val="none"/>
              </w:rPr>
            </w:pPr>
            <w:r>
              <w:rPr>
                <w:rFonts w:hint="eastAsia" w:ascii="宋体" w:hAnsi="宋体" w:cs="宋体"/>
                <w:bCs/>
                <w:sz w:val="21"/>
                <w:szCs w:val="21"/>
                <w:highlight w:val="none"/>
              </w:rPr>
              <w:t>▲</w:t>
            </w:r>
            <w:r>
              <w:rPr>
                <w:rFonts w:hint="eastAsia" w:ascii="宋体" w:hAnsi="宋体" w:cs="宋体"/>
                <w:b/>
                <w:sz w:val="21"/>
                <w:szCs w:val="21"/>
                <w:highlight w:val="none"/>
              </w:rPr>
              <w:t>商务要求</w:t>
            </w:r>
          </w:p>
        </w:tc>
      </w:tr>
      <w:tr w14:paraId="3D5E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3219" w:type="dxa"/>
            <w:gridSpan w:val="4"/>
            <w:vAlign w:val="center"/>
          </w:tcPr>
          <w:p w14:paraId="703DF76D">
            <w:pPr>
              <w:widowControl/>
              <w:spacing w:line="360" w:lineRule="auto"/>
              <w:jc w:val="center"/>
              <w:rPr>
                <w:rFonts w:hint="eastAsia" w:ascii="宋体" w:hAnsi="宋体" w:cs="宋体"/>
                <w:sz w:val="21"/>
                <w:szCs w:val="21"/>
                <w:highlight w:val="none"/>
              </w:rPr>
            </w:pPr>
            <w:r>
              <w:rPr>
                <w:rFonts w:hint="eastAsia" w:ascii="宋体" w:hAnsi="宋体" w:cs="宋体"/>
                <w:b/>
                <w:bCs/>
                <w:sz w:val="21"/>
                <w:szCs w:val="21"/>
                <w:highlight w:val="none"/>
              </w:rPr>
              <w:t>合同签订时间</w:t>
            </w:r>
          </w:p>
        </w:tc>
        <w:tc>
          <w:tcPr>
            <w:tcW w:w="7385" w:type="dxa"/>
            <w:gridSpan w:val="4"/>
            <w:vAlign w:val="center"/>
          </w:tcPr>
          <w:p w14:paraId="38DA6AA3">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自中标通知书发出之日起</w:t>
            </w:r>
            <w:r>
              <w:rPr>
                <w:rFonts w:hint="eastAsia" w:ascii="宋体" w:hAnsi="宋体" w:cs="宋体"/>
                <w:sz w:val="21"/>
                <w:szCs w:val="21"/>
                <w:highlight w:val="none"/>
                <w:lang w:eastAsia="zh-CN"/>
              </w:rPr>
              <w:t>8</w:t>
            </w:r>
            <w:r>
              <w:rPr>
                <w:rFonts w:hint="eastAsia" w:ascii="宋体" w:hAnsi="宋体" w:cs="宋体"/>
                <w:sz w:val="21"/>
                <w:szCs w:val="21"/>
                <w:highlight w:val="none"/>
                <w:lang w:val="en-US" w:eastAsia="zh-CN"/>
              </w:rPr>
              <w:t>个工作</w:t>
            </w:r>
            <w:r>
              <w:rPr>
                <w:rFonts w:hint="eastAsia" w:ascii="宋体" w:hAnsi="宋体" w:cs="宋体"/>
                <w:sz w:val="21"/>
                <w:szCs w:val="21"/>
                <w:highlight w:val="none"/>
              </w:rPr>
              <w:t>日内。</w:t>
            </w:r>
          </w:p>
        </w:tc>
      </w:tr>
      <w:tr w14:paraId="3263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3219" w:type="dxa"/>
            <w:gridSpan w:val="4"/>
            <w:vAlign w:val="center"/>
          </w:tcPr>
          <w:p w14:paraId="27DB57C6">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交货时间及地点</w:t>
            </w:r>
          </w:p>
        </w:tc>
        <w:tc>
          <w:tcPr>
            <w:tcW w:w="7385" w:type="dxa"/>
            <w:gridSpan w:val="4"/>
            <w:vAlign w:val="center"/>
          </w:tcPr>
          <w:p w14:paraId="2528EC11">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交货时间：自合同签订之日起30个日历日内交货并安装调试合格交付使用</w:t>
            </w:r>
            <w:r>
              <w:rPr>
                <w:rFonts w:hint="eastAsia" w:ascii="Times New Roman" w:hAnsi="Times New Roman" w:cs="Times New Roman"/>
                <w:bCs w:val="0"/>
                <w:sz w:val="21"/>
                <w:highlight w:val="none"/>
              </w:rPr>
              <w:t>。</w:t>
            </w:r>
          </w:p>
          <w:p w14:paraId="0FAF1B39">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交货地点：广西桂林市采购人指定地点。</w:t>
            </w:r>
          </w:p>
        </w:tc>
      </w:tr>
      <w:tr w14:paraId="7B0C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135CB5CE">
            <w:pPr>
              <w:spacing w:line="360" w:lineRule="auto"/>
              <w:jc w:val="center"/>
              <w:rPr>
                <w:rFonts w:hint="eastAsia" w:ascii="宋体" w:hAnsi="宋体" w:cs="宋体"/>
                <w:sz w:val="21"/>
                <w:szCs w:val="21"/>
                <w:highlight w:val="none"/>
              </w:rPr>
            </w:pPr>
            <w:r>
              <w:rPr>
                <w:rFonts w:hint="eastAsia" w:ascii="宋体" w:hAnsi="宋体" w:cs="宋体"/>
                <w:b/>
                <w:kern w:val="0"/>
                <w:szCs w:val="21"/>
                <w:highlight w:val="none"/>
              </w:rPr>
              <w:t>包装和运输</w:t>
            </w:r>
          </w:p>
        </w:tc>
        <w:tc>
          <w:tcPr>
            <w:tcW w:w="7385" w:type="dxa"/>
            <w:gridSpan w:val="4"/>
            <w:vAlign w:val="center"/>
          </w:tcPr>
          <w:p w14:paraId="4E60635C">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02B1C82D">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2.运输要求按合同条款执行。</w:t>
            </w:r>
          </w:p>
        </w:tc>
      </w:tr>
      <w:tr w14:paraId="7B8B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710BADEC">
            <w:pPr>
              <w:spacing w:line="360" w:lineRule="auto"/>
              <w:jc w:val="center"/>
              <w:rPr>
                <w:rFonts w:hint="eastAsia" w:ascii="宋体" w:hAnsi="宋体" w:cs="宋体"/>
                <w:sz w:val="21"/>
                <w:szCs w:val="21"/>
                <w:highlight w:val="none"/>
              </w:rPr>
            </w:pPr>
            <w:r>
              <w:rPr>
                <w:rFonts w:hint="eastAsia" w:ascii="宋体" w:hAnsi="宋体" w:cs="宋体"/>
                <w:b/>
                <w:kern w:val="0"/>
                <w:szCs w:val="21"/>
                <w:highlight w:val="none"/>
              </w:rPr>
              <w:t>质量标准和验收标准</w:t>
            </w:r>
          </w:p>
        </w:tc>
        <w:tc>
          <w:tcPr>
            <w:tcW w:w="7385" w:type="dxa"/>
            <w:gridSpan w:val="4"/>
            <w:vAlign w:val="center"/>
          </w:tcPr>
          <w:p w14:paraId="33E90827">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1.中标人提供的产品必须符合国家、行业强制执行的相关质量标准要求以及产品制造厂家合格产品的出厂质量标准。</w:t>
            </w:r>
          </w:p>
          <w:p w14:paraId="63024D1B">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2.设备须全新、完好、无破损，产品到货后，采购人现场根据招标文件要求、投标文件承诺以及国家相关标准、厂方标准进行验收，必要时，采购人有权邀请国家质量监督检验部门或国家认可的检测机构参与共同验收。如产品不满足招标文件要求、中标人投标文件承诺或国家、行业强制执行的相关质量标准要求以及产品制造厂家合格产品的出厂质量标准，采购人有权不予验收，由此造成采购人的经济损失由中标人承担全部赔偿责任。</w:t>
            </w:r>
          </w:p>
          <w:p w14:paraId="3E703093">
            <w:pPr>
              <w:adjustRightInd/>
              <w:snapToGrid/>
              <w:spacing w:line="360" w:lineRule="auto"/>
              <w:textAlignment w:val="auto"/>
              <w:rPr>
                <w:rFonts w:hint="eastAsia" w:ascii="宋体" w:hAnsi="宋体" w:eastAsia="宋体" w:cs="宋体"/>
                <w:b w:val="0"/>
                <w:bCs/>
                <w:szCs w:val="21"/>
                <w:highlight w:val="none"/>
                <w:lang w:eastAsia="zh-CN"/>
              </w:rPr>
            </w:pPr>
            <w:r>
              <w:rPr>
                <w:rFonts w:hint="eastAsia" w:ascii="宋体" w:hAnsi="宋体" w:cs="宋体"/>
                <w:b w:val="0"/>
                <w:bCs/>
                <w:szCs w:val="21"/>
                <w:highlight w:val="none"/>
              </w:rPr>
              <w:t>3.中标人供货时须向采购人提交医疗器械产品全套合格证明相关资料（含监管部门核准资质文件、产品参数说明书等），用于核验产品技术参数；资料不全不予验收，由此产生的逾期交货违约责任由中标人承担</w:t>
            </w:r>
            <w:r>
              <w:rPr>
                <w:rFonts w:hint="eastAsia" w:ascii="宋体" w:hAnsi="宋体" w:cs="宋体"/>
                <w:b w:val="0"/>
                <w:bCs/>
                <w:szCs w:val="21"/>
                <w:highlight w:val="none"/>
                <w:lang w:eastAsia="zh-CN"/>
              </w:rPr>
              <w:t>。</w:t>
            </w:r>
          </w:p>
          <w:p w14:paraId="3E368F88">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4.中标人应根据国家计量相关法律法规和管理规定提供有效期内的计量检定报告，或根据采购人需求提供有效期内的计量检定报告。</w:t>
            </w:r>
          </w:p>
          <w:p w14:paraId="6DE60539">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5.中标人交货前应对产品做出全面的检查和对验收文件进行整理，并列出清单，作为采购人验收和使用的技术条件依据，验收的结果应随货物交采购人。</w:t>
            </w:r>
          </w:p>
          <w:p w14:paraId="7A6550AF">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6.采购人依据招标文件的技术规格要求和国家有关质量标准对货物进行现场初步验收，外观、说明书符合招标文件技术要求的，给予签收，初步验收不合格的不予签收。货到后，采购人应当在到货（安装、调试完）后七个工作日内进行验收。验收合格后由双方签署货物验收单并加盖公章，双方各执一份。</w:t>
            </w:r>
          </w:p>
          <w:p w14:paraId="714AB25E">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7.采购人对中标人提供的货物在使用前进行调试时，中标人须负责安装并培训采购人的使用操作人员，并协助采购人一起调试，直到符合技术要求，采购人才做最终验收。</w:t>
            </w:r>
          </w:p>
          <w:p w14:paraId="70035873">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8.对技术复杂的货物，采购人应请国家认可的专业检测机构参与初步验收及最终验收，并由其出具质量检测报告，第三方检测费用由中标人承担。采购人委托采购代理机构组织的验收项目，其验收时间以该项目验收方案确定的验收时间为准，验收结果以该项目验收报告结论为准。在验收过程中发现中标人有违约问题，可暂缓资金结算，待违约问题解决后，方可办理资金结算事宜。</w:t>
            </w:r>
          </w:p>
          <w:p w14:paraId="70FBF85D">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9.验收时中标人必须在现场，验收完毕后作出验收结果报告，验收费用由中标人负责。</w:t>
            </w:r>
          </w:p>
          <w:p w14:paraId="40E157E0">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10.采购人对验收有异议的，在验收后7个工作日内以书面形式向中标人提出，经采购人提出书面整改之日起，中标人七日内仍无法解决的，或经整改达不到采购人验收要求的，采购人有权终止合同，中标人无条件同意终止合同，中标人自愿放弃所有的索赔，由此造成采购人的经济损失由中标人承担全部赔偿责任包括但不限于采购人的经济损失及律师费、诉讼费、鉴定费等。</w:t>
            </w:r>
          </w:p>
          <w:p w14:paraId="1D1D455D">
            <w:pPr>
              <w:spacing w:line="360" w:lineRule="auto"/>
              <w:rPr>
                <w:rFonts w:hint="eastAsia" w:ascii="宋体" w:hAnsi="宋体" w:cs="宋体"/>
                <w:bCs/>
                <w:szCs w:val="21"/>
                <w:highlight w:val="none"/>
              </w:rPr>
            </w:pPr>
            <w:r>
              <w:rPr>
                <w:rFonts w:hint="eastAsia" w:ascii="宋体" w:hAnsi="宋体" w:cs="宋体"/>
                <w:b w:val="0"/>
                <w:bCs/>
                <w:szCs w:val="21"/>
                <w:highlight w:val="none"/>
              </w:rPr>
              <w:t>11.其他验收未尽事宜按照《关于印发广西壮族自治区政府采购项目履约验收管理办法的通知》[桂财采〔2015〕22号]以及《财政部关于进一步加强政府采购需求和履约验收管理的指导意见》[财库〔2016〕205号]规定执行。</w:t>
            </w:r>
          </w:p>
        </w:tc>
      </w:tr>
      <w:tr w14:paraId="5265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7FF70175">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售后服务要求</w:t>
            </w:r>
          </w:p>
        </w:tc>
        <w:tc>
          <w:tcPr>
            <w:tcW w:w="7385" w:type="dxa"/>
            <w:gridSpan w:val="4"/>
            <w:vAlign w:val="center"/>
          </w:tcPr>
          <w:p w14:paraId="20FA7E14">
            <w:pPr>
              <w:adjustRightInd/>
              <w:snapToGrid/>
              <w:spacing w:line="360" w:lineRule="auto"/>
              <w:jc w:val="left"/>
              <w:rPr>
                <w:rFonts w:hint="eastAsia" w:ascii="宋体" w:hAnsi="宋体" w:cs="宋体"/>
                <w:b w:val="0"/>
                <w:bCs/>
                <w:szCs w:val="21"/>
                <w:highlight w:val="none"/>
                <w:lang w:eastAsia="zh-Hans"/>
              </w:rPr>
            </w:pPr>
            <w:r>
              <w:rPr>
                <w:rFonts w:hint="eastAsia" w:ascii="宋体" w:hAnsi="宋体" w:cs="宋体"/>
                <w:b w:val="0"/>
                <w:bCs/>
                <w:szCs w:val="21"/>
                <w:highlight w:val="none"/>
                <w:lang w:eastAsia="zh-Hans"/>
              </w:rPr>
              <w:t>投标人提供的以下售后服务均应包含在投标报价中，采购人不再就此另行支付任何费用：</w:t>
            </w:r>
          </w:p>
          <w:p w14:paraId="5EF3B677">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1.按国家有关产品“三包”规定执行“三包”。保修期：不得少于</w:t>
            </w:r>
            <w:r>
              <w:rPr>
                <w:rFonts w:hint="eastAsia" w:ascii="宋体" w:hAnsi="宋体" w:cs="宋体"/>
                <w:b w:val="0"/>
                <w:bCs/>
                <w:highlight w:val="none"/>
                <w:u w:val="single"/>
              </w:rPr>
              <w:t>3</w:t>
            </w:r>
            <w:r>
              <w:rPr>
                <w:rFonts w:hint="eastAsia" w:ascii="宋体" w:hAnsi="宋体" w:cs="宋体"/>
                <w:b w:val="0"/>
                <w:bCs/>
                <w:szCs w:val="21"/>
                <w:highlight w:val="none"/>
              </w:rPr>
              <w:t>年（分项货物或配置有明确要求的按分项要求；生产厂家承诺的质量保证期更长的按生产厂家的承诺期限），保修期从验收合格之日起计算。</w:t>
            </w:r>
          </w:p>
          <w:p w14:paraId="2B7AFC96">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2.在保修期内因货物本身的质量问题发生故障，投标人应负责修理和更换零部件。对达不到时限、达不到技术要求者，根据实际情况，经双方协商，可按以下办法处理：</w:t>
            </w:r>
          </w:p>
          <w:p w14:paraId="5CA1D52E">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（1）更换：由投标人承担所有发生的全部费用。</w:t>
            </w:r>
          </w:p>
          <w:p w14:paraId="69D220F1">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（2）贬值处理：由采购人与投标人双方合议定价。</w:t>
            </w:r>
          </w:p>
          <w:p w14:paraId="4053EE0C">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（3）退货处理：投标人应退还采购人支付的合同款，同时应承担该货物的直接费用（运输、保险、检验、贷款利息及银行手续费等）。</w:t>
            </w:r>
          </w:p>
          <w:p w14:paraId="238F36B1">
            <w:pPr>
              <w:adjustRightInd/>
              <w:snapToGrid/>
              <w:spacing w:line="360" w:lineRule="auto"/>
              <w:jc w:val="left"/>
              <w:rPr>
                <w:rFonts w:hint="eastAsia" w:ascii="宋体" w:hAnsi="宋体" w:cs="宋体"/>
                <w:b w:val="0"/>
                <w:bCs/>
                <w:szCs w:val="21"/>
                <w:highlight w:val="none"/>
              </w:rPr>
            </w:pPr>
            <w:r>
              <w:rPr>
                <w:rFonts w:hint="eastAsia" w:ascii="宋体" w:hAnsi="宋体" w:cs="宋体"/>
                <w:b w:val="0"/>
                <w:bCs/>
                <w:szCs w:val="21"/>
                <w:highlight w:val="none"/>
              </w:rPr>
              <w:t>3.招标范围内的货物送货上门、装卸、安装调试合格。提供技术服务及技术培训，保证采购人操作人员熟练操作设备。使采购人使用人员熟练掌握所培训内容，熟练掌握全部功能。</w:t>
            </w:r>
          </w:p>
          <w:p w14:paraId="70C65B52">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4.保修期内上门提供维护服务，如在使用过程中出现故障时，投标人在1小时内响应，8小时内到达现场，24小时内解决故障，如24小时内无法解决故障，投标人按照科室要求提供备用设备。</w:t>
            </w:r>
          </w:p>
          <w:p w14:paraId="5E31B42E">
            <w:pPr>
              <w:adjustRightInd/>
              <w:snapToGrid/>
              <w:spacing w:line="360" w:lineRule="auto"/>
              <w:textAlignment w:val="auto"/>
              <w:rPr>
                <w:rFonts w:hint="eastAsia" w:ascii="宋体" w:hAnsi="宋体" w:cs="宋体"/>
                <w:b w:val="0"/>
                <w:bCs/>
                <w:szCs w:val="21"/>
                <w:highlight w:val="none"/>
              </w:rPr>
            </w:pPr>
            <w:r>
              <w:rPr>
                <w:rFonts w:hint="eastAsia" w:ascii="宋体" w:hAnsi="宋体" w:cs="宋体"/>
                <w:b w:val="0"/>
                <w:bCs/>
                <w:szCs w:val="21"/>
                <w:highlight w:val="none"/>
              </w:rPr>
              <w:t>5.在保修期内提供上门维修服务（含更换零部件、免收人工费、维修费等）；如果需要更换配件的，所更换的配件应当为原供货产品品牌、类型相一致或者是同等档次的替代品，后者需征得采购人相关人员同意；若采购人发现产品存在制造上的缺陷，投标人应负责采取补救措施，若该缺陷导致产品存在安全隐患或不能使用的，投标人应负责更换整件产品。</w:t>
            </w:r>
          </w:p>
          <w:p w14:paraId="6914C632">
            <w:pPr>
              <w:spacing w:line="360" w:lineRule="auto"/>
              <w:rPr>
                <w:rFonts w:hint="eastAsia" w:ascii="宋体" w:hAnsi="宋体" w:cs="宋体"/>
                <w:bCs/>
                <w:szCs w:val="21"/>
                <w:highlight w:val="none"/>
              </w:rPr>
            </w:pPr>
            <w:r>
              <w:rPr>
                <w:rFonts w:hint="eastAsia" w:ascii="宋体" w:hAnsi="宋体" w:cs="宋体"/>
                <w:b w:val="0"/>
                <w:bCs/>
                <w:szCs w:val="21"/>
                <w:highlight w:val="none"/>
              </w:rPr>
              <w:t>6.售后服务其他要求按合同条款执行。</w:t>
            </w:r>
          </w:p>
        </w:tc>
      </w:tr>
      <w:tr w14:paraId="3ED9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5E869461">
            <w:pPr>
              <w:spacing w:line="360" w:lineRule="auto"/>
              <w:jc w:val="center"/>
              <w:rPr>
                <w:rFonts w:hint="eastAsia" w:ascii="宋体" w:hAnsi="宋体" w:cs="宋体"/>
                <w:b/>
                <w:sz w:val="21"/>
                <w:szCs w:val="21"/>
                <w:highlight w:val="none"/>
              </w:rPr>
            </w:pPr>
            <w:r>
              <w:rPr>
                <w:rFonts w:hint="eastAsia" w:ascii="宋体" w:hAnsi="宋体" w:cs="宋体"/>
                <w:b/>
                <w:kern w:val="0"/>
                <w:szCs w:val="21"/>
                <w:highlight w:val="none"/>
              </w:rPr>
              <w:t>保险</w:t>
            </w:r>
          </w:p>
        </w:tc>
        <w:tc>
          <w:tcPr>
            <w:tcW w:w="7385" w:type="dxa"/>
            <w:gridSpan w:val="4"/>
            <w:vAlign w:val="center"/>
          </w:tcPr>
          <w:p w14:paraId="79793D79">
            <w:pPr>
              <w:tabs>
                <w:tab w:val="left" w:pos="420"/>
              </w:tabs>
              <w:spacing w:line="360" w:lineRule="auto"/>
              <w:rPr>
                <w:rFonts w:hint="eastAsia" w:ascii="宋体" w:hAnsi="宋体" w:cs="宋体"/>
                <w:bCs/>
                <w:sz w:val="21"/>
                <w:szCs w:val="21"/>
                <w:highlight w:val="none"/>
              </w:rPr>
            </w:pPr>
            <w:r>
              <w:rPr>
                <w:rFonts w:hint="eastAsia" w:ascii="宋体" w:hAnsi="宋体" w:cs="宋体"/>
                <w:b w:val="0"/>
                <w:bCs/>
                <w:szCs w:val="21"/>
                <w:highlight w:val="none"/>
              </w:rPr>
              <w:t>中标人负责办理运输和保险，将货物运抵交货地点。与运输、保险相关的费用由中标人承担。</w:t>
            </w:r>
          </w:p>
        </w:tc>
      </w:tr>
      <w:tr w14:paraId="6F8D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3219" w:type="dxa"/>
            <w:gridSpan w:val="4"/>
            <w:vAlign w:val="center"/>
          </w:tcPr>
          <w:p w14:paraId="3261940B">
            <w:pPr>
              <w:spacing w:line="360" w:lineRule="auto"/>
              <w:jc w:val="center"/>
              <w:rPr>
                <w:rFonts w:hint="eastAsia" w:ascii="宋体" w:hAnsi="宋体" w:cs="宋体"/>
                <w:sz w:val="21"/>
                <w:szCs w:val="21"/>
                <w:highlight w:val="none"/>
              </w:rPr>
            </w:pPr>
            <w:r>
              <w:rPr>
                <w:rStyle w:val="127"/>
                <w:rFonts w:hint="eastAsia" w:ascii="宋体" w:hAnsi="宋体" w:cs="宋体"/>
                <w:color w:val="auto"/>
                <w:sz w:val="21"/>
                <w:szCs w:val="21"/>
                <w:highlight w:val="none"/>
              </w:rPr>
              <w:t>履约保证金收取及退付</w:t>
            </w:r>
          </w:p>
        </w:tc>
        <w:tc>
          <w:tcPr>
            <w:tcW w:w="7385" w:type="dxa"/>
            <w:gridSpan w:val="4"/>
            <w:vAlign w:val="center"/>
          </w:tcPr>
          <w:p w14:paraId="2BA1AEC3">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1.履约保证金金额：履约保证金为合同金额的5%（中标人为中小微企业的，履约保证金为合同金额的2%。以投标文件中提交的中小企业声明函为依据）；签订合同时交至指定账户。</w:t>
            </w:r>
          </w:p>
          <w:p w14:paraId="2437ADF3">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2.履约保证金缴纳方式：银行转账、保函等非现金方式。由中标人在签订合同时按规定的金额直接缴入以下采购人账户或将保函原件交给采购人。</w:t>
            </w:r>
          </w:p>
          <w:p w14:paraId="66391AFF">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户名：</w:t>
            </w:r>
            <w:r>
              <w:rPr>
                <w:rFonts w:hint="eastAsia" w:ascii="宋体" w:hAnsi="宋体" w:cs="宋体"/>
                <w:sz w:val="21"/>
                <w:szCs w:val="21"/>
                <w:highlight w:val="none"/>
                <w:lang w:val="en-US" w:eastAsia="zh-CN"/>
              </w:rPr>
              <w:t>中标后提供</w:t>
            </w:r>
          </w:p>
          <w:p w14:paraId="621E0590">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开户行：</w:t>
            </w:r>
            <w:r>
              <w:rPr>
                <w:rFonts w:hint="eastAsia" w:ascii="宋体" w:hAnsi="宋体" w:cs="宋体"/>
                <w:sz w:val="21"/>
                <w:szCs w:val="21"/>
                <w:highlight w:val="none"/>
                <w:lang w:val="en-US" w:eastAsia="zh-CN"/>
              </w:rPr>
              <w:t xml:space="preserve">中标后提供 </w:t>
            </w:r>
            <w:r>
              <w:rPr>
                <w:rFonts w:hint="eastAsia" w:ascii="宋体" w:hAnsi="宋体" w:cs="宋体"/>
                <w:sz w:val="21"/>
                <w:szCs w:val="21"/>
                <w:highlight w:val="none"/>
              </w:rPr>
              <w:t>（行号：</w:t>
            </w:r>
            <w:r>
              <w:rPr>
                <w:rFonts w:hint="eastAsia" w:ascii="宋体" w:hAnsi="宋体" w:cs="宋体"/>
                <w:sz w:val="21"/>
                <w:szCs w:val="21"/>
                <w:highlight w:val="none"/>
                <w:lang w:val="en-US" w:eastAsia="zh-CN"/>
              </w:rPr>
              <w:t>中标后提供</w:t>
            </w:r>
            <w:r>
              <w:rPr>
                <w:rFonts w:hint="eastAsia" w:ascii="宋体" w:hAnsi="宋体" w:cs="宋体"/>
                <w:sz w:val="21"/>
                <w:szCs w:val="21"/>
                <w:highlight w:val="none"/>
              </w:rPr>
              <w:t>）</w:t>
            </w:r>
          </w:p>
          <w:p w14:paraId="26B65001">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账号：</w:t>
            </w:r>
            <w:r>
              <w:rPr>
                <w:rFonts w:hint="eastAsia" w:ascii="宋体" w:hAnsi="宋体" w:cs="宋体"/>
                <w:sz w:val="21"/>
                <w:szCs w:val="21"/>
                <w:highlight w:val="none"/>
                <w:lang w:val="en-US" w:eastAsia="zh-CN"/>
              </w:rPr>
              <w:t>中标后提供</w:t>
            </w:r>
          </w:p>
          <w:p w14:paraId="10D1779E">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地址</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中标后提供</w:t>
            </w:r>
          </w:p>
          <w:p w14:paraId="29FAFB64">
            <w:pPr>
              <w:tabs>
                <w:tab w:val="left" w:pos="420"/>
              </w:tabs>
              <w:spacing w:line="360" w:lineRule="auto"/>
              <w:rPr>
                <w:rFonts w:hint="eastAsia" w:ascii="宋体" w:hAnsi="宋体" w:cs="宋体"/>
                <w:b/>
                <w:sz w:val="21"/>
                <w:szCs w:val="21"/>
                <w:highlight w:val="none"/>
              </w:rPr>
            </w:pPr>
            <w:r>
              <w:rPr>
                <w:rFonts w:hint="eastAsia" w:ascii="宋体" w:hAnsi="宋体" w:cs="宋体"/>
                <w:sz w:val="21"/>
                <w:szCs w:val="21"/>
                <w:highlight w:val="none"/>
              </w:rPr>
              <w:t>电话：</w:t>
            </w:r>
            <w:r>
              <w:rPr>
                <w:rFonts w:hint="eastAsia" w:ascii="宋体" w:hAnsi="宋体" w:cs="宋体"/>
                <w:sz w:val="21"/>
                <w:szCs w:val="21"/>
                <w:highlight w:val="none"/>
                <w:lang w:val="en-US" w:eastAsia="zh-CN"/>
              </w:rPr>
              <w:t>中标后提供</w:t>
            </w:r>
          </w:p>
          <w:p w14:paraId="3E5A20D4">
            <w:pPr>
              <w:tabs>
                <w:tab w:val="left" w:pos="420"/>
              </w:tabs>
              <w:spacing w:line="360" w:lineRule="auto"/>
              <w:rPr>
                <w:rFonts w:hint="eastAsia" w:ascii="宋体" w:hAnsi="宋体" w:cs="宋体"/>
                <w:b/>
                <w:sz w:val="21"/>
                <w:szCs w:val="21"/>
                <w:highlight w:val="none"/>
              </w:rPr>
            </w:pPr>
            <w:r>
              <w:rPr>
                <w:rFonts w:hint="eastAsia" w:ascii="宋体" w:hAnsi="宋体" w:cs="宋体"/>
                <w:b/>
                <w:sz w:val="21"/>
                <w:szCs w:val="21"/>
                <w:highlight w:val="none"/>
              </w:rPr>
              <w:t>缴纳履约保证金注明：“项目名称+项目编号”履约保证金。</w:t>
            </w:r>
          </w:p>
          <w:p w14:paraId="707D1EFB">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3.履约保证金退付方式、时间及条件：中标人若不能完全履行合同，履约保证金不予退还；中标人若完全履行合同，货物验收合格后，中标人凭履约保证金缴款凭证、退付意见书到采购人财务部门办理无息退还手续。</w:t>
            </w:r>
          </w:p>
          <w:p w14:paraId="5481394D">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4.备注：</w:t>
            </w:r>
          </w:p>
          <w:p w14:paraId="1B360774">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（1）履约保证金必须足额缴纳，或出具的保函额度必须足额且保函有效期不能低于合同履行期限（即签订采购合同之日起至履行完合同约定的权利及义务之日止），否则视为无效履约保证金。</w:t>
            </w:r>
          </w:p>
          <w:p w14:paraId="3BDE1FE5">
            <w:pPr>
              <w:tabs>
                <w:tab w:val="left" w:pos="420"/>
              </w:tabs>
              <w:spacing w:line="360" w:lineRule="auto"/>
              <w:rPr>
                <w:rFonts w:hint="eastAsia" w:ascii="宋体" w:hAnsi="宋体" w:cs="宋体"/>
                <w:sz w:val="21"/>
                <w:szCs w:val="21"/>
                <w:highlight w:val="none"/>
              </w:rPr>
            </w:pPr>
            <w:r>
              <w:rPr>
                <w:rFonts w:hint="eastAsia" w:ascii="宋体" w:hAnsi="宋体" w:cs="宋体"/>
                <w:sz w:val="21"/>
                <w:szCs w:val="21"/>
                <w:highlight w:val="none"/>
              </w:rPr>
              <w:t>（2）采用保函的，必须为无条件保函，否则视为无效履约保证金。</w:t>
            </w:r>
          </w:p>
        </w:tc>
      </w:tr>
      <w:tr w14:paraId="72A0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3F9B0EDE">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付款方式</w:t>
            </w:r>
          </w:p>
        </w:tc>
        <w:tc>
          <w:tcPr>
            <w:tcW w:w="7385" w:type="dxa"/>
            <w:gridSpan w:val="4"/>
            <w:vAlign w:val="center"/>
          </w:tcPr>
          <w:p w14:paraId="540B211F">
            <w:pPr>
              <w:spacing w:line="360" w:lineRule="auto"/>
              <w:rPr>
                <w:rFonts w:ascii="宋体" w:hAnsi="宋体" w:cs="宋体"/>
                <w:b w:val="0"/>
                <w:bCs/>
                <w:szCs w:val="21"/>
                <w:highlight w:val="none"/>
              </w:rPr>
            </w:pPr>
            <w:r>
              <w:rPr>
                <w:rFonts w:hint="eastAsia" w:ascii="宋体" w:hAnsi="宋体" w:cs="宋体"/>
                <w:b w:val="0"/>
                <w:bCs/>
                <w:szCs w:val="21"/>
                <w:highlight w:val="none"/>
              </w:rPr>
              <w:t>1</w:t>
            </w:r>
            <w:r>
              <w:rPr>
                <w:rFonts w:ascii="宋体" w:hAnsi="宋体" w:cs="宋体"/>
                <w:b w:val="0"/>
                <w:bCs/>
                <w:szCs w:val="21"/>
                <w:highlight w:val="none"/>
              </w:rPr>
              <w:t>.</w:t>
            </w:r>
            <w:r>
              <w:rPr>
                <w:rFonts w:hint="eastAsia" w:ascii="宋体" w:hAnsi="宋体" w:cs="宋体"/>
                <w:szCs w:val="21"/>
                <w:highlight w:val="none"/>
              </w:rPr>
              <w:t>在合同签订且设备验收合格之后，以及财政资金已成功拨付至</w:t>
            </w:r>
            <w:r>
              <w:rPr>
                <w:rFonts w:hint="eastAsia" w:ascii="宋体" w:hAnsi="宋体" w:cs="宋体"/>
                <w:szCs w:val="21"/>
                <w:highlight w:val="none"/>
                <w:lang w:val="en-US" w:eastAsia="zh-CN"/>
              </w:rPr>
              <w:t>采购人</w:t>
            </w:r>
            <w:r>
              <w:rPr>
                <w:rFonts w:hint="eastAsia" w:ascii="宋体" w:hAnsi="宋体" w:cs="宋体"/>
                <w:szCs w:val="21"/>
                <w:highlight w:val="none"/>
              </w:rPr>
              <w:t>账户的前提下，经</w:t>
            </w:r>
            <w:r>
              <w:rPr>
                <w:rFonts w:hint="eastAsia" w:ascii="宋体" w:hAnsi="宋体" w:cs="宋体"/>
                <w:szCs w:val="21"/>
                <w:highlight w:val="none"/>
                <w:lang w:val="en-US" w:eastAsia="zh-CN"/>
              </w:rPr>
              <w:t>中标人</w:t>
            </w:r>
            <w:r>
              <w:rPr>
                <w:rFonts w:hint="eastAsia" w:ascii="宋体" w:hAnsi="宋体" w:cs="宋体"/>
                <w:szCs w:val="21"/>
                <w:highlight w:val="none"/>
              </w:rPr>
              <w:t>提交书面申请及配套资料后，</w:t>
            </w:r>
            <w:r>
              <w:rPr>
                <w:rFonts w:hint="eastAsia" w:ascii="宋体" w:hAnsi="宋体" w:cs="宋体"/>
                <w:szCs w:val="21"/>
                <w:highlight w:val="none"/>
                <w:lang w:val="en-US" w:eastAsia="zh-CN"/>
              </w:rPr>
              <w:t>采购人</w:t>
            </w:r>
            <w:r>
              <w:rPr>
                <w:rFonts w:hint="eastAsia" w:ascii="宋体" w:hAnsi="宋体" w:cs="宋体"/>
                <w:szCs w:val="21"/>
                <w:highlight w:val="none"/>
              </w:rPr>
              <w:t>一次性支付合同约定的全部价款给</w:t>
            </w:r>
            <w:r>
              <w:rPr>
                <w:rFonts w:hint="eastAsia" w:ascii="宋体" w:hAnsi="宋体" w:cs="宋体"/>
                <w:szCs w:val="21"/>
                <w:highlight w:val="none"/>
                <w:lang w:val="en-US" w:eastAsia="zh-CN"/>
              </w:rPr>
              <w:t>中标人</w:t>
            </w:r>
            <w:r>
              <w:rPr>
                <w:rFonts w:hint="eastAsia" w:ascii="宋体" w:hAnsi="宋体" w:cs="宋体"/>
                <w:szCs w:val="21"/>
                <w:highlight w:val="none"/>
              </w:rPr>
              <w:t>（无息）</w:t>
            </w:r>
            <w:r>
              <w:rPr>
                <w:rFonts w:hint="eastAsia" w:ascii="宋体" w:hAnsi="宋体" w:cs="宋体"/>
                <w:b w:val="0"/>
                <w:bCs/>
                <w:szCs w:val="21"/>
                <w:highlight w:val="none"/>
              </w:rPr>
              <w:t>。</w:t>
            </w:r>
          </w:p>
          <w:p w14:paraId="3D07E805">
            <w:pPr>
              <w:spacing w:line="360" w:lineRule="auto"/>
              <w:rPr>
                <w:rFonts w:hint="eastAsia" w:ascii="宋体" w:hAnsi="宋体" w:cs="宋体"/>
                <w:szCs w:val="21"/>
                <w:highlight w:val="none"/>
              </w:rPr>
            </w:pPr>
            <w:r>
              <w:rPr>
                <w:rFonts w:hint="eastAsia" w:ascii="宋体" w:hAnsi="宋体" w:cs="宋体"/>
                <w:b w:val="0"/>
                <w:bCs/>
                <w:szCs w:val="21"/>
                <w:highlight w:val="none"/>
              </w:rPr>
              <w:t>2</w:t>
            </w:r>
            <w:r>
              <w:rPr>
                <w:rFonts w:ascii="宋体" w:hAnsi="宋体" w:cs="宋体"/>
                <w:b w:val="0"/>
                <w:bCs/>
                <w:szCs w:val="21"/>
                <w:highlight w:val="none"/>
              </w:rPr>
              <w:t>.</w:t>
            </w:r>
            <w:r>
              <w:rPr>
                <w:rFonts w:hint="eastAsia" w:ascii="宋体" w:hAnsi="宋体" w:cs="宋体"/>
                <w:b w:val="0"/>
                <w:bCs/>
                <w:szCs w:val="21"/>
                <w:highlight w:val="none"/>
              </w:rPr>
              <w:t>每次付款前中标人应当向采购人开具相应金额的增值税发票。</w:t>
            </w:r>
          </w:p>
        </w:tc>
      </w:tr>
      <w:tr w14:paraId="6D9B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45C876F6">
            <w:pPr>
              <w:spacing w:line="360" w:lineRule="auto"/>
              <w:jc w:val="center"/>
              <w:rPr>
                <w:rFonts w:hint="eastAsia" w:ascii="宋体" w:hAnsi="宋体" w:cs="宋体"/>
                <w:sz w:val="21"/>
                <w:szCs w:val="21"/>
                <w:highlight w:val="none"/>
              </w:rPr>
            </w:pPr>
            <w:r>
              <w:rPr>
                <w:rFonts w:hint="eastAsia" w:ascii="宋体" w:hAnsi="宋体" w:cs="宋体"/>
                <w:b/>
                <w:sz w:val="21"/>
                <w:szCs w:val="21"/>
                <w:highlight w:val="none"/>
              </w:rPr>
              <w:t>其他要求</w:t>
            </w:r>
          </w:p>
        </w:tc>
        <w:tc>
          <w:tcPr>
            <w:tcW w:w="7385" w:type="dxa"/>
            <w:gridSpan w:val="4"/>
            <w:vAlign w:val="center"/>
          </w:tcPr>
          <w:p w14:paraId="31FDEE1A">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1.要求供货产品是全新的、未经改装的、合格的、满足本项目《技术参数及性能（配置）要求》及要求的货物。所有零部件、配件必须是未经使用的全新的并符合国家有关质量安全标准的产品。负责提供设备使用培训、操作技能训练等；提供相关设备说明书、管理和配置指南手册、使用手册和故障定位/排除指南手册等</w:t>
            </w:r>
          </w:p>
          <w:p w14:paraId="0BA53366">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2.投标报价应包括本</w:t>
            </w:r>
            <w:r>
              <w:rPr>
                <w:rFonts w:hint="eastAsia" w:ascii="宋体" w:hAnsi="宋体" w:cs="宋体"/>
                <w:szCs w:val="21"/>
                <w:highlight w:val="none"/>
              </w:rPr>
              <w:t>次招标范围内货物货款（若供应商所投本项目货物选用进口产品投标的，其货款必须包含进出口代理公司佣金、海关办证费、报关费、报检费、银行手续费、运杂费及其它全部费用的总和，由中标供应商自行与进出口代理公司结算，采购人不再支付除中标价以外的任何费用）、货物标准附件、备品备件、专用工具、包装、运输、装卸、保险、税金、货到就位以及安装、调试、培训、保修等一切税金和费用</w:t>
            </w:r>
            <w:r>
              <w:rPr>
                <w:rFonts w:hint="eastAsia" w:ascii="宋体" w:hAnsi="宋体" w:cs="宋体"/>
                <w:sz w:val="21"/>
                <w:szCs w:val="21"/>
                <w:highlight w:val="none"/>
              </w:rPr>
              <w:t>。</w:t>
            </w:r>
          </w:p>
          <w:p w14:paraId="30A30959">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3.中标人承担货物交付验收前的运输、安装等作业工人人身、设备安全责任；验收前，如果设备丢失、因投标人自身原因及第三人原因导致损坏，中标人应自行负责并承担不能交付货物的责任。</w:t>
            </w:r>
          </w:p>
          <w:p w14:paraId="4D55191A">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rPr>
              <w:t>4.（纯国产设备适用该条）本项目货物不接受进口产品（即通过中国海关报关验放进入中国境内且产自关境外的产品）参与投标，如有此类产品参与投标的按无效标处理。</w:t>
            </w:r>
          </w:p>
          <w:p w14:paraId="356D1EDF">
            <w:pPr>
              <w:widowControl/>
              <w:spacing w:line="360" w:lineRule="auto"/>
              <w:rPr>
                <w:rFonts w:hint="eastAsia" w:ascii="宋体" w:hAnsi="宋体" w:cs="宋体"/>
                <w:szCs w:val="21"/>
                <w:highlight w:val="none"/>
              </w:rPr>
            </w:pPr>
            <w:r>
              <w:rPr>
                <w:rFonts w:hint="eastAsia" w:ascii="宋体" w:hAnsi="宋体" w:cs="宋体"/>
                <w:sz w:val="21"/>
                <w:szCs w:val="21"/>
                <w:highlight w:val="none"/>
              </w:rPr>
              <w:t>5.</w:t>
            </w:r>
            <w:r>
              <w:rPr>
                <w:rFonts w:hint="eastAsia" w:ascii="宋体" w:hAnsi="宋体" w:cs="宋体"/>
                <w:b/>
                <w:bCs/>
                <w:sz w:val="21"/>
                <w:szCs w:val="21"/>
                <w:highlight w:val="none"/>
                <w:lang w:val="en-US" w:eastAsia="zh-CN"/>
              </w:rPr>
              <w:t>本分标</w:t>
            </w:r>
            <w:r>
              <w:rPr>
                <w:rFonts w:hint="eastAsia" w:ascii="宋体" w:hAnsi="宋体" w:cs="宋体"/>
                <w:b/>
                <w:bCs/>
                <w:sz w:val="21"/>
                <w:szCs w:val="21"/>
                <w:highlight w:val="none"/>
              </w:rPr>
              <w:t>投标人的投标报价不能超过</w:t>
            </w:r>
            <w:r>
              <w:rPr>
                <w:rFonts w:hint="eastAsia" w:ascii="宋体" w:hAnsi="宋体" w:cs="宋体"/>
                <w:b/>
                <w:bCs/>
                <w:sz w:val="21"/>
                <w:szCs w:val="21"/>
                <w:highlight w:val="none"/>
                <w:lang w:val="en-US" w:eastAsia="zh-CN"/>
              </w:rPr>
              <w:t>项目的预算金额</w:t>
            </w:r>
            <w:r>
              <w:rPr>
                <w:rFonts w:hint="eastAsia" w:ascii="宋体" w:hAnsi="宋体" w:cs="宋体"/>
                <w:b/>
                <w:bCs/>
                <w:sz w:val="21"/>
                <w:szCs w:val="21"/>
                <w:highlight w:val="none"/>
              </w:rPr>
              <w:t>，且各分项的报价也不能超过该分项的预算，否则投标无效。</w:t>
            </w:r>
          </w:p>
        </w:tc>
      </w:tr>
      <w:tr w14:paraId="5FD8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3219" w:type="dxa"/>
            <w:gridSpan w:val="4"/>
            <w:vAlign w:val="center"/>
          </w:tcPr>
          <w:p w14:paraId="224E2D7E">
            <w:pPr>
              <w:spacing w:line="360" w:lineRule="auto"/>
              <w:jc w:val="center"/>
              <w:rPr>
                <w:rFonts w:hint="eastAsia" w:ascii="宋体" w:hAnsi="宋体" w:cs="宋体"/>
                <w:b/>
                <w:sz w:val="21"/>
                <w:szCs w:val="21"/>
                <w:highlight w:val="none"/>
              </w:rPr>
            </w:pPr>
            <w:r>
              <w:rPr>
                <w:rFonts w:hint="eastAsia" w:ascii="宋体" w:hAnsi="宋体" w:cs="宋体"/>
                <w:b/>
                <w:sz w:val="21"/>
                <w:szCs w:val="21"/>
                <w:highlight w:val="none"/>
              </w:rPr>
              <w:t>核心产品</w:t>
            </w:r>
          </w:p>
        </w:tc>
        <w:tc>
          <w:tcPr>
            <w:tcW w:w="7385" w:type="dxa"/>
            <w:gridSpan w:val="4"/>
            <w:vAlign w:val="center"/>
          </w:tcPr>
          <w:p w14:paraId="4AB5D282">
            <w:pPr>
              <w:widowControl/>
              <w:spacing w:line="360" w:lineRule="auto"/>
              <w:rPr>
                <w:rFonts w:hint="eastAsia" w:ascii="宋体" w:hAnsi="宋体" w:cs="宋体"/>
                <w:sz w:val="21"/>
                <w:szCs w:val="21"/>
                <w:highlight w:val="none"/>
              </w:rPr>
            </w:pPr>
            <w:r>
              <w:rPr>
                <w:rFonts w:hint="eastAsia" w:ascii="宋体" w:hAnsi="宋体" w:cs="宋体"/>
                <w:sz w:val="21"/>
                <w:szCs w:val="21"/>
                <w:highlight w:val="none"/>
                <w:lang w:val="en-US" w:eastAsia="zh-CN"/>
              </w:rPr>
              <w:t>本分标核心产品为</w:t>
            </w:r>
            <w:r>
              <w:rPr>
                <w:rFonts w:hint="eastAsia" w:ascii="宋体" w:hAnsi="宋体" w:cs="宋体"/>
                <w:sz w:val="21"/>
                <w:szCs w:val="21"/>
                <w:highlight w:val="none"/>
              </w:rPr>
              <w:t>第</w:t>
            </w:r>
            <w:r>
              <w:rPr>
                <w:rFonts w:hint="eastAsia" w:ascii="宋体" w:hAnsi="宋体" w:cs="宋体"/>
                <w:sz w:val="21"/>
                <w:szCs w:val="21"/>
                <w:highlight w:val="none"/>
                <w:lang w:val="en-US" w:eastAsia="zh-CN"/>
              </w:rPr>
              <w:t>12</w:t>
            </w:r>
            <w:r>
              <w:rPr>
                <w:rFonts w:hint="eastAsia" w:ascii="宋体" w:hAnsi="宋体" w:cs="宋体"/>
                <w:sz w:val="21"/>
                <w:szCs w:val="21"/>
                <w:highlight w:val="none"/>
              </w:rPr>
              <w:t>项</w:t>
            </w:r>
            <w:r>
              <w:rPr>
                <w:rFonts w:hint="eastAsia" w:ascii="宋体" w:hAnsi="宋体" w:cs="宋体"/>
                <w:sz w:val="21"/>
                <w:szCs w:val="21"/>
                <w:highlight w:val="none"/>
                <w:lang w:eastAsia="zh-CN"/>
              </w:rPr>
              <w:t xml:space="preserve"> </w:t>
            </w:r>
            <w:r>
              <w:rPr>
                <w:rFonts w:hint="eastAsia" w:ascii="宋体" w:hAnsi="宋体" w:cs="宋体"/>
                <w:color w:val="auto"/>
                <w:szCs w:val="21"/>
                <w:highlight w:val="none"/>
              </w:rPr>
              <w:t>一次性使用医用外科擦手纸</w:t>
            </w:r>
          </w:p>
        </w:tc>
      </w:tr>
    </w:tbl>
    <w:p w14:paraId="4227B037">
      <w:pPr>
        <w:widowControl/>
        <w:jc w:val="center"/>
        <w:rPr>
          <w:rFonts w:ascii="宋体" w:hAnsi="宋体" w:cs="宋体"/>
          <w:kern w:val="0"/>
          <w:sz w:val="24"/>
          <w:highlight w:val="none"/>
        </w:rPr>
      </w:pPr>
      <w:r>
        <w:rPr>
          <w:rFonts w:hint="eastAsia" w:ascii="宋体" w:hAnsi="宋体" w:cs="宋体"/>
          <w:kern w:val="0"/>
          <w:sz w:val="24"/>
          <w:highlight w:val="none"/>
        </w:rPr>
        <w:br w:type="page"/>
      </w:r>
    </w:p>
    <w:bookmarkEnd w:id="38"/>
    <w:bookmarkEnd w:id="39"/>
    <w:p w14:paraId="747907E9">
      <w:pPr>
        <w:spacing w:line="428" w:lineRule="exact"/>
        <w:ind w:left="119"/>
        <w:rPr>
          <w:rFonts w:ascii="Arial Unicode MS" w:hAnsi="Arial Unicode MS" w:eastAsia="Arial Unicode MS" w:cs="Arial Unicode MS"/>
          <w:sz w:val="32"/>
          <w:szCs w:val="32"/>
          <w:highlight w:val="none"/>
        </w:rPr>
      </w:pPr>
      <w:bookmarkStart w:id="44" w:name="_Toc74320802"/>
      <w:r>
        <w:rPr>
          <w:rFonts w:hint="eastAsia" w:ascii="黑体" w:hAnsi="黑体" w:eastAsia="黑体" w:cs="黑体"/>
          <w:sz w:val="32"/>
          <w:szCs w:val="32"/>
          <w:highlight w:val="none"/>
        </w:rPr>
        <w:t>附件1：</w:t>
      </w:r>
    </w:p>
    <w:p w14:paraId="62316AC1">
      <w:pPr>
        <w:spacing w:before="7"/>
        <w:rPr>
          <w:rFonts w:ascii="Arial Unicode MS" w:hAnsi="Arial Unicode MS" w:eastAsia="Arial Unicode MS" w:cs="Arial Unicode MS"/>
          <w:sz w:val="17"/>
          <w:szCs w:val="17"/>
          <w:highlight w:val="none"/>
        </w:rPr>
      </w:pPr>
    </w:p>
    <w:p w14:paraId="1CD96AB9">
      <w:pPr>
        <w:spacing w:line="528" w:lineRule="exact"/>
        <w:ind w:left="1871"/>
        <w:rPr>
          <w:rFonts w:ascii="Arial Unicode MS" w:hAnsi="Arial Unicode MS" w:eastAsia="Arial Unicode MS" w:cs="Arial Unicode MS"/>
          <w:sz w:val="40"/>
          <w:szCs w:val="40"/>
          <w:highlight w:val="none"/>
        </w:rPr>
      </w:pPr>
      <w:r>
        <w:rPr>
          <w:rFonts w:hint="eastAsia" w:ascii="方正小标宋简体" w:hAnsi="方正小标宋简体" w:eastAsia="方正小标宋简体" w:cs="方正小标宋简体"/>
          <w:sz w:val="44"/>
          <w:szCs w:val="44"/>
          <w:highlight w:val="none"/>
        </w:rPr>
        <w:t>节能产品政府采购品目清单</w:t>
      </w:r>
    </w:p>
    <w:tbl>
      <w:tblPr>
        <w:tblStyle w:val="48"/>
        <w:tblW w:w="9584"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697"/>
        <w:gridCol w:w="1546"/>
        <w:gridCol w:w="1536"/>
        <w:gridCol w:w="4138"/>
      </w:tblGrid>
      <w:tr w14:paraId="75B1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5BDFF14E">
            <w:pPr>
              <w:jc w:val="center"/>
              <w:rPr>
                <w:rFonts w:hint="eastAsia" w:ascii="宋体" w:hAnsi="宋体" w:cs="宋体"/>
                <w:sz w:val="21"/>
                <w:szCs w:val="21"/>
                <w:highlight w:val="none"/>
              </w:rPr>
            </w:pPr>
            <w:r>
              <w:rPr>
                <w:rFonts w:hint="eastAsia" w:ascii="宋体" w:hAnsi="宋体" w:cs="宋体"/>
                <w:b/>
                <w:bCs/>
                <w:w w:val="99"/>
                <w:sz w:val="21"/>
                <w:szCs w:val="21"/>
                <w:highlight w:val="none"/>
              </w:rPr>
              <w:t>品目序号</w:t>
            </w:r>
          </w:p>
        </w:tc>
        <w:tc>
          <w:tcPr>
            <w:tcW w:w="4779" w:type="dxa"/>
            <w:gridSpan w:val="3"/>
            <w:tcBorders>
              <w:top w:val="single" w:color="000000" w:sz="4" w:space="0"/>
              <w:left w:val="single" w:color="000000" w:sz="4" w:space="0"/>
              <w:bottom w:val="single" w:color="000000" w:sz="4" w:space="0"/>
              <w:right w:val="single" w:color="000000" w:sz="4" w:space="0"/>
            </w:tcBorders>
            <w:vAlign w:val="center"/>
          </w:tcPr>
          <w:p w14:paraId="39391CB8">
            <w:pPr>
              <w:jc w:val="center"/>
              <w:rPr>
                <w:rFonts w:hint="eastAsia" w:ascii="宋体" w:hAnsi="宋体" w:cs="宋体"/>
                <w:sz w:val="21"/>
                <w:szCs w:val="21"/>
                <w:highlight w:val="none"/>
              </w:rPr>
            </w:pPr>
            <w:r>
              <w:rPr>
                <w:rFonts w:hint="eastAsia" w:ascii="宋体" w:hAnsi="宋体" w:cs="宋体"/>
                <w:b/>
                <w:bCs/>
                <w:w w:val="99"/>
                <w:sz w:val="21"/>
                <w:szCs w:val="21"/>
                <w:highlight w:val="none"/>
              </w:rPr>
              <w:t>名称</w:t>
            </w:r>
          </w:p>
        </w:tc>
        <w:tc>
          <w:tcPr>
            <w:tcW w:w="4138" w:type="dxa"/>
            <w:tcBorders>
              <w:top w:val="single" w:color="000000" w:sz="4" w:space="0"/>
              <w:left w:val="single" w:color="000000" w:sz="4" w:space="0"/>
              <w:bottom w:val="single" w:color="000000" w:sz="4" w:space="0"/>
              <w:right w:val="single" w:color="000000" w:sz="4" w:space="0"/>
            </w:tcBorders>
            <w:vAlign w:val="center"/>
          </w:tcPr>
          <w:p w14:paraId="5F0FA173">
            <w:pPr>
              <w:jc w:val="center"/>
              <w:rPr>
                <w:rFonts w:hint="eastAsia" w:ascii="宋体" w:hAnsi="宋体" w:cs="宋体"/>
                <w:sz w:val="21"/>
                <w:szCs w:val="21"/>
                <w:highlight w:val="none"/>
              </w:rPr>
            </w:pPr>
            <w:r>
              <w:rPr>
                <w:rFonts w:hint="eastAsia" w:ascii="宋体" w:hAnsi="宋体" w:cs="宋体"/>
                <w:b/>
                <w:bCs/>
                <w:w w:val="99"/>
                <w:sz w:val="21"/>
                <w:szCs w:val="21"/>
                <w:highlight w:val="none"/>
              </w:rPr>
              <w:t>依据的标准</w:t>
            </w:r>
          </w:p>
        </w:tc>
      </w:tr>
      <w:tr w14:paraId="0CCE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388C067C">
            <w:pPr>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6EE196E4">
            <w:pPr>
              <w:jc w:val="center"/>
              <w:rPr>
                <w:rFonts w:hint="eastAsia" w:ascii="宋体" w:hAnsi="宋体" w:cs="宋体"/>
                <w:sz w:val="21"/>
                <w:szCs w:val="21"/>
                <w:highlight w:val="none"/>
              </w:rPr>
            </w:pPr>
            <w:r>
              <w:rPr>
                <w:rFonts w:hint="eastAsia" w:ascii="宋体" w:hAnsi="宋体" w:cs="宋体"/>
                <w:sz w:val="21"/>
                <w:szCs w:val="21"/>
                <w:highlight w:val="none"/>
              </w:rPr>
              <w:t>A02010100</w:t>
            </w:r>
            <w:r>
              <w:rPr>
                <w:rFonts w:hint="eastAsia" w:ascii="宋体" w:hAnsi="宋体" w:cs="宋体"/>
                <w:w w:val="99"/>
                <w:sz w:val="21"/>
                <w:szCs w:val="21"/>
                <w:highlight w:val="none"/>
              </w:rPr>
              <w:t>计算机</w:t>
            </w:r>
          </w:p>
        </w:tc>
        <w:tc>
          <w:tcPr>
            <w:tcW w:w="1546" w:type="dxa"/>
            <w:tcBorders>
              <w:top w:val="single" w:color="000000" w:sz="4" w:space="0"/>
              <w:left w:val="single" w:color="000000" w:sz="4" w:space="0"/>
              <w:bottom w:val="single" w:color="000000" w:sz="4" w:space="0"/>
              <w:right w:val="single" w:color="000000" w:sz="4" w:space="0"/>
            </w:tcBorders>
            <w:vAlign w:val="center"/>
          </w:tcPr>
          <w:p w14:paraId="5F668C7B">
            <w:pPr>
              <w:pStyle w:val="68"/>
              <w:spacing w:before="93"/>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kern w:val="2"/>
                <w:sz w:val="21"/>
                <w:szCs w:val="21"/>
                <w:highlight w:val="none"/>
              </w:rPr>
              <w:t>A02010105</w:t>
            </w:r>
            <w:r>
              <w:rPr>
                <w:rFonts w:hint="eastAsia" w:ascii="宋体" w:hAnsi="宋体" w:cs="宋体"/>
                <w:w w:val="99"/>
                <w:kern w:val="2"/>
                <w:sz w:val="21"/>
                <w:szCs w:val="21"/>
                <w:highlight w:val="none"/>
              </w:rPr>
              <w:t>台式计算机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7C283AFF">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2E6C538E">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51B7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F645EC9">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28954094">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00DB3567">
            <w:pPr>
              <w:pStyle w:val="68"/>
              <w:spacing w:before="44"/>
              <w:ind w:left="7"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kern w:val="2"/>
                <w:sz w:val="21"/>
                <w:szCs w:val="21"/>
                <w:highlight w:val="none"/>
              </w:rPr>
              <w:t>A02010108</w:t>
            </w:r>
            <w:r>
              <w:rPr>
                <w:rFonts w:hint="eastAsia" w:ascii="宋体" w:hAnsi="宋体" w:cs="宋体"/>
                <w:w w:val="99"/>
                <w:kern w:val="2"/>
                <w:sz w:val="21"/>
                <w:szCs w:val="21"/>
                <w:highlight w:val="none"/>
              </w:rPr>
              <w:t>便携式计算机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749C5667">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2CABB125">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1775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D175EA9">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54974466">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4A27D013">
            <w:pPr>
              <w:pStyle w:val="68"/>
              <w:spacing w:before="64"/>
              <w:ind w:left="7" w:right="5"/>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w:t>
            </w:r>
            <w:r>
              <w:rPr>
                <w:rFonts w:hint="eastAsia" w:ascii="宋体" w:hAnsi="宋体" w:cs="宋体"/>
                <w:kern w:val="2"/>
                <w:sz w:val="21"/>
                <w:szCs w:val="21"/>
                <w:highlight w:val="none"/>
                <w:lang w:eastAsia="zh-CN"/>
              </w:rPr>
              <w:t>A02010109平板式计算机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74664CA1">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1396B3A1">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《微型计算机能效限定值及能效等级》（GB28380）</w:t>
            </w:r>
          </w:p>
        </w:tc>
      </w:tr>
      <w:tr w14:paraId="26C9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1E4A13D2">
            <w:pPr>
              <w:jc w:val="center"/>
              <w:rPr>
                <w:rFonts w:hint="eastAsia" w:ascii="宋体" w:hAnsi="宋体" w:cs="宋体"/>
                <w:sz w:val="21"/>
                <w:szCs w:val="21"/>
                <w:highlight w:val="none"/>
              </w:rPr>
            </w:pPr>
            <w:r>
              <w:rPr>
                <w:rFonts w:hint="eastAsia" w:ascii="宋体" w:hAnsi="宋体" w:cs="宋体"/>
                <w:sz w:val="21"/>
                <w:szCs w:val="21"/>
                <w:highlight w:val="none"/>
              </w:rPr>
              <w:t>2</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1AE71E4E">
            <w:pPr>
              <w:pStyle w:val="68"/>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A02020000</w:t>
            </w:r>
            <w:r>
              <w:rPr>
                <w:rFonts w:hint="eastAsia" w:ascii="宋体" w:hAnsi="宋体" w:cs="宋体"/>
                <w:w w:val="99"/>
                <w:kern w:val="2"/>
                <w:sz w:val="21"/>
                <w:szCs w:val="21"/>
                <w:highlight w:val="none"/>
              </w:rPr>
              <w:t>办公设备</w:t>
            </w: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2F8266F6">
            <w:pPr>
              <w:jc w:val="center"/>
              <w:rPr>
                <w:rFonts w:hint="eastAsia" w:ascii="宋体" w:hAnsi="宋体" w:cs="宋体"/>
                <w:sz w:val="21"/>
                <w:szCs w:val="21"/>
                <w:highlight w:val="none"/>
              </w:rPr>
            </w:pPr>
            <w:r>
              <w:rPr>
                <w:rFonts w:hint="eastAsia" w:ascii="宋体" w:hAnsi="宋体" w:cs="宋体"/>
                <w:spacing w:val="1"/>
                <w:w w:val="99"/>
                <w:sz w:val="21"/>
                <w:szCs w:val="21"/>
                <w:highlight w:val="none"/>
              </w:rPr>
              <w:t>A02021000</w:t>
            </w:r>
            <w:r>
              <w:rPr>
                <w:rFonts w:hint="eastAsia" w:ascii="宋体" w:hAnsi="宋体" w:cs="宋体"/>
                <w:sz w:val="21"/>
                <w:szCs w:val="21"/>
                <w:highlight w:val="none"/>
                <w:shd w:val="clear" w:color="auto" w:fill="FFFFFF"/>
              </w:rPr>
              <w:t>打印机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0212F9CC">
            <w:pPr>
              <w:jc w:val="center"/>
              <w:rPr>
                <w:rFonts w:hint="eastAsia" w:ascii="宋体" w:hAnsi="宋体" w:cs="宋体"/>
                <w:sz w:val="21"/>
                <w:szCs w:val="21"/>
                <w:highlight w:val="none"/>
              </w:rPr>
            </w:pPr>
            <w:r>
              <w:rPr>
                <w:rFonts w:hint="eastAsia" w:ascii="宋体" w:hAnsi="宋体" w:cs="宋体"/>
                <w:sz w:val="21"/>
                <w:szCs w:val="21"/>
                <w:highlight w:val="none"/>
              </w:rPr>
              <w:t>A0202100</w:t>
            </w:r>
          </w:p>
          <w:p w14:paraId="38B4AFED">
            <w:pPr>
              <w:jc w:val="center"/>
              <w:rPr>
                <w:rFonts w:hint="eastAsia" w:ascii="宋体" w:hAnsi="宋体" w:cs="宋体"/>
                <w:sz w:val="21"/>
                <w:szCs w:val="21"/>
                <w:highlight w:val="none"/>
              </w:rPr>
            </w:pPr>
            <w:r>
              <w:rPr>
                <w:rFonts w:hint="eastAsia" w:ascii="宋体" w:hAnsi="宋体" w:cs="宋体"/>
                <w:sz w:val="21"/>
                <w:szCs w:val="21"/>
                <w:highlight w:val="none"/>
              </w:rPr>
              <w:t>1A3黑白打印机</w:t>
            </w:r>
          </w:p>
        </w:tc>
        <w:tc>
          <w:tcPr>
            <w:tcW w:w="4138" w:type="dxa"/>
            <w:tcBorders>
              <w:top w:val="single" w:color="000000" w:sz="4" w:space="0"/>
              <w:left w:val="single" w:color="000000" w:sz="4" w:space="0"/>
              <w:bottom w:val="single" w:color="000000" w:sz="4" w:space="0"/>
              <w:right w:val="single" w:color="000000" w:sz="4" w:space="0"/>
            </w:tcBorders>
          </w:tcPr>
          <w:p w14:paraId="06CDF8A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117D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9CC840E">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5F2B52D">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4B1D39A4">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3B07A8A8">
            <w:pPr>
              <w:jc w:val="center"/>
              <w:rPr>
                <w:rFonts w:hint="eastAsia" w:ascii="宋体" w:hAnsi="宋体" w:cs="宋体"/>
                <w:sz w:val="21"/>
                <w:szCs w:val="21"/>
                <w:highlight w:val="none"/>
              </w:rPr>
            </w:pPr>
            <w:r>
              <w:rPr>
                <w:rFonts w:hint="eastAsia" w:ascii="宋体" w:hAnsi="宋体" w:cs="宋体"/>
                <w:sz w:val="21"/>
                <w:szCs w:val="21"/>
                <w:highlight w:val="none"/>
              </w:rPr>
              <w:t>A02021002</w:t>
            </w:r>
          </w:p>
          <w:p w14:paraId="3B392E8E">
            <w:pPr>
              <w:jc w:val="center"/>
              <w:rPr>
                <w:rFonts w:hint="eastAsia" w:ascii="宋体" w:hAnsi="宋体" w:cs="宋体"/>
                <w:sz w:val="21"/>
                <w:szCs w:val="21"/>
                <w:highlight w:val="none"/>
              </w:rPr>
            </w:pPr>
            <w:r>
              <w:rPr>
                <w:rFonts w:hint="eastAsia" w:ascii="宋体" w:hAnsi="宋体" w:cs="宋体"/>
                <w:sz w:val="21"/>
                <w:szCs w:val="21"/>
                <w:highlight w:val="none"/>
              </w:rPr>
              <w:t>A3彩色打印机</w:t>
            </w:r>
          </w:p>
        </w:tc>
        <w:tc>
          <w:tcPr>
            <w:tcW w:w="4138" w:type="dxa"/>
            <w:tcBorders>
              <w:top w:val="single" w:color="000000" w:sz="4" w:space="0"/>
              <w:left w:val="single" w:color="000000" w:sz="4" w:space="0"/>
              <w:bottom w:val="single" w:color="000000" w:sz="4" w:space="0"/>
              <w:right w:val="single" w:color="000000" w:sz="4" w:space="0"/>
            </w:tcBorders>
          </w:tcPr>
          <w:p w14:paraId="1BBBDF9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9001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19AA408A">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337ABED5">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06F7BCE9">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65869FA8">
            <w:pPr>
              <w:jc w:val="center"/>
              <w:rPr>
                <w:rFonts w:hint="eastAsia" w:ascii="宋体" w:hAnsi="宋体" w:cs="宋体"/>
                <w:sz w:val="21"/>
                <w:szCs w:val="21"/>
                <w:highlight w:val="none"/>
              </w:rPr>
            </w:pPr>
            <w:r>
              <w:rPr>
                <w:rFonts w:hint="eastAsia" w:ascii="宋体" w:hAnsi="宋体" w:cs="宋体"/>
                <w:sz w:val="21"/>
                <w:szCs w:val="21"/>
                <w:highlight w:val="none"/>
              </w:rPr>
              <w:t>A02021003</w:t>
            </w:r>
          </w:p>
          <w:p w14:paraId="6916EDB7">
            <w:pPr>
              <w:jc w:val="center"/>
              <w:rPr>
                <w:rFonts w:hint="eastAsia" w:ascii="宋体" w:hAnsi="宋体" w:cs="宋体"/>
                <w:sz w:val="21"/>
                <w:szCs w:val="21"/>
                <w:highlight w:val="none"/>
              </w:rPr>
            </w:pPr>
            <w:r>
              <w:rPr>
                <w:rFonts w:hint="eastAsia" w:ascii="宋体" w:hAnsi="宋体" w:cs="宋体"/>
                <w:sz w:val="21"/>
                <w:szCs w:val="21"/>
                <w:highlight w:val="none"/>
              </w:rPr>
              <w:t>A4黑白打印机</w:t>
            </w:r>
          </w:p>
        </w:tc>
        <w:tc>
          <w:tcPr>
            <w:tcW w:w="4138" w:type="dxa"/>
            <w:tcBorders>
              <w:top w:val="single" w:color="000000" w:sz="4" w:space="0"/>
              <w:left w:val="single" w:color="000000" w:sz="4" w:space="0"/>
              <w:bottom w:val="single" w:color="000000" w:sz="4" w:space="0"/>
              <w:right w:val="single" w:color="000000" w:sz="4" w:space="0"/>
            </w:tcBorders>
          </w:tcPr>
          <w:p w14:paraId="2FAA72BA">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1230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4640FF0">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1DC44CB8">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0EC00337">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2103694A">
            <w:pPr>
              <w:jc w:val="center"/>
              <w:rPr>
                <w:rFonts w:hint="eastAsia" w:ascii="宋体" w:hAnsi="宋体" w:cs="宋体"/>
                <w:sz w:val="21"/>
                <w:szCs w:val="21"/>
                <w:highlight w:val="none"/>
              </w:rPr>
            </w:pPr>
            <w:r>
              <w:rPr>
                <w:rFonts w:hint="eastAsia" w:ascii="宋体" w:hAnsi="宋体" w:cs="宋体"/>
                <w:sz w:val="21"/>
                <w:szCs w:val="21"/>
                <w:highlight w:val="none"/>
              </w:rPr>
              <w:t>A02021004</w:t>
            </w:r>
          </w:p>
          <w:p w14:paraId="77481CAF">
            <w:pPr>
              <w:jc w:val="center"/>
              <w:rPr>
                <w:rFonts w:hint="eastAsia" w:ascii="宋体" w:hAnsi="宋体" w:cs="宋体"/>
                <w:sz w:val="21"/>
                <w:szCs w:val="21"/>
                <w:highlight w:val="none"/>
              </w:rPr>
            </w:pPr>
            <w:r>
              <w:rPr>
                <w:rFonts w:hint="eastAsia" w:ascii="宋体" w:hAnsi="宋体" w:cs="宋体"/>
                <w:sz w:val="21"/>
                <w:szCs w:val="21"/>
                <w:highlight w:val="none"/>
              </w:rPr>
              <w:t>A4彩色打印机</w:t>
            </w:r>
          </w:p>
        </w:tc>
        <w:tc>
          <w:tcPr>
            <w:tcW w:w="4138" w:type="dxa"/>
            <w:tcBorders>
              <w:top w:val="single" w:color="000000" w:sz="4" w:space="0"/>
              <w:left w:val="single" w:color="000000" w:sz="4" w:space="0"/>
              <w:bottom w:val="single" w:color="000000" w:sz="4" w:space="0"/>
              <w:right w:val="single" w:color="000000" w:sz="4" w:space="0"/>
            </w:tcBorders>
          </w:tcPr>
          <w:p w14:paraId="24815F42">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0722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601C64A1">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3C4D6ED9">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01A24610">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5889E82E">
            <w:pPr>
              <w:jc w:val="center"/>
              <w:rPr>
                <w:rFonts w:hint="eastAsia" w:ascii="宋体" w:hAnsi="宋体" w:cs="宋体"/>
                <w:sz w:val="21"/>
                <w:szCs w:val="21"/>
                <w:highlight w:val="none"/>
              </w:rPr>
            </w:pPr>
            <w:r>
              <w:rPr>
                <w:rFonts w:hint="eastAsia" w:ascii="宋体" w:hAnsi="宋体" w:cs="宋体"/>
                <w:sz w:val="21"/>
                <w:szCs w:val="21"/>
                <w:highlight w:val="none"/>
              </w:rPr>
              <w:t>A02021005</w:t>
            </w:r>
          </w:p>
          <w:p w14:paraId="49669560">
            <w:pPr>
              <w:jc w:val="center"/>
              <w:rPr>
                <w:rFonts w:hint="eastAsia" w:ascii="宋体" w:hAnsi="宋体" w:cs="宋体"/>
                <w:sz w:val="21"/>
                <w:szCs w:val="21"/>
                <w:highlight w:val="none"/>
              </w:rPr>
            </w:pPr>
            <w:r>
              <w:rPr>
                <w:rFonts w:hint="eastAsia" w:ascii="宋体" w:hAnsi="宋体" w:cs="宋体"/>
                <w:sz w:val="21"/>
                <w:szCs w:val="21"/>
                <w:highlight w:val="none"/>
              </w:rPr>
              <w:t>3D打印机</w:t>
            </w:r>
          </w:p>
        </w:tc>
        <w:tc>
          <w:tcPr>
            <w:tcW w:w="4138" w:type="dxa"/>
            <w:tcBorders>
              <w:top w:val="single" w:color="000000" w:sz="4" w:space="0"/>
              <w:left w:val="single" w:color="000000" w:sz="4" w:space="0"/>
              <w:bottom w:val="single" w:color="000000" w:sz="4" w:space="0"/>
              <w:right w:val="single" w:color="000000" w:sz="4" w:space="0"/>
            </w:tcBorders>
          </w:tcPr>
          <w:p w14:paraId="7F7D5B3D">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1CD2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6A06287">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11F0BA80">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5B2F71BA">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19C0C5EB">
            <w:pPr>
              <w:jc w:val="center"/>
              <w:rPr>
                <w:rFonts w:hint="eastAsia" w:ascii="宋体" w:hAnsi="宋体" w:cs="宋体"/>
                <w:sz w:val="21"/>
                <w:szCs w:val="21"/>
                <w:highlight w:val="none"/>
              </w:rPr>
            </w:pPr>
            <w:r>
              <w:rPr>
                <w:rFonts w:hint="eastAsia" w:ascii="宋体" w:hAnsi="宋体" w:cs="宋体"/>
                <w:sz w:val="21"/>
                <w:szCs w:val="21"/>
                <w:highlight w:val="none"/>
              </w:rPr>
              <w:t>A02021006</w:t>
            </w:r>
          </w:p>
          <w:p w14:paraId="462AD35F">
            <w:pPr>
              <w:jc w:val="center"/>
              <w:rPr>
                <w:rFonts w:hint="eastAsia" w:ascii="宋体" w:hAnsi="宋体" w:cs="宋体"/>
                <w:sz w:val="21"/>
                <w:szCs w:val="21"/>
                <w:highlight w:val="none"/>
              </w:rPr>
            </w:pPr>
            <w:r>
              <w:rPr>
                <w:rFonts w:hint="eastAsia" w:ascii="宋体" w:hAnsi="宋体" w:cs="宋体"/>
                <w:sz w:val="21"/>
                <w:szCs w:val="21"/>
                <w:highlight w:val="none"/>
              </w:rPr>
              <w:t>票据打印机</w:t>
            </w:r>
          </w:p>
        </w:tc>
        <w:tc>
          <w:tcPr>
            <w:tcW w:w="4138" w:type="dxa"/>
            <w:tcBorders>
              <w:top w:val="single" w:color="000000" w:sz="4" w:space="0"/>
              <w:left w:val="single" w:color="000000" w:sz="4" w:space="0"/>
              <w:bottom w:val="single" w:color="000000" w:sz="4" w:space="0"/>
              <w:right w:val="single" w:color="000000" w:sz="4" w:space="0"/>
            </w:tcBorders>
          </w:tcPr>
          <w:p w14:paraId="73FBC571">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4DB5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F2256E1">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736BD3FF">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0AB0CAD0">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77BD2812">
            <w:pPr>
              <w:jc w:val="center"/>
              <w:rPr>
                <w:rFonts w:hint="eastAsia" w:ascii="宋体" w:hAnsi="宋体" w:cs="宋体"/>
                <w:sz w:val="21"/>
                <w:szCs w:val="21"/>
                <w:highlight w:val="none"/>
              </w:rPr>
            </w:pPr>
            <w:r>
              <w:rPr>
                <w:rFonts w:hint="eastAsia" w:ascii="宋体" w:hAnsi="宋体" w:cs="宋体"/>
                <w:sz w:val="21"/>
                <w:szCs w:val="21"/>
                <w:highlight w:val="none"/>
              </w:rPr>
              <w:t>A02021007</w:t>
            </w:r>
          </w:p>
          <w:p w14:paraId="3B6133B4">
            <w:pPr>
              <w:jc w:val="center"/>
              <w:rPr>
                <w:rFonts w:hint="eastAsia" w:ascii="宋体" w:hAnsi="宋体" w:cs="宋体"/>
                <w:sz w:val="21"/>
                <w:szCs w:val="21"/>
                <w:highlight w:val="none"/>
              </w:rPr>
            </w:pPr>
            <w:r>
              <w:rPr>
                <w:rFonts w:hint="eastAsia" w:ascii="宋体" w:hAnsi="宋体" w:cs="宋体"/>
                <w:sz w:val="21"/>
                <w:szCs w:val="21"/>
                <w:highlight w:val="none"/>
              </w:rPr>
              <w:t>条码打印机</w:t>
            </w:r>
          </w:p>
        </w:tc>
        <w:tc>
          <w:tcPr>
            <w:tcW w:w="4138" w:type="dxa"/>
            <w:tcBorders>
              <w:top w:val="single" w:color="000000" w:sz="4" w:space="0"/>
              <w:left w:val="single" w:color="000000" w:sz="4" w:space="0"/>
              <w:bottom w:val="single" w:color="000000" w:sz="4" w:space="0"/>
              <w:right w:val="single" w:color="000000" w:sz="4" w:space="0"/>
            </w:tcBorders>
          </w:tcPr>
          <w:p w14:paraId="1B094554">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6F7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2118CB4">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364FAE2E">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29D9FDEB">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0B5A7D64">
            <w:pPr>
              <w:jc w:val="center"/>
              <w:rPr>
                <w:rFonts w:hint="eastAsia" w:ascii="宋体" w:hAnsi="宋体" w:cs="宋体"/>
                <w:sz w:val="21"/>
                <w:szCs w:val="21"/>
                <w:highlight w:val="none"/>
              </w:rPr>
            </w:pPr>
            <w:r>
              <w:rPr>
                <w:rFonts w:hint="eastAsia" w:ascii="宋体" w:hAnsi="宋体" w:cs="宋体"/>
                <w:sz w:val="21"/>
                <w:szCs w:val="21"/>
                <w:highlight w:val="none"/>
              </w:rPr>
              <w:t>A02021008</w:t>
            </w:r>
          </w:p>
          <w:p w14:paraId="2AEEE6BB">
            <w:pPr>
              <w:jc w:val="center"/>
              <w:rPr>
                <w:rFonts w:hint="eastAsia" w:ascii="宋体" w:hAnsi="宋体" w:cs="宋体"/>
                <w:sz w:val="21"/>
                <w:szCs w:val="21"/>
                <w:highlight w:val="none"/>
              </w:rPr>
            </w:pPr>
            <w:r>
              <w:rPr>
                <w:rFonts w:hint="eastAsia" w:ascii="宋体" w:hAnsi="宋体" w:cs="宋体"/>
                <w:sz w:val="21"/>
                <w:szCs w:val="21"/>
                <w:highlight w:val="none"/>
              </w:rPr>
              <w:t>地址打印机</w:t>
            </w:r>
          </w:p>
        </w:tc>
        <w:tc>
          <w:tcPr>
            <w:tcW w:w="4138" w:type="dxa"/>
            <w:tcBorders>
              <w:top w:val="single" w:color="000000" w:sz="4" w:space="0"/>
              <w:left w:val="single" w:color="000000" w:sz="4" w:space="0"/>
              <w:bottom w:val="single" w:color="000000" w:sz="4" w:space="0"/>
              <w:right w:val="single" w:color="000000" w:sz="4" w:space="0"/>
            </w:tcBorders>
          </w:tcPr>
          <w:p w14:paraId="2A165CEA">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59E0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952D9EF">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A7F92D9">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5B314D52">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1C125FF3">
            <w:pPr>
              <w:jc w:val="center"/>
              <w:rPr>
                <w:rFonts w:hint="eastAsia" w:ascii="宋体" w:hAnsi="宋体" w:cs="宋体"/>
                <w:sz w:val="21"/>
                <w:szCs w:val="21"/>
                <w:highlight w:val="none"/>
              </w:rPr>
            </w:pPr>
            <w:r>
              <w:rPr>
                <w:rFonts w:hint="eastAsia" w:ascii="宋体" w:hAnsi="宋体" w:cs="宋体"/>
                <w:sz w:val="21"/>
                <w:szCs w:val="21"/>
                <w:highlight w:val="none"/>
              </w:rPr>
              <w:t>A02021099</w:t>
            </w:r>
          </w:p>
          <w:p w14:paraId="0D702F5D">
            <w:pPr>
              <w:jc w:val="center"/>
              <w:rPr>
                <w:rFonts w:hint="eastAsia" w:ascii="宋体" w:hAnsi="宋体" w:cs="宋体"/>
                <w:sz w:val="21"/>
                <w:szCs w:val="21"/>
                <w:highlight w:val="none"/>
              </w:rPr>
            </w:pPr>
            <w:r>
              <w:rPr>
                <w:rFonts w:hint="eastAsia" w:ascii="宋体" w:hAnsi="宋体" w:cs="宋体"/>
                <w:sz w:val="21"/>
                <w:szCs w:val="21"/>
                <w:highlight w:val="none"/>
              </w:rPr>
              <w:t>其他打印机</w:t>
            </w:r>
          </w:p>
        </w:tc>
        <w:tc>
          <w:tcPr>
            <w:tcW w:w="4138" w:type="dxa"/>
            <w:tcBorders>
              <w:top w:val="single" w:color="000000" w:sz="4" w:space="0"/>
              <w:left w:val="single" w:color="000000" w:sz="4" w:space="0"/>
              <w:bottom w:val="single" w:color="000000" w:sz="4" w:space="0"/>
              <w:right w:val="single" w:color="000000" w:sz="4" w:space="0"/>
            </w:tcBorders>
          </w:tcPr>
          <w:p w14:paraId="23D5BDD5">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3766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CF4E571">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2A12C764">
            <w:pPr>
              <w:widowControl/>
              <w:jc w:val="left"/>
              <w:rPr>
                <w:rFonts w:hint="eastAsia" w:ascii="宋体" w:hAnsi="宋体" w:cs="宋体"/>
                <w:sz w:val="21"/>
                <w:szCs w:val="21"/>
                <w:highlight w:val="none"/>
              </w:rPr>
            </w:pP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2D7808AB">
            <w:pPr>
              <w:jc w:val="center"/>
              <w:rPr>
                <w:rFonts w:hint="eastAsia" w:ascii="宋体" w:hAnsi="宋体" w:cs="宋体"/>
                <w:sz w:val="21"/>
                <w:szCs w:val="21"/>
                <w:highlight w:val="none"/>
              </w:rPr>
            </w:pPr>
            <w:r>
              <w:rPr>
                <w:rFonts w:hint="eastAsia" w:ascii="宋体" w:hAnsi="宋体" w:cs="宋体"/>
                <w:sz w:val="21"/>
                <w:szCs w:val="21"/>
                <w:highlight w:val="none"/>
              </w:rPr>
              <w:t>A02021100输入输出设备</w:t>
            </w:r>
          </w:p>
        </w:tc>
        <w:tc>
          <w:tcPr>
            <w:tcW w:w="1536" w:type="dxa"/>
            <w:tcBorders>
              <w:top w:val="single" w:color="000000" w:sz="4" w:space="0"/>
              <w:left w:val="single" w:color="000000" w:sz="4" w:space="0"/>
              <w:bottom w:val="single" w:color="000000" w:sz="4" w:space="0"/>
              <w:right w:val="single" w:color="000000" w:sz="4" w:space="0"/>
            </w:tcBorders>
            <w:vAlign w:val="center"/>
          </w:tcPr>
          <w:p w14:paraId="3BBD5CBD">
            <w:pPr>
              <w:jc w:val="center"/>
              <w:rPr>
                <w:rFonts w:hint="eastAsia" w:ascii="宋体" w:hAnsi="宋体" w:cs="宋体"/>
                <w:sz w:val="21"/>
                <w:szCs w:val="21"/>
                <w:highlight w:val="none"/>
              </w:rPr>
            </w:pPr>
            <w:r>
              <w:rPr>
                <w:rFonts w:hint="eastAsia" w:ascii="宋体" w:hAnsi="宋体" w:cs="宋体"/>
                <w:w w:val="99"/>
                <w:sz w:val="21"/>
                <w:szCs w:val="21"/>
                <w:highlight w:val="none"/>
              </w:rPr>
              <w:t>★</w:t>
            </w:r>
            <w:r>
              <w:rPr>
                <w:rFonts w:hint="eastAsia" w:ascii="宋体" w:hAnsi="宋体" w:cs="宋体"/>
                <w:sz w:val="21"/>
                <w:szCs w:val="21"/>
                <w:highlight w:val="none"/>
              </w:rPr>
              <w:t>A02021104</w:t>
            </w:r>
          </w:p>
          <w:p w14:paraId="70F14A94">
            <w:pPr>
              <w:jc w:val="center"/>
              <w:rPr>
                <w:rFonts w:hint="eastAsia" w:ascii="宋体" w:hAnsi="宋体" w:cs="宋体"/>
                <w:sz w:val="21"/>
                <w:szCs w:val="21"/>
                <w:highlight w:val="none"/>
              </w:rPr>
            </w:pPr>
            <w:r>
              <w:rPr>
                <w:rFonts w:hint="eastAsia" w:ascii="宋体" w:hAnsi="宋体" w:cs="宋体"/>
                <w:sz w:val="21"/>
                <w:szCs w:val="21"/>
                <w:highlight w:val="none"/>
              </w:rPr>
              <w:t>液晶显示器</w:t>
            </w:r>
          </w:p>
        </w:tc>
        <w:tc>
          <w:tcPr>
            <w:tcW w:w="4138" w:type="dxa"/>
            <w:tcBorders>
              <w:top w:val="single" w:color="000000" w:sz="4" w:space="0"/>
              <w:left w:val="single" w:color="000000" w:sz="4" w:space="0"/>
              <w:bottom w:val="single" w:color="000000" w:sz="4" w:space="0"/>
              <w:right w:val="single" w:color="000000" w:sz="4" w:space="0"/>
            </w:tcBorders>
            <w:vAlign w:val="center"/>
          </w:tcPr>
          <w:p w14:paraId="73C71463">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《计算机显示器能效限定值及能效等级》（GB21520）</w:t>
            </w:r>
          </w:p>
        </w:tc>
      </w:tr>
      <w:tr w14:paraId="065E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603255F5">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6187B10">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7435CD3B">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3119B911">
            <w:pPr>
              <w:jc w:val="center"/>
              <w:rPr>
                <w:rFonts w:hint="eastAsia" w:ascii="宋体" w:hAnsi="宋体" w:cs="宋体"/>
                <w:sz w:val="21"/>
                <w:szCs w:val="21"/>
                <w:highlight w:val="none"/>
              </w:rPr>
            </w:pPr>
            <w:r>
              <w:rPr>
                <w:rFonts w:hint="eastAsia" w:ascii="宋体" w:hAnsi="宋体" w:cs="宋体"/>
                <w:sz w:val="21"/>
                <w:szCs w:val="21"/>
                <w:highlight w:val="none"/>
              </w:rPr>
              <w:t>A02021118</w:t>
            </w:r>
          </w:p>
          <w:p w14:paraId="4F0F4805">
            <w:pPr>
              <w:jc w:val="center"/>
              <w:rPr>
                <w:rFonts w:hint="eastAsia" w:ascii="宋体" w:hAnsi="宋体" w:cs="宋体"/>
                <w:sz w:val="21"/>
                <w:szCs w:val="21"/>
                <w:highlight w:val="none"/>
              </w:rPr>
            </w:pPr>
            <w:r>
              <w:rPr>
                <w:rFonts w:hint="eastAsia" w:ascii="宋体" w:hAnsi="宋体" w:cs="宋体"/>
                <w:sz w:val="21"/>
                <w:szCs w:val="21"/>
                <w:highlight w:val="none"/>
              </w:rPr>
              <w:t>扫描仪</w:t>
            </w:r>
          </w:p>
        </w:tc>
        <w:tc>
          <w:tcPr>
            <w:tcW w:w="4138" w:type="dxa"/>
            <w:tcBorders>
              <w:top w:val="single" w:color="000000" w:sz="4" w:space="0"/>
              <w:left w:val="single" w:color="000000" w:sz="4" w:space="0"/>
              <w:bottom w:val="single" w:color="000000" w:sz="4" w:space="0"/>
              <w:right w:val="single" w:color="000000" w:sz="4" w:space="0"/>
            </w:tcBorders>
            <w:vAlign w:val="center"/>
          </w:tcPr>
          <w:p w14:paraId="184ABDC3">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参照《复印机、打印机和传真机能效限定值及能效等级》（GB21521）中打印速度为15页/分的针式打印机相关要求</w:t>
            </w:r>
          </w:p>
        </w:tc>
      </w:tr>
      <w:tr w14:paraId="66AB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778A1F76">
            <w:pPr>
              <w:jc w:val="center"/>
              <w:rPr>
                <w:rFonts w:hint="eastAsia" w:ascii="宋体" w:hAnsi="宋体" w:cs="宋体"/>
                <w:sz w:val="21"/>
                <w:szCs w:val="21"/>
                <w:highlight w:val="none"/>
              </w:rPr>
            </w:pPr>
            <w:r>
              <w:rPr>
                <w:rFonts w:hint="eastAsia" w:ascii="宋体" w:hAnsi="宋体" w:cs="宋体"/>
                <w:w w:val="99"/>
                <w:sz w:val="21"/>
                <w:szCs w:val="21"/>
                <w:highlight w:val="none"/>
              </w:rPr>
              <w:t>3</w:t>
            </w:r>
          </w:p>
        </w:tc>
        <w:tc>
          <w:tcPr>
            <w:tcW w:w="1697" w:type="dxa"/>
            <w:tcBorders>
              <w:top w:val="single" w:color="000000" w:sz="4" w:space="0"/>
              <w:left w:val="single" w:color="000000" w:sz="4" w:space="0"/>
              <w:bottom w:val="single" w:color="000000" w:sz="4" w:space="0"/>
              <w:right w:val="single" w:color="000000" w:sz="4" w:space="0"/>
            </w:tcBorders>
            <w:vAlign w:val="center"/>
          </w:tcPr>
          <w:p w14:paraId="08E5F957">
            <w:pPr>
              <w:jc w:val="center"/>
              <w:rPr>
                <w:rFonts w:hint="eastAsia" w:ascii="宋体" w:hAnsi="宋体" w:cs="宋体"/>
                <w:sz w:val="21"/>
                <w:szCs w:val="21"/>
                <w:highlight w:val="none"/>
              </w:rPr>
            </w:pPr>
            <w:r>
              <w:rPr>
                <w:rFonts w:hint="eastAsia" w:ascii="宋体" w:hAnsi="宋体" w:cs="宋体"/>
                <w:sz w:val="21"/>
                <w:szCs w:val="21"/>
                <w:highlight w:val="none"/>
              </w:rPr>
              <w:t>A02020200投影仪</w:t>
            </w:r>
          </w:p>
        </w:tc>
        <w:tc>
          <w:tcPr>
            <w:tcW w:w="1546" w:type="dxa"/>
            <w:tcBorders>
              <w:top w:val="single" w:color="000000" w:sz="4" w:space="0"/>
              <w:left w:val="single" w:color="000000" w:sz="4" w:space="0"/>
              <w:bottom w:val="single" w:color="000000" w:sz="4" w:space="0"/>
              <w:right w:val="single" w:color="000000" w:sz="4" w:space="0"/>
            </w:tcBorders>
            <w:vAlign w:val="center"/>
          </w:tcPr>
          <w:p w14:paraId="799B41AA">
            <w:pPr>
              <w:jc w:val="center"/>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54330666">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vAlign w:val="center"/>
          </w:tcPr>
          <w:p w14:paraId="448969C5">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《投影机能效限定值及能效等级》（GB32028）</w:t>
            </w:r>
          </w:p>
        </w:tc>
      </w:tr>
      <w:tr w14:paraId="5104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5D8A7560">
            <w:pPr>
              <w:jc w:val="center"/>
              <w:rPr>
                <w:rFonts w:hint="eastAsia" w:ascii="宋体" w:hAnsi="宋体" w:cs="宋体"/>
                <w:sz w:val="21"/>
                <w:szCs w:val="21"/>
                <w:highlight w:val="none"/>
              </w:rPr>
            </w:pPr>
            <w:r>
              <w:rPr>
                <w:rFonts w:hint="eastAsia" w:ascii="宋体" w:hAnsi="宋体" w:cs="宋体"/>
                <w:sz w:val="21"/>
                <w:szCs w:val="21"/>
                <w:highlight w:val="none"/>
              </w:rPr>
              <w:t>4</w:t>
            </w:r>
          </w:p>
        </w:tc>
        <w:tc>
          <w:tcPr>
            <w:tcW w:w="1697" w:type="dxa"/>
            <w:tcBorders>
              <w:top w:val="single" w:color="000000" w:sz="4" w:space="0"/>
              <w:left w:val="single" w:color="000000" w:sz="4" w:space="0"/>
              <w:bottom w:val="single" w:color="000000" w:sz="4" w:space="0"/>
              <w:right w:val="single" w:color="000000" w:sz="4" w:space="0"/>
            </w:tcBorders>
            <w:vAlign w:val="center"/>
          </w:tcPr>
          <w:p w14:paraId="23C5BB65">
            <w:pPr>
              <w:pStyle w:val="68"/>
              <w:spacing w:before="66"/>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A02020400</w:t>
            </w:r>
            <w:r>
              <w:rPr>
                <w:rFonts w:hint="eastAsia" w:ascii="宋体" w:hAnsi="宋体" w:cs="宋体"/>
                <w:w w:val="99"/>
                <w:kern w:val="2"/>
                <w:sz w:val="21"/>
                <w:szCs w:val="21"/>
                <w:highlight w:val="none"/>
              </w:rPr>
              <w:t>多功能一体机</w:t>
            </w:r>
          </w:p>
        </w:tc>
        <w:tc>
          <w:tcPr>
            <w:tcW w:w="1546" w:type="dxa"/>
            <w:tcBorders>
              <w:top w:val="single" w:color="000000" w:sz="4" w:space="0"/>
              <w:left w:val="single" w:color="000000" w:sz="4" w:space="0"/>
              <w:bottom w:val="single" w:color="000000" w:sz="4" w:space="0"/>
              <w:right w:val="single" w:color="000000" w:sz="4" w:space="0"/>
            </w:tcBorders>
            <w:vAlign w:val="center"/>
          </w:tcPr>
          <w:p w14:paraId="73B2CB29">
            <w:pPr>
              <w:jc w:val="center"/>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2D28C9F3">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vAlign w:val="center"/>
          </w:tcPr>
          <w:p w14:paraId="10D8320B">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《复印机、打印机和传真机能效限定值及能效等级》（GB21521）</w:t>
            </w:r>
          </w:p>
        </w:tc>
      </w:tr>
      <w:tr w14:paraId="08682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344BB51B">
            <w:pPr>
              <w:pStyle w:val="68"/>
              <w:spacing w:before="160"/>
              <w:ind w:right="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5</w:t>
            </w:r>
          </w:p>
        </w:tc>
        <w:tc>
          <w:tcPr>
            <w:tcW w:w="1697" w:type="dxa"/>
            <w:tcBorders>
              <w:top w:val="single" w:color="000000" w:sz="4" w:space="0"/>
              <w:left w:val="single" w:color="000000" w:sz="4" w:space="0"/>
              <w:bottom w:val="single" w:color="000000" w:sz="4" w:space="0"/>
              <w:right w:val="single" w:color="000000" w:sz="4" w:space="0"/>
            </w:tcBorders>
            <w:vAlign w:val="center"/>
          </w:tcPr>
          <w:p w14:paraId="576F9ABC">
            <w:pPr>
              <w:pStyle w:val="68"/>
              <w:spacing w:before="160"/>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A02051900</w:t>
            </w:r>
            <w:r>
              <w:rPr>
                <w:rFonts w:hint="eastAsia" w:ascii="宋体" w:hAnsi="宋体" w:cs="宋体"/>
                <w:w w:val="99"/>
                <w:kern w:val="2"/>
                <w:sz w:val="21"/>
                <w:szCs w:val="21"/>
                <w:highlight w:val="none"/>
              </w:rPr>
              <w:t>泵</w:t>
            </w:r>
          </w:p>
        </w:tc>
        <w:tc>
          <w:tcPr>
            <w:tcW w:w="1546" w:type="dxa"/>
            <w:tcBorders>
              <w:top w:val="single" w:color="000000" w:sz="4" w:space="0"/>
              <w:left w:val="single" w:color="000000" w:sz="4" w:space="0"/>
              <w:bottom w:val="single" w:color="000000" w:sz="4" w:space="0"/>
              <w:right w:val="single" w:color="000000" w:sz="4" w:space="0"/>
            </w:tcBorders>
            <w:vAlign w:val="center"/>
          </w:tcPr>
          <w:p w14:paraId="6F8FF489">
            <w:pPr>
              <w:pStyle w:val="68"/>
              <w:spacing w:before="160"/>
              <w:ind w:left="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05</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901离心泵</w:t>
            </w:r>
          </w:p>
        </w:tc>
        <w:tc>
          <w:tcPr>
            <w:tcW w:w="1536" w:type="dxa"/>
            <w:tcBorders>
              <w:top w:val="single" w:color="000000" w:sz="4" w:space="0"/>
              <w:left w:val="single" w:color="000000" w:sz="4" w:space="0"/>
              <w:bottom w:val="single" w:color="000000" w:sz="4" w:space="0"/>
              <w:right w:val="single" w:color="000000" w:sz="4" w:space="0"/>
            </w:tcBorders>
            <w:vAlign w:val="center"/>
          </w:tcPr>
          <w:p w14:paraId="00A52E99">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5BF95CC0">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《清水离心泵能效限定值及节能评价值》（GB19762）</w:t>
            </w:r>
          </w:p>
        </w:tc>
      </w:tr>
      <w:tr w14:paraId="53874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1DF875CF">
            <w:pPr>
              <w:jc w:val="center"/>
              <w:rPr>
                <w:rFonts w:hint="eastAsia" w:ascii="宋体" w:hAnsi="宋体" w:cs="宋体"/>
                <w:sz w:val="21"/>
                <w:szCs w:val="21"/>
                <w:highlight w:val="none"/>
              </w:rPr>
            </w:pPr>
            <w:r>
              <w:rPr>
                <w:rFonts w:hint="eastAsia" w:ascii="宋体" w:hAnsi="宋体" w:cs="宋体"/>
                <w:sz w:val="21"/>
                <w:szCs w:val="21"/>
                <w:highlight w:val="none"/>
              </w:rPr>
              <w:t>6</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5FCC4284">
            <w:pPr>
              <w:pStyle w:val="68"/>
              <w:jc w:val="center"/>
              <w:rPr>
                <w:rFonts w:hint="eastAsia" w:ascii="宋体" w:hAnsi="宋体" w:cs="宋体"/>
                <w:kern w:val="2"/>
                <w:sz w:val="21"/>
                <w:szCs w:val="21"/>
                <w:highlight w:val="none"/>
              </w:rPr>
            </w:pPr>
            <w:r>
              <w:rPr>
                <w:rFonts w:hint="eastAsia" w:ascii="宋体" w:hAnsi="宋体" w:cs="宋体"/>
                <w:kern w:val="2"/>
                <w:sz w:val="21"/>
                <w:szCs w:val="21"/>
                <w:highlight w:val="none"/>
              </w:rPr>
              <w:t>A02052300</w:t>
            </w:r>
            <w:r>
              <w:rPr>
                <w:rFonts w:hint="eastAsia" w:ascii="宋体" w:hAnsi="宋体" w:cs="宋体"/>
                <w:w w:val="99"/>
                <w:kern w:val="2"/>
                <w:sz w:val="21"/>
                <w:szCs w:val="21"/>
                <w:highlight w:val="none"/>
              </w:rPr>
              <w:t>制冷空调设备</w:t>
            </w: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3A20A442">
            <w:pPr>
              <w:pStyle w:val="68"/>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52</w:t>
            </w:r>
            <w:r>
              <w:rPr>
                <w:rFonts w:hint="eastAsia" w:ascii="宋体" w:hAnsi="宋体" w:cs="宋体"/>
                <w:spacing w:val="1"/>
                <w:w w:val="99"/>
                <w:kern w:val="2"/>
                <w:sz w:val="21"/>
                <w:szCs w:val="21"/>
                <w:highlight w:val="none"/>
              </w:rPr>
              <w:t>3</w:t>
            </w:r>
            <w:r>
              <w:rPr>
                <w:rFonts w:hint="eastAsia" w:ascii="宋体" w:hAnsi="宋体" w:cs="宋体"/>
                <w:w w:val="99"/>
                <w:kern w:val="2"/>
                <w:sz w:val="21"/>
                <w:szCs w:val="21"/>
                <w:highlight w:val="none"/>
              </w:rPr>
              <w:t>01制冷压缩机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114A5DCF">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冷水机组</w:t>
            </w:r>
          </w:p>
        </w:tc>
        <w:tc>
          <w:tcPr>
            <w:tcW w:w="4138" w:type="dxa"/>
            <w:tcBorders>
              <w:top w:val="single" w:color="000000" w:sz="4" w:space="0"/>
              <w:left w:val="single" w:color="000000" w:sz="4" w:space="0"/>
              <w:bottom w:val="single" w:color="000000" w:sz="4" w:space="0"/>
              <w:right w:val="single" w:color="000000" w:sz="4" w:space="0"/>
            </w:tcBorders>
          </w:tcPr>
          <w:p w14:paraId="6CFD7BE7">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《冷水机组能效限定值及能效等级》（GB19577），《低环境温度空气源热泵（冷水）机组能效限定值及能效等级》（GB37480）</w:t>
            </w:r>
          </w:p>
        </w:tc>
      </w:tr>
      <w:tr w14:paraId="0E2B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7813D34">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415AC3E">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4E7D6A6A">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3C683E92">
            <w:pPr>
              <w:jc w:val="center"/>
              <w:rPr>
                <w:rFonts w:hint="eastAsia" w:ascii="宋体" w:hAnsi="宋体" w:cs="宋体"/>
                <w:sz w:val="21"/>
                <w:szCs w:val="21"/>
                <w:highlight w:val="none"/>
              </w:rPr>
            </w:pPr>
            <w:r>
              <w:rPr>
                <w:rFonts w:hint="eastAsia" w:ascii="宋体" w:hAnsi="宋体" w:cs="宋体"/>
                <w:sz w:val="21"/>
                <w:szCs w:val="21"/>
                <w:highlight w:val="none"/>
              </w:rPr>
              <w:t>溴化锂吸收式冷水机组</w:t>
            </w:r>
          </w:p>
        </w:tc>
        <w:tc>
          <w:tcPr>
            <w:tcW w:w="4138" w:type="dxa"/>
            <w:tcBorders>
              <w:top w:val="single" w:color="000000" w:sz="4" w:space="0"/>
              <w:left w:val="single" w:color="000000" w:sz="4" w:space="0"/>
              <w:bottom w:val="single" w:color="000000" w:sz="4" w:space="0"/>
              <w:right w:val="single" w:color="000000" w:sz="4" w:space="0"/>
            </w:tcBorders>
            <w:vAlign w:val="center"/>
          </w:tcPr>
          <w:p w14:paraId="06354D9F">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《溴化锂吸收式冷水机组能效限</w:t>
            </w:r>
          </w:p>
          <w:p w14:paraId="45EF736D">
            <w:pPr>
              <w:spacing w:before="131" w:line="276" w:lineRule="auto"/>
              <w:ind w:right="4"/>
              <w:rPr>
                <w:rFonts w:hint="eastAsia" w:ascii="宋体" w:hAnsi="宋体" w:cs="宋体"/>
                <w:spacing w:val="10"/>
                <w:sz w:val="21"/>
                <w:szCs w:val="21"/>
                <w:highlight w:val="none"/>
              </w:rPr>
            </w:pPr>
            <w:r>
              <w:rPr>
                <w:rFonts w:hint="eastAsia" w:ascii="宋体" w:hAnsi="宋体" w:cs="宋体"/>
                <w:spacing w:val="10"/>
                <w:sz w:val="21"/>
                <w:szCs w:val="21"/>
                <w:highlight w:val="none"/>
              </w:rPr>
              <w:t>定值及能效等级》（GB29540）</w:t>
            </w:r>
          </w:p>
        </w:tc>
      </w:tr>
      <w:tr w14:paraId="3F30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6078A77">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2A57D21F">
            <w:pPr>
              <w:widowControl/>
              <w:jc w:val="left"/>
              <w:rPr>
                <w:rFonts w:hint="eastAsia" w:ascii="宋体" w:hAnsi="宋体" w:cs="宋体"/>
                <w:sz w:val="21"/>
                <w:szCs w:val="21"/>
                <w:highlight w:val="none"/>
              </w:rPr>
            </w:pP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0624AF67">
            <w:pPr>
              <w:pStyle w:val="68"/>
              <w:spacing w:line="276" w:lineRule="auto"/>
              <w:ind w:right="5"/>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★A02052305空调机组</w:t>
            </w:r>
          </w:p>
        </w:tc>
        <w:tc>
          <w:tcPr>
            <w:tcW w:w="1536" w:type="dxa"/>
            <w:tcBorders>
              <w:top w:val="single" w:color="000000" w:sz="4" w:space="0"/>
              <w:left w:val="single" w:color="000000" w:sz="4" w:space="0"/>
              <w:bottom w:val="single" w:color="000000" w:sz="4" w:space="0"/>
              <w:right w:val="single" w:color="000000" w:sz="4" w:space="0"/>
            </w:tcBorders>
            <w:vAlign w:val="center"/>
          </w:tcPr>
          <w:p w14:paraId="4869C87A">
            <w:pPr>
              <w:pStyle w:val="68"/>
              <w:spacing w:before="4" w:line="276" w:lineRule="auto"/>
              <w:ind w:left="7" w:righ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多联式空调（热泵）机组（制冷量&gt;14000W）</w:t>
            </w:r>
          </w:p>
        </w:tc>
        <w:tc>
          <w:tcPr>
            <w:tcW w:w="4138" w:type="dxa"/>
            <w:tcBorders>
              <w:top w:val="single" w:color="000000" w:sz="4" w:space="0"/>
              <w:left w:val="single" w:color="000000" w:sz="4" w:space="0"/>
              <w:bottom w:val="single" w:color="000000" w:sz="4" w:space="0"/>
              <w:right w:val="single" w:color="000000" w:sz="4" w:space="0"/>
            </w:tcBorders>
          </w:tcPr>
          <w:p w14:paraId="1D3CC3CB">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3B9D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3005635C">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59C1952A">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728456CE">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5A0301EA">
            <w:pPr>
              <w:jc w:val="center"/>
              <w:rPr>
                <w:rFonts w:hint="eastAsia" w:ascii="宋体" w:hAnsi="宋体" w:cs="宋体"/>
                <w:sz w:val="21"/>
                <w:szCs w:val="21"/>
                <w:highlight w:val="none"/>
              </w:rPr>
            </w:pPr>
            <w:r>
              <w:rPr>
                <w:rFonts w:hint="eastAsia" w:ascii="宋体" w:hAnsi="宋体" w:cs="宋体"/>
                <w:w w:val="99"/>
                <w:sz w:val="21"/>
                <w:szCs w:val="21"/>
                <w:highlight w:val="none"/>
              </w:rPr>
              <w:t>单元式空气调节机</w:t>
            </w:r>
          </w:p>
        </w:tc>
        <w:tc>
          <w:tcPr>
            <w:tcW w:w="4138" w:type="dxa"/>
            <w:tcBorders>
              <w:top w:val="single" w:color="000000" w:sz="4" w:space="0"/>
              <w:left w:val="single" w:color="000000" w:sz="4" w:space="0"/>
              <w:bottom w:val="single" w:color="000000" w:sz="4" w:space="0"/>
              <w:right w:val="single" w:color="000000" w:sz="4" w:space="0"/>
            </w:tcBorders>
          </w:tcPr>
          <w:p w14:paraId="406D4932">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《单元式空气调节机能效限定值及能效等级》（GB19576）《风管送风式空调机组能效限定值及能效等级》（GB37479）</w:t>
            </w:r>
          </w:p>
        </w:tc>
      </w:tr>
      <w:tr w14:paraId="1F5D3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32879D49">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17A9CE7E">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68636A7F">
            <w:pPr>
              <w:pStyle w:val="68"/>
              <w:spacing w:before="83"/>
              <w:ind w:left="7"/>
              <w:jc w:val="center"/>
              <w:rPr>
                <w:rFonts w:hint="eastAsia" w:ascii="宋体" w:hAnsi="宋体" w:cs="宋体"/>
                <w:w w:val="99"/>
                <w:kern w:val="2"/>
                <w:sz w:val="21"/>
                <w:szCs w:val="21"/>
                <w:highlight w:val="none"/>
                <w:lang w:eastAsia="zh-CN"/>
              </w:rPr>
            </w:pPr>
            <w:r>
              <w:rPr>
                <w:rFonts w:hint="eastAsia" w:ascii="宋体" w:hAnsi="宋体" w:cs="宋体"/>
                <w:w w:val="99"/>
                <w:kern w:val="2"/>
                <w:sz w:val="21"/>
                <w:szCs w:val="21"/>
                <w:highlight w:val="none"/>
                <w:lang w:eastAsia="zh-CN"/>
              </w:rPr>
              <w:t>★A02052309专用制冷、空调设备</w:t>
            </w:r>
          </w:p>
        </w:tc>
        <w:tc>
          <w:tcPr>
            <w:tcW w:w="1536" w:type="dxa"/>
            <w:tcBorders>
              <w:top w:val="single" w:color="000000" w:sz="4" w:space="0"/>
              <w:left w:val="single" w:color="000000" w:sz="4" w:space="0"/>
              <w:bottom w:val="single" w:color="000000" w:sz="4" w:space="0"/>
              <w:right w:val="single" w:color="000000" w:sz="4" w:space="0"/>
            </w:tcBorders>
            <w:vAlign w:val="center"/>
          </w:tcPr>
          <w:p w14:paraId="48F98937">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机房空调</w:t>
            </w:r>
          </w:p>
        </w:tc>
        <w:tc>
          <w:tcPr>
            <w:tcW w:w="4138" w:type="dxa"/>
            <w:tcBorders>
              <w:top w:val="single" w:color="000000" w:sz="4" w:space="0"/>
              <w:left w:val="single" w:color="000000" w:sz="4" w:space="0"/>
              <w:bottom w:val="single" w:color="000000" w:sz="4" w:space="0"/>
              <w:right w:val="single" w:color="000000" w:sz="4" w:space="0"/>
            </w:tcBorders>
          </w:tcPr>
          <w:p w14:paraId="2811DF3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w:t>
            </w:r>
          </w:p>
          <w:p w14:paraId="50AD31D2">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及能效等级》（GB19576）</w:t>
            </w:r>
          </w:p>
        </w:tc>
      </w:tr>
      <w:tr w14:paraId="61AD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5AAA230">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E1CFFF4">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0993F86E">
            <w:pPr>
              <w:pStyle w:val="68"/>
              <w:spacing w:line="254" w:lineRule="exact"/>
              <w:ind w:left="7"/>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A02052399其他制冷</w:t>
            </w:r>
          </w:p>
          <w:p w14:paraId="0CAE3DB3">
            <w:pPr>
              <w:pStyle w:val="68"/>
              <w:spacing w:line="254" w:lineRule="exact"/>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空调设备</w:t>
            </w:r>
          </w:p>
        </w:tc>
        <w:tc>
          <w:tcPr>
            <w:tcW w:w="1536" w:type="dxa"/>
            <w:tcBorders>
              <w:top w:val="single" w:color="000000" w:sz="4" w:space="0"/>
              <w:left w:val="single" w:color="000000" w:sz="4" w:space="0"/>
              <w:bottom w:val="single" w:color="000000" w:sz="4" w:space="0"/>
              <w:right w:val="single" w:color="000000" w:sz="4" w:space="0"/>
            </w:tcBorders>
            <w:vAlign w:val="center"/>
          </w:tcPr>
          <w:p w14:paraId="1381B62D">
            <w:pPr>
              <w:widowControl/>
              <w:jc w:val="center"/>
              <w:rPr>
                <w:rFonts w:hint="eastAsia" w:ascii="宋体" w:hAnsi="宋体" w:cs="宋体"/>
                <w:sz w:val="21"/>
                <w:szCs w:val="21"/>
                <w:highlight w:val="none"/>
                <w:lang w:eastAsia="en-US"/>
              </w:rPr>
            </w:pPr>
            <w:r>
              <w:rPr>
                <w:rFonts w:hint="eastAsia" w:ascii="宋体" w:hAnsi="宋体" w:cs="宋体"/>
                <w:w w:val="99"/>
                <w:sz w:val="21"/>
                <w:szCs w:val="21"/>
                <w:highlight w:val="none"/>
              </w:rPr>
              <w:t>冷却塔</w:t>
            </w:r>
          </w:p>
        </w:tc>
        <w:tc>
          <w:tcPr>
            <w:tcW w:w="4138" w:type="dxa"/>
            <w:tcBorders>
              <w:top w:val="single" w:color="000000" w:sz="4" w:space="0"/>
              <w:left w:val="single" w:color="000000" w:sz="4" w:space="0"/>
              <w:bottom w:val="single" w:color="000000" w:sz="4" w:space="0"/>
              <w:right w:val="single" w:color="000000" w:sz="4" w:space="0"/>
            </w:tcBorders>
          </w:tcPr>
          <w:p w14:paraId="72368E06">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《机械通风冷却塔第1部分：中小型开式冷却塔》（GB/T7190.1）</w:t>
            </w:r>
          </w:p>
          <w:p w14:paraId="31F3666E">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《机械通风冷却塔第2部分：大型开式冷却塔》（GB/T7190.2）</w:t>
            </w:r>
          </w:p>
        </w:tc>
      </w:tr>
      <w:tr w14:paraId="0684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51621D98">
            <w:pPr>
              <w:pStyle w:val="68"/>
              <w:ind w:right="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7</w:t>
            </w:r>
          </w:p>
        </w:tc>
        <w:tc>
          <w:tcPr>
            <w:tcW w:w="1697" w:type="dxa"/>
            <w:tcBorders>
              <w:top w:val="single" w:color="000000" w:sz="4" w:space="0"/>
              <w:left w:val="single" w:color="000000" w:sz="4" w:space="0"/>
              <w:bottom w:val="single" w:color="000000" w:sz="4" w:space="0"/>
              <w:right w:val="single" w:color="000000" w:sz="4" w:space="0"/>
            </w:tcBorders>
            <w:vAlign w:val="center"/>
          </w:tcPr>
          <w:p w14:paraId="3C1641E3">
            <w:pPr>
              <w:pStyle w:val="68"/>
              <w:jc w:val="center"/>
              <w:rPr>
                <w:rFonts w:hint="eastAsia" w:ascii="宋体" w:hAnsi="宋体" w:cs="宋体"/>
                <w:kern w:val="2"/>
                <w:sz w:val="21"/>
                <w:szCs w:val="21"/>
                <w:highlight w:val="none"/>
              </w:rPr>
            </w:pPr>
            <w:r>
              <w:rPr>
                <w:rFonts w:hint="eastAsia" w:ascii="宋体" w:hAnsi="宋体" w:cs="宋体"/>
                <w:kern w:val="2"/>
                <w:sz w:val="21"/>
                <w:szCs w:val="21"/>
                <w:highlight w:val="none"/>
              </w:rPr>
              <w:t>A02060100</w:t>
            </w:r>
            <w:r>
              <w:rPr>
                <w:rFonts w:hint="eastAsia" w:ascii="宋体" w:hAnsi="宋体" w:cs="宋体"/>
                <w:w w:val="99"/>
                <w:kern w:val="2"/>
                <w:sz w:val="21"/>
                <w:szCs w:val="21"/>
                <w:highlight w:val="none"/>
              </w:rPr>
              <w:t>电机</w:t>
            </w:r>
          </w:p>
        </w:tc>
        <w:tc>
          <w:tcPr>
            <w:tcW w:w="1546" w:type="dxa"/>
            <w:tcBorders>
              <w:top w:val="single" w:color="000000" w:sz="4" w:space="0"/>
              <w:left w:val="single" w:color="000000" w:sz="4" w:space="0"/>
              <w:bottom w:val="single" w:color="000000" w:sz="4" w:space="0"/>
              <w:right w:val="single" w:color="000000" w:sz="4" w:space="0"/>
            </w:tcBorders>
            <w:vAlign w:val="center"/>
          </w:tcPr>
          <w:p w14:paraId="3CEA69FF">
            <w:pPr>
              <w:jc w:val="center"/>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07F12EE3">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4AA0665F">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《中小型三相异步电动机能效限定值及能效等级》（GB18613）</w:t>
            </w:r>
          </w:p>
        </w:tc>
      </w:tr>
      <w:tr w14:paraId="6F57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18FD0524">
            <w:pPr>
              <w:pStyle w:val="68"/>
              <w:ind w:right="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8</w:t>
            </w:r>
          </w:p>
        </w:tc>
        <w:tc>
          <w:tcPr>
            <w:tcW w:w="1697" w:type="dxa"/>
            <w:tcBorders>
              <w:top w:val="single" w:color="000000" w:sz="4" w:space="0"/>
              <w:left w:val="single" w:color="000000" w:sz="4" w:space="0"/>
              <w:bottom w:val="single" w:color="000000" w:sz="4" w:space="0"/>
              <w:right w:val="single" w:color="000000" w:sz="4" w:space="0"/>
            </w:tcBorders>
            <w:vAlign w:val="center"/>
          </w:tcPr>
          <w:p w14:paraId="3DBB04D4">
            <w:pPr>
              <w:pStyle w:val="68"/>
              <w:spacing w:before="30"/>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A02060200</w:t>
            </w:r>
            <w:r>
              <w:rPr>
                <w:rFonts w:hint="eastAsia" w:ascii="宋体" w:hAnsi="宋体" w:cs="宋体"/>
                <w:w w:val="99"/>
                <w:kern w:val="2"/>
                <w:sz w:val="21"/>
                <w:szCs w:val="21"/>
                <w:highlight w:val="none"/>
              </w:rPr>
              <w:t>变压</w:t>
            </w:r>
          </w:p>
        </w:tc>
        <w:tc>
          <w:tcPr>
            <w:tcW w:w="1546" w:type="dxa"/>
            <w:tcBorders>
              <w:top w:val="single" w:color="000000" w:sz="4" w:space="0"/>
              <w:left w:val="single" w:color="000000" w:sz="4" w:space="0"/>
              <w:bottom w:val="single" w:color="000000" w:sz="4" w:space="0"/>
              <w:right w:val="single" w:color="000000" w:sz="4" w:space="0"/>
            </w:tcBorders>
            <w:vAlign w:val="center"/>
          </w:tcPr>
          <w:p w14:paraId="4AB50F2F">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配电变压器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1F145392">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69D6C52E">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《三相配电变压器能效限定值及能效等级》（GB 20052）</w:t>
            </w:r>
          </w:p>
        </w:tc>
      </w:tr>
      <w:tr w14:paraId="12931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04D5976A">
            <w:pPr>
              <w:pStyle w:val="68"/>
              <w:ind w:right="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9</w:t>
            </w:r>
          </w:p>
        </w:tc>
        <w:tc>
          <w:tcPr>
            <w:tcW w:w="1697" w:type="dxa"/>
            <w:tcBorders>
              <w:top w:val="single" w:color="000000" w:sz="4" w:space="0"/>
              <w:left w:val="single" w:color="000000" w:sz="4" w:space="0"/>
              <w:bottom w:val="single" w:color="000000" w:sz="4" w:space="0"/>
              <w:right w:val="single" w:color="000000" w:sz="4" w:space="0"/>
            </w:tcBorders>
            <w:vAlign w:val="center"/>
          </w:tcPr>
          <w:p w14:paraId="111E6F7D">
            <w:pPr>
              <w:pStyle w:val="68"/>
              <w:spacing w:before="126"/>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★A02060900镇流器</w:t>
            </w:r>
          </w:p>
        </w:tc>
        <w:tc>
          <w:tcPr>
            <w:tcW w:w="1546" w:type="dxa"/>
            <w:tcBorders>
              <w:top w:val="single" w:color="000000" w:sz="4" w:space="0"/>
              <w:left w:val="single" w:color="000000" w:sz="4" w:space="0"/>
              <w:bottom w:val="single" w:color="000000" w:sz="4" w:space="0"/>
              <w:right w:val="single" w:color="000000" w:sz="4" w:space="0"/>
            </w:tcBorders>
            <w:vAlign w:val="center"/>
          </w:tcPr>
          <w:p w14:paraId="57A7C7CE">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管型荧光灯镇流器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5AA908EB">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21C80C7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《管形荧光灯镇流器能效限定值及能效等级》（GB17896）</w:t>
            </w:r>
          </w:p>
        </w:tc>
      </w:tr>
      <w:tr w14:paraId="70FB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30CE642D">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10</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78E5CDC3">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A02061800生活用电器</w:t>
            </w:r>
          </w:p>
        </w:tc>
        <w:tc>
          <w:tcPr>
            <w:tcW w:w="1546" w:type="dxa"/>
            <w:tcBorders>
              <w:top w:val="single" w:color="000000" w:sz="4" w:space="0"/>
              <w:left w:val="single" w:color="000000" w:sz="4" w:space="0"/>
              <w:bottom w:val="single" w:color="000000" w:sz="4" w:space="0"/>
              <w:right w:val="single" w:color="000000" w:sz="4" w:space="0"/>
            </w:tcBorders>
            <w:vAlign w:val="center"/>
          </w:tcPr>
          <w:p w14:paraId="2313B39E">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A02061801电冰箱</w:t>
            </w:r>
          </w:p>
        </w:tc>
        <w:tc>
          <w:tcPr>
            <w:tcW w:w="1536" w:type="dxa"/>
            <w:tcBorders>
              <w:top w:val="single" w:color="000000" w:sz="4" w:space="0"/>
              <w:left w:val="single" w:color="000000" w:sz="4" w:space="0"/>
              <w:bottom w:val="single" w:color="000000" w:sz="4" w:space="0"/>
              <w:right w:val="single" w:color="000000" w:sz="4" w:space="0"/>
            </w:tcBorders>
            <w:vAlign w:val="center"/>
          </w:tcPr>
          <w:p w14:paraId="45DE7EF4">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03B9263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《家用电冰箱耗电量限定值及能效等级》（GB12021.2）</w:t>
            </w:r>
          </w:p>
        </w:tc>
      </w:tr>
      <w:tr w14:paraId="1336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A1CC16E">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C355A3A">
            <w:pPr>
              <w:widowControl/>
              <w:jc w:val="left"/>
              <w:rPr>
                <w:rFonts w:hint="eastAsia" w:ascii="宋体" w:hAnsi="宋体" w:cs="宋体"/>
                <w:sz w:val="21"/>
                <w:szCs w:val="21"/>
                <w:highlight w:val="none"/>
              </w:rPr>
            </w:pP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75D31E8F">
            <w:pPr>
              <w:pStyle w:val="68"/>
              <w:spacing w:before="171"/>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kern w:val="2"/>
                <w:sz w:val="21"/>
                <w:szCs w:val="21"/>
                <w:highlight w:val="none"/>
              </w:rPr>
              <w:t>A02061804</w:t>
            </w:r>
            <w:r>
              <w:rPr>
                <w:rFonts w:hint="eastAsia" w:ascii="宋体" w:hAnsi="宋体" w:cs="宋体"/>
                <w:w w:val="99"/>
                <w:kern w:val="2"/>
                <w:sz w:val="21"/>
                <w:szCs w:val="21"/>
                <w:highlight w:val="none"/>
              </w:rPr>
              <w:t>空调机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3F485CB2">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房间空气调节器</w:t>
            </w:r>
          </w:p>
        </w:tc>
        <w:tc>
          <w:tcPr>
            <w:tcW w:w="4138" w:type="dxa"/>
            <w:tcBorders>
              <w:top w:val="single" w:color="000000" w:sz="4" w:space="0"/>
              <w:left w:val="single" w:color="000000" w:sz="4" w:space="0"/>
              <w:bottom w:val="single" w:color="000000" w:sz="4" w:space="0"/>
              <w:right w:val="single" w:color="000000" w:sz="4" w:space="0"/>
            </w:tcBorders>
          </w:tcPr>
          <w:p w14:paraId="5618DF2C">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《房间空气调节器能效限定值及能效等级》（GB21455-2019）</w:t>
            </w:r>
          </w:p>
        </w:tc>
      </w:tr>
      <w:tr w14:paraId="6085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2ABC795F">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1B88EBCF">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6ECB23D0">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0229C493">
            <w:pPr>
              <w:pStyle w:val="68"/>
              <w:spacing w:before="4"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多联式空调（热泵）机组（制冷量≤ 14000W）</w:t>
            </w:r>
          </w:p>
        </w:tc>
        <w:tc>
          <w:tcPr>
            <w:tcW w:w="4138" w:type="dxa"/>
            <w:tcBorders>
              <w:top w:val="single" w:color="000000" w:sz="4" w:space="0"/>
              <w:left w:val="single" w:color="000000" w:sz="4" w:space="0"/>
              <w:bottom w:val="single" w:color="000000" w:sz="4" w:space="0"/>
              <w:right w:val="single" w:color="000000" w:sz="4" w:space="0"/>
            </w:tcBorders>
          </w:tcPr>
          <w:p w14:paraId="1766DEFF">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《多联式空调（热泵）机组能效限定值及能源效率等级》（GB21454）</w:t>
            </w:r>
          </w:p>
        </w:tc>
      </w:tr>
      <w:tr w14:paraId="029B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00919EB8">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6D82BB4D">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4B587D99">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1CD728EE">
            <w:pPr>
              <w:pStyle w:val="68"/>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单元式空气调节机（制冷量≤ 14000W）</w:t>
            </w:r>
          </w:p>
        </w:tc>
        <w:tc>
          <w:tcPr>
            <w:tcW w:w="4138" w:type="dxa"/>
            <w:tcBorders>
              <w:top w:val="single" w:color="000000" w:sz="4" w:space="0"/>
              <w:left w:val="single" w:color="000000" w:sz="4" w:space="0"/>
              <w:bottom w:val="single" w:color="000000" w:sz="4" w:space="0"/>
              <w:right w:val="single" w:color="000000" w:sz="4" w:space="0"/>
            </w:tcBorders>
          </w:tcPr>
          <w:p w14:paraId="0549FDD8">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《单元式空气调节机能效限定值及能源效率等级》（GB19576）《风管送风式空调机组能效限定值及能效等级》（GB37479）</w:t>
            </w:r>
          </w:p>
        </w:tc>
      </w:tr>
      <w:tr w14:paraId="7C01C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336A396F">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D2A29FA">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25990D5A">
            <w:pPr>
              <w:pStyle w:val="68"/>
              <w:spacing w:before="162"/>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A02061810</w:t>
            </w:r>
            <w:r>
              <w:rPr>
                <w:rFonts w:hint="eastAsia" w:ascii="宋体" w:hAnsi="宋体" w:cs="宋体"/>
                <w:w w:val="99"/>
                <w:kern w:val="2"/>
                <w:sz w:val="21"/>
                <w:szCs w:val="21"/>
                <w:highlight w:val="none"/>
              </w:rPr>
              <w:t>洗衣机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7BA1EBA4">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0DD9EA64">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《电动洗衣机能效水效限定值及等级》（GB12021.4）</w:t>
            </w:r>
          </w:p>
        </w:tc>
      </w:tr>
      <w:tr w14:paraId="5C37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6A9E6005">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58D68CD6">
            <w:pPr>
              <w:widowControl/>
              <w:jc w:val="left"/>
              <w:rPr>
                <w:rFonts w:hint="eastAsia" w:ascii="宋体" w:hAnsi="宋体" w:cs="宋体"/>
                <w:sz w:val="21"/>
                <w:szCs w:val="21"/>
                <w:highlight w:val="none"/>
              </w:rPr>
            </w:pPr>
          </w:p>
        </w:tc>
        <w:tc>
          <w:tcPr>
            <w:tcW w:w="1546" w:type="dxa"/>
            <w:vMerge w:val="restart"/>
            <w:tcBorders>
              <w:top w:val="single" w:color="000000" w:sz="4" w:space="0"/>
              <w:left w:val="single" w:color="000000" w:sz="4" w:space="0"/>
              <w:bottom w:val="single" w:color="000000" w:sz="4" w:space="0"/>
              <w:right w:val="single" w:color="000000" w:sz="4" w:space="0"/>
            </w:tcBorders>
            <w:vAlign w:val="center"/>
          </w:tcPr>
          <w:p w14:paraId="39E5D299">
            <w:pPr>
              <w:pStyle w:val="68"/>
              <w:spacing w:before="161"/>
              <w:jc w:val="center"/>
              <w:rPr>
                <w:rFonts w:hint="eastAsia" w:ascii="宋体" w:hAnsi="宋体" w:cs="宋体"/>
                <w:kern w:val="2"/>
                <w:sz w:val="21"/>
                <w:szCs w:val="21"/>
                <w:highlight w:val="none"/>
              </w:rPr>
            </w:pPr>
            <w:r>
              <w:rPr>
                <w:rFonts w:hint="eastAsia" w:ascii="宋体" w:hAnsi="宋体" w:cs="宋体"/>
                <w:kern w:val="2"/>
                <w:sz w:val="21"/>
                <w:szCs w:val="21"/>
                <w:highlight w:val="none"/>
              </w:rPr>
              <w:t>A02061819</w:t>
            </w:r>
            <w:r>
              <w:rPr>
                <w:rFonts w:hint="eastAsia" w:ascii="宋体" w:hAnsi="宋体" w:cs="宋体"/>
                <w:w w:val="99"/>
                <w:kern w:val="2"/>
                <w:sz w:val="21"/>
                <w:szCs w:val="21"/>
                <w:highlight w:val="none"/>
              </w:rPr>
              <w:t>热水器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40CCFDCA">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138" w:type="dxa"/>
            <w:tcBorders>
              <w:top w:val="single" w:color="000000" w:sz="4" w:space="0"/>
              <w:left w:val="single" w:color="000000" w:sz="4" w:space="0"/>
              <w:bottom w:val="single" w:color="000000" w:sz="4" w:space="0"/>
              <w:right w:val="single" w:color="000000" w:sz="4" w:space="0"/>
            </w:tcBorders>
          </w:tcPr>
          <w:p w14:paraId="13310FCB">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《储水式电热水器能效限定值及能效等级》（GB21519）</w:t>
            </w:r>
          </w:p>
        </w:tc>
      </w:tr>
      <w:tr w14:paraId="692E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BB4DD95">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44A59131">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1EBFEC81">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43E0D353">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燃气热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138" w:type="dxa"/>
            <w:tcBorders>
              <w:top w:val="single" w:color="000000" w:sz="4" w:space="0"/>
              <w:left w:val="single" w:color="000000" w:sz="4" w:space="0"/>
              <w:bottom w:val="single" w:color="000000" w:sz="4" w:space="0"/>
              <w:right w:val="single" w:color="000000" w:sz="4" w:space="0"/>
            </w:tcBorders>
          </w:tcPr>
          <w:p w14:paraId="2317F56A">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《家用燃气快速热水器和燃气采暖热水炉能效限定值及能效等级》（GB20665）</w:t>
            </w:r>
          </w:p>
        </w:tc>
      </w:tr>
      <w:tr w14:paraId="17E2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3E48B1DA">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5DBDC87">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5EA7E2D6">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69B603A1">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热泵热</w:t>
            </w:r>
            <w:r>
              <w:rPr>
                <w:rFonts w:hint="eastAsia" w:ascii="宋体" w:hAnsi="宋体" w:cs="宋体"/>
                <w:spacing w:val="2"/>
                <w:w w:val="99"/>
                <w:kern w:val="2"/>
                <w:sz w:val="21"/>
                <w:szCs w:val="21"/>
                <w:highlight w:val="none"/>
              </w:rPr>
              <w:t>水</w:t>
            </w:r>
            <w:r>
              <w:rPr>
                <w:rFonts w:hint="eastAsia" w:ascii="宋体" w:hAnsi="宋体" w:cs="宋体"/>
                <w:w w:val="99"/>
                <w:kern w:val="2"/>
                <w:sz w:val="21"/>
                <w:szCs w:val="21"/>
                <w:highlight w:val="none"/>
              </w:rPr>
              <w:t>器</w:t>
            </w:r>
          </w:p>
        </w:tc>
        <w:tc>
          <w:tcPr>
            <w:tcW w:w="4138" w:type="dxa"/>
            <w:tcBorders>
              <w:top w:val="single" w:color="000000" w:sz="4" w:space="0"/>
              <w:left w:val="single" w:color="000000" w:sz="4" w:space="0"/>
              <w:bottom w:val="single" w:color="000000" w:sz="4" w:space="0"/>
              <w:right w:val="single" w:color="000000" w:sz="4" w:space="0"/>
            </w:tcBorders>
          </w:tcPr>
          <w:p w14:paraId="06B63A2B">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《热泵热水机（器）能效限定值及能效等级》（GB29541）</w:t>
            </w:r>
          </w:p>
        </w:tc>
      </w:tr>
      <w:tr w14:paraId="0097A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B269A3D">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72F7F0BF">
            <w:pPr>
              <w:widowControl/>
              <w:jc w:val="left"/>
              <w:rPr>
                <w:rFonts w:hint="eastAsia" w:ascii="宋体" w:hAnsi="宋体" w:cs="宋体"/>
                <w:sz w:val="21"/>
                <w:szCs w:val="21"/>
                <w:highlight w:val="none"/>
              </w:rPr>
            </w:pPr>
          </w:p>
        </w:tc>
        <w:tc>
          <w:tcPr>
            <w:tcW w:w="1546" w:type="dxa"/>
            <w:vMerge w:val="continue"/>
            <w:tcBorders>
              <w:top w:val="single" w:color="000000" w:sz="4" w:space="0"/>
              <w:left w:val="single" w:color="000000" w:sz="4" w:space="0"/>
              <w:bottom w:val="single" w:color="000000" w:sz="4" w:space="0"/>
              <w:right w:val="single" w:color="000000" w:sz="4" w:space="0"/>
            </w:tcBorders>
            <w:vAlign w:val="center"/>
          </w:tcPr>
          <w:p w14:paraId="2CDBC061">
            <w:pPr>
              <w:widowControl/>
              <w:jc w:val="left"/>
              <w:rPr>
                <w:rFonts w:hint="eastAsia" w:ascii="宋体" w:hAnsi="宋体" w:cs="宋体"/>
                <w:sz w:val="21"/>
                <w:szCs w:val="21"/>
                <w:highlight w:val="none"/>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05701FC9">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太阳能</w:t>
            </w:r>
            <w:r>
              <w:rPr>
                <w:rFonts w:hint="eastAsia" w:ascii="宋体" w:hAnsi="宋体" w:cs="宋体"/>
                <w:spacing w:val="2"/>
                <w:w w:val="99"/>
                <w:kern w:val="2"/>
                <w:sz w:val="21"/>
                <w:szCs w:val="21"/>
                <w:highlight w:val="none"/>
              </w:rPr>
              <w:t>热</w:t>
            </w:r>
            <w:r>
              <w:rPr>
                <w:rFonts w:hint="eastAsia" w:ascii="宋体" w:hAnsi="宋体" w:cs="宋体"/>
                <w:w w:val="99"/>
                <w:kern w:val="2"/>
                <w:sz w:val="21"/>
                <w:szCs w:val="21"/>
                <w:highlight w:val="none"/>
              </w:rPr>
              <w:t>水系统</w:t>
            </w:r>
          </w:p>
        </w:tc>
        <w:tc>
          <w:tcPr>
            <w:tcW w:w="4138" w:type="dxa"/>
            <w:tcBorders>
              <w:top w:val="single" w:color="000000" w:sz="4" w:space="0"/>
              <w:left w:val="single" w:color="000000" w:sz="4" w:space="0"/>
              <w:bottom w:val="single" w:color="000000" w:sz="4" w:space="0"/>
              <w:right w:val="single" w:color="000000" w:sz="4" w:space="0"/>
            </w:tcBorders>
          </w:tcPr>
          <w:p w14:paraId="39800DA1">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《家用太阳能热水系统能效限定值及能效等级》（GB26969）</w:t>
            </w:r>
          </w:p>
        </w:tc>
      </w:tr>
      <w:tr w14:paraId="5DC2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5523C211">
            <w:pPr>
              <w:pStyle w:val="68"/>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57D8F9CA">
            <w:pPr>
              <w:pStyle w:val="68"/>
              <w:spacing w:before="157"/>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06</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900照明设备</w:t>
            </w:r>
          </w:p>
        </w:tc>
        <w:tc>
          <w:tcPr>
            <w:tcW w:w="1546" w:type="dxa"/>
            <w:tcBorders>
              <w:top w:val="single" w:color="000000" w:sz="4" w:space="0"/>
              <w:left w:val="single" w:color="000000" w:sz="4" w:space="0"/>
              <w:bottom w:val="single" w:color="000000" w:sz="4" w:space="0"/>
              <w:right w:val="single" w:color="000000" w:sz="4" w:space="0"/>
            </w:tcBorders>
            <w:vAlign w:val="center"/>
          </w:tcPr>
          <w:p w14:paraId="39F3AA1A">
            <w:pPr>
              <w:pStyle w:val="68"/>
              <w:spacing w:before="133" w:line="276" w:lineRule="auto"/>
              <w:ind w:left="7"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★普通照明用双端荧光灯</w:t>
            </w:r>
          </w:p>
        </w:tc>
        <w:tc>
          <w:tcPr>
            <w:tcW w:w="1536" w:type="dxa"/>
            <w:tcBorders>
              <w:top w:val="single" w:color="000000" w:sz="4" w:space="0"/>
              <w:left w:val="single" w:color="000000" w:sz="4" w:space="0"/>
              <w:bottom w:val="single" w:color="000000" w:sz="4" w:space="0"/>
              <w:right w:val="single" w:color="000000" w:sz="4" w:space="0"/>
            </w:tcBorders>
            <w:vAlign w:val="center"/>
          </w:tcPr>
          <w:p w14:paraId="53D17A9D">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2659CAB4">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《普通照明用双端荧光灯能效限定值及能效等级》（GB19043）</w:t>
            </w:r>
          </w:p>
        </w:tc>
      </w:tr>
      <w:tr w14:paraId="4190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7BE8E7FA">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31185A75">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0E52FF11">
            <w:pPr>
              <w:pStyle w:val="68"/>
              <w:spacing w:before="92" w:line="276" w:lineRule="auto"/>
              <w:ind w:left="7" w:right="2"/>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w:t>
            </w:r>
            <w:r>
              <w:rPr>
                <w:rFonts w:hint="eastAsia" w:ascii="宋体" w:hAnsi="宋体" w:cs="宋体"/>
                <w:spacing w:val="12"/>
                <w:w w:val="99"/>
                <w:kern w:val="2"/>
                <w:sz w:val="21"/>
                <w:szCs w:val="21"/>
                <w:highlight w:val="none"/>
              </w:rPr>
              <w:t>道</w:t>
            </w:r>
            <w:r>
              <w:rPr>
                <w:rFonts w:hint="eastAsia" w:ascii="宋体" w:hAnsi="宋体" w:cs="宋体"/>
                <w:spacing w:val="9"/>
                <w:w w:val="99"/>
                <w:kern w:val="2"/>
                <w:sz w:val="21"/>
                <w:szCs w:val="21"/>
                <w:highlight w:val="none"/>
              </w:rPr>
              <w:t>路</w:t>
            </w:r>
            <w:r>
              <w:rPr>
                <w:rFonts w:hint="eastAsia" w:ascii="宋体" w:hAnsi="宋体" w:cs="宋体"/>
                <w:spacing w:val="13"/>
                <w:w w:val="99"/>
                <w:kern w:val="2"/>
                <w:sz w:val="21"/>
                <w:szCs w:val="21"/>
                <w:highlight w:val="none"/>
              </w:rPr>
              <w:t>/</w:t>
            </w:r>
            <w:r>
              <w:rPr>
                <w:rFonts w:hint="eastAsia" w:ascii="宋体" w:hAnsi="宋体" w:cs="宋体"/>
                <w:spacing w:val="12"/>
                <w:w w:val="99"/>
                <w:kern w:val="2"/>
                <w:sz w:val="21"/>
                <w:szCs w:val="21"/>
                <w:highlight w:val="none"/>
              </w:rPr>
              <w:t>隧道照</w:t>
            </w:r>
            <w:r>
              <w:rPr>
                <w:rFonts w:hint="eastAsia" w:ascii="宋体" w:hAnsi="宋体" w:cs="宋体"/>
                <w:w w:val="99"/>
                <w:kern w:val="2"/>
                <w:sz w:val="21"/>
                <w:szCs w:val="21"/>
                <w:highlight w:val="none"/>
              </w:rPr>
              <w:t>明产品</w:t>
            </w:r>
          </w:p>
        </w:tc>
        <w:tc>
          <w:tcPr>
            <w:tcW w:w="1536" w:type="dxa"/>
            <w:tcBorders>
              <w:top w:val="single" w:color="000000" w:sz="4" w:space="0"/>
              <w:left w:val="single" w:color="000000" w:sz="4" w:space="0"/>
              <w:bottom w:val="single" w:color="000000" w:sz="4" w:space="0"/>
              <w:right w:val="single" w:color="000000" w:sz="4" w:space="0"/>
            </w:tcBorders>
            <w:vAlign w:val="center"/>
          </w:tcPr>
          <w:p w14:paraId="210FEA5F">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7A9F0504">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《道路和隧道照明用LED灯具能效限定值及能效等级》（GB37478）</w:t>
            </w:r>
          </w:p>
        </w:tc>
      </w:tr>
      <w:tr w14:paraId="60FB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5BE865BF">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7D94310A">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392A58F9">
            <w:pPr>
              <w:pStyle w:val="68"/>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LE</w:t>
            </w:r>
            <w:r>
              <w:rPr>
                <w:rFonts w:hint="eastAsia" w:ascii="宋体" w:hAnsi="宋体" w:cs="宋体"/>
                <w:w w:val="99"/>
                <w:kern w:val="2"/>
                <w:sz w:val="21"/>
                <w:szCs w:val="21"/>
                <w:highlight w:val="none"/>
              </w:rPr>
              <w:t>D筒灯</w:t>
            </w:r>
          </w:p>
        </w:tc>
        <w:tc>
          <w:tcPr>
            <w:tcW w:w="1536" w:type="dxa"/>
            <w:tcBorders>
              <w:top w:val="single" w:color="000000" w:sz="4" w:space="0"/>
              <w:left w:val="single" w:color="000000" w:sz="4" w:space="0"/>
              <w:bottom w:val="single" w:color="000000" w:sz="4" w:space="0"/>
              <w:right w:val="single" w:color="000000" w:sz="4" w:space="0"/>
            </w:tcBorders>
            <w:vAlign w:val="center"/>
          </w:tcPr>
          <w:p w14:paraId="28A42A8A">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3D00C10E">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128B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1B9BBD64">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40BD6D56">
            <w:pPr>
              <w:widowControl/>
              <w:jc w:val="left"/>
              <w:rPr>
                <w:rFonts w:hint="eastAsia" w:ascii="宋体" w:hAnsi="宋体" w:cs="宋体"/>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3E184513">
            <w:pPr>
              <w:pStyle w:val="68"/>
              <w:spacing w:line="276" w:lineRule="auto"/>
              <w:ind w:right="7"/>
              <w:jc w:val="center"/>
              <w:rPr>
                <w:rFonts w:hint="eastAsia" w:ascii="宋体" w:hAnsi="宋体" w:cs="宋体"/>
                <w:kern w:val="2"/>
                <w:sz w:val="21"/>
                <w:szCs w:val="21"/>
                <w:highlight w:val="none"/>
                <w:lang w:eastAsia="zh-CN"/>
              </w:rPr>
            </w:pPr>
            <w:r>
              <w:rPr>
                <w:rFonts w:hint="eastAsia" w:ascii="宋体" w:hAnsi="宋体" w:cs="宋体"/>
                <w:w w:val="99"/>
                <w:kern w:val="2"/>
                <w:sz w:val="21"/>
                <w:szCs w:val="21"/>
                <w:highlight w:val="none"/>
                <w:lang w:eastAsia="zh-CN"/>
              </w:rPr>
              <w:t>普</w:t>
            </w:r>
            <w:r>
              <w:rPr>
                <w:rFonts w:hint="eastAsia" w:ascii="宋体" w:hAnsi="宋体" w:cs="宋体"/>
                <w:spacing w:val="24"/>
                <w:w w:val="99"/>
                <w:kern w:val="2"/>
                <w:sz w:val="21"/>
                <w:szCs w:val="21"/>
                <w:highlight w:val="none"/>
                <w:lang w:eastAsia="zh-CN"/>
              </w:rPr>
              <w:t>通</w:t>
            </w:r>
            <w:r>
              <w:rPr>
                <w:rFonts w:hint="eastAsia" w:ascii="宋体" w:hAnsi="宋体" w:cs="宋体"/>
                <w:w w:val="99"/>
                <w:kern w:val="2"/>
                <w:sz w:val="21"/>
                <w:szCs w:val="21"/>
                <w:highlight w:val="none"/>
                <w:lang w:eastAsia="zh-CN"/>
              </w:rPr>
              <w:t>照明用非</w:t>
            </w:r>
            <w:r>
              <w:rPr>
                <w:rFonts w:hint="eastAsia" w:ascii="宋体" w:hAnsi="宋体" w:cs="宋体"/>
                <w:spacing w:val="24"/>
                <w:w w:val="99"/>
                <w:kern w:val="2"/>
                <w:sz w:val="21"/>
                <w:szCs w:val="21"/>
                <w:highlight w:val="none"/>
                <w:lang w:eastAsia="zh-CN"/>
              </w:rPr>
              <w:t>定</w:t>
            </w:r>
            <w:r>
              <w:rPr>
                <w:rFonts w:hint="eastAsia" w:ascii="宋体" w:hAnsi="宋体" w:cs="宋体"/>
                <w:w w:val="99"/>
                <w:kern w:val="2"/>
                <w:sz w:val="21"/>
                <w:szCs w:val="21"/>
                <w:highlight w:val="none"/>
                <w:lang w:eastAsia="zh-CN"/>
              </w:rPr>
              <w:t>向自镇流</w:t>
            </w:r>
            <w:r>
              <w:rPr>
                <w:rFonts w:hint="eastAsia" w:ascii="宋体" w:hAnsi="宋体" w:cs="宋体"/>
                <w:spacing w:val="1"/>
                <w:w w:val="99"/>
                <w:kern w:val="2"/>
                <w:sz w:val="21"/>
                <w:szCs w:val="21"/>
                <w:highlight w:val="none"/>
                <w:lang w:eastAsia="zh-CN"/>
              </w:rPr>
              <w:t>LE</w:t>
            </w:r>
            <w:r>
              <w:rPr>
                <w:rFonts w:hint="eastAsia" w:ascii="宋体" w:hAnsi="宋体" w:cs="宋体"/>
                <w:w w:val="99"/>
                <w:kern w:val="2"/>
                <w:sz w:val="21"/>
                <w:szCs w:val="21"/>
                <w:highlight w:val="none"/>
                <w:lang w:eastAsia="zh-CN"/>
              </w:rPr>
              <w:t>D灯</w:t>
            </w:r>
          </w:p>
        </w:tc>
        <w:tc>
          <w:tcPr>
            <w:tcW w:w="1536" w:type="dxa"/>
            <w:tcBorders>
              <w:top w:val="single" w:color="000000" w:sz="4" w:space="0"/>
              <w:left w:val="single" w:color="000000" w:sz="4" w:space="0"/>
              <w:bottom w:val="single" w:color="000000" w:sz="4" w:space="0"/>
              <w:right w:val="single" w:color="000000" w:sz="4" w:space="0"/>
            </w:tcBorders>
            <w:vAlign w:val="center"/>
          </w:tcPr>
          <w:p w14:paraId="441EB2A8">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68B8BF2E">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《室内照明用LED产品能效限定值及能效等级》（GB30255）</w:t>
            </w:r>
          </w:p>
        </w:tc>
      </w:tr>
      <w:tr w14:paraId="7EF2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01561016">
            <w:pPr>
              <w:pStyle w:val="68"/>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2</w:t>
            </w:r>
          </w:p>
        </w:tc>
        <w:tc>
          <w:tcPr>
            <w:tcW w:w="1697" w:type="dxa"/>
            <w:tcBorders>
              <w:top w:val="single" w:color="000000" w:sz="4" w:space="0"/>
              <w:left w:val="single" w:color="000000" w:sz="4" w:space="0"/>
              <w:bottom w:val="single" w:color="000000" w:sz="4" w:space="0"/>
              <w:right w:val="single" w:color="000000" w:sz="4" w:space="0"/>
            </w:tcBorders>
            <w:vAlign w:val="center"/>
          </w:tcPr>
          <w:p w14:paraId="5DB3BEAF">
            <w:pPr>
              <w:pStyle w:val="68"/>
              <w:spacing w:before="81"/>
              <w:ind w:left="7"/>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91000电视设备</w:t>
            </w:r>
          </w:p>
        </w:tc>
        <w:tc>
          <w:tcPr>
            <w:tcW w:w="1546" w:type="dxa"/>
            <w:tcBorders>
              <w:top w:val="single" w:color="000000" w:sz="4" w:space="0"/>
              <w:left w:val="single" w:color="000000" w:sz="4" w:space="0"/>
              <w:bottom w:val="single" w:color="000000" w:sz="4" w:space="0"/>
              <w:right w:val="single" w:color="000000" w:sz="4" w:space="0"/>
            </w:tcBorders>
            <w:vAlign w:val="center"/>
          </w:tcPr>
          <w:p w14:paraId="53A71D3C">
            <w:pPr>
              <w:pStyle w:val="68"/>
              <w:spacing w:before="81" w:line="276" w:lineRule="auto"/>
              <w:ind w:left="7" w:right="5"/>
              <w:jc w:val="center"/>
              <w:rPr>
                <w:rFonts w:hint="eastAsia" w:ascii="宋体" w:hAnsi="宋体" w:cs="宋体"/>
                <w:kern w:val="2"/>
                <w:sz w:val="21"/>
                <w:szCs w:val="21"/>
                <w:highlight w:val="none"/>
                <w:lang w:eastAsia="zh-CN"/>
              </w:rPr>
            </w:pPr>
            <w:r>
              <w:rPr>
                <w:rFonts w:hint="eastAsia" w:ascii="宋体" w:hAnsi="宋体" w:cs="宋体"/>
                <w:spacing w:val="1"/>
                <w:w w:val="99"/>
                <w:kern w:val="2"/>
                <w:sz w:val="21"/>
                <w:szCs w:val="21"/>
                <w:highlight w:val="none"/>
                <w:lang w:eastAsia="zh-CN"/>
              </w:rPr>
              <w:t>A02</w:t>
            </w:r>
            <w:r>
              <w:rPr>
                <w:rFonts w:hint="eastAsia" w:ascii="宋体" w:hAnsi="宋体" w:cs="宋体"/>
                <w:w w:val="99"/>
                <w:kern w:val="2"/>
                <w:sz w:val="21"/>
                <w:szCs w:val="21"/>
                <w:highlight w:val="none"/>
                <w:lang w:eastAsia="zh-CN"/>
              </w:rPr>
              <w:t>09</w:t>
            </w:r>
            <w:r>
              <w:rPr>
                <w:rFonts w:hint="eastAsia" w:ascii="宋体" w:hAnsi="宋体" w:cs="宋体"/>
                <w:spacing w:val="1"/>
                <w:w w:val="99"/>
                <w:kern w:val="2"/>
                <w:sz w:val="21"/>
                <w:szCs w:val="21"/>
                <w:highlight w:val="none"/>
                <w:lang w:eastAsia="zh-CN"/>
              </w:rPr>
              <w:t>1</w:t>
            </w:r>
            <w:r>
              <w:rPr>
                <w:rFonts w:hint="eastAsia" w:ascii="宋体" w:hAnsi="宋体" w:cs="宋体"/>
                <w:w w:val="99"/>
                <w:kern w:val="2"/>
                <w:sz w:val="21"/>
                <w:szCs w:val="21"/>
                <w:highlight w:val="none"/>
                <w:lang w:eastAsia="zh-CN"/>
              </w:rPr>
              <w:t>001普通电视设备（</w:t>
            </w:r>
            <w:r>
              <w:rPr>
                <w:rFonts w:hint="eastAsia" w:ascii="宋体" w:hAnsi="宋体" w:cs="宋体"/>
                <w:spacing w:val="2"/>
                <w:w w:val="99"/>
                <w:kern w:val="2"/>
                <w:sz w:val="21"/>
                <w:szCs w:val="21"/>
                <w:highlight w:val="none"/>
                <w:lang w:eastAsia="zh-CN"/>
              </w:rPr>
              <w:t>电</w:t>
            </w:r>
            <w:r>
              <w:rPr>
                <w:rFonts w:hint="eastAsia" w:ascii="宋体" w:hAnsi="宋体" w:cs="宋体"/>
                <w:w w:val="99"/>
                <w:kern w:val="2"/>
                <w:sz w:val="21"/>
                <w:szCs w:val="21"/>
                <w:highlight w:val="none"/>
                <w:lang w:eastAsia="zh-CN"/>
              </w:rPr>
              <w:t>视机）</w:t>
            </w:r>
          </w:p>
        </w:tc>
        <w:tc>
          <w:tcPr>
            <w:tcW w:w="1536" w:type="dxa"/>
            <w:tcBorders>
              <w:top w:val="single" w:color="000000" w:sz="4" w:space="0"/>
              <w:left w:val="single" w:color="000000" w:sz="4" w:space="0"/>
              <w:bottom w:val="single" w:color="000000" w:sz="4" w:space="0"/>
              <w:right w:val="single" w:color="000000" w:sz="4" w:space="0"/>
            </w:tcBorders>
            <w:vAlign w:val="center"/>
          </w:tcPr>
          <w:p w14:paraId="4D196E0C">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639FA7BC">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《平板电视能效限定值及能效等级》（GB24850）</w:t>
            </w:r>
          </w:p>
        </w:tc>
      </w:tr>
      <w:tr w14:paraId="39CA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43E08B14">
            <w:pPr>
              <w:pStyle w:val="68"/>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3</w:t>
            </w:r>
          </w:p>
        </w:tc>
        <w:tc>
          <w:tcPr>
            <w:tcW w:w="1697" w:type="dxa"/>
            <w:tcBorders>
              <w:top w:val="single" w:color="000000" w:sz="4" w:space="0"/>
              <w:left w:val="single" w:color="000000" w:sz="4" w:space="0"/>
              <w:bottom w:val="single" w:color="000000" w:sz="4" w:space="0"/>
              <w:right w:val="single" w:color="000000" w:sz="4" w:space="0"/>
            </w:tcBorders>
            <w:vAlign w:val="center"/>
          </w:tcPr>
          <w:p w14:paraId="18445FE6">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w:t>
            </w:r>
            <w:r>
              <w:rPr>
                <w:rFonts w:hint="eastAsia" w:ascii="宋体" w:hAnsi="宋体" w:cs="宋体"/>
                <w:spacing w:val="1"/>
                <w:w w:val="99"/>
                <w:kern w:val="2"/>
                <w:sz w:val="21"/>
                <w:szCs w:val="21"/>
                <w:highlight w:val="none"/>
              </w:rPr>
              <w:t>A020</w:t>
            </w:r>
            <w:r>
              <w:rPr>
                <w:rFonts w:hint="eastAsia" w:ascii="宋体" w:hAnsi="宋体" w:cs="宋体"/>
                <w:w w:val="99"/>
                <w:kern w:val="2"/>
                <w:sz w:val="21"/>
                <w:szCs w:val="21"/>
                <w:highlight w:val="none"/>
              </w:rPr>
              <w:t>91100视频设备</w:t>
            </w:r>
          </w:p>
        </w:tc>
        <w:tc>
          <w:tcPr>
            <w:tcW w:w="1546" w:type="dxa"/>
            <w:tcBorders>
              <w:top w:val="single" w:color="000000" w:sz="4" w:space="0"/>
              <w:left w:val="single" w:color="000000" w:sz="4" w:space="0"/>
              <w:bottom w:val="single" w:color="000000" w:sz="4" w:space="0"/>
              <w:right w:val="single" w:color="000000" w:sz="4" w:space="0"/>
            </w:tcBorders>
            <w:vAlign w:val="center"/>
          </w:tcPr>
          <w:p w14:paraId="121FC809">
            <w:pPr>
              <w:pStyle w:val="68"/>
              <w:spacing w:line="276" w:lineRule="auto"/>
              <w:ind w:right="5"/>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A02</w:t>
            </w:r>
            <w:r>
              <w:rPr>
                <w:rFonts w:hint="eastAsia" w:ascii="宋体" w:hAnsi="宋体" w:cs="宋体"/>
                <w:w w:val="99"/>
                <w:kern w:val="2"/>
                <w:sz w:val="21"/>
                <w:szCs w:val="21"/>
                <w:highlight w:val="none"/>
              </w:rPr>
              <w:t>09</w:t>
            </w: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107视频监控设备</w:t>
            </w:r>
          </w:p>
        </w:tc>
        <w:tc>
          <w:tcPr>
            <w:tcW w:w="1536" w:type="dxa"/>
            <w:tcBorders>
              <w:top w:val="single" w:color="000000" w:sz="4" w:space="0"/>
              <w:left w:val="single" w:color="000000" w:sz="4" w:space="0"/>
              <w:bottom w:val="single" w:color="000000" w:sz="4" w:space="0"/>
              <w:right w:val="single" w:color="000000" w:sz="4" w:space="0"/>
            </w:tcBorders>
            <w:vAlign w:val="center"/>
          </w:tcPr>
          <w:p w14:paraId="6849ADB3">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监视器</w:t>
            </w:r>
          </w:p>
        </w:tc>
        <w:tc>
          <w:tcPr>
            <w:tcW w:w="4138" w:type="dxa"/>
            <w:tcBorders>
              <w:top w:val="single" w:color="000000" w:sz="4" w:space="0"/>
              <w:left w:val="single" w:color="000000" w:sz="4" w:space="0"/>
              <w:bottom w:val="single" w:color="000000" w:sz="4" w:space="0"/>
              <w:right w:val="single" w:color="000000" w:sz="4" w:space="0"/>
            </w:tcBorders>
          </w:tcPr>
          <w:p w14:paraId="6D99A136">
            <w:pPr>
              <w:pStyle w:val="68"/>
              <w:spacing w:before="131" w:line="276" w:lineRule="auto"/>
              <w:ind w:left="7" w:right="4"/>
              <w:rPr>
                <w:rFonts w:hint="eastAsia" w:ascii="宋体" w:hAnsi="宋体" w:cs="宋体"/>
                <w:spacing w:val="10"/>
                <w:kern w:val="2"/>
                <w:sz w:val="21"/>
                <w:szCs w:val="21"/>
                <w:highlight w:val="none"/>
                <w:lang w:eastAsia="zh-CN"/>
              </w:rPr>
            </w:pPr>
            <w:r>
              <w:rPr>
                <w:rFonts w:hint="eastAsia" w:ascii="宋体" w:hAnsi="宋体" w:cs="宋体"/>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0297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2C3A8859">
            <w:pPr>
              <w:pStyle w:val="68"/>
              <w:jc w:val="center"/>
              <w:rPr>
                <w:rFonts w:hint="eastAsia" w:ascii="宋体" w:hAnsi="宋体" w:cs="宋体"/>
                <w:kern w:val="2"/>
                <w:sz w:val="21"/>
                <w:szCs w:val="21"/>
                <w:highlight w:val="none"/>
              </w:rPr>
            </w:pPr>
            <w:r>
              <w:rPr>
                <w:rFonts w:hint="eastAsia" w:ascii="宋体" w:hAnsi="宋体" w:cs="宋体"/>
                <w:spacing w:val="1"/>
                <w:w w:val="99"/>
                <w:kern w:val="2"/>
                <w:sz w:val="21"/>
                <w:szCs w:val="21"/>
                <w:highlight w:val="none"/>
              </w:rPr>
              <w:t>1</w:t>
            </w:r>
            <w:r>
              <w:rPr>
                <w:rFonts w:hint="eastAsia" w:ascii="宋体" w:hAnsi="宋体" w:cs="宋体"/>
                <w:w w:val="99"/>
                <w:kern w:val="2"/>
                <w:sz w:val="21"/>
                <w:szCs w:val="21"/>
                <w:highlight w:val="none"/>
              </w:rPr>
              <w:t>4</w:t>
            </w:r>
          </w:p>
        </w:tc>
        <w:tc>
          <w:tcPr>
            <w:tcW w:w="1697" w:type="dxa"/>
            <w:tcBorders>
              <w:top w:val="single" w:color="000000" w:sz="4" w:space="0"/>
              <w:left w:val="single" w:color="000000" w:sz="4" w:space="0"/>
              <w:bottom w:val="single" w:color="000000" w:sz="4" w:space="0"/>
              <w:right w:val="single" w:color="000000" w:sz="4" w:space="0"/>
            </w:tcBorders>
            <w:vAlign w:val="center"/>
          </w:tcPr>
          <w:p w14:paraId="5C8D82D1">
            <w:pPr>
              <w:pStyle w:val="68"/>
              <w:spacing w:before="76"/>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A02241000</w:t>
            </w:r>
            <w:r>
              <w:rPr>
                <w:rFonts w:hint="eastAsia" w:ascii="宋体" w:hAnsi="宋体" w:cs="宋体"/>
                <w:w w:val="99"/>
                <w:kern w:val="2"/>
                <w:sz w:val="21"/>
                <w:szCs w:val="21"/>
                <w:highlight w:val="none"/>
              </w:rPr>
              <w:t>饮食炊事机械</w:t>
            </w:r>
          </w:p>
        </w:tc>
        <w:tc>
          <w:tcPr>
            <w:tcW w:w="1546" w:type="dxa"/>
            <w:tcBorders>
              <w:top w:val="single" w:color="000000" w:sz="4" w:space="0"/>
              <w:left w:val="single" w:color="000000" w:sz="4" w:space="0"/>
              <w:bottom w:val="single" w:color="000000" w:sz="4" w:space="0"/>
              <w:right w:val="single" w:color="000000" w:sz="4" w:space="0"/>
            </w:tcBorders>
            <w:vAlign w:val="center"/>
          </w:tcPr>
          <w:p w14:paraId="3BE06684">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商用燃</w:t>
            </w:r>
            <w:r>
              <w:rPr>
                <w:rFonts w:hint="eastAsia" w:ascii="宋体" w:hAnsi="宋体" w:cs="宋体"/>
                <w:spacing w:val="2"/>
                <w:w w:val="99"/>
                <w:kern w:val="2"/>
                <w:sz w:val="21"/>
                <w:szCs w:val="21"/>
                <w:highlight w:val="none"/>
              </w:rPr>
              <w:t>气</w:t>
            </w:r>
            <w:r>
              <w:rPr>
                <w:rFonts w:hint="eastAsia" w:ascii="宋体" w:hAnsi="宋体" w:cs="宋体"/>
                <w:w w:val="99"/>
                <w:kern w:val="2"/>
                <w:sz w:val="21"/>
                <w:szCs w:val="21"/>
                <w:highlight w:val="none"/>
              </w:rPr>
              <w:t>灶具</w:t>
            </w:r>
          </w:p>
        </w:tc>
        <w:tc>
          <w:tcPr>
            <w:tcW w:w="1536" w:type="dxa"/>
            <w:tcBorders>
              <w:top w:val="single" w:color="000000" w:sz="4" w:space="0"/>
              <w:left w:val="single" w:color="000000" w:sz="4" w:space="0"/>
              <w:bottom w:val="single" w:color="000000" w:sz="4" w:space="0"/>
              <w:right w:val="single" w:color="000000" w:sz="4" w:space="0"/>
            </w:tcBorders>
            <w:vAlign w:val="center"/>
          </w:tcPr>
          <w:p w14:paraId="2AC9A095">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14224AAD">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《商用燃气灶具能效限定值及能效等级》（GB30531）</w:t>
            </w:r>
          </w:p>
        </w:tc>
      </w:tr>
      <w:tr w14:paraId="1D79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restart"/>
            <w:tcBorders>
              <w:top w:val="single" w:color="000000" w:sz="4" w:space="0"/>
              <w:left w:val="single" w:color="000000" w:sz="4" w:space="0"/>
              <w:bottom w:val="single" w:color="000000" w:sz="4" w:space="0"/>
              <w:right w:val="single" w:color="000000" w:sz="4" w:space="0"/>
            </w:tcBorders>
            <w:vAlign w:val="center"/>
          </w:tcPr>
          <w:p w14:paraId="0841A968">
            <w:pPr>
              <w:jc w:val="center"/>
              <w:rPr>
                <w:rFonts w:hint="eastAsia" w:ascii="宋体" w:hAnsi="宋体" w:cs="宋体"/>
                <w:sz w:val="21"/>
                <w:szCs w:val="21"/>
                <w:highlight w:val="none"/>
              </w:rPr>
            </w:pPr>
            <w:r>
              <w:rPr>
                <w:rFonts w:hint="eastAsia" w:ascii="宋体" w:hAnsi="宋体" w:cs="宋体"/>
                <w:sz w:val="21"/>
                <w:szCs w:val="21"/>
                <w:highlight w:val="none"/>
              </w:rPr>
              <w:t>15</w:t>
            </w:r>
          </w:p>
        </w:tc>
        <w:tc>
          <w:tcPr>
            <w:tcW w:w="1697" w:type="dxa"/>
            <w:vMerge w:val="restart"/>
            <w:tcBorders>
              <w:top w:val="single" w:color="000000" w:sz="4" w:space="0"/>
              <w:left w:val="single" w:color="000000" w:sz="4" w:space="0"/>
              <w:bottom w:val="single" w:color="000000" w:sz="4" w:space="0"/>
              <w:right w:val="single" w:color="000000" w:sz="4" w:space="0"/>
            </w:tcBorders>
            <w:vAlign w:val="center"/>
          </w:tcPr>
          <w:p w14:paraId="5A0CB886">
            <w:pPr>
              <w:pStyle w:val="68"/>
              <w:jc w:val="center"/>
              <w:rPr>
                <w:rFonts w:hint="eastAsia" w:ascii="宋体" w:hAnsi="宋体" w:cs="宋体"/>
                <w:w w:val="99"/>
                <w:kern w:val="2"/>
                <w:sz w:val="21"/>
                <w:szCs w:val="21"/>
                <w:highlight w:val="none"/>
              </w:rPr>
            </w:pPr>
            <w:r>
              <w:rPr>
                <w:rFonts w:hint="eastAsia" w:ascii="宋体" w:hAnsi="宋体" w:cs="宋体"/>
                <w:w w:val="99"/>
                <w:kern w:val="2"/>
                <w:sz w:val="21"/>
                <w:szCs w:val="21"/>
                <w:highlight w:val="none"/>
              </w:rPr>
              <w:t>★</w:t>
            </w:r>
            <w:r>
              <w:rPr>
                <w:rFonts w:hint="eastAsia" w:ascii="宋体" w:hAnsi="宋体" w:cs="宋体"/>
                <w:kern w:val="2"/>
                <w:sz w:val="21"/>
                <w:szCs w:val="21"/>
                <w:highlight w:val="none"/>
              </w:rPr>
              <w:t>A05020105</w:t>
            </w:r>
            <w:r>
              <w:rPr>
                <w:rFonts w:hint="eastAsia" w:ascii="宋体" w:hAnsi="宋体" w:cs="宋体"/>
                <w:w w:val="99"/>
                <w:kern w:val="2"/>
                <w:sz w:val="21"/>
                <w:szCs w:val="21"/>
                <w:highlight w:val="none"/>
              </w:rPr>
              <w:t>便器</w:t>
            </w:r>
          </w:p>
        </w:tc>
        <w:tc>
          <w:tcPr>
            <w:tcW w:w="1546" w:type="dxa"/>
            <w:tcBorders>
              <w:top w:val="single" w:color="000000" w:sz="4" w:space="0"/>
              <w:left w:val="single" w:color="000000" w:sz="4" w:space="0"/>
              <w:bottom w:val="single" w:color="000000" w:sz="4" w:space="0"/>
              <w:right w:val="single" w:color="000000" w:sz="4" w:space="0"/>
            </w:tcBorders>
            <w:vAlign w:val="center"/>
          </w:tcPr>
          <w:p w14:paraId="350FD0ED">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坐便器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3ACEE000">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2D7439EA">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《坐便器水效限定值及水效等级》</w:t>
            </w:r>
          </w:p>
          <w:p w14:paraId="5EDE9EA5">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（GB25502）</w:t>
            </w:r>
          </w:p>
        </w:tc>
      </w:tr>
      <w:tr w14:paraId="5212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4A23A500">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547DDF98">
            <w:pPr>
              <w:widowControl/>
              <w:jc w:val="left"/>
              <w:rPr>
                <w:rFonts w:hint="eastAsia" w:ascii="宋体" w:hAnsi="宋体" w:cs="宋体"/>
                <w:w w:val="99"/>
                <w:sz w:val="21"/>
                <w:szCs w:val="21"/>
                <w:highlight w:val="none"/>
                <w:lang w:eastAsia="en-US"/>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7BF7A7F3">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蹲便器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66F31E65">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17E1F21E">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《蹲便器用水效率限定值及用水效率等级》（GB30717）</w:t>
            </w:r>
          </w:p>
        </w:tc>
      </w:tr>
      <w:tr w14:paraId="0D1C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Merge w:val="continue"/>
            <w:tcBorders>
              <w:top w:val="single" w:color="000000" w:sz="4" w:space="0"/>
              <w:left w:val="single" w:color="000000" w:sz="4" w:space="0"/>
              <w:bottom w:val="single" w:color="000000" w:sz="4" w:space="0"/>
              <w:right w:val="single" w:color="000000" w:sz="4" w:space="0"/>
            </w:tcBorders>
            <w:vAlign w:val="center"/>
          </w:tcPr>
          <w:p w14:paraId="1F1BDAEA">
            <w:pPr>
              <w:widowControl/>
              <w:jc w:val="left"/>
              <w:rPr>
                <w:rFonts w:hint="eastAsia" w:ascii="宋体" w:hAnsi="宋体" w:cs="宋体"/>
                <w:sz w:val="21"/>
                <w:szCs w:val="21"/>
                <w:highlight w:val="none"/>
              </w:rPr>
            </w:pPr>
          </w:p>
        </w:tc>
        <w:tc>
          <w:tcPr>
            <w:tcW w:w="1697" w:type="dxa"/>
            <w:vMerge w:val="continue"/>
            <w:tcBorders>
              <w:top w:val="single" w:color="000000" w:sz="4" w:space="0"/>
              <w:left w:val="single" w:color="000000" w:sz="4" w:space="0"/>
              <w:bottom w:val="single" w:color="000000" w:sz="4" w:space="0"/>
              <w:right w:val="single" w:color="000000" w:sz="4" w:space="0"/>
            </w:tcBorders>
            <w:vAlign w:val="center"/>
          </w:tcPr>
          <w:p w14:paraId="0AAA126F">
            <w:pPr>
              <w:widowControl/>
              <w:jc w:val="left"/>
              <w:rPr>
                <w:rFonts w:hint="eastAsia" w:ascii="宋体" w:hAnsi="宋体" w:cs="宋体"/>
                <w:w w:val="99"/>
                <w:sz w:val="21"/>
                <w:szCs w:val="21"/>
                <w:highlight w:val="none"/>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3991F47B">
            <w:pPr>
              <w:pStyle w:val="68"/>
              <w:jc w:val="center"/>
              <w:rPr>
                <w:rFonts w:hint="eastAsia" w:ascii="宋体" w:hAnsi="宋体" w:cs="宋体"/>
                <w:kern w:val="2"/>
                <w:sz w:val="21"/>
                <w:szCs w:val="21"/>
                <w:highlight w:val="none"/>
              </w:rPr>
            </w:pPr>
            <w:r>
              <w:rPr>
                <w:rFonts w:hint="eastAsia" w:ascii="宋体" w:hAnsi="宋体" w:cs="宋体"/>
                <w:w w:val="99"/>
                <w:kern w:val="2"/>
                <w:sz w:val="21"/>
                <w:szCs w:val="21"/>
                <w:highlight w:val="none"/>
              </w:rPr>
              <w:t>小便器</w:t>
            </w:r>
          </w:p>
        </w:tc>
        <w:tc>
          <w:tcPr>
            <w:tcW w:w="1536" w:type="dxa"/>
            <w:tcBorders>
              <w:top w:val="single" w:color="000000" w:sz="4" w:space="0"/>
              <w:left w:val="single" w:color="000000" w:sz="4" w:space="0"/>
              <w:bottom w:val="single" w:color="000000" w:sz="4" w:space="0"/>
              <w:right w:val="single" w:color="000000" w:sz="4" w:space="0"/>
            </w:tcBorders>
            <w:vAlign w:val="center"/>
          </w:tcPr>
          <w:p w14:paraId="2F5CE974">
            <w:pPr>
              <w:jc w:val="center"/>
              <w:rPr>
                <w:rFonts w:hint="eastAsia" w:ascii="宋体" w:hAnsi="宋体" w:cs="宋体"/>
                <w:sz w:val="21"/>
                <w:szCs w:val="21"/>
                <w:highlight w:val="none"/>
              </w:rPr>
            </w:pPr>
          </w:p>
        </w:tc>
        <w:tc>
          <w:tcPr>
            <w:tcW w:w="4138" w:type="dxa"/>
            <w:tcBorders>
              <w:top w:val="single" w:color="000000" w:sz="4" w:space="0"/>
              <w:left w:val="single" w:color="000000" w:sz="4" w:space="0"/>
              <w:bottom w:val="single" w:color="000000" w:sz="4" w:space="0"/>
              <w:right w:val="single" w:color="000000" w:sz="4" w:space="0"/>
            </w:tcBorders>
          </w:tcPr>
          <w:p w14:paraId="1A74C7A8">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kern w:val="2"/>
                <w:sz w:val="21"/>
                <w:szCs w:val="21"/>
                <w:highlight w:val="none"/>
                <w:lang w:eastAsia="zh-CN"/>
              </w:rPr>
              <w:t>《小便器用水效率限定值及用水效率等级》（GB28377）</w:t>
            </w:r>
          </w:p>
        </w:tc>
      </w:tr>
      <w:tr w14:paraId="30343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0EFFB1E8">
            <w:pPr>
              <w:pStyle w:val="68"/>
              <w:jc w:val="center"/>
              <w:rPr>
                <w:rFonts w:hint="eastAsia" w:ascii="宋体" w:hAnsi="宋体" w:cs="宋体"/>
                <w:kern w:val="2"/>
                <w:sz w:val="21"/>
                <w:szCs w:val="21"/>
                <w:highlight w:val="none"/>
              </w:rPr>
            </w:pPr>
            <w:r>
              <w:rPr>
                <w:rFonts w:hint="eastAsia" w:ascii="宋体" w:hAnsi="宋体" w:cs="宋体"/>
                <w:kern w:val="2"/>
                <w:sz w:val="21"/>
                <w:szCs w:val="21"/>
                <w:highlight w:val="none"/>
              </w:rPr>
              <w:t>16</w:t>
            </w:r>
          </w:p>
        </w:tc>
        <w:tc>
          <w:tcPr>
            <w:tcW w:w="1697" w:type="dxa"/>
            <w:tcBorders>
              <w:top w:val="single" w:color="000000" w:sz="4" w:space="0"/>
              <w:left w:val="single" w:color="000000" w:sz="4" w:space="0"/>
              <w:bottom w:val="single" w:color="000000" w:sz="4" w:space="0"/>
              <w:right w:val="single" w:color="000000" w:sz="4" w:space="0"/>
            </w:tcBorders>
            <w:vAlign w:val="center"/>
          </w:tcPr>
          <w:p w14:paraId="0258D3F9">
            <w:pPr>
              <w:pStyle w:val="68"/>
              <w:spacing w:before="153"/>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★A05020106水</w:t>
            </w:r>
            <w:r>
              <w:rPr>
                <w:rFonts w:hint="eastAsia" w:ascii="宋体" w:hAnsi="宋体" w:cs="宋体"/>
                <w:w w:val="99"/>
                <w:kern w:val="2"/>
                <w:sz w:val="21"/>
                <w:szCs w:val="21"/>
                <w:highlight w:val="none"/>
              </w:rPr>
              <w:t>嘴</w:t>
            </w:r>
          </w:p>
        </w:tc>
        <w:tc>
          <w:tcPr>
            <w:tcW w:w="1546" w:type="dxa"/>
            <w:tcBorders>
              <w:top w:val="single" w:color="000000" w:sz="4" w:space="0"/>
              <w:left w:val="single" w:color="000000" w:sz="4" w:space="0"/>
              <w:bottom w:val="single" w:color="000000" w:sz="4" w:space="0"/>
              <w:right w:val="single" w:color="000000" w:sz="4" w:space="0"/>
            </w:tcBorders>
            <w:vAlign w:val="center"/>
          </w:tcPr>
          <w:p w14:paraId="24C89DE6">
            <w:pPr>
              <w:jc w:val="center"/>
              <w:rPr>
                <w:rFonts w:hint="eastAsia" w:ascii="宋体" w:hAnsi="宋体" w:cs="宋体"/>
                <w:sz w:val="21"/>
                <w:szCs w:val="21"/>
                <w:highlight w:val="none"/>
                <w:lang w:eastAsia="en-US"/>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3F5E3B00">
            <w:pPr>
              <w:jc w:val="center"/>
              <w:rPr>
                <w:rFonts w:hint="eastAsia" w:ascii="宋体" w:hAnsi="宋体" w:cs="宋体"/>
                <w:sz w:val="21"/>
                <w:szCs w:val="21"/>
                <w:highlight w:val="none"/>
                <w:lang w:eastAsia="en-US"/>
              </w:rPr>
            </w:pPr>
          </w:p>
        </w:tc>
        <w:tc>
          <w:tcPr>
            <w:tcW w:w="4138" w:type="dxa"/>
            <w:tcBorders>
              <w:top w:val="single" w:color="000000" w:sz="4" w:space="0"/>
              <w:left w:val="single" w:color="000000" w:sz="4" w:space="0"/>
              <w:bottom w:val="single" w:color="000000" w:sz="4" w:space="0"/>
              <w:right w:val="single" w:color="000000" w:sz="4" w:space="0"/>
            </w:tcBorders>
          </w:tcPr>
          <w:p w14:paraId="1D0A538E">
            <w:pPr>
              <w:pStyle w:val="68"/>
              <w:spacing w:before="153"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《水嘴用水效率限定值及用水效</w:t>
            </w:r>
            <w:r>
              <w:rPr>
                <w:rFonts w:hint="eastAsia" w:ascii="宋体" w:hAnsi="宋体" w:cs="宋体"/>
                <w:kern w:val="2"/>
                <w:sz w:val="21"/>
                <w:szCs w:val="21"/>
                <w:highlight w:val="none"/>
                <w:lang w:eastAsia="zh-CN"/>
              </w:rPr>
              <w:t>率等级》（GB 25501）</w:t>
            </w:r>
          </w:p>
        </w:tc>
      </w:tr>
      <w:tr w14:paraId="3084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5F6C9F0C">
            <w:pPr>
              <w:pStyle w:val="68"/>
              <w:jc w:val="center"/>
              <w:rPr>
                <w:rFonts w:hint="eastAsia" w:ascii="宋体" w:hAnsi="宋体" w:cs="宋体"/>
                <w:kern w:val="2"/>
                <w:sz w:val="21"/>
                <w:szCs w:val="21"/>
                <w:highlight w:val="none"/>
              </w:rPr>
            </w:pPr>
            <w:r>
              <w:rPr>
                <w:rFonts w:hint="eastAsia" w:ascii="宋体" w:hAnsi="宋体" w:cs="宋体"/>
                <w:kern w:val="2"/>
                <w:sz w:val="21"/>
                <w:szCs w:val="21"/>
                <w:highlight w:val="none"/>
              </w:rPr>
              <w:t>17</w:t>
            </w:r>
          </w:p>
        </w:tc>
        <w:tc>
          <w:tcPr>
            <w:tcW w:w="1697" w:type="dxa"/>
            <w:tcBorders>
              <w:top w:val="single" w:color="000000" w:sz="4" w:space="0"/>
              <w:left w:val="single" w:color="000000" w:sz="4" w:space="0"/>
              <w:bottom w:val="single" w:color="000000" w:sz="4" w:space="0"/>
              <w:right w:val="single" w:color="000000" w:sz="4" w:space="0"/>
            </w:tcBorders>
            <w:vAlign w:val="center"/>
          </w:tcPr>
          <w:p w14:paraId="651E6CCB">
            <w:pPr>
              <w:pStyle w:val="68"/>
              <w:spacing w:before="112"/>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A05020107便器冲洗阀</w:t>
            </w:r>
          </w:p>
        </w:tc>
        <w:tc>
          <w:tcPr>
            <w:tcW w:w="1546" w:type="dxa"/>
            <w:tcBorders>
              <w:top w:val="single" w:color="000000" w:sz="4" w:space="0"/>
              <w:left w:val="single" w:color="000000" w:sz="4" w:space="0"/>
              <w:bottom w:val="single" w:color="000000" w:sz="4" w:space="0"/>
              <w:right w:val="single" w:color="000000" w:sz="4" w:space="0"/>
            </w:tcBorders>
            <w:vAlign w:val="center"/>
          </w:tcPr>
          <w:p w14:paraId="5B4094FD">
            <w:pPr>
              <w:jc w:val="center"/>
              <w:rPr>
                <w:rFonts w:hint="eastAsia" w:ascii="宋体" w:hAnsi="宋体" w:cs="宋体"/>
                <w:sz w:val="21"/>
                <w:szCs w:val="21"/>
                <w:highlight w:val="none"/>
                <w:lang w:eastAsia="en-US"/>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57A0A7AB">
            <w:pPr>
              <w:jc w:val="center"/>
              <w:rPr>
                <w:rFonts w:hint="eastAsia" w:ascii="宋体" w:hAnsi="宋体" w:cs="宋体"/>
                <w:sz w:val="21"/>
                <w:szCs w:val="21"/>
                <w:highlight w:val="none"/>
                <w:lang w:eastAsia="en-US"/>
              </w:rPr>
            </w:pPr>
          </w:p>
        </w:tc>
        <w:tc>
          <w:tcPr>
            <w:tcW w:w="4138" w:type="dxa"/>
            <w:tcBorders>
              <w:top w:val="single" w:color="000000" w:sz="4" w:space="0"/>
              <w:left w:val="single" w:color="000000" w:sz="4" w:space="0"/>
              <w:bottom w:val="single" w:color="000000" w:sz="4" w:space="0"/>
              <w:right w:val="single" w:color="000000" w:sz="4" w:space="0"/>
            </w:tcBorders>
          </w:tcPr>
          <w:p w14:paraId="494D2B54">
            <w:pPr>
              <w:pStyle w:val="68"/>
              <w:spacing w:before="112"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《便器冲洗阀用水效率限定值及</w:t>
            </w:r>
            <w:r>
              <w:rPr>
                <w:rFonts w:hint="eastAsia" w:ascii="宋体" w:hAnsi="宋体" w:cs="宋体"/>
                <w:kern w:val="2"/>
                <w:sz w:val="21"/>
                <w:szCs w:val="21"/>
                <w:highlight w:val="none"/>
                <w:lang w:eastAsia="zh-CN"/>
              </w:rPr>
              <w:t>用水效率等级》（GB28379）</w:t>
            </w:r>
          </w:p>
        </w:tc>
      </w:tr>
      <w:tr w14:paraId="78E0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tcBorders>
              <w:top w:val="single" w:color="000000" w:sz="4" w:space="0"/>
              <w:left w:val="single" w:color="000000" w:sz="4" w:space="0"/>
              <w:bottom w:val="single" w:color="000000" w:sz="4" w:space="0"/>
              <w:right w:val="single" w:color="000000" w:sz="4" w:space="0"/>
            </w:tcBorders>
            <w:vAlign w:val="center"/>
          </w:tcPr>
          <w:p w14:paraId="569B58BA">
            <w:pPr>
              <w:pStyle w:val="68"/>
              <w:jc w:val="center"/>
              <w:rPr>
                <w:rFonts w:hint="eastAsia" w:ascii="宋体" w:hAnsi="宋体" w:cs="宋体"/>
                <w:kern w:val="2"/>
                <w:sz w:val="21"/>
                <w:szCs w:val="21"/>
                <w:highlight w:val="none"/>
              </w:rPr>
            </w:pPr>
            <w:r>
              <w:rPr>
                <w:rFonts w:hint="eastAsia" w:ascii="宋体" w:hAnsi="宋体" w:cs="宋体"/>
                <w:kern w:val="2"/>
                <w:sz w:val="21"/>
                <w:szCs w:val="21"/>
                <w:highlight w:val="none"/>
              </w:rPr>
              <w:t>18</w:t>
            </w:r>
          </w:p>
        </w:tc>
        <w:tc>
          <w:tcPr>
            <w:tcW w:w="1697" w:type="dxa"/>
            <w:tcBorders>
              <w:top w:val="single" w:color="000000" w:sz="4" w:space="0"/>
              <w:left w:val="single" w:color="000000" w:sz="4" w:space="0"/>
              <w:bottom w:val="single" w:color="000000" w:sz="4" w:space="0"/>
              <w:right w:val="single" w:color="000000" w:sz="4" w:space="0"/>
            </w:tcBorders>
            <w:vAlign w:val="center"/>
          </w:tcPr>
          <w:p w14:paraId="20A7C5A4">
            <w:pPr>
              <w:pStyle w:val="68"/>
              <w:spacing w:before="131"/>
              <w:ind w:left="7"/>
              <w:jc w:val="center"/>
              <w:rPr>
                <w:rFonts w:hint="eastAsia" w:ascii="宋体" w:hAnsi="宋体" w:cs="宋体"/>
                <w:kern w:val="2"/>
                <w:sz w:val="21"/>
                <w:szCs w:val="21"/>
                <w:highlight w:val="none"/>
              </w:rPr>
            </w:pPr>
            <w:r>
              <w:rPr>
                <w:rFonts w:hint="eastAsia" w:ascii="宋体" w:hAnsi="宋体" w:cs="宋体"/>
                <w:kern w:val="2"/>
                <w:sz w:val="21"/>
                <w:szCs w:val="21"/>
                <w:highlight w:val="none"/>
              </w:rPr>
              <w:t>A05020110淋浴</w:t>
            </w:r>
            <w:r>
              <w:rPr>
                <w:rFonts w:hint="eastAsia" w:ascii="宋体" w:hAnsi="宋体" w:cs="宋体"/>
                <w:w w:val="99"/>
                <w:kern w:val="2"/>
                <w:sz w:val="21"/>
                <w:szCs w:val="21"/>
                <w:highlight w:val="none"/>
              </w:rPr>
              <w:t>器</w:t>
            </w:r>
          </w:p>
        </w:tc>
        <w:tc>
          <w:tcPr>
            <w:tcW w:w="1546" w:type="dxa"/>
            <w:tcBorders>
              <w:top w:val="single" w:color="000000" w:sz="4" w:space="0"/>
              <w:left w:val="single" w:color="000000" w:sz="4" w:space="0"/>
              <w:bottom w:val="single" w:color="000000" w:sz="4" w:space="0"/>
              <w:right w:val="single" w:color="000000" w:sz="4" w:space="0"/>
            </w:tcBorders>
            <w:vAlign w:val="center"/>
          </w:tcPr>
          <w:p w14:paraId="5F55F7E6">
            <w:pPr>
              <w:jc w:val="center"/>
              <w:rPr>
                <w:rFonts w:hint="eastAsia" w:ascii="宋体" w:hAnsi="宋体" w:cs="宋体"/>
                <w:sz w:val="21"/>
                <w:szCs w:val="21"/>
                <w:highlight w:val="none"/>
                <w:lang w:eastAsia="en-US"/>
              </w:rPr>
            </w:pPr>
          </w:p>
        </w:tc>
        <w:tc>
          <w:tcPr>
            <w:tcW w:w="1536" w:type="dxa"/>
            <w:tcBorders>
              <w:top w:val="single" w:color="000000" w:sz="4" w:space="0"/>
              <w:left w:val="single" w:color="000000" w:sz="4" w:space="0"/>
              <w:bottom w:val="single" w:color="000000" w:sz="4" w:space="0"/>
              <w:right w:val="single" w:color="000000" w:sz="4" w:space="0"/>
            </w:tcBorders>
            <w:vAlign w:val="center"/>
          </w:tcPr>
          <w:p w14:paraId="00140BCC">
            <w:pPr>
              <w:jc w:val="center"/>
              <w:rPr>
                <w:rFonts w:hint="eastAsia" w:ascii="宋体" w:hAnsi="宋体" w:cs="宋体"/>
                <w:sz w:val="21"/>
                <w:szCs w:val="21"/>
                <w:highlight w:val="none"/>
                <w:lang w:eastAsia="en-US"/>
              </w:rPr>
            </w:pPr>
          </w:p>
        </w:tc>
        <w:tc>
          <w:tcPr>
            <w:tcW w:w="4138" w:type="dxa"/>
            <w:tcBorders>
              <w:top w:val="single" w:color="000000" w:sz="4" w:space="0"/>
              <w:left w:val="single" w:color="000000" w:sz="4" w:space="0"/>
              <w:bottom w:val="single" w:color="000000" w:sz="4" w:space="0"/>
              <w:right w:val="single" w:color="000000" w:sz="4" w:space="0"/>
            </w:tcBorders>
          </w:tcPr>
          <w:p w14:paraId="1C155166">
            <w:pPr>
              <w:pStyle w:val="68"/>
              <w:spacing w:before="131" w:line="276" w:lineRule="auto"/>
              <w:ind w:left="7" w:right="4"/>
              <w:rPr>
                <w:rFonts w:hint="eastAsia" w:ascii="宋体" w:hAnsi="宋体" w:cs="宋体"/>
                <w:kern w:val="2"/>
                <w:sz w:val="21"/>
                <w:szCs w:val="21"/>
                <w:highlight w:val="none"/>
                <w:lang w:eastAsia="zh-CN"/>
              </w:rPr>
            </w:pPr>
            <w:r>
              <w:rPr>
                <w:rFonts w:hint="eastAsia" w:ascii="宋体" w:hAnsi="宋体" w:cs="宋体"/>
                <w:spacing w:val="10"/>
                <w:kern w:val="2"/>
                <w:sz w:val="21"/>
                <w:szCs w:val="21"/>
                <w:highlight w:val="none"/>
                <w:lang w:eastAsia="zh-CN"/>
              </w:rPr>
              <w:t>《淋浴器用水效率限定值及用水</w:t>
            </w:r>
            <w:r>
              <w:rPr>
                <w:rFonts w:hint="eastAsia" w:ascii="宋体" w:hAnsi="宋体" w:cs="宋体"/>
                <w:kern w:val="2"/>
                <w:sz w:val="21"/>
                <w:szCs w:val="21"/>
                <w:highlight w:val="none"/>
                <w:lang w:eastAsia="zh-CN"/>
              </w:rPr>
              <w:t>效率等级》（GB28378）</w:t>
            </w:r>
          </w:p>
        </w:tc>
      </w:tr>
    </w:tbl>
    <w:p w14:paraId="27C83872">
      <w:pPr>
        <w:pStyle w:val="21"/>
        <w:spacing w:line="360" w:lineRule="auto"/>
        <w:ind w:firstLine="410" w:firstLineChars="200"/>
        <w:rPr>
          <w:rFonts w:hint="eastAsia" w:ascii="宋体" w:hAnsi="宋体" w:eastAsia="宋体" w:cs="宋体"/>
          <w:spacing w:val="-3"/>
          <w:sz w:val="21"/>
          <w:szCs w:val="21"/>
          <w:highlight w:val="none"/>
        </w:rPr>
      </w:pPr>
      <w:r>
        <w:rPr>
          <w:rFonts w:hint="eastAsia" w:ascii="宋体" w:hAnsi="宋体" w:eastAsia="宋体" w:cs="宋体"/>
          <w:b/>
          <w:spacing w:val="-3"/>
          <w:sz w:val="21"/>
          <w:szCs w:val="21"/>
          <w:highlight w:val="none"/>
        </w:rPr>
        <w:t>注</w:t>
      </w:r>
      <w:r>
        <w:rPr>
          <w:rFonts w:hint="eastAsia" w:ascii="宋体" w:hAnsi="宋体" w:eastAsia="宋体" w:cs="宋体"/>
          <w:spacing w:val="-3"/>
          <w:sz w:val="21"/>
          <w:szCs w:val="21"/>
          <w:highlight w:val="none"/>
        </w:rPr>
        <w:t>：1.节能产品认证应依据相关国家标准的最新版本，依据国家标准中二级能效（水效）指标。</w:t>
      </w:r>
    </w:p>
    <w:p w14:paraId="472A3A97">
      <w:pPr>
        <w:pStyle w:val="21"/>
        <w:spacing w:line="360" w:lineRule="auto"/>
        <w:ind w:firstLine="408" w:firstLineChars="200"/>
        <w:rPr>
          <w:rFonts w:hint="eastAsia" w:ascii="宋体" w:hAnsi="宋体" w:eastAsia="宋体" w:cs="宋体"/>
          <w:spacing w:val="-3"/>
          <w:sz w:val="21"/>
          <w:szCs w:val="21"/>
          <w:highlight w:val="none"/>
        </w:rPr>
      </w:pPr>
      <w:r>
        <w:rPr>
          <w:rFonts w:hint="eastAsia" w:ascii="宋体" w:hAnsi="宋体" w:eastAsia="宋体" w:cs="宋体"/>
          <w:spacing w:val="-3"/>
          <w:sz w:val="21"/>
          <w:szCs w:val="21"/>
          <w:highlight w:val="none"/>
        </w:rPr>
        <w:t>2.以“★”标注的为政府强制采购产品。</w:t>
      </w:r>
    </w:p>
    <w:p w14:paraId="3CC75904">
      <w:pPr>
        <w:pStyle w:val="21"/>
        <w:spacing w:line="360" w:lineRule="auto"/>
        <w:ind w:firstLine="408" w:firstLineChars="200"/>
        <w:rPr>
          <w:rFonts w:hAnsi="宋体" w:cs="宋体"/>
          <w:highlight w:val="none"/>
        </w:rPr>
      </w:pPr>
      <w:r>
        <w:rPr>
          <w:rFonts w:hint="eastAsia" w:ascii="宋体" w:hAnsi="宋体" w:eastAsia="宋体" w:cs="宋体"/>
          <w:spacing w:val="-3"/>
          <w:sz w:val="21"/>
          <w:szCs w:val="21"/>
          <w:highlight w:val="none"/>
        </w:rPr>
        <w:t xml:space="preserve">3.本表格原为《关于印发节能产品政府采购品目清单的通知》（财库〔2019〕19号）规定的表格附件，其中名称及编码已根据《财政部关于印发〈政府采购品目分类目录〉的通知》（财库〔2022〕31号）修改。 </w:t>
      </w:r>
      <w:r>
        <w:rPr>
          <w:rFonts w:hint="eastAsia" w:ascii="宋体" w:hAnsi="宋体" w:cs="宋体"/>
          <w:sz w:val="21"/>
          <w:szCs w:val="21"/>
          <w:highlight w:val="none"/>
        </w:rPr>
        <w:br w:type="page"/>
      </w:r>
    </w:p>
    <w:p w14:paraId="46AEB137">
      <w:pPr>
        <w:pStyle w:val="25"/>
        <w:jc w:val="left"/>
        <w:rPr>
          <w:rFonts w:hAnsi="宋体" w:cs="宋体"/>
          <w:sz w:val="24"/>
          <w:szCs w:val="24"/>
          <w:highlight w:val="none"/>
        </w:rPr>
      </w:pPr>
      <w:r>
        <w:rPr>
          <w:rFonts w:hint="eastAsia" w:hAnsi="宋体" w:cs="宋体"/>
          <w:sz w:val="24"/>
          <w:szCs w:val="24"/>
          <w:highlight w:val="none"/>
        </w:rPr>
        <w:t>附件2：</w:t>
      </w:r>
    </w:p>
    <w:p w14:paraId="36D15EC0">
      <w:pPr>
        <w:spacing w:line="528" w:lineRule="exact"/>
        <w:ind w:left="220"/>
        <w:jc w:val="center"/>
        <w:rPr>
          <w:rFonts w:ascii="宋体" w:hAnsi="宋体" w:cs="宋体"/>
          <w:b/>
          <w:bCs/>
          <w:sz w:val="36"/>
          <w:szCs w:val="36"/>
          <w:highlight w:val="none"/>
        </w:rPr>
      </w:pPr>
      <w:r>
        <w:rPr>
          <w:rFonts w:hint="eastAsia" w:ascii="宋体" w:hAnsi="宋体" w:cs="宋体"/>
          <w:b/>
          <w:bCs/>
          <w:sz w:val="36"/>
          <w:szCs w:val="36"/>
          <w:highlight w:val="none"/>
        </w:rPr>
        <w:t>中小微企业划型标准</w:t>
      </w:r>
    </w:p>
    <w:tbl>
      <w:tblPr>
        <w:tblStyle w:val="48"/>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424489DC">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192CC870">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行业名称</w:t>
            </w:r>
          </w:p>
        </w:tc>
        <w:tc>
          <w:tcPr>
            <w:tcW w:w="1633" w:type="dxa"/>
            <w:tcBorders>
              <w:top w:val="single" w:color="auto" w:sz="4" w:space="0"/>
              <w:left w:val="nil"/>
              <w:bottom w:val="single" w:color="auto" w:sz="4" w:space="0"/>
              <w:right w:val="single" w:color="auto" w:sz="4" w:space="0"/>
            </w:tcBorders>
            <w:vAlign w:val="center"/>
          </w:tcPr>
          <w:p w14:paraId="66123E9C">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指标名称</w:t>
            </w:r>
          </w:p>
        </w:tc>
        <w:tc>
          <w:tcPr>
            <w:tcW w:w="1077" w:type="dxa"/>
            <w:tcBorders>
              <w:top w:val="single" w:color="auto" w:sz="4" w:space="0"/>
              <w:left w:val="nil"/>
              <w:bottom w:val="single" w:color="auto" w:sz="4" w:space="0"/>
              <w:right w:val="single" w:color="auto" w:sz="4" w:space="0"/>
            </w:tcBorders>
            <w:vAlign w:val="center"/>
          </w:tcPr>
          <w:p w14:paraId="64F8E347">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计量单位</w:t>
            </w:r>
          </w:p>
        </w:tc>
        <w:tc>
          <w:tcPr>
            <w:tcW w:w="1911" w:type="dxa"/>
            <w:tcBorders>
              <w:top w:val="single" w:color="auto" w:sz="4" w:space="0"/>
              <w:left w:val="nil"/>
              <w:bottom w:val="single" w:color="auto" w:sz="4" w:space="0"/>
              <w:right w:val="single" w:color="auto" w:sz="4" w:space="0"/>
            </w:tcBorders>
            <w:vAlign w:val="center"/>
          </w:tcPr>
          <w:p w14:paraId="3B33F741">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中型</w:t>
            </w:r>
          </w:p>
        </w:tc>
        <w:tc>
          <w:tcPr>
            <w:tcW w:w="1699" w:type="dxa"/>
            <w:tcBorders>
              <w:top w:val="single" w:color="auto" w:sz="4" w:space="0"/>
              <w:left w:val="nil"/>
              <w:bottom w:val="single" w:color="auto" w:sz="4" w:space="0"/>
              <w:right w:val="single" w:color="auto" w:sz="4" w:space="0"/>
            </w:tcBorders>
            <w:vAlign w:val="center"/>
          </w:tcPr>
          <w:p w14:paraId="53A157FF">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小型</w:t>
            </w:r>
          </w:p>
        </w:tc>
        <w:tc>
          <w:tcPr>
            <w:tcW w:w="1091" w:type="dxa"/>
            <w:tcBorders>
              <w:top w:val="single" w:color="auto" w:sz="4" w:space="0"/>
              <w:left w:val="nil"/>
              <w:bottom w:val="single" w:color="auto" w:sz="4" w:space="0"/>
              <w:right w:val="single" w:color="auto" w:sz="4" w:space="0"/>
            </w:tcBorders>
            <w:vAlign w:val="center"/>
          </w:tcPr>
          <w:p w14:paraId="6FB9B43D">
            <w:pPr>
              <w:widowControl/>
              <w:jc w:val="center"/>
              <w:rPr>
                <w:rFonts w:ascii="宋体" w:hAnsi="宋体" w:cs="宋体"/>
                <w:b/>
                <w:kern w:val="0"/>
                <w:sz w:val="20"/>
                <w:szCs w:val="20"/>
                <w:highlight w:val="none"/>
              </w:rPr>
            </w:pPr>
            <w:r>
              <w:rPr>
                <w:rFonts w:hint="eastAsia" w:ascii="宋体" w:hAnsi="宋体" w:cs="宋体"/>
                <w:b/>
                <w:kern w:val="0"/>
                <w:sz w:val="20"/>
                <w:szCs w:val="20"/>
                <w:highlight w:val="none"/>
              </w:rPr>
              <w:t>微型</w:t>
            </w:r>
          </w:p>
        </w:tc>
      </w:tr>
      <w:tr w14:paraId="5B7252A6">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5A69A6F2">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农、林、牧、渔</w:t>
            </w:r>
          </w:p>
        </w:tc>
        <w:tc>
          <w:tcPr>
            <w:tcW w:w="1633" w:type="dxa"/>
            <w:tcBorders>
              <w:top w:val="nil"/>
              <w:left w:val="nil"/>
              <w:bottom w:val="single" w:color="auto" w:sz="4" w:space="0"/>
              <w:right w:val="single" w:color="auto" w:sz="4" w:space="0"/>
            </w:tcBorders>
            <w:vAlign w:val="center"/>
          </w:tcPr>
          <w:p w14:paraId="22366C94">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CF03B5D">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7223135">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05C6909B">
            <w:pPr>
              <w:widowControl/>
              <w:jc w:val="left"/>
              <w:rPr>
                <w:rFonts w:ascii="宋体" w:hAnsi="宋体" w:cs="宋体"/>
                <w:kern w:val="0"/>
                <w:sz w:val="20"/>
                <w:szCs w:val="20"/>
                <w:highlight w:val="none"/>
              </w:rPr>
            </w:pPr>
            <w:r>
              <w:rPr>
                <w:rFonts w:hint="eastAsia" w:ascii="宋体" w:hAnsi="宋体" w:cs="宋体"/>
                <w:kern w:val="0"/>
                <w:sz w:val="20"/>
                <w:szCs w:val="20"/>
                <w:highlight w:val="none"/>
              </w:rPr>
              <w:t>50≤Y＜500</w:t>
            </w:r>
          </w:p>
        </w:tc>
        <w:tc>
          <w:tcPr>
            <w:tcW w:w="1091" w:type="dxa"/>
            <w:tcBorders>
              <w:top w:val="nil"/>
              <w:left w:val="nil"/>
              <w:bottom w:val="single" w:color="auto" w:sz="4" w:space="0"/>
              <w:right w:val="single" w:color="auto" w:sz="4" w:space="0"/>
            </w:tcBorders>
            <w:vAlign w:val="center"/>
          </w:tcPr>
          <w:p w14:paraId="2DA62F53">
            <w:pPr>
              <w:widowControl/>
              <w:jc w:val="left"/>
              <w:rPr>
                <w:rFonts w:ascii="宋体" w:hAnsi="宋体" w:cs="宋体"/>
                <w:kern w:val="0"/>
                <w:sz w:val="20"/>
                <w:szCs w:val="20"/>
                <w:highlight w:val="none"/>
              </w:rPr>
            </w:pPr>
            <w:r>
              <w:rPr>
                <w:rFonts w:hint="eastAsia" w:ascii="宋体" w:hAnsi="宋体" w:cs="宋体"/>
                <w:kern w:val="0"/>
                <w:sz w:val="20"/>
                <w:szCs w:val="20"/>
                <w:highlight w:val="none"/>
              </w:rPr>
              <w:t>Y＜50</w:t>
            </w:r>
          </w:p>
        </w:tc>
      </w:tr>
      <w:tr w14:paraId="62299942">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BD99FCB">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工业</w:t>
            </w:r>
          </w:p>
        </w:tc>
        <w:tc>
          <w:tcPr>
            <w:tcW w:w="1633" w:type="dxa"/>
            <w:tcBorders>
              <w:top w:val="nil"/>
              <w:left w:val="nil"/>
              <w:bottom w:val="single" w:color="auto" w:sz="4" w:space="0"/>
              <w:right w:val="single" w:color="auto" w:sz="4" w:space="0"/>
            </w:tcBorders>
            <w:vAlign w:val="center"/>
          </w:tcPr>
          <w:p w14:paraId="76D40164">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E464094">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2828534C">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2E1042CF">
            <w:pPr>
              <w:widowControl/>
              <w:jc w:val="left"/>
              <w:rPr>
                <w:rFonts w:ascii="宋体" w:hAnsi="宋体" w:cs="宋体"/>
                <w:kern w:val="0"/>
                <w:sz w:val="20"/>
                <w:szCs w:val="20"/>
                <w:highlight w:val="none"/>
              </w:rPr>
            </w:pPr>
            <w:r>
              <w:rPr>
                <w:rFonts w:hint="eastAsia" w:ascii="宋体" w:hAnsi="宋体" w:cs="宋体"/>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40DFBB84">
            <w:pPr>
              <w:widowControl/>
              <w:jc w:val="left"/>
              <w:rPr>
                <w:rFonts w:ascii="宋体" w:hAnsi="宋体" w:cs="宋体"/>
                <w:kern w:val="0"/>
                <w:sz w:val="20"/>
                <w:szCs w:val="20"/>
                <w:highlight w:val="none"/>
              </w:rPr>
            </w:pPr>
            <w:r>
              <w:rPr>
                <w:rFonts w:hint="eastAsia" w:ascii="宋体" w:hAnsi="宋体" w:cs="宋体"/>
                <w:kern w:val="0"/>
                <w:sz w:val="20"/>
                <w:szCs w:val="20"/>
                <w:highlight w:val="none"/>
              </w:rPr>
              <w:t>X＜20</w:t>
            </w:r>
          </w:p>
        </w:tc>
      </w:tr>
      <w:tr w14:paraId="52B795FA">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0E95ECD">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43E6D8E8">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A1C0EA2">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16A01DD">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2000≤Y＜40000</w:t>
            </w:r>
          </w:p>
        </w:tc>
        <w:tc>
          <w:tcPr>
            <w:tcW w:w="1699" w:type="dxa"/>
            <w:tcBorders>
              <w:top w:val="nil"/>
              <w:left w:val="nil"/>
              <w:bottom w:val="single" w:color="auto" w:sz="4" w:space="0"/>
              <w:right w:val="single" w:color="auto" w:sz="4" w:space="0"/>
            </w:tcBorders>
            <w:vAlign w:val="center"/>
          </w:tcPr>
          <w:p w14:paraId="0AD67127">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300≤Y＜2000</w:t>
            </w:r>
          </w:p>
        </w:tc>
        <w:tc>
          <w:tcPr>
            <w:tcW w:w="1091" w:type="dxa"/>
            <w:tcBorders>
              <w:top w:val="nil"/>
              <w:left w:val="nil"/>
              <w:bottom w:val="single" w:color="auto" w:sz="4" w:space="0"/>
              <w:right w:val="single" w:color="auto" w:sz="4" w:space="0"/>
            </w:tcBorders>
            <w:vAlign w:val="center"/>
          </w:tcPr>
          <w:p w14:paraId="5FBF8E01">
            <w:pPr>
              <w:widowControl/>
              <w:jc w:val="left"/>
              <w:rPr>
                <w:rFonts w:ascii="宋体" w:hAnsi="宋体" w:cs="宋体"/>
                <w:kern w:val="0"/>
                <w:sz w:val="20"/>
                <w:szCs w:val="20"/>
                <w:highlight w:val="none"/>
              </w:rPr>
            </w:pPr>
            <w:r>
              <w:rPr>
                <w:rFonts w:hint="eastAsia" w:ascii="宋体" w:hAnsi="宋体" w:cs="宋体"/>
                <w:kern w:val="0"/>
                <w:sz w:val="20"/>
                <w:szCs w:val="20"/>
                <w:highlight w:val="none"/>
              </w:rPr>
              <w:t>Y＜300</w:t>
            </w:r>
          </w:p>
        </w:tc>
      </w:tr>
      <w:tr w14:paraId="572A84E7">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8017AF3">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建筑业</w:t>
            </w:r>
          </w:p>
        </w:tc>
        <w:tc>
          <w:tcPr>
            <w:tcW w:w="1633" w:type="dxa"/>
            <w:tcBorders>
              <w:top w:val="nil"/>
              <w:left w:val="nil"/>
              <w:bottom w:val="single" w:color="auto" w:sz="4" w:space="0"/>
              <w:right w:val="single" w:color="auto" w:sz="4" w:space="0"/>
            </w:tcBorders>
            <w:vAlign w:val="center"/>
          </w:tcPr>
          <w:p w14:paraId="1BD6A208">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412DA03">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242550C">
            <w:pPr>
              <w:widowControl/>
              <w:jc w:val="left"/>
              <w:rPr>
                <w:rFonts w:ascii="宋体" w:hAnsi="宋体" w:cs="宋体"/>
                <w:kern w:val="0"/>
                <w:sz w:val="20"/>
                <w:szCs w:val="20"/>
                <w:highlight w:val="none"/>
              </w:rPr>
            </w:pPr>
            <w:r>
              <w:rPr>
                <w:rFonts w:hint="eastAsia" w:ascii="宋体" w:hAnsi="宋体" w:cs="宋体"/>
                <w:kern w:val="0"/>
                <w:sz w:val="20"/>
                <w:szCs w:val="20"/>
                <w:highlight w:val="none"/>
              </w:rPr>
              <w:t>6000≤Y＜80000</w:t>
            </w:r>
          </w:p>
        </w:tc>
        <w:tc>
          <w:tcPr>
            <w:tcW w:w="1699" w:type="dxa"/>
            <w:tcBorders>
              <w:top w:val="nil"/>
              <w:left w:val="nil"/>
              <w:bottom w:val="single" w:color="auto" w:sz="4" w:space="0"/>
              <w:right w:val="single" w:color="auto" w:sz="4" w:space="0"/>
            </w:tcBorders>
            <w:vAlign w:val="center"/>
          </w:tcPr>
          <w:p w14:paraId="35C56A6D">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300≤Y＜6000</w:t>
            </w:r>
          </w:p>
        </w:tc>
        <w:tc>
          <w:tcPr>
            <w:tcW w:w="1091" w:type="dxa"/>
            <w:tcBorders>
              <w:top w:val="nil"/>
              <w:left w:val="nil"/>
              <w:bottom w:val="single" w:color="auto" w:sz="4" w:space="0"/>
              <w:right w:val="single" w:color="auto" w:sz="4" w:space="0"/>
            </w:tcBorders>
            <w:vAlign w:val="center"/>
          </w:tcPr>
          <w:p w14:paraId="7190B2DC">
            <w:pPr>
              <w:widowControl/>
              <w:jc w:val="left"/>
              <w:rPr>
                <w:rFonts w:ascii="宋体" w:hAnsi="宋体" w:cs="宋体"/>
                <w:kern w:val="0"/>
                <w:sz w:val="20"/>
                <w:szCs w:val="20"/>
                <w:highlight w:val="none"/>
              </w:rPr>
            </w:pPr>
            <w:r>
              <w:rPr>
                <w:rFonts w:hint="eastAsia" w:ascii="宋体" w:hAnsi="宋体" w:cs="宋体"/>
                <w:kern w:val="0"/>
                <w:sz w:val="20"/>
                <w:szCs w:val="20"/>
                <w:highlight w:val="none"/>
              </w:rPr>
              <w:t>Y＜300</w:t>
            </w:r>
          </w:p>
        </w:tc>
      </w:tr>
      <w:tr w14:paraId="79AAAA2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53969D0">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569D0683">
            <w:pPr>
              <w:widowControl/>
              <w:jc w:val="left"/>
              <w:rPr>
                <w:rFonts w:ascii="宋体" w:hAnsi="宋体" w:cs="宋体"/>
                <w:kern w:val="0"/>
                <w:sz w:val="20"/>
                <w:szCs w:val="20"/>
                <w:highlight w:val="none"/>
              </w:rPr>
            </w:pPr>
            <w:r>
              <w:rPr>
                <w:rFonts w:hint="eastAsia" w:ascii="宋体" w:hAnsi="宋体" w:cs="宋体"/>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610FA109">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FA1C11E">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5000≤Z＜80000</w:t>
            </w:r>
          </w:p>
        </w:tc>
        <w:tc>
          <w:tcPr>
            <w:tcW w:w="1699" w:type="dxa"/>
            <w:tcBorders>
              <w:top w:val="nil"/>
              <w:left w:val="nil"/>
              <w:bottom w:val="single" w:color="auto" w:sz="4" w:space="0"/>
              <w:right w:val="single" w:color="auto" w:sz="4" w:space="0"/>
            </w:tcBorders>
            <w:vAlign w:val="center"/>
          </w:tcPr>
          <w:p w14:paraId="6B7A767C">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300≤Z＜5000</w:t>
            </w:r>
          </w:p>
        </w:tc>
        <w:tc>
          <w:tcPr>
            <w:tcW w:w="1091" w:type="dxa"/>
            <w:tcBorders>
              <w:top w:val="nil"/>
              <w:left w:val="nil"/>
              <w:bottom w:val="single" w:color="auto" w:sz="4" w:space="0"/>
              <w:right w:val="single" w:color="auto" w:sz="4" w:space="0"/>
            </w:tcBorders>
            <w:vAlign w:val="center"/>
          </w:tcPr>
          <w:p w14:paraId="5420640A">
            <w:pPr>
              <w:widowControl/>
              <w:jc w:val="left"/>
              <w:rPr>
                <w:rFonts w:ascii="宋体" w:hAnsi="宋体" w:cs="宋体"/>
                <w:kern w:val="0"/>
                <w:sz w:val="20"/>
                <w:szCs w:val="20"/>
                <w:highlight w:val="none"/>
              </w:rPr>
            </w:pPr>
            <w:r>
              <w:rPr>
                <w:rFonts w:hint="eastAsia" w:ascii="宋体" w:hAnsi="宋体" w:cs="宋体"/>
                <w:kern w:val="0"/>
                <w:sz w:val="20"/>
                <w:szCs w:val="20"/>
                <w:highlight w:val="none"/>
              </w:rPr>
              <w:t>Z＜300</w:t>
            </w:r>
          </w:p>
        </w:tc>
      </w:tr>
      <w:tr w14:paraId="48138C87">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34F5252">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批发业</w:t>
            </w:r>
          </w:p>
        </w:tc>
        <w:tc>
          <w:tcPr>
            <w:tcW w:w="1633" w:type="dxa"/>
            <w:tcBorders>
              <w:top w:val="nil"/>
              <w:left w:val="nil"/>
              <w:bottom w:val="single" w:color="auto" w:sz="4" w:space="0"/>
              <w:right w:val="single" w:color="auto" w:sz="4" w:space="0"/>
            </w:tcBorders>
            <w:vAlign w:val="center"/>
          </w:tcPr>
          <w:p w14:paraId="3515E2D7">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3AC1DC9">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CFF6D08">
            <w:pPr>
              <w:widowControl/>
              <w:jc w:val="left"/>
              <w:rPr>
                <w:rFonts w:ascii="宋体" w:hAnsi="宋体" w:cs="宋体"/>
                <w:kern w:val="0"/>
                <w:sz w:val="20"/>
                <w:szCs w:val="20"/>
                <w:highlight w:val="none"/>
              </w:rPr>
            </w:pPr>
            <w:r>
              <w:rPr>
                <w:rFonts w:hint="eastAsia" w:ascii="宋体" w:hAnsi="宋体" w:cs="宋体"/>
                <w:kern w:val="0"/>
                <w:sz w:val="20"/>
                <w:szCs w:val="20"/>
                <w:highlight w:val="none"/>
              </w:rPr>
              <w:t>20≤X＜200</w:t>
            </w:r>
          </w:p>
        </w:tc>
        <w:tc>
          <w:tcPr>
            <w:tcW w:w="1699" w:type="dxa"/>
            <w:tcBorders>
              <w:top w:val="nil"/>
              <w:left w:val="nil"/>
              <w:bottom w:val="single" w:color="auto" w:sz="4" w:space="0"/>
              <w:right w:val="single" w:color="auto" w:sz="4" w:space="0"/>
            </w:tcBorders>
            <w:vAlign w:val="center"/>
          </w:tcPr>
          <w:p w14:paraId="0E068A8D">
            <w:pPr>
              <w:widowControl/>
              <w:jc w:val="left"/>
              <w:rPr>
                <w:rFonts w:ascii="宋体" w:hAnsi="宋体" w:cs="宋体"/>
                <w:kern w:val="0"/>
                <w:sz w:val="20"/>
                <w:szCs w:val="20"/>
                <w:highlight w:val="none"/>
              </w:rPr>
            </w:pPr>
            <w:r>
              <w:rPr>
                <w:rFonts w:hint="eastAsia" w:ascii="宋体" w:hAnsi="宋体" w:cs="宋体"/>
                <w:kern w:val="0"/>
                <w:sz w:val="20"/>
                <w:szCs w:val="20"/>
                <w:highlight w:val="none"/>
              </w:rPr>
              <w:t>5≤X＜20</w:t>
            </w:r>
          </w:p>
        </w:tc>
        <w:tc>
          <w:tcPr>
            <w:tcW w:w="1091" w:type="dxa"/>
            <w:tcBorders>
              <w:top w:val="nil"/>
              <w:left w:val="nil"/>
              <w:bottom w:val="single" w:color="auto" w:sz="4" w:space="0"/>
              <w:right w:val="single" w:color="auto" w:sz="4" w:space="0"/>
            </w:tcBorders>
            <w:vAlign w:val="center"/>
          </w:tcPr>
          <w:p w14:paraId="2BFDF101">
            <w:pPr>
              <w:widowControl/>
              <w:jc w:val="left"/>
              <w:rPr>
                <w:rFonts w:ascii="宋体" w:hAnsi="宋体" w:cs="宋体"/>
                <w:kern w:val="0"/>
                <w:sz w:val="20"/>
                <w:szCs w:val="20"/>
                <w:highlight w:val="none"/>
              </w:rPr>
            </w:pPr>
            <w:r>
              <w:rPr>
                <w:rFonts w:hint="eastAsia" w:ascii="宋体" w:hAnsi="宋体" w:cs="宋体"/>
                <w:kern w:val="0"/>
                <w:sz w:val="20"/>
                <w:szCs w:val="20"/>
                <w:highlight w:val="none"/>
              </w:rPr>
              <w:t>X＜5</w:t>
            </w:r>
          </w:p>
        </w:tc>
      </w:tr>
      <w:tr w14:paraId="1690BA5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102F6BA">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59C015AF">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90CCBCB">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AF2EFD5">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5000≤Y＜40000</w:t>
            </w:r>
          </w:p>
        </w:tc>
        <w:tc>
          <w:tcPr>
            <w:tcW w:w="1699" w:type="dxa"/>
            <w:tcBorders>
              <w:top w:val="nil"/>
              <w:left w:val="nil"/>
              <w:bottom w:val="single" w:color="auto" w:sz="4" w:space="0"/>
              <w:right w:val="single" w:color="auto" w:sz="4" w:space="0"/>
            </w:tcBorders>
            <w:vAlign w:val="center"/>
          </w:tcPr>
          <w:p w14:paraId="14E783FE">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1000≤Y＜5000</w:t>
            </w:r>
          </w:p>
        </w:tc>
        <w:tc>
          <w:tcPr>
            <w:tcW w:w="1091" w:type="dxa"/>
            <w:tcBorders>
              <w:top w:val="nil"/>
              <w:left w:val="nil"/>
              <w:bottom w:val="single" w:color="auto" w:sz="4" w:space="0"/>
              <w:right w:val="single" w:color="auto" w:sz="4" w:space="0"/>
            </w:tcBorders>
            <w:vAlign w:val="center"/>
          </w:tcPr>
          <w:p w14:paraId="10BF50F0">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Y＜1000</w:t>
            </w:r>
          </w:p>
        </w:tc>
      </w:tr>
      <w:tr w14:paraId="402B3FBC">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94A5DF2">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零售业</w:t>
            </w:r>
          </w:p>
        </w:tc>
        <w:tc>
          <w:tcPr>
            <w:tcW w:w="1633" w:type="dxa"/>
            <w:tcBorders>
              <w:top w:val="nil"/>
              <w:left w:val="nil"/>
              <w:bottom w:val="single" w:color="auto" w:sz="4" w:space="0"/>
              <w:right w:val="single" w:color="auto" w:sz="4" w:space="0"/>
            </w:tcBorders>
            <w:vAlign w:val="center"/>
          </w:tcPr>
          <w:p w14:paraId="4502F6CA">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DC2701D">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753BC03">
            <w:pPr>
              <w:widowControl/>
              <w:jc w:val="left"/>
              <w:rPr>
                <w:rFonts w:ascii="宋体" w:hAnsi="宋体" w:cs="宋体"/>
                <w:kern w:val="0"/>
                <w:sz w:val="20"/>
                <w:szCs w:val="20"/>
                <w:highlight w:val="none"/>
              </w:rPr>
            </w:pPr>
            <w:r>
              <w:rPr>
                <w:rFonts w:hint="eastAsia" w:ascii="宋体" w:hAnsi="宋体" w:cs="宋体"/>
                <w:kern w:val="0"/>
                <w:sz w:val="20"/>
                <w:szCs w:val="20"/>
                <w:highlight w:val="none"/>
              </w:rPr>
              <w:t>50≤X＜300</w:t>
            </w:r>
          </w:p>
        </w:tc>
        <w:tc>
          <w:tcPr>
            <w:tcW w:w="1699" w:type="dxa"/>
            <w:tcBorders>
              <w:top w:val="nil"/>
              <w:left w:val="nil"/>
              <w:bottom w:val="single" w:color="auto" w:sz="4" w:space="0"/>
              <w:right w:val="single" w:color="auto" w:sz="4" w:space="0"/>
            </w:tcBorders>
            <w:vAlign w:val="center"/>
          </w:tcPr>
          <w:p w14:paraId="726090C2">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10≤X＜50</w:t>
            </w:r>
          </w:p>
        </w:tc>
        <w:tc>
          <w:tcPr>
            <w:tcW w:w="1091" w:type="dxa"/>
            <w:tcBorders>
              <w:top w:val="nil"/>
              <w:left w:val="nil"/>
              <w:bottom w:val="single" w:color="auto" w:sz="4" w:space="0"/>
              <w:right w:val="single" w:color="auto" w:sz="4" w:space="0"/>
            </w:tcBorders>
            <w:vAlign w:val="center"/>
          </w:tcPr>
          <w:p w14:paraId="7D9E623A">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265EAE25">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638E217">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5F46818B">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EE48EA2">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140AE3A">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7968A495">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100≤Y＜500</w:t>
            </w:r>
          </w:p>
        </w:tc>
        <w:tc>
          <w:tcPr>
            <w:tcW w:w="1091" w:type="dxa"/>
            <w:tcBorders>
              <w:top w:val="nil"/>
              <w:left w:val="nil"/>
              <w:bottom w:val="single" w:color="auto" w:sz="4" w:space="0"/>
              <w:right w:val="single" w:color="auto" w:sz="4" w:space="0"/>
            </w:tcBorders>
            <w:vAlign w:val="center"/>
          </w:tcPr>
          <w:p w14:paraId="3E7EED34">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1005F2BE">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94B9B82">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交通运输业</w:t>
            </w:r>
          </w:p>
        </w:tc>
        <w:tc>
          <w:tcPr>
            <w:tcW w:w="1633" w:type="dxa"/>
            <w:tcBorders>
              <w:top w:val="nil"/>
              <w:left w:val="nil"/>
              <w:bottom w:val="single" w:color="auto" w:sz="4" w:space="0"/>
              <w:right w:val="single" w:color="auto" w:sz="4" w:space="0"/>
            </w:tcBorders>
            <w:vAlign w:val="center"/>
          </w:tcPr>
          <w:p w14:paraId="04998A72">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160DE15">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4C34749D">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136A9297">
            <w:pPr>
              <w:widowControl/>
              <w:jc w:val="left"/>
              <w:rPr>
                <w:rFonts w:ascii="宋体" w:hAnsi="宋体" w:cs="宋体"/>
                <w:kern w:val="0"/>
                <w:sz w:val="20"/>
                <w:szCs w:val="20"/>
                <w:highlight w:val="none"/>
              </w:rPr>
            </w:pPr>
            <w:r>
              <w:rPr>
                <w:rFonts w:hint="eastAsia" w:ascii="宋体" w:hAnsi="宋体" w:cs="宋体"/>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7A865F61">
            <w:pPr>
              <w:widowControl/>
              <w:jc w:val="left"/>
              <w:rPr>
                <w:rFonts w:ascii="宋体" w:hAnsi="宋体" w:cs="宋体"/>
                <w:kern w:val="0"/>
                <w:sz w:val="20"/>
                <w:szCs w:val="20"/>
                <w:highlight w:val="none"/>
              </w:rPr>
            </w:pPr>
            <w:r>
              <w:rPr>
                <w:rFonts w:hint="eastAsia" w:ascii="宋体" w:hAnsi="宋体" w:cs="宋体"/>
                <w:kern w:val="0"/>
                <w:sz w:val="20"/>
                <w:szCs w:val="20"/>
                <w:highlight w:val="none"/>
              </w:rPr>
              <w:t>X＜20</w:t>
            </w:r>
          </w:p>
        </w:tc>
      </w:tr>
      <w:tr w14:paraId="4B37D959">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F3E2915">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1EBADE1A">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1E74C43">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1655E63">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3000≤Y＜30000</w:t>
            </w:r>
          </w:p>
        </w:tc>
        <w:tc>
          <w:tcPr>
            <w:tcW w:w="1699" w:type="dxa"/>
            <w:tcBorders>
              <w:top w:val="nil"/>
              <w:left w:val="nil"/>
              <w:bottom w:val="single" w:color="auto" w:sz="4" w:space="0"/>
              <w:right w:val="single" w:color="auto" w:sz="4" w:space="0"/>
            </w:tcBorders>
            <w:vAlign w:val="center"/>
          </w:tcPr>
          <w:p w14:paraId="48E2D0B6">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200≤Y＜3000</w:t>
            </w:r>
          </w:p>
        </w:tc>
        <w:tc>
          <w:tcPr>
            <w:tcW w:w="1091" w:type="dxa"/>
            <w:tcBorders>
              <w:top w:val="nil"/>
              <w:left w:val="nil"/>
              <w:bottom w:val="single" w:color="auto" w:sz="4" w:space="0"/>
              <w:right w:val="single" w:color="auto" w:sz="4" w:space="0"/>
            </w:tcBorders>
            <w:vAlign w:val="center"/>
          </w:tcPr>
          <w:p w14:paraId="406DB14E">
            <w:pPr>
              <w:widowControl/>
              <w:jc w:val="left"/>
              <w:rPr>
                <w:rFonts w:ascii="宋体" w:hAnsi="宋体" w:cs="宋体"/>
                <w:kern w:val="0"/>
                <w:sz w:val="20"/>
                <w:szCs w:val="20"/>
                <w:highlight w:val="none"/>
              </w:rPr>
            </w:pPr>
            <w:r>
              <w:rPr>
                <w:rFonts w:hint="eastAsia" w:ascii="宋体" w:hAnsi="宋体" w:cs="宋体"/>
                <w:kern w:val="0"/>
                <w:sz w:val="20"/>
                <w:szCs w:val="20"/>
                <w:highlight w:val="none"/>
              </w:rPr>
              <w:t>Y＜200</w:t>
            </w:r>
          </w:p>
        </w:tc>
      </w:tr>
      <w:tr w14:paraId="0D352DBE">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89A0745">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仓储业</w:t>
            </w:r>
          </w:p>
        </w:tc>
        <w:tc>
          <w:tcPr>
            <w:tcW w:w="1633" w:type="dxa"/>
            <w:tcBorders>
              <w:top w:val="nil"/>
              <w:left w:val="nil"/>
              <w:bottom w:val="single" w:color="auto" w:sz="4" w:space="0"/>
              <w:right w:val="single" w:color="auto" w:sz="4" w:space="0"/>
            </w:tcBorders>
            <w:vAlign w:val="center"/>
          </w:tcPr>
          <w:p w14:paraId="0815B70A">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441BAD5C">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74D67B22">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100≤X＜200</w:t>
            </w:r>
          </w:p>
        </w:tc>
        <w:tc>
          <w:tcPr>
            <w:tcW w:w="1699" w:type="dxa"/>
            <w:tcBorders>
              <w:top w:val="nil"/>
              <w:left w:val="nil"/>
              <w:bottom w:val="single" w:color="auto" w:sz="4" w:space="0"/>
              <w:right w:val="single" w:color="auto" w:sz="4" w:space="0"/>
            </w:tcBorders>
            <w:vAlign w:val="center"/>
          </w:tcPr>
          <w:p w14:paraId="633EC9F3">
            <w:pPr>
              <w:widowControl/>
              <w:jc w:val="left"/>
              <w:rPr>
                <w:rFonts w:ascii="宋体" w:hAnsi="宋体" w:cs="宋体"/>
                <w:kern w:val="0"/>
                <w:sz w:val="20"/>
                <w:szCs w:val="20"/>
                <w:highlight w:val="none"/>
              </w:rPr>
            </w:pPr>
            <w:r>
              <w:rPr>
                <w:rFonts w:hint="eastAsia" w:ascii="宋体" w:hAnsi="宋体" w:cs="宋体"/>
                <w:kern w:val="0"/>
                <w:sz w:val="20"/>
                <w:szCs w:val="20"/>
                <w:highlight w:val="none"/>
              </w:rPr>
              <w:t>20≤X＜100</w:t>
            </w:r>
          </w:p>
        </w:tc>
        <w:tc>
          <w:tcPr>
            <w:tcW w:w="1091" w:type="dxa"/>
            <w:tcBorders>
              <w:top w:val="nil"/>
              <w:left w:val="nil"/>
              <w:bottom w:val="single" w:color="auto" w:sz="4" w:space="0"/>
              <w:right w:val="single" w:color="auto" w:sz="4" w:space="0"/>
            </w:tcBorders>
            <w:vAlign w:val="center"/>
          </w:tcPr>
          <w:p w14:paraId="7AD66031">
            <w:pPr>
              <w:widowControl/>
              <w:jc w:val="left"/>
              <w:rPr>
                <w:rFonts w:ascii="宋体" w:hAnsi="宋体" w:cs="宋体"/>
                <w:kern w:val="0"/>
                <w:sz w:val="20"/>
                <w:szCs w:val="20"/>
                <w:highlight w:val="none"/>
              </w:rPr>
            </w:pPr>
            <w:r>
              <w:rPr>
                <w:rFonts w:hint="eastAsia" w:ascii="宋体" w:hAnsi="宋体" w:cs="宋体"/>
                <w:kern w:val="0"/>
                <w:sz w:val="20"/>
                <w:szCs w:val="20"/>
                <w:highlight w:val="none"/>
              </w:rPr>
              <w:t>X＜20</w:t>
            </w:r>
          </w:p>
        </w:tc>
      </w:tr>
      <w:tr w14:paraId="4FDC0A55">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C2881E7">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490C5761">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981039E">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574CD5E">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1000≤Y＜30000</w:t>
            </w:r>
          </w:p>
        </w:tc>
        <w:tc>
          <w:tcPr>
            <w:tcW w:w="1699" w:type="dxa"/>
            <w:tcBorders>
              <w:top w:val="nil"/>
              <w:left w:val="nil"/>
              <w:bottom w:val="single" w:color="auto" w:sz="4" w:space="0"/>
              <w:right w:val="single" w:color="auto" w:sz="4" w:space="0"/>
            </w:tcBorders>
            <w:vAlign w:val="center"/>
          </w:tcPr>
          <w:p w14:paraId="4CF76A7C">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4ABD00FF">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0C0DC9B9">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7853499">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邮政业</w:t>
            </w:r>
          </w:p>
        </w:tc>
        <w:tc>
          <w:tcPr>
            <w:tcW w:w="1633" w:type="dxa"/>
            <w:tcBorders>
              <w:top w:val="nil"/>
              <w:left w:val="nil"/>
              <w:bottom w:val="single" w:color="auto" w:sz="4" w:space="0"/>
              <w:right w:val="single" w:color="auto" w:sz="4" w:space="0"/>
            </w:tcBorders>
            <w:vAlign w:val="center"/>
          </w:tcPr>
          <w:p w14:paraId="5C3FA3A1">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0752D5C">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7A59DC0A">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645B5F9F">
            <w:pPr>
              <w:widowControl/>
              <w:jc w:val="left"/>
              <w:rPr>
                <w:rFonts w:ascii="宋体" w:hAnsi="宋体" w:cs="宋体"/>
                <w:kern w:val="0"/>
                <w:sz w:val="20"/>
                <w:szCs w:val="20"/>
                <w:highlight w:val="none"/>
              </w:rPr>
            </w:pPr>
            <w:r>
              <w:rPr>
                <w:rFonts w:hint="eastAsia" w:ascii="宋体" w:hAnsi="宋体" w:cs="宋体"/>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2070377F">
            <w:pPr>
              <w:widowControl/>
              <w:jc w:val="left"/>
              <w:rPr>
                <w:rFonts w:ascii="宋体" w:hAnsi="宋体" w:cs="宋体"/>
                <w:kern w:val="0"/>
                <w:sz w:val="20"/>
                <w:szCs w:val="20"/>
                <w:highlight w:val="none"/>
              </w:rPr>
            </w:pPr>
            <w:r>
              <w:rPr>
                <w:rFonts w:hint="eastAsia" w:ascii="宋体" w:hAnsi="宋体" w:cs="宋体"/>
                <w:kern w:val="0"/>
                <w:sz w:val="20"/>
                <w:szCs w:val="20"/>
                <w:highlight w:val="none"/>
              </w:rPr>
              <w:t>X＜20</w:t>
            </w:r>
          </w:p>
        </w:tc>
      </w:tr>
      <w:tr w14:paraId="27178E5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80075BC">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14B15144">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187585F">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05616F7">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2000≤Y＜30000</w:t>
            </w:r>
          </w:p>
        </w:tc>
        <w:tc>
          <w:tcPr>
            <w:tcW w:w="1699" w:type="dxa"/>
            <w:tcBorders>
              <w:top w:val="nil"/>
              <w:left w:val="nil"/>
              <w:bottom w:val="single" w:color="auto" w:sz="4" w:space="0"/>
              <w:right w:val="single" w:color="auto" w:sz="4" w:space="0"/>
            </w:tcBorders>
            <w:vAlign w:val="center"/>
          </w:tcPr>
          <w:p w14:paraId="31BBF5A5">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12CB94C9">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77241634">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DBC05E8">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住宿业</w:t>
            </w:r>
          </w:p>
        </w:tc>
        <w:tc>
          <w:tcPr>
            <w:tcW w:w="1633" w:type="dxa"/>
            <w:tcBorders>
              <w:top w:val="nil"/>
              <w:left w:val="nil"/>
              <w:bottom w:val="single" w:color="auto" w:sz="4" w:space="0"/>
              <w:right w:val="single" w:color="auto" w:sz="4" w:space="0"/>
            </w:tcBorders>
            <w:vAlign w:val="center"/>
          </w:tcPr>
          <w:p w14:paraId="413B6382">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E653DFB">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2D07922A">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167F0FC8">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238D19D0">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1BEAD30D">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E74BA55">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1F1D2905">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CBB6C00">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D2B04E7">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76680801">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1007F265">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5FB3D872">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1AAF62B5">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餐饮业</w:t>
            </w:r>
          </w:p>
        </w:tc>
        <w:tc>
          <w:tcPr>
            <w:tcW w:w="1633" w:type="dxa"/>
            <w:tcBorders>
              <w:top w:val="nil"/>
              <w:left w:val="nil"/>
              <w:bottom w:val="single" w:color="auto" w:sz="4" w:space="0"/>
              <w:right w:val="single" w:color="auto" w:sz="4" w:space="0"/>
            </w:tcBorders>
            <w:vAlign w:val="center"/>
          </w:tcPr>
          <w:p w14:paraId="556A6A15">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E748789">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7807FCB">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67B34D4F">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64A9C33D">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35DB190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1836CBA">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79EED0D7">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59CECDED">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DBEE6D2">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4FA9EB71">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44BA3048">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5BAEC42C">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15B86A5">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信息传输业</w:t>
            </w:r>
          </w:p>
        </w:tc>
        <w:tc>
          <w:tcPr>
            <w:tcW w:w="1633" w:type="dxa"/>
            <w:tcBorders>
              <w:top w:val="nil"/>
              <w:left w:val="nil"/>
              <w:bottom w:val="single" w:color="auto" w:sz="4" w:space="0"/>
              <w:right w:val="single" w:color="auto" w:sz="4" w:space="0"/>
            </w:tcBorders>
            <w:vAlign w:val="center"/>
          </w:tcPr>
          <w:p w14:paraId="1F4939C4">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5739D52A">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60B3989A">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100≤X＜2000</w:t>
            </w:r>
          </w:p>
        </w:tc>
        <w:tc>
          <w:tcPr>
            <w:tcW w:w="1699" w:type="dxa"/>
            <w:tcBorders>
              <w:top w:val="nil"/>
              <w:left w:val="nil"/>
              <w:bottom w:val="single" w:color="auto" w:sz="4" w:space="0"/>
              <w:right w:val="single" w:color="auto" w:sz="4" w:space="0"/>
            </w:tcBorders>
            <w:vAlign w:val="center"/>
          </w:tcPr>
          <w:p w14:paraId="64F23ECF">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3C60767F">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3EF1E69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AA8A440">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12B2040B">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5251D6D6">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8ABBC77">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1000≤Y＜100000</w:t>
            </w:r>
          </w:p>
        </w:tc>
        <w:tc>
          <w:tcPr>
            <w:tcW w:w="1699" w:type="dxa"/>
            <w:tcBorders>
              <w:top w:val="nil"/>
              <w:left w:val="nil"/>
              <w:bottom w:val="single" w:color="auto" w:sz="4" w:space="0"/>
              <w:right w:val="single" w:color="auto" w:sz="4" w:space="0"/>
            </w:tcBorders>
            <w:vAlign w:val="center"/>
          </w:tcPr>
          <w:p w14:paraId="5F69EA36">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7D4AF04E">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4A5435B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128B554">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软件和信息技术服务业</w:t>
            </w:r>
          </w:p>
        </w:tc>
        <w:tc>
          <w:tcPr>
            <w:tcW w:w="1633" w:type="dxa"/>
            <w:tcBorders>
              <w:top w:val="nil"/>
              <w:left w:val="nil"/>
              <w:bottom w:val="single" w:color="auto" w:sz="4" w:space="0"/>
              <w:right w:val="single" w:color="auto" w:sz="4" w:space="0"/>
            </w:tcBorders>
            <w:vAlign w:val="center"/>
          </w:tcPr>
          <w:p w14:paraId="71C13C5E">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D35CEB9">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4484A54">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5458380E">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76B4C1F">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383C8872">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B9CF836">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6FEADD79">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03F4B18">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37308CFE">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1000≤Y＜10000</w:t>
            </w:r>
          </w:p>
        </w:tc>
        <w:tc>
          <w:tcPr>
            <w:tcW w:w="1699" w:type="dxa"/>
            <w:tcBorders>
              <w:top w:val="nil"/>
              <w:left w:val="nil"/>
              <w:bottom w:val="single" w:color="auto" w:sz="4" w:space="0"/>
              <w:right w:val="single" w:color="auto" w:sz="4" w:space="0"/>
            </w:tcBorders>
            <w:vAlign w:val="center"/>
          </w:tcPr>
          <w:p w14:paraId="5C9DCBBB">
            <w:pPr>
              <w:widowControl/>
              <w:jc w:val="left"/>
              <w:rPr>
                <w:rFonts w:ascii="宋体" w:hAnsi="宋体" w:cs="宋体"/>
                <w:kern w:val="0"/>
                <w:sz w:val="20"/>
                <w:szCs w:val="20"/>
                <w:highlight w:val="none"/>
              </w:rPr>
            </w:pPr>
            <w:r>
              <w:rPr>
                <w:rFonts w:hint="eastAsia" w:ascii="宋体" w:hAnsi="宋体" w:cs="宋体"/>
                <w:kern w:val="0"/>
                <w:sz w:val="20"/>
                <w:szCs w:val="20"/>
                <w:highlight w:val="none"/>
              </w:rPr>
              <w:t>50≤Y＜1000</w:t>
            </w:r>
          </w:p>
        </w:tc>
        <w:tc>
          <w:tcPr>
            <w:tcW w:w="1091" w:type="dxa"/>
            <w:tcBorders>
              <w:top w:val="nil"/>
              <w:left w:val="nil"/>
              <w:bottom w:val="single" w:color="auto" w:sz="4" w:space="0"/>
              <w:right w:val="single" w:color="auto" w:sz="4" w:space="0"/>
            </w:tcBorders>
            <w:vAlign w:val="center"/>
          </w:tcPr>
          <w:p w14:paraId="2C9DAE82">
            <w:pPr>
              <w:widowControl/>
              <w:jc w:val="left"/>
              <w:rPr>
                <w:rFonts w:ascii="宋体" w:hAnsi="宋体" w:cs="宋体"/>
                <w:kern w:val="0"/>
                <w:sz w:val="20"/>
                <w:szCs w:val="20"/>
                <w:highlight w:val="none"/>
              </w:rPr>
            </w:pPr>
            <w:r>
              <w:rPr>
                <w:rFonts w:hint="eastAsia" w:ascii="宋体" w:hAnsi="宋体" w:cs="宋体"/>
                <w:kern w:val="0"/>
                <w:sz w:val="20"/>
                <w:szCs w:val="20"/>
                <w:highlight w:val="none"/>
              </w:rPr>
              <w:t>Y＜50</w:t>
            </w:r>
          </w:p>
        </w:tc>
      </w:tr>
      <w:tr w14:paraId="242D3EE1">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54B4161">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房地产开发经营</w:t>
            </w:r>
          </w:p>
        </w:tc>
        <w:tc>
          <w:tcPr>
            <w:tcW w:w="1633" w:type="dxa"/>
            <w:tcBorders>
              <w:top w:val="nil"/>
              <w:left w:val="nil"/>
              <w:bottom w:val="single" w:color="auto" w:sz="4" w:space="0"/>
              <w:right w:val="single" w:color="auto" w:sz="4" w:space="0"/>
            </w:tcBorders>
            <w:vAlign w:val="center"/>
          </w:tcPr>
          <w:p w14:paraId="3317D00D">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39543D6">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0583CAB">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1000≤Y＜200000</w:t>
            </w:r>
          </w:p>
        </w:tc>
        <w:tc>
          <w:tcPr>
            <w:tcW w:w="1699" w:type="dxa"/>
            <w:tcBorders>
              <w:top w:val="nil"/>
              <w:left w:val="nil"/>
              <w:bottom w:val="single" w:color="auto" w:sz="4" w:space="0"/>
              <w:right w:val="single" w:color="auto" w:sz="4" w:space="0"/>
            </w:tcBorders>
            <w:vAlign w:val="center"/>
          </w:tcPr>
          <w:p w14:paraId="541C0A04">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100≤X＜1000</w:t>
            </w:r>
          </w:p>
        </w:tc>
        <w:tc>
          <w:tcPr>
            <w:tcW w:w="1091" w:type="dxa"/>
            <w:tcBorders>
              <w:top w:val="nil"/>
              <w:left w:val="nil"/>
              <w:bottom w:val="single" w:color="auto" w:sz="4" w:space="0"/>
              <w:right w:val="single" w:color="auto" w:sz="4" w:space="0"/>
            </w:tcBorders>
            <w:vAlign w:val="center"/>
          </w:tcPr>
          <w:p w14:paraId="52B92780">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X＜100</w:t>
            </w:r>
          </w:p>
        </w:tc>
      </w:tr>
      <w:tr w14:paraId="10586A47">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6D20E5C">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737DCA57">
            <w:pPr>
              <w:widowControl/>
              <w:jc w:val="left"/>
              <w:rPr>
                <w:rFonts w:ascii="宋体" w:hAnsi="宋体" w:cs="宋体"/>
                <w:kern w:val="0"/>
                <w:sz w:val="20"/>
                <w:szCs w:val="20"/>
                <w:highlight w:val="none"/>
              </w:rPr>
            </w:pPr>
            <w:r>
              <w:rPr>
                <w:rFonts w:hint="eastAsia" w:ascii="宋体" w:hAnsi="宋体" w:cs="宋体"/>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3BC8739A">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407A880">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5000≤Z＜10000</w:t>
            </w:r>
          </w:p>
        </w:tc>
        <w:tc>
          <w:tcPr>
            <w:tcW w:w="1699" w:type="dxa"/>
            <w:tcBorders>
              <w:top w:val="nil"/>
              <w:left w:val="nil"/>
              <w:bottom w:val="single" w:color="auto" w:sz="4" w:space="0"/>
              <w:right w:val="single" w:color="auto" w:sz="4" w:space="0"/>
            </w:tcBorders>
            <w:vAlign w:val="center"/>
          </w:tcPr>
          <w:p w14:paraId="04D7E9E8">
            <w:pPr>
              <w:widowControl/>
              <w:jc w:val="left"/>
              <w:rPr>
                <w:rFonts w:ascii="宋体" w:hAnsi="宋体" w:cs="宋体"/>
                <w:kern w:val="0"/>
                <w:sz w:val="20"/>
                <w:szCs w:val="20"/>
                <w:highlight w:val="none"/>
              </w:rPr>
            </w:pPr>
            <w:r>
              <w:rPr>
                <w:rFonts w:hint="eastAsia" w:ascii="宋体" w:hAnsi="宋体" w:cs="宋体"/>
                <w:kern w:val="0"/>
                <w:sz w:val="20"/>
                <w:szCs w:val="20"/>
                <w:highlight w:val="none"/>
              </w:rPr>
              <w:t>2000≤Y＜5000</w:t>
            </w:r>
          </w:p>
        </w:tc>
        <w:tc>
          <w:tcPr>
            <w:tcW w:w="1091" w:type="dxa"/>
            <w:tcBorders>
              <w:top w:val="nil"/>
              <w:left w:val="nil"/>
              <w:bottom w:val="single" w:color="auto" w:sz="4" w:space="0"/>
              <w:right w:val="single" w:color="auto" w:sz="4" w:space="0"/>
            </w:tcBorders>
            <w:vAlign w:val="center"/>
          </w:tcPr>
          <w:p w14:paraId="6A350D9F">
            <w:pPr>
              <w:widowControl/>
              <w:jc w:val="left"/>
              <w:rPr>
                <w:rFonts w:ascii="宋体" w:hAnsi="宋体" w:cs="宋体"/>
                <w:kern w:val="0"/>
                <w:sz w:val="20"/>
                <w:szCs w:val="20"/>
                <w:highlight w:val="none"/>
              </w:rPr>
            </w:pPr>
            <w:r>
              <w:rPr>
                <w:rFonts w:hint="eastAsia" w:ascii="宋体" w:hAnsi="宋体" w:cs="宋体"/>
                <w:kern w:val="0"/>
                <w:sz w:val="20"/>
                <w:szCs w:val="20"/>
                <w:highlight w:val="none"/>
              </w:rPr>
              <w:t>Y＜2000</w:t>
            </w:r>
          </w:p>
        </w:tc>
      </w:tr>
      <w:tr w14:paraId="4DDA374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AF1CD48">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物业管理</w:t>
            </w:r>
          </w:p>
        </w:tc>
        <w:tc>
          <w:tcPr>
            <w:tcW w:w="1633" w:type="dxa"/>
            <w:tcBorders>
              <w:top w:val="nil"/>
              <w:left w:val="nil"/>
              <w:bottom w:val="single" w:color="auto" w:sz="4" w:space="0"/>
              <w:right w:val="single" w:color="auto" w:sz="4" w:space="0"/>
            </w:tcBorders>
            <w:vAlign w:val="center"/>
          </w:tcPr>
          <w:p w14:paraId="195D126F">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298E68C">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5ED14181">
            <w:pPr>
              <w:widowControl/>
              <w:jc w:val="left"/>
              <w:rPr>
                <w:rFonts w:ascii="宋体" w:hAnsi="宋体" w:cs="宋体"/>
                <w:kern w:val="0"/>
                <w:sz w:val="20"/>
                <w:szCs w:val="20"/>
                <w:highlight w:val="none"/>
              </w:rPr>
            </w:pPr>
            <w:r>
              <w:rPr>
                <w:rFonts w:hint="eastAsia" w:ascii="宋体" w:hAnsi="宋体" w:cs="宋体"/>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1CCAD7FE">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091" w:type="dxa"/>
            <w:tcBorders>
              <w:top w:val="nil"/>
              <w:left w:val="nil"/>
              <w:bottom w:val="single" w:color="auto" w:sz="4" w:space="0"/>
              <w:right w:val="single" w:color="auto" w:sz="4" w:space="0"/>
            </w:tcBorders>
            <w:vAlign w:val="center"/>
          </w:tcPr>
          <w:p w14:paraId="2CCCF4DB">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X＜100</w:t>
            </w:r>
          </w:p>
        </w:tc>
      </w:tr>
      <w:tr w14:paraId="28E8136D">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787375F">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2964012B">
            <w:pPr>
              <w:widowControl/>
              <w:jc w:val="left"/>
              <w:rPr>
                <w:rFonts w:ascii="宋体" w:hAnsi="宋体" w:cs="宋体"/>
                <w:kern w:val="0"/>
                <w:sz w:val="20"/>
                <w:szCs w:val="20"/>
                <w:highlight w:val="none"/>
              </w:rPr>
            </w:pPr>
            <w:r>
              <w:rPr>
                <w:rFonts w:hint="eastAsia" w:ascii="宋体" w:hAnsi="宋体" w:cs="宋体"/>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C8D974C">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5EF24627">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1000≤Y＜5000</w:t>
            </w:r>
          </w:p>
        </w:tc>
        <w:tc>
          <w:tcPr>
            <w:tcW w:w="1699" w:type="dxa"/>
            <w:tcBorders>
              <w:top w:val="nil"/>
              <w:left w:val="nil"/>
              <w:bottom w:val="single" w:color="auto" w:sz="4" w:space="0"/>
              <w:right w:val="single" w:color="auto" w:sz="4" w:space="0"/>
            </w:tcBorders>
            <w:vAlign w:val="center"/>
          </w:tcPr>
          <w:p w14:paraId="0F7A36A3">
            <w:pPr>
              <w:widowControl/>
              <w:jc w:val="left"/>
              <w:rPr>
                <w:rFonts w:ascii="宋体" w:hAnsi="宋体" w:cs="宋体"/>
                <w:kern w:val="0"/>
                <w:sz w:val="20"/>
                <w:szCs w:val="20"/>
                <w:highlight w:val="none"/>
              </w:rPr>
            </w:pPr>
            <w:r>
              <w:rPr>
                <w:rFonts w:hint="eastAsia" w:ascii="宋体" w:hAnsi="宋体" w:cs="宋体"/>
                <w:kern w:val="0"/>
                <w:sz w:val="20"/>
                <w:szCs w:val="20"/>
                <w:highlight w:val="none"/>
              </w:rPr>
              <w:t>500≤Y＜1000</w:t>
            </w:r>
          </w:p>
        </w:tc>
        <w:tc>
          <w:tcPr>
            <w:tcW w:w="1091" w:type="dxa"/>
            <w:tcBorders>
              <w:top w:val="nil"/>
              <w:left w:val="nil"/>
              <w:bottom w:val="single" w:color="auto" w:sz="4" w:space="0"/>
              <w:right w:val="single" w:color="auto" w:sz="4" w:space="0"/>
            </w:tcBorders>
            <w:vAlign w:val="center"/>
          </w:tcPr>
          <w:p w14:paraId="5E8ED757">
            <w:pPr>
              <w:widowControl/>
              <w:jc w:val="left"/>
              <w:rPr>
                <w:rFonts w:ascii="宋体" w:hAnsi="宋体" w:cs="宋体"/>
                <w:kern w:val="0"/>
                <w:sz w:val="20"/>
                <w:szCs w:val="20"/>
                <w:highlight w:val="none"/>
              </w:rPr>
            </w:pPr>
            <w:r>
              <w:rPr>
                <w:rFonts w:hint="eastAsia" w:ascii="宋体" w:hAnsi="宋体" w:cs="宋体"/>
                <w:kern w:val="0"/>
                <w:sz w:val="20"/>
                <w:szCs w:val="20"/>
                <w:highlight w:val="none"/>
              </w:rPr>
              <w:t>Y＜500</w:t>
            </w:r>
          </w:p>
        </w:tc>
      </w:tr>
      <w:tr w14:paraId="60A25D3A">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A3E08DF">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租赁和商务服务业</w:t>
            </w:r>
          </w:p>
        </w:tc>
        <w:tc>
          <w:tcPr>
            <w:tcW w:w="1633" w:type="dxa"/>
            <w:tcBorders>
              <w:top w:val="nil"/>
              <w:left w:val="nil"/>
              <w:bottom w:val="single" w:color="auto" w:sz="4" w:space="0"/>
              <w:right w:val="single" w:color="auto" w:sz="4" w:space="0"/>
            </w:tcBorders>
            <w:vAlign w:val="center"/>
          </w:tcPr>
          <w:p w14:paraId="68E74FC4">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CEBFC9B">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54467716">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2E536A59">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123ACA0">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r w14:paraId="4E44850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FDF5183">
            <w:pPr>
              <w:widowControl/>
              <w:jc w:val="left"/>
              <w:rPr>
                <w:rFonts w:ascii="宋体" w:hAnsi="宋体" w:cs="宋体"/>
                <w:b/>
                <w:bCs/>
                <w:kern w:val="0"/>
                <w:sz w:val="20"/>
                <w:szCs w:val="20"/>
                <w:highlight w:val="none"/>
              </w:rPr>
            </w:pPr>
          </w:p>
        </w:tc>
        <w:tc>
          <w:tcPr>
            <w:tcW w:w="1633" w:type="dxa"/>
            <w:tcBorders>
              <w:top w:val="nil"/>
              <w:left w:val="nil"/>
              <w:bottom w:val="single" w:color="auto" w:sz="4" w:space="0"/>
              <w:right w:val="single" w:color="auto" w:sz="4" w:space="0"/>
            </w:tcBorders>
            <w:vAlign w:val="center"/>
          </w:tcPr>
          <w:p w14:paraId="4546E774">
            <w:pPr>
              <w:widowControl/>
              <w:jc w:val="left"/>
              <w:rPr>
                <w:rFonts w:ascii="宋体" w:hAnsi="宋体" w:cs="宋体"/>
                <w:kern w:val="0"/>
                <w:sz w:val="20"/>
                <w:szCs w:val="20"/>
                <w:highlight w:val="none"/>
              </w:rPr>
            </w:pPr>
            <w:r>
              <w:rPr>
                <w:rFonts w:hint="eastAsia" w:ascii="宋体" w:hAnsi="宋体" w:cs="宋体"/>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4C2A3750">
            <w:pPr>
              <w:widowControl/>
              <w:jc w:val="left"/>
              <w:rPr>
                <w:rFonts w:ascii="宋体" w:hAnsi="宋体" w:cs="宋体"/>
                <w:kern w:val="0"/>
                <w:sz w:val="20"/>
                <w:szCs w:val="20"/>
                <w:highlight w:val="none"/>
              </w:rPr>
            </w:pPr>
            <w:r>
              <w:rPr>
                <w:rFonts w:hint="eastAsia" w:ascii="宋体" w:hAnsi="宋体" w:cs="宋体"/>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A98E0AA">
            <w:pPr>
              <w:widowControl/>
              <w:jc w:val="left"/>
              <w:rPr>
                <w:rFonts w:ascii="宋体" w:hAnsi="宋体" w:cs="宋体"/>
                <w:kern w:val="0"/>
                <w:sz w:val="20"/>
                <w:szCs w:val="20"/>
                <w:highlight w:val="none"/>
              </w:rPr>
            </w:pPr>
            <w:r>
              <w:rPr>
                <w:rFonts w:hint="eastAsia" w:ascii="宋体" w:hAnsi="宋体" w:cs="宋体"/>
                <w:kern w:val="0"/>
                <w:sz w:val="20"/>
                <w:szCs w:val="20"/>
                <w:highlight w:val="none"/>
              </w:rPr>
              <w:t>8000≤Z＜120000</w:t>
            </w:r>
          </w:p>
        </w:tc>
        <w:tc>
          <w:tcPr>
            <w:tcW w:w="1699" w:type="dxa"/>
            <w:tcBorders>
              <w:top w:val="nil"/>
              <w:left w:val="nil"/>
              <w:bottom w:val="single" w:color="auto" w:sz="4" w:space="0"/>
              <w:right w:val="single" w:color="auto" w:sz="4" w:space="0"/>
            </w:tcBorders>
            <w:vAlign w:val="center"/>
          </w:tcPr>
          <w:p w14:paraId="25EFA31D">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100≤Z＜8000</w:t>
            </w:r>
          </w:p>
        </w:tc>
        <w:tc>
          <w:tcPr>
            <w:tcW w:w="1091" w:type="dxa"/>
            <w:tcBorders>
              <w:top w:val="nil"/>
              <w:left w:val="nil"/>
              <w:bottom w:val="single" w:color="auto" w:sz="4" w:space="0"/>
              <w:right w:val="single" w:color="auto" w:sz="4" w:space="0"/>
            </w:tcBorders>
            <w:vAlign w:val="center"/>
          </w:tcPr>
          <w:p w14:paraId="755162B4">
            <w:pPr>
              <w:widowControl/>
              <w:jc w:val="left"/>
              <w:rPr>
                <w:rFonts w:ascii="宋体" w:hAnsi="宋体" w:cs="宋体"/>
                <w:kern w:val="0"/>
                <w:sz w:val="20"/>
                <w:szCs w:val="20"/>
                <w:highlight w:val="none"/>
              </w:rPr>
            </w:pPr>
            <w:r>
              <w:rPr>
                <w:rFonts w:hint="eastAsia" w:ascii="宋体" w:hAnsi="宋体" w:cs="宋体"/>
                <w:kern w:val="0"/>
                <w:sz w:val="20"/>
                <w:szCs w:val="20"/>
                <w:highlight w:val="none"/>
              </w:rPr>
              <w:t>Y＜100</w:t>
            </w:r>
          </w:p>
        </w:tc>
      </w:tr>
      <w:tr w14:paraId="2F9C3627">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35B1590E">
            <w:pPr>
              <w:widowControl/>
              <w:jc w:val="center"/>
              <w:rPr>
                <w:rFonts w:ascii="宋体" w:hAnsi="宋体" w:cs="宋体"/>
                <w:b/>
                <w:bCs/>
                <w:kern w:val="0"/>
                <w:sz w:val="20"/>
                <w:szCs w:val="20"/>
                <w:highlight w:val="none"/>
              </w:rPr>
            </w:pPr>
            <w:r>
              <w:rPr>
                <w:rFonts w:hint="eastAsia" w:ascii="宋体" w:hAnsi="宋体" w:cs="宋体"/>
                <w:b/>
                <w:bCs/>
                <w:kern w:val="0"/>
                <w:sz w:val="20"/>
                <w:szCs w:val="20"/>
                <w:highlight w:val="none"/>
              </w:rPr>
              <w:t>其他未列明行业</w:t>
            </w:r>
          </w:p>
        </w:tc>
        <w:tc>
          <w:tcPr>
            <w:tcW w:w="1633" w:type="dxa"/>
            <w:tcBorders>
              <w:top w:val="nil"/>
              <w:left w:val="nil"/>
              <w:bottom w:val="single" w:color="auto" w:sz="4" w:space="0"/>
              <w:right w:val="single" w:color="auto" w:sz="4" w:space="0"/>
            </w:tcBorders>
            <w:vAlign w:val="center"/>
          </w:tcPr>
          <w:p w14:paraId="6FB2484C">
            <w:pPr>
              <w:widowControl/>
              <w:jc w:val="left"/>
              <w:rPr>
                <w:rFonts w:ascii="宋体" w:hAnsi="宋体" w:cs="宋体"/>
                <w:kern w:val="0"/>
                <w:sz w:val="20"/>
                <w:szCs w:val="20"/>
                <w:highlight w:val="none"/>
              </w:rPr>
            </w:pPr>
            <w:r>
              <w:rPr>
                <w:rFonts w:hint="eastAsia" w:ascii="宋体" w:hAnsi="宋体" w:cs="宋体"/>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58C8020">
            <w:pPr>
              <w:widowControl/>
              <w:jc w:val="left"/>
              <w:rPr>
                <w:rFonts w:ascii="宋体" w:hAnsi="宋体" w:cs="宋体"/>
                <w:kern w:val="0"/>
                <w:sz w:val="20"/>
                <w:szCs w:val="20"/>
                <w:highlight w:val="none"/>
              </w:rPr>
            </w:pPr>
            <w:r>
              <w:rPr>
                <w:rFonts w:hint="eastAsia" w:ascii="宋体" w:hAnsi="宋体" w:cs="宋体"/>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A1C107D">
            <w:pPr>
              <w:widowControl/>
              <w:jc w:val="left"/>
              <w:rPr>
                <w:rFonts w:ascii="宋体" w:hAnsi="宋体" w:cs="宋体"/>
                <w:kern w:val="0"/>
                <w:sz w:val="20"/>
                <w:szCs w:val="20"/>
                <w:highlight w:val="none"/>
              </w:rPr>
            </w:pPr>
            <w:r>
              <w:rPr>
                <w:rFonts w:hint="eastAsia" w:ascii="宋体" w:hAnsi="宋体" w:cs="宋体"/>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41B13C1D">
            <w:pPr>
              <w:widowControl/>
              <w:jc w:val="left"/>
              <w:rPr>
                <w:rFonts w:ascii="宋体" w:hAnsi="宋体" w:cs="宋体"/>
                <w:kern w:val="0"/>
                <w:sz w:val="20"/>
                <w:szCs w:val="20"/>
                <w:highlight w:val="none"/>
              </w:rPr>
            </w:pPr>
            <w:r>
              <w:rPr>
                <w:rFonts w:hint="eastAsia" w:ascii="宋体" w:hAnsi="宋体" w:cs="宋体"/>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475C00EC">
            <w:pPr>
              <w:widowControl/>
              <w:jc w:val="left"/>
              <w:rPr>
                <w:rFonts w:ascii="宋体" w:hAnsi="宋体" w:cs="宋体"/>
                <w:kern w:val="0"/>
                <w:sz w:val="20"/>
                <w:szCs w:val="20"/>
                <w:highlight w:val="none"/>
              </w:rPr>
            </w:pPr>
            <w:r>
              <w:rPr>
                <w:rFonts w:hint="eastAsia" w:ascii="宋体" w:hAnsi="宋体" w:cs="宋体"/>
                <w:kern w:val="0"/>
                <w:sz w:val="20"/>
                <w:szCs w:val="20"/>
                <w:highlight w:val="none"/>
              </w:rPr>
              <w:t>X＜10</w:t>
            </w:r>
          </w:p>
        </w:tc>
      </w:tr>
    </w:tbl>
    <w:p w14:paraId="16D63689">
      <w:pPr>
        <w:spacing w:line="360" w:lineRule="auto"/>
        <w:ind w:firstLine="602" w:firstLineChars="250"/>
        <w:rPr>
          <w:rFonts w:ascii="楷体" w:hAnsi="楷体" w:eastAsia="楷体" w:cs="宋体"/>
          <w:sz w:val="24"/>
          <w:highlight w:val="none"/>
        </w:rPr>
      </w:pPr>
      <w:r>
        <w:rPr>
          <w:rFonts w:hint="eastAsia" w:ascii="楷体" w:hAnsi="楷体" w:eastAsia="楷体" w:cs="宋体"/>
          <w:b/>
          <w:sz w:val="24"/>
          <w:highlight w:val="none"/>
        </w:rPr>
        <w:t>说明</w:t>
      </w:r>
      <w:r>
        <w:rPr>
          <w:rFonts w:hint="eastAsia" w:ascii="楷体" w:hAnsi="楷体" w:eastAsia="楷体" w:cs="宋体"/>
          <w:sz w:val="24"/>
          <w:highlight w:val="none"/>
        </w:rPr>
        <w:t>：上述标准参照《关于印发中小企业划型标准规定的通知》（工信部联企业</w:t>
      </w:r>
      <w:r>
        <w:rPr>
          <w:rFonts w:ascii="楷体" w:hAnsi="楷体" w:eastAsia="楷体" w:cs="宋体"/>
          <w:sz w:val="24"/>
          <w:highlight w:val="none"/>
        </w:rPr>
        <w:t>[2011]300号），大型、中型和小型企业须同时满足所列指标的下限，否则下划一档；微型企业只须满足所列指标中的一项即可。</w:t>
      </w:r>
    </w:p>
    <w:p w14:paraId="32F6DA5F">
      <w:pPr>
        <w:widowControl/>
        <w:jc w:val="left"/>
        <w:rPr>
          <w:rFonts w:ascii="宋体" w:hAnsi="宋体" w:cs="宋体"/>
          <w:sz w:val="24"/>
          <w:highlight w:val="none"/>
        </w:rPr>
        <w:sectPr>
          <w:footerReference r:id="rId4" w:type="default"/>
          <w:pgSz w:w="11906" w:h="16838"/>
          <w:pgMar w:top="1417" w:right="1417" w:bottom="1417" w:left="1417" w:header="720" w:footer="720" w:gutter="0"/>
          <w:pgNumType w:start="1"/>
          <w:cols w:space="0" w:num="1"/>
          <w:rtlGutter w:val="0"/>
          <w:docGrid w:type="lines" w:linePitch="333" w:charSpace="0"/>
        </w:sectPr>
      </w:pPr>
    </w:p>
    <w:p w14:paraId="4324359E">
      <w:pPr>
        <w:pStyle w:val="2"/>
        <w:spacing w:line="360" w:lineRule="auto"/>
        <w:jc w:val="center"/>
        <w:rPr>
          <w:rFonts w:ascii="宋体" w:hAnsi="宋体" w:cs="宋体"/>
          <w:highlight w:val="none"/>
        </w:rPr>
      </w:pPr>
      <w:bookmarkStart w:id="45" w:name="_Toc12721"/>
      <w:r>
        <w:rPr>
          <w:rFonts w:hint="eastAsia" w:ascii="宋体" w:hAnsi="宋体" w:cs="宋体"/>
          <w:highlight w:val="none"/>
        </w:rPr>
        <w:t>第三章</w:t>
      </w:r>
      <w:r>
        <w:rPr>
          <w:rFonts w:hint="eastAsia" w:ascii="宋体" w:hAnsi="宋体" w:cs="宋体"/>
          <w:highlight w:val="none"/>
          <w:lang w:eastAsia="zh-CN"/>
        </w:rPr>
        <w:t>、</w:t>
      </w:r>
      <w:r>
        <w:rPr>
          <w:rFonts w:hint="eastAsia" w:ascii="宋体" w:hAnsi="宋体" w:cs="宋体"/>
          <w:highlight w:val="none"/>
        </w:rPr>
        <w:t>投标人须知</w:t>
      </w:r>
      <w:bookmarkEnd w:id="44"/>
      <w:bookmarkEnd w:id="45"/>
    </w:p>
    <w:p w14:paraId="5F29D6B2">
      <w:pPr>
        <w:spacing w:line="360" w:lineRule="auto"/>
        <w:jc w:val="center"/>
        <w:rPr>
          <w:rFonts w:ascii="宋体" w:hAnsi="宋体" w:cs="宋体"/>
          <w:sz w:val="36"/>
          <w:szCs w:val="36"/>
          <w:highlight w:val="none"/>
        </w:rPr>
      </w:pPr>
      <w:bookmarkStart w:id="46" w:name="_Toc254970667"/>
      <w:bookmarkStart w:id="47" w:name="_Toc254970526"/>
      <w:r>
        <w:rPr>
          <w:rFonts w:hint="eastAsia" w:ascii="宋体" w:hAnsi="宋体" w:cs="宋体"/>
          <w:sz w:val="36"/>
          <w:szCs w:val="36"/>
          <w:highlight w:val="none"/>
        </w:rPr>
        <w:t>投标人须知前附表</w:t>
      </w:r>
      <w:bookmarkEnd w:id="46"/>
      <w:bookmarkEnd w:id="47"/>
    </w:p>
    <w:tbl>
      <w:tblPr>
        <w:tblStyle w:val="48"/>
        <w:tblW w:w="97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8708"/>
      </w:tblGrid>
      <w:tr w14:paraId="7E63B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2010A2AB">
            <w:pPr>
              <w:snapToGrid w:val="0"/>
              <w:spacing w:line="360" w:lineRule="auto"/>
              <w:jc w:val="center"/>
              <w:rPr>
                <w:rFonts w:ascii="宋体" w:hAnsi="宋体" w:cs="宋体"/>
                <w:sz w:val="21"/>
                <w:szCs w:val="21"/>
                <w:highlight w:val="none"/>
              </w:rPr>
            </w:pPr>
            <w:r>
              <w:rPr>
                <w:rFonts w:hint="eastAsia" w:ascii="宋体" w:hAnsi="宋体" w:cs="宋体"/>
                <w:sz w:val="21"/>
                <w:szCs w:val="21"/>
                <w:highlight w:val="none"/>
              </w:rPr>
              <w:t>条款号</w:t>
            </w:r>
          </w:p>
        </w:tc>
        <w:tc>
          <w:tcPr>
            <w:tcW w:w="8708" w:type="dxa"/>
            <w:tcBorders>
              <w:top w:val="single" w:color="auto" w:sz="4" w:space="0"/>
              <w:left w:val="single" w:color="auto" w:sz="4" w:space="0"/>
              <w:bottom w:val="single" w:color="auto" w:sz="4" w:space="0"/>
              <w:right w:val="single" w:color="auto" w:sz="4" w:space="0"/>
            </w:tcBorders>
            <w:vAlign w:val="center"/>
          </w:tcPr>
          <w:p w14:paraId="393D43ED">
            <w:pPr>
              <w:snapToGrid w:val="0"/>
              <w:spacing w:line="360" w:lineRule="auto"/>
              <w:jc w:val="center"/>
              <w:rPr>
                <w:rFonts w:ascii="宋体" w:hAnsi="宋体" w:cs="宋体"/>
                <w:sz w:val="21"/>
                <w:szCs w:val="21"/>
                <w:highlight w:val="none"/>
              </w:rPr>
            </w:pPr>
            <w:r>
              <w:rPr>
                <w:rFonts w:hint="eastAsia" w:ascii="宋体" w:hAnsi="宋体" w:cs="宋体"/>
                <w:sz w:val="21"/>
                <w:szCs w:val="21"/>
                <w:highlight w:val="none"/>
              </w:rPr>
              <w:t>编列内容</w:t>
            </w:r>
          </w:p>
        </w:tc>
      </w:tr>
      <w:tr w14:paraId="077CA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51A5926B">
            <w:pPr>
              <w:spacing w:line="360" w:lineRule="auto"/>
              <w:jc w:val="center"/>
              <w:rPr>
                <w:rFonts w:ascii="宋体" w:hAnsi="宋体" w:cs="宋体"/>
                <w:sz w:val="21"/>
                <w:szCs w:val="21"/>
                <w:highlight w:val="none"/>
              </w:rPr>
            </w:pPr>
            <w:r>
              <w:rPr>
                <w:rFonts w:hint="eastAsia" w:ascii="宋体" w:hAnsi="宋体" w:cs="宋体"/>
                <w:sz w:val="21"/>
                <w:szCs w:val="21"/>
                <w:highlight w:val="none"/>
              </w:rPr>
              <w:t>3</w:t>
            </w:r>
          </w:p>
        </w:tc>
        <w:tc>
          <w:tcPr>
            <w:tcW w:w="8708" w:type="dxa"/>
            <w:tcBorders>
              <w:top w:val="single" w:color="auto" w:sz="4" w:space="0"/>
              <w:left w:val="single" w:color="auto" w:sz="4" w:space="0"/>
              <w:bottom w:val="single" w:color="auto" w:sz="4" w:space="0"/>
              <w:right w:val="single" w:color="auto" w:sz="4" w:space="0"/>
            </w:tcBorders>
            <w:vAlign w:val="center"/>
          </w:tcPr>
          <w:p w14:paraId="57EF0416">
            <w:pPr>
              <w:snapToGrid w:val="0"/>
              <w:spacing w:line="360" w:lineRule="auto"/>
              <w:jc w:val="left"/>
              <w:rPr>
                <w:rFonts w:ascii="宋体" w:hAnsi="宋体" w:cs="宋体"/>
                <w:sz w:val="21"/>
                <w:szCs w:val="21"/>
                <w:highlight w:val="none"/>
              </w:rPr>
            </w:pPr>
            <w:r>
              <w:rPr>
                <w:rFonts w:hint="eastAsia" w:ascii="宋体" w:hAnsi="宋体" w:cs="宋体"/>
                <w:sz w:val="21"/>
                <w:szCs w:val="21"/>
                <w:highlight w:val="none"/>
              </w:rPr>
              <w:t>投标人的资格要求：详见招标公告。</w:t>
            </w:r>
          </w:p>
        </w:tc>
      </w:tr>
      <w:tr w14:paraId="216744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54C9D3A9">
            <w:pPr>
              <w:spacing w:line="360" w:lineRule="auto"/>
              <w:jc w:val="center"/>
              <w:rPr>
                <w:rFonts w:ascii="宋体" w:hAnsi="宋体" w:cs="宋体"/>
                <w:sz w:val="21"/>
                <w:szCs w:val="21"/>
                <w:highlight w:val="none"/>
              </w:rPr>
            </w:pPr>
            <w:bookmarkStart w:id="48" w:name="_8.1"/>
            <w:bookmarkEnd w:id="48"/>
            <w:bookmarkStart w:id="49" w:name="_5"/>
            <w:bookmarkEnd w:id="49"/>
            <w:bookmarkStart w:id="50" w:name="_9.2"/>
            <w:bookmarkEnd w:id="50"/>
            <w:r>
              <w:rPr>
                <w:rFonts w:hint="eastAsia" w:ascii="宋体" w:hAnsi="宋体" w:cs="宋体"/>
                <w:sz w:val="21"/>
                <w:szCs w:val="21"/>
                <w:highlight w:val="none"/>
              </w:rPr>
              <w:t>6.1</w:t>
            </w:r>
          </w:p>
        </w:tc>
        <w:tc>
          <w:tcPr>
            <w:tcW w:w="8708" w:type="dxa"/>
            <w:tcBorders>
              <w:top w:val="single" w:color="auto" w:sz="4" w:space="0"/>
              <w:left w:val="single" w:color="auto" w:sz="4" w:space="0"/>
              <w:bottom w:val="single" w:color="auto" w:sz="4" w:space="0"/>
              <w:right w:val="single" w:color="auto" w:sz="4" w:space="0"/>
            </w:tcBorders>
            <w:vAlign w:val="center"/>
          </w:tcPr>
          <w:p w14:paraId="5DC9CA6B">
            <w:pPr>
              <w:pStyle w:val="9"/>
              <w:spacing w:line="360" w:lineRule="auto"/>
              <w:rPr>
                <w:rFonts w:ascii="宋体" w:hAnsi="宋体" w:cs="宋体"/>
                <w:sz w:val="21"/>
                <w:szCs w:val="21"/>
                <w:highlight w:val="none"/>
              </w:rPr>
            </w:pPr>
            <w:r>
              <w:rPr>
                <w:rFonts w:hint="eastAsia" w:ascii="宋体" w:hAnsi="宋体" w:cs="宋体"/>
                <w:sz w:val="21"/>
                <w:szCs w:val="21"/>
                <w:highlight w:val="none"/>
              </w:rPr>
              <w:t>本项目是否接受联合体投标：详见招标公告</w:t>
            </w:r>
          </w:p>
        </w:tc>
      </w:tr>
      <w:tr w14:paraId="5F79D7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11B84C4F">
            <w:pPr>
              <w:spacing w:line="360" w:lineRule="auto"/>
              <w:jc w:val="center"/>
              <w:rPr>
                <w:rFonts w:ascii="宋体" w:hAnsi="宋体" w:cs="宋体"/>
                <w:sz w:val="21"/>
                <w:szCs w:val="21"/>
                <w:highlight w:val="none"/>
              </w:rPr>
            </w:pPr>
            <w:r>
              <w:rPr>
                <w:rFonts w:hint="eastAsia" w:ascii="宋体" w:hAnsi="宋体" w:cs="宋体"/>
                <w:sz w:val="21"/>
                <w:szCs w:val="21"/>
                <w:highlight w:val="none"/>
              </w:rPr>
              <w:t>6.2</w:t>
            </w:r>
          </w:p>
        </w:tc>
        <w:tc>
          <w:tcPr>
            <w:tcW w:w="8708" w:type="dxa"/>
            <w:tcBorders>
              <w:top w:val="single" w:color="auto" w:sz="4" w:space="0"/>
              <w:left w:val="single" w:color="auto" w:sz="4" w:space="0"/>
              <w:bottom w:val="single" w:color="auto" w:sz="4" w:space="0"/>
              <w:right w:val="single" w:color="auto" w:sz="4" w:space="0"/>
            </w:tcBorders>
            <w:vAlign w:val="center"/>
          </w:tcPr>
          <w:p w14:paraId="33D7D7A2">
            <w:pPr>
              <w:autoSpaceDE w:val="0"/>
              <w:autoSpaceDN w:val="0"/>
              <w:snapToGrid w:val="0"/>
              <w:spacing w:line="360" w:lineRule="auto"/>
              <w:ind w:firstLine="0" w:firstLineChars="0"/>
              <w:textAlignment w:val="bottom"/>
              <w:rPr>
                <w:rFonts w:ascii="宋体" w:hAnsi="宋体" w:cs="宋体"/>
                <w:sz w:val="21"/>
                <w:szCs w:val="21"/>
                <w:highlight w:val="none"/>
              </w:rPr>
            </w:pPr>
            <w:bookmarkStart w:id="51" w:name="_Hlk54105293"/>
            <w:r>
              <w:rPr>
                <w:rFonts w:hint="eastAsia" w:ascii="宋体" w:hAnsi="宋体" w:cs="宋体"/>
                <w:sz w:val="21"/>
                <w:szCs w:val="21"/>
                <w:highlight w:val="none"/>
              </w:rPr>
              <w:t>如接受联合体投标，</w:t>
            </w:r>
            <w:bookmarkEnd w:id="51"/>
            <w:r>
              <w:rPr>
                <w:rFonts w:hint="eastAsia" w:ascii="宋体" w:hAnsi="宋体" w:cs="宋体"/>
                <w:sz w:val="21"/>
                <w:szCs w:val="21"/>
                <w:highlight w:val="none"/>
              </w:rPr>
              <w:t>联合体投标要求如下：</w:t>
            </w:r>
            <w:r>
              <w:rPr>
                <w:rFonts w:hint="eastAsia" w:ascii="宋体" w:hAnsi="宋体" w:cs="宋体"/>
                <w:color w:val="auto"/>
                <w:szCs w:val="21"/>
                <w:highlight w:val="none"/>
              </w:rPr>
              <w:t>无。</w:t>
            </w:r>
          </w:p>
        </w:tc>
      </w:tr>
      <w:tr w14:paraId="3544E1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604B9E62">
            <w:pPr>
              <w:spacing w:line="360" w:lineRule="auto"/>
              <w:jc w:val="center"/>
              <w:rPr>
                <w:rFonts w:ascii="宋体" w:hAnsi="宋体" w:cs="宋体"/>
                <w:sz w:val="21"/>
                <w:szCs w:val="21"/>
                <w:highlight w:val="none"/>
              </w:rPr>
            </w:pPr>
            <w:r>
              <w:rPr>
                <w:rFonts w:hint="eastAsia" w:ascii="宋体" w:hAnsi="宋体" w:cs="宋体"/>
                <w:sz w:val="21"/>
                <w:szCs w:val="21"/>
                <w:highlight w:val="none"/>
              </w:rPr>
              <w:t>7.2</w:t>
            </w:r>
          </w:p>
        </w:tc>
        <w:tc>
          <w:tcPr>
            <w:tcW w:w="8708" w:type="dxa"/>
            <w:tcBorders>
              <w:top w:val="single" w:color="auto" w:sz="4" w:space="0"/>
              <w:left w:val="single" w:color="auto" w:sz="4" w:space="0"/>
              <w:bottom w:val="single" w:color="auto" w:sz="4" w:space="0"/>
              <w:right w:val="single" w:color="auto" w:sz="4" w:space="0"/>
            </w:tcBorders>
            <w:vAlign w:val="center"/>
          </w:tcPr>
          <w:p w14:paraId="5008119B">
            <w:pPr>
              <w:pStyle w:val="9"/>
              <w:spacing w:line="360" w:lineRule="auto"/>
              <w:rPr>
                <w:rFonts w:ascii="宋体" w:hAnsi="宋体" w:cs="宋体"/>
                <w:sz w:val="21"/>
                <w:szCs w:val="21"/>
                <w:highlight w:val="none"/>
              </w:rPr>
            </w:pPr>
            <w:r>
              <w:rPr>
                <w:rFonts w:hint="eastAsia" w:ascii="宋体" w:hAnsi="宋体" w:cs="宋体"/>
                <w:sz w:val="21"/>
                <w:szCs w:val="21"/>
                <w:highlight w:val="none"/>
              </w:rPr>
              <w:sym w:font="Wingdings" w:char="00FE"/>
            </w:r>
            <w:r>
              <w:rPr>
                <w:rFonts w:hint="eastAsia" w:ascii="宋体" w:hAnsi="宋体" w:cs="宋体"/>
                <w:sz w:val="21"/>
                <w:szCs w:val="21"/>
                <w:highlight w:val="none"/>
              </w:rPr>
              <w:t>本项目不允许分包。</w:t>
            </w:r>
          </w:p>
          <w:p w14:paraId="609858C0">
            <w:pPr>
              <w:pStyle w:val="9"/>
              <w:spacing w:line="360" w:lineRule="auto"/>
              <w:rPr>
                <w:rFonts w:ascii="宋体" w:hAnsi="宋体" w:cs="宋体"/>
                <w:sz w:val="21"/>
                <w:szCs w:val="21"/>
                <w:highlight w:val="none"/>
              </w:rPr>
            </w:pPr>
            <w:r>
              <w:rPr>
                <w:rFonts w:hint="eastAsia" w:ascii="宋体" w:hAnsi="宋体" w:cs="宋体"/>
                <w:sz w:val="21"/>
                <w:szCs w:val="21"/>
                <w:highlight w:val="none"/>
              </w:rPr>
              <w:sym w:font="Wingdings" w:char="00A8"/>
            </w:r>
            <w:r>
              <w:rPr>
                <w:rFonts w:hint="eastAsia" w:ascii="宋体" w:hAnsi="宋体" w:cs="宋体"/>
                <w:sz w:val="21"/>
                <w:szCs w:val="21"/>
                <w:highlight w:val="none"/>
              </w:rPr>
              <w:t>本项目允许分包：</w:t>
            </w:r>
          </w:p>
          <w:p w14:paraId="4F9197BD">
            <w:pPr>
              <w:pStyle w:val="9"/>
              <w:spacing w:line="360" w:lineRule="auto"/>
              <w:rPr>
                <w:rFonts w:ascii="宋体" w:hAnsi="宋体" w:cs="宋体"/>
                <w:sz w:val="21"/>
                <w:szCs w:val="21"/>
                <w:highlight w:val="none"/>
                <w:u w:val="single"/>
              </w:rPr>
            </w:pPr>
            <w:r>
              <w:rPr>
                <w:rFonts w:hint="eastAsia" w:ascii="宋体" w:hAnsi="宋体" w:cs="宋体"/>
                <w:sz w:val="21"/>
                <w:szCs w:val="21"/>
                <w:highlight w:val="none"/>
              </w:rPr>
              <w:t>分包内容：</w:t>
            </w:r>
            <w:r>
              <w:rPr>
                <w:rFonts w:hint="eastAsia" w:ascii="宋体" w:hAnsi="宋体" w:cs="宋体"/>
                <w:sz w:val="21"/>
                <w:szCs w:val="21"/>
                <w:highlight w:val="none"/>
                <w:u w:val="single"/>
              </w:rPr>
              <w:t>/</w:t>
            </w:r>
          </w:p>
          <w:p w14:paraId="1F770D45">
            <w:pPr>
              <w:pStyle w:val="9"/>
              <w:spacing w:line="360" w:lineRule="auto"/>
              <w:jc w:val="both"/>
              <w:rPr>
                <w:rFonts w:ascii="宋体" w:hAnsi="宋体" w:cs="宋体"/>
                <w:sz w:val="21"/>
                <w:szCs w:val="21"/>
                <w:highlight w:val="none"/>
                <w:u w:val="single"/>
              </w:rPr>
            </w:pPr>
            <w:r>
              <w:rPr>
                <w:rFonts w:hint="eastAsia" w:ascii="宋体" w:hAnsi="宋体" w:cs="宋体"/>
                <w:sz w:val="21"/>
                <w:szCs w:val="21"/>
                <w:highlight w:val="none"/>
              </w:rPr>
              <w:t>分包金额或者比例：</w:t>
            </w:r>
            <w:r>
              <w:rPr>
                <w:rFonts w:hint="eastAsia" w:ascii="宋体" w:hAnsi="宋体" w:cs="宋体"/>
                <w:sz w:val="21"/>
                <w:szCs w:val="21"/>
                <w:highlight w:val="none"/>
                <w:u w:val="single"/>
              </w:rPr>
              <w:t>/</w:t>
            </w:r>
          </w:p>
        </w:tc>
      </w:tr>
      <w:tr w14:paraId="47D206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6"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E80C9F5">
            <w:pPr>
              <w:spacing w:line="360" w:lineRule="auto"/>
              <w:jc w:val="center"/>
              <w:rPr>
                <w:rFonts w:ascii="宋体" w:hAnsi="宋体" w:cs="宋体"/>
                <w:sz w:val="21"/>
                <w:szCs w:val="21"/>
                <w:highlight w:val="none"/>
              </w:rPr>
            </w:pPr>
            <w:r>
              <w:rPr>
                <w:rFonts w:hint="eastAsia" w:ascii="宋体" w:hAnsi="宋体" w:cs="宋体"/>
                <w:sz w:val="21"/>
                <w:szCs w:val="21"/>
                <w:highlight w:val="none"/>
              </w:rPr>
              <w:t>8.1</w:t>
            </w:r>
          </w:p>
        </w:tc>
        <w:tc>
          <w:tcPr>
            <w:tcW w:w="8708" w:type="dxa"/>
            <w:tcBorders>
              <w:top w:val="single" w:color="auto" w:sz="4" w:space="0"/>
              <w:left w:val="single" w:color="auto" w:sz="4" w:space="0"/>
              <w:bottom w:val="single" w:color="auto" w:sz="4" w:space="0"/>
              <w:right w:val="single" w:color="auto" w:sz="4" w:space="0"/>
            </w:tcBorders>
            <w:vAlign w:val="center"/>
          </w:tcPr>
          <w:p w14:paraId="1DD080B7">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1.采用最低评标价法的采购项目，提供相同品牌产品（非单一产品采购项目的，指核心产品）的不同投标人评标价相同时，按照下列方式确定一个投标人获得中标人推荐资格：评标委员会按投标报价低的原则确定，投标报价相同的按节能环保优先、技术指标高优先、质量保证期长优先、交货期短优先、故障响应时间短优先的顺序依次确定。</w:t>
            </w:r>
          </w:p>
          <w:p w14:paraId="62E6B59C">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采用综合评分法的采购项目，提供相同品牌产品（非单一产品采购项目的，指核心产品）的不同投标人评审后得分最高的同品牌投标人获得中标人推荐资格；评审得分相同时，依次按照投标报价低的优先、政策分得分高的优先、技术评分高的优先、商务评分高的优先、质量保证期长优先、交货期短优先、故障响应时间短优先的顺序确定一个投标人获得中标人推荐资格。</w:t>
            </w:r>
          </w:p>
        </w:tc>
      </w:tr>
      <w:tr w14:paraId="15AB9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1071" w:type="dxa"/>
            <w:vMerge w:val="restart"/>
            <w:tcBorders>
              <w:top w:val="single" w:color="auto" w:sz="4" w:space="0"/>
              <w:left w:val="single" w:color="auto" w:sz="4" w:space="0"/>
              <w:right w:val="single" w:color="auto" w:sz="4" w:space="0"/>
            </w:tcBorders>
            <w:vAlign w:val="center"/>
          </w:tcPr>
          <w:p w14:paraId="5F488FA3">
            <w:pPr>
              <w:spacing w:line="360" w:lineRule="auto"/>
              <w:jc w:val="center"/>
              <w:rPr>
                <w:rFonts w:ascii="宋体" w:hAnsi="宋体" w:cs="宋体"/>
                <w:sz w:val="21"/>
                <w:szCs w:val="21"/>
                <w:highlight w:val="none"/>
              </w:rPr>
            </w:pPr>
            <w:r>
              <w:rPr>
                <w:rFonts w:hint="eastAsia" w:ascii="宋体" w:hAnsi="宋体" w:cs="宋体"/>
                <w:sz w:val="21"/>
                <w:szCs w:val="21"/>
                <w:highlight w:val="none"/>
              </w:rPr>
              <w:t>11.5</w:t>
            </w:r>
          </w:p>
        </w:tc>
        <w:tc>
          <w:tcPr>
            <w:tcW w:w="8708" w:type="dxa"/>
            <w:tcBorders>
              <w:top w:val="single" w:color="auto" w:sz="4" w:space="0"/>
              <w:left w:val="single" w:color="auto" w:sz="4" w:space="0"/>
              <w:bottom w:val="single" w:color="auto" w:sz="4" w:space="0"/>
              <w:right w:val="single" w:color="auto" w:sz="4" w:space="0"/>
            </w:tcBorders>
            <w:vAlign w:val="center"/>
          </w:tcPr>
          <w:p w14:paraId="7DBB4DFB">
            <w:pPr>
              <w:snapToGrid w:val="0"/>
              <w:spacing w:line="360" w:lineRule="auto"/>
              <w:rPr>
                <w:rFonts w:ascii="宋体" w:hAnsi="宋体" w:cs="宋体"/>
                <w:sz w:val="21"/>
                <w:szCs w:val="21"/>
                <w:highlight w:val="none"/>
              </w:rPr>
            </w:pPr>
            <w:r>
              <w:rPr>
                <w:rFonts w:hint="eastAsia" w:ascii="宋体" w:hAnsi="宋体" w:cs="宋体"/>
                <w:sz w:val="21"/>
                <w:szCs w:val="21"/>
                <w:highlight w:val="none"/>
              </w:rPr>
              <w:t>本项目是否组织现场考察：是</w:t>
            </w:r>
            <w:r>
              <w:rPr>
                <w:rFonts w:hint="eastAsia" w:ascii="黑体" w:hAnsi="黑体" w:eastAsia="黑体" w:cs="宋体"/>
                <w:b/>
                <w:sz w:val="21"/>
                <w:szCs w:val="21"/>
                <w:highlight w:val="none"/>
              </w:rPr>
              <w:t>（）</w:t>
            </w:r>
            <w:r>
              <w:rPr>
                <w:rFonts w:hint="eastAsia" w:ascii="宋体" w:hAnsi="宋体" w:cs="宋体"/>
                <w:sz w:val="21"/>
                <w:szCs w:val="21"/>
                <w:highlight w:val="none"/>
              </w:rPr>
              <w:t>/否</w:t>
            </w:r>
            <w:r>
              <w:rPr>
                <w:rFonts w:hint="eastAsia" w:ascii="黑体" w:hAnsi="黑体" w:eastAsia="黑体" w:cs="宋体"/>
                <w:b/>
                <w:sz w:val="21"/>
                <w:szCs w:val="21"/>
                <w:highlight w:val="none"/>
              </w:rPr>
              <w:t>（√）</w:t>
            </w:r>
            <w:r>
              <w:rPr>
                <w:rFonts w:hint="eastAsia" w:ascii="宋体" w:hAnsi="宋体" w:cs="宋体"/>
                <w:sz w:val="21"/>
                <w:szCs w:val="21"/>
                <w:highlight w:val="none"/>
              </w:rPr>
              <w:t>。</w:t>
            </w:r>
            <w:r>
              <w:rPr>
                <w:rFonts w:hint="eastAsia" w:ascii="黑体" w:hAnsi="黑体" w:eastAsia="黑体" w:cs="宋体"/>
                <w:b/>
                <w:sz w:val="21"/>
                <w:szCs w:val="21"/>
                <w:highlight w:val="none"/>
              </w:rPr>
              <w:t>（括号内√选）</w:t>
            </w:r>
          </w:p>
        </w:tc>
      </w:tr>
      <w:tr w14:paraId="001E40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1071" w:type="dxa"/>
            <w:vMerge w:val="continue"/>
            <w:tcBorders>
              <w:left w:val="single" w:color="auto" w:sz="4" w:space="0"/>
              <w:bottom w:val="single" w:color="auto" w:sz="4" w:space="0"/>
              <w:right w:val="single" w:color="auto" w:sz="4" w:space="0"/>
            </w:tcBorders>
            <w:vAlign w:val="center"/>
          </w:tcPr>
          <w:p w14:paraId="734D7EC8">
            <w:pPr>
              <w:spacing w:line="360" w:lineRule="auto"/>
              <w:jc w:val="center"/>
              <w:rPr>
                <w:rFonts w:ascii="宋体" w:hAnsi="宋体" w:cs="宋体"/>
                <w:sz w:val="21"/>
                <w:szCs w:val="21"/>
                <w:highlight w:val="none"/>
              </w:rPr>
            </w:pPr>
          </w:p>
        </w:tc>
        <w:tc>
          <w:tcPr>
            <w:tcW w:w="8708" w:type="dxa"/>
            <w:tcBorders>
              <w:top w:val="single" w:color="auto" w:sz="4" w:space="0"/>
              <w:left w:val="single" w:color="auto" w:sz="4" w:space="0"/>
              <w:bottom w:val="single" w:color="auto" w:sz="4" w:space="0"/>
              <w:right w:val="single" w:color="auto" w:sz="4" w:space="0"/>
            </w:tcBorders>
            <w:vAlign w:val="center"/>
          </w:tcPr>
          <w:p w14:paraId="7F05A3CE">
            <w:pPr>
              <w:snapToGrid w:val="0"/>
              <w:spacing w:line="360" w:lineRule="auto"/>
              <w:rPr>
                <w:rFonts w:ascii="宋体" w:hAnsi="宋体" w:cs="宋体"/>
                <w:sz w:val="21"/>
                <w:szCs w:val="21"/>
                <w:highlight w:val="none"/>
              </w:rPr>
            </w:pPr>
            <w:r>
              <w:rPr>
                <w:rFonts w:hint="eastAsia" w:ascii="宋体" w:hAnsi="宋体" w:cs="宋体"/>
                <w:sz w:val="21"/>
                <w:szCs w:val="21"/>
                <w:highlight w:val="none"/>
              </w:rPr>
              <w:sym w:font="Wingdings" w:char="00FE"/>
            </w:r>
            <w:r>
              <w:rPr>
                <w:rFonts w:hint="eastAsia" w:ascii="宋体" w:hAnsi="宋体" w:cs="宋体"/>
                <w:sz w:val="21"/>
                <w:szCs w:val="21"/>
                <w:highlight w:val="none"/>
              </w:rPr>
              <w:t>本项目不组织召开开标前答疑会。</w:t>
            </w:r>
          </w:p>
          <w:p w14:paraId="166A1E6F">
            <w:pPr>
              <w:snapToGrid w:val="0"/>
              <w:spacing w:line="360" w:lineRule="auto"/>
              <w:rPr>
                <w:rFonts w:ascii="宋体" w:hAnsi="宋体" w:cs="宋体"/>
                <w:sz w:val="21"/>
                <w:szCs w:val="21"/>
                <w:highlight w:val="none"/>
              </w:rPr>
            </w:pPr>
            <w:r>
              <w:rPr>
                <w:rFonts w:hint="eastAsia" w:ascii="宋体" w:hAnsi="宋体" w:cs="宋体"/>
                <w:sz w:val="21"/>
                <w:szCs w:val="21"/>
                <w:highlight w:val="none"/>
              </w:rPr>
              <w:sym w:font="Wingdings" w:char="00A8"/>
            </w:r>
            <w:r>
              <w:rPr>
                <w:rFonts w:hint="eastAsia" w:ascii="宋体" w:hAnsi="宋体" w:cs="宋体"/>
                <w:sz w:val="21"/>
                <w:szCs w:val="21"/>
                <w:highlight w:val="none"/>
              </w:rPr>
              <w:t>本项目组织召开开标前答疑会：详见商务条款。</w:t>
            </w:r>
          </w:p>
        </w:tc>
      </w:tr>
      <w:tr w14:paraId="662790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vMerge w:val="restart"/>
            <w:tcBorders>
              <w:top w:val="single" w:color="auto" w:sz="4" w:space="0"/>
              <w:left w:val="single" w:color="auto" w:sz="4" w:space="0"/>
              <w:right w:val="single" w:color="auto" w:sz="4" w:space="0"/>
            </w:tcBorders>
            <w:vAlign w:val="center"/>
          </w:tcPr>
          <w:p w14:paraId="23AC705A">
            <w:pPr>
              <w:spacing w:line="360" w:lineRule="auto"/>
              <w:jc w:val="center"/>
              <w:rPr>
                <w:rFonts w:ascii="宋体" w:hAnsi="宋体" w:cs="宋体"/>
                <w:sz w:val="21"/>
                <w:szCs w:val="21"/>
                <w:highlight w:val="none"/>
              </w:rPr>
            </w:pPr>
            <w:bookmarkStart w:id="52" w:name="_13.1"/>
            <w:bookmarkEnd w:id="52"/>
            <w:r>
              <w:rPr>
                <w:rFonts w:hint="eastAsia" w:ascii="宋体" w:hAnsi="宋体" w:cs="宋体"/>
                <w:sz w:val="21"/>
                <w:szCs w:val="21"/>
                <w:highlight w:val="none"/>
              </w:rPr>
              <w:t>13.</w:t>
            </w:r>
            <w:bookmarkStart w:id="53" w:name="_Hlt19632543"/>
            <w:r>
              <w:rPr>
                <w:rFonts w:hint="eastAsia" w:ascii="宋体" w:hAnsi="宋体" w:cs="宋体"/>
                <w:sz w:val="21"/>
                <w:szCs w:val="21"/>
                <w:highlight w:val="none"/>
              </w:rPr>
              <w:t>1</w:t>
            </w:r>
            <w:bookmarkEnd w:id="53"/>
          </w:p>
        </w:tc>
        <w:tc>
          <w:tcPr>
            <w:tcW w:w="8708" w:type="dxa"/>
            <w:tcBorders>
              <w:top w:val="single" w:color="auto" w:sz="4" w:space="0"/>
              <w:left w:val="single" w:color="auto" w:sz="4" w:space="0"/>
              <w:bottom w:val="single" w:color="auto" w:sz="4" w:space="0"/>
              <w:right w:val="single" w:color="auto" w:sz="4" w:space="0"/>
            </w:tcBorders>
            <w:vAlign w:val="center"/>
          </w:tcPr>
          <w:p w14:paraId="295EFA66">
            <w:pPr>
              <w:snapToGrid w:val="0"/>
              <w:spacing w:line="360" w:lineRule="auto"/>
              <w:jc w:val="left"/>
              <w:rPr>
                <w:rFonts w:hint="eastAsia" w:ascii="宋体" w:hAnsi="宋体" w:cs="宋体"/>
                <w:b/>
                <w:sz w:val="21"/>
                <w:szCs w:val="21"/>
                <w:highlight w:val="none"/>
              </w:rPr>
            </w:pPr>
            <w:r>
              <w:rPr>
                <w:rFonts w:hint="eastAsia" w:ascii="宋体" w:hAnsi="宋体" w:cs="宋体"/>
                <w:b/>
                <w:sz w:val="21"/>
                <w:szCs w:val="21"/>
                <w:highlight w:val="none"/>
              </w:rPr>
              <w:t>报价文件：</w:t>
            </w:r>
          </w:p>
          <w:p w14:paraId="3BB8EAC7">
            <w:pPr>
              <w:autoSpaceDE w:val="0"/>
              <w:autoSpaceDN w:val="0"/>
              <w:snapToGrid w:val="0"/>
              <w:spacing w:line="360" w:lineRule="auto"/>
              <w:ind w:firstLine="420" w:firstLineChars="200"/>
              <w:textAlignment w:val="bottom"/>
              <w:rPr>
                <w:rFonts w:ascii="宋体" w:hAnsi="宋体" w:cs="宋体"/>
                <w:b/>
                <w:bCs/>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投标函（格式后附）；</w:t>
            </w:r>
            <w:r>
              <w:rPr>
                <w:rFonts w:hint="eastAsia" w:ascii="宋体" w:hAnsi="宋体" w:cs="宋体"/>
                <w:b/>
                <w:bCs/>
                <w:sz w:val="21"/>
                <w:szCs w:val="21"/>
                <w:highlight w:val="none"/>
              </w:rPr>
              <w:t>（必须提供，否则按无效投标处理）</w:t>
            </w:r>
          </w:p>
          <w:p w14:paraId="4013B853">
            <w:pPr>
              <w:autoSpaceDE w:val="0"/>
              <w:autoSpaceDN w:val="0"/>
              <w:snapToGrid w:val="0"/>
              <w:spacing w:line="360" w:lineRule="auto"/>
              <w:ind w:firstLine="420" w:firstLineChars="200"/>
              <w:textAlignment w:val="bottom"/>
              <w:rPr>
                <w:rFonts w:ascii="宋体" w:hAnsi="宋体" w:cs="宋体"/>
                <w:b/>
                <w:bCs/>
                <w:sz w:val="21"/>
                <w:szCs w:val="21"/>
                <w:highlight w:val="none"/>
              </w:rPr>
            </w:pPr>
            <w:bookmarkStart w:id="54" w:name="_Hlk71299233"/>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开标一览表</w:t>
            </w:r>
            <w:bookmarkEnd w:id="54"/>
            <w:r>
              <w:rPr>
                <w:rFonts w:hint="eastAsia" w:ascii="宋体" w:hAnsi="宋体" w:cs="宋体"/>
                <w:sz w:val="21"/>
                <w:szCs w:val="21"/>
                <w:highlight w:val="none"/>
              </w:rPr>
              <w:t>（格式后附）；</w:t>
            </w:r>
            <w:r>
              <w:rPr>
                <w:rFonts w:hint="eastAsia" w:ascii="宋体" w:hAnsi="宋体" w:cs="宋体"/>
                <w:b/>
                <w:bCs/>
                <w:sz w:val="21"/>
                <w:szCs w:val="21"/>
                <w:highlight w:val="none"/>
              </w:rPr>
              <w:t>（必须提供，否则按无效投标处理）</w:t>
            </w:r>
          </w:p>
          <w:p w14:paraId="4F930E6F">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bCs/>
                <w:sz w:val="21"/>
                <w:szCs w:val="21"/>
                <w:highlight w:val="none"/>
              </w:rPr>
              <w:t>.</w:t>
            </w:r>
            <w:r>
              <w:rPr>
                <w:rFonts w:hint="eastAsia" w:ascii="宋体" w:hAnsi="宋体" w:cs="宋体"/>
                <w:sz w:val="21"/>
                <w:szCs w:val="21"/>
                <w:highlight w:val="none"/>
              </w:rPr>
              <w:t>中小企业声明函（或残疾人福利性单位声明函或监狱企业声明函，残疾人福利性单位或监狱企业视同小微企业）（格式后附）；</w:t>
            </w:r>
          </w:p>
          <w:p w14:paraId="7522A1A1">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4.《关于符合本国产品标准的声明函》（供应商根据自身响应情况出具）（格式后附）；</w:t>
            </w:r>
          </w:p>
          <w:p w14:paraId="579DA0B3">
            <w:pPr>
              <w:autoSpaceDE w:val="0"/>
              <w:autoSpaceDN w:val="0"/>
              <w:snapToGrid w:val="0"/>
              <w:spacing w:line="360" w:lineRule="auto"/>
              <w:ind w:firstLine="420" w:firstLineChars="200"/>
              <w:textAlignment w:val="bottom"/>
              <w:rPr>
                <w:rFonts w:ascii="宋体" w:hAnsi="宋体" w:cs="宋体"/>
                <w:sz w:val="21"/>
                <w:szCs w:val="21"/>
                <w:highlight w:val="none"/>
              </w:rPr>
            </w:pPr>
            <w:r>
              <w:rPr>
                <w:rFonts w:ascii="宋体" w:hAnsi="宋体" w:cs="宋体"/>
                <w:sz w:val="21"/>
                <w:szCs w:val="21"/>
                <w:highlight w:val="none"/>
              </w:rPr>
              <w:t>5</w:t>
            </w:r>
            <w:r>
              <w:rPr>
                <w:rFonts w:hint="eastAsia" w:ascii="宋体" w:hAnsi="宋体" w:cs="宋体"/>
                <w:bCs/>
                <w:sz w:val="21"/>
                <w:szCs w:val="21"/>
                <w:highlight w:val="none"/>
              </w:rPr>
              <w:t>.</w:t>
            </w:r>
            <w:r>
              <w:rPr>
                <w:rFonts w:hint="eastAsia" w:ascii="宋体" w:hAnsi="宋体" w:cs="宋体"/>
                <w:sz w:val="21"/>
                <w:szCs w:val="21"/>
                <w:highlight w:val="none"/>
              </w:rPr>
              <w:t>投标人针对报价需要说明的其他文件和说明（格式自拟）。</w:t>
            </w:r>
          </w:p>
          <w:p w14:paraId="552ACDD7">
            <w:pPr>
              <w:autoSpaceDE w:val="0"/>
              <w:autoSpaceDN w:val="0"/>
              <w:snapToGrid w:val="0"/>
              <w:spacing w:line="360" w:lineRule="auto"/>
              <w:ind w:firstLine="420" w:firstLineChars="200"/>
              <w:textAlignment w:val="bottom"/>
              <w:rPr>
                <w:rFonts w:ascii="楷体" w:hAnsi="楷体" w:eastAsia="楷体"/>
                <w:szCs w:val="21"/>
                <w:highlight w:val="none"/>
              </w:rPr>
            </w:pPr>
            <w:r>
              <w:rPr>
                <w:rFonts w:hint="eastAsia" w:ascii="宋体" w:hAnsi="宋体" w:eastAsia="宋体" w:cs="宋体"/>
                <w:sz w:val="21"/>
                <w:szCs w:val="21"/>
                <w:highlight w:val="none"/>
              </w:rPr>
              <w:t>注：投标函、开标一览表必须由法定代表人或者委托代理人在规定签章处逐一签字（或个人CA签章）并加盖投标人公章，否则按无效投标处理。</w:t>
            </w:r>
          </w:p>
        </w:tc>
      </w:tr>
      <w:tr w14:paraId="4EDE39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vMerge w:val="continue"/>
            <w:tcBorders>
              <w:left w:val="single" w:color="auto" w:sz="4" w:space="0"/>
              <w:right w:val="single" w:color="auto" w:sz="4" w:space="0"/>
            </w:tcBorders>
            <w:vAlign w:val="center"/>
          </w:tcPr>
          <w:p w14:paraId="16E4ADC3">
            <w:pPr>
              <w:spacing w:line="360" w:lineRule="auto"/>
              <w:rPr>
                <w:rFonts w:ascii="宋体" w:hAnsi="宋体" w:cs="宋体"/>
                <w:sz w:val="21"/>
                <w:szCs w:val="21"/>
                <w:highlight w:val="none"/>
              </w:rPr>
            </w:pPr>
            <w:bookmarkStart w:id="55" w:name="_13.2"/>
            <w:bookmarkEnd w:id="55"/>
          </w:p>
        </w:tc>
        <w:tc>
          <w:tcPr>
            <w:tcW w:w="8708" w:type="dxa"/>
            <w:tcBorders>
              <w:top w:val="single" w:color="auto" w:sz="4" w:space="0"/>
              <w:left w:val="single" w:color="auto" w:sz="4" w:space="0"/>
              <w:bottom w:val="single" w:color="auto" w:sz="4" w:space="0"/>
              <w:right w:val="single" w:color="auto" w:sz="4" w:space="0"/>
            </w:tcBorders>
            <w:vAlign w:val="center"/>
          </w:tcPr>
          <w:p w14:paraId="5DEABE92">
            <w:pPr>
              <w:snapToGrid w:val="0"/>
              <w:spacing w:line="360" w:lineRule="auto"/>
              <w:jc w:val="left"/>
              <w:rPr>
                <w:rFonts w:ascii="宋体" w:hAnsi="宋体" w:cs="宋体"/>
                <w:b/>
                <w:sz w:val="21"/>
                <w:szCs w:val="21"/>
                <w:highlight w:val="none"/>
              </w:rPr>
            </w:pPr>
            <w:r>
              <w:rPr>
                <w:rFonts w:hint="eastAsia" w:ascii="宋体" w:hAnsi="宋体" w:cs="宋体"/>
                <w:b/>
                <w:sz w:val="21"/>
                <w:szCs w:val="21"/>
                <w:highlight w:val="none"/>
              </w:rPr>
              <w:t>资格证明文件：</w:t>
            </w:r>
          </w:p>
          <w:p w14:paraId="119DD1BD">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投标人为法人或者其他组织的，证明文件为其营业执照（如营业执照或者事业单位法人证书或者执业许可证等）；投标人为自然人的，证明文件为其身份证；</w:t>
            </w:r>
            <w:r>
              <w:rPr>
                <w:rFonts w:hint="eastAsia" w:ascii="宋体" w:hAnsi="宋体" w:cs="宋体"/>
                <w:b/>
                <w:sz w:val="21"/>
                <w:szCs w:val="21"/>
                <w:highlight w:val="none"/>
              </w:rPr>
              <w:t>（必须提供，否则投标文件按无效投标处理）</w:t>
            </w:r>
          </w:p>
          <w:p w14:paraId="6E840C4F">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投标人依法缴纳税收的相关材料（截至投标截止之日半年内</w:t>
            </w:r>
            <w:r>
              <w:rPr>
                <w:rFonts w:hint="eastAsia" w:ascii="宋体" w:hAnsi="宋体" w:cs="宋体"/>
                <w:sz w:val="21"/>
                <w:szCs w:val="21"/>
                <w:highlight w:val="none"/>
                <w:lang w:eastAsia="zh-CN"/>
              </w:rPr>
              <w:t>任意一个月</w:t>
            </w:r>
            <w:r>
              <w:rPr>
                <w:rFonts w:hint="eastAsia" w:ascii="宋体" w:hAnsi="宋体" w:cs="宋体"/>
                <w:sz w:val="21"/>
                <w:szCs w:val="21"/>
                <w:highlight w:val="none"/>
              </w:rPr>
              <w:t>依法缴纳税收的凭据；依法免税的供应商，必须提供相应文件证明其依法免税。从取得营业执照时间起到投标文件提交截止之日不足要求月数的，只需提供从取得营业执照时间起的依法缴纳税收相应证明文件）；</w:t>
            </w:r>
            <w:r>
              <w:rPr>
                <w:rFonts w:hint="eastAsia" w:ascii="宋体" w:hAnsi="宋体" w:cs="宋体"/>
                <w:b/>
                <w:sz w:val="21"/>
                <w:szCs w:val="21"/>
                <w:highlight w:val="none"/>
              </w:rPr>
              <w:t>（必须提供，否则按无效投标处理）</w:t>
            </w:r>
          </w:p>
          <w:p w14:paraId="5AD92BEF">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3</w:t>
            </w:r>
            <w:r>
              <w:rPr>
                <w:rFonts w:hint="eastAsia" w:ascii="宋体" w:hAnsi="宋体" w:cs="宋体"/>
                <w:bCs/>
                <w:sz w:val="21"/>
                <w:szCs w:val="21"/>
                <w:highlight w:val="none"/>
              </w:rPr>
              <w:t>.</w:t>
            </w:r>
            <w:r>
              <w:rPr>
                <w:rFonts w:hint="eastAsia" w:ascii="宋体" w:hAnsi="宋体" w:cs="宋体"/>
                <w:sz w:val="21"/>
                <w:szCs w:val="21"/>
                <w:highlight w:val="none"/>
              </w:rPr>
              <w:t>投标人依法缴纳社会保障资金的相关材料[截至投标截止之日半年内</w:t>
            </w:r>
            <w:r>
              <w:rPr>
                <w:rFonts w:hint="eastAsia" w:ascii="宋体" w:hAnsi="宋体" w:cs="宋体"/>
                <w:sz w:val="21"/>
                <w:szCs w:val="21"/>
                <w:highlight w:val="none"/>
                <w:lang w:eastAsia="zh-CN"/>
              </w:rPr>
              <w:t>任意一个月</w:t>
            </w:r>
            <w:r>
              <w:rPr>
                <w:rFonts w:hint="eastAsia" w:ascii="宋体" w:hAnsi="宋体" w:cs="宋体"/>
                <w:sz w:val="21"/>
                <w:szCs w:val="21"/>
                <w:highlight w:val="none"/>
              </w:rPr>
              <w:t>的依法缴纳社会保障资金的缴费凭证；依法不需要缴纳社会保障资金的供应商，必须提供相应文件证明不需要缴纳社会保障资金。从取得营业执照时间起到投标文件提交截止之日不足要求月数的只需提供从取得营业执照时间起的依法缴纳社会保障资金的相应证明文件]；</w:t>
            </w:r>
            <w:r>
              <w:rPr>
                <w:rFonts w:hint="eastAsia" w:ascii="宋体" w:hAnsi="宋体" w:cs="宋体"/>
                <w:b/>
                <w:sz w:val="21"/>
                <w:szCs w:val="21"/>
                <w:highlight w:val="none"/>
              </w:rPr>
              <w:t>（必须提供，否则按无效投标处理）</w:t>
            </w:r>
          </w:p>
          <w:p w14:paraId="587745C4">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4</w:t>
            </w:r>
            <w:r>
              <w:rPr>
                <w:rFonts w:hint="eastAsia" w:ascii="宋体" w:hAnsi="宋体" w:cs="宋体"/>
                <w:bCs/>
                <w:sz w:val="21"/>
                <w:szCs w:val="21"/>
                <w:highlight w:val="none"/>
              </w:rPr>
              <w:t>.</w:t>
            </w:r>
            <w:r>
              <w:rPr>
                <w:rFonts w:hint="eastAsia" w:ascii="宋体" w:hAnsi="宋体" w:cs="宋体"/>
                <w:sz w:val="21"/>
                <w:szCs w:val="21"/>
                <w:highlight w:val="none"/>
              </w:rPr>
              <w:t>投标人财务状况报告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2025年度财务报告复印件，或者银行出具的资信证明，或者中国人民银行征信中心出具的信用报告（企业</w:t>
            </w:r>
            <w:r>
              <w:rPr>
                <w:rFonts w:hint="eastAsia" w:ascii="宋体" w:hAnsi="宋体" w:eastAsia="宋体" w:cs="宋体"/>
                <w:color w:val="auto"/>
                <w:szCs w:val="21"/>
                <w:highlight w:val="none"/>
                <w:lang w:val="en-US" w:eastAsia="zh-CN"/>
              </w:rPr>
              <w:t>投</w:t>
            </w:r>
            <w:r>
              <w:rPr>
                <w:rFonts w:hint="eastAsia" w:ascii="宋体" w:hAnsi="宋体" w:eastAsia="宋体" w:cs="宋体"/>
                <w:color w:val="auto"/>
                <w:szCs w:val="21"/>
                <w:highlight w:val="none"/>
              </w:rPr>
              <w:t>标的提供企业信用报告，自然人</w:t>
            </w:r>
            <w:r>
              <w:rPr>
                <w:rFonts w:hint="eastAsia" w:ascii="宋体" w:hAnsi="宋体" w:eastAsia="宋体" w:cs="宋体"/>
                <w:color w:val="auto"/>
                <w:szCs w:val="21"/>
                <w:highlight w:val="none"/>
                <w:lang w:val="en-US" w:eastAsia="zh-CN"/>
              </w:rPr>
              <w:t>投</w:t>
            </w:r>
            <w:r>
              <w:rPr>
                <w:rFonts w:hint="eastAsia" w:ascii="宋体" w:hAnsi="宋体" w:eastAsia="宋体" w:cs="宋体"/>
                <w:color w:val="auto"/>
                <w:szCs w:val="21"/>
                <w:highlight w:val="none"/>
              </w:rPr>
              <w:t>标的提供个人信用报告）；</w:t>
            </w:r>
            <w:r>
              <w:rPr>
                <w:rFonts w:hint="eastAsia" w:ascii="宋体" w:hAnsi="宋体" w:cs="宋体"/>
                <w:sz w:val="21"/>
                <w:szCs w:val="21"/>
                <w:highlight w:val="none"/>
              </w:rPr>
              <w:t>投标人</w:t>
            </w:r>
            <w:r>
              <w:rPr>
                <w:rFonts w:hint="eastAsia" w:ascii="宋体" w:hAnsi="宋体" w:eastAsia="宋体" w:cs="宋体"/>
                <w:color w:val="auto"/>
                <w:szCs w:val="21"/>
                <w:highlight w:val="none"/>
              </w:rPr>
              <w:t>属于成立时间在规定年度之后的法人或其他组织，需提供成立之日起至</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文件提交截止时间前的月报表或银行出具的资信证明或者中国人民银行征信中心出具的企业信用报告；资信证明应在有效期内，未注明有效期的，银行出具时间至</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文件提交截止时间不超过一年）。</w:t>
            </w:r>
            <w:r>
              <w:rPr>
                <w:rFonts w:hint="eastAsia" w:ascii="宋体" w:hAnsi="宋体" w:eastAsia="宋体" w:cs="宋体"/>
                <w:b/>
                <w:bCs/>
                <w:color w:val="auto"/>
                <w:szCs w:val="21"/>
                <w:highlight w:val="none"/>
              </w:rPr>
              <w:t>[注：上述财务状况报告包括：投标人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bCs/>
                <w:color w:val="auto"/>
                <w:szCs w:val="21"/>
                <w:highlight w:val="none"/>
                <w:lang w:eastAsia="zh-CN"/>
              </w:rPr>
              <w:t>】</w:t>
            </w:r>
            <w:r>
              <w:rPr>
                <w:rFonts w:hint="eastAsia" w:ascii="宋体" w:hAnsi="宋体" w:cs="宋体"/>
                <w:b/>
                <w:sz w:val="21"/>
                <w:szCs w:val="21"/>
                <w:highlight w:val="none"/>
              </w:rPr>
              <w:t>（必须提供，否则按无效投标处理）</w:t>
            </w:r>
          </w:p>
          <w:p w14:paraId="72BC5727">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5</w:t>
            </w:r>
            <w:r>
              <w:rPr>
                <w:rFonts w:hint="eastAsia" w:ascii="宋体" w:hAnsi="宋体" w:cs="宋体"/>
                <w:bCs/>
                <w:sz w:val="21"/>
                <w:szCs w:val="21"/>
                <w:highlight w:val="none"/>
              </w:rPr>
              <w:t>.</w:t>
            </w:r>
            <w:r>
              <w:rPr>
                <w:rFonts w:hint="eastAsia" w:ascii="宋体" w:hAnsi="宋体" w:cs="宋体"/>
                <w:sz w:val="21"/>
                <w:szCs w:val="21"/>
                <w:highlight w:val="none"/>
              </w:rPr>
              <w:t>投标人直接控股、管理关系信息表（格式后附）；</w:t>
            </w:r>
            <w:r>
              <w:rPr>
                <w:rFonts w:hint="eastAsia" w:ascii="宋体" w:hAnsi="宋体" w:cs="宋体"/>
                <w:b/>
                <w:sz w:val="21"/>
                <w:szCs w:val="21"/>
                <w:highlight w:val="none"/>
              </w:rPr>
              <w:t>（必须提供，否则按无效投标处理）</w:t>
            </w:r>
          </w:p>
          <w:p w14:paraId="3E686309">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6</w:t>
            </w:r>
            <w:r>
              <w:rPr>
                <w:rFonts w:hint="eastAsia" w:ascii="宋体" w:hAnsi="宋体" w:cs="宋体"/>
                <w:bCs/>
                <w:sz w:val="21"/>
                <w:szCs w:val="21"/>
                <w:highlight w:val="none"/>
              </w:rPr>
              <w:t>.</w:t>
            </w:r>
            <w:r>
              <w:rPr>
                <w:rFonts w:hint="eastAsia" w:ascii="宋体" w:hAnsi="宋体" w:cs="宋体"/>
                <w:sz w:val="21"/>
                <w:szCs w:val="21"/>
                <w:highlight w:val="none"/>
              </w:rPr>
              <w:t>投标声明（格式后附）；</w:t>
            </w:r>
            <w:r>
              <w:rPr>
                <w:rFonts w:hint="eastAsia" w:ascii="宋体" w:hAnsi="宋体" w:cs="宋体"/>
                <w:b/>
                <w:sz w:val="21"/>
                <w:szCs w:val="21"/>
                <w:highlight w:val="none"/>
              </w:rPr>
              <w:t>（必须提供，否则按无效投标处理）</w:t>
            </w:r>
          </w:p>
          <w:p w14:paraId="45AC3174">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7</w:t>
            </w:r>
            <w:r>
              <w:rPr>
                <w:rFonts w:hint="eastAsia" w:ascii="宋体" w:hAnsi="宋体" w:cs="宋体"/>
                <w:bCs/>
                <w:sz w:val="21"/>
                <w:szCs w:val="21"/>
                <w:highlight w:val="none"/>
              </w:rPr>
              <w:t>.</w:t>
            </w:r>
            <w:r>
              <w:rPr>
                <w:rFonts w:hint="eastAsia" w:ascii="宋体" w:hAnsi="宋体" w:cs="宋体"/>
                <w:sz w:val="21"/>
                <w:szCs w:val="21"/>
                <w:highlight w:val="none"/>
              </w:rPr>
              <w:t>联合体协议书（格式后附）；</w:t>
            </w:r>
            <w:r>
              <w:rPr>
                <w:rFonts w:hint="eastAsia" w:ascii="宋体" w:hAnsi="宋体" w:cs="宋体"/>
                <w:b/>
                <w:sz w:val="21"/>
                <w:szCs w:val="21"/>
                <w:highlight w:val="none"/>
              </w:rPr>
              <w:t>（联合体投标时必须提供，否则按无效投标处理）</w:t>
            </w:r>
          </w:p>
          <w:p w14:paraId="79F1F92B">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8</w:t>
            </w:r>
            <w:r>
              <w:rPr>
                <w:rFonts w:hint="eastAsia" w:ascii="宋体" w:hAnsi="宋体" w:cs="宋体"/>
                <w:bCs/>
                <w:sz w:val="21"/>
                <w:szCs w:val="21"/>
                <w:highlight w:val="none"/>
              </w:rPr>
              <w:t>.</w:t>
            </w:r>
            <w:r>
              <w:rPr>
                <w:rFonts w:hint="eastAsia" w:ascii="宋体" w:hAnsi="宋体" w:cs="宋体"/>
                <w:sz w:val="21"/>
                <w:szCs w:val="21"/>
                <w:highlight w:val="none"/>
              </w:rPr>
              <w:t>公告中的特定资格要求及特定条件的资格证明材料；</w:t>
            </w:r>
            <w:r>
              <w:rPr>
                <w:rFonts w:hint="eastAsia" w:ascii="宋体" w:hAnsi="宋体" w:cs="宋体"/>
                <w:b/>
                <w:sz w:val="21"/>
                <w:szCs w:val="21"/>
                <w:highlight w:val="none"/>
              </w:rPr>
              <w:t>（公告中如有</w:t>
            </w:r>
            <w:r>
              <w:rPr>
                <w:rFonts w:hint="eastAsia" w:ascii="宋体" w:hAnsi="宋体" w:cs="宋体"/>
                <w:b/>
                <w:sz w:val="21"/>
                <w:szCs w:val="21"/>
                <w:highlight w:val="none"/>
                <w:lang w:val="en-US" w:eastAsia="zh-CN"/>
              </w:rPr>
              <w:t>要求</w:t>
            </w:r>
            <w:r>
              <w:rPr>
                <w:rFonts w:hint="eastAsia" w:ascii="宋体" w:hAnsi="宋体" w:cs="宋体"/>
                <w:b/>
                <w:sz w:val="21"/>
                <w:szCs w:val="21"/>
                <w:highlight w:val="none"/>
              </w:rPr>
              <w:t>则必须提供，否则按无效投标处理）</w:t>
            </w:r>
          </w:p>
          <w:p w14:paraId="52F0D224">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9</w:t>
            </w:r>
            <w:r>
              <w:rPr>
                <w:rFonts w:hint="eastAsia" w:ascii="宋体" w:hAnsi="宋体" w:cs="宋体"/>
                <w:bCs/>
                <w:sz w:val="21"/>
                <w:szCs w:val="21"/>
                <w:highlight w:val="none"/>
              </w:rPr>
              <w:t>.</w:t>
            </w:r>
            <w:r>
              <w:rPr>
                <w:rFonts w:hint="eastAsia" w:ascii="宋体" w:hAnsi="宋体" w:cs="宋体"/>
                <w:sz w:val="21"/>
                <w:szCs w:val="21"/>
                <w:highlight w:val="none"/>
              </w:rPr>
              <w:t>除招标文件规定必须提供以外，投标人认为需要提供的其他证明材料。</w:t>
            </w:r>
          </w:p>
          <w:p w14:paraId="41E94597">
            <w:pPr>
              <w:autoSpaceDE w:val="0"/>
              <w:autoSpaceDN w:val="0"/>
              <w:snapToGrid w:val="0"/>
              <w:spacing w:line="360" w:lineRule="auto"/>
              <w:ind w:firstLine="422" w:firstLineChars="200"/>
              <w:textAlignment w:val="bottom"/>
              <w:rPr>
                <w:rFonts w:hint="eastAsia" w:ascii="宋体" w:hAnsi="宋体" w:eastAsia="宋体" w:cs="宋体"/>
                <w:sz w:val="21"/>
                <w:szCs w:val="21"/>
                <w:highlight w:val="none"/>
              </w:rPr>
            </w:pPr>
            <w:r>
              <w:rPr>
                <w:rFonts w:hint="eastAsia" w:ascii="宋体" w:hAnsi="宋体" w:eastAsia="宋体" w:cs="宋体"/>
                <w:b/>
                <w:sz w:val="21"/>
                <w:szCs w:val="21"/>
                <w:highlight w:val="none"/>
              </w:rPr>
              <w:t>【注】</w:t>
            </w:r>
            <w:r>
              <w:rPr>
                <w:rFonts w:hint="eastAsia" w:ascii="宋体" w:hAnsi="宋体" w:eastAsia="宋体" w:cs="宋体"/>
                <w:sz w:val="21"/>
                <w:szCs w:val="21"/>
                <w:highlight w:val="none"/>
              </w:rPr>
              <w:t>1</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以上标明“必须提供”的材料必须加盖投标人公章，否则按无效投标处理。</w:t>
            </w:r>
          </w:p>
          <w:p w14:paraId="2D1F87CD">
            <w:pPr>
              <w:autoSpaceDE w:val="0"/>
              <w:autoSpaceDN w:val="0"/>
              <w:snapToGrid w:val="0"/>
              <w:spacing w:line="360" w:lineRule="auto"/>
              <w:ind w:firstLine="420" w:firstLineChars="200"/>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投标声明必须由法定</w:t>
            </w:r>
            <w:r>
              <w:rPr>
                <w:rFonts w:hint="eastAsia" w:ascii="宋体" w:hAnsi="宋体" w:cs="宋体"/>
                <w:sz w:val="21"/>
                <w:szCs w:val="21"/>
                <w:highlight w:val="none"/>
              </w:rPr>
              <w:t>代表人</w:t>
            </w:r>
            <w:r>
              <w:rPr>
                <w:rFonts w:hint="eastAsia" w:ascii="宋体" w:hAnsi="宋体" w:eastAsia="宋体" w:cs="宋体"/>
                <w:sz w:val="21"/>
                <w:szCs w:val="21"/>
                <w:highlight w:val="none"/>
              </w:rPr>
              <w:t>在规定签章处签字（或个人CA签章）并加盖投标人公章，否则按无效投标处理。</w:t>
            </w:r>
          </w:p>
          <w:p w14:paraId="2DA98410">
            <w:pPr>
              <w:autoSpaceDE w:val="0"/>
              <w:autoSpaceDN w:val="0"/>
              <w:snapToGrid w:val="0"/>
              <w:spacing w:line="360" w:lineRule="auto"/>
              <w:ind w:firstLine="420" w:firstLineChars="200"/>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投标人直接控股、管理关系信息表必须由法定代表人或者委托代理人在规定签章处签字（或个人CA签章）并加盖投标人公章，否则按无效投标处理。</w:t>
            </w:r>
          </w:p>
          <w:p w14:paraId="5B3C2351">
            <w:pPr>
              <w:autoSpaceDE w:val="0"/>
              <w:autoSpaceDN w:val="0"/>
              <w:snapToGrid w:val="0"/>
              <w:spacing w:line="360" w:lineRule="auto"/>
              <w:ind w:firstLine="420" w:firstLineChars="200"/>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联合体投标时，以上第1-5项资格证明文件联合体各方均必须分别提供，联合体各方分别盖章，否则按无效投标处理。</w:t>
            </w:r>
          </w:p>
          <w:p w14:paraId="2D23BB89">
            <w:pPr>
              <w:autoSpaceDE w:val="0"/>
              <w:autoSpaceDN w:val="0"/>
              <w:snapToGrid w:val="0"/>
              <w:spacing w:line="360" w:lineRule="auto"/>
              <w:ind w:firstLine="420" w:firstLineChars="200"/>
              <w:textAlignment w:val="bottom"/>
              <w:rPr>
                <w:rFonts w:ascii="宋体" w:hAnsi="宋体" w:cs="宋体"/>
                <w:b/>
                <w:bCs/>
                <w:sz w:val="21"/>
                <w:szCs w:val="21"/>
                <w:highlight w:val="none"/>
              </w:rPr>
            </w:pPr>
            <w:r>
              <w:rPr>
                <w:rFonts w:hint="eastAsia" w:ascii="宋体" w:hAnsi="宋体" w:eastAsia="宋体" w:cs="宋体"/>
                <w:sz w:val="21"/>
                <w:szCs w:val="21"/>
                <w:highlight w:val="none"/>
              </w:rPr>
              <w:t>5</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分公司参加投标的，应当取得总公司授权，否则按无效投标处理。</w:t>
            </w:r>
          </w:p>
        </w:tc>
      </w:tr>
      <w:tr w14:paraId="706AE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vMerge w:val="continue"/>
            <w:tcBorders>
              <w:left w:val="single" w:color="auto" w:sz="4" w:space="0"/>
              <w:right w:val="single" w:color="auto" w:sz="4" w:space="0"/>
            </w:tcBorders>
            <w:vAlign w:val="center"/>
          </w:tcPr>
          <w:p w14:paraId="3E5D69A9">
            <w:pPr>
              <w:spacing w:line="360" w:lineRule="auto"/>
              <w:rPr>
                <w:rFonts w:ascii="宋体" w:hAnsi="宋体" w:cs="宋体"/>
                <w:sz w:val="21"/>
                <w:szCs w:val="21"/>
                <w:highlight w:val="none"/>
              </w:rPr>
            </w:pPr>
            <w:bookmarkStart w:id="56" w:name="_13.3"/>
            <w:bookmarkEnd w:id="56"/>
          </w:p>
        </w:tc>
        <w:tc>
          <w:tcPr>
            <w:tcW w:w="8708" w:type="dxa"/>
            <w:tcBorders>
              <w:top w:val="single" w:color="auto" w:sz="4" w:space="0"/>
              <w:left w:val="single" w:color="auto" w:sz="4" w:space="0"/>
              <w:bottom w:val="single" w:color="auto" w:sz="4" w:space="0"/>
              <w:right w:val="single" w:color="auto" w:sz="4" w:space="0"/>
            </w:tcBorders>
            <w:vAlign w:val="center"/>
          </w:tcPr>
          <w:p w14:paraId="20AB4499">
            <w:pPr>
              <w:snapToGrid w:val="0"/>
              <w:spacing w:line="360" w:lineRule="auto"/>
              <w:jc w:val="left"/>
              <w:rPr>
                <w:rFonts w:ascii="宋体" w:hAnsi="宋体" w:cs="宋体"/>
                <w:b/>
                <w:sz w:val="21"/>
                <w:szCs w:val="21"/>
                <w:highlight w:val="none"/>
              </w:rPr>
            </w:pPr>
            <w:r>
              <w:rPr>
                <w:rFonts w:hint="eastAsia" w:ascii="宋体" w:hAnsi="宋体" w:cs="宋体"/>
                <w:b/>
                <w:sz w:val="21"/>
                <w:szCs w:val="21"/>
                <w:highlight w:val="none"/>
              </w:rPr>
              <w:t>商务文件：</w:t>
            </w:r>
          </w:p>
          <w:p w14:paraId="65737101">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无串通投标行为的承诺函（格式后附）；（</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18C321E3">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投标保证金提交凭证；（</w:t>
            </w:r>
            <w:r>
              <w:rPr>
                <w:rFonts w:hint="eastAsia" w:ascii="宋体" w:hAnsi="宋体" w:cs="宋体"/>
                <w:b/>
                <w:sz w:val="21"/>
                <w:szCs w:val="21"/>
                <w:highlight w:val="none"/>
              </w:rPr>
              <w:t>如要求提交保证金则必须提供，否则按无效投标处理</w:t>
            </w:r>
            <w:r>
              <w:rPr>
                <w:rFonts w:hint="eastAsia" w:ascii="宋体" w:hAnsi="宋体" w:cs="宋体"/>
                <w:sz w:val="21"/>
                <w:szCs w:val="21"/>
                <w:highlight w:val="none"/>
              </w:rPr>
              <w:t>）</w:t>
            </w:r>
          </w:p>
          <w:p w14:paraId="10F7B1DF">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bCs/>
                <w:sz w:val="21"/>
                <w:szCs w:val="21"/>
                <w:highlight w:val="none"/>
              </w:rPr>
              <w:t>.</w:t>
            </w:r>
            <w:r>
              <w:rPr>
                <w:rFonts w:hint="eastAsia" w:ascii="宋体" w:hAnsi="宋体" w:cs="宋体"/>
                <w:sz w:val="21"/>
                <w:szCs w:val="21"/>
                <w:highlight w:val="none"/>
              </w:rPr>
              <w:t>法定代表人身份证明及法定代表人有效身份证正反面</w:t>
            </w:r>
            <w:r>
              <w:rPr>
                <w:rFonts w:hint="eastAsia" w:ascii="宋体" w:hAnsi="宋体" w:cs="宋体"/>
                <w:sz w:val="21"/>
                <w:szCs w:val="21"/>
                <w:highlight w:val="none"/>
                <w:lang w:val="en-US" w:eastAsia="zh-CN"/>
              </w:rPr>
              <w:t>扫描件</w:t>
            </w:r>
            <w:r>
              <w:rPr>
                <w:rFonts w:hint="eastAsia" w:ascii="宋体" w:hAnsi="宋体" w:cs="宋体"/>
                <w:sz w:val="21"/>
                <w:szCs w:val="21"/>
                <w:highlight w:val="none"/>
              </w:rPr>
              <w:t>（格式后附）；（</w:t>
            </w:r>
            <w:r>
              <w:rPr>
                <w:rFonts w:hint="eastAsia" w:ascii="宋体" w:hAnsi="宋体" w:cs="宋体"/>
                <w:b/>
                <w:bCs/>
                <w:sz w:val="21"/>
                <w:szCs w:val="21"/>
                <w:highlight w:val="none"/>
              </w:rPr>
              <w:t>除自然人投标外</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096F7887">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bCs/>
                <w:sz w:val="21"/>
                <w:szCs w:val="21"/>
                <w:highlight w:val="none"/>
              </w:rPr>
              <w:t>.</w:t>
            </w:r>
            <w:r>
              <w:rPr>
                <w:rFonts w:hint="eastAsia" w:ascii="宋体" w:hAnsi="宋体" w:cs="宋体"/>
                <w:sz w:val="21"/>
                <w:szCs w:val="21"/>
                <w:highlight w:val="none"/>
              </w:rPr>
              <w:t>授权委托书及委托代理人有效身份证正反面</w:t>
            </w:r>
            <w:r>
              <w:rPr>
                <w:rFonts w:hint="eastAsia" w:ascii="宋体" w:hAnsi="宋体" w:cs="宋体"/>
                <w:sz w:val="21"/>
                <w:szCs w:val="21"/>
                <w:highlight w:val="none"/>
                <w:lang w:val="en-US" w:eastAsia="zh-CN"/>
              </w:rPr>
              <w:t>扫描件</w:t>
            </w:r>
            <w:r>
              <w:rPr>
                <w:rFonts w:hint="eastAsia" w:ascii="宋体" w:hAnsi="宋体" w:cs="宋体"/>
                <w:sz w:val="21"/>
                <w:szCs w:val="21"/>
                <w:highlight w:val="none"/>
              </w:rPr>
              <w:t>（格式后附）；（</w:t>
            </w:r>
            <w:r>
              <w:rPr>
                <w:rFonts w:hint="eastAsia" w:ascii="宋体" w:hAnsi="宋体" w:cs="宋体"/>
                <w:b/>
                <w:sz w:val="21"/>
                <w:szCs w:val="21"/>
                <w:highlight w:val="none"/>
              </w:rPr>
              <w:t>委托时必须提供，否则按无效投标处理</w:t>
            </w:r>
            <w:r>
              <w:rPr>
                <w:rFonts w:hint="eastAsia" w:ascii="宋体" w:hAnsi="宋体" w:cs="宋体"/>
                <w:sz w:val="21"/>
                <w:szCs w:val="21"/>
                <w:highlight w:val="none"/>
              </w:rPr>
              <w:t>）</w:t>
            </w:r>
          </w:p>
          <w:p w14:paraId="146F9595">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5</w:t>
            </w:r>
            <w:r>
              <w:rPr>
                <w:rFonts w:hint="eastAsia" w:ascii="宋体" w:hAnsi="宋体" w:cs="宋体"/>
                <w:bCs/>
                <w:sz w:val="21"/>
                <w:szCs w:val="21"/>
                <w:highlight w:val="none"/>
              </w:rPr>
              <w:t>.</w:t>
            </w:r>
            <w:r>
              <w:rPr>
                <w:rFonts w:hint="eastAsia" w:ascii="宋体" w:hAnsi="宋体" w:cs="宋体"/>
                <w:sz w:val="21"/>
                <w:szCs w:val="21"/>
                <w:highlight w:val="none"/>
              </w:rPr>
              <w:t>商务要求偏离表（格式后附）；（</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17CA33FF">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6</w:t>
            </w:r>
            <w:r>
              <w:rPr>
                <w:rFonts w:hint="eastAsia" w:ascii="宋体" w:hAnsi="宋体" w:cs="宋体"/>
                <w:bCs/>
                <w:sz w:val="21"/>
                <w:szCs w:val="21"/>
                <w:highlight w:val="none"/>
              </w:rPr>
              <w:t>.</w:t>
            </w:r>
            <w:r>
              <w:rPr>
                <w:rFonts w:hint="eastAsia" w:ascii="宋体" w:hAnsi="宋体" w:cs="宋体"/>
                <w:sz w:val="21"/>
                <w:szCs w:val="21"/>
                <w:highlight w:val="none"/>
              </w:rPr>
              <w:t>售后服务承诺（格式自拟）；（</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43398053">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7</w:t>
            </w:r>
            <w:r>
              <w:rPr>
                <w:rFonts w:hint="eastAsia" w:ascii="宋体" w:hAnsi="宋体" w:cs="宋体"/>
                <w:bCs/>
                <w:sz w:val="21"/>
                <w:szCs w:val="21"/>
                <w:highlight w:val="none"/>
              </w:rPr>
              <w:t>.</w:t>
            </w:r>
            <w:r>
              <w:rPr>
                <w:rFonts w:hint="eastAsia" w:ascii="宋体" w:hAnsi="宋体" w:cs="宋体"/>
                <w:sz w:val="21"/>
                <w:szCs w:val="21"/>
                <w:highlight w:val="none"/>
              </w:rPr>
              <w:t>投标人情况介绍（格式自拟）；</w:t>
            </w:r>
          </w:p>
          <w:p w14:paraId="0FFCBCF5">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8</w:t>
            </w:r>
            <w:r>
              <w:rPr>
                <w:rFonts w:hint="eastAsia" w:ascii="宋体" w:hAnsi="宋体" w:cs="宋体"/>
                <w:bCs/>
                <w:sz w:val="21"/>
                <w:szCs w:val="21"/>
                <w:highlight w:val="none"/>
              </w:rPr>
              <w:t>.</w:t>
            </w:r>
            <w:r>
              <w:rPr>
                <w:rFonts w:hint="eastAsia" w:ascii="宋体" w:hAnsi="宋体" w:cs="宋体"/>
                <w:sz w:val="21"/>
                <w:szCs w:val="21"/>
                <w:highlight w:val="none"/>
              </w:rPr>
              <w:t>联合体协议书（格式后附）；（</w:t>
            </w:r>
            <w:r>
              <w:rPr>
                <w:rFonts w:hint="eastAsia" w:ascii="宋体" w:hAnsi="宋体" w:cs="宋体"/>
                <w:b/>
                <w:sz w:val="21"/>
                <w:szCs w:val="21"/>
                <w:highlight w:val="none"/>
              </w:rPr>
              <w:t>联合体投标时必须提供，否则按无效投标处理</w:t>
            </w:r>
            <w:r>
              <w:rPr>
                <w:rFonts w:hint="eastAsia" w:ascii="宋体" w:hAnsi="宋体" w:cs="宋体"/>
                <w:sz w:val="21"/>
                <w:szCs w:val="21"/>
                <w:highlight w:val="none"/>
              </w:rPr>
              <w:t>）</w:t>
            </w:r>
          </w:p>
          <w:p w14:paraId="6DE9BD72">
            <w:pPr>
              <w:autoSpaceDE w:val="0"/>
              <w:autoSpaceDN w:val="0"/>
              <w:snapToGrid w:val="0"/>
              <w:spacing w:line="360" w:lineRule="auto"/>
              <w:ind w:firstLine="420" w:firstLineChars="200"/>
              <w:textAlignment w:val="bottom"/>
              <w:rPr>
                <w:rFonts w:ascii="宋体" w:hAnsi="宋体" w:cs="宋体"/>
                <w:b/>
                <w:bCs/>
                <w:sz w:val="21"/>
                <w:szCs w:val="21"/>
                <w:highlight w:val="none"/>
              </w:rPr>
            </w:pPr>
            <w:r>
              <w:rPr>
                <w:rFonts w:hint="eastAsia" w:ascii="宋体" w:hAnsi="宋体" w:cs="宋体"/>
                <w:sz w:val="21"/>
                <w:szCs w:val="21"/>
                <w:highlight w:val="none"/>
              </w:rPr>
              <w:t>9</w:t>
            </w:r>
            <w:r>
              <w:rPr>
                <w:rFonts w:hint="eastAsia" w:ascii="宋体" w:hAnsi="宋体" w:cs="宋体"/>
                <w:bCs/>
                <w:sz w:val="21"/>
                <w:szCs w:val="21"/>
                <w:highlight w:val="none"/>
              </w:rPr>
              <w:t>.</w:t>
            </w:r>
            <w:r>
              <w:rPr>
                <w:rFonts w:hint="eastAsia" w:ascii="宋体" w:hAnsi="宋体" w:cs="宋体"/>
                <w:sz w:val="21"/>
                <w:szCs w:val="21"/>
                <w:highlight w:val="none"/>
              </w:rPr>
              <w:t>除招标文件规定必须提供以外，投标人认为需要提供的其他证明材料（格式自拟）。（投标人根据“第二章</w:t>
            </w:r>
            <w:r>
              <w:rPr>
                <w:rFonts w:hint="eastAsia" w:ascii="宋体" w:hAnsi="宋体" w:cs="宋体"/>
                <w:sz w:val="21"/>
                <w:szCs w:val="21"/>
                <w:highlight w:val="none"/>
                <w:lang w:eastAsia="zh-CN"/>
              </w:rPr>
              <w:t>、</w:t>
            </w:r>
            <w:r>
              <w:rPr>
                <w:rFonts w:hint="eastAsia" w:ascii="宋体" w:hAnsi="宋体" w:cs="宋体"/>
                <w:sz w:val="21"/>
                <w:szCs w:val="21"/>
                <w:highlight w:val="none"/>
              </w:rPr>
              <w:t>采购需求”及“第四章</w:t>
            </w:r>
            <w:r>
              <w:rPr>
                <w:rFonts w:hint="eastAsia" w:ascii="宋体" w:hAnsi="宋体" w:cs="宋体"/>
                <w:sz w:val="21"/>
                <w:szCs w:val="21"/>
                <w:highlight w:val="none"/>
                <w:lang w:eastAsia="zh-CN"/>
              </w:rPr>
              <w:t>、</w:t>
            </w:r>
            <w:r>
              <w:rPr>
                <w:rFonts w:hint="eastAsia" w:ascii="宋体" w:hAnsi="宋体" w:cs="宋体"/>
                <w:sz w:val="21"/>
                <w:szCs w:val="21"/>
                <w:highlight w:val="none"/>
              </w:rPr>
              <w:t>评标方法及评标标准”提供有关证明材料）</w:t>
            </w:r>
          </w:p>
          <w:p w14:paraId="6D21DCC4">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3B15B254">
            <w:pPr>
              <w:autoSpaceDE w:val="0"/>
              <w:autoSpaceDN w:val="0"/>
              <w:snapToGrid w:val="0"/>
              <w:spacing w:line="360" w:lineRule="auto"/>
              <w:ind w:firstLine="420" w:firstLineChars="200"/>
              <w:textAlignment w:val="bottom"/>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法定代表人授权委托书必须由法定代表人及委托代理人签字（或个人CA签章），并加盖投标人公章，否则做无效投标处理。</w:t>
            </w:r>
          </w:p>
          <w:p w14:paraId="4A671A5B">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以上标明“必须提供”的材料必须加盖投标人公章，否则按无效投标处理。</w:t>
            </w:r>
          </w:p>
        </w:tc>
      </w:tr>
      <w:tr w14:paraId="75D23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vMerge w:val="continue"/>
            <w:tcBorders>
              <w:left w:val="single" w:color="auto" w:sz="4" w:space="0"/>
              <w:bottom w:val="single" w:color="auto" w:sz="4" w:space="0"/>
              <w:right w:val="single" w:color="auto" w:sz="4" w:space="0"/>
            </w:tcBorders>
            <w:vAlign w:val="center"/>
          </w:tcPr>
          <w:p w14:paraId="50226D53">
            <w:pPr>
              <w:spacing w:line="360" w:lineRule="auto"/>
              <w:rPr>
                <w:rFonts w:ascii="宋体" w:hAnsi="宋体" w:cs="宋体"/>
                <w:sz w:val="21"/>
                <w:szCs w:val="21"/>
                <w:highlight w:val="none"/>
              </w:rPr>
            </w:pPr>
            <w:bookmarkStart w:id="57" w:name="_13.4"/>
            <w:bookmarkEnd w:id="57"/>
          </w:p>
        </w:tc>
        <w:tc>
          <w:tcPr>
            <w:tcW w:w="8708" w:type="dxa"/>
            <w:tcBorders>
              <w:top w:val="single" w:color="auto" w:sz="4" w:space="0"/>
              <w:left w:val="single" w:color="auto" w:sz="4" w:space="0"/>
              <w:bottom w:val="single" w:color="auto" w:sz="4" w:space="0"/>
              <w:right w:val="single" w:color="auto" w:sz="4" w:space="0"/>
            </w:tcBorders>
            <w:vAlign w:val="center"/>
          </w:tcPr>
          <w:p w14:paraId="53C8D774">
            <w:pPr>
              <w:snapToGrid w:val="0"/>
              <w:spacing w:line="360" w:lineRule="auto"/>
              <w:jc w:val="left"/>
              <w:rPr>
                <w:rFonts w:ascii="宋体" w:hAnsi="宋体" w:cs="宋体"/>
                <w:b/>
                <w:sz w:val="21"/>
                <w:szCs w:val="21"/>
                <w:highlight w:val="none"/>
              </w:rPr>
            </w:pPr>
            <w:r>
              <w:rPr>
                <w:rFonts w:hint="eastAsia" w:ascii="宋体" w:hAnsi="宋体" w:cs="宋体"/>
                <w:b/>
                <w:sz w:val="21"/>
                <w:szCs w:val="21"/>
                <w:highlight w:val="none"/>
              </w:rPr>
              <w:t>技术文件：</w:t>
            </w:r>
          </w:p>
          <w:p w14:paraId="5AFE4FDC">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设备性能配置清单（格式后附）；（</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694A9924">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技术要求偏离表（格式后附）；（</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6DE1DB55">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bCs/>
                <w:sz w:val="21"/>
                <w:szCs w:val="21"/>
                <w:highlight w:val="none"/>
              </w:rPr>
              <w:t>.</w:t>
            </w:r>
            <w:r>
              <w:rPr>
                <w:rFonts w:hint="eastAsia" w:ascii="宋体" w:hAnsi="宋体" w:cs="宋体"/>
                <w:sz w:val="21"/>
                <w:szCs w:val="21"/>
                <w:highlight w:val="none"/>
              </w:rPr>
              <w:t>项目实施方案（格式自拟）[项目前期准备、项目实施计划（项目实施人员一览表（格式后附）、技术服务、技术培训的内容和措施）]；（</w:t>
            </w:r>
            <w:r>
              <w:rPr>
                <w:rFonts w:hint="eastAsia" w:ascii="宋体" w:hAnsi="宋体" w:cs="宋体"/>
                <w:b/>
                <w:sz w:val="21"/>
                <w:szCs w:val="21"/>
                <w:highlight w:val="none"/>
              </w:rPr>
              <w:t>必须提供，否则按无效投标处理</w:t>
            </w:r>
            <w:r>
              <w:rPr>
                <w:rFonts w:hint="eastAsia" w:ascii="宋体" w:hAnsi="宋体" w:cs="宋体"/>
                <w:sz w:val="21"/>
                <w:szCs w:val="21"/>
                <w:highlight w:val="none"/>
              </w:rPr>
              <w:t>）</w:t>
            </w:r>
          </w:p>
          <w:p w14:paraId="0CA8433E">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bCs/>
                <w:sz w:val="21"/>
                <w:szCs w:val="21"/>
                <w:highlight w:val="none"/>
              </w:rPr>
              <w:t>.</w:t>
            </w:r>
            <w:r>
              <w:rPr>
                <w:rFonts w:hint="eastAsia" w:ascii="宋体" w:hAnsi="宋体" w:cs="宋体"/>
                <w:sz w:val="21"/>
                <w:szCs w:val="21"/>
                <w:highlight w:val="none"/>
              </w:rPr>
              <w:t>对本项目系统总体要求的理解。包括：功能说明、性能指标及设备选型说明（质量、性能、价格、外观、体积等方面进行比较和选择的理由及过程，格式自拟）；</w:t>
            </w:r>
          </w:p>
          <w:p w14:paraId="2E2862A3">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5</w:t>
            </w:r>
            <w:r>
              <w:rPr>
                <w:rFonts w:hint="eastAsia" w:ascii="宋体" w:hAnsi="宋体" w:cs="宋体"/>
                <w:bCs/>
                <w:sz w:val="21"/>
                <w:szCs w:val="21"/>
                <w:highlight w:val="none"/>
              </w:rPr>
              <w:t>.</w:t>
            </w:r>
            <w:r>
              <w:rPr>
                <w:rFonts w:hint="eastAsia" w:ascii="宋体" w:hAnsi="宋体" w:cs="宋体"/>
                <w:sz w:val="21"/>
                <w:szCs w:val="21"/>
                <w:highlight w:val="none"/>
              </w:rPr>
              <w:t>产品出厂标准、质量检测报告[其中有精度要求的仪器设备类政府采购项目，应当要求投标人提供精度数据（国家认可的有资质的第三方检测机构出具的检测报告或者由采购人在投标前组织的实测获得）]；（</w:t>
            </w:r>
            <w:r>
              <w:rPr>
                <w:rFonts w:hint="eastAsia" w:ascii="宋体" w:hAnsi="宋体" w:cs="宋体"/>
                <w:b/>
                <w:sz w:val="21"/>
                <w:szCs w:val="21"/>
                <w:highlight w:val="none"/>
              </w:rPr>
              <w:t>采购需求中要求必须提供时必须提供，否则按无效投标处理</w:t>
            </w:r>
            <w:r>
              <w:rPr>
                <w:rFonts w:hint="eastAsia" w:ascii="宋体" w:hAnsi="宋体" w:cs="宋体"/>
                <w:sz w:val="21"/>
                <w:szCs w:val="21"/>
                <w:highlight w:val="none"/>
              </w:rPr>
              <w:t>）</w:t>
            </w:r>
          </w:p>
          <w:p w14:paraId="5E5CDB22">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6</w:t>
            </w:r>
            <w:r>
              <w:rPr>
                <w:rFonts w:hint="eastAsia" w:ascii="宋体" w:hAnsi="宋体" w:cs="宋体"/>
                <w:bCs/>
                <w:sz w:val="21"/>
                <w:szCs w:val="21"/>
                <w:highlight w:val="none"/>
              </w:rPr>
              <w:t>.</w:t>
            </w:r>
            <w:r>
              <w:rPr>
                <w:rFonts w:hint="eastAsia" w:ascii="宋体" w:hAnsi="宋体" w:cs="宋体"/>
                <w:sz w:val="21"/>
                <w:szCs w:val="21"/>
                <w:highlight w:val="none"/>
              </w:rPr>
              <w:t>优惠条件：投标人承诺给予招标人的各种优惠条件，包括售后服务、备品备件、专用耗材等方面的优惠；投标人不得给予赠品或者与采购无关的其他商品、服务；</w:t>
            </w:r>
          </w:p>
          <w:p w14:paraId="2B4F91FA">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sz w:val="21"/>
                <w:szCs w:val="21"/>
                <w:highlight w:val="none"/>
              </w:rPr>
              <w:t>7</w:t>
            </w:r>
            <w:r>
              <w:rPr>
                <w:rFonts w:hint="eastAsia" w:ascii="宋体" w:hAnsi="宋体" w:cs="宋体"/>
                <w:bCs/>
                <w:sz w:val="21"/>
                <w:szCs w:val="21"/>
                <w:highlight w:val="none"/>
              </w:rPr>
              <w:t>.</w:t>
            </w:r>
            <w:r>
              <w:rPr>
                <w:rFonts w:hint="eastAsia" w:ascii="宋体" w:hAnsi="宋体" w:cs="宋体"/>
                <w:sz w:val="21"/>
                <w:szCs w:val="21"/>
                <w:highlight w:val="none"/>
              </w:rPr>
              <w:t>投标人对本项目的合理化建议和改进措施（格式自拟）；</w:t>
            </w:r>
          </w:p>
          <w:p w14:paraId="269FE981">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sz w:val="21"/>
                <w:szCs w:val="21"/>
                <w:highlight w:val="none"/>
              </w:rPr>
              <w:t>8</w:t>
            </w:r>
            <w:r>
              <w:rPr>
                <w:rFonts w:hint="eastAsia" w:ascii="宋体" w:hAnsi="宋体" w:cs="宋体"/>
                <w:bCs/>
                <w:sz w:val="21"/>
                <w:szCs w:val="21"/>
                <w:highlight w:val="none"/>
              </w:rPr>
              <w:t>.</w:t>
            </w:r>
            <w:r>
              <w:rPr>
                <w:rFonts w:hint="eastAsia" w:ascii="宋体" w:hAnsi="宋体" w:cs="宋体"/>
                <w:sz w:val="21"/>
                <w:szCs w:val="21"/>
                <w:highlight w:val="none"/>
              </w:rPr>
              <w:t>除招标文件规定必须提供以外，投标人需要说明的其他文件和说明（格式自拟）。</w:t>
            </w:r>
          </w:p>
          <w:p w14:paraId="5FCDD0DA">
            <w:pPr>
              <w:autoSpaceDE w:val="0"/>
              <w:autoSpaceDN w:val="0"/>
              <w:snapToGrid w:val="0"/>
              <w:spacing w:line="360" w:lineRule="auto"/>
              <w:ind w:firstLine="422" w:firstLineChars="200"/>
              <w:textAlignment w:val="bottom"/>
              <w:rPr>
                <w:rFonts w:ascii="楷体" w:hAnsi="楷体" w:eastAsia="楷体" w:cs="宋体"/>
                <w:bCs/>
                <w:sz w:val="21"/>
                <w:szCs w:val="21"/>
                <w:highlight w:val="none"/>
              </w:rPr>
            </w:pPr>
            <w:r>
              <w:rPr>
                <w:rFonts w:hint="eastAsia" w:ascii="宋体" w:hAnsi="宋体" w:eastAsia="宋体" w:cs="宋体"/>
                <w:b/>
                <w:bCs/>
                <w:sz w:val="21"/>
                <w:szCs w:val="21"/>
                <w:highlight w:val="none"/>
              </w:rPr>
              <w:t>注</w:t>
            </w:r>
            <w:r>
              <w:rPr>
                <w:rFonts w:hint="eastAsia" w:ascii="宋体" w:hAnsi="宋体" w:eastAsia="宋体" w:cs="宋体"/>
                <w:bCs/>
                <w:sz w:val="21"/>
                <w:szCs w:val="21"/>
                <w:highlight w:val="none"/>
              </w:rPr>
              <w:t>：以上标明“必须提供”的材料必须加盖投标人公章，否则按无效投标</w:t>
            </w:r>
            <w:r>
              <w:rPr>
                <w:rFonts w:hint="eastAsia" w:ascii="宋体" w:hAnsi="宋体" w:eastAsia="宋体" w:cs="宋体"/>
                <w:sz w:val="21"/>
                <w:szCs w:val="21"/>
                <w:highlight w:val="none"/>
              </w:rPr>
              <w:t>处理</w:t>
            </w:r>
            <w:r>
              <w:rPr>
                <w:rFonts w:hint="eastAsia" w:ascii="宋体" w:hAnsi="宋体" w:eastAsia="宋体" w:cs="宋体"/>
                <w:bCs/>
                <w:sz w:val="21"/>
                <w:szCs w:val="21"/>
                <w:highlight w:val="none"/>
              </w:rPr>
              <w:t>。</w:t>
            </w:r>
          </w:p>
        </w:tc>
      </w:tr>
      <w:tr w14:paraId="5C2E7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1C93F15C">
            <w:pPr>
              <w:spacing w:line="360" w:lineRule="auto"/>
              <w:jc w:val="center"/>
              <w:rPr>
                <w:rFonts w:ascii="宋体" w:hAnsi="宋体" w:cs="宋体"/>
                <w:sz w:val="21"/>
                <w:szCs w:val="21"/>
                <w:highlight w:val="none"/>
              </w:rPr>
            </w:pPr>
            <w:bookmarkStart w:id="58" w:name="_13.5"/>
            <w:bookmarkEnd w:id="58"/>
            <w:bookmarkStart w:id="59" w:name="_16.2"/>
            <w:bookmarkEnd w:id="59"/>
            <w:r>
              <w:rPr>
                <w:rFonts w:hint="eastAsia" w:ascii="宋体" w:hAnsi="宋体" w:cs="宋体"/>
                <w:sz w:val="21"/>
                <w:szCs w:val="21"/>
                <w:highlight w:val="none"/>
              </w:rPr>
              <w:t>16</w:t>
            </w:r>
            <w:bookmarkStart w:id="60" w:name="_Hlt19693758"/>
            <w:bookmarkStart w:id="61" w:name="_Hlt19194067"/>
            <w:bookmarkStart w:id="62" w:name="_Hlt19693759"/>
            <w:bookmarkStart w:id="63" w:name="_Hlt19194066"/>
            <w:r>
              <w:rPr>
                <w:rFonts w:hint="eastAsia" w:ascii="宋体" w:hAnsi="宋体" w:cs="宋体"/>
                <w:sz w:val="21"/>
                <w:szCs w:val="21"/>
                <w:highlight w:val="none"/>
              </w:rPr>
              <w:t>.</w:t>
            </w:r>
            <w:bookmarkEnd w:id="60"/>
            <w:bookmarkEnd w:id="61"/>
            <w:bookmarkEnd w:id="62"/>
            <w:bookmarkEnd w:id="63"/>
            <w:r>
              <w:rPr>
                <w:rFonts w:hint="eastAsia" w:ascii="宋体" w:hAnsi="宋体" w:cs="宋体"/>
                <w:sz w:val="21"/>
                <w:szCs w:val="21"/>
                <w:highlight w:val="none"/>
              </w:rPr>
              <w:t>2</w:t>
            </w:r>
          </w:p>
        </w:tc>
        <w:tc>
          <w:tcPr>
            <w:tcW w:w="8708" w:type="dxa"/>
            <w:tcBorders>
              <w:top w:val="single" w:color="auto" w:sz="4" w:space="0"/>
              <w:left w:val="single" w:color="auto" w:sz="4" w:space="0"/>
              <w:bottom w:val="single" w:color="auto" w:sz="4" w:space="0"/>
              <w:right w:val="single" w:color="auto" w:sz="4" w:space="0"/>
            </w:tcBorders>
            <w:vAlign w:val="center"/>
          </w:tcPr>
          <w:p w14:paraId="729F167C">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投标报价应包括</w:t>
            </w:r>
            <w:r>
              <w:rPr>
                <w:rFonts w:hint="eastAsia" w:ascii="宋体" w:hAnsi="宋体" w:cs="宋体"/>
                <w:szCs w:val="21"/>
                <w:highlight w:val="none"/>
              </w:rPr>
              <w:t>本次招标范围内货物货款（若供应商所投本项目货物选用进口产品投标的，其货款必须包含进出口代理公司佣金、海关办证费、报关费、报检费、银行手续费、运杂费及其它全部费用的总和，由中标供应商自行与进出口代理公司结算，采购人不再支付除中标价以外的任何费用）、货物标准附件、备品备件、专用工具、包装、运输、装卸、保险、税金、货到就位以及安装、调试、培训、保修等一切税金和费用。如招标文件对其另有规定的，从其规定。</w:t>
            </w:r>
          </w:p>
        </w:tc>
      </w:tr>
      <w:tr w14:paraId="270117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DD19E3D">
            <w:pPr>
              <w:spacing w:line="360" w:lineRule="auto"/>
              <w:jc w:val="center"/>
              <w:rPr>
                <w:rFonts w:ascii="宋体" w:hAnsi="宋体" w:cs="宋体"/>
                <w:sz w:val="21"/>
                <w:szCs w:val="21"/>
                <w:highlight w:val="none"/>
              </w:rPr>
            </w:pPr>
            <w:bookmarkStart w:id="64" w:name="_17.1"/>
            <w:bookmarkEnd w:id="64"/>
            <w:r>
              <w:rPr>
                <w:rFonts w:hint="eastAsia" w:ascii="宋体" w:hAnsi="宋体" w:cs="宋体"/>
                <w:sz w:val="21"/>
                <w:szCs w:val="21"/>
                <w:highlight w:val="none"/>
              </w:rPr>
              <w:t>17.2</w:t>
            </w:r>
          </w:p>
        </w:tc>
        <w:tc>
          <w:tcPr>
            <w:tcW w:w="8708" w:type="dxa"/>
            <w:tcBorders>
              <w:top w:val="single" w:color="auto" w:sz="4" w:space="0"/>
              <w:left w:val="single" w:color="auto" w:sz="4" w:space="0"/>
              <w:bottom w:val="single" w:color="auto" w:sz="4" w:space="0"/>
              <w:right w:val="single" w:color="auto" w:sz="4" w:space="0"/>
            </w:tcBorders>
            <w:vAlign w:val="center"/>
          </w:tcPr>
          <w:p w14:paraId="6DB07EE5">
            <w:pPr>
              <w:snapToGrid w:val="0"/>
              <w:spacing w:line="360" w:lineRule="auto"/>
              <w:rPr>
                <w:rFonts w:ascii="宋体" w:hAnsi="宋体" w:cs="宋体"/>
                <w:sz w:val="21"/>
                <w:szCs w:val="21"/>
                <w:highlight w:val="none"/>
              </w:rPr>
            </w:pPr>
            <w:r>
              <w:rPr>
                <w:rFonts w:hint="eastAsia" w:ascii="宋体" w:hAnsi="宋体" w:cs="宋体"/>
                <w:sz w:val="21"/>
                <w:szCs w:val="21"/>
                <w:highlight w:val="none"/>
              </w:rPr>
              <w:t>投标有效期：投标截止之日起</w:t>
            </w:r>
            <w:r>
              <w:rPr>
                <w:rFonts w:ascii="宋体" w:hAnsi="宋体" w:cs="宋体"/>
                <w:sz w:val="21"/>
                <w:szCs w:val="21"/>
                <w:highlight w:val="none"/>
              </w:rPr>
              <w:t>60</w:t>
            </w:r>
            <w:r>
              <w:rPr>
                <w:rFonts w:hint="eastAsia" w:ascii="宋体" w:hAnsi="宋体" w:cs="宋体"/>
                <w:sz w:val="21"/>
                <w:szCs w:val="21"/>
                <w:highlight w:val="none"/>
              </w:rPr>
              <w:t>天内。</w:t>
            </w:r>
          </w:p>
        </w:tc>
      </w:tr>
      <w:tr w14:paraId="59BA0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6FEB4F70">
            <w:pPr>
              <w:spacing w:line="360" w:lineRule="auto"/>
              <w:jc w:val="center"/>
              <w:rPr>
                <w:rFonts w:ascii="宋体" w:hAnsi="宋体" w:cs="宋体"/>
                <w:sz w:val="21"/>
                <w:szCs w:val="21"/>
                <w:highlight w:val="none"/>
              </w:rPr>
            </w:pPr>
            <w:bookmarkStart w:id="65" w:name="_18"/>
            <w:bookmarkEnd w:id="65"/>
            <w:r>
              <w:rPr>
                <w:rFonts w:hint="eastAsia" w:ascii="宋体" w:hAnsi="宋体" w:cs="宋体"/>
                <w:sz w:val="21"/>
                <w:szCs w:val="21"/>
                <w:highlight w:val="none"/>
              </w:rPr>
              <w:t>18.1</w:t>
            </w:r>
          </w:p>
        </w:tc>
        <w:tc>
          <w:tcPr>
            <w:tcW w:w="8708" w:type="dxa"/>
            <w:tcBorders>
              <w:top w:val="single" w:color="auto" w:sz="4" w:space="0"/>
              <w:left w:val="single" w:color="auto" w:sz="4" w:space="0"/>
              <w:bottom w:val="single" w:color="auto" w:sz="4" w:space="0"/>
              <w:right w:val="single" w:color="auto" w:sz="4" w:space="0"/>
            </w:tcBorders>
            <w:vAlign w:val="center"/>
          </w:tcPr>
          <w:p w14:paraId="65FF029C">
            <w:pPr>
              <w:autoSpaceDE/>
              <w:autoSpaceDN/>
              <w:snapToGrid w:val="0"/>
              <w:spacing w:line="360" w:lineRule="auto"/>
              <w:textAlignment w:val="auto"/>
              <w:rPr>
                <w:rFonts w:ascii="宋体" w:hAnsi="宋体" w:cs="宋体"/>
                <w:sz w:val="21"/>
                <w:szCs w:val="21"/>
                <w:highlight w:val="none"/>
              </w:rPr>
            </w:pPr>
            <w:r>
              <w:rPr>
                <w:rFonts w:hint="eastAsia" w:ascii="宋体" w:hAnsi="宋体" w:cs="宋体"/>
                <w:sz w:val="21"/>
                <w:szCs w:val="21"/>
                <w:highlight w:val="none"/>
              </w:rPr>
              <w:sym w:font="Wingdings" w:char="00FE"/>
            </w:r>
            <w:r>
              <w:rPr>
                <w:rFonts w:hint="eastAsia" w:ascii="宋体" w:hAnsi="宋体" w:cs="宋体"/>
                <w:sz w:val="21"/>
                <w:szCs w:val="21"/>
                <w:highlight w:val="none"/>
              </w:rPr>
              <w:t>本项目不收取投标保证金。</w:t>
            </w:r>
          </w:p>
          <w:p w14:paraId="4D355EAF">
            <w:pPr>
              <w:autoSpaceDE/>
              <w:autoSpaceDN/>
              <w:snapToGrid w:val="0"/>
              <w:spacing w:line="360" w:lineRule="auto"/>
              <w:ind w:firstLine="0" w:firstLineChars="0"/>
              <w:textAlignment w:val="auto"/>
              <w:rPr>
                <w:szCs w:val="21"/>
                <w:highlight w:val="none"/>
              </w:rPr>
            </w:pPr>
            <w:r>
              <w:rPr>
                <w:rFonts w:hint="eastAsia" w:ascii="宋体" w:hAnsi="宋体" w:cs="宋体"/>
                <w:sz w:val="21"/>
                <w:szCs w:val="21"/>
                <w:highlight w:val="none"/>
              </w:rPr>
              <w:sym w:font="Wingdings" w:char="00A8"/>
            </w:r>
            <w:r>
              <w:rPr>
                <w:rFonts w:hint="eastAsia" w:ascii="宋体" w:hAnsi="宋体" w:cs="宋体"/>
                <w:sz w:val="21"/>
                <w:szCs w:val="21"/>
                <w:highlight w:val="none"/>
              </w:rPr>
              <w:t>本项目收取投标保证金。</w:t>
            </w:r>
          </w:p>
        </w:tc>
      </w:tr>
      <w:tr w14:paraId="00FC6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50BEA28C">
            <w:pPr>
              <w:spacing w:line="360" w:lineRule="auto"/>
              <w:jc w:val="center"/>
              <w:rPr>
                <w:rFonts w:ascii="宋体" w:hAnsi="宋体" w:cs="宋体"/>
                <w:sz w:val="21"/>
                <w:szCs w:val="21"/>
                <w:highlight w:val="none"/>
              </w:rPr>
            </w:pPr>
            <w:bookmarkStart w:id="66" w:name="_19.2"/>
            <w:bookmarkEnd w:id="66"/>
            <w:r>
              <w:rPr>
                <w:rFonts w:hint="eastAsia" w:ascii="宋体" w:hAnsi="宋体" w:cs="宋体"/>
                <w:sz w:val="21"/>
                <w:szCs w:val="21"/>
                <w:highlight w:val="none"/>
              </w:rPr>
              <w:t>19.2</w:t>
            </w:r>
          </w:p>
        </w:tc>
        <w:tc>
          <w:tcPr>
            <w:tcW w:w="8708" w:type="dxa"/>
            <w:tcBorders>
              <w:top w:val="single" w:color="auto" w:sz="4" w:space="0"/>
              <w:left w:val="single" w:color="auto" w:sz="4" w:space="0"/>
              <w:bottom w:val="single" w:color="auto" w:sz="4" w:space="0"/>
              <w:right w:val="single" w:color="auto" w:sz="4" w:space="0"/>
            </w:tcBorders>
            <w:vAlign w:val="center"/>
          </w:tcPr>
          <w:p w14:paraId="3C6EC806">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投标文件应按报价文件、资格证明文件、商务文件、技术文件分别编制，</w:t>
            </w:r>
            <w:r>
              <w:rPr>
                <w:rFonts w:hint="eastAsia" w:ascii="宋体" w:hAnsi="宋体" w:cs="宋体"/>
                <w:sz w:val="21"/>
                <w:szCs w:val="21"/>
                <w:highlight w:val="none"/>
                <w:lang w:bidi="ar"/>
              </w:rPr>
              <w:t>并按广西政府采购云平台的要求编制、加密、上传。（注：按照本招标文件“第六章</w:t>
            </w:r>
            <w:r>
              <w:rPr>
                <w:rFonts w:hint="eastAsia" w:ascii="宋体" w:hAnsi="宋体" w:cs="宋体"/>
                <w:sz w:val="21"/>
                <w:szCs w:val="21"/>
                <w:highlight w:val="none"/>
                <w:lang w:eastAsia="zh-CN" w:bidi="ar"/>
              </w:rPr>
              <w:t>、</w:t>
            </w:r>
            <w:r>
              <w:rPr>
                <w:rFonts w:hint="eastAsia" w:ascii="宋体" w:hAnsi="宋体" w:cs="宋体"/>
                <w:sz w:val="21"/>
                <w:szCs w:val="21"/>
                <w:highlight w:val="none"/>
                <w:lang w:bidi="ar"/>
              </w:rPr>
              <w:t>投标文件格式”编写，第六章未附格式的，由投标人自行拟定。）</w:t>
            </w:r>
          </w:p>
        </w:tc>
      </w:tr>
      <w:tr w14:paraId="37375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6F3AAD75">
            <w:pPr>
              <w:spacing w:line="360" w:lineRule="auto"/>
              <w:jc w:val="center"/>
              <w:rPr>
                <w:rFonts w:ascii="宋体" w:hAnsi="宋体" w:cs="宋体"/>
                <w:sz w:val="21"/>
                <w:szCs w:val="21"/>
                <w:highlight w:val="none"/>
              </w:rPr>
            </w:pPr>
            <w:r>
              <w:rPr>
                <w:rFonts w:hint="eastAsia" w:ascii="宋体" w:hAnsi="宋体" w:cs="宋体"/>
                <w:sz w:val="21"/>
                <w:szCs w:val="21"/>
                <w:highlight w:val="none"/>
              </w:rPr>
              <w:t>20.1</w:t>
            </w:r>
          </w:p>
        </w:tc>
        <w:tc>
          <w:tcPr>
            <w:tcW w:w="8708" w:type="dxa"/>
            <w:tcBorders>
              <w:top w:val="single" w:color="auto" w:sz="4" w:space="0"/>
              <w:left w:val="single" w:color="auto" w:sz="4" w:space="0"/>
              <w:bottom w:val="single" w:color="auto" w:sz="4" w:space="0"/>
              <w:right w:val="single" w:color="auto" w:sz="4" w:space="0"/>
            </w:tcBorders>
            <w:vAlign w:val="center"/>
          </w:tcPr>
          <w:p w14:paraId="391D61A2">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电子投标文件制作完成后，投标人应按广西政府采购云平台的要求进行加密，并在规定时间内解密，否则，由此产生的后果由投标人自行负责。</w:t>
            </w:r>
          </w:p>
        </w:tc>
      </w:tr>
      <w:tr w14:paraId="0030DF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285B403D">
            <w:pPr>
              <w:spacing w:line="360" w:lineRule="auto"/>
              <w:jc w:val="center"/>
              <w:rPr>
                <w:rFonts w:ascii="宋体" w:hAnsi="宋体" w:cs="宋体"/>
                <w:sz w:val="21"/>
                <w:szCs w:val="21"/>
                <w:highlight w:val="none"/>
              </w:rPr>
            </w:pPr>
            <w:r>
              <w:rPr>
                <w:rFonts w:hint="eastAsia" w:ascii="宋体" w:hAnsi="宋体" w:cs="宋体"/>
                <w:sz w:val="21"/>
                <w:szCs w:val="21"/>
                <w:highlight w:val="none"/>
              </w:rPr>
              <w:t>2</w:t>
            </w:r>
            <w:r>
              <w:rPr>
                <w:rFonts w:ascii="宋体" w:hAnsi="宋体" w:cs="宋体"/>
                <w:sz w:val="21"/>
                <w:szCs w:val="21"/>
                <w:highlight w:val="none"/>
              </w:rPr>
              <w:t>0.2</w:t>
            </w:r>
          </w:p>
        </w:tc>
        <w:tc>
          <w:tcPr>
            <w:tcW w:w="8708" w:type="dxa"/>
            <w:tcBorders>
              <w:top w:val="single" w:color="auto" w:sz="4" w:space="0"/>
              <w:left w:val="single" w:color="auto" w:sz="4" w:space="0"/>
              <w:bottom w:val="single" w:color="auto" w:sz="4" w:space="0"/>
              <w:right w:val="single" w:color="auto" w:sz="4" w:space="0"/>
            </w:tcBorders>
            <w:vAlign w:val="center"/>
          </w:tcPr>
          <w:p w14:paraId="4FBC26FF">
            <w:pPr>
              <w:snapToGrid w:val="0"/>
              <w:spacing w:line="360" w:lineRule="auto"/>
              <w:rPr>
                <w:rFonts w:ascii="宋体" w:hAnsi="宋体" w:cs="宋体"/>
                <w:sz w:val="21"/>
                <w:szCs w:val="21"/>
                <w:highlight w:val="none"/>
              </w:rPr>
            </w:pPr>
            <w:r>
              <w:rPr>
                <w:rFonts w:hint="eastAsia" w:ascii="宋体" w:hAnsi="宋体" w:cs="宋体"/>
                <w:sz w:val="21"/>
                <w:szCs w:val="21"/>
                <w:highlight w:val="none"/>
              </w:rPr>
              <w:t>本项目不接受电子备份投标文件</w:t>
            </w:r>
          </w:p>
        </w:tc>
      </w:tr>
      <w:tr w14:paraId="63B1A1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188272E">
            <w:pPr>
              <w:spacing w:line="360" w:lineRule="auto"/>
              <w:jc w:val="center"/>
              <w:rPr>
                <w:rFonts w:ascii="宋体" w:hAnsi="宋体" w:cs="宋体"/>
                <w:sz w:val="21"/>
                <w:szCs w:val="21"/>
                <w:highlight w:val="none"/>
              </w:rPr>
            </w:pPr>
            <w:bookmarkStart w:id="67" w:name="_21.1"/>
            <w:bookmarkEnd w:id="67"/>
            <w:r>
              <w:rPr>
                <w:rFonts w:hint="eastAsia" w:ascii="宋体" w:hAnsi="宋体" w:cs="宋体"/>
                <w:sz w:val="21"/>
                <w:szCs w:val="21"/>
                <w:highlight w:val="none"/>
              </w:rPr>
              <w:t>21.1</w:t>
            </w:r>
          </w:p>
        </w:tc>
        <w:tc>
          <w:tcPr>
            <w:tcW w:w="8708" w:type="dxa"/>
            <w:tcBorders>
              <w:top w:val="single" w:color="auto" w:sz="4" w:space="0"/>
              <w:left w:val="single" w:color="auto" w:sz="4" w:space="0"/>
              <w:bottom w:val="single" w:color="auto" w:sz="4" w:space="0"/>
              <w:right w:val="single" w:color="auto" w:sz="4" w:space="0"/>
            </w:tcBorders>
            <w:vAlign w:val="center"/>
          </w:tcPr>
          <w:p w14:paraId="3F53EF18">
            <w:pPr>
              <w:snapToGrid w:val="0"/>
              <w:spacing w:line="360" w:lineRule="auto"/>
              <w:rPr>
                <w:rFonts w:ascii="宋体" w:hAnsi="宋体" w:cs="宋体"/>
                <w:sz w:val="21"/>
                <w:szCs w:val="21"/>
                <w:highlight w:val="none"/>
                <w:u w:val="singl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投标截止时间：详见招标公告</w:t>
            </w:r>
          </w:p>
          <w:p w14:paraId="12084E54">
            <w:pPr>
              <w:snapToGrid w:val="0"/>
              <w:spacing w:line="360" w:lineRule="auto"/>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投标地点：详见招标公告</w:t>
            </w:r>
          </w:p>
        </w:tc>
      </w:tr>
      <w:tr w14:paraId="4F07F2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308D225C">
            <w:pPr>
              <w:spacing w:line="360" w:lineRule="auto"/>
              <w:jc w:val="center"/>
              <w:rPr>
                <w:rFonts w:ascii="宋体" w:hAnsi="宋体" w:cs="宋体"/>
                <w:sz w:val="21"/>
                <w:szCs w:val="21"/>
                <w:highlight w:val="none"/>
              </w:rPr>
            </w:pPr>
            <w:bookmarkStart w:id="68" w:name="_23"/>
            <w:bookmarkEnd w:id="68"/>
            <w:r>
              <w:rPr>
                <w:rFonts w:hint="eastAsia" w:ascii="宋体" w:hAnsi="宋体" w:cs="宋体"/>
                <w:sz w:val="21"/>
                <w:szCs w:val="21"/>
                <w:highlight w:val="none"/>
              </w:rPr>
              <w:t>23</w:t>
            </w:r>
          </w:p>
        </w:tc>
        <w:tc>
          <w:tcPr>
            <w:tcW w:w="8708" w:type="dxa"/>
            <w:tcBorders>
              <w:top w:val="single" w:color="auto" w:sz="4" w:space="0"/>
              <w:left w:val="single" w:color="auto" w:sz="4" w:space="0"/>
              <w:bottom w:val="single" w:color="auto" w:sz="4" w:space="0"/>
              <w:right w:val="single" w:color="auto" w:sz="4" w:space="0"/>
            </w:tcBorders>
            <w:vAlign w:val="center"/>
          </w:tcPr>
          <w:p w14:paraId="316BF71E">
            <w:pPr>
              <w:snapToGrid w:val="0"/>
              <w:spacing w:line="360" w:lineRule="auto"/>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开标时间：详见招标公告</w:t>
            </w:r>
          </w:p>
          <w:p w14:paraId="15F40F9F">
            <w:pPr>
              <w:snapToGrid w:val="0"/>
              <w:spacing w:line="360" w:lineRule="auto"/>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开标地点：详见招标公告</w:t>
            </w:r>
          </w:p>
        </w:tc>
      </w:tr>
      <w:tr w14:paraId="621B3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EECD547">
            <w:pPr>
              <w:spacing w:line="360" w:lineRule="auto"/>
              <w:jc w:val="center"/>
              <w:rPr>
                <w:rFonts w:ascii="宋体" w:hAnsi="宋体" w:cs="宋体"/>
                <w:sz w:val="21"/>
                <w:szCs w:val="21"/>
                <w:highlight w:val="none"/>
              </w:rPr>
            </w:pPr>
            <w:r>
              <w:rPr>
                <w:rFonts w:hint="eastAsia" w:ascii="宋体" w:hAnsi="宋体" w:cs="宋体"/>
                <w:bCs/>
                <w:sz w:val="21"/>
                <w:szCs w:val="21"/>
                <w:highlight w:val="none"/>
              </w:rPr>
              <w:t>24.2</w:t>
            </w:r>
          </w:p>
        </w:tc>
        <w:tc>
          <w:tcPr>
            <w:tcW w:w="8708" w:type="dxa"/>
            <w:tcBorders>
              <w:top w:val="single" w:color="auto" w:sz="4" w:space="0"/>
              <w:left w:val="single" w:color="auto" w:sz="4" w:space="0"/>
              <w:bottom w:val="single" w:color="auto" w:sz="4" w:space="0"/>
              <w:right w:val="single" w:color="auto" w:sz="4" w:space="0"/>
            </w:tcBorders>
            <w:vAlign w:val="center"/>
          </w:tcPr>
          <w:p w14:paraId="5EBF0B23">
            <w:pPr>
              <w:autoSpaceDE w:val="0"/>
              <w:autoSpaceDN w:val="0"/>
              <w:adjustRightInd w:val="0"/>
              <w:spacing w:line="360" w:lineRule="auto"/>
              <w:rPr>
                <w:rFonts w:ascii="宋体" w:hAnsi="宋体" w:cs="宋体"/>
                <w:sz w:val="21"/>
                <w:szCs w:val="21"/>
                <w:highlight w:val="none"/>
              </w:rPr>
            </w:pPr>
            <w:r>
              <w:rPr>
                <w:rFonts w:hint="eastAsia" w:ascii="宋体" w:hAnsi="宋体" w:cs="宋体"/>
                <w:bCs/>
                <w:sz w:val="21"/>
                <w:szCs w:val="21"/>
                <w:highlight w:val="none"/>
              </w:rPr>
              <w:t>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cs="宋体"/>
                <w:b/>
                <w:bCs/>
                <w:sz w:val="21"/>
                <w:szCs w:val="21"/>
                <w:highlight w:val="none"/>
              </w:rPr>
              <w:t>投标人的法定代表人或其委托代理人须携带加密时所用的CA锁准时登录到广西政府采购云平台电子开标大厅签到</w:t>
            </w:r>
            <w:r>
              <w:rPr>
                <w:rFonts w:hint="eastAsia" w:ascii="宋体" w:hAnsi="宋体" w:cs="宋体"/>
                <w:b/>
                <w:sz w:val="21"/>
                <w:szCs w:val="21"/>
                <w:highlight w:val="none"/>
              </w:rPr>
              <w:t>并在发起解密</w:t>
            </w:r>
            <w:r>
              <w:rPr>
                <w:rFonts w:hint="eastAsia" w:ascii="宋体" w:hAnsi="宋体" w:cs="宋体"/>
                <w:b/>
                <w:bCs/>
                <w:sz w:val="21"/>
                <w:szCs w:val="21"/>
                <w:highlight w:val="none"/>
              </w:rPr>
              <w:t>通知</w:t>
            </w:r>
            <w:r>
              <w:rPr>
                <w:rFonts w:hint="eastAsia" w:ascii="宋体" w:hAnsi="宋体" w:cs="宋体"/>
                <w:b/>
                <w:sz w:val="21"/>
                <w:szCs w:val="21"/>
                <w:highlight w:val="none"/>
              </w:rPr>
              <w:t>之时起30分钟内完成</w:t>
            </w:r>
            <w:r>
              <w:rPr>
                <w:rFonts w:hint="eastAsia" w:ascii="宋体" w:hAnsi="宋体" w:cs="宋体"/>
                <w:b/>
                <w:bCs/>
                <w:sz w:val="21"/>
                <w:szCs w:val="21"/>
                <w:highlight w:val="none"/>
              </w:rPr>
              <w:t>对电子投标文件解密。投标文件未按时解密的，视为无效投标。</w:t>
            </w:r>
          </w:p>
        </w:tc>
      </w:tr>
      <w:tr w14:paraId="5BBB63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485186FE">
            <w:pPr>
              <w:spacing w:line="360" w:lineRule="auto"/>
              <w:jc w:val="center"/>
              <w:rPr>
                <w:rFonts w:ascii="宋体" w:hAnsi="宋体" w:cs="宋体"/>
                <w:sz w:val="21"/>
                <w:szCs w:val="21"/>
                <w:highlight w:val="none"/>
              </w:rPr>
            </w:pPr>
            <w:bookmarkStart w:id="69" w:name="_25.3"/>
            <w:bookmarkEnd w:id="69"/>
            <w:r>
              <w:rPr>
                <w:rFonts w:hint="eastAsia" w:ascii="宋体" w:hAnsi="宋体" w:cs="宋体"/>
                <w:sz w:val="21"/>
                <w:szCs w:val="21"/>
                <w:highlight w:val="none"/>
              </w:rPr>
              <w:t>25.3（3）</w:t>
            </w:r>
          </w:p>
        </w:tc>
        <w:tc>
          <w:tcPr>
            <w:tcW w:w="8708" w:type="dxa"/>
            <w:tcBorders>
              <w:top w:val="single" w:color="auto" w:sz="4" w:space="0"/>
              <w:left w:val="single" w:color="auto" w:sz="4" w:space="0"/>
              <w:bottom w:val="single" w:color="auto" w:sz="4" w:space="0"/>
              <w:right w:val="single" w:color="auto" w:sz="4" w:space="0"/>
            </w:tcBorders>
            <w:vAlign w:val="center"/>
          </w:tcPr>
          <w:p w14:paraId="7AB4A718">
            <w:pPr>
              <w:snapToGrid w:val="0"/>
              <w:spacing w:line="360" w:lineRule="auto"/>
              <w:rPr>
                <w:rFonts w:ascii="宋体" w:hAnsi="宋体" w:cs="宋体"/>
                <w:sz w:val="21"/>
                <w:szCs w:val="21"/>
                <w:highlight w:val="none"/>
              </w:rPr>
            </w:pPr>
            <w:r>
              <w:rPr>
                <w:rFonts w:hint="eastAsia" w:ascii="宋体" w:hAnsi="宋体" w:cs="宋体"/>
                <w:sz w:val="21"/>
                <w:szCs w:val="21"/>
                <w:highlight w:val="none"/>
              </w:rPr>
              <w:t>采购人或者采购代理机构在资格审查结束前，对投标人进行信用查询。</w:t>
            </w:r>
          </w:p>
          <w:p w14:paraId="7F7B4857">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查询渠道：“信用中国”网站（www.creditchina.gov.cn）、中国政府采购网（</w:t>
            </w:r>
            <w:r>
              <w:rPr>
                <w:szCs w:val="21"/>
                <w:highlight w:val="none"/>
              </w:rPr>
              <w:fldChar w:fldCharType="begin"/>
            </w:r>
            <w:r>
              <w:rPr>
                <w:szCs w:val="21"/>
                <w:highlight w:val="none"/>
              </w:rPr>
              <w:instrText xml:space="preserve"> HYPERLINK "http://www.ccgp.gov.cn" </w:instrText>
            </w:r>
            <w:r>
              <w:rPr>
                <w:szCs w:val="21"/>
                <w:highlight w:val="none"/>
              </w:rPr>
              <w:fldChar w:fldCharType="separate"/>
            </w:r>
            <w:r>
              <w:rPr>
                <w:rStyle w:val="55"/>
                <w:rFonts w:hint="eastAsia" w:ascii="宋体" w:hAnsi="宋体" w:cs="宋体"/>
                <w:color w:val="auto"/>
                <w:sz w:val="21"/>
                <w:szCs w:val="21"/>
                <w:highlight w:val="none"/>
              </w:rPr>
              <w:t>www.ccgp.gov.cn</w:t>
            </w:r>
            <w:r>
              <w:rPr>
                <w:rStyle w:val="55"/>
                <w:rFonts w:ascii="宋体" w:hAnsi="宋体" w:cs="宋体"/>
                <w:color w:val="auto"/>
                <w:sz w:val="21"/>
                <w:szCs w:val="21"/>
                <w:highlight w:val="none"/>
              </w:rPr>
              <w:fldChar w:fldCharType="end"/>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rPr>
              <w:t>中国执行信息公开网（https://zxgk.court.gov.cn/）。</w:t>
            </w:r>
          </w:p>
          <w:p w14:paraId="37931EED">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信用查询截止时点：资格审查结束前。</w:t>
            </w:r>
          </w:p>
          <w:p w14:paraId="2216448A">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查询记录和证据留存方式：将查询网站中的查询记录截图并作为评审资料保存。</w:t>
            </w:r>
          </w:p>
          <w:p w14:paraId="4B501ED3">
            <w:pPr>
              <w:autoSpaceDE w:val="0"/>
              <w:autoSpaceDN w:val="0"/>
              <w:snapToGrid w:val="0"/>
              <w:spacing w:line="360" w:lineRule="auto"/>
              <w:ind w:firstLine="420" w:firstLineChars="200"/>
              <w:textAlignment w:val="bottom"/>
              <w:rPr>
                <w:rFonts w:ascii="宋体" w:hAnsi="宋体" w:cs="宋体"/>
                <w:b/>
                <w:sz w:val="21"/>
                <w:szCs w:val="21"/>
                <w:highlight w:val="none"/>
              </w:rPr>
            </w:pPr>
            <w:r>
              <w:rPr>
                <w:rFonts w:hint="eastAsia" w:ascii="宋体" w:hAnsi="宋体" w:cs="宋体"/>
                <w:sz w:val="21"/>
                <w:szCs w:val="21"/>
                <w:highlight w:val="none"/>
              </w:rPr>
              <w:t>信用信息使用规则：根据财政部《关于在政府采购活动中查询及使用信用记录有关问题的通知》（财库〔2016〕125号）的规</w:t>
            </w:r>
            <w:r>
              <w:rPr>
                <w:rFonts w:hint="eastAsia" w:ascii="宋体" w:hAnsi="宋体" w:cs="宋体"/>
                <w:sz w:val="21"/>
                <w:szCs w:val="21"/>
                <w:highlight w:val="none"/>
                <w:lang w:bidi="ar"/>
              </w:rPr>
              <w:t>定，</w:t>
            </w:r>
            <w:r>
              <w:rPr>
                <w:rFonts w:hint="eastAsia" w:ascii="宋体" w:hAnsi="宋体" w:cs="宋体"/>
                <w:color w:val="auto"/>
                <w:sz w:val="21"/>
                <w:szCs w:val="21"/>
                <w:highlight w:val="none"/>
                <w:lang w:bidi="ar"/>
              </w:rPr>
              <w:t>对在“信用中国”网站(www.creditchina.gov.cn)、中国政府采购网(www.ccgp.gov.cn)</w:t>
            </w:r>
            <w:r>
              <w:rPr>
                <w:rFonts w:hint="eastAsia" w:ascii="宋体" w:hAnsi="宋体" w:cs="宋体"/>
                <w:color w:val="auto"/>
                <w:sz w:val="21"/>
                <w:szCs w:val="21"/>
                <w:highlight w:val="none"/>
                <w:lang w:eastAsia="zh-CN" w:bidi="ar"/>
              </w:rPr>
              <w:t>、</w:t>
            </w:r>
            <w:r>
              <w:rPr>
                <w:rFonts w:hint="eastAsia" w:ascii="宋体" w:hAnsi="宋体" w:cs="宋体"/>
                <w:color w:val="auto"/>
                <w:sz w:val="21"/>
                <w:szCs w:val="21"/>
                <w:highlight w:val="none"/>
                <w:lang w:bidi="ar"/>
              </w:rPr>
              <w:t>中国执行信息公开网（https://zxgk.court.gov.cn/）被列入失信被执行人、重大税收违法失信主体、政府采购严重违法失信行为记录名单及其他不符合《中华人民共和国政府采购法》第二十二条规定条件的投标人，不得参与政府采购活动</w:t>
            </w:r>
            <w:r>
              <w:rPr>
                <w:rFonts w:hint="eastAsia" w:ascii="宋体" w:hAnsi="宋体" w:cs="宋体"/>
                <w:sz w:val="21"/>
                <w:szCs w:val="21"/>
                <w:highlight w:val="none"/>
                <w:lang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62F31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3EE290E9">
            <w:pPr>
              <w:spacing w:line="360" w:lineRule="auto"/>
              <w:jc w:val="center"/>
              <w:rPr>
                <w:rFonts w:ascii="宋体" w:hAnsi="宋体" w:cs="宋体"/>
                <w:sz w:val="21"/>
                <w:szCs w:val="21"/>
                <w:highlight w:val="none"/>
              </w:rPr>
            </w:pPr>
            <w:bookmarkStart w:id="70" w:name="_26"/>
            <w:bookmarkEnd w:id="70"/>
            <w:r>
              <w:rPr>
                <w:rFonts w:hint="eastAsia" w:ascii="宋体" w:hAnsi="宋体" w:cs="宋体"/>
                <w:sz w:val="21"/>
                <w:szCs w:val="21"/>
                <w:highlight w:val="none"/>
              </w:rPr>
              <w:t>26</w:t>
            </w:r>
          </w:p>
        </w:tc>
        <w:tc>
          <w:tcPr>
            <w:tcW w:w="8708" w:type="dxa"/>
            <w:tcBorders>
              <w:top w:val="single" w:color="auto" w:sz="4" w:space="0"/>
              <w:left w:val="single" w:color="auto" w:sz="4" w:space="0"/>
              <w:bottom w:val="single" w:color="auto" w:sz="4" w:space="0"/>
              <w:right w:val="single" w:color="auto" w:sz="4" w:space="0"/>
            </w:tcBorders>
            <w:vAlign w:val="center"/>
          </w:tcPr>
          <w:p w14:paraId="14DE1097">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评标委员会的人数：5人或以上单数。（采购项目符合下列情形之一的，评标委员会成员人数应当为7人以上单数：1.采购预算金额在1000万元以上；2.技术复杂；3.社会影响较大。）</w:t>
            </w:r>
          </w:p>
        </w:tc>
      </w:tr>
      <w:tr w14:paraId="18B52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B88ABEA">
            <w:pPr>
              <w:spacing w:line="360" w:lineRule="auto"/>
              <w:jc w:val="center"/>
              <w:rPr>
                <w:rFonts w:ascii="宋体" w:hAnsi="宋体" w:cs="宋体"/>
                <w:sz w:val="21"/>
                <w:szCs w:val="21"/>
                <w:highlight w:val="none"/>
              </w:rPr>
            </w:pPr>
            <w:bookmarkStart w:id="71" w:name="_28.3"/>
            <w:bookmarkEnd w:id="71"/>
            <w:r>
              <w:rPr>
                <w:rFonts w:hint="eastAsia" w:ascii="宋体" w:hAnsi="宋体" w:cs="宋体"/>
                <w:sz w:val="21"/>
                <w:szCs w:val="21"/>
                <w:highlight w:val="none"/>
              </w:rPr>
              <w:t>29.1</w:t>
            </w:r>
          </w:p>
        </w:tc>
        <w:tc>
          <w:tcPr>
            <w:tcW w:w="8708" w:type="dxa"/>
            <w:tcBorders>
              <w:top w:val="single" w:color="auto" w:sz="4" w:space="0"/>
              <w:left w:val="single" w:color="auto" w:sz="4" w:space="0"/>
              <w:bottom w:val="single" w:color="auto" w:sz="4" w:space="0"/>
              <w:right w:val="single" w:color="auto" w:sz="4" w:space="0"/>
            </w:tcBorders>
            <w:vAlign w:val="center"/>
          </w:tcPr>
          <w:p w14:paraId="6C698482">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评标方法：</w:t>
            </w:r>
          </w:p>
          <w:p w14:paraId="715D10AE">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lang w:eastAsia="zh-CN"/>
              </w:rPr>
              <w:t>☑</w:t>
            </w:r>
            <w:r>
              <w:rPr>
                <w:rFonts w:hint="eastAsia" w:ascii="宋体" w:hAnsi="宋体" w:cs="宋体"/>
                <w:sz w:val="21"/>
                <w:szCs w:val="21"/>
                <w:highlight w:val="none"/>
              </w:rPr>
              <w:t>综合评分法</w:t>
            </w:r>
          </w:p>
          <w:p w14:paraId="4538377A">
            <w:pPr>
              <w:autoSpaceDE w:val="0"/>
              <w:autoSpaceDN w:val="0"/>
              <w:snapToGrid w:val="0"/>
              <w:spacing w:line="360" w:lineRule="auto"/>
              <w:textAlignment w:val="bottom"/>
              <w:rPr>
                <w:szCs w:val="21"/>
                <w:highlight w:val="none"/>
              </w:rPr>
            </w:pPr>
            <w:r>
              <w:rPr>
                <w:rFonts w:hint="eastAsia" w:ascii="宋体" w:hAnsi="宋体" w:cs="宋体"/>
                <w:sz w:val="21"/>
                <w:szCs w:val="21"/>
                <w:highlight w:val="none"/>
              </w:rPr>
              <w:t>□最低评标价法</w:t>
            </w:r>
          </w:p>
        </w:tc>
      </w:tr>
      <w:tr w14:paraId="1F3E7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71" w:type="dxa"/>
            <w:vMerge w:val="restart"/>
            <w:tcBorders>
              <w:top w:val="single" w:color="auto" w:sz="4" w:space="0"/>
              <w:left w:val="single" w:color="auto" w:sz="4" w:space="0"/>
              <w:right w:val="single" w:color="auto" w:sz="4" w:space="0"/>
            </w:tcBorders>
            <w:vAlign w:val="center"/>
          </w:tcPr>
          <w:p w14:paraId="798264AA">
            <w:pPr>
              <w:spacing w:line="360" w:lineRule="auto"/>
              <w:jc w:val="center"/>
              <w:rPr>
                <w:rFonts w:ascii="宋体" w:hAnsi="宋体" w:cs="宋体"/>
                <w:sz w:val="21"/>
                <w:szCs w:val="21"/>
                <w:highlight w:val="none"/>
              </w:rPr>
            </w:pPr>
            <w:bookmarkStart w:id="72" w:name="_29.2.2（2）"/>
            <w:bookmarkEnd w:id="72"/>
            <w:r>
              <w:rPr>
                <w:rFonts w:hint="eastAsia" w:ascii="宋体" w:hAnsi="宋体" w:cs="宋体"/>
                <w:sz w:val="21"/>
                <w:szCs w:val="21"/>
                <w:highlight w:val="none"/>
              </w:rPr>
              <w:t>29.2</w:t>
            </w:r>
          </w:p>
        </w:tc>
        <w:tc>
          <w:tcPr>
            <w:tcW w:w="8708" w:type="dxa"/>
            <w:tcBorders>
              <w:top w:val="single" w:color="auto" w:sz="4" w:space="0"/>
              <w:left w:val="single" w:color="auto" w:sz="4" w:space="0"/>
              <w:right w:val="single" w:color="auto" w:sz="4" w:space="0"/>
            </w:tcBorders>
            <w:vAlign w:val="center"/>
          </w:tcPr>
          <w:p w14:paraId="1A5CC053">
            <w:pPr>
              <w:snapToGrid w:val="0"/>
              <w:spacing w:line="360" w:lineRule="auto"/>
              <w:rPr>
                <w:rFonts w:ascii="宋体" w:hAnsi="宋体" w:cs="宋体"/>
                <w:sz w:val="21"/>
                <w:szCs w:val="21"/>
                <w:highlight w:val="none"/>
              </w:rPr>
            </w:pPr>
            <w:r>
              <w:rPr>
                <w:rFonts w:hint="eastAsia" w:ascii="宋体" w:hAnsi="宋体" w:cs="宋体"/>
                <w:sz w:val="21"/>
                <w:szCs w:val="21"/>
                <w:highlight w:val="none"/>
              </w:rPr>
              <w:t>商务要求评审中允许负偏离的条款数为</w:t>
            </w:r>
            <w:r>
              <w:rPr>
                <w:rFonts w:ascii="宋体" w:hAnsi="宋体" w:cs="宋体"/>
                <w:sz w:val="21"/>
                <w:szCs w:val="21"/>
                <w:highlight w:val="none"/>
                <w:u w:val="single"/>
              </w:rPr>
              <w:t>0</w:t>
            </w:r>
            <w:r>
              <w:rPr>
                <w:rFonts w:hint="eastAsia" w:ascii="宋体" w:hAnsi="宋体" w:cs="宋体"/>
                <w:sz w:val="21"/>
                <w:szCs w:val="21"/>
                <w:highlight w:val="none"/>
              </w:rPr>
              <w:t>项。</w:t>
            </w:r>
          </w:p>
          <w:p w14:paraId="734AFFA6">
            <w:pPr>
              <w:snapToGrid w:val="0"/>
              <w:spacing w:line="360" w:lineRule="auto"/>
              <w:rPr>
                <w:rFonts w:ascii="宋体" w:hAnsi="宋体" w:cs="宋体"/>
                <w:sz w:val="21"/>
                <w:szCs w:val="21"/>
                <w:highlight w:val="none"/>
              </w:rPr>
            </w:pPr>
            <w:r>
              <w:rPr>
                <w:rFonts w:hint="eastAsia" w:ascii="宋体" w:hAnsi="宋体" w:cs="宋体"/>
                <w:sz w:val="21"/>
                <w:szCs w:val="21"/>
                <w:highlight w:val="none"/>
              </w:rPr>
              <w:t>技术需求评审中允许负偏离的条款为未标注“▲</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项。</w:t>
            </w:r>
          </w:p>
        </w:tc>
      </w:tr>
      <w:tr w14:paraId="6DA89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71" w:type="dxa"/>
            <w:vMerge w:val="continue"/>
            <w:tcBorders>
              <w:left w:val="single" w:color="auto" w:sz="4" w:space="0"/>
              <w:right w:val="single" w:color="auto" w:sz="4" w:space="0"/>
            </w:tcBorders>
            <w:vAlign w:val="center"/>
          </w:tcPr>
          <w:p w14:paraId="3AACD665">
            <w:pPr>
              <w:spacing w:line="360" w:lineRule="auto"/>
              <w:jc w:val="center"/>
              <w:rPr>
                <w:rFonts w:ascii="宋体" w:hAnsi="宋体" w:cs="宋体"/>
                <w:sz w:val="21"/>
                <w:szCs w:val="21"/>
                <w:highlight w:val="none"/>
              </w:rPr>
            </w:pPr>
          </w:p>
        </w:tc>
        <w:tc>
          <w:tcPr>
            <w:tcW w:w="8708" w:type="dxa"/>
            <w:tcBorders>
              <w:top w:val="single" w:color="auto" w:sz="4" w:space="0"/>
              <w:left w:val="single" w:color="auto" w:sz="4" w:space="0"/>
              <w:right w:val="single" w:color="auto" w:sz="4" w:space="0"/>
            </w:tcBorders>
            <w:vAlign w:val="center"/>
          </w:tcPr>
          <w:p w14:paraId="13A9A195">
            <w:pPr>
              <w:snapToGrid w:val="0"/>
              <w:spacing w:line="360" w:lineRule="auto"/>
              <w:rPr>
                <w:rFonts w:ascii="宋体" w:hAnsi="宋体" w:cs="宋体"/>
                <w:sz w:val="21"/>
                <w:szCs w:val="21"/>
                <w:highlight w:val="none"/>
                <w:u w:val="single"/>
              </w:rPr>
            </w:pPr>
            <w:r>
              <w:rPr>
                <w:rFonts w:hint="eastAsia" w:ascii="宋体" w:hAnsi="宋体" w:cs="宋体"/>
                <w:sz w:val="21"/>
                <w:szCs w:val="21"/>
                <w:highlight w:val="none"/>
              </w:rPr>
              <w:t>中标候选人推荐数量：3家</w:t>
            </w:r>
          </w:p>
        </w:tc>
      </w:tr>
      <w:tr w14:paraId="1BE53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6AEAC10">
            <w:pPr>
              <w:spacing w:line="360" w:lineRule="auto"/>
              <w:jc w:val="center"/>
              <w:rPr>
                <w:rFonts w:ascii="宋体" w:hAnsi="宋体" w:cs="宋体"/>
                <w:sz w:val="21"/>
                <w:szCs w:val="21"/>
                <w:highlight w:val="none"/>
              </w:rPr>
            </w:pPr>
            <w:r>
              <w:rPr>
                <w:rFonts w:hint="eastAsia" w:ascii="宋体" w:hAnsi="宋体" w:cs="宋体"/>
                <w:sz w:val="21"/>
                <w:szCs w:val="21"/>
                <w:highlight w:val="none"/>
              </w:rPr>
              <w:t>30.1</w:t>
            </w:r>
          </w:p>
        </w:tc>
        <w:tc>
          <w:tcPr>
            <w:tcW w:w="8708" w:type="dxa"/>
            <w:tcBorders>
              <w:top w:val="single" w:color="auto" w:sz="4" w:space="0"/>
              <w:left w:val="single" w:color="auto" w:sz="4" w:space="0"/>
              <w:bottom w:val="single" w:color="auto" w:sz="4" w:space="0"/>
              <w:right w:val="single" w:color="auto" w:sz="4" w:space="0"/>
            </w:tcBorders>
            <w:vAlign w:val="center"/>
          </w:tcPr>
          <w:p w14:paraId="260BCCBD">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w:t>
            </w:r>
            <w:r>
              <w:rPr>
                <w:rFonts w:hint="eastAsia" w:ascii="宋体" w:hAnsi="宋体" w:cs="宋体"/>
                <w:sz w:val="21"/>
                <w:szCs w:val="21"/>
                <w:highlight w:val="none"/>
              </w:rPr>
              <w:t>采用综合评分法的采购项目，采购人确定中标人时，出现中标候选人并列的情形，采购人按以下的方式确定中标人：</w:t>
            </w:r>
          </w:p>
          <w:p w14:paraId="2E031D57">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依次按投标报价低的优先、政策分得分高的优先、技术评分高的优先、商务评分高的优先、质量保证期长优先、交货期短优先、故障响应时间短优先的顺序确定。</w:t>
            </w:r>
          </w:p>
          <w:p w14:paraId="6A5835C8">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iCs/>
                <w:sz w:val="21"/>
                <w:szCs w:val="21"/>
                <w:highlight w:val="none"/>
              </w:rPr>
              <w:t>2</w:t>
            </w:r>
            <w:r>
              <w:rPr>
                <w:rFonts w:ascii="宋体" w:hAnsi="宋体"/>
                <w:iCs/>
                <w:sz w:val="21"/>
                <w:szCs w:val="21"/>
                <w:highlight w:val="none"/>
              </w:rPr>
              <w:t>.</w:t>
            </w:r>
            <w:r>
              <w:rPr>
                <w:rFonts w:hint="eastAsia" w:ascii="宋体" w:hAnsi="宋体"/>
                <w:iCs/>
                <w:sz w:val="21"/>
                <w:szCs w:val="21"/>
                <w:highlight w:val="none"/>
              </w:rPr>
              <w:t>采用最低评标价法的采购项目，</w:t>
            </w:r>
            <w:r>
              <w:rPr>
                <w:rFonts w:hint="eastAsia" w:ascii="宋体" w:hAnsi="宋体" w:cs="宋体"/>
                <w:sz w:val="21"/>
                <w:szCs w:val="21"/>
                <w:highlight w:val="none"/>
              </w:rPr>
              <w:t>评标价相同时，按以下原则确定成交候选人的顺序：</w:t>
            </w:r>
          </w:p>
          <w:p w14:paraId="59E75CEF">
            <w:pPr>
              <w:autoSpaceDE w:val="0"/>
              <w:autoSpaceDN w:val="0"/>
              <w:snapToGrid w:val="0"/>
              <w:spacing w:line="360" w:lineRule="auto"/>
              <w:ind w:firstLine="420" w:firstLineChars="200"/>
              <w:textAlignment w:val="bottom"/>
              <w:rPr>
                <w:szCs w:val="21"/>
                <w:highlight w:val="none"/>
              </w:rPr>
            </w:pPr>
            <w:r>
              <w:rPr>
                <w:rFonts w:hint="eastAsia" w:ascii="宋体" w:hAnsi="宋体" w:cs="宋体"/>
                <w:sz w:val="21"/>
                <w:szCs w:val="21"/>
                <w:highlight w:val="none"/>
              </w:rPr>
              <w:t>依次按带“▲”的实质性要求正偏离项数多的优先、均无正偏离或者正偏离项数一致时负偏离项数少的优先、质量保证期长优先、交货期短优先、故障响应时间短优先、节能环保产品累计金额多的优先的顺序排列。</w:t>
            </w:r>
          </w:p>
        </w:tc>
      </w:tr>
      <w:tr w14:paraId="451CD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354D35F">
            <w:pPr>
              <w:spacing w:line="360" w:lineRule="auto"/>
              <w:jc w:val="center"/>
              <w:rPr>
                <w:rFonts w:ascii="宋体" w:hAnsi="宋体" w:cs="宋体"/>
                <w:sz w:val="21"/>
                <w:szCs w:val="21"/>
                <w:highlight w:val="none"/>
              </w:rPr>
            </w:pPr>
            <w:bookmarkStart w:id="73" w:name="_39.1"/>
            <w:bookmarkEnd w:id="73"/>
            <w:r>
              <w:rPr>
                <w:rFonts w:hint="eastAsia" w:ascii="宋体" w:hAnsi="宋体" w:cs="宋体"/>
                <w:sz w:val="21"/>
                <w:szCs w:val="21"/>
                <w:highlight w:val="none"/>
              </w:rPr>
              <w:t>35.1</w:t>
            </w:r>
          </w:p>
        </w:tc>
        <w:tc>
          <w:tcPr>
            <w:tcW w:w="8708" w:type="dxa"/>
            <w:tcBorders>
              <w:top w:val="single" w:color="auto" w:sz="4" w:space="0"/>
              <w:left w:val="single" w:color="auto" w:sz="4" w:space="0"/>
              <w:bottom w:val="single" w:color="auto" w:sz="4" w:space="0"/>
              <w:right w:val="single" w:color="auto" w:sz="4" w:space="0"/>
            </w:tcBorders>
            <w:vAlign w:val="center"/>
          </w:tcPr>
          <w:p w14:paraId="283DC0A6">
            <w:pPr>
              <w:autoSpaceDE w:val="0"/>
              <w:autoSpaceDN w:val="0"/>
              <w:snapToGrid/>
              <w:spacing w:line="360" w:lineRule="auto"/>
              <w:textAlignment w:val="bottom"/>
              <w:rPr>
                <w:rFonts w:ascii="宋体" w:hAnsi="宋体" w:cs="宋体"/>
                <w:sz w:val="21"/>
                <w:szCs w:val="21"/>
                <w:highlight w:val="none"/>
              </w:rPr>
            </w:pPr>
            <w:r>
              <w:rPr>
                <w:rFonts w:hint="eastAsia" w:ascii="宋体" w:hAnsi="宋体" w:cs="宋体"/>
                <w:sz w:val="21"/>
                <w:szCs w:val="21"/>
                <w:highlight w:val="none"/>
              </w:rPr>
              <w:sym w:font="Wingdings" w:char="00A8"/>
            </w:r>
            <w:r>
              <w:rPr>
                <w:rFonts w:hint="eastAsia" w:ascii="宋体" w:hAnsi="宋体" w:cs="宋体"/>
                <w:sz w:val="21"/>
                <w:szCs w:val="21"/>
                <w:highlight w:val="none"/>
              </w:rPr>
              <w:t>本项目不收取履约保证金。</w:t>
            </w:r>
          </w:p>
          <w:p w14:paraId="641471AD">
            <w:pPr>
              <w:pStyle w:val="9"/>
              <w:spacing w:line="360" w:lineRule="auto"/>
              <w:rPr>
                <w:rFonts w:ascii="宋体" w:hAnsi="宋体" w:cs="宋体"/>
                <w:sz w:val="21"/>
                <w:szCs w:val="21"/>
                <w:highlight w:val="none"/>
              </w:rPr>
            </w:pPr>
            <w:r>
              <w:rPr>
                <w:rFonts w:hint="eastAsia" w:ascii="宋体" w:hAnsi="宋体" w:cs="宋体"/>
                <w:sz w:val="21"/>
                <w:szCs w:val="21"/>
                <w:highlight w:val="none"/>
              </w:rPr>
              <w:sym w:font="Wingdings" w:char="00FE"/>
            </w:r>
            <w:r>
              <w:rPr>
                <w:rFonts w:hint="eastAsia" w:ascii="宋体" w:hAnsi="宋体" w:cs="宋体"/>
                <w:sz w:val="21"/>
                <w:szCs w:val="21"/>
                <w:highlight w:val="none"/>
              </w:rPr>
              <w:t>本项目收取履约保证金：详见商务条款。</w:t>
            </w:r>
          </w:p>
          <w:p w14:paraId="7F59DDB9">
            <w:pPr>
              <w:autoSpaceDE w:val="0"/>
              <w:autoSpaceDN w:val="0"/>
              <w:snapToGrid/>
              <w:spacing w:line="360" w:lineRule="auto"/>
              <w:textAlignment w:val="bottom"/>
              <w:rPr>
                <w:rFonts w:ascii="宋体" w:hAnsi="宋体" w:cs="宋体"/>
                <w:sz w:val="21"/>
                <w:szCs w:val="21"/>
                <w:highlight w:val="none"/>
              </w:rPr>
            </w:pPr>
            <w:r>
              <w:rPr>
                <w:rFonts w:hint="eastAsia" w:ascii="宋体" w:hAnsi="宋体" w:cs="宋体"/>
                <w:sz w:val="21"/>
                <w:szCs w:val="21"/>
                <w:highlight w:val="none"/>
              </w:rPr>
              <w:t>履约保证金递交方式：详见商务条款。</w:t>
            </w:r>
          </w:p>
          <w:p w14:paraId="359C0748">
            <w:pPr>
              <w:autoSpaceDE w:val="0"/>
              <w:autoSpaceDN w:val="0"/>
              <w:snapToGrid/>
              <w:spacing w:line="360" w:lineRule="auto"/>
              <w:textAlignment w:val="bottom"/>
              <w:rPr>
                <w:rFonts w:ascii="宋体" w:hAnsi="宋体" w:cs="宋体"/>
                <w:sz w:val="21"/>
                <w:szCs w:val="21"/>
                <w:highlight w:val="none"/>
                <w:u w:val="single"/>
              </w:rPr>
            </w:pPr>
            <w:r>
              <w:rPr>
                <w:rFonts w:hint="eastAsia" w:ascii="宋体" w:hAnsi="宋体" w:cs="宋体"/>
                <w:sz w:val="21"/>
                <w:szCs w:val="21"/>
                <w:highlight w:val="none"/>
              </w:rPr>
              <w:t>履约保证金退付方式、时间及条件详见商务条款。</w:t>
            </w:r>
          </w:p>
          <w:p w14:paraId="4B501395">
            <w:pPr>
              <w:spacing w:line="360" w:lineRule="auto"/>
              <w:jc w:val="left"/>
              <w:rPr>
                <w:rFonts w:hint="eastAsia" w:ascii="宋体" w:hAnsi="宋体" w:eastAsia="宋体" w:cs="宋体"/>
                <w:b/>
                <w:bCs/>
                <w:sz w:val="21"/>
                <w:szCs w:val="21"/>
                <w:highlight w:val="none"/>
              </w:rPr>
            </w:pPr>
            <w:r>
              <w:rPr>
                <w:rFonts w:hint="eastAsia" w:ascii="宋体" w:hAnsi="宋体" w:eastAsia="宋体" w:cs="宋体"/>
                <w:b/>
                <w:sz w:val="21"/>
                <w:szCs w:val="21"/>
                <w:highlight w:val="none"/>
              </w:rPr>
              <w:t>【备注】</w:t>
            </w:r>
          </w:p>
          <w:p w14:paraId="7451D935">
            <w:pPr>
              <w:autoSpaceDE w:val="0"/>
              <w:autoSpaceDN w:val="0"/>
              <w:snapToGrid w:val="0"/>
              <w:spacing w:line="360" w:lineRule="auto"/>
              <w:ind w:firstLine="422" w:firstLineChars="200"/>
              <w:textAlignment w:val="bottom"/>
              <w:rPr>
                <w:rFonts w:hint="eastAsia" w:ascii="宋体" w:hAnsi="宋体" w:eastAsia="宋体" w:cs="宋体"/>
                <w:b/>
                <w:sz w:val="21"/>
                <w:szCs w:val="21"/>
                <w:highlight w:val="none"/>
              </w:rPr>
            </w:pPr>
            <w:r>
              <w:rPr>
                <w:rFonts w:hint="eastAsia" w:ascii="宋体" w:hAnsi="宋体" w:eastAsia="宋体" w:cs="宋体"/>
                <w:b/>
                <w:bCs/>
                <w:sz w:val="21"/>
                <w:szCs w:val="21"/>
                <w:highlight w:val="none"/>
              </w:rPr>
              <w:t>1</w:t>
            </w:r>
            <w:bookmarkStart w:id="74" w:name="_Hlk54170335"/>
            <w:r>
              <w:rPr>
                <w:rFonts w:hint="eastAsia" w:ascii="宋体" w:hAnsi="宋体" w:eastAsia="宋体" w:cs="宋体"/>
                <w:b/>
                <w:bCs/>
                <w:sz w:val="21"/>
                <w:szCs w:val="21"/>
                <w:highlight w:val="none"/>
              </w:rPr>
              <w:t>.</w:t>
            </w:r>
            <w:r>
              <w:rPr>
                <w:rFonts w:hint="eastAsia" w:ascii="宋体" w:hAnsi="宋体" w:eastAsia="宋体" w:cs="宋体"/>
                <w:b/>
                <w:sz w:val="21"/>
                <w:szCs w:val="21"/>
                <w:highlight w:val="none"/>
              </w:rPr>
              <w:t>根据《广西壮族自治区财政厅关于持续优化政府采购营商环境推动高质量发展的通知》（桂财采〔2024〕55号），采购文件要求中标人提交履约保证金的，履约保证金数额不得超过政府采购合同金额的5%，对中小企业收取的履约保证金数额不得超过政府采购合同金额的2%。</w:t>
            </w:r>
          </w:p>
          <w:bookmarkEnd w:id="74"/>
          <w:p w14:paraId="0306ACD6">
            <w:pPr>
              <w:autoSpaceDE w:val="0"/>
              <w:autoSpaceDN w:val="0"/>
              <w:snapToGrid w:val="0"/>
              <w:spacing w:line="360" w:lineRule="auto"/>
              <w:ind w:firstLine="422" w:firstLineChars="200"/>
              <w:textAlignment w:val="bottom"/>
              <w:rPr>
                <w:rFonts w:hint="eastAsia" w:ascii="宋体" w:hAnsi="宋体" w:eastAsia="宋体" w:cs="宋体"/>
                <w:b/>
                <w:sz w:val="21"/>
                <w:szCs w:val="21"/>
                <w:highlight w:val="none"/>
              </w:rPr>
            </w:pPr>
            <w:r>
              <w:rPr>
                <w:rFonts w:hint="eastAsia" w:ascii="宋体" w:hAnsi="宋体" w:eastAsia="宋体" w:cs="宋体"/>
                <w:b/>
                <w:sz w:val="21"/>
                <w:szCs w:val="21"/>
                <w:highlight w:val="none"/>
              </w:rPr>
              <w:t>2.履约保证金必须足额缴纳，或</w:t>
            </w:r>
            <w:r>
              <w:rPr>
                <w:rFonts w:hint="eastAsia" w:ascii="宋体" w:hAnsi="宋体" w:cs="宋体"/>
                <w:sz w:val="21"/>
                <w:szCs w:val="21"/>
                <w:highlight w:val="none"/>
              </w:rPr>
              <w:t>出具</w:t>
            </w:r>
            <w:r>
              <w:rPr>
                <w:rFonts w:hint="eastAsia" w:ascii="宋体" w:hAnsi="宋体" w:eastAsia="宋体" w:cs="宋体"/>
                <w:b/>
                <w:sz w:val="21"/>
                <w:szCs w:val="21"/>
                <w:highlight w:val="none"/>
              </w:rPr>
              <w:t>的保函额度必须足额且保函有效期不能低于合同履行期限（即签订采购合同之日起至履行完合同约定的权利及义务之日止），否则视为无效履约保证金。</w:t>
            </w:r>
          </w:p>
          <w:p w14:paraId="3221347B">
            <w:pPr>
              <w:autoSpaceDE w:val="0"/>
              <w:autoSpaceDN w:val="0"/>
              <w:snapToGrid w:val="0"/>
              <w:spacing w:line="360" w:lineRule="auto"/>
              <w:ind w:firstLine="422" w:firstLineChars="200"/>
              <w:textAlignment w:val="bottom"/>
              <w:rPr>
                <w:rFonts w:hint="eastAsia" w:ascii="宋体" w:hAnsi="宋体" w:eastAsia="宋体" w:cs="宋体"/>
                <w:b/>
                <w:sz w:val="21"/>
                <w:szCs w:val="21"/>
                <w:highlight w:val="none"/>
              </w:rPr>
            </w:pPr>
            <w:r>
              <w:rPr>
                <w:rFonts w:hint="eastAsia" w:ascii="宋体" w:hAnsi="宋体" w:eastAsia="宋体" w:cs="宋体"/>
                <w:b/>
                <w:sz w:val="21"/>
                <w:szCs w:val="21"/>
                <w:highlight w:val="none"/>
              </w:rPr>
              <w:t>3.采用保函的，必须为无条件保函，否则视为无效履约保证金。</w:t>
            </w:r>
          </w:p>
          <w:p w14:paraId="3EE72901">
            <w:pPr>
              <w:autoSpaceDE w:val="0"/>
              <w:autoSpaceDN w:val="0"/>
              <w:snapToGrid w:val="0"/>
              <w:spacing w:line="360" w:lineRule="auto"/>
              <w:ind w:firstLine="422" w:firstLineChars="200"/>
              <w:textAlignment w:val="bottom"/>
              <w:rPr>
                <w:rFonts w:ascii="宋体" w:hAnsi="宋体" w:cs="宋体"/>
                <w:kern w:val="0"/>
                <w:sz w:val="21"/>
                <w:szCs w:val="21"/>
                <w:highlight w:val="none"/>
              </w:rPr>
            </w:pPr>
            <w:r>
              <w:rPr>
                <w:rFonts w:hint="eastAsia" w:ascii="宋体" w:hAnsi="宋体" w:eastAsia="宋体" w:cs="宋体"/>
                <w:b/>
                <w:sz w:val="21"/>
                <w:szCs w:val="21"/>
                <w:highlight w:val="none"/>
              </w:rPr>
              <w:t>4.投标人为联合体的，由联合体其中一方按规定提交的履约保证金，视为有效履约保证金。</w:t>
            </w:r>
          </w:p>
        </w:tc>
      </w:tr>
      <w:tr w14:paraId="480436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FB47784">
            <w:pPr>
              <w:spacing w:line="360" w:lineRule="auto"/>
              <w:jc w:val="center"/>
              <w:rPr>
                <w:rFonts w:ascii="宋体" w:hAnsi="宋体" w:cs="宋体"/>
                <w:sz w:val="21"/>
                <w:szCs w:val="21"/>
                <w:highlight w:val="none"/>
              </w:rPr>
            </w:pPr>
            <w:bookmarkStart w:id="75" w:name="_40.1"/>
            <w:bookmarkEnd w:id="75"/>
            <w:r>
              <w:rPr>
                <w:rFonts w:hint="eastAsia" w:ascii="宋体" w:hAnsi="宋体" w:cs="宋体"/>
                <w:sz w:val="21"/>
                <w:szCs w:val="21"/>
                <w:highlight w:val="none"/>
              </w:rPr>
              <w:t>36.1</w:t>
            </w:r>
          </w:p>
        </w:tc>
        <w:tc>
          <w:tcPr>
            <w:tcW w:w="8708" w:type="dxa"/>
            <w:tcBorders>
              <w:top w:val="single" w:color="auto" w:sz="4" w:space="0"/>
              <w:left w:val="single" w:color="auto" w:sz="4" w:space="0"/>
              <w:bottom w:val="single" w:color="auto" w:sz="4" w:space="0"/>
              <w:right w:val="single" w:color="auto" w:sz="4" w:space="0"/>
            </w:tcBorders>
            <w:vAlign w:val="center"/>
          </w:tcPr>
          <w:p w14:paraId="495A0D1F">
            <w:pPr>
              <w:autoSpaceDE w:val="0"/>
              <w:autoSpaceDN w:val="0"/>
              <w:snapToGrid w:val="0"/>
              <w:spacing w:line="360" w:lineRule="auto"/>
              <w:textAlignment w:val="bottom"/>
              <w:rPr>
                <w:rFonts w:hint="eastAsia" w:ascii="宋体" w:hAnsi="宋体" w:eastAsia="宋体" w:cs="宋体"/>
                <w:sz w:val="21"/>
                <w:szCs w:val="21"/>
                <w:highlight w:val="none"/>
                <w:lang w:eastAsia="zh-CN"/>
              </w:rPr>
            </w:pPr>
            <w:r>
              <w:rPr>
                <w:rFonts w:hint="eastAsia" w:ascii="宋体" w:hAnsi="宋体" w:cs="宋体"/>
                <w:sz w:val="21"/>
                <w:szCs w:val="21"/>
                <w:highlight w:val="none"/>
              </w:rPr>
              <w:t>签订合同携带的证明材料：</w:t>
            </w:r>
          </w:p>
          <w:p w14:paraId="1EB63601">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bCs/>
                <w:sz w:val="21"/>
                <w:szCs w:val="21"/>
                <w:highlight w:val="none"/>
              </w:rPr>
              <w:t>.</w:t>
            </w:r>
            <w:r>
              <w:rPr>
                <w:rFonts w:hint="eastAsia" w:ascii="宋体" w:hAnsi="宋体" w:cs="宋体"/>
                <w:sz w:val="21"/>
                <w:szCs w:val="21"/>
                <w:highlight w:val="none"/>
              </w:rPr>
              <w:t>委托代理人负责签订合同的，须携带授权委托书及委托代理人身份证原件等其他资格证件。</w:t>
            </w:r>
          </w:p>
          <w:p w14:paraId="4F4292BD">
            <w:pPr>
              <w:autoSpaceDE w:val="0"/>
              <w:autoSpaceDN w:val="0"/>
              <w:snapToGrid w:val="0"/>
              <w:spacing w:line="360" w:lineRule="auto"/>
              <w:ind w:firstLine="420" w:firstLineChars="200"/>
              <w:textAlignment w:val="bottom"/>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bCs/>
                <w:sz w:val="21"/>
                <w:szCs w:val="21"/>
                <w:highlight w:val="none"/>
              </w:rPr>
              <w:t>.</w:t>
            </w:r>
            <w:r>
              <w:rPr>
                <w:rFonts w:hint="eastAsia" w:ascii="宋体" w:hAnsi="宋体" w:cs="宋体"/>
                <w:sz w:val="21"/>
                <w:szCs w:val="21"/>
                <w:highlight w:val="none"/>
              </w:rPr>
              <w:t>法定代表人负责签订合同的，须携带法定代表人身份证明原件及身份证原件等其他证明材料。</w:t>
            </w:r>
          </w:p>
        </w:tc>
      </w:tr>
      <w:tr w14:paraId="274135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64A5DE6E">
            <w:pPr>
              <w:spacing w:line="360" w:lineRule="auto"/>
              <w:jc w:val="center"/>
              <w:rPr>
                <w:rFonts w:ascii="宋体" w:hAnsi="宋体" w:cs="宋体"/>
                <w:sz w:val="21"/>
                <w:szCs w:val="21"/>
                <w:highlight w:val="none"/>
              </w:rPr>
            </w:pPr>
            <w:r>
              <w:rPr>
                <w:rFonts w:hint="eastAsia" w:ascii="宋体" w:hAnsi="宋体" w:cs="宋体"/>
                <w:sz w:val="21"/>
                <w:szCs w:val="21"/>
                <w:highlight w:val="none"/>
              </w:rPr>
              <w:t>38.2</w:t>
            </w:r>
          </w:p>
        </w:tc>
        <w:tc>
          <w:tcPr>
            <w:tcW w:w="8708" w:type="dxa"/>
            <w:tcBorders>
              <w:top w:val="single" w:color="auto" w:sz="4" w:space="0"/>
              <w:left w:val="single" w:color="auto" w:sz="4" w:space="0"/>
              <w:bottom w:val="single" w:color="auto" w:sz="4" w:space="0"/>
              <w:right w:val="single" w:color="auto" w:sz="4" w:space="0"/>
            </w:tcBorders>
            <w:vAlign w:val="center"/>
          </w:tcPr>
          <w:p w14:paraId="4A530398">
            <w:pPr>
              <w:snapToGrid w:val="0"/>
              <w:spacing w:line="360" w:lineRule="auto"/>
              <w:rPr>
                <w:rFonts w:hint="eastAsia" w:ascii="宋体" w:hAnsi="宋体" w:eastAsia="宋体" w:cs="宋体"/>
                <w:sz w:val="21"/>
                <w:szCs w:val="21"/>
                <w:highlight w:val="none"/>
                <w:lang w:eastAsia="zh-CN"/>
              </w:rPr>
            </w:pPr>
            <w:r>
              <w:rPr>
                <w:rFonts w:hint="eastAsia" w:ascii="宋体" w:hAnsi="宋体" w:cs="宋体"/>
                <w:sz w:val="21"/>
                <w:szCs w:val="21"/>
                <w:highlight w:val="none"/>
              </w:rPr>
              <w:t>接收质疑函方式：</w:t>
            </w:r>
            <w:r>
              <w:rPr>
                <w:rFonts w:hint="eastAsia" w:ascii="宋体" w:hAnsi="宋体" w:cs="宋体"/>
                <w:sz w:val="21"/>
                <w:szCs w:val="21"/>
                <w:highlight w:val="none"/>
              </w:rPr>
              <w:t>以</w:t>
            </w:r>
            <w:r>
              <w:rPr>
                <w:rFonts w:hint="eastAsia" w:ascii="宋体" w:hAnsi="宋体" w:cs="宋体"/>
                <w:sz w:val="21"/>
                <w:szCs w:val="21"/>
                <w:highlight w:val="none"/>
                <w:lang w:eastAsia="zh-CN"/>
              </w:rPr>
              <w:t>书面形式</w:t>
            </w:r>
          </w:p>
          <w:p w14:paraId="081BB7E1">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质疑联系部门及联系方式：</w:t>
            </w:r>
            <w:r>
              <w:rPr>
                <w:rFonts w:hint="eastAsia" w:ascii="宋体" w:hAnsi="宋体" w:cs="宋体"/>
                <w:sz w:val="21"/>
                <w:szCs w:val="21"/>
                <w:highlight w:val="none"/>
                <w:lang w:eastAsia="zh-CN"/>
              </w:rPr>
              <w:t>广西城建咨询设计有限公司</w:t>
            </w:r>
            <w:r>
              <w:rPr>
                <w:rFonts w:hint="eastAsia" w:ascii="宋体" w:hAnsi="宋体" w:cs="宋体"/>
                <w:sz w:val="21"/>
                <w:szCs w:val="21"/>
                <w:highlight w:val="none"/>
              </w:rPr>
              <w:t>，联系电话：</w:t>
            </w:r>
            <w:r>
              <w:rPr>
                <w:rFonts w:hint="eastAsia" w:ascii="宋体" w:hAnsi="宋体" w:cs="宋体"/>
                <w:color w:val="auto"/>
                <w:kern w:val="2"/>
                <w:sz w:val="21"/>
                <w:highlight w:val="none"/>
                <w:lang w:val="en-US" w:eastAsia="zh-CN"/>
              </w:rPr>
              <w:t>0773-2826203</w:t>
            </w:r>
            <w:r>
              <w:rPr>
                <w:rFonts w:hint="eastAsia" w:ascii="宋体" w:hAnsi="宋体" w:cs="宋体"/>
                <w:sz w:val="21"/>
                <w:szCs w:val="21"/>
                <w:highlight w:val="none"/>
              </w:rPr>
              <w:t>，通讯地址：</w:t>
            </w:r>
            <w:r>
              <w:rPr>
                <w:rFonts w:hint="eastAsia" w:ascii="宋体" w:hAnsi="宋体" w:cs="宋体"/>
                <w:color w:val="auto"/>
                <w:kern w:val="2"/>
                <w:sz w:val="21"/>
                <w:highlight w:val="none"/>
                <w:lang w:val="en-US" w:eastAsia="zh-CN"/>
              </w:rPr>
              <w:t>桂林市滨江路18号滨江大厦5楼</w:t>
            </w:r>
          </w:p>
          <w:p w14:paraId="161DF8CD">
            <w:pPr>
              <w:autoSpaceDE w:val="0"/>
              <w:autoSpaceDN w:val="0"/>
              <w:snapToGrid w:val="0"/>
              <w:spacing w:line="360" w:lineRule="auto"/>
              <w:textAlignment w:val="bottom"/>
              <w:rPr>
                <w:rFonts w:ascii="宋体" w:hAnsi="宋体" w:cs="宋体"/>
                <w:sz w:val="21"/>
                <w:szCs w:val="21"/>
                <w:highlight w:val="none"/>
              </w:rPr>
            </w:pPr>
            <w:r>
              <w:rPr>
                <w:rFonts w:hint="eastAsia" w:ascii="宋体" w:hAnsi="宋体" w:cs="宋体"/>
                <w:sz w:val="21"/>
                <w:szCs w:val="21"/>
                <w:highlight w:val="none"/>
              </w:rPr>
              <w:t>现场提交质疑办理业务时间：每天9时00分到12时00分，15时00分到17时30分，业务时间以外、双休日和法定节假日不办理业务。</w:t>
            </w:r>
          </w:p>
        </w:tc>
      </w:tr>
      <w:tr w14:paraId="260A7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0BBF8F9C">
            <w:pPr>
              <w:spacing w:line="360" w:lineRule="auto"/>
              <w:jc w:val="center"/>
              <w:rPr>
                <w:rFonts w:ascii="宋体" w:hAnsi="宋体" w:cs="宋体"/>
                <w:sz w:val="21"/>
                <w:szCs w:val="21"/>
                <w:highlight w:val="none"/>
              </w:rPr>
            </w:pPr>
            <w:bookmarkStart w:id="76" w:name="_42"/>
            <w:bookmarkEnd w:id="76"/>
            <w:bookmarkStart w:id="77" w:name="_41"/>
            <w:bookmarkEnd w:id="77"/>
            <w:bookmarkStart w:id="78" w:name="_Hlt17709148"/>
            <w:r>
              <w:rPr>
                <w:rFonts w:hint="eastAsia" w:ascii="宋体" w:hAnsi="宋体" w:cs="宋体"/>
                <w:sz w:val="21"/>
                <w:szCs w:val="21"/>
                <w:highlight w:val="none"/>
              </w:rPr>
              <w:t>3</w:t>
            </w:r>
            <w:bookmarkEnd w:id="78"/>
            <w:r>
              <w:rPr>
                <w:rFonts w:hint="eastAsia" w:ascii="宋体" w:hAnsi="宋体" w:cs="宋体"/>
                <w:sz w:val="21"/>
                <w:szCs w:val="21"/>
                <w:highlight w:val="none"/>
              </w:rPr>
              <w:t>9.1</w:t>
            </w:r>
          </w:p>
        </w:tc>
        <w:tc>
          <w:tcPr>
            <w:tcW w:w="8708" w:type="dxa"/>
            <w:tcBorders>
              <w:top w:val="single" w:color="auto" w:sz="4" w:space="0"/>
              <w:left w:val="single" w:color="auto" w:sz="4" w:space="0"/>
              <w:bottom w:val="single" w:color="auto" w:sz="4" w:space="0"/>
              <w:right w:val="single" w:color="auto" w:sz="4" w:space="0"/>
            </w:tcBorders>
            <w:vAlign w:val="center"/>
          </w:tcPr>
          <w:p w14:paraId="4EF50F77">
            <w:pPr>
              <w:pStyle w:val="25"/>
              <w:wordWrap w:val="0"/>
              <w:topLinePunct/>
              <w:snapToGrid/>
              <w:spacing w:line="360" w:lineRule="auto"/>
              <w:rPr>
                <w:rFonts w:hAnsi="宋体" w:cs="宋体"/>
                <w:sz w:val="21"/>
                <w:szCs w:val="21"/>
                <w:highlight w:val="none"/>
              </w:rPr>
            </w:pPr>
            <w:r>
              <w:rPr>
                <w:rFonts w:hint="eastAsia" w:hAnsi="宋体" w:cs="宋体"/>
                <w:sz w:val="21"/>
                <w:szCs w:val="21"/>
                <w:highlight w:val="none"/>
              </w:rPr>
              <w:t>1</w:t>
            </w:r>
            <w:r>
              <w:rPr>
                <w:rFonts w:hint="eastAsia" w:hAnsi="宋体" w:cs="宋体"/>
                <w:bCs/>
                <w:sz w:val="21"/>
                <w:szCs w:val="21"/>
                <w:highlight w:val="none"/>
              </w:rPr>
              <w:t>.</w:t>
            </w:r>
            <w:r>
              <w:rPr>
                <w:rFonts w:hint="eastAsia" w:hAnsi="宋体" w:cs="宋体"/>
                <w:sz w:val="21"/>
                <w:szCs w:val="21"/>
                <w:highlight w:val="none"/>
              </w:rPr>
              <w:t>采购代理服务费支付方式：本项目的招标代理服务费按以下收费标准向中标人收取。</w:t>
            </w:r>
          </w:p>
          <w:p w14:paraId="2A5F201F">
            <w:pPr>
              <w:pStyle w:val="25"/>
              <w:wordWrap w:val="0"/>
              <w:topLinePunct/>
              <w:snapToGrid/>
              <w:spacing w:line="360" w:lineRule="auto"/>
              <w:rPr>
                <w:rFonts w:hAnsi="宋体" w:cs="宋体"/>
                <w:sz w:val="21"/>
                <w:szCs w:val="21"/>
                <w:highlight w:val="none"/>
              </w:rPr>
            </w:pPr>
            <w:r>
              <w:rPr>
                <w:rFonts w:hint="eastAsia" w:hAnsi="宋体" w:cs="宋体"/>
                <w:sz w:val="21"/>
                <w:szCs w:val="21"/>
                <w:highlight w:val="none"/>
              </w:rPr>
              <w:t>2</w:t>
            </w:r>
            <w:r>
              <w:rPr>
                <w:rFonts w:hint="eastAsia" w:hAnsi="宋体" w:cs="宋体"/>
                <w:bCs/>
                <w:sz w:val="21"/>
                <w:szCs w:val="21"/>
                <w:highlight w:val="none"/>
              </w:rPr>
              <w:t>.</w:t>
            </w:r>
            <w:r>
              <w:rPr>
                <w:rFonts w:hint="eastAsia" w:hAnsi="宋体" w:cs="宋体"/>
                <w:sz w:val="21"/>
                <w:szCs w:val="21"/>
                <w:highlight w:val="none"/>
              </w:rPr>
              <w:t>采购代理服务费收取标准：</w:t>
            </w:r>
          </w:p>
          <w:p w14:paraId="1E602193">
            <w:pPr>
              <w:pStyle w:val="25"/>
              <w:wordWrap w:val="0"/>
              <w:topLinePunct/>
              <w:snapToGrid/>
              <w:spacing w:line="360" w:lineRule="auto"/>
              <w:rPr>
                <w:rFonts w:hAnsi="宋体" w:cs="宋体"/>
                <w:sz w:val="21"/>
                <w:szCs w:val="21"/>
                <w:highlight w:val="none"/>
              </w:rPr>
            </w:pPr>
            <w:r>
              <w:rPr>
                <w:rFonts w:hint="eastAsia" w:hAnsi="宋体" w:cs="宋体"/>
                <w:sz w:val="21"/>
                <w:szCs w:val="21"/>
                <w:highlight w:val="none"/>
              </w:rPr>
              <w:t>以中标金额为计费额，按本招标文件之投标人须知正文第39.2条规定的收费计算标准货物招标采用差额定率累进法计算出收费基准价格，采购代理服务费收费以收费基准价格收取。</w:t>
            </w:r>
          </w:p>
          <w:p w14:paraId="68F4D5D9">
            <w:pPr>
              <w:pStyle w:val="25"/>
              <w:wordWrap w:val="0"/>
              <w:topLinePunct/>
              <w:snapToGrid/>
              <w:spacing w:line="360" w:lineRule="auto"/>
              <w:rPr>
                <w:rFonts w:hint="eastAsia" w:hAnsi="宋体" w:eastAsia="宋体" w:cs="宋体"/>
                <w:kern w:val="2"/>
                <w:sz w:val="21"/>
                <w:szCs w:val="21"/>
                <w:highlight w:val="none"/>
                <w:lang w:eastAsia="zh-CN"/>
              </w:rPr>
            </w:pPr>
            <w:r>
              <w:rPr>
                <w:rFonts w:hint="eastAsia" w:hAnsi="宋体" w:cs="宋体"/>
                <w:kern w:val="2"/>
                <w:sz w:val="21"/>
                <w:szCs w:val="21"/>
                <w:highlight w:val="none"/>
              </w:rPr>
              <w:t>3</w:t>
            </w:r>
            <w:r>
              <w:rPr>
                <w:rFonts w:hint="eastAsia" w:hAnsi="宋体" w:cs="宋体"/>
                <w:bCs/>
                <w:sz w:val="21"/>
                <w:szCs w:val="21"/>
                <w:highlight w:val="none"/>
              </w:rPr>
              <w:t>.</w:t>
            </w:r>
            <w:r>
              <w:rPr>
                <w:rFonts w:hint="eastAsia" w:hAnsi="宋体" w:cs="宋体"/>
                <w:kern w:val="2"/>
                <w:sz w:val="21"/>
                <w:szCs w:val="21"/>
                <w:highlight w:val="none"/>
              </w:rPr>
              <w:t>代理服务费收费专用银行账户信息：</w:t>
            </w:r>
          </w:p>
          <w:p w14:paraId="4F294AF9">
            <w:pPr>
              <w:wordWrap w:val="0"/>
              <w:topLinePunct/>
              <w:spacing w:line="360" w:lineRule="auto"/>
              <w:rPr>
                <w:rFonts w:hint="eastAsia" w:hAnsi="宋体" w:eastAsia="宋体" w:cs="宋体"/>
                <w:sz w:val="21"/>
                <w:szCs w:val="21"/>
                <w:highlight w:val="none"/>
                <w:lang w:eastAsia="zh-CN"/>
              </w:rPr>
            </w:pPr>
            <w:r>
              <w:rPr>
                <w:rFonts w:hint="eastAsia" w:hAnsi="宋体" w:eastAsia="宋体" w:cs="宋体"/>
                <w:sz w:val="21"/>
                <w:szCs w:val="21"/>
                <w:highlight w:val="none"/>
                <w:lang w:eastAsia="zh-CN"/>
              </w:rPr>
              <w:t>开户名称</w:t>
            </w:r>
            <w:r>
              <w:rPr>
                <w:rFonts w:hint="eastAsia" w:hAnsi="宋体" w:cs="宋体"/>
                <w:sz w:val="21"/>
                <w:szCs w:val="21"/>
                <w:highlight w:val="none"/>
                <w:lang w:eastAsia="zh-CN"/>
              </w:rPr>
              <w:t>：</w:t>
            </w:r>
            <w:r>
              <w:rPr>
                <w:rFonts w:hint="eastAsia" w:hAnsi="宋体" w:eastAsia="宋体" w:cs="宋体"/>
                <w:sz w:val="21"/>
                <w:szCs w:val="21"/>
                <w:highlight w:val="none"/>
                <w:lang w:eastAsia="zh-CN"/>
              </w:rPr>
              <w:t>广西城建咨询设计有限公司桂林分公司；</w:t>
            </w:r>
          </w:p>
          <w:p w14:paraId="78164A11">
            <w:pPr>
              <w:wordWrap w:val="0"/>
              <w:topLinePunct/>
              <w:spacing w:line="360" w:lineRule="auto"/>
              <w:rPr>
                <w:rFonts w:hint="eastAsia" w:hAnsi="宋体" w:eastAsia="宋体" w:cs="宋体"/>
                <w:sz w:val="21"/>
                <w:szCs w:val="21"/>
                <w:highlight w:val="none"/>
                <w:lang w:eastAsia="zh-CN"/>
              </w:rPr>
            </w:pPr>
            <w:r>
              <w:rPr>
                <w:rFonts w:hint="eastAsia" w:hAnsi="宋体" w:eastAsia="宋体" w:cs="宋体"/>
                <w:sz w:val="21"/>
                <w:szCs w:val="21"/>
                <w:highlight w:val="none"/>
                <w:lang w:eastAsia="zh-CN"/>
              </w:rPr>
              <w:t>银行账号</w:t>
            </w:r>
            <w:r>
              <w:rPr>
                <w:rFonts w:hint="eastAsia" w:ascii="宋体" w:hAnsi="宋体" w:eastAsia="宋体" w:cs="宋体"/>
                <w:sz w:val="21"/>
                <w:szCs w:val="21"/>
                <w:highlight w:val="none"/>
                <w:lang w:eastAsia="zh-CN"/>
              </w:rPr>
              <w:t>：660010033536400020；</w:t>
            </w:r>
          </w:p>
          <w:p w14:paraId="48EAB7D1">
            <w:pPr>
              <w:wordWrap w:val="0"/>
              <w:topLinePunct/>
              <w:spacing w:line="360" w:lineRule="auto"/>
              <w:rPr>
                <w:rFonts w:hint="eastAsia" w:hAnsi="宋体" w:eastAsia="宋体" w:cs="宋体"/>
                <w:sz w:val="21"/>
                <w:szCs w:val="21"/>
                <w:highlight w:val="none"/>
                <w:lang w:eastAsia="zh-CN"/>
              </w:rPr>
            </w:pPr>
            <w:r>
              <w:rPr>
                <w:rFonts w:hint="eastAsia" w:hAnsi="宋体" w:eastAsia="宋体" w:cs="宋体"/>
                <w:sz w:val="21"/>
                <w:szCs w:val="21"/>
                <w:highlight w:val="none"/>
                <w:lang w:eastAsia="zh-CN"/>
              </w:rPr>
              <w:t>开户银行：桂林银行股份有限公司榕湖支行</w:t>
            </w:r>
          </w:p>
        </w:tc>
      </w:tr>
      <w:tr w14:paraId="3CBFE3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7AA9F6E1">
            <w:pPr>
              <w:snapToGrid w:val="0"/>
              <w:spacing w:line="360" w:lineRule="auto"/>
              <w:jc w:val="center"/>
              <w:rPr>
                <w:rFonts w:ascii="宋体" w:hAnsi="宋体" w:cs="宋体"/>
                <w:sz w:val="21"/>
                <w:szCs w:val="21"/>
                <w:highlight w:val="none"/>
              </w:rPr>
            </w:pPr>
            <w:r>
              <w:rPr>
                <w:rFonts w:hint="eastAsia" w:ascii="宋体" w:hAnsi="宋体" w:cs="宋体"/>
                <w:sz w:val="21"/>
                <w:szCs w:val="21"/>
                <w:highlight w:val="none"/>
              </w:rPr>
              <w:t>40.1</w:t>
            </w:r>
          </w:p>
        </w:tc>
        <w:tc>
          <w:tcPr>
            <w:tcW w:w="8708" w:type="dxa"/>
            <w:tcBorders>
              <w:top w:val="single" w:color="auto" w:sz="4" w:space="0"/>
              <w:left w:val="single" w:color="auto" w:sz="4" w:space="0"/>
              <w:bottom w:val="single" w:color="auto" w:sz="4" w:space="0"/>
              <w:right w:val="single" w:color="auto" w:sz="4" w:space="0"/>
            </w:tcBorders>
            <w:vAlign w:val="center"/>
          </w:tcPr>
          <w:p w14:paraId="65710B00">
            <w:pPr>
              <w:snapToGrid w:val="0"/>
              <w:spacing w:line="360" w:lineRule="auto"/>
              <w:rPr>
                <w:rFonts w:ascii="宋体" w:hAnsi="宋体" w:cs="宋体"/>
                <w:sz w:val="21"/>
                <w:szCs w:val="21"/>
                <w:highlight w:val="none"/>
              </w:rPr>
            </w:pPr>
            <w:r>
              <w:rPr>
                <w:rFonts w:hint="eastAsia" w:ascii="宋体" w:hAnsi="宋体" w:cs="宋体"/>
                <w:sz w:val="21"/>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8D0F1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287B2FEF">
            <w:pPr>
              <w:snapToGrid w:val="0"/>
              <w:spacing w:line="360" w:lineRule="auto"/>
              <w:jc w:val="center"/>
              <w:rPr>
                <w:rFonts w:ascii="宋体" w:hAnsi="宋体" w:cs="宋体"/>
                <w:sz w:val="21"/>
                <w:szCs w:val="21"/>
                <w:highlight w:val="none"/>
              </w:rPr>
            </w:pPr>
            <w:r>
              <w:rPr>
                <w:rFonts w:hint="eastAsia" w:ascii="宋体" w:hAnsi="宋体" w:cs="宋体"/>
                <w:sz w:val="21"/>
                <w:szCs w:val="21"/>
                <w:highlight w:val="none"/>
              </w:rPr>
              <w:t>40.2</w:t>
            </w:r>
          </w:p>
        </w:tc>
        <w:tc>
          <w:tcPr>
            <w:tcW w:w="8708" w:type="dxa"/>
            <w:tcBorders>
              <w:top w:val="single" w:color="auto" w:sz="4" w:space="0"/>
              <w:left w:val="single" w:color="auto" w:sz="4" w:space="0"/>
              <w:bottom w:val="single" w:color="auto" w:sz="4" w:space="0"/>
              <w:right w:val="single" w:color="auto" w:sz="4" w:space="0"/>
            </w:tcBorders>
            <w:vAlign w:val="center"/>
          </w:tcPr>
          <w:p w14:paraId="18EA9D99">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bCs/>
                <w:sz w:val="21"/>
                <w:szCs w:val="21"/>
                <w:highlight w:val="none"/>
              </w:rPr>
              <w:t>1.本招标文件中描述投标人的“公章”是指根据我国对公章的管理规定，用投标人法定主体名称制作的印章</w:t>
            </w:r>
            <w:r>
              <w:rPr>
                <w:rFonts w:hint="eastAsia" w:ascii="宋体" w:hAnsi="宋体" w:cs="宋体"/>
                <w:sz w:val="21"/>
                <w:szCs w:val="21"/>
                <w:highlight w:val="none"/>
              </w:rPr>
              <w:t>或投标人通过指定电子化政府采购平台办理数字证书（CA认证）获得的以法定主体名称制作的电子印章。</w:t>
            </w:r>
            <w:r>
              <w:rPr>
                <w:rFonts w:hint="eastAsia" w:ascii="宋体" w:hAnsi="宋体" w:cs="宋体"/>
                <w:bCs/>
                <w:sz w:val="21"/>
                <w:szCs w:val="21"/>
                <w:highlight w:val="none"/>
              </w:rPr>
              <w:t>除本招标文件有特殊规定外，投标人的财务章、部门章、分公司章、工会章、合同章、投标专用章、业务专用章及银行的转账章、现金收讫章、现金付讫章等其他形式印章均不能代替公章。</w:t>
            </w:r>
          </w:p>
          <w:p w14:paraId="7BACABC7">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bCs/>
                <w:sz w:val="21"/>
                <w:szCs w:val="21"/>
                <w:highlight w:val="none"/>
              </w:rPr>
              <w:t>2.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2EC440E">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bCs/>
                <w:sz w:val="21"/>
                <w:szCs w:val="21"/>
                <w:highlight w:val="none"/>
              </w:rPr>
              <w:t>3.本招标文件中描述投标人的“签字”是指投标人的法定代表人或者委托代理人</w:t>
            </w:r>
            <w:r>
              <w:rPr>
                <w:rFonts w:hint="eastAsia" w:ascii="宋体" w:hAnsi="宋体" w:cs="宋体"/>
                <w:sz w:val="21"/>
                <w:szCs w:val="21"/>
                <w:highlight w:val="none"/>
              </w:rPr>
              <w:t>在文件规定签署处签名或者指投标人通过指定电子化政府采购平台办理数字证书（CA认证）获得的以投标人法定代表人或者委托代理人姓名制作的电子印章签名的行为，私章、印鉴等其他形式均不能代替签字</w:t>
            </w:r>
            <w:r>
              <w:rPr>
                <w:rFonts w:hint="eastAsia" w:ascii="宋体" w:hAnsi="宋体" w:cs="宋体"/>
                <w:bCs/>
                <w:sz w:val="21"/>
                <w:szCs w:val="21"/>
                <w:highlight w:val="none"/>
              </w:rPr>
              <w:t>。</w:t>
            </w:r>
          </w:p>
          <w:p w14:paraId="5338BA73">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bCs/>
                <w:sz w:val="21"/>
                <w:szCs w:val="21"/>
                <w:highlight w:val="none"/>
              </w:rPr>
              <w:t>4.本招标文件所称的“电子签章”“电子签名”，是指经广西政府采购云平台认可的CA认证的电子签名</w:t>
            </w:r>
            <w:r>
              <w:rPr>
                <w:rFonts w:hint="eastAsia" w:ascii="宋体" w:hAnsi="宋体" w:cs="宋体"/>
                <w:sz w:val="21"/>
                <w:szCs w:val="21"/>
                <w:highlight w:val="none"/>
              </w:rPr>
              <w:t>数据</w:t>
            </w:r>
            <w:r>
              <w:rPr>
                <w:rFonts w:hint="eastAsia" w:ascii="宋体" w:hAnsi="宋体" w:cs="宋体"/>
                <w:bCs/>
                <w:sz w:val="21"/>
                <w:szCs w:val="21"/>
                <w:highlight w:val="none"/>
              </w:rPr>
              <w:t>为表现形式的印章，可用于签署电子响应文件，电子印章与实物印章具有同等法律效力，不因其采用电子化表现形式而否定其法律效力。</w:t>
            </w:r>
          </w:p>
          <w:p w14:paraId="7E77A935">
            <w:pPr>
              <w:autoSpaceDE w:val="0"/>
              <w:autoSpaceDN w:val="0"/>
              <w:snapToGrid w:val="0"/>
              <w:spacing w:line="360" w:lineRule="auto"/>
              <w:ind w:firstLine="420" w:firstLineChars="200"/>
              <w:textAlignment w:val="bottom"/>
              <w:rPr>
                <w:rFonts w:hint="eastAsia" w:ascii="宋体" w:hAnsi="宋体" w:cs="宋体"/>
                <w:bCs/>
                <w:sz w:val="21"/>
                <w:szCs w:val="21"/>
                <w:highlight w:val="none"/>
              </w:rPr>
            </w:pPr>
            <w:r>
              <w:rPr>
                <w:rFonts w:hint="eastAsia" w:ascii="宋体" w:hAnsi="宋体" w:cs="宋体"/>
                <w:bCs/>
                <w:sz w:val="21"/>
                <w:szCs w:val="21"/>
                <w:highlight w:val="none"/>
              </w:rPr>
              <w:t>5.自然人投标的，招标</w:t>
            </w:r>
            <w:r>
              <w:rPr>
                <w:rFonts w:hint="eastAsia" w:ascii="宋体" w:hAnsi="宋体" w:cs="宋体"/>
                <w:sz w:val="21"/>
                <w:szCs w:val="21"/>
                <w:highlight w:val="none"/>
              </w:rPr>
              <w:t>文件</w:t>
            </w:r>
            <w:r>
              <w:rPr>
                <w:rFonts w:hint="eastAsia" w:ascii="宋体" w:hAnsi="宋体" w:cs="宋体"/>
                <w:bCs/>
                <w:sz w:val="21"/>
                <w:szCs w:val="21"/>
                <w:highlight w:val="none"/>
              </w:rPr>
              <w:t>规定盖公章处由自然人摁手指指印。</w:t>
            </w:r>
          </w:p>
          <w:p w14:paraId="4FA35A6D">
            <w:pPr>
              <w:autoSpaceDE w:val="0"/>
              <w:autoSpaceDN w:val="0"/>
              <w:snapToGrid w:val="0"/>
              <w:spacing w:line="360" w:lineRule="auto"/>
              <w:ind w:firstLine="420" w:firstLineChars="200"/>
              <w:textAlignment w:val="bottom"/>
              <w:rPr>
                <w:rFonts w:hint="eastAsia" w:ascii="宋体" w:hAnsi="宋体" w:cs="宋体"/>
                <w:sz w:val="21"/>
                <w:szCs w:val="21"/>
                <w:highlight w:val="none"/>
              </w:rPr>
            </w:pPr>
            <w:r>
              <w:rPr>
                <w:rFonts w:hint="eastAsia" w:ascii="宋体" w:hAnsi="宋体" w:cs="宋体"/>
                <w:bCs/>
                <w:sz w:val="21"/>
                <w:szCs w:val="21"/>
                <w:highlight w:val="none"/>
              </w:rPr>
              <w:t>6.本招标文件所称的“以上”“以下”“以内”“届满”，包括本数；所称的“不满”“超过”“以外”，不包括本数。</w:t>
            </w:r>
          </w:p>
        </w:tc>
      </w:tr>
      <w:tr w14:paraId="13C83F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71" w:type="dxa"/>
            <w:tcBorders>
              <w:top w:val="single" w:color="auto" w:sz="4" w:space="0"/>
              <w:left w:val="single" w:color="auto" w:sz="4" w:space="0"/>
              <w:bottom w:val="single" w:color="auto" w:sz="4" w:space="0"/>
              <w:right w:val="single" w:color="auto" w:sz="4" w:space="0"/>
            </w:tcBorders>
            <w:vAlign w:val="center"/>
          </w:tcPr>
          <w:p w14:paraId="6729E129">
            <w:pPr>
              <w:snapToGrid w:val="0"/>
              <w:spacing w:line="36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40.3</w:t>
            </w:r>
          </w:p>
        </w:tc>
        <w:tc>
          <w:tcPr>
            <w:tcW w:w="8708" w:type="dxa"/>
            <w:tcBorders>
              <w:top w:val="single" w:color="auto" w:sz="4" w:space="0"/>
              <w:left w:val="single" w:color="auto" w:sz="4" w:space="0"/>
              <w:bottom w:val="single" w:color="auto" w:sz="4" w:space="0"/>
              <w:right w:val="single" w:color="auto" w:sz="4" w:space="0"/>
            </w:tcBorders>
            <w:vAlign w:val="center"/>
          </w:tcPr>
          <w:p w14:paraId="704FE862">
            <w:pPr>
              <w:spacing w:line="360" w:lineRule="auto"/>
              <w:jc w:val="left"/>
              <w:rPr>
                <w:rFonts w:hint="eastAsia" w:ascii="宋体" w:hAnsi="宋体" w:cs="宋体"/>
                <w:bCs/>
                <w:sz w:val="21"/>
                <w:szCs w:val="21"/>
                <w:highlight w:val="none"/>
                <w:lang w:val="en-US" w:eastAsia="zh-CN"/>
              </w:rPr>
            </w:pPr>
            <w:r>
              <w:rPr>
                <w:rFonts w:hint="eastAsia" w:ascii="宋体" w:hAnsi="宋体" w:cs="宋体"/>
                <w:bCs/>
                <w:sz w:val="21"/>
                <w:szCs w:val="21"/>
                <w:highlight w:val="none"/>
                <w:lang w:val="en-US" w:eastAsia="zh-CN"/>
              </w:rPr>
              <w:t>监督部门：桂林市财政局</w:t>
            </w:r>
          </w:p>
          <w:p w14:paraId="18B1A608">
            <w:pPr>
              <w:spacing w:line="360" w:lineRule="auto"/>
              <w:jc w:val="left"/>
              <w:rPr>
                <w:rFonts w:ascii="宋体" w:hAnsi="宋体" w:cs="宋体"/>
                <w:bCs/>
                <w:sz w:val="21"/>
                <w:szCs w:val="21"/>
                <w:highlight w:val="none"/>
              </w:rPr>
            </w:pPr>
            <w:r>
              <w:rPr>
                <w:rFonts w:hint="eastAsia" w:ascii="宋体" w:hAnsi="宋体" w:cs="宋体"/>
                <w:bCs/>
                <w:sz w:val="21"/>
                <w:szCs w:val="21"/>
                <w:highlight w:val="none"/>
                <w:lang w:val="en-US" w:eastAsia="zh-CN"/>
              </w:rPr>
              <w:t>监督</w:t>
            </w:r>
            <w:r>
              <w:rPr>
                <w:rFonts w:hint="eastAsia" w:ascii="宋体" w:hAnsi="宋体" w:cs="宋体"/>
                <w:bCs/>
                <w:sz w:val="21"/>
                <w:szCs w:val="21"/>
                <w:highlight w:val="none"/>
              </w:rPr>
              <w:t>联系电话：0773-2862142</w:t>
            </w:r>
          </w:p>
        </w:tc>
      </w:tr>
    </w:tbl>
    <w:p w14:paraId="76E3293F">
      <w:pPr>
        <w:snapToGrid w:val="0"/>
        <w:rPr>
          <w:rFonts w:ascii="宋体" w:hAnsi="宋体" w:cs="宋体"/>
          <w:sz w:val="24"/>
          <w:szCs w:val="20"/>
          <w:highlight w:val="none"/>
        </w:rPr>
      </w:pPr>
    </w:p>
    <w:p w14:paraId="6D24EEA1">
      <w:pPr>
        <w:rPr>
          <w:rFonts w:ascii="宋体" w:hAnsi="宋体" w:cs="宋体"/>
          <w:highlight w:val="none"/>
        </w:rPr>
      </w:pPr>
      <w:r>
        <w:rPr>
          <w:rFonts w:hint="eastAsia" w:ascii="宋体" w:hAnsi="宋体" w:cs="宋体"/>
          <w:highlight w:val="none"/>
        </w:rPr>
        <w:br w:type="page"/>
      </w:r>
    </w:p>
    <w:p w14:paraId="3CE38DC6">
      <w:pPr>
        <w:pStyle w:val="4"/>
        <w:keepNext w:val="0"/>
        <w:keepLines w:val="0"/>
        <w:jc w:val="center"/>
        <w:rPr>
          <w:rFonts w:ascii="宋体" w:hAnsi="宋体" w:cs="宋体"/>
          <w:highlight w:val="none"/>
        </w:rPr>
      </w:pPr>
      <w:r>
        <w:rPr>
          <w:rFonts w:hint="eastAsia" w:ascii="宋体" w:hAnsi="宋体" w:cs="宋体"/>
          <w:highlight w:val="none"/>
        </w:rPr>
        <w:t>投标人须知正文</w:t>
      </w:r>
    </w:p>
    <w:p w14:paraId="00C2C55E">
      <w:pPr>
        <w:pStyle w:val="4"/>
        <w:keepNext w:val="0"/>
        <w:keepLines w:val="0"/>
        <w:spacing w:line="360" w:lineRule="auto"/>
        <w:jc w:val="center"/>
        <w:rPr>
          <w:rFonts w:ascii="宋体" w:hAnsi="宋体" w:cs="宋体"/>
          <w:highlight w:val="none"/>
        </w:rPr>
      </w:pPr>
      <w:r>
        <w:rPr>
          <w:rFonts w:hint="eastAsia" w:ascii="宋体" w:hAnsi="宋体" w:cs="宋体"/>
          <w:highlight w:val="none"/>
        </w:rPr>
        <w:t>一、总则</w:t>
      </w:r>
    </w:p>
    <w:p w14:paraId="4B1A51DB">
      <w:pPr>
        <w:pStyle w:val="6"/>
        <w:keepNext w:val="0"/>
        <w:keepLines w:val="0"/>
        <w:spacing w:before="0" w:after="0" w:line="360" w:lineRule="auto"/>
        <w:ind w:left="420" w:leftChars="200"/>
        <w:rPr>
          <w:rFonts w:ascii="宋体" w:hAnsi="宋体" w:cs="宋体"/>
          <w:sz w:val="21"/>
          <w:szCs w:val="21"/>
          <w:highlight w:val="none"/>
        </w:rPr>
      </w:pPr>
      <w:bookmarkStart w:id="79" w:name="_Toc254970527"/>
      <w:bookmarkStart w:id="80" w:name="_Toc254970668"/>
      <w:r>
        <w:rPr>
          <w:rFonts w:hint="eastAsia" w:ascii="宋体" w:hAnsi="宋体" w:cs="宋体"/>
          <w:sz w:val="21"/>
          <w:szCs w:val="21"/>
          <w:highlight w:val="none"/>
        </w:rPr>
        <w:t>1.适用范围</w:t>
      </w:r>
      <w:bookmarkEnd w:id="79"/>
      <w:bookmarkEnd w:id="80"/>
    </w:p>
    <w:p w14:paraId="4BC32CEE">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99F7AC2">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1.2本招标文件</w:t>
      </w:r>
      <w:r>
        <w:rPr>
          <w:rFonts w:hint="eastAsia" w:ascii="宋体" w:hAnsi="宋体" w:cs="宋体"/>
          <w:spacing w:val="-6"/>
          <w:sz w:val="21"/>
          <w:szCs w:val="21"/>
          <w:highlight w:val="none"/>
        </w:rPr>
        <w:t>适用于本项目的所有采购程序和环节（法律、法规另有规定的，从其规定）。</w:t>
      </w:r>
    </w:p>
    <w:p w14:paraId="069BB482">
      <w:pPr>
        <w:pStyle w:val="6"/>
        <w:keepNext w:val="0"/>
        <w:keepLines w:val="0"/>
        <w:numPr>
          <w:ilvl w:val="0"/>
          <w:numId w:val="0"/>
        </w:numPr>
        <w:spacing w:before="0" w:after="0" w:line="360" w:lineRule="auto"/>
        <w:ind w:left="420" w:leftChars="200"/>
        <w:rPr>
          <w:rFonts w:ascii="宋体" w:hAnsi="宋体" w:cs="宋体"/>
          <w:sz w:val="21"/>
          <w:szCs w:val="21"/>
          <w:highlight w:val="none"/>
        </w:rPr>
      </w:pPr>
      <w:bookmarkStart w:id="81" w:name="_Toc254970669"/>
      <w:bookmarkStart w:id="82" w:name="_Toc254970528"/>
      <w:r>
        <w:rPr>
          <w:rFonts w:hint="eastAsia" w:ascii="宋体" w:hAnsi="宋体" w:cs="宋体"/>
          <w:sz w:val="21"/>
          <w:szCs w:val="21"/>
          <w:highlight w:val="none"/>
        </w:rPr>
        <w:t>2.定义</w:t>
      </w:r>
      <w:bookmarkEnd w:id="81"/>
      <w:bookmarkEnd w:id="82"/>
    </w:p>
    <w:p w14:paraId="3E4F691A">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2.1“采购人”是指依法进行政府采购的国家机关、事业单位、团体组织。</w:t>
      </w:r>
    </w:p>
    <w:p w14:paraId="578ADA8D">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2.2“采购代理机构”是指政府采购集中采购机构和集中采购机构以外的采购代理机构。</w:t>
      </w:r>
    </w:p>
    <w:p w14:paraId="35CCC742">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2.3“供应商”是指向采购人提供货物、工程或者服务的法人、其他组织或者自然人。</w:t>
      </w:r>
    </w:p>
    <w:p w14:paraId="0C04F137">
      <w:pPr>
        <w:pStyle w:val="7"/>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2.4“投标人”是指响应招标、参加投标竞争的法人、其他组织或者自然人。</w:t>
      </w:r>
    </w:p>
    <w:p w14:paraId="34A69456">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2.5“货物”是指各种形态和种类的物品，包括原材料、燃料、设备、产品等。</w:t>
      </w:r>
    </w:p>
    <w:p w14:paraId="09CEE5FF">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2.</w:t>
      </w:r>
      <w:r>
        <w:rPr>
          <w:rFonts w:hint="eastAsia" w:ascii="宋体" w:hAnsi="宋体" w:cs="宋体"/>
          <w:b w:val="0"/>
          <w:sz w:val="21"/>
          <w:szCs w:val="21"/>
          <w:highlight w:val="none"/>
          <w:lang w:val="en-US" w:eastAsia="zh-CN"/>
        </w:rPr>
        <w:t>6</w:t>
      </w:r>
      <w:r>
        <w:rPr>
          <w:rFonts w:hint="eastAsia" w:ascii="宋体" w:hAnsi="宋体" w:cs="宋体"/>
          <w:b w:val="0"/>
          <w:sz w:val="21"/>
          <w:szCs w:val="21"/>
          <w:highlight w:val="none"/>
        </w:rPr>
        <w:t>“服务”是指除货物和工程以外的其他政府采购对象。</w:t>
      </w:r>
    </w:p>
    <w:p w14:paraId="75957A69">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w:t>
      </w:r>
      <w:r>
        <w:rPr>
          <w:rFonts w:hint="eastAsia" w:ascii="宋体" w:hAnsi="宋体" w:cs="宋体"/>
          <w:b w:val="0"/>
          <w:sz w:val="21"/>
          <w:szCs w:val="21"/>
          <w:highlight w:val="none"/>
          <w:lang w:val="en-US" w:eastAsia="zh-CN"/>
        </w:rPr>
        <w:t>7</w:t>
      </w:r>
      <w:r>
        <w:rPr>
          <w:rFonts w:hint="eastAsia" w:ascii="宋体" w:hAnsi="宋体" w:cs="宋体"/>
          <w:b w:val="0"/>
          <w:sz w:val="21"/>
          <w:szCs w:val="21"/>
          <w:highlight w:val="none"/>
        </w:rPr>
        <w:t>“售后服务”是指商品出售以后所提供的各种服务，包含但不限于投标人须承担的备品备件、包装、运输、装卸、保险、货到就位以及安装、调试、培训、保修以及其他各种服务。</w:t>
      </w:r>
    </w:p>
    <w:p w14:paraId="0285FFD1">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w:t>
      </w:r>
      <w:r>
        <w:rPr>
          <w:rFonts w:hint="eastAsia" w:ascii="宋体" w:hAnsi="宋体" w:cs="宋体"/>
          <w:b w:val="0"/>
          <w:sz w:val="21"/>
          <w:szCs w:val="21"/>
          <w:highlight w:val="none"/>
          <w:lang w:val="en-US" w:eastAsia="zh-CN"/>
        </w:rPr>
        <w:t>8</w:t>
      </w:r>
      <w:r>
        <w:rPr>
          <w:rFonts w:hint="eastAsia" w:ascii="宋体" w:hAnsi="宋体" w:cs="宋体"/>
          <w:b w:val="0"/>
          <w:sz w:val="21"/>
          <w:szCs w:val="21"/>
          <w:highlight w:val="none"/>
        </w:rPr>
        <w:t>“书面形式”是指合同书、信件和数据电文（包括电报、电传、传真、电子数据交换和电子邮件）等可以有形地表现所载内容的形式。</w:t>
      </w:r>
    </w:p>
    <w:p w14:paraId="69B3972A">
      <w:pPr>
        <w:pStyle w:val="6"/>
        <w:keepNext w:val="0"/>
        <w:keepLines w:val="0"/>
        <w:numPr>
          <w:ilvl w:val="0"/>
          <w:numId w:val="0"/>
        </w:numPr>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2.</w:t>
      </w:r>
      <w:r>
        <w:rPr>
          <w:rFonts w:hint="eastAsia" w:ascii="宋体" w:hAnsi="宋体" w:cs="宋体"/>
          <w:b w:val="0"/>
          <w:sz w:val="21"/>
          <w:szCs w:val="21"/>
          <w:highlight w:val="none"/>
          <w:lang w:val="en-US" w:eastAsia="zh-CN"/>
        </w:rPr>
        <w:t>9</w:t>
      </w:r>
      <w:r>
        <w:rPr>
          <w:rFonts w:hint="eastAsia" w:ascii="宋体" w:hAnsi="宋体" w:cs="宋体"/>
          <w:b w:val="0"/>
          <w:sz w:val="21"/>
          <w:szCs w:val="21"/>
          <w:highlight w:val="none"/>
        </w:rPr>
        <w:t>“实质性要求”是指招标文件中已经指明不满足则投标无效的条款，或者不容许负偏离的条款，或者采购需求中带“▲”的条款。</w:t>
      </w:r>
    </w:p>
    <w:p w14:paraId="29BB26D7">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10</w:t>
      </w:r>
      <w:r>
        <w:rPr>
          <w:rFonts w:hint="eastAsia" w:ascii="宋体" w:hAnsi="宋体" w:cs="宋体"/>
          <w:sz w:val="21"/>
          <w:szCs w:val="21"/>
          <w:highlight w:val="none"/>
        </w:rPr>
        <w:t>“正偏离”，是指投标文件对招标文件“采购需求”中有关条款作出的响应优于条款要求并有利于采购人的情形。</w:t>
      </w:r>
    </w:p>
    <w:p w14:paraId="0BCDC4E6">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2.1</w:t>
      </w:r>
      <w:r>
        <w:rPr>
          <w:rFonts w:hint="eastAsia" w:ascii="宋体" w:hAnsi="宋体" w:cs="宋体"/>
          <w:sz w:val="21"/>
          <w:szCs w:val="21"/>
          <w:highlight w:val="none"/>
          <w:lang w:val="en-US" w:eastAsia="zh-CN"/>
        </w:rPr>
        <w:t>1</w:t>
      </w:r>
      <w:r>
        <w:rPr>
          <w:rFonts w:hint="eastAsia" w:ascii="宋体" w:hAnsi="宋体" w:cs="宋体"/>
          <w:sz w:val="21"/>
          <w:szCs w:val="21"/>
          <w:highlight w:val="none"/>
        </w:rPr>
        <w:t>“负偏离”，是指投标文件对招标文件“采购需求”中有关条款作出的响应不满足条款要求，导致采购人要求不能得到满足的情形。</w:t>
      </w:r>
    </w:p>
    <w:p w14:paraId="70076745">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2.1</w:t>
      </w:r>
      <w:r>
        <w:rPr>
          <w:rFonts w:hint="eastAsia" w:ascii="宋体" w:hAnsi="宋体" w:cs="宋体"/>
          <w:sz w:val="21"/>
          <w:szCs w:val="21"/>
          <w:highlight w:val="none"/>
          <w:lang w:val="en-US" w:eastAsia="zh-CN"/>
        </w:rPr>
        <w:t>2</w:t>
      </w:r>
      <w:r>
        <w:rPr>
          <w:rFonts w:hint="eastAsia" w:ascii="宋体" w:hAnsi="宋体" w:cs="宋体"/>
          <w:sz w:val="21"/>
          <w:szCs w:val="21"/>
          <w:highlight w:val="none"/>
        </w:rPr>
        <w:t>“允许负偏离的条款”是指采购需求中的不属于“实质性要求”的条款。</w:t>
      </w:r>
      <w:bookmarkStart w:id="83" w:name="_Toc254970529"/>
      <w:bookmarkStart w:id="84" w:name="_Toc254970670"/>
    </w:p>
    <w:p w14:paraId="6711B95A">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w:t>
      </w:r>
      <w:bookmarkEnd w:id="83"/>
      <w:bookmarkEnd w:id="84"/>
      <w:r>
        <w:rPr>
          <w:rFonts w:hint="eastAsia" w:ascii="宋体" w:hAnsi="宋体" w:cs="宋体"/>
          <w:sz w:val="21"/>
          <w:szCs w:val="21"/>
          <w:highlight w:val="none"/>
        </w:rPr>
        <w:t>投标人的资格要求</w:t>
      </w:r>
    </w:p>
    <w:p w14:paraId="2E009221">
      <w:pPr>
        <w:snapToGrid w:val="0"/>
        <w:spacing w:line="360" w:lineRule="auto"/>
        <w:ind w:firstLine="367" w:firstLineChars="175"/>
        <w:jc w:val="left"/>
        <w:rPr>
          <w:rFonts w:ascii="宋体" w:hAnsi="宋体" w:cs="宋体"/>
          <w:sz w:val="21"/>
          <w:szCs w:val="21"/>
          <w:highlight w:val="none"/>
        </w:rPr>
      </w:pPr>
      <w:r>
        <w:rPr>
          <w:rFonts w:hint="eastAsia" w:ascii="宋体" w:hAnsi="宋体" w:cs="宋体"/>
          <w:sz w:val="21"/>
          <w:szCs w:val="21"/>
          <w:highlight w:val="none"/>
        </w:rPr>
        <w:t>投标人的资格要求详见“投标人须知前附表”。</w:t>
      </w:r>
    </w:p>
    <w:p w14:paraId="66F2CD0F">
      <w:pPr>
        <w:pStyle w:val="6"/>
        <w:keepNext w:val="0"/>
        <w:keepLines w:val="0"/>
        <w:spacing w:before="0" w:after="0" w:line="360" w:lineRule="auto"/>
        <w:ind w:left="420" w:leftChars="200"/>
        <w:rPr>
          <w:rFonts w:ascii="宋体" w:hAnsi="宋体" w:cs="宋体"/>
          <w:sz w:val="21"/>
          <w:szCs w:val="21"/>
          <w:highlight w:val="none"/>
        </w:rPr>
      </w:pPr>
      <w:bookmarkStart w:id="85" w:name="_Toc254970530"/>
      <w:bookmarkStart w:id="86" w:name="_Toc254970671"/>
      <w:r>
        <w:rPr>
          <w:rFonts w:hint="eastAsia" w:ascii="宋体" w:hAnsi="宋体" w:cs="宋体"/>
          <w:sz w:val="21"/>
          <w:szCs w:val="21"/>
          <w:highlight w:val="none"/>
        </w:rPr>
        <w:t>4.投标委托</w:t>
      </w:r>
      <w:bookmarkEnd w:id="85"/>
      <w:bookmarkEnd w:id="86"/>
    </w:p>
    <w:p w14:paraId="0BB1A6D2">
      <w:pPr>
        <w:snapToGrid w:val="0"/>
        <w:spacing w:line="360" w:lineRule="auto"/>
        <w:ind w:firstLine="367" w:firstLineChars="175"/>
        <w:jc w:val="left"/>
        <w:rPr>
          <w:rFonts w:ascii="宋体" w:hAnsi="宋体" w:cs="宋体"/>
          <w:sz w:val="21"/>
          <w:szCs w:val="21"/>
          <w:highlight w:val="none"/>
        </w:rPr>
      </w:pPr>
      <w:r>
        <w:rPr>
          <w:rFonts w:hint="eastAsia" w:ascii="宋体" w:hAnsi="宋体" w:cs="宋体"/>
          <w:sz w:val="21"/>
          <w:szCs w:val="21"/>
          <w:highlight w:val="none"/>
        </w:rPr>
        <w:t>投标人代表参加投标活动过程中必须提供个人有效身份证件。如投标人代表不是法定代表人，须持有授权委托书（按第六章要求格式填写）。</w:t>
      </w:r>
    </w:p>
    <w:p w14:paraId="39598F1F">
      <w:pPr>
        <w:pStyle w:val="6"/>
        <w:keepNext w:val="0"/>
        <w:keepLines w:val="0"/>
        <w:spacing w:before="0" w:after="0" w:line="360" w:lineRule="auto"/>
        <w:ind w:left="420" w:leftChars="200"/>
        <w:rPr>
          <w:rFonts w:ascii="宋体" w:hAnsi="宋体" w:cs="宋体"/>
          <w:sz w:val="21"/>
          <w:szCs w:val="21"/>
          <w:highlight w:val="none"/>
        </w:rPr>
      </w:pPr>
      <w:bookmarkStart w:id="87" w:name="_5.投标费用"/>
      <w:bookmarkEnd w:id="87"/>
      <w:bookmarkStart w:id="88" w:name="_Toc254970672"/>
      <w:bookmarkStart w:id="89" w:name="_Toc254970531"/>
      <w:r>
        <w:rPr>
          <w:rFonts w:hint="eastAsia" w:ascii="宋体" w:hAnsi="宋体" w:cs="宋体"/>
          <w:sz w:val="21"/>
          <w:szCs w:val="21"/>
          <w:highlight w:val="none"/>
        </w:rPr>
        <w:t>5.投标费用</w:t>
      </w:r>
      <w:bookmarkEnd w:id="88"/>
      <w:bookmarkEnd w:id="89"/>
    </w:p>
    <w:p w14:paraId="3BD46105">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5D9ABE9A">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6.联合体投标</w:t>
      </w:r>
    </w:p>
    <w:p w14:paraId="148F0638">
      <w:pPr>
        <w:snapToGrid w:val="0"/>
        <w:spacing w:line="360" w:lineRule="auto"/>
        <w:ind w:firstLine="420" w:firstLineChars="200"/>
        <w:jc w:val="left"/>
        <w:rPr>
          <w:rFonts w:ascii="宋体" w:hAnsi="宋体" w:cs="宋体"/>
          <w:sz w:val="21"/>
          <w:szCs w:val="21"/>
          <w:highlight w:val="none"/>
        </w:rPr>
      </w:pPr>
      <w:r>
        <w:rPr>
          <w:rFonts w:hint="eastAsia" w:ascii="宋体" w:hAnsi="宋体" w:cs="宋体"/>
          <w:sz w:val="21"/>
          <w:szCs w:val="21"/>
          <w:highlight w:val="none"/>
        </w:rPr>
        <w:t>6.1本项目是否接受联合体投标，详见“投标人须知前附表”。</w:t>
      </w:r>
    </w:p>
    <w:p w14:paraId="4DEE57E0">
      <w:pPr>
        <w:snapToGrid w:val="0"/>
        <w:spacing w:line="360" w:lineRule="auto"/>
        <w:ind w:firstLine="420" w:firstLineChars="200"/>
        <w:jc w:val="left"/>
        <w:rPr>
          <w:rFonts w:ascii="宋体" w:hAnsi="宋体" w:cs="宋体"/>
          <w:bCs/>
          <w:sz w:val="21"/>
          <w:szCs w:val="21"/>
          <w:highlight w:val="none"/>
        </w:rPr>
      </w:pPr>
      <w:r>
        <w:rPr>
          <w:rFonts w:hint="eastAsia" w:ascii="宋体" w:hAnsi="宋体" w:cs="宋体"/>
          <w:bCs/>
          <w:sz w:val="21"/>
          <w:szCs w:val="21"/>
          <w:highlight w:val="none"/>
        </w:rPr>
        <w:t>6.2如接受联合体投标，联合体投标要求详见“投标人须知前附表”。</w:t>
      </w:r>
    </w:p>
    <w:p w14:paraId="4BAE1BCB">
      <w:pPr>
        <w:pStyle w:val="6"/>
        <w:keepNext w:val="0"/>
        <w:keepLines w:val="0"/>
        <w:spacing w:before="0" w:after="0" w:line="360" w:lineRule="auto"/>
        <w:ind w:firstLine="424" w:firstLineChars="202"/>
        <w:rPr>
          <w:rFonts w:ascii="宋体" w:hAnsi="宋体" w:cs="宋体"/>
          <w:sz w:val="21"/>
          <w:szCs w:val="21"/>
          <w:highlight w:val="none"/>
        </w:rPr>
      </w:pPr>
      <w:r>
        <w:rPr>
          <w:rFonts w:hint="eastAsia" w:ascii="宋体" w:hAnsi="宋体" w:cs="宋体"/>
          <w:b w:val="0"/>
          <w:bCs/>
          <w:sz w:val="21"/>
          <w:szCs w:val="21"/>
          <w:highlight w:val="none"/>
        </w:rPr>
        <w:t>6.3</w:t>
      </w:r>
      <w:bookmarkStart w:id="90" w:name="_Hlk65857072"/>
      <w:r>
        <w:rPr>
          <w:rFonts w:hint="eastAsia" w:ascii="宋体" w:hAnsi="宋体" w:cs="宋体"/>
          <w:b w:val="0"/>
          <w:bCs/>
          <w:sz w:val="21"/>
          <w:szCs w:val="21"/>
          <w:highlight w:val="none"/>
        </w:rPr>
        <w:t>根据《政府采购促进中小企业发展管理办法》（财库〔2020〕46号）、《广西壮族自治区财政厅关于贯彻落实政府采购支持中小企业发展政策的通知》（桂财采〔2022〕31号）、《广西壮族自治区财政厅关于持续优化政府采购营商环境推动高质量发展的通知》（桂财采〔2024〕55号）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中小企业的，联合体视同中小企业。其中，联合体各方均为小微企业的，联合体视同小微企业。组成联合体的大中型企业和其他自然人、法人或者其他组织，与小型、微型企业之间不得存在投资关系。”</w:t>
      </w:r>
      <w:bookmarkEnd w:id="90"/>
    </w:p>
    <w:p w14:paraId="716D1867">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7.转包与分包</w:t>
      </w:r>
    </w:p>
    <w:p w14:paraId="014E2993">
      <w:pPr>
        <w:pStyle w:val="6"/>
        <w:keepNext w:val="0"/>
        <w:keepLines w:val="0"/>
        <w:numPr>
          <w:ilvl w:val="0"/>
          <w:numId w:val="0"/>
        </w:numPr>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7.1本项目不允许转包。</w:t>
      </w:r>
    </w:p>
    <w:p w14:paraId="2E9D8D26">
      <w:pPr>
        <w:pStyle w:val="6"/>
        <w:keepNext w:val="0"/>
        <w:keepLines w:val="0"/>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D3CACBE">
      <w:pPr>
        <w:pStyle w:val="6"/>
        <w:keepNext w:val="0"/>
        <w:keepLines w:val="0"/>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BBBD45F">
      <w:pPr>
        <w:pStyle w:val="6"/>
        <w:keepNext w:val="0"/>
        <w:keepLines w:val="0"/>
        <w:spacing w:before="0" w:after="0" w:line="360" w:lineRule="auto"/>
        <w:ind w:left="420" w:leftChars="200"/>
        <w:rPr>
          <w:rFonts w:ascii="宋体" w:hAnsi="宋体" w:cs="宋体"/>
          <w:sz w:val="21"/>
          <w:szCs w:val="21"/>
          <w:highlight w:val="none"/>
        </w:rPr>
      </w:pPr>
      <w:bookmarkStart w:id="91" w:name="_Toc254970673"/>
      <w:bookmarkStart w:id="92" w:name="_Toc254970532"/>
      <w:r>
        <w:rPr>
          <w:rFonts w:hint="eastAsia" w:ascii="宋体" w:hAnsi="宋体" w:cs="宋体"/>
          <w:sz w:val="21"/>
          <w:szCs w:val="21"/>
          <w:highlight w:val="none"/>
        </w:rPr>
        <w:t>8.特别说明</w:t>
      </w:r>
      <w:bookmarkEnd w:id="91"/>
      <w:bookmarkEnd w:id="92"/>
    </w:p>
    <w:p w14:paraId="7FCF0C8F">
      <w:pPr>
        <w:pStyle w:val="6"/>
        <w:keepNext w:val="0"/>
        <w:keepLines w:val="0"/>
        <w:spacing w:before="0" w:after="0" w:line="360" w:lineRule="auto"/>
        <w:ind w:firstLine="420" w:firstLineChars="200"/>
        <w:rPr>
          <w:rFonts w:ascii="宋体" w:hAnsi="宋体" w:cs="宋体"/>
          <w:b w:val="0"/>
          <w:sz w:val="21"/>
          <w:szCs w:val="21"/>
          <w:highlight w:val="none"/>
        </w:rPr>
      </w:pPr>
      <w:bookmarkStart w:id="93" w:name="_8.1提供相同品牌产品且通过资格审查、符合性审查的不同投标人参加同一合"/>
      <w:bookmarkEnd w:id="93"/>
      <w:r>
        <w:rPr>
          <w:rFonts w:hint="eastAsia" w:ascii="宋体" w:hAnsi="宋体" w:cs="宋体"/>
          <w:b w:val="0"/>
          <w:sz w:val="21"/>
          <w:szCs w:val="21"/>
          <w:highlight w:val="none"/>
        </w:rPr>
        <w:fldChar w:fldCharType="begin"/>
      </w:r>
      <w:r>
        <w:rPr>
          <w:rFonts w:hint="eastAsia" w:ascii="宋体" w:hAnsi="宋体" w:cs="宋体"/>
          <w:b w:val="0"/>
          <w:sz w:val="21"/>
          <w:szCs w:val="21"/>
          <w:highlight w:val="none"/>
        </w:rPr>
        <w:instrText xml:space="preserve"> HYPERLINK  \l "_8.1" </w:instrText>
      </w:r>
      <w:r>
        <w:rPr>
          <w:rFonts w:hint="eastAsia" w:ascii="宋体" w:hAnsi="宋体" w:cs="宋体"/>
          <w:b w:val="0"/>
          <w:sz w:val="21"/>
          <w:szCs w:val="21"/>
          <w:highlight w:val="none"/>
        </w:rPr>
        <w:fldChar w:fldCharType="separate"/>
      </w:r>
      <w:r>
        <w:rPr>
          <w:rFonts w:hint="eastAsia" w:ascii="宋体" w:hAnsi="宋体" w:cs="宋体"/>
          <w:b w:val="0"/>
          <w:sz w:val="21"/>
          <w:szCs w:val="21"/>
          <w:highlight w:val="none"/>
        </w:rPr>
        <w:t>8.1</w:t>
      </w:r>
      <w:r>
        <w:rPr>
          <w:rFonts w:hint="eastAsia" w:ascii="宋体" w:hAnsi="宋体" w:cs="宋体"/>
          <w:b w:val="0"/>
          <w:sz w:val="21"/>
          <w:szCs w:val="21"/>
          <w:highlight w:val="none"/>
        </w:rPr>
        <w:fldChar w:fldCharType="end"/>
      </w:r>
      <w:r>
        <w:rPr>
          <w:rFonts w:hint="eastAsia" w:ascii="宋体" w:hAnsi="宋体" w:cs="宋体"/>
          <w:b w:val="0"/>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s="宋体"/>
          <w:sz w:val="21"/>
          <w:szCs w:val="21"/>
          <w:highlight w:val="none"/>
        </w:rPr>
        <w:t>其他投标无效。</w:t>
      </w:r>
    </w:p>
    <w:p w14:paraId="4521D82A">
      <w:pPr>
        <w:pStyle w:val="6"/>
        <w:keepNext w:val="0"/>
        <w:keepLines w:val="0"/>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E6E93CE">
      <w:pPr>
        <w:pStyle w:val="25"/>
        <w:snapToGrid w:val="0"/>
        <w:spacing w:line="360" w:lineRule="auto"/>
        <w:ind w:left="2" w:leftChars="1" w:firstLine="420" w:firstLineChars="200"/>
        <w:rPr>
          <w:rFonts w:hint="eastAsia" w:hAnsi="宋体" w:cs="宋体"/>
          <w:kern w:val="2"/>
          <w:sz w:val="21"/>
          <w:szCs w:val="21"/>
          <w:highlight w:val="none"/>
        </w:rPr>
      </w:pPr>
      <w:r>
        <w:rPr>
          <w:rFonts w:hint="eastAsia" w:hAnsi="宋体" w:cs="宋体"/>
          <w:kern w:val="2"/>
          <w:sz w:val="21"/>
          <w:szCs w:val="21"/>
          <w:highlight w:val="none"/>
        </w:rPr>
        <w:t>非单一产品采购项目，多家投标人提供的核心产品品牌相同的，</w:t>
      </w:r>
      <w:r>
        <w:rPr>
          <w:rFonts w:hint="eastAsia" w:hAnsi="宋体" w:cs="宋体"/>
          <w:sz w:val="21"/>
          <w:szCs w:val="21"/>
          <w:highlight w:val="none"/>
        </w:rPr>
        <w:t>按前两款规定处理</w:t>
      </w:r>
      <w:r>
        <w:rPr>
          <w:rFonts w:hint="eastAsia" w:hAnsi="宋体" w:cs="宋体"/>
          <w:kern w:val="2"/>
          <w:sz w:val="21"/>
          <w:szCs w:val="21"/>
          <w:highlight w:val="none"/>
        </w:rPr>
        <w:t>。</w:t>
      </w:r>
    </w:p>
    <w:p w14:paraId="332929CB">
      <w:pPr>
        <w:pStyle w:val="6"/>
        <w:keepNext w:val="0"/>
        <w:keepLines w:val="0"/>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8.2如果本招标文件要求提供投标人或制造商的资格、信誉、荣誉、业绩与企业认证等材料的，资格、信誉、荣誉、业绩与企业认证等必须为投标人或者制造商所拥有或自身获得。</w:t>
      </w:r>
    </w:p>
    <w:p w14:paraId="4D35100F">
      <w:pPr>
        <w:pStyle w:val="6"/>
        <w:keepNext w:val="0"/>
        <w:keepLines w:val="0"/>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8.3投标人应仔细阅读招标文件的所有内容，按照招标文件的要求提交投标文件，并对所提供的全部资料的真实性承担法律责任。</w:t>
      </w:r>
    </w:p>
    <w:p w14:paraId="07B5FBF3">
      <w:pPr>
        <w:pStyle w:val="6"/>
        <w:keepNext w:val="0"/>
        <w:keepLines w:val="0"/>
        <w:spacing w:before="0" w:after="0" w:line="360" w:lineRule="auto"/>
        <w:ind w:firstLine="367" w:firstLineChars="175"/>
        <w:rPr>
          <w:rFonts w:ascii="宋体" w:hAnsi="宋体" w:cs="宋体"/>
          <w:b w:val="0"/>
          <w:sz w:val="21"/>
          <w:szCs w:val="21"/>
          <w:highlight w:val="none"/>
        </w:rPr>
      </w:pPr>
      <w:r>
        <w:rPr>
          <w:rFonts w:hint="eastAsia" w:ascii="宋体" w:hAnsi="宋体" w:cs="宋体"/>
          <w:b w:val="0"/>
          <w:sz w:val="21"/>
          <w:szCs w:val="21"/>
          <w:highlight w:val="none"/>
        </w:rPr>
        <w:t>8.4投标人在投标活动中提供任何虚假材料，将报监管部门查处；中标后发现的，中标人须依法赔偿采购人，且民事赔偿并不免除违法投标人的行政与刑事责任。</w:t>
      </w:r>
    </w:p>
    <w:p w14:paraId="5B4A6FDC">
      <w:pPr>
        <w:pStyle w:val="6"/>
        <w:keepNext w:val="0"/>
        <w:keepLines w:val="0"/>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8.5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24507DF">
      <w:pPr>
        <w:pStyle w:val="6"/>
        <w:keepNext w:val="0"/>
        <w:keepLines w:val="0"/>
        <w:spacing w:before="0" w:after="0" w:line="360" w:lineRule="auto"/>
        <w:ind w:firstLine="420" w:firstLineChars="200"/>
        <w:rPr>
          <w:rFonts w:hint="eastAsia" w:ascii="宋体" w:hAnsi="宋体" w:cs="宋体"/>
          <w:b w:val="0"/>
          <w:bCs/>
          <w:sz w:val="21"/>
          <w:szCs w:val="21"/>
          <w:highlight w:val="none"/>
        </w:rPr>
      </w:pPr>
      <w:r>
        <w:rPr>
          <w:rFonts w:hint="eastAsia" w:ascii="宋体" w:hAnsi="宋体" w:cs="宋体"/>
          <w:b w:val="0"/>
          <w:bCs/>
          <w:sz w:val="21"/>
          <w:szCs w:val="21"/>
          <w:highlight w:val="none"/>
        </w:rPr>
        <w:t>产品在中国境内生产的组件成本占比应当达到规定比例，计算公式为：</w:t>
      </w:r>
    </w:p>
    <w:p w14:paraId="51B2273C">
      <w:pPr>
        <w:pStyle w:val="7"/>
        <w:spacing w:line="360" w:lineRule="auto"/>
        <w:jc w:val="left"/>
        <w:rPr>
          <w:rFonts w:ascii="宋体" w:hAnsi="宋体" w:cs="宋体"/>
          <w:sz w:val="24"/>
          <w:szCs w:val="24"/>
          <w:highlight w:val="none"/>
        </w:rPr>
      </w:pPr>
      <w:r>
        <w:rPr>
          <w:rFonts w:ascii="微软雅黑" w:hAnsi="微软雅黑" w:eastAsia="微软雅黑" w:cs="宋体"/>
          <w:color w:val="333333"/>
          <w:kern w:val="0"/>
          <w:sz w:val="24"/>
          <w:szCs w:val="24"/>
          <w:highlight w:val="none"/>
        </w:rPr>
        <w:drawing>
          <wp:inline distT="0" distB="0" distL="114300" distR="114300">
            <wp:extent cx="4829175" cy="762000"/>
            <wp:effectExtent l="0" t="0" r="9525" b="0"/>
            <wp:docPr id="1" name="图片 1" descr="https://hainan.chinatax.gov.cn/u/cms/www/202510/090841112j4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hainan.chinatax.gov.cn/u/cms/www/202510/090841112j4q.jpg"/>
                    <pic:cNvPicPr>
                      <a:picLocks noChangeAspect="1"/>
                    </pic:cNvPicPr>
                  </pic:nvPicPr>
                  <pic:blipFill>
                    <a:blip r:embed="rId14"/>
                    <a:stretch>
                      <a:fillRect/>
                    </a:stretch>
                  </pic:blipFill>
                  <pic:spPr>
                    <a:xfrm>
                      <a:off x="0" y="0"/>
                      <a:ext cx="4829175" cy="762000"/>
                    </a:xfrm>
                    <a:prstGeom prst="rect">
                      <a:avLst/>
                    </a:prstGeom>
                    <a:noFill/>
                    <a:ln>
                      <a:noFill/>
                    </a:ln>
                  </pic:spPr>
                </pic:pic>
              </a:graphicData>
            </a:graphic>
          </wp:inline>
        </w:drawing>
      </w:r>
    </w:p>
    <w:p w14:paraId="3A97FA3F">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368075E">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政府采购活动中既有本国产品又有非本国产品参与竞争的，依法对本国产品给予价格评审优惠，对本国产品的报价给予20%的价格扣除，用扣除后的价格参与评审。</w:t>
      </w:r>
    </w:p>
    <w:p w14:paraId="4D00EE2B">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124775">
      <w:pPr>
        <w:pStyle w:val="6"/>
        <w:keepNext w:val="0"/>
        <w:keepLines w:val="0"/>
        <w:spacing w:before="0" w:after="0" w:line="360" w:lineRule="auto"/>
        <w:ind w:firstLine="420" w:firstLineChars="200"/>
        <w:rPr>
          <w:rFonts w:hint="eastAsia" w:ascii="宋体" w:hAnsi="宋体" w:eastAsia="宋体" w:cs="宋体"/>
          <w:b w:val="0"/>
          <w:sz w:val="21"/>
          <w:szCs w:val="21"/>
          <w:highlight w:val="none"/>
          <w:lang w:val="en-US" w:eastAsia="zh-CN"/>
        </w:rPr>
      </w:pPr>
      <w:r>
        <w:rPr>
          <w:rFonts w:hint="eastAsia" w:ascii="宋体" w:hAnsi="宋体" w:eastAsia="宋体" w:cs="宋体"/>
          <w:b w:val="0"/>
          <w:sz w:val="21"/>
          <w:szCs w:val="21"/>
          <w:highlight w:val="none"/>
          <w:lang w:val="en-US" w:eastAsia="zh-CN"/>
        </w:rPr>
        <w:t>8.6对本国产品的支持政策</w:t>
      </w:r>
    </w:p>
    <w:p w14:paraId="272B3689">
      <w:pPr>
        <w:pStyle w:val="6"/>
        <w:keepNext w:val="0"/>
        <w:keepLines w:val="0"/>
        <w:spacing w:before="0" w:after="0" w:line="360" w:lineRule="auto"/>
        <w:ind w:firstLine="420" w:firstLineChars="200"/>
        <w:rPr>
          <w:rFonts w:hint="eastAsia" w:ascii="宋体" w:hAnsi="宋体" w:eastAsia="宋体" w:cs="宋体"/>
          <w:b w:val="0"/>
          <w:sz w:val="21"/>
          <w:szCs w:val="21"/>
          <w:highlight w:val="none"/>
          <w:lang w:val="en-US" w:eastAsia="zh-CN"/>
        </w:rPr>
      </w:pPr>
      <w:r>
        <w:rPr>
          <w:rFonts w:hint="eastAsia" w:ascii="宋体" w:hAnsi="宋体" w:eastAsia="宋体" w:cs="宋体"/>
          <w:b w:val="0"/>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40B1910E">
      <w:pPr>
        <w:pStyle w:val="6"/>
        <w:keepNext w:val="0"/>
        <w:keepLines w:val="0"/>
        <w:spacing w:before="0" w:after="0" w:line="360" w:lineRule="auto"/>
        <w:ind w:firstLine="420" w:firstLineChars="200"/>
        <w:rPr>
          <w:rFonts w:hint="eastAsia"/>
          <w:sz w:val="21"/>
          <w:szCs w:val="21"/>
          <w:highlight w:val="none"/>
        </w:rPr>
      </w:pPr>
      <w:r>
        <w:rPr>
          <w:rFonts w:hint="eastAsia" w:ascii="宋体" w:hAnsi="宋体" w:eastAsia="宋体" w:cs="宋体"/>
          <w:b w:val="0"/>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B8F4D5A">
      <w:pPr>
        <w:pStyle w:val="25"/>
        <w:snapToGrid w:val="0"/>
        <w:spacing w:line="360" w:lineRule="auto"/>
        <w:ind w:left="2" w:leftChars="1" w:firstLine="422" w:firstLineChars="200"/>
        <w:rPr>
          <w:rFonts w:hAnsi="宋体" w:cs="宋体"/>
          <w:b/>
          <w:bCs/>
          <w:kern w:val="2"/>
          <w:sz w:val="21"/>
          <w:szCs w:val="21"/>
          <w:highlight w:val="none"/>
        </w:rPr>
      </w:pPr>
      <w:r>
        <w:rPr>
          <w:rFonts w:hint="eastAsia" w:hAnsi="宋体" w:cs="宋体"/>
          <w:b/>
          <w:bCs/>
          <w:kern w:val="2"/>
          <w:sz w:val="21"/>
          <w:szCs w:val="21"/>
          <w:highlight w:val="none"/>
        </w:rPr>
        <w:t>9.回避与串通投标</w:t>
      </w:r>
    </w:p>
    <w:p w14:paraId="739758BF">
      <w:pPr>
        <w:pStyle w:val="6"/>
        <w:keepNext w:val="0"/>
        <w:keepLines w:val="0"/>
        <w:spacing w:before="0" w:after="0" w:line="360" w:lineRule="auto"/>
        <w:ind w:firstLine="369" w:firstLineChars="175"/>
        <w:rPr>
          <w:rFonts w:ascii="宋体" w:hAnsi="宋体" w:cs="宋体"/>
          <w:b/>
          <w:bCs/>
          <w:sz w:val="21"/>
          <w:szCs w:val="21"/>
          <w:highlight w:val="none"/>
        </w:rPr>
      </w:pPr>
      <w:r>
        <w:rPr>
          <w:rFonts w:hint="eastAsia" w:ascii="宋体" w:hAnsi="宋体" w:cs="宋体"/>
          <w:b/>
          <w:bCs/>
          <w:sz w:val="21"/>
          <w:szCs w:val="21"/>
          <w:highlight w:val="none"/>
        </w:rPr>
        <w:t>9.1在政府采购活动中，采购人员及相关人员与供应商有下列利害关系之一的，应当回避：</w:t>
      </w:r>
    </w:p>
    <w:p w14:paraId="10349CB0">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（1）参加采购活动前3年内与供应商存在劳动关系；</w:t>
      </w:r>
    </w:p>
    <w:p w14:paraId="4D6BC4CF">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（2）参加采购活动前3年内担任供应商的董事、监事；</w:t>
      </w:r>
    </w:p>
    <w:p w14:paraId="3A6A0DDE">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（3）参加采购活动前3年内是供应商的控股股东或者实际控制人；</w:t>
      </w:r>
    </w:p>
    <w:p w14:paraId="11A2E13B">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（4）与供应商的法定代表人或者负责人有夫妻、直系血亲、三代以内旁系血亲或者近姻亲关系；</w:t>
      </w:r>
    </w:p>
    <w:p w14:paraId="30A75745">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（5）与供应商有其他可能影响政府采购活动公平、公正进行的关系。</w:t>
      </w:r>
    </w:p>
    <w:p w14:paraId="1ECBCCCF">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B7CD368">
      <w:pPr>
        <w:pStyle w:val="6"/>
        <w:keepNext w:val="0"/>
        <w:keepLines w:val="0"/>
        <w:spacing w:before="0" w:after="0" w:line="360" w:lineRule="auto"/>
        <w:ind w:firstLine="369" w:firstLineChars="175"/>
        <w:rPr>
          <w:rFonts w:ascii="宋体" w:hAnsi="宋体" w:cs="宋体"/>
          <w:sz w:val="21"/>
          <w:szCs w:val="21"/>
          <w:highlight w:val="none"/>
        </w:rPr>
      </w:pPr>
      <w:r>
        <w:rPr>
          <w:rFonts w:hint="eastAsia" w:ascii="宋体" w:hAnsi="宋体" w:cs="宋体"/>
          <w:sz w:val="21"/>
          <w:szCs w:val="21"/>
          <w:highlight w:val="none"/>
        </w:rPr>
        <w:t>9.2有下列情形之一的视为投标人相互串通投标，投标文件将被视为无效：</w:t>
      </w:r>
    </w:p>
    <w:p w14:paraId="4EC6E4B8">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（1）不同投标人的投标文件由同一单位或者个人编制；或不同投标人报名的IP地址一致的；</w:t>
      </w:r>
      <w:r>
        <w:rPr>
          <w:rFonts w:hint="eastAsia" w:ascii="宋体" w:hAnsi="宋体" w:cs="宋体"/>
          <w:b w:val="0"/>
          <w:sz w:val="21"/>
          <w:szCs w:val="21"/>
          <w:highlight w:val="none"/>
          <w:lang w:eastAsia="zh-CN"/>
        </w:rPr>
        <w:t>或者编制响应文件硬件设备CPU编号、硬盘编号、网卡地址一致的情况；</w:t>
      </w:r>
    </w:p>
    <w:p w14:paraId="3F413991">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（2）不同投标人委托同一单位或者个人办理投标事宜；</w:t>
      </w:r>
    </w:p>
    <w:p w14:paraId="444A3788">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（3）不同的投标人的投标文件载明的项目管理员为同一个人；</w:t>
      </w:r>
    </w:p>
    <w:p w14:paraId="6E413DA9">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（4）不同投标人的投标文件异常一致或者投标报价呈规律性差异；</w:t>
      </w:r>
    </w:p>
    <w:p w14:paraId="57E773C1">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（5）不同投标人的投标文件相互混装；</w:t>
      </w:r>
    </w:p>
    <w:p w14:paraId="65509A96">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（6）不同投标人的投标保证金从同一单位或者个人账户转出。</w:t>
      </w:r>
    </w:p>
    <w:p w14:paraId="74C671FD">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（7）投标人之间协商投标报价等投标文件的实质性内容；</w:t>
      </w:r>
    </w:p>
    <w:p w14:paraId="7C0FFFA7">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（8）投标人之间约定中标人；</w:t>
      </w:r>
    </w:p>
    <w:p w14:paraId="0CCF968B">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（9）投标人之间约定部分投标人放弃投标或者中标；</w:t>
      </w:r>
    </w:p>
    <w:p w14:paraId="12CF0321">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（10）属于同一集团、协会、商会等组织成员的投标人按照该组织要求协同投标；</w:t>
      </w:r>
    </w:p>
    <w:p w14:paraId="712199D7">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（11）投标人之间为谋取中标或者排斥特定投标人而采取的其他联合行动。</w:t>
      </w:r>
    </w:p>
    <w:p w14:paraId="604766C6">
      <w:pPr>
        <w:pStyle w:val="6"/>
        <w:keepNext w:val="0"/>
        <w:keepLines w:val="0"/>
        <w:spacing w:before="0" w:after="0" w:line="360" w:lineRule="auto"/>
        <w:ind w:firstLine="369" w:firstLineChars="175"/>
        <w:rPr>
          <w:rFonts w:ascii="宋体" w:hAnsi="宋体" w:cs="宋体"/>
          <w:b/>
          <w:bCs/>
          <w:sz w:val="21"/>
          <w:szCs w:val="21"/>
          <w:highlight w:val="none"/>
        </w:rPr>
      </w:pPr>
      <w:r>
        <w:rPr>
          <w:rFonts w:hint="eastAsia" w:ascii="宋体" w:hAnsi="宋体" w:cs="宋体"/>
          <w:b/>
          <w:bCs/>
          <w:sz w:val="21"/>
          <w:szCs w:val="21"/>
          <w:highlight w:val="none"/>
        </w:rPr>
        <w:t>9.3供应商有下列情形之一的，属于恶意串通行为，将报同级监督管理部门：</w:t>
      </w:r>
    </w:p>
    <w:p w14:paraId="2E3EA48E">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（1）供应商直接或者间接从采购人或者采购代理机构处获得其他供应商的相关信息并修改其投标文件或者响应文件；</w:t>
      </w:r>
    </w:p>
    <w:p w14:paraId="343BA145">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（2）供应商按照采购人或者采购代理机构的授意撤换、修改投标文件或者响应文件；</w:t>
      </w:r>
    </w:p>
    <w:p w14:paraId="6EA6AB0E">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（3）供应商之间协商报价、技术方案等投标文件或者响应文件的实质性内容；</w:t>
      </w:r>
    </w:p>
    <w:p w14:paraId="0AFD33DF">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（4）属于同一集团、协会、商会等组织成员的供应商按照该组织要求协同参加政府采购活动；</w:t>
      </w:r>
    </w:p>
    <w:p w14:paraId="2EBBA830">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（5）供应商之间事先约定一致抬高或者压低投标报价，或者在招标项目中事先约定轮流以高价位或者低价位中标，或者事先约定由某一特定供应商中标，然后再参加投标；</w:t>
      </w:r>
    </w:p>
    <w:p w14:paraId="702FF96C">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（6）供应商之间商定部分供应商放弃参加政府采购活动或者放弃中标；</w:t>
      </w:r>
    </w:p>
    <w:p w14:paraId="7B80A914">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（7）供应商与采购人或者采购代理机构之间、供应商相互之间，为谋求特定供应商中标或者排斥其他供应商的其他串通行为。</w:t>
      </w:r>
    </w:p>
    <w:p w14:paraId="5BDCDDFA">
      <w:pPr>
        <w:pStyle w:val="4"/>
        <w:keepNext w:val="0"/>
        <w:keepLines w:val="0"/>
        <w:spacing w:line="360" w:lineRule="auto"/>
        <w:jc w:val="center"/>
        <w:rPr>
          <w:rFonts w:ascii="宋体" w:hAnsi="宋体" w:cs="宋体"/>
          <w:highlight w:val="none"/>
        </w:rPr>
      </w:pPr>
      <w:bookmarkStart w:id="94" w:name="_Toc254970675"/>
      <w:bookmarkStart w:id="95" w:name="_Toc254970534"/>
      <w:r>
        <w:rPr>
          <w:rFonts w:hint="eastAsia" w:ascii="宋体" w:hAnsi="宋体" w:cs="宋体"/>
          <w:highlight w:val="none"/>
        </w:rPr>
        <w:t>二、招标文件</w:t>
      </w:r>
      <w:bookmarkEnd w:id="94"/>
      <w:bookmarkEnd w:id="95"/>
    </w:p>
    <w:p w14:paraId="433CA81F">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10.招标文件的组成</w:t>
      </w:r>
    </w:p>
    <w:p w14:paraId="090A811C">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（1）招标公告；</w:t>
      </w:r>
    </w:p>
    <w:p w14:paraId="7307CC76">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（2）采购需求；</w:t>
      </w:r>
    </w:p>
    <w:p w14:paraId="0D3BBB0A">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（3）投标人须知；</w:t>
      </w:r>
    </w:p>
    <w:p w14:paraId="47831EF6">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（4）评标方法及评标标准；</w:t>
      </w:r>
    </w:p>
    <w:p w14:paraId="0C47A347">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（5）拟签订的合同文本；</w:t>
      </w:r>
    </w:p>
    <w:p w14:paraId="334FA174">
      <w:pPr>
        <w:pStyle w:val="6"/>
        <w:keepNext w:val="0"/>
        <w:keepLines w:val="0"/>
        <w:spacing w:before="0" w:after="0" w:line="360" w:lineRule="auto"/>
        <w:ind w:firstLine="367" w:firstLineChars="175"/>
        <w:rPr>
          <w:rFonts w:hint="eastAsia" w:ascii="宋体" w:hAnsi="宋体" w:cs="宋体"/>
          <w:b w:val="0"/>
          <w:sz w:val="21"/>
          <w:szCs w:val="21"/>
          <w:highlight w:val="none"/>
        </w:rPr>
      </w:pPr>
      <w:r>
        <w:rPr>
          <w:rFonts w:hint="eastAsia" w:ascii="宋体" w:hAnsi="宋体" w:cs="宋体"/>
          <w:b w:val="0"/>
          <w:sz w:val="21"/>
          <w:szCs w:val="21"/>
          <w:highlight w:val="none"/>
        </w:rPr>
        <w:t>（6）投标文件格式。</w:t>
      </w:r>
    </w:p>
    <w:p w14:paraId="10F19DA2">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11.招标文件的澄清、修改、现场考察和答疑会</w:t>
      </w:r>
    </w:p>
    <w:p w14:paraId="20391610">
      <w:pPr>
        <w:pStyle w:val="6"/>
        <w:keepNext w:val="0"/>
        <w:keepLines w:val="0"/>
        <w:spacing w:before="0" w:after="0" w:line="360" w:lineRule="auto"/>
        <w:ind w:firstLine="367" w:firstLineChars="175"/>
        <w:rPr>
          <w:rFonts w:hint="eastAsia" w:ascii="宋体" w:hAnsi="宋体" w:cs="宋体"/>
          <w:b w:val="0"/>
          <w:color w:val="auto"/>
          <w:sz w:val="21"/>
          <w:szCs w:val="21"/>
          <w:highlight w:val="none"/>
        </w:rPr>
      </w:pPr>
      <w:r>
        <w:rPr>
          <w:rFonts w:hint="eastAsia" w:ascii="宋体" w:hAnsi="宋体" w:cs="宋体"/>
          <w:b w:val="0"/>
          <w:color w:val="auto"/>
          <w:sz w:val="21"/>
          <w:szCs w:val="21"/>
          <w:highlight w:val="none"/>
        </w:rPr>
        <w:t>11.1投标人应认真审阅本招标文件，如有疑问，或发现其中有误或有要求不合理的，</w:t>
      </w:r>
      <w:r>
        <w:rPr>
          <w:rFonts w:hint="eastAsia" w:ascii="宋体" w:hAnsi="宋体" w:cs="宋体"/>
          <w:b w:val="0"/>
          <w:color w:val="auto"/>
          <w:sz w:val="21"/>
          <w:szCs w:val="21"/>
          <w:highlight w:val="none"/>
          <w:lang w:val="en-US" w:eastAsia="zh-CN"/>
        </w:rPr>
        <w:t>按</w:t>
      </w:r>
      <w:r>
        <w:rPr>
          <w:rFonts w:hint="eastAsia" w:ascii="宋体" w:hAnsi="宋体" w:cs="宋体"/>
          <w:b w:val="0"/>
          <w:color w:val="auto"/>
          <w:sz w:val="21"/>
          <w:szCs w:val="21"/>
          <w:highlight w:val="none"/>
        </w:rPr>
        <w:t>《政府采购质疑和投诉办法》（财政部令第94号）及本项目招标文件规定，投标人认为招标文件使自己的合法权益受到损害的，应当在获取招标文件之日起七个工作日内以书面形式向采购代理机构提出质疑；否则，由此产生的后果由投标人自行负责。</w:t>
      </w:r>
    </w:p>
    <w:p w14:paraId="49101EDB">
      <w:pPr>
        <w:pStyle w:val="6"/>
        <w:keepNext w:val="0"/>
        <w:keepLines w:val="0"/>
        <w:spacing w:before="0" w:after="0" w:line="360" w:lineRule="auto"/>
        <w:ind w:firstLine="367" w:firstLineChars="175"/>
        <w:rPr>
          <w:rFonts w:ascii="宋体" w:hAnsi="宋体" w:cs="宋体"/>
          <w:sz w:val="21"/>
          <w:szCs w:val="21"/>
          <w:highlight w:val="none"/>
        </w:rPr>
      </w:pPr>
      <w:r>
        <w:rPr>
          <w:rFonts w:hint="eastAsia" w:ascii="宋体" w:hAnsi="宋体" w:cs="宋体"/>
          <w:b w:val="0"/>
          <w:sz w:val="21"/>
          <w:szCs w:val="21"/>
          <w:highlight w:val="none"/>
        </w:rPr>
        <w:t>11.2采购人或者采购代理机构可以对已发出的招标文件进行必要的澄清或者修改，但不得改变采购标的和资格条件。澄清或者修改将在原公告发布媒体上发布更正公告。澄清或者修改的内容为招标文件的组成部分。澄清或者修改的内容可能影响投标文件编制的，采购人或者采购代理机构应当在投标截止时间至少15日前，在原公告发布媒体上发布更正公告；不足15日的，采购人或者采购代理机构应当顺延提交投标文件的截止时间。发出的澄清或者修改不影响投标文件编制的也应在截标前3日发出。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0A7C967F">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11.3采购人和采购代理机构可以视采购具体情况，变更投标截止时间和开标时间，并在原公告发布媒体上发布更正公告。</w:t>
      </w:r>
    </w:p>
    <w:p w14:paraId="68A63EEE">
      <w:pPr>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11.4招标文件澄清、答复、修改、补充的内容为招标文件的组成部分。</w:t>
      </w:r>
      <w:r>
        <w:rPr>
          <w:rFonts w:hint="eastAsia" w:ascii="宋体" w:hAnsi="宋体" w:cs="宋体"/>
          <w:b/>
          <w:sz w:val="21"/>
          <w:szCs w:val="21"/>
          <w:highlight w:val="none"/>
        </w:rPr>
        <w:t>当招标文件与招标文件的澄清、答复、修改、补充通知就同一内容的表述不一致时，以最后发出的文件为准。</w:t>
      </w:r>
    </w:p>
    <w:p w14:paraId="4CC92486">
      <w:pPr>
        <w:pStyle w:val="25"/>
        <w:snapToGrid/>
        <w:spacing w:line="360" w:lineRule="auto"/>
        <w:ind w:firstLine="420" w:firstLineChars="200"/>
        <w:rPr>
          <w:rFonts w:hAnsi="宋体" w:cs="宋体"/>
          <w:sz w:val="21"/>
          <w:highlight w:val="none"/>
        </w:rPr>
      </w:pPr>
      <w:r>
        <w:rPr>
          <w:rFonts w:hint="eastAsia" w:hAnsi="宋体" w:cs="宋体"/>
          <w:sz w:val="21"/>
          <w:szCs w:val="21"/>
          <w:highlight w:val="none"/>
        </w:rPr>
        <w:t>11.</w:t>
      </w:r>
      <w:bookmarkStart w:id="96" w:name="_Hlk53134511"/>
      <w:r>
        <w:rPr>
          <w:rFonts w:hint="eastAsia" w:hAnsi="宋体" w:cs="宋体"/>
          <w:sz w:val="21"/>
          <w:szCs w:val="21"/>
          <w:highlight w:val="none"/>
        </w:rPr>
        <w:t>5采购人或者采购代理机构可以在招标文件提供期限截止后，组织已获取招标文件的潜在投标人现场考察或者召开开标前答疑会，具体详见“投标人须知前附表”。</w:t>
      </w:r>
    </w:p>
    <w:bookmarkEnd w:id="96"/>
    <w:p w14:paraId="01004211">
      <w:pPr>
        <w:pStyle w:val="4"/>
        <w:keepNext w:val="0"/>
        <w:keepLines w:val="0"/>
        <w:spacing w:line="360" w:lineRule="auto"/>
        <w:jc w:val="center"/>
        <w:rPr>
          <w:rFonts w:ascii="宋体" w:hAnsi="宋体" w:cs="宋体"/>
          <w:highlight w:val="none"/>
        </w:rPr>
      </w:pPr>
      <w:bookmarkStart w:id="97" w:name="_Toc254970535"/>
      <w:bookmarkStart w:id="98" w:name="_Toc254970676"/>
      <w:r>
        <w:rPr>
          <w:rFonts w:hint="eastAsia" w:ascii="宋体" w:hAnsi="宋体" w:cs="宋体"/>
          <w:highlight w:val="none"/>
        </w:rPr>
        <w:t>三、投标文件的编制</w:t>
      </w:r>
      <w:bookmarkEnd w:id="97"/>
      <w:bookmarkEnd w:id="98"/>
    </w:p>
    <w:p w14:paraId="01F33E14">
      <w:pPr>
        <w:pStyle w:val="6"/>
        <w:keepNext w:val="0"/>
        <w:keepLines w:val="0"/>
        <w:spacing w:before="0" w:after="0" w:line="360" w:lineRule="auto"/>
        <w:ind w:left="420" w:leftChars="200"/>
        <w:rPr>
          <w:rFonts w:hint="eastAsia" w:ascii="宋体" w:hAnsi="宋体" w:cs="宋体"/>
          <w:sz w:val="21"/>
          <w:szCs w:val="21"/>
          <w:highlight w:val="none"/>
        </w:rPr>
      </w:pPr>
      <w:bookmarkStart w:id="99" w:name="_Toc254970536"/>
      <w:bookmarkStart w:id="100" w:name="_Toc254970677"/>
      <w:r>
        <w:rPr>
          <w:rFonts w:hint="eastAsia" w:ascii="宋体" w:hAnsi="宋体" w:cs="宋体"/>
          <w:sz w:val="21"/>
          <w:szCs w:val="21"/>
          <w:highlight w:val="none"/>
        </w:rPr>
        <w:t>12.投标文件的编制原则</w:t>
      </w:r>
    </w:p>
    <w:p w14:paraId="6BA125B5">
      <w:pPr>
        <w:snapToGrid/>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投标人必须按照招标文件的要求编制投标文件。投标文件必须对招标文件提出的要求和条件作出明确响应。</w:t>
      </w:r>
    </w:p>
    <w:p w14:paraId="20308F0C">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13.投标文件的组成</w:t>
      </w:r>
      <w:bookmarkEnd w:id="99"/>
      <w:bookmarkEnd w:id="100"/>
    </w:p>
    <w:p w14:paraId="01EC7516">
      <w:pPr>
        <w:snapToGrid/>
        <w:spacing w:line="360" w:lineRule="auto"/>
        <w:ind w:firstLine="420" w:firstLineChars="200"/>
        <w:jc w:val="left"/>
        <w:rPr>
          <w:rFonts w:hint="eastAsia" w:ascii="宋体" w:hAnsi="宋体" w:cs="宋体"/>
          <w:sz w:val="21"/>
          <w:szCs w:val="21"/>
          <w:highlight w:val="none"/>
        </w:rPr>
      </w:pPr>
      <w:r>
        <w:rPr>
          <w:rFonts w:hint="eastAsia" w:ascii="宋体" w:hAnsi="宋体" w:cs="宋体"/>
          <w:sz w:val="21"/>
          <w:szCs w:val="21"/>
          <w:highlight w:val="none"/>
        </w:rPr>
        <w:t>13.1投标文件由报价文件、资格证明文件、商务文件、技术文件四部分组成。</w:t>
      </w:r>
    </w:p>
    <w:p w14:paraId="67548988">
      <w:pPr>
        <w:pStyle w:val="6"/>
        <w:keepNext w:val="0"/>
        <w:keepLines w:val="0"/>
        <w:spacing w:before="0" w:after="0" w:line="360" w:lineRule="auto"/>
        <w:ind w:left="420" w:leftChars="200"/>
        <w:rPr>
          <w:rFonts w:hint="eastAsia" w:ascii="宋体" w:hAnsi="宋体" w:cs="宋体"/>
          <w:b w:val="0"/>
          <w:sz w:val="21"/>
          <w:szCs w:val="21"/>
          <w:highlight w:val="none"/>
        </w:rPr>
      </w:pPr>
      <w:bookmarkStart w:id="101" w:name="_13.1报价文件:_具体材料见“投标人须知前附表”。"/>
      <w:bookmarkEnd w:id="101"/>
      <w:r>
        <w:rPr>
          <w:rFonts w:hint="eastAsia" w:ascii="宋体" w:hAnsi="宋体" w:cs="宋体"/>
          <w:b w:val="0"/>
          <w:sz w:val="21"/>
          <w:szCs w:val="21"/>
          <w:highlight w:val="none"/>
        </w:rPr>
        <w:t>（1）报价文件：具体材料见“投标人须知前附表”。</w:t>
      </w:r>
    </w:p>
    <w:p w14:paraId="312D1D9F">
      <w:pPr>
        <w:pStyle w:val="6"/>
        <w:keepNext w:val="0"/>
        <w:keepLines w:val="0"/>
        <w:spacing w:before="0" w:after="0" w:line="360" w:lineRule="auto"/>
        <w:ind w:left="420" w:leftChars="200"/>
        <w:rPr>
          <w:rFonts w:hint="eastAsia" w:ascii="宋体" w:hAnsi="宋体" w:cs="宋体"/>
          <w:b w:val="0"/>
          <w:sz w:val="21"/>
          <w:szCs w:val="21"/>
          <w:highlight w:val="none"/>
        </w:rPr>
      </w:pPr>
      <w:bookmarkStart w:id="102" w:name="_13.2资格证明文件：具体材料见“投标人须知前附表”。"/>
      <w:bookmarkEnd w:id="102"/>
      <w:r>
        <w:rPr>
          <w:rFonts w:hint="eastAsia" w:ascii="宋体" w:hAnsi="宋体" w:cs="宋体"/>
          <w:b w:val="0"/>
          <w:sz w:val="21"/>
          <w:szCs w:val="21"/>
          <w:highlight w:val="none"/>
        </w:rPr>
        <w:t>（2）资格证明文件：具体材料见“投标人须知前附表”。</w:t>
      </w:r>
    </w:p>
    <w:p w14:paraId="2AD626DE">
      <w:pPr>
        <w:pStyle w:val="6"/>
        <w:keepNext w:val="0"/>
        <w:keepLines w:val="0"/>
        <w:spacing w:before="0" w:after="0" w:line="360" w:lineRule="auto"/>
        <w:ind w:left="420" w:leftChars="200"/>
        <w:rPr>
          <w:rFonts w:hint="eastAsia" w:ascii="宋体" w:hAnsi="宋体" w:cs="宋体"/>
          <w:b w:val="0"/>
          <w:sz w:val="21"/>
          <w:szCs w:val="21"/>
          <w:highlight w:val="none"/>
        </w:rPr>
      </w:pPr>
      <w:bookmarkStart w:id="103" w:name="_13.3商务文件:_具体材料见“投标人须知前附表”。"/>
      <w:bookmarkEnd w:id="103"/>
      <w:r>
        <w:rPr>
          <w:rFonts w:hint="eastAsia" w:ascii="宋体" w:hAnsi="宋体" w:cs="宋体"/>
          <w:b w:val="0"/>
          <w:sz w:val="21"/>
          <w:szCs w:val="21"/>
          <w:highlight w:val="none"/>
        </w:rPr>
        <w:t>（3）商务文件：具体材料见“投标人须知前附表”。</w:t>
      </w:r>
    </w:p>
    <w:p w14:paraId="749DDEC6">
      <w:pPr>
        <w:pStyle w:val="6"/>
        <w:keepNext w:val="0"/>
        <w:keepLines w:val="0"/>
        <w:spacing w:before="0" w:after="0" w:line="360" w:lineRule="auto"/>
        <w:ind w:left="420" w:leftChars="200"/>
        <w:rPr>
          <w:rFonts w:hint="eastAsia" w:ascii="宋体" w:hAnsi="宋体" w:cs="宋体"/>
          <w:b w:val="0"/>
          <w:sz w:val="21"/>
          <w:szCs w:val="21"/>
          <w:highlight w:val="none"/>
        </w:rPr>
      </w:pPr>
      <w:bookmarkStart w:id="104" w:name="_13.4技术文件：具体材料见“投标人须知前附表”。"/>
      <w:bookmarkEnd w:id="104"/>
      <w:r>
        <w:rPr>
          <w:rFonts w:hint="eastAsia" w:ascii="宋体" w:hAnsi="宋体" w:cs="宋体"/>
          <w:b w:val="0"/>
          <w:sz w:val="21"/>
          <w:szCs w:val="21"/>
          <w:highlight w:val="none"/>
        </w:rPr>
        <w:t>（4）技术文件：具体材料见“投标人须知前附表”。</w:t>
      </w:r>
      <w:bookmarkStart w:id="105" w:name="_13.5投标文件电子版：具体材料见“投标人须知前附表”。"/>
      <w:bookmarkEnd w:id="105"/>
    </w:p>
    <w:p w14:paraId="677840BF">
      <w:pPr>
        <w:pStyle w:val="6"/>
        <w:keepNext w:val="0"/>
        <w:keepLines w:val="0"/>
        <w:spacing w:before="0" w:after="0" w:line="360" w:lineRule="auto"/>
        <w:ind w:left="420" w:leftChars="200"/>
        <w:rPr>
          <w:rFonts w:hint="eastAsia" w:ascii="宋体" w:hAnsi="宋体" w:cs="宋体"/>
          <w:sz w:val="21"/>
          <w:szCs w:val="21"/>
          <w:highlight w:val="none"/>
        </w:rPr>
      </w:pPr>
      <w:bookmarkStart w:id="106" w:name="_Toc254970537"/>
      <w:bookmarkStart w:id="107" w:name="_Toc254970678"/>
      <w:r>
        <w:rPr>
          <w:rFonts w:hint="eastAsia" w:ascii="宋体" w:hAnsi="宋体" w:cs="宋体"/>
          <w:sz w:val="21"/>
          <w:szCs w:val="21"/>
          <w:highlight w:val="none"/>
        </w:rPr>
        <w:t>14.投标文件的语言及计量</w:t>
      </w:r>
      <w:bookmarkEnd w:id="106"/>
      <w:bookmarkEnd w:id="107"/>
    </w:p>
    <w:p w14:paraId="0B58D21B">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14.1语言文字</w:t>
      </w:r>
    </w:p>
    <w:p w14:paraId="69810CCE">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6D5211E">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14.2投标计量单位</w:t>
      </w:r>
    </w:p>
    <w:p w14:paraId="09642D0E">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招标文件已有明确规定的，使用招标文件规定的计量单位；招标文件没有规定的，应采用中华人民共和国法定计量单位，货币种类为人民币，否则视同未响应。</w:t>
      </w:r>
    </w:p>
    <w:p w14:paraId="63212B8E">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15.投标的风险</w:t>
      </w:r>
    </w:p>
    <w:p w14:paraId="0A90CCA4">
      <w:pPr>
        <w:pStyle w:val="25"/>
        <w:snapToGrid/>
        <w:spacing w:line="360" w:lineRule="auto"/>
        <w:ind w:firstLine="420" w:firstLineChars="200"/>
        <w:jc w:val="left"/>
        <w:rPr>
          <w:rFonts w:hint="eastAsia" w:hAnsi="宋体" w:cs="宋体"/>
          <w:sz w:val="21"/>
          <w:szCs w:val="21"/>
          <w:highlight w:val="none"/>
        </w:rPr>
      </w:pPr>
      <w:r>
        <w:rPr>
          <w:rFonts w:hint="eastAsia" w:hAnsi="宋体" w:cs="宋体"/>
          <w:sz w:val="21"/>
          <w:szCs w:val="21"/>
          <w:highlight w:val="none"/>
        </w:rPr>
        <w:t>投标人没有按照招标文件要求提供全部资料，或者投标人没有对招标文件作出实质性响应是投标人的风险，并可能导致其投标被拒绝。</w:t>
      </w:r>
    </w:p>
    <w:p w14:paraId="70077230">
      <w:pPr>
        <w:pStyle w:val="6"/>
        <w:keepNext w:val="0"/>
        <w:keepLines w:val="0"/>
        <w:spacing w:before="0" w:after="0" w:line="360" w:lineRule="auto"/>
        <w:ind w:left="420" w:leftChars="200"/>
        <w:rPr>
          <w:rFonts w:hint="eastAsia" w:ascii="宋体" w:hAnsi="宋体" w:cs="宋体"/>
          <w:sz w:val="21"/>
          <w:szCs w:val="21"/>
          <w:highlight w:val="none"/>
        </w:rPr>
      </w:pPr>
      <w:bookmarkStart w:id="108" w:name="_Toc254970679"/>
      <w:bookmarkStart w:id="109" w:name="_Toc254970538"/>
      <w:r>
        <w:rPr>
          <w:rFonts w:hint="eastAsia" w:ascii="宋体" w:hAnsi="宋体" w:cs="宋体"/>
          <w:sz w:val="21"/>
          <w:szCs w:val="21"/>
          <w:highlight w:val="none"/>
        </w:rPr>
        <w:t>16.投标报价</w:t>
      </w:r>
      <w:bookmarkEnd w:id="108"/>
      <w:bookmarkEnd w:id="109"/>
    </w:p>
    <w:p w14:paraId="68B487A2">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16.1投标报价应按“第六章　投标文件格式”中“开标一览表”格式填写。</w:t>
      </w:r>
    </w:p>
    <w:p w14:paraId="70C436C7">
      <w:pPr>
        <w:pStyle w:val="6"/>
        <w:keepNext w:val="0"/>
        <w:keepLines w:val="0"/>
        <w:spacing w:before="0" w:after="0" w:line="360" w:lineRule="auto"/>
        <w:ind w:left="420" w:leftChars="200"/>
        <w:rPr>
          <w:rFonts w:hint="eastAsia" w:ascii="宋体" w:hAnsi="宋体" w:cs="宋体"/>
          <w:b w:val="0"/>
          <w:sz w:val="21"/>
          <w:szCs w:val="21"/>
          <w:highlight w:val="none"/>
        </w:rPr>
      </w:pPr>
      <w:bookmarkStart w:id="110" w:name="_16.2投标报价具体定义见投标人须知前附表。"/>
      <w:bookmarkEnd w:id="110"/>
      <w:r>
        <w:rPr>
          <w:rFonts w:hint="eastAsia" w:ascii="宋体" w:hAnsi="宋体" w:cs="宋体"/>
          <w:b w:val="0"/>
          <w:sz w:val="21"/>
          <w:szCs w:val="21"/>
          <w:highlight w:val="none"/>
        </w:rPr>
        <w:t>16.2投标报价具体包括内容详见“投标人须知前附表”。</w:t>
      </w:r>
    </w:p>
    <w:p w14:paraId="327663D5">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16.3投标人必须就所投每个分标的全部内容分别作完整唯一总价报价，不得存在漏项报价；投标人必须就所投分标的单项内容作唯一报价。</w:t>
      </w:r>
    </w:p>
    <w:p w14:paraId="02E0BFD2">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17.投标有效期</w:t>
      </w:r>
    </w:p>
    <w:p w14:paraId="032B7BD0">
      <w:pPr>
        <w:pStyle w:val="6"/>
        <w:keepNext w:val="0"/>
        <w:keepLines w:val="0"/>
        <w:spacing w:before="0" w:after="0" w:line="360" w:lineRule="auto"/>
        <w:ind w:firstLine="420" w:firstLineChars="200"/>
        <w:rPr>
          <w:rFonts w:hint="eastAsia" w:ascii="宋体" w:hAnsi="宋体" w:cs="宋体"/>
          <w:b w:val="0"/>
          <w:sz w:val="21"/>
          <w:szCs w:val="21"/>
          <w:highlight w:val="none"/>
        </w:rPr>
      </w:pPr>
      <w:bookmarkStart w:id="111" w:name="_17.1投标有效期应按“投标人须知中的前附表”规定的期限。"/>
      <w:bookmarkEnd w:id="111"/>
      <w:r>
        <w:rPr>
          <w:rFonts w:hint="eastAsia" w:ascii="宋体" w:hAnsi="宋体" w:cs="宋体"/>
          <w:b w:val="0"/>
          <w:sz w:val="21"/>
          <w:szCs w:val="21"/>
          <w:highlight w:val="none"/>
        </w:rPr>
        <w:t>17.1投标有效期是指为保证采购人有足够的时间在开标后完成评标、定标、合同签订等工作而要求投标人提交的投标文件在一定时间内保持有效的期限。</w:t>
      </w:r>
    </w:p>
    <w:p w14:paraId="36398799">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17.2</w:t>
      </w:r>
      <w:bookmarkStart w:id="112" w:name="_Toc254970540"/>
      <w:bookmarkStart w:id="113" w:name="_Toc254970681"/>
      <w:r>
        <w:rPr>
          <w:rFonts w:hint="eastAsia" w:ascii="宋体" w:hAnsi="宋体" w:cs="宋体"/>
          <w:b w:val="0"/>
          <w:sz w:val="21"/>
          <w:szCs w:val="21"/>
          <w:highlight w:val="none"/>
        </w:rPr>
        <w:t>投标有效期应按规定的期限作出承诺，具体详见“投标人须知前附表”。</w:t>
      </w:r>
    </w:p>
    <w:p w14:paraId="5813C96D">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17.3投标人的投标文件在投标有效期内均保持有效。</w:t>
      </w:r>
      <w:bookmarkEnd w:id="112"/>
      <w:bookmarkEnd w:id="113"/>
    </w:p>
    <w:p w14:paraId="0A232C6C">
      <w:pPr>
        <w:pStyle w:val="6"/>
        <w:keepNext w:val="0"/>
        <w:keepLines w:val="0"/>
        <w:spacing w:before="0" w:after="0" w:line="360" w:lineRule="auto"/>
        <w:ind w:left="420" w:leftChars="200"/>
        <w:rPr>
          <w:rFonts w:hint="eastAsia" w:ascii="宋体" w:hAnsi="宋体" w:cs="宋体"/>
          <w:sz w:val="21"/>
          <w:szCs w:val="21"/>
          <w:highlight w:val="none"/>
        </w:rPr>
      </w:pPr>
      <w:bookmarkStart w:id="114" w:name="_18.投标保证金"/>
      <w:bookmarkEnd w:id="114"/>
      <w:bookmarkStart w:id="115" w:name="_Toc254970541"/>
      <w:bookmarkStart w:id="116" w:name="_Toc254970682"/>
      <w:r>
        <w:rPr>
          <w:rFonts w:hint="eastAsia" w:ascii="宋体" w:hAnsi="宋体" w:cs="宋体"/>
          <w:sz w:val="21"/>
          <w:szCs w:val="21"/>
          <w:highlight w:val="none"/>
        </w:rPr>
        <w:t>18.投标保证金</w:t>
      </w:r>
      <w:bookmarkEnd w:id="115"/>
      <w:bookmarkEnd w:id="116"/>
    </w:p>
    <w:p w14:paraId="026BEC34">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18.1投标人须按“投标人须知前附表”的规定提交投标保证金。</w:t>
      </w:r>
    </w:p>
    <w:p w14:paraId="01512684">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18.2投标保证金的退还</w:t>
      </w:r>
    </w:p>
    <w:p w14:paraId="213F3C19">
      <w:pPr>
        <w:pStyle w:val="6"/>
        <w:keepNext w:val="0"/>
        <w:keepLines w:val="0"/>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未中标人的投标保证金自中标通知书发出之日起5个工作日内退还；中标人的投标保证金自政府采购合同签订之日起5个工作日内退还。</w:t>
      </w:r>
    </w:p>
    <w:p w14:paraId="11F140A7">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18.3除逾期退还投标保证金和终止招标的情形以外，投标保证金不计息。</w:t>
      </w:r>
    </w:p>
    <w:p w14:paraId="6F4A087D">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18.4投标人有下列情形之一的，投标保证金将不予退还：</w:t>
      </w:r>
    </w:p>
    <w:p w14:paraId="0634A65A">
      <w:pPr>
        <w:snapToGrid/>
        <w:spacing w:line="360" w:lineRule="auto"/>
        <w:ind w:firstLine="411" w:firstLineChars="196"/>
        <w:jc w:val="left"/>
        <w:rPr>
          <w:rFonts w:hint="eastAsia" w:ascii="宋体" w:hAnsi="宋体" w:cs="宋体"/>
          <w:sz w:val="21"/>
          <w:szCs w:val="21"/>
          <w:highlight w:val="none"/>
        </w:rPr>
      </w:pPr>
      <w:r>
        <w:rPr>
          <w:rFonts w:hint="eastAsia" w:ascii="宋体" w:hAnsi="宋体" w:cs="宋体"/>
          <w:sz w:val="21"/>
          <w:szCs w:val="21"/>
          <w:highlight w:val="none"/>
        </w:rPr>
        <w:t>（1）投标人在投标截止时间后至有效期内撤回投标文件的；</w:t>
      </w:r>
    </w:p>
    <w:p w14:paraId="2CDE7B07">
      <w:pPr>
        <w:snapToGrid/>
        <w:spacing w:line="360" w:lineRule="auto"/>
        <w:ind w:firstLine="411" w:firstLineChars="196"/>
        <w:jc w:val="left"/>
        <w:rPr>
          <w:rFonts w:hint="eastAsia" w:ascii="宋体" w:hAnsi="宋体" w:cs="宋体"/>
          <w:sz w:val="21"/>
          <w:szCs w:val="21"/>
          <w:highlight w:val="none"/>
        </w:rPr>
      </w:pPr>
      <w:r>
        <w:rPr>
          <w:rFonts w:hint="eastAsia" w:ascii="宋体" w:hAnsi="宋体" w:cs="宋体"/>
          <w:sz w:val="21"/>
          <w:szCs w:val="21"/>
          <w:highlight w:val="none"/>
        </w:rPr>
        <w:t>（2）中标后未按规定提交履约保证金的；</w:t>
      </w:r>
    </w:p>
    <w:p w14:paraId="6E227516">
      <w:pPr>
        <w:snapToGrid/>
        <w:spacing w:line="360" w:lineRule="auto"/>
        <w:ind w:firstLine="411" w:firstLineChars="196"/>
        <w:jc w:val="left"/>
        <w:rPr>
          <w:rFonts w:hint="eastAsia" w:ascii="宋体" w:hAnsi="宋体" w:cs="宋体"/>
          <w:sz w:val="21"/>
          <w:szCs w:val="21"/>
          <w:highlight w:val="none"/>
        </w:rPr>
      </w:pPr>
      <w:r>
        <w:rPr>
          <w:rFonts w:hint="eastAsia" w:ascii="宋体" w:hAnsi="宋体" w:cs="宋体"/>
          <w:sz w:val="21"/>
          <w:szCs w:val="21"/>
          <w:highlight w:val="none"/>
        </w:rPr>
        <w:t>（3）投标人在投标过程中弄虚作假，提供虚假材料的；</w:t>
      </w:r>
    </w:p>
    <w:p w14:paraId="3AF2BA03">
      <w:pPr>
        <w:snapToGrid/>
        <w:spacing w:line="360" w:lineRule="auto"/>
        <w:ind w:firstLine="411" w:firstLineChars="196"/>
        <w:rPr>
          <w:rFonts w:hint="eastAsia" w:ascii="宋体" w:hAnsi="宋体" w:cs="宋体"/>
          <w:sz w:val="21"/>
          <w:szCs w:val="21"/>
          <w:highlight w:val="none"/>
        </w:rPr>
      </w:pPr>
      <w:r>
        <w:rPr>
          <w:rFonts w:hint="eastAsia" w:ascii="宋体" w:hAnsi="宋体" w:cs="宋体"/>
          <w:sz w:val="21"/>
          <w:szCs w:val="21"/>
          <w:highlight w:val="none"/>
        </w:rPr>
        <w:t>（4）中标人无正当理由不与采购人签订合同的；</w:t>
      </w:r>
    </w:p>
    <w:p w14:paraId="0CD6EA06">
      <w:pPr>
        <w:snapToGrid/>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（5）投标人出现本章第9.2、9.3、30.4情形的；</w:t>
      </w:r>
    </w:p>
    <w:p w14:paraId="2BDC8EFE">
      <w:pPr>
        <w:snapToGrid/>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（6）法律法规规定的其他情形。</w:t>
      </w:r>
    </w:p>
    <w:p w14:paraId="4766838F">
      <w:pPr>
        <w:pStyle w:val="6"/>
        <w:keepNext w:val="0"/>
        <w:keepLines w:val="0"/>
        <w:spacing w:before="0" w:after="0" w:line="360" w:lineRule="auto"/>
        <w:ind w:left="420" w:leftChars="200"/>
        <w:rPr>
          <w:rFonts w:hint="eastAsia" w:ascii="宋体" w:hAnsi="宋体" w:cs="宋体"/>
          <w:sz w:val="21"/>
          <w:szCs w:val="21"/>
          <w:highlight w:val="none"/>
        </w:rPr>
      </w:pPr>
      <w:bookmarkStart w:id="117" w:name="_Toc254970542"/>
      <w:bookmarkStart w:id="118" w:name="_Toc254970683"/>
      <w:r>
        <w:rPr>
          <w:rFonts w:hint="eastAsia" w:ascii="宋体" w:hAnsi="宋体" w:cs="宋体"/>
          <w:sz w:val="21"/>
          <w:szCs w:val="21"/>
          <w:highlight w:val="none"/>
        </w:rPr>
        <w:t>19.投标文件的</w:t>
      </w:r>
      <w:bookmarkEnd w:id="117"/>
      <w:bookmarkEnd w:id="118"/>
      <w:r>
        <w:rPr>
          <w:rFonts w:hint="eastAsia" w:ascii="宋体" w:hAnsi="宋体" w:cs="宋体"/>
          <w:sz w:val="21"/>
          <w:szCs w:val="21"/>
          <w:highlight w:val="none"/>
        </w:rPr>
        <w:t>编制</w:t>
      </w:r>
    </w:p>
    <w:p w14:paraId="42D1E442">
      <w:pPr>
        <w:pStyle w:val="6"/>
        <w:keepNext w:val="0"/>
        <w:keepLines w:val="0"/>
        <w:spacing w:before="0" w:after="0" w:line="360" w:lineRule="auto"/>
        <w:ind w:firstLine="315" w:firstLineChars="150"/>
        <w:rPr>
          <w:rFonts w:hint="eastAsia" w:ascii="宋体" w:hAnsi="宋体" w:cs="宋体"/>
          <w:b w:val="0"/>
          <w:sz w:val="21"/>
          <w:szCs w:val="21"/>
          <w:highlight w:val="none"/>
        </w:rPr>
      </w:pPr>
      <w:r>
        <w:rPr>
          <w:rFonts w:hint="eastAsia" w:ascii="宋体" w:hAnsi="宋体" w:cs="宋体"/>
          <w:b w:val="0"/>
          <w:sz w:val="21"/>
          <w:szCs w:val="21"/>
          <w:highlight w:val="none"/>
        </w:rPr>
        <w:t>19.1投标人应按本招标文件规定的格式和顺序编制、装订投标文件并标注页码，投标文件内容不完整、编排混乱导致投标文件被误读、漏读或者查找不到相关内容的，由此引发的后果由投标人承担。</w:t>
      </w:r>
    </w:p>
    <w:p w14:paraId="092E939E">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bookmarkStart w:id="119" w:name="_19.2投标文件应按报价文件、资格证明文件、商务文件、技术文件分别编制"/>
      <w:bookmarkEnd w:id="119"/>
      <w:r>
        <w:rPr>
          <w:rFonts w:hint="eastAsia" w:ascii="宋体" w:hAnsi="宋体" w:cs="宋体"/>
          <w:b w:val="0"/>
          <w:sz w:val="21"/>
          <w:szCs w:val="21"/>
          <w:highlight w:val="none"/>
        </w:rPr>
        <w:t>19.2投标文件应按报价文件、资格证明文件、商务文件、技术文件分别编制电子文件，并按广西政府采购云平台的要求编制、加密、上传。</w:t>
      </w:r>
    </w:p>
    <w:p w14:paraId="5AE1CD7E">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19.</w:t>
      </w:r>
      <w:bookmarkStart w:id="120" w:name="_Hlk65832616"/>
      <w:r>
        <w:rPr>
          <w:rFonts w:hint="eastAsia" w:ascii="宋体" w:hAnsi="宋体" w:cs="宋体"/>
          <w:b w:val="0"/>
          <w:sz w:val="21"/>
          <w:szCs w:val="21"/>
          <w:highlight w:val="none"/>
        </w:rPr>
        <w:t>3投标文件须由投标人在规定位置盖公章并签字</w:t>
      </w:r>
      <w:bookmarkStart w:id="121" w:name="_Hlk65832569"/>
      <w:r>
        <w:rPr>
          <w:rFonts w:hint="eastAsia" w:ascii="宋体" w:hAnsi="宋体" w:cs="宋体"/>
          <w:b w:val="0"/>
          <w:sz w:val="21"/>
          <w:szCs w:val="21"/>
          <w:highlight w:val="none"/>
        </w:rPr>
        <w:t>（具体以投标人须知前附表或投标文件格式规定为准）</w:t>
      </w:r>
      <w:bookmarkEnd w:id="120"/>
      <w:bookmarkEnd w:id="121"/>
      <w:r>
        <w:rPr>
          <w:rFonts w:hint="eastAsia" w:ascii="宋体" w:hAnsi="宋体" w:cs="宋体"/>
          <w:b w:val="0"/>
          <w:sz w:val="21"/>
          <w:szCs w:val="21"/>
          <w:highlight w:val="none"/>
        </w:rPr>
        <w:t>，</w:t>
      </w:r>
      <w:r>
        <w:rPr>
          <w:rFonts w:hint="eastAsia" w:ascii="宋体" w:hAnsi="宋体" w:cs="宋体"/>
          <w:bCs/>
          <w:sz w:val="21"/>
          <w:szCs w:val="21"/>
          <w:highlight w:val="none"/>
        </w:rPr>
        <w:t>否则按无效投标处理</w:t>
      </w:r>
      <w:r>
        <w:rPr>
          <w:rFonts w:hint="eastAsia" w:ascii="宋体" w:hAnsi="宋体" w:cs="宋体"/>
          <w:b w:val="0"/>
          <w:sz w:val="21"/>
          <w:szCs w:val="21"/>
          <w:highlight w:val="none"/>
        </w:rPr>
        <w:t>。</w:t>
      </w:r>
    </w:p>
    <w:p w14:paraId="23954459">
      <w:pPr>
        <w:pStyle w:val="6"/>
        <w:keepNext w:val="0"/>
        <w:keepLines w:val="0"/>
        <w:spacing w:before="0" w:after="0" w:line="360" w:lineRule="auto"/>
        <w:ind w:firstLine="315" w:firstLineChars="150"/>
        <w:rPr>
          <w:rFonts w:hint="eastAsia" w:ascii="宋体" w:hAnsi="宋体" w:cs="宋体"/>
          <w:b w:val="0"/>
          <w:sz w:val="21"/>
          <w:szCs w:val="21"/>
          <w:highlight w:val="none"/>
        </w:rPr>
      </w:pPr>
      <w:r>
        <w:rPr>
          <w:rFonts w:hint="eastAsia" w:ascii="宋体" w:hAnsi="宋体" w:cs="宋体"/>
          <w:b w:val="0"/>
          <w:sz w:val="21"/>
          <w:szCs w:val="21"/>
          <w:highlight w:val="none"/>
        </w:rPr>
        <w:t>19.4投标文件中标注的投标人名称应与主体资格证明（如营业执照、事业单位法人证书、执业许可证、自然人身份证等）及公章一致，</w:t>
      </w:r>
      <w:r>
        <w:rPr>
          <w:rFonts w:hint="eastAsia" w:ascii="宋体" w:hAnsi="宋体" w:cs="宋体"/>
          <w:sz w:val="21"/>
          <w:szCs w:val="21"/>
          <w:highlight w:val="none"/>
        </w:rPr>
        <w:t>否则按无效投标处理</w:t>
      </w:r>
      <w:r>
        <w:rPr>
          <w:rFonts w:hint="eastAsia" w:ascii="宋体" w:hAnsi="宋体" w:cs="宋体"/>
          <w:b w:val="0"/>
          <w:sz w:val="21"/>
          <w:szCs w:val="21"/>
          <w:highlight w:val="none"/>
        </w:rPr>
        <w:t>。</w:t>
      </w:r>
    </w:p>
    <w:p w14:paraId="306BE18D">
      <w:pPr>
        <w:pStyle w:val="6"/>
        <w:keepNext w:val="0"/>
        <w:keepLines w:val="0"/>
        <w:spacing w:before="0" w:after="0" w:line="360" w:lineRule="auto"/>
        <w:ind w:firstLine="315" w:firstLineChars="150"/>
        <w:rPr>
          <w:rFonts w:hint="eastAsia" w:ascii="宋体" w:hAnsi="宋体" w:cs="宋体"/>
          <w:b w:val="0"/>
          <w:sz w:val="21"/>
          <w:szCs w:val="21"/>
          <w:highlight w:val="none"/>
        </w:rPr>
      </w:pPr>
      <w:r>
        <w:rPr>
          <w:rFonts w:hint="eastAsia" w:ascii="宋体" w:hAnsi="宋体" w:cs="宋体"/>
          <w:b w:val="0"/>
          <w:sz w:val="21"/>
          <w:szCs w:val="21"/>
          <w:highlight w:val="none"/>
        </w:rPr>
        <w:t>19.5投标文件应尽量避免涂改、行间插字或者删除。如果出现上述情况，改动之处应由投标人的法定代表人或者其委托代理人签字或者加盖公章。投标文件因字迹潦草或者表达不清所引起的后果由投标人承担。</w:t>
      </w:r>
    </w:p>
    <w:p w14:paraId="35B8A22F">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20.投标文件的加密、解密</w:t>
      </w:r>
    </w:p>
    <w:p w14:paraId="0732B540">
      <w:pPr>
        <w:pStyle w:val="6"/>
        <w:keepNext w:val="0"/>
        <w:keepLines w:val="0"/>
        <w:spacing w:before="0" w:after="0" w:line="360" w:lineRule="auto"/>
        <w:ind w:firstLine="315" w:firstLineChars="150"/>
        <w:rPr>
          <w:rFonts w:hint="eastAsia" w:ascii="宋体" w:hAnsi="宋体" w:cs="宋体"/>
          <w:b w:val="0"/>
          <w:sz w:val="21"/>
          <w:szCs w:val="21"/>
          <w:highlight w:val="none"/>
        </w:rPr>
      </w:pPr>
      <w:r>
        <w:rPr>
          <w:rFonts w:hint="eastAsia" w:ascii="宋体" w:hAnsi="宋体" w:cs="宋体"/>
          <w:b w:val="0"/>
          <w:sz w:val="21"/>
          <w:szCs w:val="21"/>
          <w:highlight w:val="none"/>
        </w:rPr>
        <w:t>20.1电子投标文件编制完成后，投标人应按广西政府采购云平台的要求进行加密，并在规定时间内解密，否则，由此产生的后果由投标人自行负责。</w:t>
      </w:r>
    </w:p>
    <w:p w14:paraId="1542709F">
      <w:pPr>
        <w:pStyle w:val="6"/>
        <w:keepNext w:val="0"/>
        <w:keepLines w:val="0"/>
        <w:spacing w:before="0" w:after="0" w:line="360" w:lineRule="auto"/>
        <w:ind w:left="420" w:leftChars="200"/>
        <w:rPr>
          <w:rFonts w:hint="eastAsia" w:ascii="宋体" w:hAnsi="宋体" w:cs="宋体"/>
          <w:b w:val="0"/>
          <w:sz w:val="21"/>
          <w:szCs w:val="21"/>
          <w:highlight w:val="none"/>
        </w:rPr>
      </w:pPr>
      <w:r>
        <w:rPr>
          <w:rFonts w:hint="eastAsia" w:ascii="宋体" w:hAnsi="宋体" w:cs="宋体"/>
          <w:b w:val="0"/>
          <w:sz w:val="21"/>
          <w:szCs w:val="21"/>
          <w:highlight w:val="none"/>
        </w:rPr>
        <w:t>20.2本项目不接受电子备份投标文件。</w:t>
      </w:r>
    </w:p>
    <w:p w14:paraId="3F60195D">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21.投标文件的提交</w:t>
      </w:r>
    </w:p>
    <w:p w14:paraId="64B9D8B4">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bookmarkStart w:id="122" w:name="_21.1投标人必须在“投标人须知中的前附表”规定的投标文件接收时间和投"/>
      <w:bookmarkEnd w:id="122"/>
      <w:r>
        <w:rPr>
          <w:rFonts w:hint="eastAsia" w:ascii="宋体" w:hAnsi="宋体" w:cs="宋体"/>
          <w:b w:val="0"/>
          <w:sz w:val="21"/>
          <w:szCs w:val="21"/>
          <w:highlight w:val="none"/>
        </w:rPr>
        <w:t>21.1投标人必须在“投标人须知前附表”规定的投标文件接收时间和投标地点提交投标文件。</w:t>
      </w:r>
    </w:p>
    <w:p w14:paraId="48BB5C03">
      <w:pPr>
        <w:pStyle w:val="6"/>
        <w:keepNext w:val="0"/>
        <w:keepLines w:val="0"/>
        <w:numPr>
          <w:ilvl w:val="0"/>
          <w:numId w:val="0"/>
        </w:numPr>
        <w:spacing w:before="0" w:after="0" w:line="360" w:lineRule="auto"/>
        <w:ind w:firstLine="420" w:firstLineChars="200"/>
        <w:rPr>
          <w:rFonts w:hint="eastAsia" w:ascii="宋体" w:hAnsi="宋体" w:cs="宋体"/>
          <w:b w:val="0"/>
          <w:sz w:val="21"/>
          <w:szCs w:val="21"/>
          <w:highlight w:val="none"/>
        </w:rPr>
      </w:pPr>
      <w:r>
        <w:rPr>
          <w:rFonts w:hint="eastAsia" w:ascii="宋体" w:hAnsi="宋体" w:cs="宋体"/>
          <w:b w:val="0"/>
          <w:sz w:val="21"/>
          <w:szCs w:val="21"/>
          <w:highlight w:val="none"/>
        </w:rPr>
        <w:t>21.2本项目为全流程电子化政府采购项目，通过广西政府采购云平台（https://www.gcy.zfcg.gxzf.gov.cn/）实行在线电子投标。投标人必须在“投标人须知前附表”规定的投标文件接收时间内通过网络将电子投标文件上传至广西政府采购云平台，供应商在广西政府采购云平台提交电子版投标文件时，请填写参加远程开标活动经办人联系方式。</w:t>
      </w:r>
    </w:p>
    <w:p w14:paraId="56C5CB23">
      <w:pPr>
        <w:pStyle w:val="6"/>
        <w:keepNext w:val="0"/>
        <w:keepLines w:val="0"/>
        <w:numPr>
          <w:ilvl w:val="0"/>
          <w:numId w:val="0"/>
        </w:numPr>
        <w:spacing w:before="0" w:after="0" w:line="360" w:lineRule="auto"/>
        <w:ind w:firstLine="420" w:firstLineChars="200"/>
        <w:jc w:val="left"/>
        <w:rPr>
          <w:rFonts w:hint="eastAsia" w:ascii="宋体" w:hAnsi="宋体" w:cs="宋体"/>
          <w:b w:val="0"/>
          <w:sz w:val="21"/>
          <w:szCs w:val="21"/>
          <w:highlight w:val="none"/>
        </w:rPr>
      </w:pPr>
      <w:r>
        <w:rPr>
          <w:rFonts w:hint="eastAsia" w:ascii="宋体" w:hAnsi="宋体" w:cs="宋体"/>
          <w:b w:val="0"/>
          <w:sz w:val="21"/>
          <w:szCs w:val="21"/>
          <w:highlight w:val="none"/>
        </w:rPr>
        <w:t>21.3未在规定时间内上传或者未按广西政府采购云平台的要求编制、加密的电子投标文件，广西政府采购云平台将拒收。</w:t>
      </w:r>
    </w:p>
    <w:p w14:paraId="7D0ED4B4">
      <w:pPr>
        <w:pStyle w:val="7"/>
        <w:spacing w:line="360" w:lineRule="auto"/>
        <w:rPr>
          <w:rFonts w:hint="eastAsia" w:ascii="宋体" w:hAnsi="宋体" w:cs="宋体"/>
          <w:sz w:val="21"/>
          <w:szCs w:val="21"/>
          <w:highlight w:val="none"/>
        </w:rPr>
      </w:pPr>
      <w:r>
        <w:rPr>
          <w:rFonts w:hint="eastAsia" w:ascii="宋体" w:hAnsi="宋体" w:cs="宋体"/>
          <w:sz w:val="21"/>
          <w:szCs w:val="21"/>
          <w:highlight w:val="none"/>
        </w:rPr>
        <w:t>21.4电子投标文件提交方式见“招标公告”中“四、提交投标文件截止时间、开标时间和地点”</w:t>
      </w:r>
    </w:p>
    <w:p w14:paraId="3D02F92C">
      <w:pPr>
        <w:pStyle w:val="6"/>
        <w:keepNext w:val="0"/>
        <w:keepLines w:val="0"/>
        <w:spacing w:before="0" w:after="0" w:line="360" w:lineRule="auto"/>
        <w:ind w:left="420" w:leftChars="200"/>
        <w:rPr>
          <w:rFonts w:hint="eastAsia" w:ascii="宋体" w:hAnsi="宋体" w:cs="宋体"/>
          <w:sz w:val="21"/>
          <w:szCs w:val="21"/>
          <w:highlight w:val="none"/>
        </w:rPr>
      </w:pPr>
      <w:r>
        <w:rPr>
          <w:rFonts w:hint="eastAsia" w:ascii="宋体" w:hAnsi="宋体" w:cs="宋体"/>
          <w:sz w:val="21"/>
          <w:szCs w:val="21"/>
          <w:highlight w:val="none"/>
        </w:rPr>
        <w:t>22.投标文件的补充、修改、撤回与退回</w:t>
      </w:r>
    </w:p>
    <w:p w14:paraId="361DE986">
      <w:pPr>
        <w:snapToGrid/>
        <w:spacing w:line="360" w:lineRule="auto"/>
        <w:ind w:firstLine="420"/>
        <w:jc w:val="left"/>
        <w:rPr>
          <w:rFonts w:hint="eastAsia" w:ascii="宋体" w:hAnsi="宋体" w:cs="宋体"/>
          <w:sz w:val="21"/>
          <w:szCs w:val="21"/>
          <w:highlight w:val="none"/>
        </w:rPr>
      </w:pPr>
      <w:bookmarkStart w:id="123" w:name="_Toc254970543"/>
      <w:bookmarkStart w:id="124" w:name="_Toc254970684"/>
      <w:r>
        <w:rPr>
          <w:rFonts w:hint="eastAsia" w:ascii="宋体" w:hAnsi="宋体" w:cs="宋体"/>
          <w:sz w:val="21"/>
          <w:szCs w:val="21"/>
          <w:highlight w:val="none"/>
        </w:rPr>
        <w:t>22.1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bookmarkEnd w:id="123"/>
      <w:bookmarkEnd w:id="124"/>
      <w:r>
        <w:rPr>
          <w:rFonts w:hint="eastAsia" w:ascii="宋体" w:hAnsi="宋体" w:cs="宋体"/>
          <w:sz w:val="21"/>
          <w:szCs w:val="21"/>
          <w:highlight w:val="none"/>
        </w:rPr>
        <w:t>（补充、修改或者撤回方式可</w:t>
      </w:r>
      <w:r>
        <w:rPr>
          <w:rFonts w:hint="eastAsia" w:ascii="宋体" w:hAnsi="宋体" w:cs="宋体"/>
          <w:sz w:val="21"/>
          <w:szCs w:val="21"/>
          <w:highlight w:val="none"/>
          <w:lang w:eastAsia="zh-CN"/>
        </w:rPr>
        <w:t>登录</w:t>
      </w:r>
      <w:r>
        <w:rPr>
          <w:rFonts w:hint="eastAsia" w:ascii="宋体" w:hAnsi="宋体" w:cs="宋体"/>
          <w:sz w:val="21"/>
          <w:szCs w:val="21"/>
          <w:highlight w:val="none"/>
        </w:rPr>
        <w:t>广西政府采购云平台，依次进入“服务中心”中查看“电子投标文件制作与投送教程”）。</w:t>
      </w:r>
    </w:p>
    <w:p w14:paraId="349479AB">
      <w:pPr>
        <w:snapToGrid/>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22.2在投标截止时间止提交投标文件的投标人不足3家时，不得开标，采购代理机构将根据广西政府采购云平台的操作将电子版投标文件退回，除此之外采购人和采购代理机构对已提交的投标文件概不退回。</w:t>
      </w:r>
    </w:p>
    <w:p w14:paraId="3F0C739B">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22.3投标人在投标截止时间后书面通知采购人、采购代理机构撤回投标文件的，将根据本须知正文18.4的规定不予退还其投标保证金。</w:t>
      </w:r>
    </w:p>
    <w:p w14:paraId="511AEF3E">
      <w:pPr>
        <w:pStyle w:val="4"/>
        <w:keepNext w:val="0"/>
        <w:keepLines w:val="0"/>
        <w:spacing w:line="360" w:lineRule="auto"/>
        <w:jc w:val="center"/>
        <w:rPr>
          <w:rFonts w:ascii="宋体" w:hAnsi="宋体" w:cs="宋体"/>
          <w:highlight w:val="none"/>
        </w:rPr>
      </w:pPr>
      <w:bookmarkStart w:id="125" w:name="_Toc254970544"/>
      <w:bookmarkStart w:id="126" w:name="_Toc254970685"/>
      <w:r>
        <w:rPr>
          <w:rFonts w:hint="eastAsia" w:ascii="宋体" w:hAnsi="宋体" w:cs="宋体"/>
          <w:highlight w:val="none"/>
        </w:rPr>
        <w:t>四、开标</w:t>
      </w:r>
      <w:bookmarkEnd w:id="125"/>
      <w:bookmarkEnd w:id="126"/>
    </w:p>
    <w:p w14:paraId="115902FB">
      <w:pPr>
        <w:pStyle w:val="6"/>
        <w:keepNext w:val="0"/>
        <w:keepLines w:val="0"/>
        <w:spacing w:before="0" w:after="0" w:line="360" w:lineRule="auto"/>
        <w:ind w:left="0" w:leftChars="0"/>
        <w:rPr>
          <w:rFonts w:ascii="宋体" w:hAnsi="宋体" w:cs="宋体"/>
          <w:sz w:val="21"/>
          <w:szCs w:val="21"/>
          <w:highlight w:val="none"/>
        </w:rPr>
      </w:pPr>
      <w:bookmarkStart w:id="127" w:name="_23.开标时间和地点"/>
      <w:bookmarkEnd w:id="127"/>
      <w:r>
        <w:rPr>
          <w:rFonts w:hint="eastAsia" w:ascii="宋体" w:hAnsi="宋体" w:cs="宋体"/>
          <w:sz w:val="21"/>
          <w:szCs w:val="21"/>
          <w:highlight w:val="none"/>
        </w:rPr>
        <w:t>23.开标时间和地点</w:t>
      </w:r>
    </w:p>
    <w:p w14:paraId="1ED4086A">
      <w:pPr>
        <w:snapToGrid/>
        <w:spacing w:line="360" w:lineRule="auto"/>
        <w:ind w:firstLine="420"/>
        <w:jc w:val="left"/>
        <w:rPr>
          <w:rFonts w:ascii="宋体" w:hAnsi="宋体" w:cs="宋体"/>
          <w:sz w:val="21"/>
          <w:szCs w:val="21"/>
          <w:highlight w:val="none"/>
        </w:rPr>
      </w:pPr>
      <w:r>
        <w:rPr>
          <w:rFonts w:hint="eastAsia" w:ascii="宋体" w:hAnsi="宋体" w:cs="宋体"/>
          <w:sz w:val="21"/>
          <w:szCs w:val="21"/>
          <w:highlight w:val="none"/>
        </w:rPr>
        <w:t>23.1开标时间及地点详见“投标人须知前附表”</w:t>
      </w:r>
    </w:p>
    <w:p w14:paraId="47538AF2">
      <w:pPr>
        <w:snapToGrid/>
        <w:spacing w:line="360" w:lineRule="auto"/>
        <w:ind w:firstLine="420"/>
        <w:jc w:val="left"/>
        <w:rPr>
          <w:rFonts w:ascii="宋体" w:hAnsi="宋体" w:cs="宋体"/>
          <w:sz w:val="21"/>
          <w:szCs w:val="21"/>
          <w:highlight w:val="none"/>
        </w:rPr>
      </w:pPr>
      <w:r>
        <w:rPr>
          <w:rFonts w:hint="eastAsia" w:ascii="宋体" w:hAnsi="宋体" w:cs="宋体"/>
          <w:sz w:val="21"/>
          <w:szCs w:val="21"/>
          <w:highlight w:val="none"/>
        </w:rPr>
        <w:t>23.2如投标人成功解密投标文件，但未在“广西政府采购云平台”电子开标大厅参加开标的，视同认可开标过程和结果，由此产生的后果由投标人自行负责。成功解密投标文件的投标人不足3家的，不得开标。</w:t>
      </w:r>
    </w:p>
    <w:p w14:paraId="6B0647D8">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24.开标程序</w:t>
      </w:r>
    </w:p>
    <w:p w14:paraId="6AFF12D1">
      <w:pPr>
        <w:autoSpaceDE w:val="0"/>
        <w:autoSpaceDN w:val="0"/>
        <w:adjustRightInd/>
        <w:spacing w:line="360" w:lineRule="auto"/>
        <w:ind w:firstLine="420" w:firstLineChars="200"/>
        <w:rPr>
          <w:rFonts w:ascii="宋体" w:hAnsi="宋体" w:cs="宋体"/>
          <w:kern w:val="0"/>
          <w:sz w:val="21"/>
          <w:szCs w:val="21"/>
          <w:highlight w:val="none"/>
        </w:rPr>
      </w:pPr>
      <w:r>
        <w:rPr>
          <w:rFonts w:hint="eastAsia" w:ascii="宋体" w:hAnsi="宋体" w:cs="宋体"/>
          <w:bCs/>
          <w:sz w:val="21"/>
          <w:szCs w:val="21"/>
          <w:highlight w:val="none"/>
        </w:rPr>
        <w:t>24.1</w:t>
      </w:r>
      <w:r>
        <w:rPr>
          <w:rFonts w:hint="eastAsia" w:ascii="宋体" w:hAnsi="宋体" w:cs="宋体"/>
          <w:kern w:val="0"/>
          <w:sz w:val="21"/>
          <w:szCs w:val="21"/>
          <w:highlight w:val="none"/>
        </w:rPr>
        <w:t>开标形式：</w:t>
      </w:r>
    </w:p>
    <w:p w14:paraId="5681C4C0">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B65D816">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24.2开标程序：</w:t>
      </w:r>
    </w:p>
    <w:p w14:paraId="1D1F91C5">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（1）解密电子投标文件。广西政府采购云平台按开标时间自动提取所有投标文件。采购代理机构依托广西政府采购云平台向各投标人发出电子加密投标文件【开始解密】通知，由投标人进行投标文件解密。</w:t>
      </w:r>
      <w:r>
        <w:rPr>
          <w:rFonts w:hint="eastAsia" w:ascii="宋体" w:hAnsi="宋体" w:cs="宋体"/>
          <w:b/>
          <w:bCs/>
          <w:sz w:val="21"/>
          <w:szCs w:val="21"/>
          <w:highlight w:val="none"/>
        </w:rPr>
        <w:t>投标人的法定代表人或其委托代理人须携带加密时所用的CA锁准时登录到广西政府采购云平台电子开标大厅签到</w:t>
      </w:r>
      <w:r>
        <w:rPr>
          <w:rFonts w:hint="eastAsia" w:ascii="宋体" w:hAnsi="宋体" w:cs="宋体"/>
          <w:b/>
          <w:sz w:val="21"/>
          <w:szCs w:val="21"/>
          <w:highlight w:val="none"/>
        </w:rPr>
        <w:t>并在发起解密</w:t>
      </w:r>
      <w:r>
        <w:rPr>
          <w:rFonts w:hint="eastAsia" w:ascii="宋体" w:hAnsi="宋体" w:cs="宋体"/>
          <w:b/>
          <w:bCs/>
          <w:sz w:val="21"/>
          <w:szCs w:val="21"/>
          <w:highlight w:val="none"/>
        </w:rPr>
        <w:t>通知</w:t>
      </w:r>
      <w:r>
        <w:rPr>
          <w:rFonts w:hint="eastAsia" w:ascii="宋体" w:hAnsi="宋体" w:cs="宋体"/>
          <w:b/>
          <w:sz w:val="21"/>
          <w:szCs w:val="21"/>
          <w:highlight w:val="none"/>
        </w:rPr>
        <w:t>之时起30分钟内完成</w:t>
      </w:r>
      <w:r>
        <w:rPr>
          <w:rFonts w:hint="eastAsia" w:ascii="宋体" w:hAnsi="宋体" w:cs="宋体"/>
          <w:b/>
          <w:bCs/>
          <w:sz w:val="21"/>
          <w:szCs w:val="21"/>
          <w:highlight w:val="none"/>
        </w:rPr>
        <w:t>对电子投标文件解密。投标文件未按时解密的，视为无效投标。</w:t>
      </w:r>
      <w:r>
        <w:rPr>
          <w:rFonts w:hint="eastAsia" w:ascii="宋体" w:hAnsi="宋体" w:cs="宋体"/>
          <w:bCs/>
          <w:sz w:val="21"/>
          <w:szCs w:val="21"/>
          <w:highlight w:val="none"/>
        </w:rPr>
        <w:t>（解密异常情况处理：详见本章29.</w:t>
      </w:r>
      <w:r>
        <w:rPr>
          <w:rFonts w:ascii="宋体" w:hAnsi="宋体" w:cs="宋体"/>
          <w:bCs/>
          <w:sz w:val="21"/>
          <w:szCs w:val="21"/>
          <w:highlight w:val="none"/>
        </w:rPr>
        <w:t>5</w:t>
      </w:r>
      <w:r>
        <w:rPr>
          <w:rFonts w:hint="eastAsia" w:ascii="宋体" w:hAnsi="宋体" w:cs="宋体"/>
          <w:bCs/>
          <w:sz w:val="21"/>
          <w:szCs w:val="21"/>
          <w:highlight w:val="none"/>
        </w:rPr>
        <w:t>电子交易活动的中止。</w:t>
      </w:r>
    </w:p>
    <w:p w14:paraId="5F27FADF">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（2）电子唱标。投标文件解密结束，各投标供应商报价均在“广西政府采购云平台”平台远程不见面开标大厅展示；</w:t>
      </w:r>
    </w:p>
    <w:p w14:paraId="1BD021B8">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（3）签署电子《政府采购活动现场确认声明书》。通过邮件形式在远程不见面开标大厅发送各投标人签署电子《政府采购活动现场确认声明书》。</w:t>
      </w:r>
    </w:p>
    <w:p w14:paraId="1AAA481E">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119D6A30">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5EFF6B42">
      <w:pPr>
        <w:autoSpaceDE w:val="0"/>
        <w:autoSpaceDN w:val="0"/>
        <w:adjustRightInd/>
        <w:spacing w:line="360" w:lineRule="auto"/>
        <w:ind w:firstLine="420" w:firstLineChars="200"/>
        <w:rPr>
          <w:rFonts w:ascii="宋体" w:hAnsi="宋体" w:cs="宋体"/>
          <w:bCs/>
          <w:sz w:val="21"/>
          <w:szCs w:val="21"/>
          <w:highlight w:val="none"/>
        </w:rPr>
      </w:pPr>
      <w:r>
        <w:rPr>
          <w:rFonts w:hint="eastAsia" w:ascii="宋体" w:hAnsi="宋体" w:cs="宋体"/>
          <w:bCs/>
          <w:sz w:val="21"/>
          <w:szCs w:val="21"/>
          <w:highlight w:val="none"/>
        </w:rPr>
        <w:t>（6）开标结束。</w:t>
      </w:r>
    </w:p>
    <w:p w14:paraId="07C2A92F">
      <w:pPr>
        <w:autoSpaceDE w:val="0"/>
        <w:autoSpaceDN w:val="0"/>
        <w:adjustRightInd/>
        <w:spacing w:line="360" w:lineRule="auto"/>
        <w:ind w:firstLine="422" w:firstLineChars="200"/>
        <w:rPr>
          <w:rFonts w:ascii="宋体" w:hAnsi="宋体" w:cs="宋体"/>
          <w:b/>
          <w:bCs/>
          <w:sz w:val="21"/>
          <w:szCs w:val="21"/>
          <w:highlight w:val="none"/>
        </w:rPr>
      </w:pPr>
      <w:r>
        <w:rPr>
          <w:rFonts w:hint="eastAsia" w:ascii="宋体" w:hAnsi="宋体" w:cs="宋体"/>
          <w:b/>
          <w:bCs/>
          <w:sz w:val="21"/>
          <w:szCs w:val="21"/>
          <w:highlight w:val="none"/>
        </w:rPr>
        <w:t>特别说明：如遇广西政府采购云平台电子化开标或评审程序调整的，按调整后执行。</w:t>
      </w:r>
    </w:p>
    <w:p w14:paraId="43B939EE">
      <w:pPr>
        <w:pStyle w:val="4"/>
        <w:keepNext w:val="0"/>
        <w:keepLines w:val="0"/>
        <w:spacing w:line="360" w:lineRule="auto"/>
        <w:jc w:val="center"/>
        <w:rPr>
          <w:rFonts w:ascii="宋体" w:hAnsi="宋体" w:cs="宋体"/>
          <w:highlight w:val="none"/>
        </w:rPr>
      </w:pPr>
      <w:r>
        <w:rPr>
          <w:rFonts w:hint="eastAsia" w:ascii="宋体" w:hAnsi="宋体" w:cs="宋体"/>
          <w:highlight w:val="none"/>
        </w:rPr>
        <w:t>五、资格审查</w:t>
      </w:r>
    </w:p>
    <w:p w14:paraId="33F04524">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25.资格审查</w:t>
      </w:r>
    </w:p>
    <w:p w14:paraId="23993C37">
      <w:pPr>
        <w:pStyle w:val="6"/>
        <w:keepNext w:val="0"/>
        <w:keepLines w:val="0"/>
        <w:spacing w:before="0" w:after="0" w:line="360" w:lineRule="auto"/>
        <w:ind w:firstLine="315" w:firstLineChars="150"/>
        <w:rPr>
          <w:rFonts w:ascii="宋体" w:hAnsi="宋体" w:cs="宋体"/>
          <w:b w:val="0"/>
          <w:sz w:val="21"/>
          <w:szCs w:val="21"/>
          <w:highlight w:val="none"/>
        </w:rPr>
      </w:pPr>
      <w:r>
        <w:rPr>
          <w:rFonts w:hint="eastAsia" w:ascii="宋体" w:hAnsi="宋体" w:cs="宋体"/>
          <w:b w:val="0"/>
          <w:sz w:val="21"/>
          <w:szCs w:val="21"/>
          <w:highlight w:val="none"/>
        </w:rPr>
        <w:t>25.1开标结束后，采购人或者采购代理机构依法对投标人的资格进行审查。</w:t>
      </w:r>
    </w:p>
    <w:p w14:paraId="48A7BE0E">
      <w:pPr>
        <w:pStyle w:val="6"/>
        <w:keepNext w:val="0"/>
        <w:keepLines w:val="0"/>
        <w:spacing w:before="0" w:after="0" w:line="360" w:lineRule="auto"/>
        <w:ind w:firstLine="315" w:firstLineChars="150"/>
        <w:rPr>
          <w:rFonts w:ascii="宋体" w:hAnsi="宋体" w:cs="宋体"/>
          <w:b w:val="0"/>
          <w:sz w:val="21"/>
          <w:szCs w:val="21"/>
          <w:highlight w:val="none"/>
        </w:rPr>
      </w:pPr>
      <w:r>
        <w:rPr>
          <w:rFonts w:hint="eastAsia" w:ascii="宋体" w:hAnsi="宋体" w:cs="宋体"/>
          <w:b w:val="0"/>
          <w:sz w:val="21"/>
          <w:szCs w:val="21"/>
          <w:highlight w:val="none"/>
        </w:rPr>
        <w:t>25.2资格审查标准为本招标文件中载明对投标人资格要求的条件。本项目资格审查采用合格制，凡符合招标文件规定的投标人资格要求的投标人均通过资格审查。</w:t>
      </w:r>
    </w:p>
    <w:p w14:paraId="66330224">
      <w:pPr>
        <w:pStyle w:val="6"/>
        <w:keepNext w:val="0"/>
        <w:keepLines w:val="0"/>
        <w:numPr>
          <w:ilvl w:val="0"/>
          <w:numId w:val="0"/>
        </w:numPr>
        <w:spacing w:before="0" w:after="0" w:line="360" w:lineRule="auto"/>
        <w:ind w:firstLine="422" w:firstLineChars="200"/>
        <w:rPr>
          <w:rFonts w:ascii="宋体" w:hAnsi="宋体" w:cs="宋体"/>
          <w:sz w:val="21"/>
          <w:szCs w:val="21"/>
          <w:highlight w:val="none"/>
        </w:rPr>
      </w:pPr>
      <w:bookmarkStart w:id="128" w:name="_25.3_投标人有下列情形之一的，资格审查不通过而导致其投标无效："/>
      <w:bookmarkEnd w:id="128"/>
      <w:r>
        <w:rPr>
          <w:rFonts w:hint="eastAsia" w:ascii="宋体" w:hAnsi="宋体" w:cs="宋体"/>
          <w:sz w:val="21"/>
          <w:szCs w:val="21"/>
          <w:highlight w:val="none"/>
        </w:rPr>
        <w:t>25.3投标人有下列情形之一的，资格审查不通过，作无效投标处理：</w:t>
      </w:r>
    </w:p>
    <w:p w14:paraId="4DE5FDDD">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（1）未按招标文件规定的方式获取本招标文件的投标人；</w:t>
      </w:r>
    </w:p>
    <w:p w14:paraId="0B48D883">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（2）不具备招标文件中规定的资格要求的；</w:t>
      </w:r>
    </w:p>
    <w:p w14:paraId="04A6C92C">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（3）在“信用中国”网站(www.creditchina.gov.cn)、中国政府采购网(www.ccgp.gov.cn)</w:t>
      </w:r>
      <w:r>
        <w:rPr>
          <w:rFonts w:hint="eastAsia" w:hAnsi="宋体" w:cs="宋体"/>
          <w:b/>
          <w:sz w:val="21"/>
          <w:szCs w:val="21"/>
          <w:highlight w:val="none"/>
          <w:lang w:eastAsia="zh-CN"/>
        </w:rPr>
        <w:t>、</w:t>
      </w:r>
      <w:r>
        <w:rPr>
          <w:rFonts w:hint="eastAsia" w:hAnsi="宋体" w:cs="宋体"/>
          <w:b/>
          <w:sz w:val="21"/>
          <w:szCs w:val="21"/>
          <w:highlight w:val="none"/>
        </w:rPr>
        <w:t>中国执行信息公开网（https://zxgk.court.gov.cn/）被列入失信被执行人、重大税收违法失信主体、政府采购严重违法失信行为记录名单及其他不符合《中华人民共和国政府采购法》第二十二条规定条件的（注：其中信用查询规则见“投标人须知前附表”）；</w:t>
      </w:r>
    </w:p>
    <w:p w14:paraId="0D805D93">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（4）同一合同项下的不同投标人，单位负责人为同一人或者存在直接控股、管理关系的；为本项目提供过整体设计、规范编制或者项目管理、监理、检测等服务的供应商，再参加该采购项目的其他采购活动的；</w:t>
      </w:r>
    </w:p>
    <w:p w14:paraId="109299E9">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（5）投标文件中的资格证明文件缺少任一项“投标人须知前附表”资格证明文件规定“必须提供”的文件资料的；</w:t>
      </w:r>
    </w:p>
    <w:p w14:paraId="63273A63">
      <w:pPr>
        <w:pStyle w:val="25"/>
        <w:snapToGrid/>
        <w:spacing w:line="360" w:lineRule="auto"/>
        <w:ind w:firstLine="422" w:firstLineChars="200"/>
        <w:rPr>
          <w:rFonts w:hAnsi="宋体" w:cs="宋体"/>
          <w:b/>
          <w:sz w:val="21"/>
          <w:szCs w:val="21"/>
          <w:highlight w:val="none"/>
        </w:rPr>
      </w:pPr>
      <w:r>
        <w:rPr>
          <w:rFonts w:hint="eastAsia" w:hAnsi="宋体" w:cs="宋体"/>
          <w:b/>
          <w:sz w:val="21"/>
          <w:szCs w:val="21"/>
          <w:highlight w:val="none"/>
        </w:rPr>
        <w:t>（6）投标文件中的资格证明文件出现任一项不符合“投标人须知前附表”资格证明文件规定“必须提供”的文件资料要求或者无效的。</w:t>
      </w:r>
    </w:p>
    <w:p w14:paraId="72F7D163">
      <w:pPr>
        <w:pStyle w:val="6"/>
        <w:keepNext w:val="0"/>
        <w:keepLines w:val="0"/>
        <w:spacing w:before="0" w:after="0" w:line="360" w:lineRule="auto"/>
        <w:ind w:left="0" w:leftChars="0"/>
        <w:rPr>
          <w:rFonts w:ascii="宋体" w:hAnsi="宋体" w:cs="宋体"/>
          <w:b w:val="0"/>
          <w:sz w:val="21"/>
          <w:szCs w:val="21"/>
          <w:highlight w:val="none"/>
        </w:rPr>
      </w:pPr>
      <w:r>
        <w:rPr>
          <w:rFonts w:hint="eastAsia" w:ascii="宋体" w:hAnsi="宋体" w:cs="宋体"/>
          <w:sz w:val="21"/>
          <w:szCs w:val="21"/>
          <w:highlight w:val="none"/>
        </w:rPr>
        <w:t>25.4合格投标人不足3家的，不得评标。</w:t>
      </w:r>
    </w:p>
    <w:p w14:paraId="3C58D706">
      <w:pPr>
        <w:pStyle w:val="4"/>
        <w:keepNext w:val="0"/>
        <w:keepLines w:val="0"/>
        <w:spacing w:line="360" w:lineRule="auto"/>
        <w:jc w:val="center"/>
        <w:rPr>
          <w:rFonts w:ascii="宋体" w:hAnsi="宋体" w:cs="宋体"/>
          <w:highlight w:val="none"/>
        </w:rPr>
      </w:pPr>
      <w:r>
        <w:rPr>
          <w:rFonts w:hint="eastAsia" w:ascii="宋体" w:hAnsi="宋体" w:cs="宋体"/>
          <w:highlight w:val="none"/>
        </w:rPr>
        <w:t>六、评标</w:t>
      </w:r>
    </w:p>
    <w:p w14:paraId="373DDE8B">
      <w:pPr>
        <w:pStyle w:val="6"/>
        <w:keepNext w:val="0"/>
        <w:keepLines w:val="0"/>
        <w:wordWrap w:val="0"/>
        <w:topLinePunct/>
        <w:spacing w:before="0" w:after="0" w:line="360" w:lineRule="auto"/>
        <w:ind w:left="420" w:leftChars="200"/>
        <w:rPr>
          <w:rFonts w:ascii="宋体" w:hAnsi="宋体" w:cs="宋体"/>
          <w:sz w:val="21"/>
          <w:szCs w:val="21"/>
          <w:highlight w:val="none"/>
        </w:rPr>
      </w:pPr>
      <w:bookmarkStart w:id="129" w:name="_26.组建评标委员会"/>
      <w:bookmarkEnd w:id="129"/>
      <w:r>
        <w:rPr>
          <w:rFonts w:hint="eastAsia" w:ascii="宋体" w:hAnsi="宋体" w:cs="宋体"/>
          <w:sz w:val="21"/>
          <w:szCs w:val="21"/>
          <w:highlight w:val="none"/>
        </w:rPr>
        <w:t>26.组建评标委员会</w:t>
      </w:r>
    </w:p>
    <w:p w14:paraId="5B8F3A69">
      <w:pPr>
        <w:pStyle w:val="25"/>
        <w:wordWrap w:val="0"/>
        <w:topLinePunct/>
        <w:snapToGrid/>
        <w:spacing w:line="360" w:lineRule="auto"/>
        <w:ind w:firstLine="420" w:firstLineChars="200"/>
        <w:rPr>
          <w:rFonts w:hAnsi="宋体" w:cs="宋体"/>
          <w:sz w:val="21"/>
          <w:szCs w:val="21"/>
          <w:highlight w:val="none"/>
        </w:rPr>
      </w:pPr>
      <w:r>
        <w:rPr>
          <w:rFonts w:hint="eastAsia" w:hAnsi="宋体"/>
          <w:sz w:val="21"/>
          <w:szCs w:val="21"/>
          <w:highlight w:val="none"/>
        </w:rPr>
        <w:t>26.1</w:t>
      </w:r>
      <w:r>
        <w:rPr>
          <w:rFonts w:hint="eastAsia" w:hAnsi="宋体" w:cs="宋体"/>
          <w:sz w:val="21"/>
          <w:szCs w:val="21"/>
          <w:highlight w:val="none"/>
        </w:rPr>
        <w:t>评标委员会由采购人代表和评审专家组成，具体人数详见“投标人须知前附表”，其中评审专家不得少于成员总数的三分之二。</w:t>
      </w:r>
    </w:p>
    <w:p w14:paraId="06E56945">
      <w:pPr>
        <w:pStyle w:val="25"/>
        <w:wordWrap w:val="0"/>
        <w:topLinePunct/>
        <w:snapToGrid/>
        <w:spacing w:line="360" w:lineRule="auto"/>
        <w:ind w:left="2" w:leftChars="1" w:firstLine="420" w:firstLineChars="200"/>
        <w:rPr>
          <w:sz w:val="21"/>
          <w:highlight w:val="none"/>
        </w:rPr>
      </w:pPr>
      <w:r>
        <w:rPr>
          <w:rFonts w:hint="eastAsia" w:hAnsi="宋体"/>
          <w:sz w:val="21"/>
          <w:szCs w:val="21"/>
          <w:highlight w:val="none"/>
        </w:rPr>
        <w:t>26.</w:t>
      </w:r>
      <w:r>
        <w:rPr>
          <w:rFonts w:hAnsi="宋体"/>
          <w:sz w:val="21"/>
          <w:szCs w:val="21"/>
          <w:highlight w:val="none"/>
        </w:rPr>
        <w:t>2</w:t>
      </w:r>
      <w:r>
        <w:rPr>
          <w:rFonts w:hint="eastAsia" w:hAnsi="宋体" w:cs="宋体"/>
          <w:sz w:val="21"/>
          <w:szCs w:val="21"/>
          <w:highlight w:val="none"/>
        </w:rPr>
        <w:t>参加过采购项目前期咨询论证的专家，不得参加该采购项目的评审活动。</w:t>
      </w:r>
    </w:p>
    <w:p w14:paraId="19A0243B">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27.评标的依据</w:t>
      </w:r>
    </w:p>
    <w:p w14:paraId="2F9AAB20">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评标委员会以“第四章</w:t>
      </w:r>
      <w:r>
        <w:rPr>
          <w:rFonts w:hint="eastAsia" w:hAnsi="宋体" w:cs="宋体"/>
          <w:sz w:val="21"/>
          <w:szCs w:val="21"/>
          <w:highlight w:val="none"/>
          <w:lang w:eastAsia="zh-CN"/>
        </w:rPr>
        <w:t>、</w:t>
      </w:r>
      <w:r>
        <w:rPr>
          <w:rFonts w:hint="eastAsia" w:hAnsi="宋体" w:cs="宋体"/>
          <w:sz w:val="21"/>
          <w:szCs w:val="21"/>
          <w:highlight w:val="none"/>
        </w:rPr>
        <w:t>评标方法和评标标准”为依据对投标文件进行评审，没有规定的方法、评审因素和标准，不作为评标依据。</w:t>
      </w:r>
    </w:p>
    <w:p w14:paraId="5BA3AD3C">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28.评标原则</w:t>
      </w:r>
    </w:p>
    <w:p w14:paraId="3139C2FF">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FFA6F35">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28.2</w:t>
      </w:r>
      <w:bookmarkStart w:id="130" w:name="_28.3评标方法。本项目将按须知前附表规定的评标办法进行评标，具体评标"/>
      <w:bookmarkEnd w:id="130"/>
      <w:r>
        <w:rPr>
          <w:rFonts w:hint="eastAsia" w:hAnsi="宋体" w:cs="宋体"/>
          <w:sz w:val="21"/>
          <w:szCs w:val="21"/>
          <w:highlight w:val="none"/>
        </w:rPr>
        <w:t>评委表决。评标委员会成员对需要共同认定的事项存在争议的，应当按照少数服从多数的原则作出结论。</w:t>
      </w:r>
    </w:p>
    <w:p w14:paraId="1588EB12">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0AEC876">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28.4评标过程的监控。本项目评标过程实行网上留痕、全程录音、录像监控，</w:t>
      </w:r>
      <w:r>
        <w:rPr>
          <w:rFonts w:hint="eastAsia" w:hAnsi="宋体" w:cs="宋体"/>
          <w:b/>
          <w:bCs/>
          <w:sz w:val="21"/>
          <w:szCs w:val="21"/>
          <w:highlight w:val="none"/>
        </w:rPr>
        <w:t>投标人在评标过程中所进行的试图影响评标结果的不公正活动，可能导致其投标无效</w:t>
      </w:r>
      <w:r>
        <w:rPr>
          <w:rFonts w:hint="eastAsia" w:hAnsi="宋体" w:cs="宋体"/>
          <w:sz w:val="21"/>
          <w:szCs w:val="21"/>
          <w:highlight w:val="none"/>
        </w:rPr>
        <w:t>。</w:t>
      </w:r>
    </w:p>
    <w:p w14:paraId="0C4D362E">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29.评标方法及中标候选人推荐</w:t>
      </w:r>
    </w:p>
    <w:p w14:paraId="092437FD">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29.1本项目的评标方法详见“投标人须知前附表”。</w:t>
      </w:r>
    </w:p>
    <w:p w14:paraId="4961BCDB">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29.2采购需求允许负偏离的条款数量及中标候选人推荐数量详见“投标人须知前附表”。</w:t>
      </w:r>
    </w:p>
    <w:p w14:paraId="4D849E01">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w:t>
      </w:r>
      <w:r>
        <w:rPr>
          <w:rFonts w:hAnsi="宋体" w:cs="宋体"/>
          <w:sz w:val="21"/>
          <w:szCs w:val="21"/>
          <w:highlight w:val="none"/>
        </w:rPr>
        <w:t>3</w:t>
      </w:r>
      <w:r>
        <w:rPr>
          <w:rFonts w:hint="eastAsia" w:hAnsi="宋体" w:cs="宋体"/>
          <w:sz w:val="21"/>
          <w:szCs w:val="21"/>
          <w:highlight w:val="none"/>
        </w:rPr>
        <w:t>中标候选人推荐数量详见“投标人须知前附表”。</w:t>
      </w:r>
    </w:p>
    <w:p w14:paraId="73AE75EF">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w:t>
      </w:r>
      <w:r>
        <w:rPr>
          <w:rFonts w:hAnsi="宋体" w:cs="宋体"/>
          <w:sz w:val="21"/>
          <w:szCs w:val="21"/>
          <w:highlight w:val="none"/>
        </w:rPr>
        <w:t>4</w:t>
      </w:r>
      <w:r>
        <w:rPr>
          <w:rFonts w:hint="eastAsia" w:hAnsi="宋体" w:cs="宋体"/>
          <w:sz w:val="21"/>
          <w:szCs w:val="21"/>
          <w:highlight w:val="none"/>
        </w:rPr>
        <w:t>评标委员会将按照“第四章</w:t>
      </w:r>
      <w:r>
        <w:rPr>
          <w:rFonts w:hint="eastAsia" w:hAnsi="宋体" w:cs="宋体"/>
          <w:sz w:val="21"/>
          <w:szCs w:val="21"/>
          <w:highlight w:val="none"/>
          <w:lang w:eastAsia="zh-CN"/>
        </w:rPr>
        <w:t>、</w:t>
      </w:r>
      <w:r>
        <w:rPr>
          <w:rFonts w:hint="eastAsia" w:hAnsi="宋体" w:cs="宋体"/>
          <w:sz w:val="21"/>
          <w:szCs w:val="21"/>
          <w:highlight w:val="none"/>
        </w:rPr>
        <w:t>评标方法和评标标准”规定的方法、评审因素、标准和程序对投标文件进行评审。</w:t>
      </w:r>
    </w:p>
    <w:p w14:paraId="06EF4F68">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w:t>
      </w:r>
      <w:r>
        <w:rPr>
          <w:rFonts w:hAnsi="宋体" w:cs="宋体"/>
          <w:sz w:val="21"/>
          <w:szCs w:val="21"/>
          <w:highlight w:val="none"/>
        </w:rPr>
        <w:t>5</w:t>
      </w:r>
      <w:r>
        <w:rPr>
          <w:rFonts w:hint="eastAsia" w:hAnsi="宋体" w:cs="宋体"/>
          <w:sz w:val="21"/>
          <w:szCs w:val="21"/>
          <w:highlight w:val="none"/>
        </w:rPr>
        <w:t>电子交易活动的中止。采购过程中出现以下情形，导致电子交易平台无法正常运行，或者无法保证电子交易的公平、公正和安全时，采购代理机构可中止电子交易活动：</w:t>
      </w:r>
    </w:p>
    <w:p w14:paraId="25C60CBE">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（1）电子交易平台发生故障而无法登录访问的；</w:t>
      </w:r>
    </w:p>
    <w:p w14:paraId="39E3A533">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（2）电子交易平台应用或数据库出现错误，不能进行正常操作的；</w:t>
      </w:r>
    </w:p>
    <w:p w14:paraId="6D4556A3">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（3）电子交易平台发现严重安全漏洞，有潜在泄密危险的；</w:t>
      </w:r>
    </w:p>
    <w:p w14:paraId="1819A580">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（4）病毒发作导致不能进行正常操作的；</w:t>
      </w:r>
    </w:p>
    <w:p w14:paraId="2AEEE3C3">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w:t>
      </w:r>
      <w:r>
        <w:rPr>
          <w:rFonts w:hAnsi="宋体" w:cs="宋体"/>
          <w:sz w:val="21"/>
          <w:szCs w:val="21"/>
          <w:highlight w:val="none"/>
        </w:rPr>
        <w:t>5</w:t>
      </w:r>
      <w:r>
        <w:rPr>
          <w:rFonts w:hint="eastAsia" w:hAnsi="宋体" w:cs="宋体"/>
          <w:sz w:val="21"/>
          <w:szCs w:val="21"/>
          <w:highlight w:val="none"/>
        </w:rPr>
        <w:t>）其他无法保证电子交易的公平、公正和安全的情况。</w:t>
      </w:r>
    </w:p>
    <w:p w14:paraId="29A47586">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29.</w:t>
      </w:r>
      <w:r>
        <w:rPr>
          <w:rFonts w:hAnsi="宋体" w:cs="宋体"/>
          <w:sz w:val="21"/>
          <w:szCs w:val="21"/>
          <w:highlight w:val="none"/>
        </w:rPr>
        <w:t>6</w:t>
      </w:r>
      <w:r>
        <w:rPr>
          <w:rFonts w:hint="eastAsia" w:hAnsi="宋体" w:cs="宋体"/>
          <w:sz w:val="21"/>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重新采购。采购代理机构必须对原有的资料及信息作出妥善保密处理，并报财政部门备案。</w:t>
      </w:r>
    </w:p>
    <w:p w14:paraId="407ED7E7">
      <w:pPr>
        <w:pStyle w:val="4"/>
        <w:keepNext w:val="0"/>
        <w:keepLines w:val="0"/>
        <w:spacing w:line="360" w:lineRule="auto"/>
        <w:jc w:val="center"/>
        <w:rPr>
          <w:rFonts w:ascii="宋体" w:hAnsi="宋体" w:cs="宋体"/>
          <w:highlight w:val="none"/>
        </w:rPr>
      </w:pPr>
      <w:bookmarkStart w:id="131" w:name="_Toc254970687"/>
      <w:bookmarkStart w:id="132" w:name="_Toc254970546"/>
      <w:r>
        <w:rPr>
          <w:rFonts w:hint="eastAsia" w:ascii="宋体" w:hAnsi="宋体" w:cs="宋体"/>
          <w:highlight w:val="none"/>
        </w:rPr>
        <w:t>七、</w:t>
      </w:r>
      <w:bookmarkEnd w:id="131"/>
      <w:bookmarkEnd w:id="132"/>
      <w:r>
        <w:rPr>
          <w:rFonts w:hint="eastAsia" w:ascii="宋体" w:hAnsi="宋体" w:cs="宋体"/>
          <w:highlight w:val="none"/>
        </w:rPr>
        <w:t>中标和合同</w:t>
      </w:r>
    </w:p>
    <w:p w14:paraId="5D2D9574">
      <w:pPr>
        <w:pStyle w:val="6"/>
        <w:keepNext w:val="0"/>
        <w:keepLines w:val="0"/>
        <w:wordWrap w:val="0"/>
        <w:topLinePunct/>
        <w:spacing w:before="0" w:after="0" w:line="360" w:lineRule="auto"/>
        <w:ind w:left="0" w:leftChars="0" w:firstLine="422" w:firstLineChars="200"/>
        <w:rPr>
          <w:rFonts w:ascii="宋体" w:hAnsi="宋体" w:cs="宋体"/>
          <w:sz w:val="21"/>
          <w:szCs w:val="21"/>
          <w:highlight w:val="none"/>
        </w:rPr>
      </w:pPr>
      <w:r>
        <w:rPr>
          <w:rFonts w:hint="eastAsia" w:ascii="宋体" w:hAnsi="宋体" w:cs="宋体"/>
          <w:sz w:val="21"/>
          <w:szCs w:val="21"/>
          <w:highlight w:val="none"/>
        </w:rPr>
        <w:t>30.确定中标人</w:t>
      </w:r>
    </w:p>
    <w:p w14:paraId="38CB697E">
      <w:pPr>
        <w:pStyle w:val="6"/>
        <w:keepNext w:val="0"/>
        <w:keepLines w:val="0"/>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30.1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E9AE541">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4759F0B0">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30.3出现下列情形之一的，应予废标：</w:t>
      </w:r>
    </w:p>
    <w:p w14:paraId="6073765D">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（1）符合专业条件的供应商或者对招标文件作实质响应的供应商不足三家的；</w:t>
      </w:r>
    </w:p>
    <w:p w14:paraId="4890B33D">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（2）出现影响采购公正的违法、违规行为的；</w:t>
      </w:r>
    </w:p>
    <w:p w14:paraId="723902C0">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（3）投标人的报价均超过了采购预算，采购人不能支付的；</w:t>
      </w:r>
    </w:p>
    <w:p w14:paraId="102B668E">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（4）因重大变故，采购任务取消的。</w:t>
      </w:r>
    </w:p>
    <w:p w14:paraId="6C0A1127">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废标后，采购人应当将废标理由通知所有投标人。</w:t>
      </w:r>
    </w:p>
    <w:p w14:paraId="5940EE84">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30.4中标人拒绝签订政府采购合同（包括但不限于放弃中标、因不可抗力不能履行合同而放弃签订合同），采购人可以按照评审报告推荐的中标候选人名单排序，确定下一候选人为中标供应商，也可以重新开展政府采购活动。拒绝签订政府采购合同的中标人不得参加对该项目重新开展的采购活动。</w:t>
      </w:r>
    </w:p>
    <w:p w14:paraId="7E7AACA0">
      <w:pPr>
        <w:pStyle w:val="9"/>
        <w:spacing w:after="120" w:line="360" w:lineRule="auto"/>
        <w:ind w:firstLine="422" w:firstLineChars="200"/>
        <w:rPr>
          <w:b/>
          <w:szCs w:val="21"/>
          <w:highlight w:val="none"/>
        </w:rPr>
      </w:pPr>
      <w:r>
        <w:rPr>
          <w:rFonts w:hint="eastAsia" w:ascii="宋体" w:hAnsi="宋体" w:cs="宋体"/>
          <w:b/>
          <w:sz w:val="21"/>
          <w:szCs w:val="21"/>
          <w:highlight w:val="none"/>
        </w:rPr>
        <w:t>中标人放弃中标项目，拒绝与采购人签订合同的，其投标保证金不予退还，并上缴国库。给采购人造成损失，或（并）因此延误采购人</w:t>
      </w:r>
      <w:r>
        <w:rPr>
          <w:rFonts w:hint="eastAsia" w:ascii="宋体" w:hAnsi="宋体" w:cs="宋体"/>
          <w:b/>
          <w:sz w:val="21"/>
          <w:szCs w:val="21"/>
          <w:highlight w:val="none"/>
          <w:lang w:eastAsia="zh-CN"/>
        </w:rPr>
        <w:t>项目</w:t>
      </w:r>
      <w:r>
        <w:rPr>
          <w:rFonts w:hint="eastAsia" w:ascii="宋体" w:hAnsi="宋体" w:cs="宋体"/>
          <w:b/>
          <w:sz w:val="21"/>
          <w:szCs w:val="21"/>
          <w:highlight w:val="none"/>
        </w:rPr>
        <w:t>计划的，须依据《中华人民共和国民法典》第五百条等规定承担赔偿损失等法律责任，采购人有权将中标人的失信行为报财政部门记入诚信档案，以示惩戒。</w:t>
      </w:r>
    </w:p>
    <w:p w14:paraId="2B0B26C8">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31.结果公告</w:t>
      </w:r>
    </w:p>
    <w:p w14:paraId="65DB7E8D">
      <w:pPr>
        <w:pStyle w:val="6"/>
        <w:keepNext w:val="0"/>
        <w:keepLines w:val="0"/>
        <w:wordWrap w:val="0"/>
        <w:topLinePunct/>
        <w:spacing w:before="0" w:after="0" w:line="360" w:lineRule="auto"/>
        <w:ind w:firstLine="422" w:firstLineChars="200"/>
        <w:rPr>
          <w:rFonts w:ascii="宋体" w:hAnsi="宋体" w:cs="宋体"/>
          <w:sz w:val="21"/>
          <w:szCs w:val="21"/>
          <w:highlight w:val="none"/>
        </w:rPr>
      </w:pPr>
      <w:r>
        <w:rPr>
          <w:rFonts w:hint="eastAsia" w:ascii="宋体" w:hAnsi="宋体" w:cs="宋体"/>
          <w:sz w:val="21"/>
          <w:szCs w:val="21"/>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以上信息查询记录及相关证据与采购文件一并保存。</w:t>
      </w:r>
    </w:p>
    <w:p w14:paraId="3092D465">
      <w:pPr>
        <w:pStyle w:val="6"/>
        <w:keepNext w:val="0"/>
        <w:keepLines w:val="0"/>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75835967">
      <w:pPr>
        <w:pStyle w:val="6"/>
        <w:keepNext w:val="0"/>
        <w:keepLines w:val="0"/>
        <w:wordWrap w:val="0"/>
        <w:topLinePunct/>
        <w:spacing w:before="0" w:after="0" w:line="360" w:lineRule="auto"/>
        <w:ind w:firstLine="420" w:firstLineChars="200"/>
        <w:rPr>
          <w:sz w:val="21"/>
          <w:szCs w:val="21"/>
          <w:highlight w:val="none"/>
        </w:rPr>
      </w:pPr>
      <w:r>
        <w:rPr>
          <w:rFonts w:hint="eastAsia" w:ascii="宋体" w:hAnsi="宋体" w:cs="宋体"/>
          <w:b w:val="0"/>
          <w:sz w:val="21"/>
          <w:szCs w:val="21"/>
          <w:highlight w:val="none"/>
        </w:rPr>
        <w:t>31.3中标供应商享受国务院办公厅关于在政府采购中实施本国产品标准及相关政策的通知（国办发〔2025〕34号）政策的，采购人、采购代理机构应当随中标结果公开中标供应商的《关于符合本国产品标准的声明函》。</w:t>
      </w:r>
    </w:p>
    <w:p w14:paraId="0BEAF31F">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32.发出中标通知书</w:t>
      </w:r>
    </w:p>
    <w:p w14:paraId="4F7DAA3A">
      <w:pPr>
        <w:pStyle w:val="6"/>
        <w:keepNext w:val="0"/>
        <w:keepLines w:val="0"/>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在公告中标结果的同时，采购代理机构向中标人发出中标通知书。对未通过资格审查的投标人，应当告知其未通过的原因；采用综合评分办法评审的，还应当告知未中标人本人的评审得分与排序。</w:t>
      </w:r>
    </w:p>
    <w:p w14:paraId="22F8553A">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33.无义务解释未中标原因</w:t>
      </w:r>
    </w:p>
    <w:p w14:paraId="2BEA69F6">
      <w:pPr>
        <w:pStyle w:val="6"/>
        <w:keepNext w:val="0"/>
        <w:keepLines w:val="0"/>
        <w:wordWrap w:val="0"/>
        <w:topLinePunct/>
        <w:spacing w:before="0" w:after="0" w:line="360" w:lineRule="auto"/>
        <w:ind w:left="420" w:leftChars="200"/>
        <w:rPr>
          <w:rFonts w:ascii="宋体" w:hAnsi="宋体" w:cs="宋体"/>
          <w:b w:val="0"/>
          <w:sz w:val="21"/>
          <w:szCs w:val="21"/>
          <w:highlight w:val="none"/>
        </w:rPr>
      </w:pPr>
      <w:r>
        <w:rPr>
          <w:rFonts w:hint="eastAsia" w:ascii="宋体" w:hAnsi="宋体" w:cs="宋体"/>
          <w:b w:val="0"/>
          <w:sz w:val="21"/>
          <w:szCs w:val="21"/>
          <w:highlight w:val="none"/>
        </w:rPr>
        <w:t>采购代理机构无义务向未中标的投标人解释未中标原因和退还投标文件。</w:t>
      </w:r>
    </w:p>
    <w:p w14:paraId="5AEFDEAD">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34.合同授予标准</w:t>
      </w:r>
    </w:p>
    <w:p w14:paraId="3F3E8AA9">
      <w:pPr>
        <w:wordWrap w:val="0"/>
        <w:topLinePunct/>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合同将授予被确定实质上响应招标文件要求，具备履行合同能力的中标人。</w:t>
      </w:r>
    </w:p>
    <w:p w14:paraId="5D5A39E1">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35.履约保证金</w:t>
      </w:r>
    </w:p>
    <w:p w14:paraId="696B4753">
      <w:pPr>
        <w:pStyle w:val="6"/>
        <w:keepNext w:val="0"/>
        <w:keepLines w:val="0"/>
        <w:wordWrap w:val="0"/>
        <w:topLinePunct/>
        <w:spacing w:before="0" w:after="0" w:line="360" w:lineRule="auto"/>
        <w:ind w:firstLine="315" w:firstLineChars="150"/>
        <w:rPr>
          <w:rFonts w:ascii="宋体" w:hAnsi="宋体" w:cs="宋体"/>
          <w:b w:val="0"/>
          <w:sz w:val="21"/>
          <w:szCs w:val="21"/>
          <w:highlight w:val="none"/>
        </w:rPr>
      </w:pPr>
      <w:bookmarkStart w:id="133" w:name="_39.1中标人须于签订合同前按本须知前附表规定的金额转账或电汇到指定账"/>
      <w:bookmarkEnd w:id="133"/>
      <w:r>
        <w:rPr>
          <w:rFonts w:hint="eastAsia" w:ascii="宋体" w:hAnsi="宋体" w:cs="宋体"/>
          <w:b w:val="0"/>
          <w:sz w:val="21"/>
          <w:szCs w:val="21"/>
          <w:highlight w:val="none"/>
        </w:rPr>
        <w:t>35.1履约保证金的金额、提交方式、退付的时间和条件详见“投标人须知前附表”。</w:t>
      </w:r>
    </w:p>
    <w:p w14:paraId="539C2C25">
      <w:pPr>
        <w:pStyle w:val="6"/>
        <w:keepNext w:val="0"/>
        <w:keepLines w:val="0"/>
        <w:wordWrap w:val="0"/>
        <w:topLinePunct/>
        <w:spacing w:before="0" w:after="0" w:line="360" w:lineRule="auto"/>
        <w:ind w:firstLine="315" w:firstLineChars="150"/>
        <w:rPr>
          <w:rFonts w:ascii="宋体" w:hAnsi="宋体" w:cs="宋体"/>
          <w:b w:val="0"/>
          <w:bCs/>
          <w:sz w:val="21"/>
          <w:szCs w:val="21"/>
          <w:highlight w:val="none"/>
        </w:rPr>
      </w:pPr>
      <w:r>
        <w:rPr>
          <w:rFonts w:hint="eastAsia" w:ascii="宋体" w:hAnsi="宋体" w:cs="宋体"/>
          <w:b w:val="0"/>
          <w:bCs/>
          <w:sz w:val="21"/>
          <w:szCs w:val="21"/>
          <w:highlight w:val="none"/>
        </w:rPr>
        <w:t>35.2在履约保证金退还日期前，若中标人的开户名称、开户银行、</w:t>
      </w:r>
      <w:r>
        <w:rPr>
          <w:rFonts w:hint="eastAsia" w:ascii="宋体" w:hAnsi="宋体" w:cs="宋体"/>
          <w:b w:val="0"/>
          <w:bCs/>
          <w:sz w:val="21"/>
          <w:szCs w:val="21"/>
          <w:highlight w:val="none"/>
          <w:lang w:eastAsia="zh-CN"/>
        </w:rPr>
        <w:t>账号</w:t>
      </w:r>
      <w:r>
        <w:rPr>
          <w:rFonts w:hint="eastAsia" w:ascii="宋体" w:hAnsi="宋体" w:cs="宋体"/>
          <w:b w:val="0"/>
          <w:bCs/>
          <w:sz w:val="21"/>
          <w:szCs w:val="21"/>
          <w:highlight w:val="none"/>
        </w:rPr>
        <w:t>有变动的，请以书面形式通知履约保证金收取单位，否则由此产生的后果由中标人自行承担。</w:t>
      </w:r>
    </w:p>
    <w:p w14:paraId="29565DFC">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36.签订合同</w:t>
      </w:r>
    </w:p>
    <w:p w14:paraId="71605E84">
      <w:pPr>
        <w:pStyle w:val="6"/>
        <w:keepNext w:val="0"/>
        <w:keepLines w:val="0"/>
        <w:wordWrap w:val="0"/>
        <w:topLinePunct/>
        <w:spacing w:before="0" w:after="0" w:line="360" w:lineRule="auto"/>
        <w:ind w:firstLine="315" w:firstLineChars="150"/>
        <w:rPr>
          <w:rFonts w:ascii="宋体" w:hAnsi="宋体" w:cs="宋体"/>
          <w:b w:val="0"/>
          <w:bCs/>
          <w:sz w:val="21"/>
          <w:szCs w:val="21"/>
          <w:highlight w:val="none"/>
        </w:rPr>
      </w:pPr>
      <w:bookmarkStart w:id="134" w:name="_40.1投标人接到中标通知书后，按须知前附表规定向采购人出示相关资格证"/>
      <w:bookmarkEnd w:id="134"/>
      <w:r>
        <w:rPr>
          <w:rFonts w:hint="eastAsia" w:ascii="宋体" w:hAnsi="宋体" w:cs="宋体"/>
          <w:b w:val="0"/>
          <w:sz w:val="21"/>
          <w:szCs w:val="21"/>
          <w:highlight w:val="none"/>
        </w:rPr>
        <w:t>36.1中标人在</w:t>
      </w:r>
      <w:r>
        <w:rPr>
          <w:rFonts w:ascii="宋体" w:hAnsi="宋体" w:cs="宋体"/>
          <w:b w:val="0"/>
          <w:sz w:val="21"/>
          <w:szCs w:val="21"/>
          <w:highlight w:val="none"/>
        </w:rPr>
        <w:t>中标通知书发出之日起</w:t>
      </w:r>
      <w:r>
        <w:rPr>
          <w:rFonts w:hint="eastAsia" w:ascii="宋体" w:hAnsi="宋体" w:cs="宋体"/>
          <w:b w:val="0"/>
          <w:sz w:val="21"/>
          <w:szCs w:val="21"/>
          <w:highlight w:val="none"/>
        </w:rPr>
        <w:t>，按“投标人须知前附表”规定向采购人出示相关证明材料，经采购人核验合格后方可签订采购合同（书面或电子）。</w:t>
      </w:r>
      <w:r>
        <w:rPr>
          <w:rFonts w:hint="eastAsia" w:ascii="宋体" w:hAnsi="宋体" w:cs="宋体"/>
          <w:b w:val="0"/>
          <w:bCs/>
          <w:sz w:val="21"/>
          <w:szCs w:val="21"/>
          <w:highlight w:val="none"/>
        </w:rPr>
        <w:t>如中标人为联合体的，联合体各方应当共同与采购人签订采购合同，就采购合同约定的事项对采购人承担连带责任。</w:t>
      </w:r>
    </w:p>
    <w:p w14:paraId="1916E338">
      <w:pPr>
        <w:pStyle w:val="6"/>
        <w:keepNext w:val="0"/>
        <w:keepLines w:val="0"/>
        <w:numPr>
          <w:ilvl w:val="0"/>
          <w:numId w:val="0"/>
        </w:numPr>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36.2签订合同时间：按中标通知书规定的时间与采购人签订合同（最长不能超过25日）。</w:t>
      </w:r>
    </w:p>
    <w:p w14:paraId="1E179929">
      <w:pPr>
        <w:pStyle w:val="6"/>
        <w:keepNext w:val="0"/>
        <w:keepLines w:val="0"/>
        <w:wordWrap w:val="0"/>
        <w:topLinePunct/>
        <w:spacing w:before="0" w:after="0" w:line="360" w:lineRule="auto"/>
        <w:ind w:firstLine="315" w:firstLineChars="150"/>
        <w:rPr>
          <w:rFonts w:ascii="宋体" w:hAnsi="宋体" w:cs="宋体"/>
          <w:b w:val="0"/>
          <w:sz w:val="21"/>
          <w:szCs w:val="21"/>
          <w:highlight w:val="none"/>
        </w:rPr>
      </w:pPr>
      <w:r>
        <w:rPr>
          <w:rFonts w:hint="eastAsia" w:ascii="宋体" w:hAnsi="宋体" w:cs="宋体"/>
          <w:b w:val="0"/>
          <w:sz w:val="21"/>
          <w:szCs w:val="21"/>
          <w:highlight w:val="none"/>
        </w:rPr>
        <w:t>36.3中标人拒绝与采购人签订合同的，按照本文件之《投标人须知正文》第30.4条的规定执行。</w:t>
      </w:r>
    </w:p>
    <w:p w14:paraId="0A5B8E1E">
      <w:pPr>
        <w:pStyle w:val="6"/>
        <w:keepNext w:val="0"/>
        <w:keepLines w:val="0"/>
        <w:numPr>
          <w:ilvl w:val="0"/>
          <w:numId w:val="0"/>
        </w:numPr>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w:t>
      </w:r>
      <w:r>
        <w:rPr>
          <w:rFonts w:ascii="宋体" w:hAnsi="宋体" w:cs="宋体"/>
          <w:b w:val="0"/>
          <w:sz w:val="21"/>
          <w:szCs w:val="21"/>
          <w:highlight w:val="none"/>
        </w:rPr>
        <w:t>6.4</w:t>
      </w:r>
      <w:r>
        <w:rPr>
          <w:rFonts w:hint="eastAsia" w:ascii="宋体" w:hAnsi="宋体" w:cs="宋体"/>
          <w:b w:val="0"/>
          <w:sz w:val="21"/>
          <w:szCs w:val="21"/>
          <w:highlight w:val="none"/>
        </w:rPr>
        <w:t>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567CEAA">
      <w:pPr>
        <w:pStyle w:val="6"/>
        <w:keepNext w:val="0"/>
        <w:keepLines w:val="0"/>
        <w:numPr>
          <w:ilvl w:val="0"/>
          <w:numId w:val="0"/>
        </w:numPr>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w:t>
      </w:r>
      <w:r>
        <w:rPr>
          <w:rFonts w:ascii="宋体" w:hAnsi="宋体" w:cs="宋体"/>
          <w:b w:val="0"/>
          <w:sz w:val="21"/>
          <w:szCs w:val="21"/>
          <w:highlight w:val="none"/>
        </w:rPr>
        <w:t>6.5</w:t>
      </w:r>
      <w:r>
        <w:rPr>
          <w:rFonts w:hint="eastAsia" w:ascii="宋体" w:hAnsi="宋体" w:cs="宋体"/>
          <w:b w:val="0"/>
          <w:sz w:val="21"/>
          <w:szCs w:val="21"/>
          <w:highlight w:val="none"/>
        </w:rPr>
        <w:t>采购人或中标人不得单方面向合同另一方提出任何招标文件没有约定的条件或不合理的要求，作为签订合同的条件；也不得协商另行订立背离招标文件和合同实质性内容的协议。</w:t>
      </w:r>
    </w:p>
    <w:p w14:paraId="2A7051AF">
      <w:pPr>
        <w:pStyle w:val="6"/>
        <w:keepNext w:val="0"/>
        <w:keepLines w:val="0"/>
        <w:numPr>
          <w:ilvl w:val="0"/>
          <w:numId w:val="0"/>
        </w:numPr>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w:t>
      </w:r>
      <w:r>
        <w:rPr>
          <w:rFonts w:ascii="宋体" w:hAnsi="宋体" w:cs="宋体"/>
          <w:b w:val="0"/>
          <w:sz w:val="21"/>
          <w:szCs w:val="21"/>
          <w:highlight w:val="none"/>
        </w:rPr>
        <w:t>6.6</w:t>
      </w:r>
      <w:r>
        <w:rPr>
          <w:rFonts w:hint="eastAsia" w:ascii="宋体" w:hAnsi="宋体" w:cs="宋体"/>
          <w:b w:val="0"/>
          <w:sz w:val="21"/>
          <w:szCs w:val="21"/>
          <w:highlight w:val="none"/>
        </w:rPr>
        <w:t>如签订合同并生效后，</w:t>
      </w:r>
      <w:r>
        <w:rPr>
          <w:rFonts w:hint="eastAsia" w:ascii="宋体" w:hAnsi="宋体" w:cs="宋体"/>
          <w:b w:val="0"/>
          <w:sz w:val="21"/>
          <w:szCs w:val="21"/>
          <w:highlight w:val="none"/>
          <w:lang w:val="en-US" w:eastAsia="zh-CN"/>
        </w:rPr>
        <w:t>中标人</w:t>
      </w:r>
      <w:r>
        <w:rPr>
          <w:rFonts w:hint="eastAsia" w:ascii="宋体" w:hAnsi="宋体" w:cs="宋体"/>
          <w:b w:val="0"/>
          <w:sz w:val="21"/>
          <w:szCs w:val="21"/>
          <w:highlight w:val="none"/>
        </w:rPr>
        <w:t>无故拒绝或延期，除按照合同条款处理外，将承担相应的法律责任。</w:t>
      </w:r>
    </w:p>
    <w:p w14:paraId="31FA7F37">
      <w:pPr>
        <w:pStyle w:val="6"/>
        <w:keepNext w:val="0"/>
        <w:keepLines w:val="0"/>
        <w:numPr>
          <w:ilvl w:val="0"/>
          <w:numId w:val="0"/>
        </w:numPr>
        <w:wordWrap w:val="0"/>
        <w:topLinePunct/>
        <w:spacing w:before="0" w:after="0" w:line="360" w:lineRule="auto"/>
        <w:ind w:firstLine="420" w:firstLineChars="200"/>
        <w:rPr>
          <w:rFonts w:ascii="宋体" w:hAnsi="宋体" w:cs="宋体"/>
          <w:b w:val="0"/>
          <w:sz w:val="21"/>
          <w:szCs w:val="21"/>
          <w:highlight w:val="none"/>
        </w:rPr>
      </w:pPr>
      <w:r>
        <w:rPr>
          <w:rFonts w:hint="eastAsia" w:ascii="宋体" w:hAnsi="宋体" w:cs="宋体"/>
          <w:b w:val="0"/>
          <w:sz w:val="21"/>
          <w:szCs w:val="21"/>
          <w:highlight w:val="none"/>
        </w:rPr>
        <w:t>3</w:t>
      </w:r>
      <w:r>
        <w:rPr>
          <w:rFonts w:ascii="宋体" w:hAnsi="宋体" w:cs="宋体"/>
          <w:b w:val="0"/>
          <w:sz w:val="21"/>
          <w:szCs w:val="21"/>
          <w:highlight w:val="none"/>
        </w:rPr>
        <w:t>6.7</w:t>
      </w:r>
      <w:r>
        <w:rPr>
          <w:rFonts w:hint="eastAsia" w:ascii="宋体" w:hAnsi="宋体" w:cs="宋体"/>
          <w:b w:val="0"/>
          <w:sz w:val="21"/>
          <w:szCs w:val="21"/>
          <w:highlight w:val="none"/>
        </w:rPr>
        <w:t>政府采购合同履行中，采购人需追加与合同标的相同的货物、工程或者服务的，在不改变合同其他条款的前提下，可以与</w:t>
      </w:r>
      <w:r>
        <w:rPr>
          <w:rFonts w:hint="eastAsia" w:ascii="宋体" w:hAnsi="宋体" w:cs="宋体"/>
          <w:b w:val="0"/>
          <w:sz w:val="21"/>
          <w:szCs w:val="21"/>
          <w:highlight w:val="none"/>
          <w:lang w:val="en-US" w:eastAsia="zh-CN"/>
        </w:rPr>
        <w:t>中标人</w:t>
      </w:r>
      <w:r>
        <w:rPr>
          <w:rFonts w:hint="eastAsia" w:ascii="宋体" w:hAnsi="宋体" w:cs="宋体"/>
          <w:b w:val="0"/>
          <w:sz w:val="21"/>
          <w:szCs w:val="21"/>
          <w:highlight w:val="none"/>
        </w:rPr>
        <w:t>签订补充合同，但所有补充合同的采购金额不得超过原合同采购金额的1</w:t>
      </w:r>
      <w:r>
        <w:rPr>
          <w:rFonts w:ascii="宋体" w:hAnsi="宋体" w:cs="宋体"/>
          <w:b w:val="0"/>
          <w:sz w:val="21"/>
          <w:szCs w:val="21"/>
          <w:highlight w:val="none"/>
        </w:rPr>
        <w:t>0</w:t>
      </w:r>
      <w:r>
        <w:rPr>
          <w:rFonts w:hint="eastAsia" w:ascii="宋体" w:hAnsi="宋体" w:cs="宋体"/>
          <w:b w:val="0"/>
          <w:sz w:val="21"/>
          <w:szCs w:val="21"/>
          <w:highlight w:val="none"/>
        </w:rPr>
        <w:t>%。</w:t>
      </w:r>
    </w:p>
    <w:p w14:paraId="010103DB">
      <w:pPr>
        <w:pStyle w:val="6"/>
        <w:keepNext w:val="0"/>
        <w:keepLines w:val="0"/>
        <w:wordWrap w:val="0"/>
        <w:topLinePunct/>
        <w:spacing w:before="0" w:after="0" w:line="360" w:lineRule="auto"/>
        <w:ind w:left="420" w:leftChars="200"/>
        <w:rPr>
          <w:rFonts w:ascii="宋体" w:hAnsi="宋体" w:cs="宋体"/>
          <w:sz w:val="21"/>
          <w:szCs w:val="21"/>
          <w:highlight w:val="none"/>
        </w:rPr>
      </w:pPr>
      <w:bookmarkStart w:id="135" w:name="_41.政府采购合同公告"/>
      <w:bookmarkEnd w:id="135"/>
      <w:r>
        <w:rPr>
          <w:rFonts w:hint="eastAsia" w:ascii="宋体" w:hAnsi="宋体" w:cs="宋体"/>
          <w:sz w:val="21"/>
          <w:szCs w:val="21"/>
          <w:highlight w:val="none"/>
        </w:rPr>
        <w:t>37.政府采购合同公告</w:t>
      </w:r>
    </w:p>
    <w:p w14:paraId="1EFD8A81">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7FB73534">
      <w:pPr>
        <w:pStyle w:val="6"/>
        <w:keepNext w:val="0"/>
        <w:keepLines w:val="0"/>
        <w:wordWrap w:val="0"/>
        <w:topLinePunct/>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38.询问、质疑和投诉</w:t>
      </w:r>
    </w:p>
    <w:p w14:paraId="3280F607">
      <w:pPr>
        <w:pStyle w:val="7"/>
        <w:wordWrap w:val="0"/>
        <w:topLinePunct/>
        <w:spacing w:line="360" w:lineRule="auto"/>
        <w:rPr>
          <w:rFonts w:ascii="宋体" w:hAnsi="宋体" w:cs="宋体"/>
          <w:sz w:val="21"/>
          <w:szCs w:val="21"/>
          <w:highlight w:val="none"/>
        </w:rPr>
      </w:pPr>
      <w:r>
        <w:rPr>
          <w:rFonts w:hint="eastAsia" w:ascii="宋体" w:hAnsi="宋体" w:cs="宋体"/>
          <w:sz w:val="21"/>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186B3C98">
      <w:pPr>
        <w:pStyle w:val="6"/>
        <w:keepNext w:val="0"/>
        <w:keepLines w:val="0"/>
        <w:wordWrap w:val="0"/>
        <w:topLinePunct/>
        <w:spacing w:before="0" w:after="0" w:line="360" w:lineRule="auto"/>
        <w:ind w:firstLine="315" w:firstLineChars="150"/>
        <w:rPr>
          <w:rFonts w:ascii="宋体" w:hAnsi="宋体" w:cs="宋体"/>
          <w:b w:val="0"/>
          <w:sz w:val="21"/>
          <w:szCs w:val="21"/>
          <w:highlight w:val="none"/>
        </w:rPr>
      </w:pPr>
      <w:r>
        <w:rPr>
          <w:rFonts w:hint="eastAsia" w:ascii="宋体" w:hAnsi="宋体" w:cs="宋体"/>
          <w:b w:val="0"/>
          <w:sz w:val="21"/>
          <w:szCs w:val="21"/>
          <w:highlight w:val="none"/>
        </w:rPr>
        <w:t>38.2供应商认为招标文件、采购过程或者中标结果使自己</w:t>
      </w:r>
      <w:r>
        <w:rPr>
          <w:rFonts w:hint="eastAsia" w:ascii="宋体" w:hAnsi="宋体" w:cs="宋体"/>
          <w:b w:val="0"/>
          <w:sz w:val="21"/>
          <w:szCs w:val="21"/>
          <w:highlight w:val="none"/>
        </w:rPr>
        <w:t>的合法权益受到损害的，必须在知道或者应知其权益受到损害之日起7个工作日内，以</w:t>
      </w:r>
      <w:r>
        <w:rPr>
          <w:rFonts w:hint="eastAsia" w:ascii="宋体" w:hAnsi="宋体" w:cs="宋体"/>
          <w:b w:val="0"/>
          <w:sz w:val="21"/>
          <w:szCs w:val="21"/>
          <w:highlight w:val="none"/>
          <w:lang w:eastAsia="zh-CN"/>
        </w:rPr>
        <w:t>书面形式</w:t>
      </w:r>
      <w:r>
        <w:rPr>
          <w:rFonts w:hint="eastAsia" w:ascii="宋体" w:hAnsi="宋体" w:cs="宋体"/>
          <w:b w:val="0"/>
          <w:sz w:val="21"/>
          <w:szCs w:val="21"/>
          <w:highlight w:val="none"/>
        </w:rPr>
        <w:t>向采购人</w:t>
      </w:r>
      <w:r>
        <w:rPr>
          <w:rFonts w:hint="eastAsia" w:ascii="宋体" w:hAnsi="宋体" w:cs="宋体"/>
          <w:b w:val="0"/>
          <w:sz w:val="21"/>
          <w:szCs w:val="21"/>
          <w:highlight w:val="none"/>
        </w:rPr>
        <w:t>、采购代理机构提出质疑。采购人、采购代理机构接收质疑函的方式、联系部门、联系电话和通讯地址等信息详见“投标人须知前附表”。具体质疑起算时间如下：</w:t>
      </w:r>
    </w:p>
    <w:p w14:paraId="650042B9">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（1）对可以质疑的招标文件提出质疑的，为收到招标文件之日；</w:t>
      </w:r>
    </w:p>
    <w:p w14:paraId="560C9330">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（2）对采购过程提出质疑的，为各采购程序环节结束之日；</w:t>
      </w:r>
    </w:p>
    <w:p w14:paraId="3B778C6D">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sz w:val="21"/>
          <w:szCs w:val="21"/>
          <w:highlight w:val="none"/>
        </w:rPr>
        <w:t>（3）对中标结果提出质疑的，为中标结果公告期限届满之日。</w:t>
      </w:r>
    </w:p>
    <w:p w14:paraId="77FC7D08">
      <w:pPr>
        <w:pStyle w:val="6"/>
        <w:keepNext w:val="0"/>
        <w:keepLines w:val="0"/>
        <w:wordWrap w:val="0"/>
        <w:topLinePunct/>
        <w:spacing w:before="0" w:after="0" w:line="360" w:lineRule="auto"/>
        <w:ind w:firstLine="315" w:firstLineChars="150"/>
        <w:rPr>
          <w:rFonts w:ascii="宋体" w:hAnsi="宋体" w:cs="宋体"/>
          <w:bCs/>
          <w:sz w:val="21"/>
          <w:szCs w:val="21"/>
          <w:highlight w:val="none"/>
        </w:rPr>
      </w:pPr>
      <w:r>
        <w:rPr>
          <w:rFonts w:hint="eastAsia" w:ascii="宋体" w:hAnsi="宋体" w:cs="宋体"/>
          <w:b w:val="0"/>
          <w:sz w:val="21"/>
          <w:szCs w:val="21"/>
          <w:highlight w:val="none"/>
        </w:rPr>
        <w:t>38.3</w:t>
      </w:r>
      <w:r>
        <w:rPr>
          <w:rFonts w:hint="eastAsia" w:ascii="宋体" w:hAnsi="宋体" w:cs="宋体"/>
          <w:bCs/>
          <w:sz w:val="21"/>
          <w:szCs w:val="21"/>
          <w:highlight w:val="none"/>
        </w:rPr>
        <w:t>供应商提出质疑应当提交质疑函和必要的证明材料，针对同一采购程序环节的质疑必须在法定质疑期内一次性提出。</w:t>
      </w:r>
    </w:p>
    <w:p w14:paraId="70D6CE05">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38.3.1质疑供应商提起质疑应当符合下列条件：</w:t>
      </w:r>
    </w:p>
    <w:p w14:paraId="7BAA9258">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（1）质疑供应商是参与所质疑项目采购活动的供应商（潜在供应商已依法获取可质疑的采购文件的，可以对该采购文件质疑）；</w:t>
      </w:r>
    </w:p>
    <w:p w14:paraId="59BD35F9">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（2）质疑函内容符合本章第38.3.2项的规定；</w:t>
      </w:r>
    </w:p>
    <w:p w14:paraId="4ACC82F9">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（3）在质疑有效期限内提起质疑；</w:t>
      </w:r>
    </w:p>
    <w:p w14:paraId="22C96B6B">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（4）属于所质疑的采购人或采购人委托的采购代理机构组织的采购活动；</w:t>
      </w:r>
    </w:p>
    <w:p w14:paraId="242A9CFF">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（5）供应商对同一采购程序环节的质疑应当在质疑有效期内一次性提出；</w:t>
      </w:r>
    </w:p>
    <w:p w14:paraId="11D5B429">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（6）供应商提交质疑应当提交必要的证明材料，证明材料应以合法手段取得；</w:t>
      </w:r>
    </w:p>
    <w:p w14:paraId="04080C8D">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（7）财政部门规定的其他条件。</w:t>
      </w:r>
    </w:p>
    <w:p w14:paraId="74531254">
      <w:pPr>
        <w:pStyle w:val="6"/>
        <w:keepNext w:val="0"/>
        <w:keepLines w:val="0"/>
        <w:wordWrap w:val="0"/>
        <w:topLinePunct/>
        <w:spacing w:before="0" w:after="0" w:line="360" w:lineRule="auto"/>
        <w:ind w:firstLine="315" w:firstLineChars="150"/>
        <w:rPr>
          <w:rFonts w:ascii="宋体" w:hAnsi="宋体" w:cs="宋体"/>
          <w:b w:val="0"/>
          <w:sz w:val="21"/>
          <w:szCs w:val="21"/>
          <w:highlight w:val="none"/>
        </w:rPr>
      </w:pPr>
      <w:r>
        <w:rPr>
          <w:rFonts w:hint="eastAsia" w:ascii="宋体" w:hAnsi="宋体" w:cs="宋体"/>
          <w:b w:val="0"/>
          <w:kern w:val="0"/>
          <w:sz w:val="21"/>
          <w:szCs w:val="21"/>
          <w:highlight w:val="none"/>
        </w:rPr>
        <w:t>38.3.2</w:t>
      </w:r>
      <w:r>
        <w:rPr>
          <w:rFonts w:hint="eastAsia" w:ascii="宋体" w:hAnsi="宋体" w:cs="宋体"/>
          <w:kern w:val="0"/>
          <w:sz w:val="21"/>
          <w:szCs w:val="21"/>
          <w:highlight w:val="none"/>
        </w:rPr>
        <w:t>质</w:t>
      </w:r>
      <w:r>
        <w:rPr>
          <w:rFonts w:hint="eastAsia" w:ascii="宋体" w:hAnsi="宋体" w:cs="宋体"/>
          <w:bCs/>
          <w:sz w:val="21"/>
          <w:szCs w:val="21"/>
          <w:highlight w:val="none"/>
        </w:rPr>
        <w:t>疑函应当包括下列内容（质疑函格式后附）：</w:t>
      </w:r>
    </w:p>
    <w:p w14:paraId="31F30D76">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（1）供应商的姓名或者名称、地址、邮编、联系人及联系电话；</w:t>
      </w:r>
    </w:p>
    <w:p w14:paraId="545845E7">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（2）质疑项目的名称、编号；</w:t>
      </w:r>
    </w:p>
    <w:p w14:paraId="597E872F">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（3）具体、明确的质疑事项和与质疑事项相关的请求；</w:t>
      </w:r>
    </w:p>
    <w:p w14:paraId="6614EEDD">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（4）事实依据；</w:t>
      </w:r>
    </w:p>
    <w:p w14:paraId="4C1C777D">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（5）必要的法律依据；</w:t>
      </w:r>
    </w:p>
    <w:p w14:paraId="7B20E321">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（6）提出质疑的日期。</w:t>
      </w:r>
    </w:p>
    <w:p w14:paraId="37B65855">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供应商为自然人的，应当由本人签字；供应商为法人或者其他组织的，应当由法定代表人、主要负责人，或者其委托代理人签字或者盖章，并加盖公章。</w:t>
      </w:r>
    </w:p>
    <w:p w14:paraId="69678BB8">
      <w:pPr>
        <w:pStyle w:val="6"/>
        <w:keepNext w:val="0"/>
        <w:keepLines w:val="0"/>
        <w:wordWrap w:val="0"/>
        <w:topLinePunct/>
        <w:snapToGrid/>
        <w:spacing w:before="0" w:after="0" w:line="360" w:lineRule="auto"/>
        <w:ind w:firstLine="420" w:firstLineChars="200"/>
        <w:rPr>
          <w:rFonts w:ascii="宋体" w:hAnsi="宋体" w:cs="宋体"/>
          <w:b w:val="0"/>
          <w:bCs/>
          <w:sz w:val="21"/>
          <w:szCs w:val="21"/>
          <w:highlight w:val="none"/>
        </w:rPr>
      </w:pPr>
      <w:r>
        <w:rPr>
          <w:rFonts w:hint="eastAsia" w:ascii="宋体" w:hAnsi="宋体" w:cs="宋体"/>
          <w:b w:val="0"/>
          <w:sz w:val="21"/>
          <w:szCs w:val="21"/>
          <w:highlight w:val="none"/>
        </w:rPr>
        <w:t>3</w:t>
      </w:r>
      <w:r>
        <w:rPr>
          <w:rFonts w:hint="eastAsia" w:ascii="宋体" w:hAnsi="宋体" w:cs="宋体"/>
          <w:b w:val="0"/>
          <w:bCs/>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4467FFB0">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（1）对招标文件提出的质疑，依法通过澄清或者修改可以继续开展采购活动的，澄清或者修改招标文件后继续开展采购活动；否则应当修改招标文件后重新开展采购活动。</w:t>
      </w:r>
    </w:p>
    <w:p w14:paraId="64C8E7B7">
      <w:pPr>
        <w:pStyle w:val="25"/>
        <w:wordWrap w:val="0"/>
        <w:topLinePunct/>
        <w:snapToGrid/>
        <w:spacing w:line="360" w:lineRule="auto"/>
        <w:ind w:firstLine="420" w:firstLineChars="200"/>
        <w:rPr>
          <w:rFonts w:hAnsi="宋体" w:cs="宋体"/>
          <w:bCs/>
          <w:sz w:val="21"/>
          <w:szCs w:val="21"/>
          <w:highlight w:val="none"/>
        </w:rPr>
      </w:pPr>
      <w:r>
        <w:rPr>
          <w:rFonts w:hint="eastAsia" w:hAnsi="宋体" w:cs="宋体"/>
          <w:bCs/>
          <w:sz w:val="21"/>
          <w:szCs w:val="21"/>
          <w:highlight w:val="none"/>
        </w:rPr>
        <w:t>（2）对采购过程、中标结果提出的质疑，合格供应商符合法定数量时，可以从合格的中标候选人中另行确定中标供应商的，应当依法另行确定中标供应商；否则应当重新开展采购活动。</w:t>
      </w:r>
    </w:p>
    <w:p w14:paraId="0A6E3D16">
      <w:pPr>
        <w:pStyle w:val="25"/>
        <w:wordWrap w:val="0"/>
        <w:topLinePunct/>
        <w:snapToGrid/>
        <w:spacing w:line="360" w:lineRule="auto"/>
        <w:ind w:firstLine="420"/>
        <w:rPr>
          <w:rFonts w:hAnsi="宋体" w:cs="宋体"/>
          <w:bCs/>
          <w:sz w:val="21"/>
          <w:szCs w:val="21"/>
          <w:highlight w:val="none"/>
        </w:rPr>
      </w:pPr>
      <w:r>
        <w:rPr>
          <w:rFonts w:hint="eastAsia" w:hAnsi="宋体" w:cs="宋体"/>
          <w:bCs/>
          <w:sz w:val="21"/>
          <w:szCs w:val="21"/>
          <w:highlight w:val="none"/>
        </w:rPr>
        <w:t>质疑答复导致中标结果改变的，采购人或者采购代理机构应当将有关情况书面报告本级财政部门。</w:t>
      </w:r>
    </w:p>
    <w:p w14:paraId="422A3428">
      <w:pPr>
        <w:pStyle w:val="25"/>
        <w:wordWrap w:val="0"/>
        <w:topLinePunct/>
        <w:snapToGrid/>
        <w:spacing w:line="360" w:lineRule="auto"/>
        <w:ind w:firstLine="420" w:firstLineChars="200"/>
        <w:rPr>
          <w:rFonts w:hAnsi="宋体" w:cs="宋体"/>
          <w:sz w:val="21"/>
          <w:szCs w:val="21"/>
          <w:highlight w:val="none"/>
        </w:rPr>
      </w:pPr>
      <w:r>
        <w:rPr>
          <w:rFonts w:hint="eastAsia" w:hAnsi="宋体" w:cs="宋体"/>
          <w:sz w:val="21"/>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bookmarkStart w:id="136" w:name="_八、其他事项"/>
      <w:bookmarkEnd w:id="136"/>
    </w:p>
    <w:p w14:paraId="253F720A">
      <w:pPr>
        <w:pStyle w:val="4"/>
        <w:keepNext w:val="0"/>
        <w:keepLines w:val="0"/>
        <w:spacing w:line="360" w:lineRule="auto"/>
        <w:jc w:val="center"/>
        <w:rPr>
          <w:rFonts w:ascii="宋体" w:hAnsi="宋体" w:cs="宋体"/>
          <w:highlight w:val="none"/>
        </w:rPr>
      </w:pPr>
      <w:r>
        <w:rPr>
          <w:rFonts w:hint="eastAsia" w:ascii="宋体" w:hAnsi="宋体" w:cs="宋体"/>
          <w:highlight w:val="none"/>
        </w:rPr>
        <w:t>八、其他事项</w:t>
      </w:r>
    </w:p>
    <w:p w14:paraId="0E06A594">
      <w:pPr>
        <w:pStyle w:val="6"/>
        <w:keepNext w:val="0"/>
        <w:keepLines w:val="0"/>
        <w:wordWrap w:val="0"/>
        <w:topLinePunct/>
        <w:spacing w:before="0" w:after="0" w:line="360" w:lineRule="auto"/>
        <w:ind w:left="0" w:leftChars="0"/>
        <w:rPr>
          <w:rFonts w:ascii="宋体" w:hAnsi="宋体" w:cs="宋体"/>
          <w:sz w:val="21"/>
          <w:szCs w:val="21"/>
          <w:highlight w:val="none"/>
        </w:rPr>
      </w:pPr>
      <w:bookmarkStart w:id="137" w:name="_42.代理服务费"/>
      <w:bookmarkEnd w:id="137"/>
      <w:r>
        <w:rPr>
          <w:rFonts w:hint="eastAsia" w:ascii="宋体" w:hAnsi="宋体" w:cs="宋体"/>
          <w:sz w:val="21"/>
          <w:szCs w:val="21"/>
          <w:highlight w:val="none"/>
        </w:rPr>
        <w:t>39.代理服务费</w:t>
      </w:r>
    </w:p>
    <w:p w14:paraId="300ADE3B">
      <w:pPr>
        <w:pStyle w:val="25"/>
        <w:wordWrap w:val="0"/>
        <w:topLinePunct/>
        <w:snapToGrid/>
        <w:spacing w:line="360" w:lineRule="auto"/>
        <w:ind w:firstLine="420" w:firstLineChars="200"/>
        <w:rPr>
          <w:rFonts w:hint="eastAsia" w:ascii="宋体" w:hAnsi="宋体" w:eastAsia="宋体" w:cs="宋体"/>
          <w:sz w:val="21"/>
          <w:szCs w:val="21"/>
          <w:highlight w:val="none"/>
        </w:rPr>
      </w:pPr>
      <w:r>
        <w:rPr>
          <w:rFonts w:hint="eastAsia" w:hAnsi="宋体" w:cs="宋体"/>
          <w:sz w:val="21"/>
          <w:szCs w:val="21"/>
          <w:highlight w:val="none"/>
        </w:rPr>
        <w:t>39.1代理服务收取标准及缴费账户详见“投标人须知前附表”，投标人为联合体的，</w:t>
      </w:r>
      <w:r>
        <w:rPr>
          <w:rFonts w:hint="eastAsia" w:ascii="宋体" w:hAnsi="宋体" w:eastAsia="宋体" w:cs="宋体"/>
          <w:sz w:val="21"/>
          <w:szCs w:val="21"/>
          <w:highlight w:val="none"/>
        </w:rPr>
        <w:t>可以由联合体中的一方或者多方共同交纳代理服务费。</w:t>
      </w:r>
    </w:p>
    <w:p w14:paraId="2BFC5181">
      <w:pPr>
        <w:pStyle w:val="25"/>
        <w:wordWrap w:val="0"/>
        <w:topLinePunct/>
        <w:snapToGrid/>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39.2代理服务收费标准：</w:t>
      </w:r>
    </w:p>
    <w:p w14:paraId="002D3A29">
      <w:pPr>
        <w:pStyle w:val="25"/>
        <w:wordWrap w:val="0"/>
        <w:topLinePunct/>
        <w:snapToGrid/>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本项目采购代理服务费按计价格[2002]1980号《招标代理服务收费管理暂行办法》收费标准</w:t>
      </w:r>
      <w:r>
        <w:rPr>
          <w:rFonts w:hint="eastAsia" w:hAnsi="宋体" w:cs="宋体"/>
          <w:sz w:val="21"/>
          <w:szCs w:val="21"/>
          <w:highlight w:val="none"/>
          <w:lang w:val="en-US" w:eastAsia="zh-CN"/>
        </w:rPr>
        <w:t>下浮44</w:t>
      </w:r>
      <w:r>
        <w:rPr>
          <w:rFonts w:hint="eastAsia" w:ascii="宋体" w:hAnsi="宋体" w:eastAsia="宋体" w:cs="宋体"/>
          <w:sz w:val="21"/>
          <w:szCs w:val="21"/>
          <w:highlight w:val="none"/>
          <w:lang w:val="en-US" w:eastAsia="zh-CN"/>
        </w:rPr>
        <w:t>%向中标人收取（服务费不足5000元的，按5000元收取），中标人领取成交通知书前，向招标代理机构一次性付清采购代理服务费。</w:t>
      </w:r>
    </w:p>
    <w:tbl>
      <w:tblPr>
        <w:tblStyle w:val="48"/>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6C7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09CF9410">
            <w:pPr>
              <w:spacing w:line="360" w:lineRule="auto"/>
              <w:rPr>
                <w:rFonts w:ascii="宋体" w:hAnsi="宋体" w:cs="宋体"/>
                <w:sz w:val="21"/>
                <w:szCs w:val="21"/>
                <w:highlight w:val="none"/>
              </w:rPr>
            </w:pPr>
            <w:r>
              <w:rPr>
                <w:rFonts w:hint="eastAsia" w:ascii="宋体" w:hAnsi="宋体" w:cs="宋体"/>
                <w:sz w:val="21"/>
                <w:szCs w:val="21"/>
                <w:highlight w:val="none"/>
              </w:rPr>
              <w:t xml:space="preserve">               费率</w:t>
            </w:r>
          </w:p>
          <w:p w14:paraId="7B6FE740">
            <w:pPr>
              <w:spacing w:line="360" w:lineRule="auto"/>
              <w:rPr>
                <w:rFonts w:ascii="宋体" w:hAnsi="宋体" w:cs="宋体"/>
                <w:sz w:val="21"/>
                <w:szCs w:val="21"/>
                <w:highlight w:val="none"/>
              </w:rPr>
            </w:pPr>
            <w:r>
              <w:rPr>
                <w:rFonts w:hint="eastAsia" w:ascii="宋体" w:hAnsi="宋体" w:cs="宋体"/>
                <w:sz w:val="21"/>
                <w:szCs w:val="21"/>
                <w:highlight w:val="none"/>
              </w:rPr>
              <w:t>中标金额（人民币）</w:t>
            </w:r>
          </w:p>
        </w:tc>
        <w:tc>
          <w:tcPr>
            <w:tcW w:w="1659" w:type="dxa"/>
            <w:vAlign w:val="center"/>
          </w:tcPr>
          <w:p w14:paraId="0F07805C">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货物招标</w:t>
            </w:r>
          </w:p>
        </w:tc>
        <w:tc>
          <w:tcPr>
            <w:tcW w:w="1687" w:type="dxa"/>
            <w:vAlign w:val="center"/>
          </w:tcPr>
          <w:p w14:paraId="2DD3F183">
            <w:pPr>
              <w:spacing w:line="360" w:lineRule="auto"/>
              <w:jc w:val="center"/>
              <w:rPr>
                <w:rFonts w:ascii="宋体" w:hAnsi="宋体" w:cs="宋体"/>
                <w:sz w:val="21"/>
                <w:szCs w:val="21"/>
                <w:highlight w:val="none"/>
              </w:rPr>
            </w:pPr>
            <w:r>
              <w:rPr>
                <w:rFonts w:hint="eastAsia" w:ascii="宋体" w:hAnsi="宋体" w:cs="宋体"/>
                <w:sz w:val="21"/>
                <w:szCs w:val="21"/>
                <w:highlight w:val="none"/>
              </w:rPr>
              <w:t>服务招标</w:t>
            </w:r>
          </w:p>
        </w:tc>
        <w:tc>
          <w:tcPr>
            <w:tcW w:w="1659" w:type="dxa"/>
            <w:vAlign w:val="center"/>
          </w:tcPr>
          <w:p w14:paraId="36E4E8E3">
            <w:pPr>
              <w:spacing w:line="360" w:lineRule="auto"/>
              <w:jc w:val="center"/>
              <w:rPr>
                <w:rFonts w:ascii="宋体" w:hAnsi="宋体" w:cs="宋体"/>
                <w:sz w:val="21"/>
                <w:szCs w:val="21"/>
                <w:highlight w:val="none"/>
              </w:rPr>
            </w:pPr>
            <w:r>
              <w:rPr>
                <w:rFonts w:hint="eastAsia" w:ascii="宋体" w:hAnsi="宋体" w:cs="宋体"/>
                <w:sz w:val="21"/>
                <w:szCs w:val="21"/>
                <w:highlight w:val="none"/>
              </w:rPr>
              <w:t>工程招标</w:t>
            </w:r>
          </w:p>
        </w:tc>
      </w:tr>
      <w:tr w14:paraId="3F10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1D273D46">
            <w:pPr>
              <w:spacing w:line="360" w:lineRule="auto"/>
              <w:jc w:val="center"/>
              <w:rPr>
                <w:rFonts w:ascii="宋体" w:hAnsi="宋体" w:cs="宋体"/>
                <w:sz w:val="21"/>
                <w:szCs w:val="21"/>
                <w:highlight w:val="none"/>
              </w:rPr>
            </w:pPr>
            <w:r>
              <w:rPr>
                <w:rFonts w:hint="eastAsia" w:ascii="宋体" w:hAnsi="宋体" w:cs="宋体"/>
                <w:sz w:val="21"/>
                <w:szCs w:val="21"/>
                <w:highlight w:val="none"/>
              </w:rPr>
              <w:t>100万元以下</w:t>
            </w:r>
          </w:p>
        </w:tc>
        <w:tc>
          <w:tcPr>
            <w:tcW w:w="1659" w:type="dxa"/>
            <w:vAlign w:val="center"/>
          </w:tcPr>
          <w:p w14:paraId="05667063">
            <w:pPr>
              <w:spacing w:line="360" w:lineRule="auto"/>
              <w:jc w:val="center"/>
              <w:rPr>
                <w:rFonts w:ascii="宋体" w:hAnsi="宋体" w:cs="宋体"/>
                <w:sz w:val="21"/>
                <w:szCs w:val="21"/>
                <w:highlight w:val="none"/>
              </w:rPr>
            </w:pPr>
            <w:r>
              <w:rPr>
                <w:rFonts w:hint="eastAsia" w:ascii="宋体" w:hAnsi="宋体" w:cs="宋体"/>
                <w:kern w:val="0"/>
                <w:sz w:val="21"/>
                <w:szCs w:val="21"/>
                <w:highlight w:val="none"/>
              </w:rPr>
              <w:t>1.5%</w:t>
            </w:r>
          </w:p>
        </w:tc>
        <w:tc>
          <w:tcPr>
            <w:tcW w:w="1687" w:type="dxa"/>
            <w:vAlign w:val="center"/>
          </w:tcPr>
          <w:p w14:paraId="45F24428">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1.5%</w:t>
            </w:r>
          </w:p>
        </w:tc>
        <w:tc>
          <w:tcPr>
            <w:tcW w:w="1659" w:type="dxa"/>
            <w:vAlign w:val="center"/>
          </w:tcPr>
          <w:p w14:paraId="7A2D833A">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1.0%</w:t>
            </w:r>
          </w:p>
        </w:tc>
      </w:tr>
      <w:tr w14:paraId="7257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6C8C6FCD">
            <w:pPr>
              <w:spacing w:line="360" w:lineRule="auto"/>
              <w:jc w:val="center"/>
              <w:rPr>
                <w:rFonts w:ascii="宋体" w:hAnsi="宋体" w:cs="宋体"/>
                <w:sz w:val="21"/>
                <w:szCs w:val="21"/>
                <w:highlight w:val="none"/>
              </w:rPr>
            </w:pPr>
            <w:r>
              <w:rPr>
                <w:rFonts w:hint="eastAsia" w:ascii="宋体" w:hAnsi="宋体" w:cs="宋体"/>
                <w:sz w:val="21"/>
                <w:szCs w:val="21"/>
                <w:highlight w:val="none"/>
              </w:rPr>
              <w:t>100～500万元</w:t>
            </w:r>
          </w:p>
        </w:tc>
        <w:tc>
          <w:tcPr>
            <w:tcW w:w="1659" w:type="dxa"/>
            <w:vAlign w:val="center"/>
          </w:tcPr>
          <w:p w14:paraId="62A9F8B7">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1.1%</w:t>
            </w:r>
          </w:p>
        </w:tc>
        <w:tc>
          <w:tcPr>
            <w:tcW w:w="1687" w:type="dxa"/>
            <w:vAlign w:val="center"/>
          </w:tcPr>
          <w:p w14:paraId="2DB77E64">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0.8%</w:t>
            </w:r>
          </w:p>
        </w:tc>
        <w:tc>
          <w:tcPr>
            <w:tcW w:w="1659" w:type="dxa"/>
            <w:vAlign w:val="center"/>
          </w:tcPr>
          <w:p w14:paraId="73788A1B">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0.7%</w:t>
            </w:r>
          </w:p>
        </w:tc>
      </w:tr>
      <w:tr w14:paraId="0338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159E3A10">
            <w:pPr>
              <w:spacing w:line="360" w:lineRule="auto"/>
              <w:jc w:val="center"/>
              <w:rPr>
                <w:rFonts w:ascii="宋体" w:hAnsi="宋体" w:cs="宋体"/>
                <w:sz w:val="21"/>
                <w:szCs w:val="21"/>
                <w:highlight w:val="none"/>
              </w:rPr>
            </w:pPr>
            <w:r>
              <w:rPr>
                <w:rFonts w:hint="eastAsia" w:ascii="宋体" w:hAnsi="宋体" w:cs="宋体"/>
                <w:sz w:val="21"/>
                <w:szCs w:val="21"/>
                <w:highlight w:val="none"/>
              </w:rPr>
              <w:t>500～1000万元</w:t>
            </w:r>
          </w:p>
        </w:tc>
        <w:tc>
          <w:tcPr>
            <w:tcW w:w="1659" w:type="dxa"/>
            <w:vAlign w:val="center"/>
          </w:tcPr>
          <w:p w14:paraId="72263F84">
            <w:pPr>
              <w:spacing w:line="360" w:lineRule="auto"/>
              <w:jc w:val="center"/>
              <w:rPr>
                <w:rFonts w:ascii="宋体" w:hAnsi="宋体" w:cs="宋体"/>
                <w:sz w:val="21"/>
                <w:szCs w:val="21"/>
                <w:highlight w:val="none"/>
              </w:rPr>
            </w:pPr>
            <w:r>
              <w:rPr>
                <w:rFonts w:hint="eastAsia" w:ascii="宋体" w:hAnsi="宋体" w:cs="宋体"/>
                <w:kern w:val="0"/>
                <w:sz w:val="21"/>
                <w:szCs w:val="21"/>
                <w:highlight w:val="none"/>
              </w:rPr>
              <w:t>0.8%</w:t>
            </w:r>
          </w:p>
        </w:tc>
        <w:tc>
          <w:tcPr>
            <w:tcW w:w="1687" w:type="dxa"/>
            <w:vAlign w:val="center"/>
          </w:tcPr>
          <w:p w14:paraId="405FA4A3">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0.45%</w:t>
            </w:r>
          </w:p>
        </w:tc>
        <w:tc>
          <w:tcPr>
            <w:tcW w:w="1659" w:type="dxa"/>
            <w:vAlign w:val="center"/>
          </w:tcPr>
          <w:p w14:paraId="303BDA75">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0.55%</w:t>
            </w:r>
          </w:p>
        </w:tc>
      </w:tr>
      <w:tr w14:paraId="5FB7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28CB91BE">
            <w:pPr>
              <w:spacing w:line="360" w:lineRule="auto"/>
              <w:jc w:val="center"/>
              <w:rPr>
                <w:rFonts w:ascii="宋体" w:hAnsi="宋体" w:cs="宋体"/>
                <w:sz w:val="21"/>
                <w:szCs w:val="21"/>
                <w:highlight w:val="none"/>
              </w:rPr>
            </w:pPr>
            <w:r>
              <w:rPr>
                <w:rFonts w:hint="eastAsia" w:ascii="宋体" w:hAnsi="宋体" w:cs="宋体"/>
                <w:sz w:val="21"/>
                <w:szCs w:val="21"/>
                <w:highlight w:val="none"/>
              </w:rPr>
              <w:t>1000～5000万元</w:t>
            </w:r>
          </w:p>
        </w:tc>
        <w:tc>
          <w:tcPr>
            <w:tcW w:w="1659" w:type="dxa"/>
            <w:vAlign w:val="center"/>
          </w:tcPr>
          <w:p w14:paraId="24A2F141">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0.5%</w:t>
            </w:r>
          </w:p>
        </w:tc>
        <w:tc>
          <w:tcPr>
            <w:tcW w:w="1687" w:type="dxa"/>
            <w:vAlign w:val="center"/>
          </w:tcPr>
          <w:p w14:paraId="1A0E232E">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0.25%</w:t>
            </w:r>
          </w:p>
        </w:tc>
        <w:tc>
          <w:tcPr>
            <w:tcW w:w="1659" w:type="dxa"/>
            <w:vAlign w:val="center"/>
          </w:tcPr>
          <w:p w14:paraId="2B686A03">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0.35%</w:t>
            </w:r>
          </w:p>
        </w:tc>
      </w:tr>
      <w:tr w14:paraId="2C4E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28793E6C">
            <w:pPr>
              <w:spacing w:line="360" w:lineRule="auto"/>
              <w:jc w:val="center"/>
              <w:rPr>
                <w:rFonts w:ascii="宋体" w:hAnsi="宋体" w:cs="宋体"/>
                <w:sz w:val="21"/>
                <w:szCs w:val="21"/>
                <w:highlight w:val="none"/>
              </w:rPr>
            </w:pPr>
            <w:r>
              <w:rPr>
                <w:rFonts w:hint="eastAsia" w:ascii="宋体" w:hAnsi="宋体" w:cs="宋体"/>
                <w:sz w:val="21"/>
                <w:szCs w:val="21"/>
                <w:highlight w:val="none"/>
              </w:rPr>
              <w:t>5000万元～1亿元</w:t>
            </w:r>
          </w:p>
        </w:tc>
        <w:tc>
          <w:tcPr>
            <w:tcW w:w="1659" w:type="dxa"/>
            <w:vAlign w:val="center"/>
          </w:tcPr>
          <w:p w14:paraId="4E5C7021">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0.25%</w:t>
            </w:r>
          </w:p>
        </w:tc>
        <w:tc>
          <w:tcPr>
            <w:tcW w:w="1687" w:type="dxa"/>
            <w:vAlign w:val="center"/>
          </w:tcPr>
          <w:p w14:paraId="4B4672FC">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0.1%</w:t>
            </w:r>
          </w:p>
        </w:tc>
        <w:tc>
          <w:tcPr>
            <w:tcW w:w="1659" w:type="dxa"/>
            <w:vAlign w:val="center"/>
          </w:tcPr>
          <w:p w14:paraId="68B614F2">
            <w:pPr>
              <w:spacing w:line="360" w:lineRule="auto"/>
              <w:ind w:firstLine="210" w:firstLineChars="100"/>
              <w:jc w:val="center"/>
              <w:rPr>
                <w:rFonts w:ascii="宋体" w:hAnsi="宋体" w:cs="宋体"/>
                <w:sz w:val="21"/>
                <w:szCs w:val="21"/>
                <w:highlight w:val="none"/>
              </w:rPr>
            </w:pPr>
            <w:r>
              <w:rPr>
                <w:rFonts w:hint="eastAsia" w:ascii="宋体" w:hAnsi="宋体" w:cs="宋体"/>
                <w:kern w:val="0"/>
                <w:sz w:val="21"/>
                <w:szCs w:val="21"/>
                <w:highlight w:val="none"/>
              </w:rPr>
              <w:t>0.2%</w:t>
            </w:r>
          </w:p>
        </w:tc>
      </w:tr>
      <w:tr w14:paraId="0BB5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59DA4ED0">
            <w:pPr>
              <w:spacing w:line="360" w:lineRule="auto"/>
              <w:jc w:val="center"/>
              <w:rPr>
                <w:rFonts w:ascii="宋体" w:hAnsi="宋体" w:cs="宋体"/>
                <w:sz w:val="21"/>
                <w:szCs w:val="21"/>
                <w:highlight w:val="none"/>
              </w:rPr>
            </w:pPr>
            <w:r>
              <w:rPr>
                <w:rFonts w:hint="eastAsia" w:ascii="宋体" w:hAnsi="宋体" w:cs="宋体"/>
                <w:sz w:val="21"/>
                <w:szCs w:val="21"/>
                <w:highlight w:val="none"/>
              </w:rPr>
              <w:t>1～5亿元</w:t>
            </w:r>
          </w:p>
        </w:tc>
        <w:tc>
          <w:tcPr>
            <w:tcW w:w="1659" w:type="dxa"/>
            <w:vAlign w:val="center"/>
          </w:tcPr>
          <w:p w14:paraId="270E6D3C">
            <w:pPr>
              <w:spacing w:line="360" w:lineRule="auto"/>
              <w:ind w:firstLine="210" w:firstLineChars="100"/>
              <w:jc w:val="center"/>
              <w:rPr>
                <w:rFonts w:ascii="宋体" w:hAnsi="宋体" w:cs="宋体"/>
                <w:sz w:val="21"/>
                <w:szCs w:val="21"/>
                <w:highlight w:val="none"/>
              </w:rPr>
            </w:pPr>
            <w:r>
              <w:rPr>
                <w:rFonts w:hint="eastAsia" w:ascii="宋体" w:hAnsi="宋体" w:cs="宋体"/>
                <w:sz w:val="21"/>
                <w:szCs w:val="21"/>
                <w:highlight w:val="none"/>
              </w:rPr>
              <w:t>0.05%</w:t>
            </w:r>
          </w:p>
        </w:tc>
        <w:tc>
          <w:tcPr>
            <w:tcW w:w="1687" w:type="dxa"/>
            <w:vAlign w:val="center"/>
          </w:tcPr>
          <w:p w14:paraId="6F81714F">
            <w:pPr>
              <w:spacing w:line="360" w:lineRule="auto"/>
              <w:jc w:val="center"/>
              <w:rPr>
                <w:rFonts w:ascii="宋体" w:hAnsi="宋体" w:cs="宋体"/>
                <w:sz w:val="21"/>
                <w:szCs w:val="21"/>
                <w:highlight w:val="none"/>
              </w:rPr>
            </w:pPr>
            <w:r>
              <w:rPr>
                <w:rFonts w:hint="eastAsia" w:ascii="宋体" w:hAnsi="宋体" w:cs="宋体"/>
                <w:sz w:val="21"/>
                <w:szCs w:val="21"/>
                <w:highlight w:val="none"/>
              </w:rPr>
              <w:t>0.05%</w:t>
            </w:r>
          </w:p>
        </w:tc>
        <w:tc>
          <w:tcPr>
            <w:tcW w:w="1659" w:type="dxa"/>
            <w:vAlign w:val="center"/>
          </w:tcPr>
          <w:p w14:paraId="53E4CDB9">
            <w:pPr>
              <w:spacing w:line="360" w:lineRule="auto"/>
              <w:jc w:val="center"/>
              <w:rPr>
                <w:rFonts w:ascii="宋体" w:hAnsi="宋体" w:cs="宋体"/>
                <w:sz w:val="21"/>
                <w:szCs w:val="21"/>
                <w:highlight w:val="none"/>
              </w:rPr>
            </w:pPr>
            <w:r>
              <w:rPr>
                <w:rFonts w:hint="eastAsia" w:ascii="宋体" w:hAnsi="宋体" w:cs="宋体"/>
                <w:sz w:val="21"/>
                <w:szCs w:val="21"/>
                <w:highlight w:val="none"/>
              </w:rPr>
              <w:t>0.05%</w:t>
            </w:r>
          </w:p>
        </w:tc>
      </w:tr>
      <w:tr w14:paraId="49C40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3BBE787B">
            <w:pPr>
              <w:spacing w:line="360" w:lineRule="auto"/>
              <w:jc w:val="center"/>
              <w:rPr>
                <w:rFonts w:ascii="宋体" w:hAnsi="宋体" w:cs="宋体"/>
                <w:sz w:val="21"/>
                <w:szCs w:val="21"/>
                <w:highlight w:val="none"/>
              </w:rPr>
            </w:pPr>
            <w:r>
              <w:rPr>
                <w:rFonts w:hint="eastAsia" w:ascii="宋体" w:hAnsi="宋体" w:cs="宋体"/>
                <w:sz w:val="21"/>
                <w:szCs w:val="21"/>
                <w:highlight w:val="none"/>
              </w:rPr>
              <w:t>5～10亿元</w:t>
            </w:r>
          </w:p>
        </w:tc>
        <w:tc>
          <w:tcPr>
            <w:tcW w:w="1659" w:type="dxa"/>
            <w:vAlign w:val="center"/>
          </w:tcPr>
          <w:p w14:paraId="1520D4FD">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0.035%</w:t>
            </w:r>
          </w:p>
        </w:tc>
        <w:tc>
          <w:tcPr>
            <w:tcW w:w="1687" w:type="dxa"/>
            <w:vAlign w:val="center"/>
          </w:tcPr>
          <w:p w14:paraId="27979A45">
            <w:pPr>
              <w:spacing w:line="360" w:lineRule="auto"/>
              <w:jc w:val="center"/>
              <w:rPr>
                <w:rFonts w:ascii="宋体" w:hAnsi="宋体" w:cs="宋体"/>
                <w:sz w:val="21"/>
                <w:szCs w:val="21"/>
                <w:highlight w:val="none"/>
              </w:rPr>
            </w:pPr>
            <w:r>
              <w:rPr>
                <w:rFonts w:hint="eastAsia" w:ascii="宋体" w:hAnsi="宋体" w:cs="宋体"/>
                <w:sz w:val="21"/>
                <w:szCs w:val="21"/>
                <w:highlight w:val="none"/>
              </w:rPr>
              <w:t>0.035%</w:t>
            </w:r>
          </w:p>
        </w:tc>
        <w:tc>
          <w:tcPr>
            <w:tcW w:w="1659" w:type="dxa"/>
            <w:vAlign w:val="center"/>
          </w:tcPr>
          <w:p w14:paraId="7E0610EB">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0.035%</w:t>
            </w:r>
          </w:p>
        </w:tc>
      </w:tr>
      <w:tr w14:paraId="24D7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017FF76D">
            <w:pPr>
              <w:spacing w:line="360" w:lineRule="auto"/>
              <w:jc w:val="center"/>
              <w:rPr>
                <w:rFonts w:ascii="宋体" w:hAnsi="宋体" w:cs="宋体"/>
                <w:sz w:val="21"/>
                <w:szCs w:val="21"/>
                <w:highlight w:val="none"/>
              </w:rPr>
            </w:pPr>
            <w:r>
              <w:rPr>
                <w:rFonts w:hint="eastAsia" w:ascii="宋体" w:hAnsi="宋体" w:cs="宋体"/>
                <w:sz w:val="21"/>
                <w:szCs w:val="21"/>
                <w:highlight w:val="none"/>
              </w:rPr>
              <w:t>10～50亿元</w:t>
            </w:r>
          </w:p>
        </w:tc>
        <w:tc>
          <w:tcPr>
            <w:tcW w:w="1659" w:type="dxa"/>
            <w:vAlign w:val="center"/>
          </w:tcPr>
          <w:p w14:paraId="2543B936">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0.008%</w:t>
            </w:r>
          </w:p>
        </w:tc>
        <w:tc>
          <w:tcPr>
            <w:tcW w:w="1687" w:type="dxa"/>
            <w:vAlign w:val="center"/>
          </w:tcPr>
          <w:p w14:paraId="32251154">
            <w:pPr>
              <w:spacing w:line="360" w:lineRule="auto"/>
              <w:ind w:firstLine="210" w:firstLineChars="100"/>
              <w:jc w:val="center"/>
              <w:rPr>
                <w:rFonts w:ascii="宋体" w:hAnsi="宋体" w:cs="宋体"/>
                <w:sz w:val="21"/>
                <w:szCs w:val="21"/>
                <w:highlight w:val="none"/>
              </w:rPr>
            </w:pPr>
            <w:r>
              <w:rPr>
                <w:rFonts w:hint="eastAsia" w:ascii="宋体" w:hAnsi="宋体" w:cs="宋体"/>
                <w:sz w:val="21"/>
                <w:szCs w:val="21"/>
                <w:highlight w:val="none"/>
              </w:rPr>
              <w:t>0.008%</w:t>
            </w:r>
          </w:p>
        </w:tc>
        <w:tc>
          <w:tcPr>
            <w:tcW w:w="1659" w:type="dxa"/>
            <w:vAlign w:val="center"/>
          </w:tcPr>
          <w:p w14:paraId="53169825">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0.008%</w:t>
            </w:r>
          </w:p>
        </w:tc>
      </w:tr>
      <w:tr w14:paraId="09CC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028988F7">
            <w:pPr>
              <w:spacing w:line="360" w:lineRule="auto"/>
              <w:jc w:val="center"/>
              <w:rPr>
                <w:rFonts w:ascii="宋体" w:hAnsi="宋体" w:cs="宋体"/>
                <w:sz w:val="21"/>
                <w:szCs w:val="21"/>
                <w:highlight w:val="none"/>
              </w:rPr>
            </w:pPr>
            <w:r>
              <w:rPr>
                <w:rFonts w:hint="eastAsia" w:ascii="宋体" w:hAnsi="宋体" w:cs="宋体"/>
                <w:sz w:val="21"/>
                <w:szCs w:val="21"/>
                <w:highlight w:val="none"/>
              </w:rPr>
              <w:t>50～100亿元</w:t>
            </w:r>
          </w:p>
        </w:tc>
        <w:tc>
          <w:tcPr>
            <w:tcW w:w="1659" w:type="dxa"/>
            <w:vAlign w:val="center"/>
          </w:tcPr>
          <w:p w14:paraId="71581038">
            <w:pPr>
              <w:spacing w:line="360" w:lineRule="auto"/>
              <w:jc w:val="center"/>
              <w:rPr>
                <w:rFonts w:ascii="宋体" w:hAnsi="宋体" w:cs="宋体"/>
                <w:sz w:val="21"/>
                <w:szCs w:val="21"/>
                <w:highlight w:val="none"/>
              </w:rPr>
            </w:pPr>
            <w:r>
              <w:rPr>
                <w:rFonts w:hint="eastAsia" w:ascii="宋体" w:hAnsi="宋体" w:cs="宋体"/>
                <w:sz w:val="21"/>
                <w:szCs w:val="21"/>
                <w:highlight w:val="none"/>
              </w:rPr>
              <w:t>0.006%</w:t>
            </w:r>
          </w:p>
        </w:tc>
        <w:tc>
          <w:tcPr>
            <w:tcW w:w="1687" w:type="dxa"/>
            <w:vAlign w:val="center"/>
          </w:tcPr>
          <w:p w14:paraId="5A731FCB">
            <w:pPr>
              <w:spacing w:line="360" w:lineRule="auto"/>
              <w:ind w:firstLine="210" w:firstLineChars="100"/>
              <w:jc w:val="center"/>
              <w:rPr>
                <w:rFonts w:ascii="宋体" w:hAnsi="宋体" w:cs="宋体"/>
                <w:sz w:val="21"/>
                <w:szCs w:val="21"/>
                <w:highlight w:val="none"/>
              </w:rPr>
            </w:pPr>
            <w:r>
              <w:rPr>
                <w:rFonts w:hint="eastAsia" w:ascii="宋体" w:hAnsi="宋体" w:cs="宋体"/>
                <w:sz w:val="21"/>
                <w:szCs w:val="21"/>
                <w:highlight w:val="none"/>
              </w:rPr>
              <w:t>0.006%</w:t>
            </w:r>
          </w:p>
        </w:tc>
        <w:tc>
          <w:tcPr>
            <w:tcW w:w="1659" w:type="dxa"/>
            <w:vAlign w:val="center"/>
          </w:tcPr>
          <w:p w14:paraId="0D978B70">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0.006%</w:t>
            </w:r>
          </w:p>
        </w:tc>
      </w:tr>
      <w:tr w14:paraId="619B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center"/>
          </w:tcPr>
          <w:p w14:paraId="1603407F">
            <w:pPr>
              <w:spacing w:line="360" w:lineRule="auto"/>
              <w:jc w:val="center"/>
              <w:rPr>
                <w:rFonts w:ascii="宋体" w:hAnsi="宋体" w:cs="宋体"/>
                <w:sz w:val="21"/>
                <w:szCs w:val="21"/>
                <w:highlight w:val="none"/>
              </w:rPr>
            </w:pPr>
            <w:r>
              <w:rPr>
                <w:rFonts w:hint="eastAsia" w:ascii="宋体" w:hAnsi="宋体" w:cs="宋体"/>
                <w:sz w:val="21"/>
                <w:szCs w:val="21"/>
                <w:highlight w:val="none"/>
              </w:rPr>
              <w:t>100亿元以上</w:t>
            </w:r>
          </w:p>
        </w:tc>
        <w:tc>
          <w:tcPr>
            <w:tcW w:w="1659" w:type="dxa"/>
            <w:vAlign w:val="center"/>
          </w:tcPr>
          <w:p w14:paraId="15CDFE3D">
            <w:pPr>
              <w:spacing w:line="360" w:lineRule="auto"/>
              <w:jc w:val="center"/>
              <w:rPr>
                <w:rFonts w:ascii="宋体" w:hAnsi="宋体" w:cs="宋体"/>
                <w:sz w:val="21"/>
                <w:szCs w:val="21"/>
                <w:highlight w:val="none"/>
              </w:rPr>
            </w:pPr>
            <w:r>
              <w:rPr>
                <w:rFonts w:hint="eastAsia" w:ascii="宋体" w:hAnsi="宋体" w:cs="宋体"/>
                <w:sz w:val="21"/>
                <w:szCs w:val="21"/>
                <w:highlight w:val="none"/>
              </w:rPr>
              <w:t>0.004%</w:t>
            </w:r>
          </w:p>
        </w:tc>
        <w:tc>
          <w:tcPr>
            <w:tcW w:w="1687" w:type="dxa"/>
            <w:vAlign w:val="center"/>
          </w:tcPr>
          <w:p w14:paraId="1A9F232F">
            <w:pPr>
              <w:spacing w:line="360" w:lineRule="auto"/>
              <w:ind w:firstLine="210" w:firstLineChars="100"/>
              <w:jc w:val="center"/>
              <w:rPr>
                <w:rFonts w:ascii="宋体" w:hAnsi="宋体" w:cs="宋体"/>
                <w:sz w:val="21"/>
                <w:szCs w:val="21"/>
                <w:highlight w:val="none"/>
              </w:rPr>
            </w:pPr>
            <w:r>
              <w:rPr>
                <w:rFonts w:hint="eastAsia" w:ascii="宋体" w:hAnsi="宋体" w:cs="宋体"/>
                <w:sz w:val="21"/>
                <w:szCs w:val="21"/>
                <w:highlight w:val="none"/>
              </w:rPr>
              <w:t>0.004%</w:t>
            </w:r>
          </w:p>
        </w:tc>
        <w:tc>
          <w:tcPr>
            <w:tcW w:w="1659" w:type="dxa"/>
            <w:vAlign w:val="center"/>
          </w:tcPr>
          <w:p w14:paraId="66157E51">
            <w:pPr>
              <w:spacing w:line="360" w:lineRule="auto"/>
              <w:ind w:firstLine="105" w:firstLineChars="50"/>
              <w:jc w:val="center"/>
              <w:rPr>
                <w:rFonts w:ascii="宋体" w:hAnsi="宋体" w:cs="宋体"/>
                <w:sz w:val="21"/>
                <w:szCs w:val="21"/>
                <w:highlight w:val="none"/>
              </w:rPr>
            </w:pPr>
            <w:r>
              <w:rPr>
                <w:rFonts w:hint="eastAsia" w:ascii="宋体" w:hAnsi="宋体" w:cs="宋体"/>
                <w:sz w:val="21"/>
                <w:szCs w:val="21"/>
                <w:highlight w:val="none"/>
              </w:rPr>
              <w:t>0.004%</w:t>
            </w:r>
          </w:p>
        </w:tc>
      </w:tr>
    </w:tbl>
    <w:p w14:paraId="2FD856CA">
      <w:pPr>
        <w:spacing w:line="360" w:lineRule="auto"/>
        <w:ind w:firstLine="422" w:firstLineChars="200"/>
        <w:rPr>
          <w:rFonts w:hint="eastAsia" w:ascii="楷体" w:hAnsi="楷体" w:eastAsia="楷体" w:cs="宋体"/>
          <w:b/>
          <w:sz w:val="21"/>
          <w:szCs w:val="21"/>
          <w:highlight w:val="none"/>
          <w:lang w:eastAsia="zh-CN"/>
        </w:rPr>
      </w:pPr>
      <w:r>
        <w:rPr>
          <w:rFonts w:hint="eastAsia" w:ascii="楷体" w:hAnsi="楷体" w:eastAsia="楷体" w:cs="宋体"/>
          <w:b/>
          <w:sz w:val="21"/>
          <w:szCs w:val="21"/>
          <w:highlight w:val="none"/>
        </w:rPr>
        <w:t>注：</w:t>
      </w:r>
    </w:p>
    <w:p w14:paraId="19865715">
      <w:pPr>
        <w:spacing w:line="360" w:lineRule="auto"/>
        <w:ind w:firstLine="420" w:firstLineChars="200"/>
        <w:rPr>
          <w:rFonts w:ascii="楷体" w:hAnsi="楷体" w:eastAsia="楷体" w:cs="宋体"/>
          <w:sz w:val="21"/>
          <w:szCs w:val="21"/>
          <w:highlight w:val="none"/>
        </w:rPr>
      </w:pPr>
      <w:r>
        <w:rPr>
          <w:rFonts w:hint="eastAsia" w:ascii="楷体" w:hAnsi="楷体" w:eastAsia="楷体" w:cs="宋体"/>
          <w:sz w:val="21"/>
          <w:szCs w:val="21"/>
          <w:highlight w:val="none"/>
        </w:rPr>
        <w:t>（</w:t>
      </w:r>
      <w:r>
        <w:rPr>
          <w:rFonts w:ascii="楷体" w:hAnsi="楷体" w:eastAsia="楷体" w:cs="宋体"/>
          <w:sz w:val="21"/>
          <w:szCs w:val="21"/>
          <w:highlight w:val="none"/>
        </w:rPr>
        <w:t>1）按本表费率计算的收费为采购代理的收费基准价格；</w:t>
      </w:r>
    </w:p>
    <w:p w14:paraId="51C76FFC">
      <w:pPr>
        <w:spacing w:line="360" w:lineRule="auto"/>
        <w:ind w:firstLine="420" w:firstLineChars="200"/>
        <w:rPr>
          <w:rFonts w:ascii="楷体" w:hAnsi="楷体" w:eastAsia="楷体" w:cs="宋体"/>
          <w:sz w:val="21"/>
          <w:szCs w:val="21"/>
          <w:highlight w:val="none"/>
        </w:rPr>
      </w:pPr>
      <w:r>
        <w:rPr>
          <w:rFonts w:hint="eastAsia" w:ascii="楷体" w:hAnsi="楷体" w:eastAsia="楷体" w:cs="宋体"/>
          <w:sz w:val="21"/>
          <w:szCs w:val="21"/>
          <w:highlight w:val="none"/>
        </w:rPr>
        <w:t>（</w:t>
      </w:r>
      <w:r>
        <w:rPr>
          <w:rFonts w:ascii="楷体" w:hAnsi="楷体" w:eastAsia="楷体" w:cs="宋体"/>
          <w:sz w:val="21"/>
          <w:szCs w:val="21"/>
          <w:highlight w:val="none"/>
        </w:rPr>
        <w:t>2）采购代理收费按差额定率累进法计算。</w:t>
      </w:r>
    </w:p>
    <w:p w14:paraId="6B1FE897">
      <w:pPr>
        <w:spacing w:line="360" w:lineRule="auto"/>
        <w:ind w:firstLine="420" w:firstLineChars="200"/>
        <w:rPr>
          <w:rFonts w:ascii="楷体" w:hAnsi="楷体" w:eastAsia="楷体" w:cs="宋体"/>
          <w:sz w:val="21"/>
          <w:szCs w:val="21"/>
          <w:highlight w:val="none"/>
        </w:rPr>
      </w:pPr>
      <w:r>
        <w:rPr>
          <w:rFonts w:hint="eastAsia" w:ascii="楷体" w:hAnsi="楷体" w:eastAsia="楷体" w:cs="宋体"/>
          <w:sz w:val="21"/>
          <w:szCs w:val="21"/>
          <w:highlight w:val="none"/>
        </w:rPr>
        <w:t>例如：某货物采购代理业务中标金额或者暂定价为</w:t>
      </w:r>
      <w:r>
        <w:rPr>
          <w:rFonts w:ascii="楷体" w:hAnsi="楷体" w:eastAsia="楷体" w:cs="宋体"/>
          <w:sz w:val="21"/>
          <w:szCs w:val="21"/>
          <w:highlight w:val="none"/>
        </w:rPr>
        <w:t>200万元，计算采购代理收费额如下：</w:t>
      </w:r>
    </w:p>
    <w:p w14:paraId="422AE516">
      <w:pPr>
        <w:spacing w:line="360" w:lineRule="auto"/>
        <w:ind w:firstLine="420" w:firstLineChars="200"/>
        <w:rPr>
          <w:rFonts w:ascii="楷体" w:hAnsi="楷体" w:eastAsia="楷体" w:cs="宋体"/>
          <w:sz w:val="21"/>
          <w:szCs w:val="21"/>
          <w:highlight w:val="none"/>
        </w:rPr>
      </w:pPr>
      <w:r>
        <w:rPr>
          <w:rFonts w:ascii="楷体" w:hAnsi="楷体" w:eastAsia="楷体" w:cs="宋体"/>
          <w:sz w:val="21"/>
          <w:szCs w:val="21"/>
          <w:highlight w:val="none"/>
        </w:rPr>
        <w:t>100</w:t>
      </w:r>
      <w:r>
        <w:rPr>
          <w:rFonts w:hint="eastAsia" w:ascii="楷体" w:hAnsi="楷体" w:eastAsia="楷体" w:cs="宋体"/>
          <w:sz w:val="21"/>
          <w:szCs w:val="21"/>
          <w:highlight w:val="none"/>
        </w:rPr>
        <w:t>万元×</w:t>
      </w:r>
      <w:r>
        <w:rPr>
          <w:rFonts w:ascii="楷体" w:hAnsi="楷体" w:eastAsia="楷体" w:cs="宋体"/>
          <w:sz w:val="21"/>
          <w:szCs w:val="21"/>
          <w:highlight w:val="none"/>
        </w:rPr>
        <w:t>l.5</w:t>
      </w:r>
      <w:r>
        <w:rPr>
          <w:rFonts w:hint="eastAsia" w:ascii="楷体" w:hAnsi="楷体" w:eastAsia="楷体" w:cs="宋体"/>
          <w:sz w:val="21"/>
          <w:szCs w:val="21"/>
          <w:highlight w:val="none"/>
        </w:rPr>
        <w:t>％＝</w:t>
      </w:r>
      <w:r>
        <w:rPr>
          <w:rFonts w:ascii="楷体" w:hAnsi="楷体" w:eastAsia="楷体" w:cs="宋体"/>
          <w:sz w:val="21"/>
          <w:szCs w:val="21"/>
          <w:highlight w:val="none"/>
        </w:rPr>
        <w:t>1.5</w:t>
      </w:r>
      <w:r>
        <w:rPr>
          <w:rFonts w:hint="eastAsia" w:ascii="楷体" w:hAnsi="楷体" w:eastAsia="楷体" w:cs="宋体"/>
          <w:sz w:val="21"/>
          <w:szCs w:val="21"/>
          <w:highlight w:val="none"/>
        </w:rPr>
        <w:t>万元</w:t>
      </w:r>
    </w:p>
    <w:p w14:paraId="02A35D21">
      <w:pPr>
        <w:spacing w:line="360" w:lineRule="auto"/>
        <w:ind w:firstLine="420" w:firstLineChars="200"/>
        <w:rPr>
          <w:rFonts w:ascii="楷体" w:hAnsi="楷体" w:eastAsia="楷体" w:cs="宋体"/>
          <w:sz w:val="21"/>
          <w:szCs w:val="21"/>
          <w:highlight w:val="none"/>
        </w:rPr>
      </w:pPr>
      <w:r>
        <w:rPr>
          <w:rFonts w:hint="eastAsia" w:ascii="楷体" w:hAnsi="楷体" w:eastAsia="楷体" w:cs="宋体"/>
          <w:sz w:val="21"/>
          <w:szCs w:val="21"/>
          <w:highlight w:val="none"/>
        </w:rPr>
        <w:t>（</w:t>
      </w:r>
      <w:r>
        <w:rPr>
          <w:rFonts w:ascii="楷体" w:hAnsi="楷体" w:eastAsia="楷体" w:cs="宋体"/>
          <w:sz w:val="21"/>
          <w:szCs w:val="21"/>
          <w:highlight w:val="none"/>
        </w:rPr>
        <w:t>200</w:t>
      </w:r>
      <w:r>
        <w:rPr>
          <w:rFonts w:hint="eastAsia" w:ascii="楷体" w:hAnsi="楷体" w:eastAsia="楷体" w:cs="宋体"/>
          <w:sz w:val="21"/>
          <w:szCs w:val="21"/>
          <w:highlight w:val="none"/>
        </w:rPr>
        <w:t>－</w:t>
      </w:r>
      <w:r>
        <w:rPr>
          <w:rFonts w:ascii="楷体" w:hAnsi="楷体" w:eastAsia="楷体" w:cs="宋体"/>
          <w:sz w:val="21"/>
          <w:szCs w:val="21"/>
          <w:highlight w:val="none"/>
        </w:rPr>
        <w:t>100</w:t>
      </w:r>
      <w:r>
        <w:rPr>
          <w:rFonts w:hint="eastAsia" w:ascii="楷体" w:hAnsi="楷体" w:eastAsia="楷体" w:cs="宋体"/>
          <w:sz w:val="21"/>
          <w:szCs w:val="21"/>
          <w:highlight w:val="none"/>
        </w:rPr>
        <w:t>）万元×</w:t>
      </w:r>
      <w:r>
        <w:rPr>
          <w:rFonts w:ascii="楷体" w:hAnsi="楷体" w:eastAsia="楷体" w:cs="宋体"/>
          <w:sz w:val="21"/>
          <w:szCs w:val="21"/>
          <w:highlight w:val="none"/>
        </w:rPr>
        <w:t>1.1％＝1.1万元</w:t>
      </w:r>
    </w:p>
    <w:p w14:paraId="50387030">
      <w:pPr>
        <w:spacing w:line="360" w:lineRule="auto"/>
        <w:ind w:firstLine="420" w:firstLineChars="200"/>
        <w:rPr>
          <w:rFonts w:ascii="楷体" w:hAnsi="楷体" w:eastAsia="楷体" w:cs="宋体"/>
          <w:sz w:val="21"/>
          <w:szCs w:val="21"/>
          <w:highlight w:val="none"/>
        </w:rPr>
      </w:pPr>
      <w:r>
        <w:rPr>
          <w:rFonts w:hint="eastAsia" w:ascii="楷体" w:hAnsi="楷体" w:eastAsia="楷体" w:cs="宋体"/>
          <w:sz w:val="21"/>
          <w:szCs w:val="21"/>
          <w:highlight w:val="none"/>
        </w:rPr>
        <w:t>合计收费＝</w:t>
      </w:r>
      <w:r>
        <w:rPr>
          <w:rFonts w:ascii="楷体" w:hAnsi="楷体" w:eastAsia="楷体" w:cs="宋体"/>
          <w:sz w:val="21"/>
          <w:szCs w:val="21"/>
          <w:highlight w:val="none"/>
        </w:rPr>
        <w:t>1.5+1.1＝2.6</w:t>
      </w:r>
      <w:r>
        <w:rPr>
          <w:rFonts w:hint="eastAsia" w:ascii="楷体" w:hAnsi="楷体" w:eastAsia="楷体" w:cs="宋体"/>
          <w:sz w:val="21"/>
          <w:szCs w:val="21"/>
          <w:highlight w:val="none"/>
        </w:rPr>
        <w:t>（万元）</w:t>
      </w:r>
    </w:p>
    <w:p w14:paraId="2034B9EF">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40.需要补充的其他内容</w:t>
      </w:r>
    </w:p>
    <w:p w14:paraId="21CDBDCC">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40.1本招标文件解释规则详见“投标人须知前附表”。</w:t>
      </w:r>
    </w:p>
    <w:p w14:paraId="6CF708E2">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40.2其他事项详见“投标人须知前附表”。</w:t>
      </w:r>
    </w:p>
    <w:p w14:paraId="5C1CB4C5">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40.3</w:t>
      </w:r>
      <w:bookmarkStart w:id="138" w:name="_Hlk65857140"/>
      <w:r>
        <w:rPr>
          <w:rFonts w:hint="eastAsia" w:hAnsi="宋体" w:cs="宋体"/>
          <w:sz w:val="21"/>
          <w:szCs w:val="21"/>
          <w:highlight w:val="none"/>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544FCE58">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（1）在货物采购项目中，货物由中小企业制造，即货物由中小企业生产且使用该中小企业商号或者注册商标，不对其中涉及的工程承建商和服务的承接商作出要求；</w:t>
      </w:r>
    </w:p>
    <w:p w14:paraId="14ABEB93">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（2）在工程采购项目中，工程由中小企业承建，即工程施工单位为中小企业，不对其中涉及的货物的制造商和服务的承接商作出要求；</w:t>
      </w:r>
    </w:p>
    <w:p w14:paraId="22792592">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CA30A3D">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35CC827A">
      <w:pPr>
        <w:pStyle w:val="25"/>
        <w:spacing w:before="0" w:after="0" w:line="360" w:lineRule="auto"/>
        <w:ind w:firstLine="420" w:firstLineChars="200"/>
        <w:contextualSpacing/>
        <w:rPr>
          <w:rFonts w:hAnsi="宋体" w:cs="宋体"/>
          <w:sz w:val="21"/>
          <w:szCs w:val="21"/>
          <w:highlight w:val="none"/>
        </w:rPr>
      </w:pPr>
      <w:r>
        <w:rPr>
          <w:rFonts w:hint="eastAsia" w:hAnsi="宋体" w:cs="宋体"/>
          <w:sz w:val="21"/>
          <w:szCs w:val="21"/>
          <w:highlight w:val="none"/>
        </w:rPr>
        <w:t>依据本招标文件规定享受扶持政策获得政府采购合同的，小微企业不得将合同分包给大中型企业，中型企业不得将合同分包给大型企业。</w:t>
      </w:r>
      <w:bookmarkEnd w:id="138"/>
    </w:p>
    <w:p w14:paraId="01B664A1">
      <w:pPr>
        <w:pStyle w:val="21"/>
        <w:spacing w:line="360" w:lineRule="auto"/>
        <w:ind w:left="479" w:leftChars="114" w:hanging="240" w:hangingChars="100"/>
        <w:rPr>
          <w:rFonts w:ascii="宋体" w:hAnsi="宋体" w:cs="宋体"/>
          <w:highlight w:val="none"/>
        </w:rPr>
      </w:pPr>
      <w:r>
        <w:rPr>
          <w:rFonts w:hint="eastAsia" w:ascii="宋体" w:hAnsi="宋体" w:cs="宋体"/>
          <w:highlight w:val="none"/>
        </w:rPr>
        <w:br w:type="page"/>
      </w:r>
    </w:p>
    <w:p w14:paraId="76B2DB1F">
      <w:pPr>
        <w:pStyle w:val="2"/>
        <w:jc w:val="center"/>
        <w:rPr>
          <w:rFonts w:ascii="宋体" w:hAnsi="宋体" w:cs="宋体"/>
          <w:highlight w:val="none"/>
        </w:rPr>
      </w:pPr>
      <w:bookmarkStart w:id="139" w:name="_Toc74320803"/>
      <w:bookmarkStart w:id="140" w:name="_Toc11659"/>
      <w:bookmarkStart w:id="141" w:name="_Toc254970548"/>
      <w:bookmarkStart w:id="142" w:name="_Toc330456896"/>
      <w:bookmarkStart w:id="143" w:name="_Toc254970689"/>
      <w:r>
        <w:rPr>
          <w:rFonts w:hint="eastAsia" w:ascii="宋体" w:hAnsi="宋体" w:cs="宋体"/>
          <w:highlight w:val="none"/>
        </w:rPr>
        <w:t>第四章</w:t>
      </w:r>
      <w:r>
        <w:rPr>
          <w:rFonts w:hint="eastAsia" w:ascii="宋体" w:hAnsi="宋体" w:cs="宋体"/>
          <w:highlight w:val="none"/>
          <w:lang w:eastAsia="zh-CN"/>
        </w:rPr>
        <w:t>、</w:t>
      </w:r>
      <w:r>
        <w:rPr>
          <w:rFonts w:hint="eastAsia" w:ascii="宋体" w:hAnsi="宋体" w:cs="宋体"/>
          <w:highlight w:val="none"/>
        </w:rPr>
        <w:t>评标方法及评标标准</w:t>
      </w:r>
      <w:bookmarkEnd w:id="139"/>
      <w:bookmarkEnd w:id="140"/>
      <w:bookmarkEnd w:id="141"/>
      <w:bookmarkEnd w:id="142"/>
      <w:bookmarkEnd w:id="143"/>
    </w:p>
    <w:p w14:paraId="3B3100E8">
      <w:pPr>
        <w:pStyle w:val="4"/>
        <w:keepNext w:val="0"/>
        <w:keepLines w:val="0"/>
        <w:jc w:val="center"/>
        <w:rPr>
          <w:rFonts w:ascii="宋体" w:hAnsi="宋体" w:cs="宋体"/>
          <w:sz w:val="30"/>
          <w:szCs w:val="30"/>
          <w:highlight w:val="none"/>
        </w:rPr>
      </w:pPr>
      <w:bookmarkStart w:id="144" w:name="_Toc254970549"/>
      <w:bookmarkEnd w:id="144"/>
      <w:bookmarkStart w:id="145" w:name="_Toc254970690"/>
      <w:bookmarkEnd w:id="145"/>
      <w:r>
        <w:rPr>
          <w:rFonts w:hint="eastAsia" w:ascii="宋体" w:hAnsi="宋体" w:cs="宋体"/>
          <w:sz w:val="30"/>
          <w:szCs w:val="30"/>
          <w:highlight w:val="none"/>
        </w:rPr>
        <w:t>一、评标方法</w:t>
      </w:r>
    </w:p>
    <w:p w14:paraId="61FC9C52">
      <w:pPr>
        <w:pStyle w:val="25"/>
        <w:spacing w:line="360" w:lineRule="auto"/>
        <w:ind w:firstLine="420"/>
        <w:rPr>
          <w:rFonts w:hAnsi="宋体" w:cs="宋体"/>
          <w:sz w:val="21"/>
          <w:szCs w:val="21"/>
          <w:highlight w:val="none"/>
        </w:rPr>
      </w:pPr>
      <w:r>
        <w:rPr>
          <w:rFonts w:hint="eastAsia" w:hAnsi="宋体" w:cs="宋体"/>
          <w:sz w:val="21"/>
          <w:szCs w:val="21"/>
          <w:highlight w:val="none"/>
        </w:rPr>
        <w:t>综合评分法，是指投标文件满足招标文件全部实质性要求，且按照评审因素的量化指标评审得分最高的投标人为中标候选人的评标方法。</w:t>
      </w:r>
    </w:p>
    <w:p w14:paraId="3305E00A">
      <w:pPr>
        <w:pStyle w:val="4"/>
        <w:keepNext w:val="0"/>
        <w:keepLines w:val="0"/>
        <w:jc w:val="center"/>
        <w:rPr>
          <w:rFonts w:ascii="宋体" w:hAnsi="宋体" w:cs="宋体"/>
          <w:sz w:val="30"/>
          <w:szCs w:val="30"/>
          <w:highlight w:val="none"/>
        </w:rPr>
      </w:pPr>
      <w:r>
        <w:rPr>
          <w:rFonts w:hint="eastAsia" w:ascii="宋体" w:hAnsi="宋体" w:cs="宋体"/>
          <w:sz w:val="30"/>
          <w:szCs w:val="30"/>
          <w:highlight w:val="none"/>
        </w:rPr>
        <w:t>二、评标程序</w:t>
      </w:r>
    </w:p>
    <w:p w14:paraId="0370A8D7">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1.符合性审查</w:t>
      </w:r>
    </w:p>
    <w:p w14:paraId="140A0558">
      <w:pPr>
        <w:pStyle w:val="25"/>
        <w:snapToGrid/>
        <w:spacing w:line="360" w:lineRule="auto"/>
        <w:ind w:left="1" w:firstLine="420"/>
        <w:rPr>
          <w:rFonts w:hAnsi="宋体" w:cs="宋体"/>
          <w:b/>
          <w:kern w:val="2"/>
          <w:sz w:val="21"/>
          <w:szCs w:val="21"/>
          <w:highlight w:val="none"/>
        </w:rPr>
      </w:pPr>
      <w:r>
        <w:rPr>
          <w:rFonts w:hint="eastAsia" w:hAnsi="宋体" w:cs="宋体"/>
          <w:b/>
          <w:kern w:val="2"/>
          <w:sz w:val="21"/>
          <w:szCs w:val="21"/>
          <w:highlight w:val="none"/>
        </w:rPr>
        <w:t>评标委员会应当对符合资格的投标人的投标文件进行投标报价、商务、技术等实质性内容符合性审查，以确定其是否满足招标文件的实质性要求。</w:t>
      </w:r>
    </w:p>
    <w:p w14:paraId="5F7BAE26">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2.符合性审查不通过而导致投标无效的情形</w:t>
      </w:r>
    </w:p>
    <w:p w14:paraId="26D4D5F3">
      <w:p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投标人的投标文件中存在对招标文件的任何实质性要求和条件的负偏离，将被视为投标无效。</w:t>
      </w:r>
    </w:p>
    <w:p w14:paraId="4E20A591">
      <w:pPr>
        <w:pStyle w:val="6"/>
        <w:keepNext w:val="0"/>
        <w:keepLines w:val="0"/>
        <w:spacing w:before="0" w:after="0" w:line="360" w:lineRule="auto"/>
        <w:ind w:left="420" w:leftChars="200"/>
        <w:rPr>
          <w:rFonts w:ascii="宋体" w:hAnsi="宋体" w:cs="宋体"/>
          <w:sz w:val="21"/>
          <w:szCs w:val="21"/>
          <w:highlight w:val="none"/>
        </w:rPr>
      </w:pPr>
      <w:r>
        <w:rPr>
          <w:rFonts w:hint="eastAsia" w:ascii="宋体" w:hAnsi="宋体" w:cs="宋体"/>
          <w:sz w:val="21"/>
          <w:szCs w:val="21"/>
          <w:highlight w:val="none"/>
        </w:rPr>
        <w:t>2.1在报价评审时，如发现下列情形之一的，将被视为投标无效：</w:t>
      </w:r>
    </w:p>
    <w:p w14:paraId="557C80CB">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pacing w:val="-6"/>
          <w:sz w:val="21"/>
          <w:szCs w:val="21"/>
          <w:highlight w:val="none"/>
        </w:rPr>
        <w:t>报价文件</w:t>
      </w:r>
      <w:r>
        <w:rPr>
          <w:rFonts w:hint="eastAsia" w:ascii="宋体" w:hAnsi="宋体" w:cs="宋体"/>
          <w:b/>
          <w:sz w:val="21"/>
          <w:szCs w:val="21"/>
          <w:highlight w:val="none"/>
        </w:rPr>
        <w:t>未提供“投标人须知前附表”第13.1条规定中“必须提供”的文件资料的；</w:t>
      </w:r>
    </w:p>
    <w:p w14:paraId="2465D2C6">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z w:val="21"/>
          <w:szCs w:val="21"/>
          <w:highlight w:val="none"/>
        </w:rPr>
        <w:t>未采用人民币报价的或者未按照招标文件标明的币种报价的；</w:t>
      </w:r>
    </w:p>
    <w:p w14:paraId="7153C666">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z w:val="21"/>
          <w:szCs w:val="21"/>
          <w:highlight w:val="none"/>
        </w:rPr>
        <w:t>各分标报价超出招标文件相应分标规定最高限价，或者超出相应分标采购预算金额的；</w:t>
      </w:r>
    </w:p>
    <w:p w14:paraId="35EF3A68">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z w:val="21"/>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35A06B4B">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z w:val="21"/>
          <w:szCs w:val="21"/>
          <w:highlight w:val="none"/>
        </w:rPr>
        <w:t>修正后的报价，投标人不确认的；</w:t>
      </w:r>
    </w:p>
    <w:p w14:paraId="6640E8F8">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z w:val="21"/>
          <w:szCs w:val="21"/>
          <w:highlight w:val="none"/>
        </w:rPr>
        <w:t>投标人属于本章第5.1条（2）或者第5.2条（2）项情形的；</w:t>
      </w:r>
    </w:p>
    <w:p w14:paraId="6336724B">
      <w:pPr>
        <w:pStyle w:val="7"/>
        <w:numPr>
          <w:ilvl w:val="0"/>
          <w:numId w:val="3"/>
        </w:numPr>
        <w:spacing w:line="360" w:lineRule="auto"/>
        <w:ind w:firstLine="422"/>
        <w:rPr>
          <w:rFonts w:ascii="宋体" w:hAnsi="宋体" w:cs="宋体"/>
          <w:b/>
          <w:sz w:val="21"/>
          <w:szCs w:val="21"/>
          <w:highlight w:val="none"/>
        </w:rPr>
      </w:pPr>
      <w:r>
        <w:rPr>
          <w:rFonts w:hint="eastAsia" w:ascii="宋体" w:hAnsi="宋体" w:cs="宋体"/>
          <w:b/>
          <w:spacing w:val="-6"/>
          <w:sz w:val="21"/>
          <w:szCs w:val="21"/>
          <w:highlight w:val="none"/>
        </w:rPr>
        <w:t>报价文件</w:t>
      </w:r>
      <w:r>
        <w:rPr>
          <w:rFonts w:hint="eastAsia" w:ascii="宋体" w:hAnsi="宋体" w:cs="宋体"/>
          <w:b/>
          <w:sz w:val="21"/>
          <w:szCs w:val="21"/>
          <w:highlight w:val="none"/>
        </w:rPr>
        <w:t>响应的标的数量及单位与招标文件要求实质性不一致的。</w:t>
      </w:r>
    </w:p>
    <w:p w14:paraId="3ACB9F48">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2.2在商务评审时，如发现下列情形之一的，将被视为投标无效：</w:t>
      </w:r>
    </w:p>
    <w:p w14:paraId="30AA668C">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投标文件未按招标文件要求签署、盖章的；</w:t>
      </w:r>
    </w:p>
    <w:p w14:paraId="142CD716">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委托代理人未能出具有效身份证或者出具的身份证与授权委托书中的信息不符的；</w:t>
      </w:r>
    </w:p>
    <w:p w14:paraId="174432BF">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为无效投标保证金的或者未按照招标文件的规定提交投标保证金的；</w:t>
      </w:r>
    </w:p>
    <w:p w14:paraId="2E5B955E">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投标文件未提供“投标人须知前附表”第13.1条规定中“必须提供”或者“委托时必须提供”的文件资料的；</w:t>
      </w:r>
    </w:p>
    <w:p w14:paraId="0A7DF1AC">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商务要求评审允许负偏离的条款数超过“投标人须知前附表”规定项数的；</w:t>
      </w:r>
    </w:p>
    <w:p w14:paraId="1CAD01A5">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投标文件的实质性内容未使用中文表述、使用计量单位不符合招标文件要求的；</w:t>
      </w:r>
    </w:p>
    <w:p w14:paraId="3424C639">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投标文件中的文件资料因填写不齐全或者内容虚假或者出现其他情形而导致被评标委员会认定无效的；</w:t>
      </w:r>
    </w:p>
    <w:p w14:paraId="01D543CA">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投标文件含有采购人不能接受的附加条件的；</w:t>
      </w:r>
    </w:p>
    <w:p w14:paraId="6D965002">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属于投标人须知正文第9.2条情形的；</w:t>
      </w:r>
    </w:p>
    <w:p w14:paraId="3A883C57">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投标文件标注的项目名称或者项目编号与招标文件标注的项目名称或者项目编号不一致的；</w:t>
      </w:r>
    </w:p>
    <w:p w14:paraId="177F9778">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招标文件明确不允许分包，投标文件拟分包的；</w:t>
      </w:r>
    </w:p>
    <w:p w14:paraId="14E2A379">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未响应招标文件实质性要求的；</w:t>
      </w:r>
    </w:p>
    <w:p w14:paraId="55A61A5E">
      <w:pPr>
        <w:numPr>
          <w:ilvl w:val="0"/>
          <w:numId w:val="4"/>
        </w:numPr>
        <w:snapToGrid/>
        <w:spacing w:line="360" w:lineRule="auto"/>
        <w:ind w:firstLine="422" w:firstLineChars="200"/>
        <w:rPr>
          <w:rFonts w:ascii="宋体" w:hAnsi="宋体" w:cs="宋体"/>
          <w:b/>
          <w:sz w:val="21"/>
          <w:szCs w:val="21"/>
          <w:highlight w:val="none"/>
        </w:rPr>
      </w:pPr>
      <w:r>
        <w:rPr>
          <w:rFonts w:hint="eastAsia" w:ascii="宋体" w:hAnsi="宋体" w:cs="宋体"/>
          <w:b/>
          <w:sz w:val="21"/>
          <w:szCs w:val="21"/>
          <w:highlight w:val="none"/>
        </w:rPr>
        <w:t>法律、法规和招标文件规定的其他无效情形。</w:t>
      </w:r>
    </w:p>
    <w:p w14:paraId="604E77F1">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2.3在技术评审时，如发现下列情形之一的，将被视为投标无效：</w:t>
      </w:r>
    </w:p>
    <w:p w14:paraId="3D5C32B1">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（1）技术要求评审允许负偏离的条款数超过“投标人须知前附表”规定项数的；</w:t>
      </w:r>
    </w:p>
    <w:p w14:paraId="1511777C">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（2）投标文件未提供“投标人须知前附表”第13.1条规定中“必须提供”的文件资料的；</w:t>
      </w:r>
    </w:p>
    <w:p w14:paraId="5A2198F3">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（3）虚假投标，或者出现其他情形而导致被评标委员会认定无效的；</w:t>
      </w:r>
    </w:p>
    <w:p w14:paraId="55F5985D">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（4）</w:t>
      </w:r>
      <w:bookmarkStart w:id="146" w:name="_Hlk71706244"/>
      <w:r>
        <w:rPr>
          <w:rFonts w:hint="eastAsia" w:ascii="宋体" w:hAnsi="宋体" w:eastAsia="宋体" w:cs="宋体"/>
          <w:b/>
          <w:kern w:val="2"/>
          <w:sz w:val="21"/>
          <w:szCs w:val="21"/>
          <w:highlight w:val="none"/>
        </w:rPr>
        <w:t>招标文件未载明允许提供备选（替代）投标方案或明确不允许提供备选（替代）投标方案时，投标人提供了备选（替代）投标方案的；</w:t>
      </w:r>
      <w:bookmarkEnd w:id="146"/>
    </w:p>
    <w:p w14:paraId="49E30BD0">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（5）未响应招标文件实质性要求的。</w:t>
      </w:r>
    </w:p>
    <w:p w14:paraId="26491736">
      <w:pPr>
        <w:pStyle w:val="10"/>
        <w:snapToGrid/>
        <w:spacing w:line="360" w:lineRule="auto"/>
        <w:ind w:firstLine="413" w:firstLineChars="196"/>
        <w:rPr>
          <w:rFonts w:ascii="宋体" w:hAnsi="宋体" w:eastAsia="宋体" w:cs="宋体"/>
          <w:b/>
          <w:kern w:val="2"/>
          <w:sz w:val="21"/>
          <w:szCs w:val="21"/>
          <w:highlight w:val="none"/>
        </w:rPr>
      </w:pPr>
      <w:r>
        <w:rPr>
          <w:rFonts w:hint="eastAsia" w:ascii="宋体" w:hAnsi="宋体" w:eastAsia="宋体" w:cs="宋体"/>
          <w:b/>
          <w:kern w:val="2"/>
          <w:sz w:val="21"/>
          <w:szCs w:val="21"/>
          <w:highlight w:val="none"/>
        </w:rPr>
        <w:t>2.4通过符合性审查的投标人不足3家，评标委员会不得继续评标，并出具评标报告。</w:t>
      </w:r>
    </w:p>
    <w:p w14:paraId="5D0C34A1">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3.澄清补正</w:t>
      </w:r>
    </w:p>
    <w:p w14:paraId="384BDF4D">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对投标文件中含义不明确、同类问题表述不一致或者有明显文字和计算错误的内容，评标委员会以电子澄清函形式要求投标人在规定时间内作出必要的澄清、说明或者纠正。投标人的澄清、说明或者补正必须采用电子回函形式，并加盖投标人公章，或者由法定代表人或者其授权的代表签字。投标人的澄清、说明或者补正不得超出投标文件的范围或者改变投标文件的实质性内容。</w:t>
      </w:r>
    </w:p>
    <w:p w14:paraId="51C26C81">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4.投标文件修正</w:t>
      </w:r>
    </w:p>
    <w:p w14:paraId="2AC98168">
      <w:pPr>
        <w:pStyle w:val="6"/>
        <w:keepNext w:val="0"/>
        <w:keepLines w:val="0"/>
        <w:spacing w:before="0" w:after="0" w:line="360" w:lineRule="auto"/>
        <w:ind w:left="0" w:leftChars="0"/>
        <w:rPr>
          <w:rFonts w:ascii="宋体" w:hAnsi="宋体" w:cs="宋体"/>
          <w:b w:val="0"/>
          <w:sz w:val="21"/>
          <w:szCs w:val="21"/>
          <w:highlight w:val="none"/>
        </w:rPr>
      </w:pPr>
      <w:r>
        <w:rPr>
          <w:rFonts w:hint="eastAsia" w:ascii="宋体" w:hAnsi="宋体" w:cs="宋体"/>
          <w:b w:val="0"/>
          <w:sz w:val="21"/>
          <w:szCs w:val="21"/>
          <w:highlight w:val="none"/>
        </w:rPr>
        <w:t>4.1投标文件报价出现前后不一致的，按照下列规定修正：</w:t>
      </w:r>
    </w:p>
    <w:p w14:paraId="0F7645E1">
      <w:pPr>
        <w:pStyle w:val="25"/>
        <w:snapToGrid/>
        <w:spacing w:line="360" w:lineRule="auto"/>
        <w:ind w:firstLine="420" w:firstLineChars="200"/>
        <w:rPr>
          <w:rFonts w:hAnsi="宋体" w:cs="宋体"/>
          <w:sz w:val="21"/>
          <w:szCs w:val="21"/>
          <w:highlight w:val="none"/>
        </w:rPr>
      </w:pPr>
      <w:r>
        <w:rPr>
          <w:rFonts w:hint="eastAsia" w:hAnsi="宋体" w:cs="宋体"/>
          <w:sz w:val="21"/>
          <w:szCs w:val="21"/>
          <w:highlight w:val="none"/>
        </w:rPr>
        <w:t>（1）投标文件中开标一览表（报价表）内容与投标文件中相应内容不一致的，以开标一览表（报价表）为准；</w:t>
      </w:r>
    </w:p>
    <w:p w14:paraId="47638D13">
      <w:pPr>
        <w:pStyle w:val="25"/>
        <w:snapToGrid/>
        <w:spacing w:line="360" w:lineRule="auto"/>
        <w:ind w:firstLine="420" w:firstLineChars="200"/>
        <w:rPr>
          <w:rFonts w:hAnsi="宋体" w:cs="宋体"/>
          <w:sz w:val="21"/>
          <w:szCs w:val="21"/>
          <w:highlight w:val="none"/>
        </w:rPr>
      </w:pPr>
      <w:r>
        <w:rPr>
          <w:rFonts w:hint="eastAsia" w:hAnsi="宋体" w:cs="宋体"/>
          <w:sz w:val="21"/>
          <w:szCs w:val="21"/>
          <w:highlight w:val="none"/>
        </w:rPr>
        <w:t>（2）大写金额和小写金额不一致的，以大写金额为准；</w:t>
      </w:r>
    </w:p>
    <w:p w14:paraId="5127DE8E">
      <w:pPr>
        <w:pStyle w:val="25"/>
        <w:snapToGrid/>
        <w:spacing w:line="360" w:lineRule="auto"/>
        <w:ind w:firstLine="420" w:firstLineChars="200"/>
        <w:rPr>
          <w:rFonts w:hAnsi="宋体" w:cs="宋体"/>
          <w:sz w:val="21"/>
          <w:szCs w:val="21"/>
          <w:highlight w:val="none"/>
        </w:rPr>
      </w:pPr>
      <w:r>
        <w:rPr>
          <w:rFonts w:hint="eastAsia" w:hAnsi="宋体" w:cs="宋体"/>
          <w:sz w:val="21"/>
          <w:szCs w:val="21"/>
          <w:highlight w:val="none"/>
        </w:rPr>
        <w:t>（3）单价金额小数点或者百分比有明显错位的，以开标一览表的总价为准，并修改单价；</w:t>
      </w:r>
    </w:p>
    <w:p w14:paraId="0191C076">
      <w:pPr>
        <w:pStyle w:val="25"/>
        <w:snapToGrid/>
        <w:spacing w:line="360" w:lineRule="auto"/>
        <w:ind w:firstLine="420" w:firstLineChars="200"/>
        <w:rPr>
          <w:rFonts w:hAnsi="宋体" w:cs="宋体"/>
          <w:sz w:val="21"/>
          <w:szCs w:val="21"/>
          <w:highlight w:val="none"/>
        </w:rPr>
      </w:pPr>
      <w:r>
        <w:rPr>
          <w:rFonts w:hint="eastAsia" w:hAnsi="宋体" w:cs="宋体"/>
          <w:sz w:val="21"/>
          <w:szCs w:val="21"/>
          <w:highlight w:val="none"/>
        </w:rPr>
        <w:t>（4）总价金额与按单价汇总金额不一致的，以单价金额计算结果为准。</w:t>
      </w:r>
    </w:p>
    <w:p w14:paraId="51F7FDAF">
      <w:pPr>
        <w:pStyle w:val="25"/>
        <w:snapToGrid/>
        <w:spacing w:line="360" w:lineRule="auto"/>
        <w:ind w:firstLine="420" w:firstLineChars="200"/>
        <w:rPr>
          <w:rFonts w:hint="eastAsia" w:hAnsi="宋体" w:cs="宋体"/>
          <w:sz w:val="21"/>
          <w:szCs w:val="21"/>
          <w:highlight w:val="none"/>
        </w:rPr>
      </w:pPr>
      <w:r>
        <w:rPr>
          <w:rFonts w:hint="eastAsia" w:hAnsi="宋体" w:cs="宋体"/>
          <w:sz w:val="21"/>
          <w:szCs w:val="21"/>
          <w:highlight w:val="none"/>
        </w:rPr>
        <w:t>同时出现两种以上不一致的，按照以上（1）-（4）规定的顺序修正。修正后的报价经投标人确认后产生约束力，投标人不确认的，</w:t>
      </w:r>
      <w:r>
        <w:rPr>
          <w:rFonts w:hint="eastAsia" w:hAnsi="宋体" w:cs="宋体"/>
          <w:b/>
          <w:kern w:val="2"/>
          <w:sz w:val="21"/>
          <w:szCs w:val="21"/>
          <w:highlight w:val="none"/>
        </w:rPr>
        <w:t>其投标无效</w:t>
      </w:r>
      <w:r>
        <w:rPr>
          <w:rFonts w:hint="eastAsia" w:hAnsi="宋体" w:cs="宋体"/>
          <w:sz w:val="21"/>
          <w:szCs w:val="21"/>
          <w:highlight w:val="none"/>
        </w:rPr>
        <w:t>。</w:t>
      </w:r>
    </w:p>
    <w:p w14:paraId="0D4422A1">
      <w:pPr>
        <w:pStyle w:val="25"/>
        <w:snapToGrid/>
        <w:spacing w:line="360" w:lineRule="auto"/>
        <w:ind w:firstLine="420" w:firstLineChars="200"/>
        <w:rPr>
          <w:rFonts w:ascii="宋体" w:hAnsi="宋体" w:cs="宋体"/>
          <w:b w:val="0"/>
          <w:sz w:val="21"/>
          <w:highlight w:val="none"/>
        </w:rPr>
      </w:pPr>
      <w:r>
        <w:rPr>
          <w:rFonts w:hint="eastAsia" w:ascii="宋体" w:hAnsi="宋体" w:cs="宋体"/>
          <w:b w:val="0"/>
          <w:sz w:val="21"/>
          <w:highlight w:val="none"/>
        </w:rPr>
        <w:t>4.2经投标人确认修正后的报价若超过采购预算金额或者最高限价，</w:t>
      </w:r>
      <w:r>
        <w:rPr>
          <w:rFonts w:hint="eastAsia" w:ascii="宋体" w:hAnsi="宋体" w:cs="宋体"/>
          <w:sz w:val="21"/>
          <w:highlight w:val="none"/>
        </w:rPr>
        <w:t>投标人的投标文件作无效投标处理</w:t>
      </w:r>
      <w:r>
        <w:rPr>
          <w:rFonts w:hint="eastAsia" w:ascii="宋体" w:hAnsi="宋体" w:cs="宋体"/>
          <w:b w:val="0"/>
          <w:sz w:val="21"/>
          <w:highlight w:val="none"/>
        </w:rPr>
        <w:t>。</w:t>
      </w:r>
    </w:p>
    <w:p w14:paraId="09F13157">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4.3经投标人确认修正后的报价作为签订合同的依据，并以此报价计算价格分。</w:t>
      </w:r>
    </w:p>
    <w:p w14:paraId="04FE8896">
      <w:pPr>
        <w:pStyle w:val="6"/>
        <w:keepNext w:val="0"/>
        <w:keepLines w:val="0"/>
        <w:spacing w:before="0" w:after="0" w:line="360" w:lineRule="auto"/>
        <w:ind w:left="0" w:leftChars="0"/>
        <w:rPr>
          <w:rFonts w:ascii="宋体" w:hAnsi="宋体" w:cs="宋体"/>
          <w:sz w:val="21"/>
          <w:szCs w:val="21"/>
          <w:highlight w:val="none"/>
        </w:rPr>
      </w:pPr>
      <w:r>
        <w:rPr>
          <w:rFonts w:hint="eastAsia" w:ascii="宋体" w:hAnsi="宋体" w:cs="宋体"/>
          <w:sz w:val="21"/>
          <w:szCs w:val="21"/>
          <w:highlight w:val="none"/>
        </w:rPr>
        <w:t>5.比较与评价</w:t>
      </w:r>
    </w:p>
    <w:p w14:paraId="33CA9BE3">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5.1采用综合评分法的</w:t>
      </w:r>
    </w:p>
    <w:p w14:paraId="7ECB328C">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（1）评标委员会按照招标文件中规定的评标方法及评标标准，对符合性审查合格的投标文件进行商务和技术评估，综合比较与评价。</w:t>
      </w:r>
    </w:p>
    <w:p w14:paraId="7A126D8D">
      <w:pPr>
        <w:snapToGrid/>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（2）评标委员会独立对每个投标人的投标文件进行评价，并汇总每个投标人的得分。</w:t>
      </w:r>
    </w:p>
    <w:p w14:paraId="7BE8C0CA">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lang w:val="en-US" w:eastAsia="zh-CN"/>
        </w:rPr>
        <w:t>根据《关于推动解决政府采购异常低价问题的通知》（财库〔2026〕2号），</w:t>
      </w:r>
      <w:r>
        <w:rPr>
          <w:rFonts w:hint="eastAsia" w:ascii="宋体" w:hAnsi="宋体" w:cs="宋体"/>
          <w:sz w:val="21"/>
          <w:szCs w:val="21"/>
          <w:highlight w:val="none"/>
        </w:rPr>
        <w:t>政府采购评审中出现下列情形之一的，评审委员会应当启动异常低价投标（响应）审查程序：</w:t>
      </w:r>
    </w:p>
    <w:p w14:paraId="2B38F840">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①</w:t>
      </w:r>
      <w:r>
        <w:rPr>
          <w:rFonts w:hint="eastAsia" w:ascii="宋体" w:hAnsi="宋体" w:cs="宋体"/>
          <w:sz w:val="21"/>
          <w:szCs w:val="21"/>
          <w:highlight w:val="none"/>
        </w:rPr>
        <w:t>投标（响应）报价低于全部通过符合性审查供应商投标（响应）报价平均值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43987442">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②</w:t>
      </w:r>
      <w:r>
        <w:rPr>
          <w:rFonts w:hint="eastAsia" w:ascii="宋体" w:hAnsi="宋体" w:cs="宋体"/>
          <w:sz w:val="21"/>
          <w:szCs w:val="21"/>
          <w:highlight w:val="none"/>
        </w:rPr>
        <w:t>投标（响应）报价低于通过符合性审查的次低报价供应商投标（响应）报价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4AB0ECFB">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③</w:t>
      </w:r>
      <w:r>
        <w:rPr>
          <w:rFonts w:hint="eastAsia" w:ascii="宋体" w:hAnsi="宋体" w:cs="宋体"/>
          <w:sz w:val="21"/>
          <w:szCs w:val="21"/>
          <w:highlight w:val="none"/>
        </w:rPr>
        <w:t>投标（响应）报价低于采购项目最高限价</w:t>
      </w:r>
      <w:r>
        <w:rPr>
          <w:rFonts w:hint="eastAsia" w:ascii="宋体" w:hAnsi="宋体" w:cs="宋体"/>
          <w:sz w:val="21"/>
          <w:szCs w:val="21"/>
          <w:highlight w:val="none"/>
          <w:lang w:val="en-US" w:eastAsia="zh-CN"/>
        </w:rPr>
        <w:t>45</w:t>
      </w:r>
      <w:r>
        <w:rPr>
          <w:rFonts w:hint="eastAsia" w:ascii="宋体" w:hAnsi="宋体" w:cs="宋体"/>
          <w:sz w:val="21"/>
          <w:szCs w:val="21"/>
          <w:highlight w:val="none"/>
        </w:rPr>
        <w:t>%的，即投标（响应）报价&lt;采购项目最高限价×</w:t>
      </w:r>
      <w:r>
        <w:rPr>
          <w:rFonts w:hint="eastAsia" w:ascii="宋体" w:hAnsi="宋体" w:cs="宋体"/>
          <w:sz w:val="21"/>
          <w:szCs w:val="21"/>
          <w:highlight w:val="none"/>
          <w:lang w:val="en-US" w:eastAsia="zh-CN"/>
        </w:rPr>
        <w:t>45</w:t>
      </w:r>
      <w:r>
        <w:rPr>
          <w:rFonts w:hint="eastAsia" w:ascii="宋体" w:hAnsi="宋体" w:cs="宋体"/>
          <w:sz w:val="21"/>
          <w:szCs w:val="21"/>
          <w:highlight w:val="none"/>
        </w:rPr>
        <w:t>%；</w:t>
      </w:r>
    </w:p>
    <w:p w14:paraId="00802D55">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④</w:t>
      </w:r>
      <w:r>
        <w:rPr>
          <w:rFonts w:hint="eastAsia" w:ascii="宋体" w:hAnsi="宋体" w:cs="宋体"/>
          <w:sz w:val="21"/>
          <w:szCs w:val="21"/>
          <w:highlight w:val="none"/>
        </w:rPr>
        <w:t>评审委员会基于专业判断，认为供应商报价过低，有可能影响产品质量或者不能诚信履约的其他情形。</w:t>
      </w:r>
    </w:p>
    <w:p w14:paraId="5057C8AE">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2BA9AE5">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BD526C5">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B3D3CC5">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71B1FC51">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（3）评标委员会按照招标文件中规定的评标方法和标准计算各投标人的报价得分。在计算过程中，不得去掉最高报价或者最低报价。</w:t>
      </w:r>
    </w:p>
    <w:p w14:paraId="54299135">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（4）各投标人的得分为所有评委的有效评分的算术平均数。</w:t>
      </w:r>
    </w:p>
    <w:p w14:paraId="59B479BD">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（5）评标委员会按照招标文件中的规定推荐中标候选人。</w:t>
      </w:r>
    </w:p>
    <w:p w14:paraId="7BAF3F8B">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0D25A951">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5.2采用最低评标价法的</w:t>
      </w:r>
    </w:p>
    <w:p w14:paraId="78DD389A">
      <w:pPr>
        <w:snapToGrid/>
        <w:spacing w:line="360" w:lineRule="auto"/>
        <w:ind w:firstLine="424" w:firstLineChars="202"/>
        <w:jc w:val="left"/>
        <w:rPr>
          <w:rFonts w:ascii="宋体" w:hAnsi="宋体" w:cs="宋体"/>
          <w:sz w:val="21"/>
          <w:szCs w:val="21"/>
          <w:highlight w:val="none"/>
        </w:rPr>
      </w:pPr>
      <w:r>
        <w:rPr>
          <w:rFonts w:hint="eastAsia" w:ascii="宋体" w:hAnsi="宋体" w:cs="宋体"/>
          <w:sz w:val="21"/>
          <w:szCs w:val="21"/>
          <w:highlight w:val="none"/>
        </w:rPr>
        <w:t>（1）评标委员会按照招标文件中规定的评标方法及评标标准，对符合性审查合格的投标文件报价进行比较。</w:t>
      </w:r>
    </w:p>
    <w:p w14:paraId="322A96AC">
      <w:pPr>
        <w:snapToGrid/>
        <w:spacing w:line="360" w:lineRule="auto"/>
        <w:ind w:firstLine="396" w:firstLineChars="200"/>
        <w:rPr>
          <w:rFonts w:ascii="宋体" w:hAnsi="宋体" w:cs="宋体"/>
          <w:sz w:val="21"/>
          <w:szCs w:val="21"/>
          <w:highlight w:val="none"/>
        </w:rPr>
      </w:pPr>
      <w:r>
        <w:rPr>
          <w:rFonts w:hint="eastAsia" w:ascii="宋体" w:hAnsi="宋体" w:cs="宋体"/>
          <w:spacing w:val="-6"/>
          <w:sz w:val="21"/>
          <w:szCs w:val="21"/>
          <w:highlight w:val="none"/>
        </w:rPr>
        <w:t>（2）</w:t>
      </w:r>
      <w:r>
        <w:rPr>
          <w:rFonts w:hint="eastAsia" w:ascii="宋体" w:hAnsi="宋体" w:cs="宋体"/>
          <w:spacing w:val="-6"/>
          <w:sz w:val="21"/>
          <w:szCs w:val="21"/>
          <w:highlight w:val="none"/>
          <w:lang w:val="en-US" w:eastAsia="zh-CN"/>
        </w:rPr>
        <w:t>根据《关于推动解决政府采购异常低价问题的通知》（财库〔2026〕2号），</w:t>
      </w:r>
      <w:r>
        <w:rPr>
          <w:rFonts w:hint="eastAsia" w:ascii="宋体" w:hAnsi="宋体" w:cs="宋体"/>
          <w:sz w:val="21"/>
          <w:szCs w:val="21"/>
          <w:highlight w:val="none"/>
        </w:rPr>
        <w:t>政府采购评审中出现下列情形之一的，评审委员会应当启动异常低价投标（响应）审查程序：</w:t>
      </w:r>
    </w:p>
    <w:p w14:paraId="26E30573">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①</w:t>
      </w:r>
      <w:r>
        <w:rPr>
          <w:rFonts w:hint="eastAsia" w:ascii="宋体" w:hAnsi="宋体" w:cs="宋体"/>
          <w:sz w:val="21"/>
          <w:szCs w:val="21"/>
          <w:highlight w:val="none"/>
        </w:rPr>
        <w:t>投标（响应）报价低于全部通过符合性审查供应商投标（响应）报价平均值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%的，即投标（响应）报价&lt;全部通过符合性审查供应商投标（响应）报价平均值×</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6E54D2C2">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②</w:t>
      </w:r>
      <w:r>
        <w:rPr>
          <w:rFonts w:hint="eastAsia" w:ascii="宋体" w:hAnsi="宋体" w:cs="宋体"/>
          <w:sz w:val="21"/>
          <w:szCs w:val="21"/>
          <w:highlight w:val="none"/>
        </w:rPr>
        <w:t>投标（响应）报价低于通过符合性审查的次低报价供应商投标（响应）报价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%的，即投标（响应）报价&lt;通过符合性审查的次低报价供应商投标（响应）报价×</w:t>
      </w:r>
      <w:r>
        <w:rPr>
          <w:rFonts w:hint="eastAsia" w:ascii="宋体" w:hAnsi="宋体" w:cs="宋体"/>
          <w:sz w:val="21"/>
          <w:szCs w:val="21"/>
          <w:highlight w:val="none"/>
          <w:lang w:val="en-US" w:eastAsia="zh-CN"/>
        </w:rPr>
        <w:t>50</w:t>
      </w:r>
      <w:r>
        <w:rPr>
          <w:rFonts w:hint="eastAsia" w:ascii="宋体" w:hAnsi="宋体" w:cs="宋体"/>
          <w:sz w:val="21"/>
          <w:szCs w:val="21"/>
          <w:highlight w:val="none"/>
        </w:rPr>
        <w:t>%；</w:t>
      </w:r>
    </w:p>
    <w:p w14:paraId="47264F57">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③</w:t>
      </w:r>
      <w:r>
        <w:rPr>
          <w:rFonts w:hint="eastAsia" w:ascii="宋体" w:hAnsi="宋体" w:cs="宋体"/>
          <w:sz w:val="21"/>
          <w:szCs w:val="21"/>
          <w:highlight w:val="none"/>
        </w:rPr>
        <w:t>投标（响应）报价低于采购项目最高限价</w:t>
      </w:r>
      <w:r>
        <w:rPr>
          <w:rFonts w:hint="eastAsia" w:ascii="宋体" w:hAnsi="宋体" w:cs="宋体"/>
          <w:sz w:val="21"/>
          <w:szCs w:val="21"/>
          <w:highlight w:val="none"/>
          <w:lang w:val="en-US" w:eastAsia="zh-CN"/>
        </w:rPr>
        <w:t>45</w:t>
      </w:r>
      <w:r>
        <w:rPr>
          <w:rFonts w:hint="eastAsia" w:ascii="宋体" w:hAnsi="宋体" w:cs="宋体"/>
          <w:sz w:val="21"/>
          <w:szCs w:val="21"/>
          <w:highlight w:val="none"/>
        </w:rPr>
        <w:t>%的，即投标（响应）报价&lt;采购项目最高限价×</w:t>
      </w:r>
      <w:r>
        <w:rPr>
          <w:rFonts w:hint="eastAsia" w:ascii="宋体" w:hAnsi="宋体" w:cs="宋体"/>
          <w:sz w:val="21"/>
          <w:szCs w:val="21"/>
          <w:highlight w:val="none"/>
          <w:lang w:val="en-US" w:eastAsia="zh-CN"/>
        </w:rPr>
        <w:t>45</w:t>
      </w:r>
      <w:r>
        <w:rPr>
          <w:rFonts w:hint="eastAsia" w:ascii="宋体" w:hAnsi="宋体" w:cs="宋体"/>
          <w:sz w:val="21"/>
          <w:szCs w:val="21"/>
          <w:highlight w:val="none"/>
        </w:rPr>
        <w:t>%；</w:t>
      </w:r>
    </w:p>
    <w:p w14:paraId="23BEA7FB">
      <w:pPr>
        <w:snapToGrid/>
        <w:spacing w:line="360" w:lineRule="auto"/>
        <w:ind w:firstLine="420" w:firstLineChars="200"/>
        <w:rPr>
          <w:rFonts w:ascii="宋体" w:hAnsi="宋体" w:cs="宋体"/>
          <w:sz w:val="21"/>
          <w:szCs w:val="21"/>
          <w:highlight w:val="none"/>
        </w:rPr>
      </w:pPr>
      <w:r>
        <w:rPr>
          <w:rFonts w:hint="eastAsia" w:ascii="宋体" w:hAnsi="宋体"/>
          <w:color w:val="000000"/>
          <w:sz w:val="21"/>
          <w:szCs w:val="21"/>
          <w:highlight w:val="none"/>
        </w:rPr>
        <w:t>④</w:t>
      </w:r>
      <w:r>
        <w:rPr>
          <w:rFonts w:hint="eastAsia" w:ascii="宋体" w:hAnsi="宋体" w:cs="宋体"/>
          <w:sz w:val="21"/>
          <w:szCs w:val="21"/>
          <w:highlight w:val="none"/>
        </w:rPr>
        <w:t>评审委员会基于专业判断，认为供应商报价过低，有可能影响产品质量或者不能诚信履约的其他情形。</w:t>
      </w:r>
    </w:p>
    <w:p w14:paraId="643F06D2">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0F5A0CC">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A268B46">
      <w:pPr>
        <w:snapToGrid/>
        <w:spacing w:line="360" w:lineRule="auto"/>
        <w:ind w:firstLine="420" w:firstLineChars="200"/>
        <w:rPr>
          <w:rFonts w:ascii="宋体" w:hAnsi="宋体" w:cs="宋体"/>
          <w:sz w:val="21"/>
          <w:szCs w:val="21"/>
          <w:highlight w:val="none"/>
        </w:rPr>
      </w:pPr>
      <w:r>
        <w:rPr>
          <w:rFonts w:hint="eastAsia" w:ascii="宋体" w:hAnsi="宋体" w:cs="宋体"/>
          <w:sz w:val="21"/>
          <w:szCs w:val="21"/>
          <w:highlight w:val="none"/>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9D16447">
      <w:pPr>
        <w:snapToGrid/>
        <w:spacing w:line="360" w:lineRule="auto"/>
        <w:ind w:firstLine="424" w:firstLineChars="202"/>
        <w:jc w:val="left"/>
        <w:rPr>
          <w:rFonts w:ascii="宋体" w:hAnsi="宋体" w:cs="宋体"/>
          <w:spacing w:val="-6"/>
          <w:sz w:val="21"/>
          <w:szCs w:val="21"/>
          <w:highlight w:val="none"/>
        </w:rPr>
      </w:pPr>
      <w:r>
        <w:rPr>
          <w:rFonts w:hint="eastAsia" w:ascii="宋体" w:hAnsi="宋体" w:cs="宋体"/>
          <w:sz w:val="21"/>
          <w:szCs w:val="21"/>
          <w:highlight w:val="none"/>
        </w:rPr>
        <w:t>异常低价投标（响应）审查的启动原因、审查意见和审查结果应当在评审报告中记录，并随供应商提供的相关书面说明及证明材料，以及评审委员会有关互联网浏览、查询历史一并归档。</w:t>
      </w:r>
    </w:p>
    <w:p w14:paraId="5100ED34">
      <w:pPr>
        <w:snapToGrid/>
        <w:spacing w:line="360" w:lineRule="auto"/>
        <w:ind w:firstLine="424" w:firstLineChars="202"/>
        <w:jc w:val="left"/>
        <w:rPr>
          <w:rFonts w:ascii="宋体" w:hAnsi="宋体" w:cs="宋体"/>
          <w:sz w:val="21"/>
          <w:szCs w:val="21"/>
          <w:highlight w:val="none"/>
        </w:rPr>
      </w:pPr>
      <w:r>
        <w:rPr>
          <w:rFonts w:hint="eastAsia" w:ascii="宋体" w:hAnsi="宋体" w:cs="宋体"/>
          <w:sz w:val="21"/>
          <w:szCs w:val="21"/>
          <w:highlight w:val="none"/>
        </w:rPr>
        <w:t>（3）评标委员会按照招标文件中的规定推荐中标候选人。</w:t>
      </w:r>
    </w:p>
    <w:p w14:paraId="2B98D5EF">
      <w:pPr>
        <w:snapToGrid/>
        <w:spacing w:line="360" w:lineRule="auto"/>
        <w:ind w:firstLine="424" w:firstLineChars="202"/>
        <w:jc w:val="left"/>
        <w:rPr>
          <w:rFonts w:ascii="宋体" w:hAnsi="宋体" w:cs="宋体"/>
          <w:sz w:val="21"/>
          <w:szCs w:val="21"/>
          <w:highlight w:val="none"/>
        </w:rPr>
      </w:pPr>
      <w:r>
        <w:rPr>
          <w:rFonts w:hint="eastAsia" w:ascii="宋体" w:hAnsi="宋体" w:cs="宋体"/>
          <w:sz w:val="21"/>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153F6D6">
      <w:pPr>
        <w:snapToGrid w:val="0"/>
        <w:spacing w:line="360" w:lineRule="auto"/>
        <w:jc w:val="center"/>
        <w:rPr>
          <w:rFonts w:ascii="宋体" w:hAnsi="宋体" w:cs="宋体"/>
          <w:highlight w:val="none"/>
        </w:rPr>
      </w:pPr>
      <w:r>
        <w:rPr>
          <w:rFonts w:hint="eastAsia" w:ascii="宋体" w:hAnsi="宋体" w:cs="宋体"/>
          <w:highlight w:val="none"/>
        </w:rPr>
        <w:br w:type="page"/>
      </w:r>
      <w:r>
        <w:rPr>
          <w:rFonts w:hint="eastAsia" w:ascii="宋体" w:hAnsi="宋体" w:cs="宋体"/>
          <w:b/>
          <w:bCs/>
          <w:sz w:val="32"/>
          <w:szCs w:val="32"/>
          <w:highlight w:val="none"/>
        </w:rPr>
        <w:t>三、评标标准</w:t>
      </w:r>
    </w:p>
    <w:p w14:paraId="2D312E62">
      <w:pPr>
        <w:jc w:val="center"/>
        <w:rPr>
          <w:rFonts w:ascii="宋体" w:hAnsi="宋体" w:cs="宋体"/>
          <w:b/>
          <w:bCs/>
          <w:sz w:val="32"/>
          <w:szCs w:val="32"/>
          <w:highlight w:val="none"/>
        </w:rPr>
      </w:pPr>
      <w:r>
        <w:rPr>
          <w:rFonts w:hint="eastAsia" w:ascii="宋体" w:hAnsi="宋体" w:cs="宋体"/>
          <w:b/>
          <w:bCs/>
          <w:sz w:val="32"/>
          <w:szCs w:val="32"/>
          <w:highlight w:val="none"/>
        </w:rPr>
        <w:t>综合评分法</w:t>
      </w:r>
    </w:p>
    <w:p w14:paraId="77AB690C">
      <w:pPr>
        <w:pStyle w:val="25"/>
        <w:spacing w:line="360" w:lineRule="auto"/>
        <w:ind w:firstLine="420"/>
        <w:rPr>
          <w:rFonts w:hint="eastAsia" w:hAnsi="宋体" w:cs="宋体"/>
          <w:bCs/>
          <w:sz w:val="21"/>
          <w:szCs w:val="21"/>
          <w:highlight w:val="none"/>
        </w:rPr>
      </w:pPr>
      <w:r>
        <w:rPr>
          <w:rFonts w:hint="eastAsia" w:hAnsi="宋体" w:cs="宋体"/>
          <w:bCs/>
          <w:sz w:val="21"/>
          <w:szCs w:val="21"/>
          <w:highlight w:val="none"/>
        </w:rPr>
        <w:t>注：1.计分方法按四舍五入取至百分位；</w:t>
      </w:r>
    </w:p>
    <w:p w14:paraId="262D2D8E">
      <w:pPr>
        <w:pStyle w:val="25"/>
        <w:spacing w:line="360" w:lineRule="auto"/>
        <w:ind w:firstLine="420"/>
        <w:rPr>
          <w:rFonts w:ascii="宋体" w:hAnsi="宋体" w:cs="宋体"/>
          <w:bCs/>
          <w:kern w:val="0"/>
          <w:sz w:val="21"/>
          <w:highlight w:val="none"/>
        </w:rPr>
      </w:pPr>
      <w:r>
        <w:rPr>
          <w:rFonts w:hint="eastAsia" w:ascii="宋体" w:hAnsi="宋体" w:cs="宋体"/>
          <w:bCs/>
          <w:kern w:val="0"/>
          <w:sz w:val="21"/>
          <w:highlight w:val="none"/>
        </w:rPr>
        <w:t>2.因落实政府采购政策进行价格调整的，以调整后的价格计算评标基准价和投标报价。</w:t>
      </w:r>
    </w:p>
    <w:tbl>
      <w:tblPr>
        <w:tblStyle w:val="48"/>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701"/>
        <w:gridCol w:w="5660"/>
      </w:tblGrid>
      <w:tr w14:paraId="1DBF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9" w:hRule="atLeast"/>
          <w:jc w:val="center"/>
        </w:trPr>
        <w:tc>
          <w:tcPr>
            <w:tcW w:w="2147" w:type="dxa"/>
            <w:gridSpan w:val="2"/>
            <w:noWrap w:val="0"/>
            <w:vAlign w:val="center"/>
          </w:tcPr>
          <w:p w14:paraId="0ACC3DC1">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序号</w:t>
            </w:r>
          </w:p>
        </w:tc>
        <w:tc>
          <w:tcPr>
            <w:tcW w:w="1701" w:type="dxa"/>
            <w:noWrap w:val="0"/>
            <w:vAlign w:val="center"/>
          </w:tcPr>
          <w:p w14:paraId="5904D92D">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评分因素</w:t>
            </w:r>
          </w:p>
        </w:tc>
        <w:tc>
          <w:tcPr>
            <w:tcW w:w="5660" w:type="dxa"/>
            <w:noWrap w:val="0"/>
            <w:vAlign w:val="center"/>
          </w:tcPr>
          <w:p w14:paraId="2B6D067D">
            <w:pPr>
              <w:adjustRightInd w:val="0"/>
              <w:spacing w:line="360" w:lineRule="auto"/>
              <w:jc w:val="center"/>
              <w:textAlignment w:val="baseline"/>
              <w:rPr>
                <w:rFonts w:hint="eastAsia" w:ascii="宋体" w:hAnsi="宋体" w:cs="宋体"/>
                <w:b/>
                <w:color w:val="auto"/>
                <w:szCs w:val="21"/>
                <w:highlight w:val="none"/>
              </w:rPr>
            </w:pPr>
            <w:r>
              <w:rPr>
                <w:rFonts w:hint="eastAsia" w:ascii="宋体" w:hAnsi="宋体" w:cs="宋体"/>
                <w:b/>
                <w:color w:val="auto"/>
                <w:szCs w:val="21"/>
                <w:highlight w:val="none"/>
              </w:rPr>
              <w:t>评分标准</w:t>
            </w:r>
          </w:p>
        </w:tc>
      </w:tr>
      <w:tr w14:paraId="40F7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62" w:type="dxa"/>
            <w:noWrap w:val="0"/>
            <w:vAlign w:val="center"/>
          </w:tcPr>
          <w:p w14:paraId="4FE46BB6">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1</w:t>
            </w:r>
          </w:p>
        </w:tc>
        <w:tc>
          <w:tcPr>
            <w:tcW w:w="1585" w:type="dxa"/>
            <w:noWrap w:val="0"/>
            <w:vAlign w:val="center"/>
          </w:tcPr>
          <w:p w14:paraId="70137400">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价格分</w:t>
            </w:r>
          </w:p>
          <w:p w14:paraId="77470422">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w:t>
            </w:r>
          </w:p>
        </w:tc>
        <w:tc>
          <w:tcPr>
            <w:tcW w:w="1701" w:type="dxa"/>
            <w:noWrap w:val="0"/>
            <w:vAlign w:val="center"/>
          </w:tcPr>
          <w:p w14:paraId="76A09898">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5660" w:type="dxa"/>
            <w:noWrap w:val="0"/>
            <w:vAlign w:val="center"/>
          </w:tcPr>
          <w:p w14:paraId="69203529">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（1）评标报价为投标人的投标报价进行政策性扣除后的价格，评标报价只是作为评标时使用。最终中标人的中标金额等于投标报价。</w:t>
            </w:r>
          </w:p>
          <w:p w14:paraId="5C003BE2">
            <w:pPr>
              <w:spacing w:line="360" w:lineRule="auto"/>
              <w:ind w:firstLine="420" w:firstLineChars="200"/>
              <w:rPr>
                <w:rFonts w:ascii="宋体" w:hAnsi="宋体" w:cs="宋体"/>
                <w:bCs/>
                <w:color w:val="auto"/>
                <w:szCs w:val="21"/>
                <w:highlight w:val="none"/>
              </w:rPr>
            </w:pPr>
            <w:r>
              <w:rPr>
                <w:rFonts w:hint="eastAsia" w:ascii="宋体" w:hAnsi="宋体" w:eastAsia="宋体" w:cs="宋体"/>
                <w:bCs/>
                <w:color w:val="auto"/>
                <w:szCs w:val="21"/>
                <w:highlight w:val="none"/>
              </w:rPr>
              <w:t>（2）按照《政府采购促进中小企业发展管理办法》（财库〔2020〕46号）、《广西壮族自治区财政厅关于贯彻落实政府采购支持中小企业发展政策的通知》（桂财采〔2022〕31号）</w:t>
            </w:r>
            <w:r>
              <w:rPr>
                <w:rFonts w:hint="eastAsia" w:ascii="宋体" w:hAnsi="宋体" w:eastAsia="宋体" w:cs="宋体"/>
                <w:bCs/>
                <w:color w:val="auto"/>
                <w:szCs w:val="21"/>
                <w:highlight w:val="none"/>
                <w:lang w:val="en-US" w:eastAsia="zh-CN"/>
              </w:rPr>
              <w:t>、《广西壮族自治区财政厅关于持续优化政府采购营商环境推动高质量发展的通知》（桂财采〔2024〕55号）</w:t>
            </w:r>
            <w:r>
              <w:rPr>
                <w:rFonts w:hint="eastAsia" w:ascii="宋体" w:hAnsi="宋体" w:eastAsia="宋体" w:cs="宋体"/>
                <w:bCs/>
                <w:color w:val="auto"/>
                <w:szCs w:val="21"/>
                <w:highlight w:val="none"/>
              </w:rPr>
              <w:t>的相关规定提供《中小企业声明函》，且其所投标产品全部为小型和微型企业产品的，对其投标价格给予</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0%的扣除。</w:t>
            </w:r>
          </w:p>
          <w:p w14:paraId="431FB5F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EB28EF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F8889D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w:t>
            </w:r>
            <w:r>
              <w:rPr>
                <w:rFonts w:hint="eastAsia"/>
                <w:color w:val="auto"/>
                <w:szCs w:val="21"/>
                <w:highlight w:val="none"/>
              </w:rPr>
              <w:t>小微企业</w:t>
            </w:r>
            <w:r>
              <w:rPr>
                <w:rFonts w:hint="eastAsia" w:ascii="宋体" w:hAnsi="宋体" w:cs="宋体"/>
                <w:bCs/>
                <w:color w:val="auto"/>
                <w:szCs w:val="21"/>
                <w:highlight w:val="none"/>
              </w:rPr>
              <w:t>政策性扣除计算方法。</w:t>
            </w:r>
          </w:p>
          <w:p w14:paraId="232863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投标人所投标全部产品厂家被评定为监狱企业或者残疾人福利性单位或者小型和微型企业，且其所投标全部产品为小型和微型企业产品的，该投标人的投标报价给予</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0%的扣除，扣除后的价格为评标报价，即评标报价=投标报价×（1-</w:t>
            </w:r>
            <w:r>
              <w:rPr>
                <w:rFonts w:hint="eastAsia" w:ascii="宋体" w:hAnsi="宋体" w:cs="宋体"/>
                <w:bCs/>
                <w:color w:val="auto"/>
                <w:szCs w:val="21"/>
                <w:highlight w:val="none"/>
                <w:lang w:val="en-US" w:eastAsia="zh-CN"/>
              </w:rPr>
              <w:t>1</w:t>
            </w:r>
            <w:r>
              <w:rPr>
                <w:rFonts w:hint="eastAsia" w:ascii="宋体" w:hAnsi="宋体" w:cs="宋体"/>
                <w:bCs/>
                <w:color w:val="auto"/>
                <w:szCs w:val="21"/>
                <w:highlight w:val="none"/>
              </w:rPr>
              <w:t>0%）；大中型企业和其他自然人、法人或者其他组织与小型、微型企业组成联合体投标，且联合体协议中约定小型、微型企业的协议合同金额占到联合体协议合同总金额30%以上的，联合体投标价给予4%的扣除，扣除后的价格为评标价，即评标报价=投标报价×（1-4%）；除上述情况外，评标报价=投标报价。</w:t>
            </w:r>
          </w:p>
          <w:p w14:paraId="77E298E7">
            <w:pPr>
              <w:pStyle w:val="25"/>
              <w:spacing w:line="360" w:lineRule="auto"/>
              <w:ind w:firstLine="420" w:firstLineChars="200"/>
              <w:rPr>
                <w:rFonts w:hAnsi="宋体"/>
                <w:color w:val="auto"/>
                <w:sz w:val="21"/>
                <w:szCs w:val="21"/>
                <w:highlight w:val="none"/>
              </w:rPr>
            </w:pP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6</w:t>
            </w:r>
            <w:r>
              <w:rPr>
                <w:rFonts w:hint="eastAsia" w:ascii="宋体" w:hAnsi="宋体" w:cs="宋体"/>
                <w:bCs/>
                <w:color w:val="auto"/>
                <w:sz w:val="21"/>
                <w:szCs w:val="21"/>
                <w:highlight w:val="none"/>
                <w:lang w:eastAsia="zh-CN"/>
              </w:rPr>
              <w:t>）</w:t>
            </w:r>
            <w:r>
              <w:rPr>
                <w:rFonts w:hint="eastAsia" w:hAnsi="宋体"/>
                <w:color w:val="auto"/>
                <w:sz w:val="21"/>
                <w:szCs w:val="21"/>
                <w:highlight w:val="none"/>
              </w:rPr>
              <w:t>本国产品政策性扣除计算方法。</w:t>
            </w:r>
          </w:p>
          <w:p w14:paraId="1A2CE07C">
            <w:pPr>
              <w:pStyle w:val="25"/>
              <w:spacing w:line="360" w:lineRule="auto"/>
              <w:ind w:firstLine="420" w:firstLineChars="200"/>
              <w:rPr>
                <w:rFonts w:hint="eastAsia" w:hAnsi="宋体"/>
                <w:color w:val="auto"/>
                <w:sz w:val="21"/>
                <w:highlight w:val="none"/>
              </w:rPr>
            </w:pPr>
            <w:r>
              <w:rPr>
                <w:rFonts w:hint="eastAsia" w:hAnsi="宋体"/>
                <w:color w:val="auto"/>
                <w:sz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3873824C">
            <w:pPr>
              <w:pStyle w:val="25"/>
              <w:spacing w:line="360" w:lineRule="auto"/>
              <w:ind w:firstLine="420" w:firstLineChars="200"/>
              <w:rPr>
                <w:rFonts w:hAnsi="宋体"/>
                <w:color w:val="auto"/>
                <w:sz w:val="21"/>
                <w:highlight w:val="none"/>
              </w:rPr>
            </w:pPr>
            <w:r>
              <w:rPr>
                <w:rFonts w:hint="eastAsia" w:hAnsi="宋体"/>
                <w:color w:val="auto"/>
                <w:sz w:val="21"/>
                <w:highlight w:val="none"/>
              </w:rPr>
              <w:t>当采购项目或者采购包中含有多种产品，供应商为该采购项目或者采购包提供的符合本国产品标准的产品成本之和占该供应商提供的全部产品成本之和的比例达到80%以上（含80%）时，依法对该供应商提供的全部产品给予价格评审优惠，即对该供应商提供的全部产品的总报价给予20%的价格扣除，用扣除后的价格参与评审。未达到80%，不享受价格评审优惠。</w:t>
            </w:r>
          </w:p>
          <w:p w14:paraId="09D6E53C">
            <w:pPr>
              <w:pStyle w:val="25"/>
              <w:spacing w:line="360" w:lineRule="auto"/>
              <w:ind w:firstLine="420" w:firstLineChars="200"/>
              <w:rPr>
                <w:rFonts w:hAnsi="宋体"/>
                <w:color w:val="auto"/>
                <w:sz w:val="21"/>
                <w:highlight w:val="none"/>
              </w:rPr>
            </w:pPr>
            <w:r>
              <w:rPr>
                <w:rFonts w:hint="eastAsia" w:hAnsi="宋体"/>
                <w:color w:val="auto"/>
                <w:sz w:val="21"/>
                <w:highlight w:val="none"/>
              </w:rPr>
              <w:t>供应商在其投标文件中提供《关于符合本国产品标准的声明函》或财政部会同有关部门规定的有关证明文件，出具符合要求的《声明函》或有关证明文件的，该产品视为本国产品。</w:t>
            </w:r>
          </w:p>
          <w:p w14:paraId="6E67A5CE">
            <w:pPr>
              <w:pStyle w:val="25"/>
              <w:spacing w:line="360" w:lineRule="auto"/>
              <w:ind w:firstLine="420" w:firstLineChars="200"/>
              <w:rPr>
                <w:rFonts w:hint="eastAsia" w:hAnsi="宋体"/>
                <w:color w:val="auto"/>
                <w:sz w:val="21"/>
                <w:highlight w:val="none"/>
              </w:rPr>
            </w:pPr>
            <w:r>
              <w:rPr>
                <w:rFonts w:hint="eastAsia" w:hAnsi="宋体"/>
                <w:color w:val="auto"/>
                <w:sz w:val="21"/>
                <w:highlight w:val="none"/>
              </w:rPr>
              <w:t>如果所有参与竞争的供应商均可享受本国产品价格评审优惠，则统一不进行价格扣除。</w:t>
            </w:r>
          </w:p>
          <w:p w14:paraId="547DA700">
            <w:pPr>
              <w:pStyle w:val="25"/>
              <w:spacing w:line="360" w:lineRule="auto"/>
              <w:ind w:firstLine="359" w:firstLineChars="171"/>
              <w:rPr>
                <w:rFonts w:hint="eastAsia"/>
                <w:color w:val="auto"/>
                <w:sz w:val="21"/>
                <w:highlight w:val="none"/>
              </w:rPr>
            </w:pPr>
            <w:r>
              <w:rPr>
                <w:rFonts w:hint="eastAsia" w:hAnsi="宋体"/>
                <w:color w:val="auto"/>
                <w:sz w:val="21"/>
                <w:szCs w:val="21"/>
                <w:highlight w:val="none"/>
                <w:lang w:eastAsia="zh-CN"/>
              </w:rPr>
              <w:t>（</w:t>
            </w:r>
            <w:r>
              <w:rPr>
                <w:rFonts w:hint="eastAsia" w:hAnsi="宋体"/>
                <w:color w:val="auto"/>
                <w:sz w:val="21"/>
                <w:szCs w:val="21"/>
                <w:highlight w:val="none"/>
                <w:lang w:val="en-US" w:eastAsia="zh-CN"/>
              </w:rPr>
              <w:t>7</w:t>
            </w:r>
            <w:r>
              <w:rPr>
                <w:rFonts w:hint="eastAsia" w:hAnsi="宋体"/>
                <w:color w:val="auto"/>
                <w:sz w:val="21"/>
                <w:szCs w:val="21"/>
                <w:highlight w:val="none"/>
                <w:lang w:eastAsia="zh-CN"/>
              </w:rPr>
              <w:t>）</w:t>
            </w:r>
            <w:r>
              <w:rPr>
                <w:rFonts w:hint="eastAsia"/>
                <w:b/>
                <w:bCs/>
                <w:color w:val="auto"/>
                <w:sz w:val="21"/>
                <w:highlight w:val="none"/>
              </w:rPr>
              <w:t>小微企业</w:t>
            </w:r>
            <w:r>
              <w:rPr>
                <w:rFonts w:hint="eastAsia" w:hAnsi="宋体"/>
                <w:b/>
                <w:bCs/>
                <w:color w:val="auto"/>
                <w:sz w:val="21"/>
                <w:szCs w:val="21"/>
                <w:highlight w:val="none"/>
              </w:rPr>
              <w:t>折扣与</w:t>
            </w:r>
            <w:r>
              <w:rPr>
                <w:rFonts w:hint="eastAsia" w:ascii="Times New Roman" w:hAnsi="宋体"/>
                <w:b/>
                <w:bCs/>
                <w:color w:val="auto"/>
                <w:sz w:val="21"/>
                <w:szCs w:val="21"/>
                <w:highlight w:val="none"/>
              </w:rPr>
              <w:t>本国产品折扣进行叠加计算，</w:t>
            </w:r>
            <w:r>
              <w:rPr>
                <w:rFonts w:hint="eastAsia" w:ascii="Times New Roman" w:hAnsi="宋体"/>
                <w:color w:val="auto"/>
                <w:sz w:val="21"/>
                <w:szCs w:val="21"/>
                <w:highlight w:val="none"/>
              </w:rPr>
              <w:t>用扣除后的价格参加评审。即评标报价=投标报价</w:t>
            </w:r>
            <w:r>
              <w:rPr>
                <w:rFonts w:hint="eastAsia" w:ascii="Times New Roman" w:hAnsi="宋体"/>
                <w:color w:val="auto"/>
                <w:sz w:val="21"/>
                <w:szCs w:val="21"/>
                <w:highlight w:val="none"/>
                <w:lang w:val="en-US" w:eastAsia="zh-CN"/>
              </w:rPr>
              <w:t>×（1</w:t>
            </w:r>
            <w:r>
              <w:rPr>
                <w:rFonts w:hint="eastAsia" w:ascii="Times New Roman" w:hAnsi="宋体"/>
                <w:color w:val="auto"/>
                <w:sz w:val="21"/>
                <w:szCs w:val="21"/>
                <w:highlight w:val="none"/>
              </w:rPr>
              <w:t>-</w:t>
            </w:r>
            <w:r>
              <w:rPr>
                <w:rFonts w:hint="eastAsia" w:ascii="Times New Roman" w:hAnsi="宋体"/>
                <w:color w:val="auto"/>
                <w:sz w:val="21"/>
                <w:szCs w:val="21"/>
                <w:highlight w:val="none"/>
                <w:lang w:val="en-US" w:eastAsia="zh-CN"/>
              </w:rPr>
              <w:t>小微</w:t>
            </w:r>
            <w:r>
              <w:rPr>
                <w:rFonts w:hint="eastAsia" w:ascii="Times New Roman" w:hAnsi="宋体"/>
                <w:color w:val="auto"/>
                <w:sz w:val="21"/>
                <w:szCs w:val="21"/>
                <w:highlight w:val="none"/>
              </w:rPr>
              <w:t>企业</w:t>
            </w:r>
            <w:r>
              <w:rPr>
                <w:rFonts w:hint="eastAsia" w:ascii="Times New Roman" w:hAnsi="宋体"/>
                <w:color w:val="auto"/>
                <w:sz w:val="21"/>
                <w:szCs w:val="21"/>
                <w:highlight w:val="none"/>
                <w:lang w:val="en-US" w:eastAsia="zh-CN"/>
              </w:rPr>
              <w:t>扣除优惠比例</w:t>
            </w:r>
            <w:r>
              <w:rPr>
                <w:rFonts w:hint="eastAsia" w:ascii="Times New Roman" w:hAnsi="宋体"/>
                <w:color w:val="auto"/>
                <w:sz w:val="21"/>
                <w:szCs w:val="21"/>
                <w:highlight w:val="none"/>
              </w:rPr>
              <w:t>-本国产品</w:t>
            </w:r>
            <w:r>
              <w:rPr>
                <w:rFonts w:hint="eastAsia" w:ascii="Times New Roman" w:hAnsi="宋体"/>
                <w:color w:val="auto"/>
                <w:sz w:val="21"/>
                <w:szCs w:val="21"/>
                <w:highlight w:val="none"/>
                <w:lang w:val="en-US" w:eastAsia="zh-CN"/>
              </w:rPr>
              <w:t>扣除优惠比例）</w:t>
            </w:r>
            <w:r>
              <w:rPr>
                <w:rFonts w:hint="eastAsia" w:ascii="Times New Roman" w:hAnsi="宋体"/>
                <w:color w:val="auto"/>
                <w:sz w:val="21"/>
                <w:szCs w:val="21"/>
                <w:highlight w:val="none"/>
              </w:rPr>
              <w:t>，除上述情况外，评标报价=投标报价。</w:t>
            </w:r>
          </w:p>
          <w:p w14:paraId="28CA6982">
            <w:pPr>
              <w:snapToGrid w:val="0"/>
              <w:spacing w:line="360" w:lineRule="auto"/>
              <w:ind w:firstLine="233" w:firstLineChars="111"/>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）满足招标文件要求且评标报价最低的评标报价为评标基准价，基准价报价得分为</w:t>
            </w:r>
            <w:r>
              <w:rPr>
                <w:rFonts w:hint="eastAsia" w:ascii="宋体" w:hAnsi="宋体" w:cs="宋体"/>
                <w:bCs/>
                <w:color w:val="auto"/>
                <w:szCs w:val="21"/>
                <w:highlight w:val="none"/>
                <w:u w:val="single"/>
                <w:lang w:val="en-US" w:eastAsia="zh-CN"/>
              </w:rPr>
              <w:t>30</w:t>
            </w:r>
            <w:r>
              <w:rPr>
                <w:rFonts w:hint="eastAsia" w:ascii="宋体" w:hAnsi="宋体" w:cs="宋体"/>
                <w:bCs/>
                <w:color w:val="auto"/>
                <w:szCs w:val="21"/>
                <w:highlight w:val="none"/>
              </w:rPr>
              <w:t>分。</w:t>
            </w:r>
          </w:p>
          <w:p w14:paraId="00896D1F">
            <w:pPr>
              <w:snapToGrid w:val="0"/>
              <w:spacing w:line="360" w:lineRule="auto"/>
              <w:ind w:firstLine="233" w:firstLineChars="111"/>
              <w:rPr>
                <w:rFonts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）价格分计算公式：</w:t>
            </w:r>
          </w:p>
          <w:p w14:paraId="70FB9F06">
            <w:pPr>
              <w:snapToGrid w:val="0"/>
              <w:spacing w:line="360" w:lineRule="auto"/>
              <w:ind w:firstLine="233" w:firstLineChars="111"/>
              <w:rPr>
                <w:rFonts w:hint="eastAsia" w:hAnsi="宋体" w:cs="宋体"/>
                <w:bCs/>
                <w:color w:val="auto"/>
                <w:spacing w:val="4"/>
                <w:szCs w:val="21"/>
                <w:highlight w:val="none"/>
              </w:rPr>
            </w:pPr>
            <w:r>
              <w:rPr>
                <w:rFonts w:hint="eastAsia" w:hAnsi="宋体" w:cs="宋体"/>
                <w:bCs/>
                <w:color w:val="auto"/>
                <w:szCs w:val="21"/>
                <w:highlight w:val="none"/>
              </w:rPr>
              <w:t>价格分=(评标基准价／评标报价)×</w:t>
            </w:r>
            <w:r>
              <w:rPr>
                <w:rFonts w:hint="eastAsia" w:ascii="宋体" w:hAnsi="宋体" w:cs="宋体"/>
                <w:bCs/>
                <w:color w:val="auto"/>
                <w:szCs w:val="21"/>
                <w:highlight w:val="none"/>
                <w:u w:val="single"/>
                <w:lang w:val="en-US" w:eastAsia="zh-CN"/>
              </w:rPr>
              <w:t>30</w:t>
            </w:r>
            <w:r>
              <w:rPr>
                <w:rFonts w:hint="eastAsia" w:hAnsi="宋体" w:cs="宋体"/>
                <w:bCs/>
                <w:color w:val="auto"/>
                <w:szCs w:val="21"/>
                <w:highlight w:val="none"/>
              </w:rPr>
              <w:t>分</w:t>
            </w:r>
          </w:p>
        </w:tc>
      </w:tr>
      <w:tr w14:paraId="2854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62" w:type="dxa"/>
            <w:vMerge w:val="restart"/>
            <w:noWrap w:val="0"/>
            <w:vAlign w:val="center"/>
          </w:tcPr>
          <w:p w14:paraId="31EE52CA">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2</w:t>
            </w:r>
          </w:p>
        </w:tc>
        <w:tc>
          <w:tcPr>
            <w:tcW w:w="1585" w:type="dxa"/>
            <w:vMerge w:val="restart"/>
            <w:noWrap w:val="0"/>
            <w:vAlign w:val="center"/>
          </w:tcPr>
          <w:p w14:paraId="2805C452">
            <w:pPr>
              <w:adjustRightInd w:val="0"/>
              <w:spacing w:line="360" w:lineRule="auto"/>
              <w:jc w:val="center"/>
              <w:textAlignment w:val="baseline"/>
              <w:rPr>
                <w:rFonts w:hint="eastAsia" w:ascii="宋体" w:hAnsi="宋体"/>
                <w:color w:val="auto"/>
                <w:szCs w:val="21"/>
                <w:highlight w:val="none"/>
              </w:rPr>
            </w:pPr>
            <w:r>
              <w:rPr>
                <w:rFonts w:hint="eastAsia" w:ascii="宋体" w:hAnsi="宋体"/>
                <w:color w:val="auto"/>
                <w:szCs w:val="21"/>
                <w:highlight w:val="none"/>
              </w:rPr>
              <w:t>技术分</w:t>
            </w:r>
          </w:p>
          <w:p w14:paraId="34070471">
            <w:pPr>
              <w:adjustRightInd w:val="0"/>
              <w:spacing w:line="360" w:lineRule="auto"/>
              <w:jc w:val="left"/>
              <w:textAlignment w:val="baseline"/>
              <w:rPr>
                <w:rFonts w:hint="eastAsia"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满分</w:t>
            </w:r>
            <w:r>
              <w:rPr>
                <w:rFonts w:hint="eastAsia" w:ascii="宋体" w:hAnsi="宋体"/>
                <w:color w:val="auto"/>
                <w:szCs w:val="21"/>
                <w:highlight w:val="none"/>
                <w:lang w:val="en-US" w:eastAsia="zh-CN"/>
              </w:rPr>
              <w:t>56</w:t>
            </w:r>
            <w:r>
              <w:rPr>
                <w:rFonts w:hint="eastAsia" w:ascii="宋体" w:hAnsi="宋体"/>
                <w:color w:val="auto"/>
                <w:szCs w:val="21"/>
                <w:highlight w:val="none"/>
              </w:rPr>
              <w:t>分）</w:t>
            </w:r>
          </w:p>
        </w:tc>
        <w:tc>
          <w:tcPr>
            <w:tcW w:w="1701" w:type="dxa"/>
            <w:noWrap w:val="0"/>
            <w:vAlign w:val="center"/>
          </w:tcPr>
          <w:p w14:paraId="6C3C868B">
            <w:pPr>
              <w:adjustRightInd w:val="0"/>
              <w:spacing w:line="360" w:lineRule="auto"/>
              <w:jc w:val="center"/>
              <w:textAlignment w:val="baseline"/>
              <w:rPr>
                <w:rFonts w:ascii="宋体" w:hAnsi="宋体" w:cs="宋体"/>
                <w:color w:val="auto"/>
                <w:szCs w:val="21"/>
                <w:highlight w:val="none"/>
              </w:rPr>
            </w:pPr>
            <w:r>
              <w:rPr>
                <w:rFonts w:hint="eastAsia" w:ascii="宋体" w:hAnsi="宋体" w:cs="宋体"/>
                <w:color w:val="auto"/>
                <w:szCs w:val="21"/>
                <w:highlight w:val="none"/>
              </w:rPr>
              <w:t>技术性能（满分</w:t>
            </w:r>
            <w:r>
              <w:rPr>
                <w:rFonts w:hint="eastAsia" w:ascii="宋体" w:hAnsi="宋体" w:cs="宋体"/>
                <w:color w:val="auto"/>
                <w:szCs w:val="21"/>
                <w:highlight w:val="none"/>
                <w:lang w:val="en-US" w:eastAsia="zh-CN"/>
              </w:rPr>
              <w:t>40</w:t>
            </w:r>
            <w:r>
              <w:rPr>
                <w:rFonts w:hint="eastAsia" w:ascii="宋体" w:hAnsi="宋体" w:cs="宋体"/>
                <w:color w:val="auto"/>
                <w:szCs w:val="21"/>
                <w:highlight w:val="none"/>
              </w:rPr>
              <w:t>分）</w:t>
            </w:r>
          </w:p>
        </w:tc>
        <w:tc>
          <w:tcPr>
            <w:tcW w:w="5660" w:type="dxa"/>
            <w:noWrap w:val="0"/>
            <w:vAlign w:val="center"/>
          </w:tcPr>
          <w:p w14:paraId="1080D561">
            <w:pPr>
              <w:widowControl/>
              <w:numPr>
                <w:ilvl w:val="0"/>
                <w:numId w:val="0"/>
              </w:numPr>
              <w:spacing w:line="360" w:lineRule="auto"/>
              <w:ind w:firstLine="0"/>
              <w:jc w:val="left"/>
              <w:rPr>
                <w:rFonts w:hint="eastAsia" w:ascii="宋体" w:hAnsi="宋体" w:eastAsia="宋体" w:cs="宋体"/>
                <w:bCs/>
                <w:color w:val="auto"/>
                <w:kern w:val="2"/>
                <w:szCs w:val="21"/>
                <w:highlight w:val="none"/>
              </w:rPr>
            </w:pPr>
            <w:r>
              <w:rPr>
                <w:rFonts w:hint="eastAsia" w:ascii="宋体" w:hAnsi="宋体" w:eastAsia="宋体" w:cs="宋体"/>
                <w:bCs/>
                <w:color w:val="auto"/>
                <w:kern w:val="2"/>
                <w:szCs w:val="21"/>
                <w:highlight w:val="none"/>
              </w:rPr>
              <w:t>评委根据招标文件要求，对通过资格性和符合性审查进入详评的各投标人投标文件的“技术</w:t>
            </w:r>
            <w:r>
              <w:rPr>
                <w:rFonts w:hint="eastAsia" w:ascii="宋体" w:hAnsi="宋体" w:eastAsia="宋体" w:cs="宋体"/>
                <w:bCs/>
                <w:color w:val="auto"/>
                <w:kern w:val="2"/>
                <w:szCs w:val="21"/>
                <w:highlight w:val="none"/>
                <w:lang w:val="en-US" w:eastAsia="zh-CN"/>
              </w:rPr>
              <w:t>偏离</w:t>
            </w:r>
            <w:r>
              <w:rPr>
                <w:rFonts w:hint="eastAsia" w:ascii="宋体" w:hAnsi="宋体" w:eastAsia="宋体" w:cs="宋体"/>
                <w:bCs/>
                <w:color w:val="auto"/>
                <w:kern w:val="2"/>
                <w:szCs w:val="21"/>
                <w:highlight w:val="none"/>
              </w:rPr>
              <w:t>表”响应情况进行评审，并按如下计分方式确定得分：</w:t>
            </w:r>
          </w:p>
          <w:p w14:paraId="6941A576">
            <w:pPr>
              <w:widowControl/>
              <w:numPr>
                <w:ilvl w:val="0"/>
                <w:numId w:val="0"/>
              </w:numPr>
              <w:autoSpaceDE/>
              <w:autoSpaceDN/>
              <w:snapToGrid/>
              <w:spacing w:line="360" w:lineRule="auto"/>
              <w:ind w:firstLine="0" w:firstLineChars="0"/>
              <w:jc w:val="left"/>
              <w:textAlignment w:val="auto"/>
              <w:rPr>
                <w:rFonts w:hint="eastAsia" w:ascii="宋体" w:hAnsi="宋体" w:eastAsia="宋体" w:cs="宋体"/>
                <w:bCs/>
                <w:color w:val="auto"/>
                <w:kern w:val="2"/>
                <w:szCs w:val="21"/>
                <w:highlight w:val="none"/>
                <w:lang w:eastAsia="zh-CN"/>
              </w:rPr>
            </w:pPr>
            <w:r>
              <w:rPr>
                <w:rFonts w:hint="eastAsia" w:ascii="宋体" w:hAnsi="宋体" w:eastAsia="宋体" w:cs="宋体"/>
                <w:bCs/>
                <w:color w:val="auto"/>
                <w:kern w:val="2"/>
                <w:szCs w:val="21"/>
                <w:highlight w:val="none"/>
              </w:rPr>
              <w:t>投标人提供</w:t>
            </w:r>
            <w:r>
              <w:rPr>
                <w:rFonts w:hint="eastAsia" w:ascii="宋体" w:hAnsi="宋体" w:eastAsia="宋体" w:cs="宋体"/>
                <w:bCs/>
                <w:color w:val="auto"/>
                <w:kern w:val="2"/>
                <w:szCs w:val="21"/>
                <w:highlight w:val="none"/>
                <w:lang w:eastAsia="zh-CN"/>
              </w:rPr>
              <w:t>的投标文件承诺完全满足招标文件全部实质性要求的，得基本40分；投标文件对采购需求的“技术要求”中未标注“▲”号的条款响应存在负偏离的，每有1项负偏离扣基本分</w:t>
            </w:r>
            <w:r>
              <w:rPr>
                <w:rFonts w:hint="eastAsia" w:ascii="宋体" w:hAnsi="宋体" w:cs="宋体"/>
                <w:bCs/>
                <w:color w:val="auto"/>
                <w:kern w:val="2"/>
                <w:szCs w:val="21"/>
                <w:highlight w:val="none"/>
                <w:lang w:val="en-US" w:eastAsia="zh-CN"/>
              </w:rPr>
              <w:t>4</w:t>
            </w:r>
            <w:r>
              <w:rPr>
                <w:rFonts w:hint="eastAsia" w:ascii="宋体" w:hAnsi="宋体" w:eastAsia="宋体" w:cs="宋体"/>
                <w:bCs/>
                <w:color w:val="auto"/>
                <w:kern w:val="2"/>
                <w:szCs w:val="21"/>
                <w:highlight w:val="none"/>
                <w:lang w:eastAsia="zh-CN"/>
              </w:rPr>
              <w:t>分，最多扣</w:t>
            </w:r>
            <w:r>
              <w:rPr>
                <w:rFonts w:hint="eastAsia" w:ascii="宋体" w:hAnsi="宋体" w:cs="宋体"/>
                <w:bCs/>
                <w:color w:val="auto"/>
                <w:kern w:val="2"/>
                <w:szCs w:val="21"/>
                <w:highlight w:val="none"/>
                <w:lang w:val="en-US" w:eastAsia="zh-CN"/>
              </w:rPr>
              <w:t>4</w:t>
            </w:r>
            <w:r>
              <w:rPr>
                <w:rFonts w:hint="eastAsia" w:ascii="宋体" w:hAnsi="宋体" w:eastAsia="宋体" w:cs="宋体"/>
                <w:bCs/>
                <w:color w:val="auto"/>
                <w:kern w:val="2"/>
                <w:szCs w:val="21"/>
                <w:highlight w:val="none"/>
                <w:lang w:eastAsia="zh-CN"/>
              </w:rPr>
              <w:t>0分。</w:t>
            </w:r>
          </w:p>
          <w:p w14:paraId="7F5085BB">
            <w:pPr>
              <w:widowControl/>
              <w:autoSpaceDE/>
              <w:autoSpaceDN/>
              <w:snapToGrid/>
              <w:spacing w:line="360" w:lineRule="auto"/>
              <w:ind w:firstLine="0" w:firstLineChars="0"/>
              <w:jc w:val="left"/>
              <w:textAlignment w:val="auto"/>
              <w:rPr>
                <w:rFonts w:hint="eastAsia" w:ascii="宋体" w:hAnsi="宋体" w:cs="宋体"/>
                <w:b/>
                <w:bCs/>
                <w:color w:val="auto"/>
                <w:szCs w:val="21"/>
                <w:highlight w:val="none"/>
              </w:rPr>
            </w:pPr>
            <w:r>
              <w:rPr>
                <w:rFonts w:hint="eastAsia" w:ascii="宋体" w:hAnsi="宋体" w:eastAsia="宋体" w:cs="宋体"/>
                <w:b/>
                <w:bCs w:val="0"/>
                <w:color w:val="auto"/>
                <w:kern w:val="2"/>
                <w:szCs w:val="21"/>
                <w:highlight w:val="none"/>
                <w:lang w:eastAsia="zh-CN"/>
              </w:rPr>
              <w:t>注：针对“技术要求”中未标注▲号项的技术参数，如招标文件要求提供证明材料，投标人未按要求提供证明材料或所提供的证明材料不满足（或不能证明）相应技术参数要求的，视为负偏离；投标人投标文件中的响应承诺与证明材料不一致的，以证明材料为准。</w:t>
            </w:r>
          </w:p>
        </w:tc>
      </w:tr>
      <w:tr w14:paraId="18D8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62" w:type="dxa"/>
            <w:vMerge w:val="continue"/>
            <w:noWrap w:val="0"/>
            <w:vAlign w:val="center"/>
          </w:tcPr>
          <w:p w14:paraId="70FEF4C9">
            <w:pPr>
              <w:adjustRightInd w:val="0"/>
              <w:spacing w:line="360" w:lineRule="auto"/>
              <w:jc w:val="center"/>
              <w:textAlignment w:val="baseline"/>
              <w:rPr>
                <w:rFonts w:hint="eastAsia" w:ascii="宋体" w:hAnsi="宋体" w:cs="宋体"/>
                <w:color w:val="auto"/>
                <w:szCs w:val="21"/>
                <w:highlight w:val="none"/>
              </w:rPr>
            </w:pPr>
          </w:p>
        </w:tc>
        <w:tc>
          <w:tcPr>
            <w:tcW w:w="1585" w:type="dxa"/>
            <w:vMerge w:val="continue"/>
            <w:noWrap w:val="0"/>
            <w:vAlign w:val="center"/>
          </w:tcPr>
          <w:p w14:paraId="0E56A1B5">
            <w:pPr>
              <w:adjustRightInd w:val="0"/>
              <w:spacing w:line="360" w:lineRule="auto"/>
              <w:jc w:val="left"/>
              <w:textAlignment w:val="baseline"/>
              <w:rPr>
                <w:rFonts w:hint="eastAsia" w:ascii="宋体" w:hAnsi="宋体"/>
                <w:color w:val="auto"/>
                <w:szCs w:val="21"/>
                <w:highlight w:val="none"/>
              </w:rPr>
            </w:pPr>
          </w:p>
        </w:tc>
        <w:tc>
          <w:tcPr>
            <w:tcW w:w="1701" w:type="dxa"/>
            <w:noWrap w:val="0"/>
            <w:vAlign w:val="center"/>
          </w:tcPr>
          <w:p w14:paraId="0165179F">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项目实施方案（满分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660" w:type="dxa"/>
            <w:noWrap w:val="0"/>
            <w:vAlign w:val="center"/>
          </w:tcPr>
          <w:p w14:paraId="194929D3">
            <w:pPr>
              <w:pStyle w:val="25"/>
              <w:spacing w:line="360" w:lineRule="auto"/>
              <w:ind w:firstLine="420" w:firstLineChars="200"/>
              <w:rPr>
                <w:rFonts w:hint="eastAsia" w:hAnsi="宋体"/>
                <w:color w:val="auto"/>
                <w:sz w:val="21"/>
                <w:highlight w:val="none"/>
              </w:rPr>
            </w:pPr>
            <w:r>
              <w:rPr>
                <w:rFonts w:hint="eastAsia" w:hAnsi="宋体"/>
                <w:color w:val="auto"/>
                <w:sz w:val="21"/>
                <w:highlight w:val="none"/>
              </w:rPr>
              <w:t>评委根据各投标人提供的项目实施方案进行评审并独立评分。</w:t>
            </w:r>
          </w:p>
          <w:p w14:paraId="036D0F8F">
            <w:pPr>
              <w:pStyle w:val="25"/>
              <w:spacing w:line="360" w:lineRule="auto"/>
              <w:ind w:firstLine="420" w:firstLineChars="200"/>
              <w:rPr>
                <w:rFonts w:hint="eastAsia" w:hAnsi="宋体"/>
                <w:color w:val="auto"/>
                <w:sz w:val="21"/>
                <w:highlight w:val="none"/>
              </w:rPr>
            </w:pPr>
            <w:r>
              <w:rPr>
                <w:rFonts w:hint="eastAsia" w:hAnsi="宋体"/>
                <w:color w:val="auto"/>
                <w:sz w:val="21"/>
                <w:highlight w:val="none"/>
              </w:rPr>
              <w:t>一档(</w:t>
            </w:r>
            <w:r>
              <w:rPr>
                <w:rFonts w:hint="eastAsia" w:hAnsi="宋体"/>
                <w:color w:val="auto"/>
                <w:sz w:val="21"/>
                <w:highlight w:val="none"/>
                <w:lang w:val="en-US" w:eastAsia="zh-CN"/>
              </w:rPr>
              <w:t>2.5</w:t>
            </w:r>
            <w:r>
              <w:rPr>
                <w:rFonts w:hint="eastAsia" w:hAnsi="宋体"/>
                <w:color w:val="auto"/>
                <w:sz w:val="21"/>
                <w:highlight w:val="none"/>
              </w:rPr>
              <w:t>分)</w:t>
            </w:r>
            <w:r>
              <w:rPr>
                <w:rFonts w:hint="eastAsia" w:hAnsi="宋体"/>
                <w:color w:val="auto"/>
                <w:sz w:val="21"/>
                <w:highlight w:val="none"/>
                <w:lang w:eastAsia="zh-CN"/>
              </w:rPr>
              <w:t>：</w:t>
            </w:r>
            <w:r>
              <w:rPr>
                <w:rFonts w:hint="eastAsia" w:hAnsi="宋体"/>
                <w:color w:val="auto"/>
                <w:sz w:val="21"/>
                <w:highlight w:val="none"/>
                <w:lang w:val="en-US" w:eastAsia="zh-CN"/>
              </w:rPr>
              <w:t>项目拟实施方案仅实质性响应招标文件基础要求，仅包含基础项目管理措施、基础实施流程两项核心要素，内容以框架性、通用性表述为主，无细化内容及专项配套保障措施</w:t>
            </w:r>
            <w:r>
              <w:rPr>
                <w:rFonts w:hint="eastAsia" w:hAnsi="宋体"/>
                <w:color w:val="auto"/>
                <w:sz w:val="21"/>
                <w:highlight w:val="none"/>
              </w:rPr>
              <w:t>。</w:t>
            </w:r>
          </w:p>
          <w:p w14:paraId="447C8C91">
            <w:pPr>
              <w:pStyle w:val="25"/>
              <w:spacing w:line="360" w:lineRule="auto"/>
              <w:ind w:firstLine="420" w:firstLineChars="200"/>
              <w:rPr>
                <w:rFonts w:hint="eastAsia" w:ascii="宋体" w:hAnsi="宋体" w:eastAsia="宋体" w:cs="Times New Roman"/>
                <w:color w:val="auto"/>
                <w:sz w:val="21"/>
                <w:highlight w:val="none"/>
              </w:rPr>
            </w:pPr>
            <w:r>
              <w:rPr>
                <w:rFonts w:hint="eastAsia" w:hAnsi="宋体"/>
                <w:color w:val="auto"/>
                <w:sz w:val="21"/>
                <w:highlight w:val="none"/>
              </w:rPr>
              <w:t>二档(</w:t>
            </w:r>
            <w:r>
              <w:rPr>
                <w:rFonts w:hint="eastAsia" w:hAnsi="宋体" w:cs="Times New Roman"/>
                <w:color w:val="auto"/>
                <w:sz w:val="21"/>
                <w:highlight w:val="none"/>
                <w:lang w:val="en-US" w:eastAsia="zh-CN"/>
              </w:rPr>
              <w:t>5</w:t>
            </w:r>
            <w:r>
              <w:rPr>
                <w:rFonts w:hint="eastAsia" w:ascii="宋体" w:hAnsi="宋体" w:eastAsia="宋体" w:cs="Times New Roman"/>
                <w:color w:val="auto"/>
                <w:sz w:val="21"/>
                <w:highlight w:val="none"/>
              </w:rPr>
              <w:t>分)</w:t>
            </w:r>
            <w:r>
              <w:rPr>
                <w:rFonts w:hint="eastAsia" w:ascii="宋体" w:hAnsi="宋体" w:eastAsia="宋体" w:cs="Times New Roman"/>
                <w:color w:val="auto"/>
                <w:sz w:val="21"/>
                <w:highlight w:val="none"/>
                <w:lang w:eastAsia="zh-CN"/>
              </w:rPr>
              <w:t>：</w:t>
            </w:r>
            <w:r>
              <w:rPr>
                <w:rFonts w:hint="eastAsia" w:ascii="宋体" w:hAnsi="宋体" w:eastAsia="宋体" w:cs="Times New Roman"/>
                <w:color w:val="auto"/>
                <w:sz w:val="21"/>
                <w:highlight w:val="none"/>
              </w:rPr>
              <w:t>项目实施方案</w:t>
            </w:r>
            <w:r>
              <w:rPr>
                <w:rFonts w:hint="eastAsia" w:ascii="宋体" w:hAnsi="宋体" w:cs="宋体"/>
                <w:color w:val="auto"/>
                <w:sz w:val="21"/>
                <w:szCs w:val="21"/>
                <w:highlight w:val="none"/>
                <w:lang w:val="en-US" w:eastAsia="zh-CN"/>
              </w:rPr>
              <w:t>内容较为详实，完整覆盖项目管理措施、具体实施流程、整体进度安排、常规风险防范措施、项目验收方案等核心要素，模块无缺失，内容脱离通用框架，具备基础落地条件，可有效保障项目常规正常实施</w:t>
            </w:r>
            <w:r>
              <w:rPr>
                <w:rFonts w:hint="eastAsia" w:hAnsi="宋体" w:cs="宋体"/>
                <w:color w:val="auto"/>
                <w:sz w:val="21"/>
                <w:szCs w:val="21"/>
                <w:highlight w:val="none"/>
                <w:lang w:val="en-US" w:eastAsia="zh-CN"/>
              </w:rPr>
              <w:t>。</w:t>
            </w:r>
          </w:p>
          <w:p w14:paraId="39634D7B">
            <w:pPr>
              <w:pStyle w:val="25"/>
              <w:spacing w:line="360" w:lineRule="auto"/>
              <w:ind w:firstLine="420" w:firstLineChars="200"/>
              <w:rPr>
                <w:rFonts w:hint="eastAsia" w:ascii="宋体" w:hAnsi="宋体" w:eastAsia="宋体" w:cs="Times New Roman"/>
                <w:color w:val="auto"/>
                <w:sz w:val="21"/>
                <w:highlight w:val="none"/>
              </w:rPr>
            </w:pPr>
            <w:r>
              <w:rPr>
                <w:rFonts w:hint="eastAsia" w:ascii="宋体" w:hAnsi="宋体" w:eastAsia="宋体" w:cs="Times New Roman"/>
                <w:color w:val="auto"/>
                <w:sz w:val="21"/>
                <w:highlight w:val="none"/>
                <w:lang w:val="en-US" w:eastAsia="zh-CN"/>
              </w:rPr>
              <w:t>三</w:t>
            </w:r>
            <w:r>
              <w:rPr>
                <w:rFonts w:hint="eastAsia" w:ascii="宋体" w:hAnsi="宋体" w:eastAsia="宋体" w:cs="Times New Roman"/>
                <w:color w:val="auto"/>
                <w:sz w:val="21"/>
                <w:highlight w:val="none"/>
              </w:rPr>
              <w:t>档(</w:t>
            </w:r>
            <w:r>
              <w:rPr>
                <w:rFonts w:hint="eastAsia" w:hAnsi="宋体" w:cs="Times New Roman"/>
                <w:color w:val="auto"/>
                <w:sz w:val="21"/>
                <w:highlight w:val="none"/>
                <w:lang w:val="en-US" w:eastAsia="zh-CN"/>
              </w:rPr>
              <w:t>7.5</w:t>
            </w:r>
            <w:r>
              <w:rPr>
                <w:rFonts w:hint="eastAsia" w:ascii="宋体" w:hAnsi="宋体" w:eastAsia="宋体" w:cs="Times New Roman"/>
                <w:color w:val="auto"/>
                <w:sz w:val="21"/>
                <w:highlight w:val="none"/>
              </w:rPr>
              <w:t>分)</w:t>
            </w:r>
            <w:r>
              <w:rPr>
                <w:rFonts w:hint="eastAsia" w:ascii="宋体" w:hAnsi="宋体" w:eastAsia="宋体" w:cs="Times New Roman"/>
                <w:color w:val="auto"/>
                <w:sz w:val="21"/>
                <w:highlight w:val="none"/>
                <w:lang w:eastAsia="zh-CN"/>
              </w:rPr>
              <w:t>：</w:t>
            </w:r>
            <w:r>
              <w:rPr>
                <w:rFonts w:hint="eastAsia" w:ascii="宋体" w:hAnsi="宋体" w:eastAsia="宋体" w:cs="Times New Roman"/>
                <w:color w:val="auto"/>
                <w:sz w:val="21"/>
                <w:highlight w:val="none"/>
              </w:rPr>
              <w:t>项目实施方案内容详实、逻辑架构清晰，具备完整成套的项目管理体系、具体细化的实施流程、明确的进度排布计划、全流程质量保证措施、完善的风险防范措施（含设备运输、安装专项保障内容）及标准化验收方案，全套方案资料齐全、要素完善，可全面保障项目平稳合规实施。</w:t>
            </w:r>
          </w:p>
          <w:p w14:paraId="19CB82C1">
            <w:pPr>
              <w:pStyle w:val="25"/>
              <w:spacing w:line="360" w:lineRule="auto"/>
              <w:ind w:firstLine="420" w:firstLineChars="200"/>
              <w:rPr>
                <w:rFonts w:hint="eastAsia" w:hAnsi="宋体"/>
                <w:color w:val="auto"/>
                <w:sz w:val="21"/>
                <w:highlight w:val="none"/>
              </w:rPr>
            </w:pPr>
            <w:r>
              <w:rPr>
                <w:rFonts w:hint="eastAsia" w:ascii="宋体" w:hAnsi="宋体" w:eastAsia="宋体" w:cs="Times New Roman"/>
                <w:color w:val="auto"/>
                <w:sz w:val="21"/>
                <w:highlight w:val="none"/>
                <w:lang w:val="en-US" w:eastAsia="zh-CN"/>
              </w:rPr>
              <w:t>四</w:t>
            </w:r>
            <w:r>
              <w:rPr>
                <w:rFonts w:hint="eastAsia" w:ascii="宋体" w:hAnsi="宋体" w:eastAsia="宋体" w:cs="Times New Roman"/>
                <w:color w:val="auto"/>
                <w:sz w:val="21"/>
                <w:highlight w:val="none"/>
              </w:rPr>
              <w:t>档(</w:t>
            </w:r>
            <w:r>
              <w:rPr>
                <w:rFonts w:hint="eastAsia" w:hAnsi="宋体" w:cs="Times New Roman"/>
                <w:color w:val="auto"/>
                <w:sz w:val="21"/>
                <w:highlight w:val="none"/>
                <w:lang w:val="en-US" w:eastAsia="zh-CN"/>
              </w:rPr>
              <w:t>10</w:t>
            </w:r>
            <w:r>
              <w:rPr>
                <w:rFonts w:hint="eastAsia" w:ascii="宋体" w:hAnsi="宋体" w:eastAsia="宋体" w:cs="Times New Roman"/>
                <w:color w:val="auto"/>
                <w:sz w:val="21"/>
                <w:highlight w:val="none"/>
              </w:rPr>
              <w:t>分）</w:t>
            </w:r>
            <w:r>
              <w:rPr>
                <w:rFonts w:hint="eastAsia" w:ascii="宋体" w:hAnsi="宋体" w:eastAsia="宋体" w:cs="Times New Roman"/>
                <w:color w:val="auto"/>
                <w:sz w:val="21"/>
                <w:highlight w:val="none"/>
                <w:lang w:eastAsia="zh-CN"/>
              </w:rPr>
              <w:t>：</w:t>
            </w:r>
            <w:r>
              <w:rPr>
                <w:rFonts w:hint="eastAsia" w:ascii="宋体" w:hAnsi="宋体" w:eastAsia="宋体" w:cs="Times New Roman"/>
                <w:color w:val="auto"/>
                <w:sz w:val="21"/>
                <w:highlight w:val="none"/>
              </w:rPr>
              <w:t>项目实施方案</w:t>
            </w:r>
            <w:r>
              <w:rPr>
                <w:rFonts w:hint="eastAsia" w:ascii="宋体" w:hAnsi="宋体" w:eastAsia="宋体" w:cs="Times New Roman"/>
                <w:color w:val="auto"/>
                <w:sz w:val="21"/>
                <w:highlight w:val="none"/>
                <w:lang w:val="en-US" w:eastAsia="zh-CN"/>
              </w:rPr>
              <w:t>内容详实精准、逻辑严谨闭环，各实施模块高度细化且贴合本项目专属需求，拥有体系完整、权责清晰的项目管理措施，工序化、精细化的实施流程，分阶段、可落地、可管控的全周期进度实施方案，覆盖整个履约周期、全程可执行的完善质量保证方案，包含设备运输安装保障、突发情况应急处置的全维度、详尽风险防控体系，流程合理、标准清晰、可操作性极强的精细化验收方案；项目涉及试剂耗材的，同步提供专项、完善的配送保障方案，整体方案资料完备、针对性极强、落地性突出，可全方位保障项目优质、高效、合规完成全部履约工作</w:t>
            </w:r>
            <w:r>
              <w:rPr>
                <w:rFonts w:hint="eastAsia" w:hAnsi="宋体"/>
                <w:color w:val="auto"/>
                <w:sz w:val="21"/>
                <w:highlight w:val="none"/>
              </w:rPr>
              <w:t>。</w:t>
            </w:r>
          </w:p>
          <w:p w14:paraId="564AA5C8">
            <w:pPr>
              <w:pStyle w:val="25"/>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注：方案</w:t>
            </w:r>
            <w:r>
              <w:rPr>
                <w:rFonts w:hint="eastAsia" w:hAnsi="宋体"/>
                <w:b/>
                <w:bCs/>
                <w:color w:val="auto"/>
                <w:sz w:val="21"/>
                <w:highlight w:val="none"/>
                <w:lang w:val="en-US" w:eastAsia="zh-CN"/>
              </w:rPr>
              <w:t>不满足一档的</w:t>
            </w:r>
            <w:r>
              <w:rPr>
                <w:rFonts w:hint="eastAsia" w:hAnsi="宋体"/>
                <w:b/>
                <w:bCs/>
                <w:color w:val="auto"/>
                <w:sz w:val="21"/>
                <w:highlight w:val="none"/>
              </w:rPr>
              <w:t>不得分。</w:t>
            </w:r>
          </w:p>
        </w:tc>
      </w:tr>
      <w:tr w14:paraId="3A32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62" w:type="dxa"/>
            <w:vMerge w:val="continue"/>
            <w:noWrap w:val="0"/>
            <w:vAlign w:val="center"/>
          </w:tcPr>
          <w:p w14:paraId="040C9EBD">
            <w:pPr>
              <w:adjustRightInd w:val="0"/>
              <w:spacing w:line="360" w:lineRule="auto"/>
              <w:jc w:val="center"/>
              <w:textAlignment w:val="baseline"/>
              <w:rPr>
                <w:rFonts w:hint="eastAsia" w:ascii="宋体" w:hAnsi="宋体" w:cs="宋体"/>
                <w:color w:val="auto"/>
                <w:szCs w:val="21"/>
                <w:highlight w:val="none"/>
              </w:rPr>
            </w:pPr>
          </w:p>
        </w:tc>
        <w:tc>
          <w:tcPr>
            <w:tcW w:w="1585" w:type="dxa"/>
            <w:vMerge w:val="continue"/>
            <w:noWrap w:val="0"/>
            <w:vAlign w:val="center"/>
          </w:tcPr>
          <w:p w14:paraId="306FD1DC">
            <w:pPr>
              <w:adjustRightInd w:val="0"/>
              <w:spacing w:line="360" w:lineRule="auto"/>
              <w:jc w:val="left"/>
              <w:textAlignment w:val="baseline"/>
              <w:rPr>
                <w:rFonts w:hint="eastAsia" w:ascii="宋体" w:hAnsi="宋体"/>
                <w:color w:val="auto"/>
                <w:szCs w:val="21"/>
                <w:highlight w:val="none"/>
              </w:rPr>
            </w:pPr>
          </w:p>
        </w:tc>
        <w:tc>
          <w:tcPr>
            <w:tcW w:w="1701" w:type="dxa"/>
            <w:noWrap w:val="0"/>
            <w:vAlign w:val="center"/>
          </w:tcPr>
          <w:p w14:paraId="4D5A3116">
            <w:pPr>
              <w:adjustRightInd w:val="0"/>
              <w:spacing w:line="360" w:lineRule="auto"/>
              <w:jc w:val="center"/>
              <w:textAlignment w:val="baseline"/>
              <w:rPr>
                <w:rFonts w:hint="eastAsia" w:hAnsi="宋体"/>
                <w:b w:val="0"/>
                <w:bCs w:val="0"/>
                <w:color w:val="auto"/>
                <w:szCs w:val="21"/>
                <w:highlight w:val="none"/>
              </w:rPr>
            </w:pPr>
            <w:r>
              <w:rPr>
                <w:rFonts w:hint="eastAsia" w:hAnsi="宋体"/>
                <w:b w:val="0"/>
                <w:bCs w:val="0"/>
                <w:color w:val="auto"/>
                <w:szCs w:val="21"/>
                <w:highlight w:val="none"/>
              </w:rPr>
              <w:t>培训计划</w:t>
            </w:r>
          </w:p>
          <w:p w14:paraId="17194F04">
            <w:pPr>
              <w:adjustRightInd w:val="0"/>
              <w:spacing w:line="360" w:lineRule="auto"/>
              <w:jc w:val="center"/>
              <w:textAlignment w:val="baseline"/>
              <w:rPr>
                <w:rFonts w:hint="eastAsia" w:ascii="宋体" w:hAnsi="宋体" w:cs="宋体"/>
                <w:color w:val="auto"/>
                <w:szCs w:val="21"/>
                <w:highlight w:val="none"/>
              </w:rPr>
            </w:pPr>
            <w:r>
              <w:rPr>
                <w:rFonts w:hint="eastAsia" w:hAnsi="宋体"/>
                <w:b w:val="0"/>
                <w:bCs w:val="0"/>
                <w:color w:val="auto"/>
                <w:szCs w:val="21"/>
                <w:highlight w:val="none"/>
              </w:rPr>
              <w:t>（满分</w:t>
            </w:r>
            <w:r>
              <w:rPr>
                <w:rFonts w:hint="eastAsia" w:ascii="宋体" w:hAnsi="宋体" w:eastAsia="宋体" w:cs="宋体"/>
                <w:b w:val="0"/>
                <w:bCs w:val="0"/>
                <w:color w:val="auto"/>
                <w:szCs w:val="21"/>
                <w:highlight w:val="none"/>
                <w:lang w:val="en-US" w:eastAsia="zh-CN"/>
              </w:rPr>
              <w:t>6</w:t>
            </w:r>
            <w:r>
              <w:rPr>
                <w:rFonts w:hint="eastAsia" w:hAnsi="宋体"/>
                <w:b w:val="0"/>
                <w:bCs w:val="0"/>
                <w:color w:val="auto"/>
                <w:szCs w:val="21"/>
                <w:highlight w:val="none"/>
              </w:rPr>
              <w:t>分）</w:t>
            </w:r>
          </w:p>
        </w:tc>
        <w:tc>
          <w:tcPr>
            <w:tcW w:w="5660" w:type="dxa"/>
            <w:noWrap w:val="0"/>
            <w:vAlign w:val="center"/>
          </w:tcPr>
          <w:p w14:paraId="66F4AF12">
            <w:pPr>
              <w:pStyle w:val="25"/>
              <w:spacing w:line="360" w:lineRule="auto"/>
              <w:ind w:firstLine="420" w:firstLineChars="200"/>
              <w:rPr>
                <w:rFonts w:hint="eastAsia" w:hAnsi="宋体"/>
                <w:color w:val="auto"/>
                <w:sz w:val="21"/>
                <w:highlight w:val="none"/>
              </w:rPr>
            </w:pPr>
            <w:r>
              <w:rPr>
                <w:rFonts w:hint="eastAsia" w:hAnsi="宋体"/>
                <w:color w:val="auto"/>
                <w:sz w:val="21"/>
                <w:highlight w:val="none"/>
              </w:rPr>
              <w:t xml:space="preserve">评委根据各投标人提供的培训计划进行评审并独立评分。 </w:t>
            </w:r>
          </w:p>
          <w:p w14:paraId="45376F4D">
            <w:pPr>
              <w:pStyle w:val="25"/>
              <w:spacing w:line="360" w:lineRule="auto"/>
              <w:ind w:firstLine="420" w:firstLineChars="200"/>
              <w:rPr>
                <w:rFonts w:hAnsi="宋体"/>
                <w:color w:val="auto"/>
                <w:sz w:val="21"/>
                <w:highlight w:val="none"/>
              </w:rPr>
            </w:pPr>
            <w:r>
              <w:rPr>
                <w:rFonts w:hint="eastAsia" w:hAnsi="宋体"/>
                <w:color w:val="auto"/>
                <w:sz w:val="21"/>
                <w:highlight w:val="none"/>
              </w:rPr>
              <w:t>一档（</w:t>
            </w:r>
            <w:r>
              <w:rPr>
                <w:rFonts w:hint="eastAsia" w:hAnsi="宋体"/>
                <w:color w:val="auto"/>
                <w:sz w:val="21"/>
                <w:highlight w:val="none"/>
                <w:lang w:val="en-US" w:eastAsia="zh-CN"/>
              </w:rPr>
              <w:t>2</w:t>
            </w:r>
            <w:r>
              <w:rPr>
                <w:rFonts w:hint="eastAsia" w:hAnsi="宋体"/>
                <w:color w:val="auto"/>
                <w:sz w:val="21"/>
                <w:highlight w:val="none"/>
              </w:rPr>
              <w:t>分）：提供的培训计划仅为基础性框架内容，仅简单列明设备操作培训课程类别及基础培训内容排布，未细化培训人员配置、培训时长、培训方式、培训重难点等核心要素，内容通用性强、针对性弱，仅满足招标文件最低形式响应要求，无具体落地实施细则，仅可初步体现培训工作安排意向。</w:t>
            </w:r>
          </w:p>
          <w:p w14:paraId="3DF91092">
            <w:pPr>
              <w:pStyle w:val="25"/>
              <w:spacing w:line="360" w:lineRule="auto"/>
              <w:ind w:firstLine="420" w:firstLineChars="200"/>
              <w:rPr>
                <w:rFonts w:hint="eastAsia" w:hAnsi="宋体"/>
                <w:color w:val="auto"/>
                <w:sz w:val="21"/>
                <w:highlight w:val="none"/>
                <w:lang w:eastAsia="zh-CN"/>
              </w:rPr>
            </w:pPr>
            <w:r>
              <w:rPr>
                <w:rFonts w:hint="eastAsia" w:hAnsi="宋体"/>
                <w:color w:val="auto"/>
                <w:sz w:val="21"/>
                <w:highlight w:val="none"/>
              </w:rPr>
              <w:t>二档（</w:t>
            </w:r>
            <w:r>
              <w:rPr>
                <w:rFonts w:hint="eastAsia" w:hAnsi="宋体"/>
                <w:color w:val="auto"/>
                <w:sz w:val="21"/>
                <w:highlight w:val="none"/>
                <w:lang w:val="en-US" w:eastAsia="zh-CN"/>
              </w:rPr>
              <w:t>4</w:t>
            </w:r>
            <w:r>
              <w:rPr>
                <w:rFonts w:hint="eastAsia" w:hAnsi="宋体"/>
                <w:color w:val="auto"/>
                <w:sz w:val="21"/>
                <w:highlight w:val="none"/>
              </w:rPr>
              <w:t>分）</w:t>
            </w:r>
            <w:r>
              <w:rPr>
                <w:rFonts w:hint="eastAsia" w:hAnsi="宋体"/>
                <w:color w:val="auto"/>
                <w:sz w:val="21"/>
                <w:highlight w:val="none"/>
                <w:lang w:eastAsia="zh-CN"/>
              </w:rPr>
              <w:t>：</w:t>
            </w:r>
            <w:r>
              <w:rPr>
                <w:rFonts w:hint="eastAsia" w:hAnsi="宋体"/>
                <w:color w:val="auto"/>
                <w:sz w:val="21"/>
                <w:highlight w:val="none"/>
                <w:lang w:val="en-US" w:eastAsia="zh-CN"/>
              </w:rPr>
              <w:t>投标人培训计划完整响应招标文件基础要求，在一档内容基础上，明确配置专项培训人员、细化完整的培训内容排布，明确约定装机验收完成后开展采购人现场专项培训，培训内容全覆盖设备全功能操作、设备基础维修等核心内容，可保障采购人使用人员熟练掌握设备操作及基础维保技能；整体培训流程清晰、场次及安排规整，具备可落地实施条件，能够全面满足项目基础培训履约需求。</w:t>
            </w:r>
          </w:p>
          <w:p w14:paraId="698FBA71">
            <w:pPr>
              <w:pStyle w:val="25"/>
              <w:spacing w:line="360" w:lineRule="auto"/>
              <w:ind w:firstLine="420" w:firstLineChars="200"/>
              <w:rPr>
                <w:rFonts w:hint="eastAsia" w:hAnsi="宋体" w:eastAsia="宋体"/>
                <w:color w:val="auto"/>
                <w:sz w:val="21"/>
                <w:highlight w:val="none"/>
                <w:lang w:eastAsia="zh-CN"/>
              </w:rPr>
            </w:pPr>
            <w:r>
              <w:rPr>
                <w:rFonts w:hint="eastAsia" w:hAnsi="宋体"/>
                <w:color w:val="auto"/>
                <w:sz w:val="21"/>
                <w:highlight w:val="none"/>
              </w:rPr>
              <w:t>三档（</w:t>
            </w:r>
            <w:r>
              <w:rPr>
                <w:rFonts w:hint="eastAsia" w:hAnsi="宋体"/>
                <w:color w:val="auto"/>
                <w:sz w:val="21"/>
                <w:highlight w:val="none"/>
                <w:lang w:val="en-US" w:eastAsia="zh-CN"/>
              </w:rPr>
              <w:t>6</w:t>
            </w:r>
            <w:r>
              <w:rPr>
                <w:rFonts w:hint="eastAsia" w:hAnsi="宋体"/>
                <w:color w:val="auto"/>
                <w:sz w:val="21"/>
                <w:highlight w:val="none"/>
              </w:rPr>
              <w:t>分）</w:t>
            </w:r>
            <w:r>
              <w:rPr>
                <w:rFonts w:hint="eastAsia" w:hAnsi="宋体"/>
                <w:color w:val="auto"/>
                <w:sz w:val="21"/>
                <w:highlight w:val="none"/>
                <w:lang w:eastAsia="zh-CN"/>
              </w:rPr>
              <w:t>：投标人培训计划优于招标文件基础标准，培训体系完整规范、内容深度细化、贴合项目实际场景，完整细化培训人员配置、专项培训内容、培训实施流程、培训注意事项及培训重难点规划；培训内容形成标准化体系，完整涵盖设备功能理论知识培训、设备实操操作培训、设备常见故障排查与基础维修培训三大核心模块，同步细化设备全流程操作规范、安全管控、操作禁忌等专项指引；方案培训重难点划分清晰、靶向性强、实操价值高，培训逻辑闭环、落地性极强，可精准匹配采购人全员培训需求，完全保障培训工作高质量履约落地。</w:t>
            </w:r>
          </w:p>
          <w:p w14:paraId="40620D4C">
            <w:pPr>
              <w:pStyle w:val="25"/>
              <w:spacing w:line="360" w:lineRule="auto"/>
              <w:ind w:firstLine="422" w:firstLineChars="200"/>
              <w:rPr>
                <w:rFonts w:hint="eastAsia" w:hAnsi="宋体"/>
                <w:b/>
                <w:bCs/>
                <w:color w:val="auto"/>
                <w:sz w:val="21"/>
                <w:highlight w:val="none"/>
              </w:rPr>
            </w:pPr>
            <w:r>
              <w:rPr>
                <w:rFonts w:hint="eastAsia" w:hAnsi="宋体"/>
                <w:b/>
                <w:bCs/>
                <w:color w:val="auto"/>
                <w:sz w:val="21"/>
                <w:highlight w:val="none"/>
              </w:rPr>
              <w:t>注：未提供培训计划或培训计划</w:t>
            </w:r>
            <w:r>
              <w:rPr>
                <w:rFonts w:hint="eastAsia" w:hAnsi="宋体"/>
                <w:b/>
                <w:bCs/>
                <w:color w:val="auto"/>
                <w:sz w:val="21"/>
                <w:highlight w:val="none"/>
                <w:lang w:val="en-US" w:eastAsia="zh-CN"/>
              </w:rPr>
              <w:t>不满足一档的</w:t>
            </w:r>
            <w:r>
              <w:rPr>
                <w:rFonts w:hint="eastAsia" w:hAnsi="宋体"/>
                <w:b/>
                <w:bCs/>
                <w:color w:val="auto"/>
                <w:sz w:val="21"/>
                <w:highlight w:val="none"/>
              </w:rPr>
              <w:t>不得分。</w:t>
            </w:r>
          </w:p>
        </w:tc>
      </w:tr>
      <w:tr w14:paraId="0C6E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62" w:type="dxa"/>
            <w:vMerge w:val="restart"/>
            <w:noWrap w:val="0"/>
            <w:vAlign w:val="center"/>
          </w:tcPr>
          <w:p w14:paraId="5C2FEE4F">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w:t>
            </w:r>
          </w:p>
        </w:tc>
        <w:tc>
          <w:tcPr>
            <w:tcW w:w="1585" w:type="dxa"/>
            <w:vMerge w:val="restart"/>
            <w:noWrap w:val="0"/>
            <w:vAlign w:val="center"/>
          </w:tcPr>
          <w:p w14:paraId="7009D4AA">
            <w:pPr>
              <w:adjustRightInd w:val="0"/>
              <w:spacing w:line="360" w:lineRule="auto"/>
              <w:jc w:val="center"/>
              <w:textAlignment w:val="baseline"/>
              <w:rPr>
                <w:rFonts w:hint="eastAsia" w:ascii="宋体" w:hAnsi="宋体"/>
                <w:bCs/>
                <w:color w:val="auto"/>
                <w:szCs w:val="21"/>
                <w:highlight w:val="none"/>
              </w:rPr>
            </w:pPr>
            <w:r>
              <w:rPr>
                <w:rFonts w:hint="eastAsia" w:ascii="宋体" w:hAnsi="宋体"/>
                <w:bCs/>
                <w:color w:val="auto"/>
                <w:szCs w:val="21"/>
                <w:highlight w:val="none"/>
              </w:rPr>
              <w:t>商务分</w:t>
            </w:r>
          </w:p>
          <w:p w14:paraId="41A03851">
            <w:pPr>
              <w:adjustRightInd w:val="0"/>
              <w:spacing w:line="360" w:lineRule="auto"/>
              <w:jc w:val="center"/>
              <w:textAlignment w:val="baseline"/>
              <w:rPr>
                <w:rFonts w:hint="eastAsia" w:ascii="宋体" w:hAnsi="宋体" w:cs="宋体"/>
                <w:bCs/>
                <w:color w:val="auto"/>
                <w:szCs w:val="21"/>
                <w:highlight w:val="none"/>
              </w:rPr>
            </w:pPr>
            <w:r>
              <w:rPr>
                <w:rFonts w:hint="eastAsia" w:ascii="宋体" w:hAnsi="宋体"/>
                <w:bCs/>
                <w:color w:val="auto"/>
                <w:szCs w:val="21"/>
                <w:highlight w:val="none"/>
              </w:rPr>
              <w:t>（</w:t>
            </w:r>
            <w:r>
              <w:rPr>
                <w:rFonts w:hint="eastAsia" w:ascii="宋体" w:hAnsi="宋体" w:cs="宋体"/>
                <w:bCs/>
                <w:color w:val="auto"/>
                <w:szCs w:val="21"/>
                <w:highlight w:val="none"/>
              </w:rPr>
              <w:t>满分</w:t>
            </w:r>
            <w:r>
              <w:rPr>
                <w:rFonts w:hint="eastAsia" w:ascii="宋体" w:hAnsi="宋体"/>
                <w:bCs/>
                <w:color w:val="auto"/>
                <w:szCs w:val="21"/>
                <w:highlight w:val="none"/>
                <w:lang w:val="en-US" w:eastAsia="zh-CN"/>
              </w:rPr>
              <w:t>12</w:t>
            </w:r>
            <w:r>
              <w:rPr>
                <w:rFonts w:hint="eastAsia" w:ascii="宋体" w:hAnsi="宋体"/>
                <w:bCs/>
                <w:color w:val="auto"/>
                <w:szCs w:val="21"/>
                <w:highlight w:val="none"/>
              </w:rPr>
              <w:t>分）</w:t>
            </w:r>
          </w:p>
        </w:tc>
        <w:tc>
          <w:tcPr>
            <w:tcW w:w="1701" w:type="dxa"/>
            <w:noWrap w:val="0"/>
            <w:vAlign w:val="center"/>
          </w:tcPr>
          <w:p w14:paraId="4F85653B">
            <w:pPr>
              <w:pStyle w:val="25"/>
              <w:spacing w:line="360" w:lineRule="auto"/>
              <w:jc w:val="center"/>
              <w:rPr>
                <w:rFonts w:hint="eastAsia" w:hAnsi="宋体"/>
                <w:color w:val="auto"/>
                <w:sz w:val="21"/>
                <w:highlight w:val="none"/>
              </w:rPr>
            </w:pPr>
            <w:r>
              <w:rPr>
                <w:rFonts w:hint="eastAsia" w:hAnsi="宋体"/>
                <w:color w:val="auto"/>
                <w:sz w:val="21"/>
                <w:highlight w:val="none"/>
              </w:rPr>
              <w:t>售后服务方案</w:t>
            </w:r>
          </w:p>
          <w:p w14:paraId="124E083B">
            <w:pPr>
              <w:pStyle w:val="25"/>
              <w:spacing w:line="360" w:lineRule="auto"/>
              <w:jc w:val="center"/>
              <w:rPr>
                <w:rFonts w:hint="eastAsia" w:ascii="宋体" w:hAnsi="宋体" w:cs="宋体"/>
                <w:bCs/>
                <w:color w:val="auto"/>
                <w:sz w:val="21"/>
                <w:szCs w:val="21"/>
                <w:highlight w:val="none"/>
              </w:rPr>
            </w:pPr>
            <w:r>
              <w:rPr>
                <w:rFonts w:hint="eastAsia" w:hAnsi="宋体"/>
                <w:color w:val="auto"/>
                <w:sz w:val="21"/>
                <w:highlight w:val="none"/>
              </w:rPr>
              <w:t>（满分</w:t>
            </w:r>
            <w:r>
              <w:rPr>
                <w:rFonts w:hint="eastAsia" w:hAnsi="宋体"/>
                <w:color w:val="auto"/>
                <w:sz w:val="21"/>
                <w:highlight w:val="none"/>
                <w:lang w:val="en-US" w:eastAsia="zh-CN"/>
              </w:rPr>
              <w:t>9</w:t>
            </w:r>
            <w:r>
              <w:rPr>
                <w:rFonts w:hint="eastAsia" w:hAnsi="宋体"/>
                <w:color w:val="auto"/>
                <w:sz w:val="21"/>
                <w:highlight w:val="none"/>
              </w:rPr>
              <w:t>分）</w:t>
            </w:r>
          </w:p>
        </w:tc>
        <w:tc>
          <w:tcPr>
            <w:tcW w:w="5660" w:type="dxa"/>
            <w:noWrap w:val="0"/>
            <w:vAlign w:val="center"/>
          </w:tcPr>
          <w:p w14:paraId="0C467CD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评委对投标人售后服务承诺书内容的完整性、可行性，到达故障现场时间、故障出现解决方案、定期维护（注明时间）、保修期（免费软件升级期）外维修方案、本地化售后服务措施、其他优惠措施、</w:t>
            </w:r>
            <w:r>
              <w:rPr>
                <w:rFonts w:hint="eastAsia" w:ascii="宋体" w:hAnsi="宋体" w:cs="宋体"/>
                <w:color w:val="auto"/>
                <w:szCs w:val="21"/>
                <w:highlight w:val="none"/>
                <w:lang w:val="en-US" w:eastAsia="zh-CN"/>
              </w:rPr>
              <w:t>设备</w:t>
            </w:r>
            <w:r>
              <w:rPr>
                <w:rFonts w:hint="eastAsia" w:ascii="宋体" w:hAnsi="宋体" w:cs="宋体"/>
                <w:color w:val="auto"/>
                <w:szCs w:val="21"/>
                <w:highlight w:val="none"/>
              </w:rPr>
              <w:t>安装要求及方案、</w:t>
            </w:r>
            <w:r>
              <w:rPr>
                <w:rFonts w:hint="eastAsia" w:ascii="宋体" w:hAnsi="宋体" w:cs="宋体"/>
                <w:color w:val="auto"/>
                <w:szCs w:val="21"/>
                <w:highlight w:val="none"/>
                <w:lang w:val="en-US" w:eastAsia="zh-CN"/>
              </w:rPr>
              <w:t>试剂耗材售后保障方案、退货方案</w:t>
            </w:r>
            <w:r>
              <w:rPr>
                <w:rFonts w:hint="eastAsia" w:ascii="宋体" w:hAnsi="宋体" w:cs="宋体"/>
                <w:color w:val="auto"/>
                <w:szCs w:val="21"/>
                <w:highlight w:val="none"/>
              </w:rPr>
              <w:t>等方面进行评价，全面考核售后服务内容的可行性、科学性、高效性：</w:t>
            </w:r>
          </w:p>
          <w:p w14:paraId="178B1B38">
            <w:pPr>
              <w:pStyle w:val="9"/>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一档（3分）：投标人质量保证措施及售后服务承诺书基本响应招标文件全部要求，售后体系框架完整，服务规划、保障安排较为具体，可覆盖故障处置、基础维保、现场服务等核心内容，方案具备基础可行性与科学性；售后响应时限、服务承诺均满足招标文件最低标准，各项服务内容、保障举措表述规范、无关键缺项，可保障项目售后工作正常开展；</w:t>
            </w:r>
          </w:p>
          <w:p w14:paraId="1E49DA50">
            <w:pPr>
              <w:keepNext w:val="0"/>
              <w:keepLines w:val="0"/>
              <w:widowControl/>
              <w:suppressLineNumbers w:val="0"/>
              <w:spacing w:line="360" w:lineRule="auto"/>
              <w:ind w:firstLine="420" w:firstLineChars="200"/>
              <w:jc w:val="left"/>
              <w:rPr>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r>
              <w:rPr>
                <w:rFonts w:ascii="宋体" w:hAnsi="宋体" w:eastAsia="宋体" w:cs="宋体"/>
                <w:kern w:val="0"/>
                <w:sz w:val="21"/>
                <w:szCs w:val="21"/>
                <w:highlight w:val="none"/>
                <w:lang w:val="en-US" w:eastAsia="zh-CN" w:bidi="ar"/>
              </w:rPr>
              <w:t>投标人质量保证措施及售后服务承诺书体系完善、要素齐全、安排详实具体，完整覆盖故障现场处置方案、定期维护计划（明确具体维保周期）、保修期及免费软件升级服务、保修期外专项维修方案、本地化售后服务保障、设备安装专项方案、试剂耗材售后保障、退货处置方案等全部评审模块，方案科学合规、落地性强；严格满足硬性时效要求，承诺接到用户报修电话后</w:t>
            </w:r>
            <w:r>
              <w:rPr>
                <w:rStyle w:val="51"/>
                <w:rFonts w:hint="eastAsia" w:ascii="宋体" w:hAnsi="宋体" w:cs="宋体"/>
                <w:kern w:val="0"/>
                <w:sz w:val="21"/>
                <w:szCs w:val="21"/>
                <w:highlight w:val="none"/>
                <w:lang w:val="en-US" w:eastAsia="zh-CN" w:bidi="ar"/>
              </w:rPr>
              <w:t>40分钟</w:t>
            </w:r>
            <w:r>
              <w:rPr>
                <w:rStyle w:val="51"/>
                <w:rFonts w:ascii="宋体" w:hAnsi="宋体" w:eastAsia="宋体" w:cs="宋体"/>
                <w:kern w:val="0"/>
                <w:sz w:val="21"/>
                <w:szCs w:val="21"/>
                <w:highlight w:val="none"/>
                <w:lang w:val="en-US" w:eastAsia="zh-CN" w:bidi="ar"/>
              </w:rPr>
              <w:t>内线上响应、2小时内抵达故障现场、常规故障22小时内完成修复并恢复设备正常使用</w:t>
            </w:r>
            <w:r>
              <w:rPr>
                <w:rFonts w:ascii="宋体" w:hAnsi="宋体" w:eastAsia="宋体" w:cs="宋体"/>
                <w:kern w:val="0"/>
                <w:sz w:val="21"/>
                <w:szCs w:val="21"/>
                <w:highlight w:val="none"/>
                <w:lang w:val="en-US" w:eastAsia="zh-CN" w:bidi="ar"/>
              </w:rPr>
              <w:t>，售后响应及时、保障能力良好，可有效保障设备长期稳定运行。</w:t>
            </w:r>
          </w:p>
          <w:p w14:paraId="73973EDF">
            <w:pPr>
              <w:keepNext w:val="0"/>
              <w:keepLines w:val="0"/>
              <w:widowControl/>
              <w:suppressLineNumbers w:val="0"/>
              <w:spacing w:line="360" w:lineRule="auto"/>
              <w:ind w:firstLine="420" w:firstLineChars="200"/>
              <w:jc w:val="left"/>
              <w:rPr>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r>
              <w:rPr>
                <w:rFonts w:ascii="宋体" w:hAnsi="宋体" w:eastAsia="宋体" w:cs="宋体"/>
                <w:kern w:val="0"/>
                <w:sz w:val="21"/>
                <w:szCs w:val="21"/>
                <w:highlight w:val="none"/>
                <w:lang w:val="en-US" w:eastAsia="zh-CN" w:bidi="ar"/>
              </w:rPr>
              <w:t>投标人质量保证措施及售后服务承诺书全面优于招标文件基础要求，服务体系闭环完善、内容精细详实、针对性极强，全覆盖全部售后评审模块，同时补充专属增值优惠措施，方案科学性、实操性、专业性突出；售后时效指标优于招标标准，明确承诺接到用户报修电话后</w:t>
            </w:r>
            <w:r>
              <w:rPr>
                <w:rStyle w:val="51"/>
                <w:rFonts w:hint="eastAsia" w:ascii="宋体" w:hAnsi="宋体" w:cs="宋体"/>
                <w:kern w:val="0"/>
                <w:sz w:val="21"/>
                <w:szCs w:val="21"/>
                <w:highlight w:val="none"/>
                <w:lang w:val="en-US" w:eastAsia="zh-CN" w:bidi="ar"/>
              </w:rPr>
              <w:t>30分钟</w:t>
            </w:r>
            <w:r>
              <w:rPr>
                <w:rStyle w:val="51"/>
                <w:rFonts w:ascii="宋体" w:hAnsi="宋体" w:eastAsia="宋体" w:cs="宋体"/>
                <w:kern w:val="0"/>
                <w:sz w:val="21"/>
                <w:szCs w:val="21"/>
                <w:highlight w:val="none"/>
                <w:lang w:val="en-US" w:eastAsia="zh-CN" w:bidi="ar"/>
              </w:rPr>
              <w:t>内响应、</w:t>
            </w:r>
            <w:r>
              <w:rPr>
                <w:rStyle w:val="51"/>
                <w:rFonts w:hint="eastAsia" w:ascii="宋体" w:hAnsi="宋体" w:cs="宋体"/>
                <w:kern w:val="0"/>
                <w:sz w:val="21"/>
                <w:szCs w:val="21"/>
                <w:highlight w:val="none"/>
                <w:lang w:val="en-US" w:eastAsia="zh-CN" w:bidi="ar"/>
              </w:rPr>
              <w:t>1.5</w:t>
            </w:r>
            <w:r>
              <w:rPr>
                <w:rStyle w:val="51"/>
                <w:rFonts w:ascii="宋体" w:hAnsi="宋体" w:eastAsia="宋体" w:cs="宋体"/>
                <w:kern w:val="0"/>
                <w:sz w:val="21"/>
                <w:szCs w:val="21"/>
                <w:highlight w:val="none"/>
                <w:lang w:val="en-US" w:eastAsia="zh-CN" w:bidi="ar"/>
              </w:rPr>
              <w:t>小时内抵达故障现场、常规故障20小时内完成修复并恢复设备正常使用</w:t>
            </w:r>
            <w:r>
              <w:rPr>
                <w:rFonts w:ascii="宋体" w:hAnsi="宋体" w:eastAsia="宋体" w:cs="宋体"/>
                <w:kern w:val="0"/>
                <w:sz w:val="21"/>
                <w:szCs w:val="21"/>
                <w:highlight w:val="none"/>
                <w:lang w:val="en-US" w:eastAsia="zh-CN" w:bidi="ar"/>
              </w:rPr>
              <w:t>，修复效率更高、响应保障更高效；本地化服务、定期维保、保外维修、耗材保障、退货预案、设备安装保障等各项措施细化到位、权责清晰、可落地可核查，专属适配本项目长期履约及售后运维需求，全方位保障项目高质量、稳定合规运行。</w:t>
            </w:r>
          </w:p>
          <w:p w14:paraId="65CF193D">
            <w:pPr>
              <w:pStyle w:val="25"/>
              <w:spacing w:line="360" w:lineRule="auto"/>
              <w:ind w:firstLine="422" w:firstLineChars="200"/>
              <w:rPr>
                <w:rFonts w:hint="eastAsia" w:hAnsi="宋体"/>
                <w:bCs/>
                <w:color w:val="auto"/>
                <w:kern w:val="2"/>
                <w:sz w:val="21"/>
                <w:highlight w:val="none"/>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未提供或未满足一档的不得分</w:t>
            </w:r>
            <w:r>
              <w:rPr>
                <w:rFonts w:hint="eastAsia" w:hAnsi="宋体"/>
                <w:b/>
                <w:bCs/>
                <w:color w:val="auto"/>
                <w:sz w:val="21"/>
                <w:highlight w:val="none"/>
              </w:rPr>
              <w:t>。</w:t>
            </w:r>
          </w:p>
        </w:tc>
      </w:tr>
      <w:tr w14:paraId="5CD5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562" w:type="dxa"/>
            <w:vMerge w:val="continue"/>
            <w:noWrap w:val="0"/>
            <w:vAlign w:val="center"/>
          </w:tcPr>
          <w:p w14:paraId="7BE5D126">
            <w:pPr>
              <w:adjustRightInd w:val="0"/>
              <w:spacing w:line="360" w:lineRule="auto"/>
              <w:jc w:val="center"/>
              <w:textAlignment w:val="baseline"/>
              <w:rPr>
                <w:rFonts w:hint="eastAsia" w:ascii="宋体" w:hAnsi="宋体" w:cs="宋体"/>
                <w:color w:val="auto"/>
                <w:szCs w:val="21"/>
                <w:highlight w:val="none"/>
              </w:rPr>
            </w:pPr>
          </w:p>
        </w:tc>
        <w:tc>
          <w:tcPr>
            <w:tcW w:w="1585" w:type="dxa"/>
            <w:vMerge w:val="continue"/>
            <w:noWrap w:val="0"/>
            <w:vAlign w:val="center"/>
          </w:tcPr>
          <w:p w14:paraId="7C8BF36A">
            <w:pPr>
              <w:adjustRightInd w:val="0"/>
              <w:spacing w:line="360" w:lineRule="auto"/>
              <w:jc w:val="center"/>
              <w:textAlignment w:val="baseline"/>
              <w:rPr>
                <w:rFonts w:hint="eastAsia" w:ascii="宋体" w:hAnsi="宋体"/>
                <w:bCs/>
                <w:color w:val="auto"/>
                <w:szCs w:val="21"/>
                <w:highlight w:val="none"/>
              </w:rPr>
            </w:pPr>
          </w:p>
        </w:tc>
        <w:tc>
          <w:tcPr>
            <w:tcW w:w="1701" w:type="dxa"/>
            <w:noWrap w:val="0"/>
            <w:vAlign w:val="center"/>
          </w:tcPr>
          <w:p w14:paraId="5A6B6E57">
            <w:pPr>
              <w:adjustRightInd w:val="0"/>
              <w:spacing w:line="360" w:lineRule="auto"/>
              <w:jc w:val="center"/>
              <w:textAlignment w:val="baseline"/>
              <w:rPr>
                <w:rFonts w:hint="eastAsia" w:ascii="宋体" w:hAnsi="宋体"/>
                <w:bCs/>
                <w:color w:val="auto"/>
                <w:szCs w:val="21"/>
                <w:highlight w:val="none"/>
              </w:rPr>
            </w:pPr>
            <w:r>
              <w:rPr>
                <w:rFonts w:hint="eastAsia" w:ascii="宋体" w:hAnsi="宋体"/>
                <w:bCs/>
                <w:color w:val="auto"/>
                <w:szCs w:val="21"/>
                <w:highlight w:val="none"/>
              </w:rPr>
              <w:t>履约能力分</w:t>
            </w:r>
          </w:p>
          <w:p w14:paraId="4C6CDB84">
            <w:pPr>
              <w:adjustRightInd w:val="0"/>
              <w:spacing w:line="360" w:lineRule="auto"/>
              <w:jc w:val="center"/>
              <w:textAlignment w:val="baseline"/>
              <w:rPr>
                <w:rFonts w:hint="eastAsia" w:ascii="宋体" w:hAnsi="宋体" w:cs="宋体"/>
                <w:bCs/>
                <w:color w:val="auto"/>
                <w:szCs w:val="21"/>
                <w:highlight w:val="none"/>
              </w:rPr>
            </w:pPr>
            <w:r>
              <w:rPr>
                <w:rFonts w:hint="eastAsia" w:ascii="宋体" w:hAnsi="宋体"/>
                <w:bCs/>
                <w:color w:val="auto"/>
                <w:szCs w:val="21"/>
                <w:highlight w:val="none"/>
              </w:rPr>
              <w:t>（</w:t>
            </w:r>
            <w:r>
              <w:rPr>
                <w:rFonts w:hint="eastAsia" w:ascii="宋体" w:hAnsi="宋体" w:cs="宋体"/>
                <w:bCs/>
                <w:color w:val="auto"/>
                <w:szCs w:val="21"/>
                <w:highlight w:val="none"/>
              </w:rPr>
              <w:t>满分</w:t>
            </w:r>
            <w:r>
              <w:rPr>
                <w:rFonts w:hint="eastAsia" w:ascii="宋体" w:hAnsi="宋体"/>
                <w:bCs/>
                <w:color w:val="auto"/>
                <w:szCs w:val="21"/>
                <w:highlight w:val="none"/>
                <w:lang w:val="en-US" w:eastAsia="zh-CN"/>
              </w:rPr>
              <w:t>3</w:t>
            </w:r>
            <w:r>
              <w:rPr>
                <w:rFonts w:hint="eastAsia" w:ascii="宋体" w:hAnsi="宋体"/>
                <w:bCs/>
                <w:color w:val="auto"/>
                <w:szCs w:val="21"/>
                <w:highlight w:val="none"/>
              </w:rPr>
              <w:t>分）</w:t>
            </w:r>
          </w:p>
        </w:tc>
        <w:tc>
          <w:tcPr>
            <w:tcW w:w="5660" w:type="dxa"/>
            <w:noWrap w:val="0"/>
            <w:vAlign w:val="center"/>
          </w:tcPr>
          <w:p w14:paraId="53EE52E6">
            <w:pPr>
              <w:pStyle w:val="9"/>
              <w:spacing w:line="360" w:lineRule="auto"/>
              <w:ind w:firstLine="420" w:firstLineChars="200"/>
              <w:rPr>
                <w:rFonts w:hint="eastAsia" w:ascii="宋体" w:hAnsi="宋体" w:cs="宋体"/>
                <w:bCs/>
                <w:color w:val="auto"/>
                <w:spacing w:val="4"/>
                <w:szCs w:val="21"/>
                <w:highlight w:val="none"/>
              </w:rPr>
            </w:pPr>
            <w:r>
              <w:rPr>
                <w:rFonts w:hint="eastAsia" w:ascii="宋体" w:hAnsi="宋体" w:eastAsia="宋体" w:cs="宋体"/>
                <w:bCs/>
                <w:color w:val="auto"/>
                <w:szCs w:val="21"/>
                <w:highlight w:val="none"/>
              </w:rPr>
              <w:t>投标人</w:t>
            </w:r>
            <w:r>
              <w:rPr>
                <w:rFonts w:hint="eastAsia" w:ascii="宋体" w:hAnsi="宋体" w:eastAsia="宋体" w:cs="宋体"/>
                <w:bCs/>
                <w:color w:val="auto"/>
                <w:szCs w:val="21"/>
                <w:highlight w:val="none"/>
                <w:lang w:val="en-US" w:eastAsia="zh-CN"/>
              </w:rPr>
              <w:t>自</w:t>
            </w:r>
            <w:r>
              <w:rPr>
                <w:rFonts w:hint="eastAsia" w:ascii="宋体" w:hAnsi="宋体" w:eastAsia="宋体" w:cs="宋体"/>
                <w:bCs/>
                <w:color w:val="auto"/>
                <w:szCs w:val="21"/>
                <w:highlight w:val="none"/>
              </w:rPr>
              <w:t>202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年1月1日以来具有同类产品的销售业绩（以中标/成交通知书或签订的销售合同为准，并能清晰反映所销售的货物名称或合同标的，</w:t>
            </w:r>
            <w:r>
              <w:rPr>
                <w:rFonts w:hint="eastAsia" w:ascii="宋体" w:hAnsi="宋体" w:eastAsia="宋体" w:cs="宋体"/>
                <w:color w:val="auto"/>
                <w:szCs w:val="21"/>
                <w:highlight w:val="none"/>
              </w:rPr>
              <w:t>同一项目不得重复计分</w:t>
            </w:r>
            <w:r>
              <w:rPr>
                <w:rFonts w:hint="eastAsia" w:ascii="宋体" w:hAnsi="宋体" w:eastAsia="宋体" w:cs="宋体"/>
                <w:bCs/>
                <w:color w:val="auto"/>
                <w:szCs w:val="21"/>
                <w:highlight w:val="none"/>
              </w:rPr>
              <w:t>），每提供1个业绩得1分，最多得</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分。</w:t>
            </w:r>
          </w:p>
        </w:tc>
      </w:tr>
      <w:tr w14:paraId="2E97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562" w:type="dxa"/>
            <w:noWrap w:val="0"/>
            <w:vAlign w:val="center"/>
          </w:tcPr>
          <w:p w14:paraId="05B54D8D">
            <w:pPr>
              <w:adjustRightInd w:val="0"/>
              <w:spacing w:line="360" w:lineRule="auto"/>
              <w:jc w:val="center"/>
              <w:textAlignment w:val="baseline"/>
              <w:rPr>
                <w:rFonts w:ascii="宋体" w:hAnsi="宋体" w:cs="宋体"/>
                <w:color w:val="auto"/>
                <w:szCs w:val="21"/>
                <w:highlight w:val="none"/>
              </w:rPr>
            </w:pPr>
            <w:r>
              <w:rPr>
                <w:rFonts w:hint="eastAsia" w:ascii="宋体" w:hAnsi="宋体" w:cs="宋体"/>
                <w:color w:val="auto"/>
                <w:szCs w:val="21"/>
                <w:highlight w:val="none"/>
              </w:rPr>
              <w:t>4</w:t>
            </w:r>
          </w:p>
        </w:tc>
        <w:tc>
          <w:tcPr>
            <w:tcW w:w="1585" w:type="dxa"/>
            <w:noWrap w:val="0"/>
            <w:vAlign w:val="center"/>
          </w:tcPr>
          <w:p w14:paraId="6A901AC7">
            <w:pPr>
              <w:adjustRightInd w:val="0"/>
              <w:spacing w:line="360" w:lineRule="auto"/>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政策功能分</w:t>
            </w:r>
          </w:p>
          <w:p w14:paraId="134364C6">
            <w:pPr>
              <w:adjustRightInd w:val="0"/>
              <w:spacing w:line="360" w:lineRule="auto"/>
              <w:jc w:val="center"/>
              <w:textAlignment w:val="baseline"/>
              <w:rPr>
                <w:rFonts w:hint="eastAsia" w:ascii="宋体" w:hAnsi="宋体"/>
                <w:b/>
                <w:color w:val="auto"/>
                <w:szCs w:val="21"/>
                <w:highlight w:val="none"/>
              </w:rPr>
            </w:pPr>
            <w:r>
              <w:rPr>
                <w:rFonts w:hint="eastAsia" w:ascii="宋体" w:hAnsi="宋体" w:cs="宋体"/>
                <w:color w:val="auto"/>
                <w:szCs w:val="21"/>
                <w:highlight w:val="none"/>
              </w:rPr>
              <w:t>（满分2分）</w:t>
            </w:r>
          </w:p>
        </w:tc>
        <w:tc>
          <w:tcPr>
            <w:tcW w:w="7361" w:type="dxa"/>
            <w:gridSpan w:val="2"/>
            <w:noWrap w:val="0"/>
            <w:vAlign w:val="center"/>
          </w:tcPr>
          <w:p w14:paraId="0176C879">
            <w:pPr>
              <w:pStyle w:val="25"/>
              <w:spacing w:line="360" w:lineRule="auto"/>
              <w:ind w:firstLine="420" w:firstLineChars="200"/>
              <w:rPr>
                <w:rFonts w:hint="eastAsia" w:hAnsi="黑体" w:cs="黑体"/>
                <w:bCs/>
                <w:color w:val="auto"/>
                <w:kern w:val="2"/>
                <w:sz w:val="21"/>
                <w:highlight w:val="none"/>
              </w:rPr>
            </w:pPr>
            <w:r>
              <w:rPr>
                <w:rFonts w:hint="eastAsia" w:hAnsi="黑体" w:cs="黑体"/>
                <w:bCs/>
                <w:color w:val="auto"/>
                <w:kern w:val="2"/>
                <w:sz w:val="21"/>
                <w:highlight w:val="none"/>
              </w:rPr>
              <w:t>（1）投标产品中含有列入财政部现行《节能产品政府采购清单》目录内（政府强制采购节能产品除外）优先采购产品并具有效节能产品认证证书的，每项产品得1分（以《节能产品政府采购清单》和有效的节能产品认证证书为准）。满分1分。</w:t>
            </w:r>
          </w:p>
          <w:p w14:paraId="7959FBCD">
            <w:pPr>
              <w:pStyle w:val="25"/>
              <w:spacing w:line="360" w:lineRule="auto"/>
              <w:ind w:firstLine="420" w:firstLineChars="200"/>
              <w:rPr>
                <w:rFonts w:hint="eastAsia" w:hAnsi="宋体" w:cs="Courier New"/>
                <w:bCs/>
                <w:color w:val="auto"/>
                <w:kern w:val="2"/>
                <w:sz w:val="21"/>
                <w:highlight w:val="none"/>
              </w:rPr>
            </w:pPr>
            <w:r>
              <w:rPr>
                <w:rFonts w:hint="eastAsia" w:hAnsi="黑体" w:cs="黑体"/>
                <w:bCs/>
                <w:color w:val="auto"/>
                <w:kern w:val="2"/>
                <w:sz w:val="21"/>
                <w:highlight w:val="none"/>
              </w:rPr>
              <w:t>（2）投标产品中含有列入财政部现行《环境标志产品政府采购品目清单》目录内（政府强制采购节能产品除外）优先采购产品并具有效环境标志产品认证证书的，每项产品得1分（以《环境标志产品政府采购品目清单》和有效的环境标志产品认证证书为准）。满分1分。</w:t>
            </w:r>
          </w:p>
        </w:tc>
      </w:tr>
      <w:tr w14:paraId="4A41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9508" w:type="dxa"/>
            <w:gridSpan w:val="4"/>
            <w:noWrap w:val="0"/>
            <w:vAlign w:val="center"/>
          </w:tcPr>
          <w:p w14:paraId="7DA4A67B">
            <w:pPr>
              <w:pStyle w:val="25"/>
              <w:spacing w:line="360" w:lineRule="auto"/>
              <w:rPr>
                <w:rFonts w:hint="eastAsia" w:hAnsi="宋体" w:cs="Courier New"/>
                <w:bCs/>
                <w:color w:val="auto"/>
                <w:kern w:val="2"/>
                <w:sz w:val="21"/>
                <w:highlight w:val="none"/>
              </w:rPr>
            </w:pPr>
            <w:r>
              <w:rPr>
                <w:rFonts w:hint="eastAsia" w:hAnsi="宋体" w:cs="宋体"/>
                <w:b/>
                <w:bCs/>
                <w:color w:val="auto"/>
                <w:sz w:val="21"/>
                <w:highlight w:val="none"/>
              </w:rPr>
              <w:t>总得分=1+2+3+4</w:t>
            </w:r>
          </w:p>
        </w:tc>
      </w:tr>
    </w:tbl>
    <w:p w14:paraId="3EB02816">
      <w:pPr>
        <w:jc w:val="center"/>
        <w:rPr>
          <w:rFonts w:ascii="宋体" w:hAnsi="宋体" w:cs="宋体"/>
          <w:sz w:val="30"/>
          <w:szCs w:val="30"/>
          <w:highlight w:val="none"/>
        </w:rPr>
      </w:pPr>
      <w:r>
        <w:rPr>
          <w:rFonts w:hint="eastAsia" w:ascii="宋体" w:hAnsi="宋体" w:cs="宋体"/>
          <w:sz w:val="30"/>
          <w:szCs w:val="30"/>
          <w:highlight w:val="none"/>
        </w:rPr>
        <w:t>四、中标候选人推荐原则</w:t>
      </w:r>
    </w:p>
    <w:p w14:paraId="06FEA179">
      <w:pPr>
        <w:pStyle w:val="25"/>
        <w:spacing w:line="360" w:lineRule="auto"/>
        <w:contextualSpacing/>
        <w:rPr>
          <w:rFonts w:hAnsi="宋体" w:cs="宋体"/>
          <w:b/>
          <w:kern w:val="2"/>
          <w:sz w:val="21"/>
          <w:szCs w:val="21"/>
          <w:highlight w:val="none"/>
        </w:rPr>
      </w:pPr>
      <w:r>
        <w:rPr>
          <w:rFonts w:hint="eastAsia" w:hAnsi="宋体" w:cs="宋体"/>
          <w:b/>
          <w:kern w:val="2"/>
          <w:sz w:val="21"/>
          <w:szCs w:val="21"/>
          <w:highlight w:val="none"/>
        </w:rPr>
        <w:t>（一）综合评分法</w:t>
      </w:r>
    </w:p>
    <w:p w14:paraId="71854B63">
      <w:pPr>
        <w:pStyle w:val="25"/>
        <w:spacing w:line="360" w:lineRule="auto"/>
        <w:ind w:firstLine="420" w:firstLineChars="200"/>
        <w:contextualSpacing/>
        <w:rPr>
          <w:rFonts w:hAnsi="宋体" w:cs="宋体"/>
          <w:kern w:val="2"/>
          <w:sz w:val="21"/>
          <w:szCs w:val="21"/>
          <w:highlight w:val="none"/>
        </w:rPr>
      </w:pPr>
      <w:r>
        <w:rPr>
          <w:rFonts w:hint="eastAsia" w:hAnsi="宋体" w:cs="宋体"/>
          <w:kern w:val="2"/>
          <w:sz w:val="21"/>
          <w:szCs w:val="21"/>
          <w:highlight w:val="none"/>
        </w:rPr>
        <w:t>1</w:t>
      </w:r>
      <w:r>
        <w:rPr>
          <w:rFonts w:hAnsi="宋体" w:cs="宋体"/>
          <w:kern w:val="2"/>
          <w:sz w:val="21"/>
          <w:szCs w:val="21"/>
          <w:highlight w:val="none"/>
        </w:rPr>
        <w:t>.</w:t>
      </w:r>
      <w:r>
        <w:rPr>
          <w:rFonts w:hint="eastAsia" w:hAnsi="宋体" w:cs="宋体"/>
          <w:kern w:val="2"/>
          <w:sz w:val="21"/>
          <w:szCs w:val="21"/>
          <w:highlight w:val="none"/>
        </w:rPr>
        <w:t>评标委员会将根据总得分由高到低排列次序并推荐中标候选人。得分相同的，按投标报价由低到高顺序排列。得分且投标报价相同的并列，依次按政策分得分高的优先、技术评分高的优先、商务评分高的优先、</w:t>
      </w:r>
      <w:r>
        <w:rPr>
          <w:rFonts w:hint="eastAsia" w:hAnsi="宋体" w:cs="宋体"/>
          <w:sz w:val="21"/>
          <w:highlight w:val="none"/>
        </w:rPr>
        <w:t>质量保证期</w:t>
      </w:r>
      <w:r>
        <w:rPr>
          <w:rFonts w:hint="eastAsia" w:hAnsi="宋体" w:cs="宋体"/>
          <w:kern w:val="2"/>
          <w:sz w:val="21"/>
          <w:szCs w:val="21"/>
          <w:highlight w:val="none"/>
        </w:rPr>
        <w:t>长优先、交货期短优先、故障响应时间短优先的顺序确定中标候选人。</w:t>
      </w:r>
    </w:p>
    <w:p w14:paraId="42259835">
      <w:pPr>
        <w:pStyle w:val="25"/>
        <w:spacing w:line="360" w:lineRule="auto"/>
        <w:ind w:firstLine="420" w:firstLineChars="200"/>
        <w:contextualSpacing/>
        <w:rPr>
          <w:rFonts w:ascii="宋体" w:hAnsi="宋体" w:eastAsia="宋体" w:cs="宋体"/>
          <w:kern w:val="2"/>
          <w:sz w:val="21"/>
          <w:szCs w:val="21"/>
          <w:highlight w:val="none"/>
        </w:rPr>
      </w:pPr>
      <w:r>
        <w:rPr>
          <w:rFonts w:hint="eastAsia" w:ascii="宋体" w:hAnsi="宋体" w:eastAsia="宋体" w:cs="宋体"/>
          <w:kern w:val="2"/>
          <w:sz w:val="21"/>
          <w:szCs w:val="21"/>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8</w:t>
      </w:r>
      <w:r>
        <w:rPr>
          <w:rFonts w:ascii="宋体" w:hAnsi="宋体" w:eastAsia="宋体" w:cs="宋体"/>
          <w:kern w:val="2"/>
          <w:sz w:val="21"/>
          <w:szCs w:val="21"/>
          <w:highlight w:val="none"/>
        </w:rPr>
        <w:t>.1</w:t>
      </w:r>
      <w:r>
        <w:rPr>
          <w:rFonts w:hint="eastAsia" w:ascii="宋体" w:hAnsi="宋体" w:eastAsia="宋体" w:cs="宋体"/>
          <w:kern w:val="2"/>
          <w:sz w:val="21"/>
          <w:szCs w:val="21"/>
          <w:highlight w:val="none"/>
        </w:rPr>
        <w:t>规定推荐，确定后其他同品牌投标人不作为中标候选人。</w:t>
      </w:r>
    </w:p>
    <w:p w14:paraId="59425FE6">
      <w:pPr>
        <w:pStyle w:val="25"/>
        <w:spacing w:line="360" w:lineRule="auto"/>
        <w:contextualSpacing/>
        <w:rPr>
          <w:rFonts w:hAnsi="宋体"/>
          <w:b/>
          <w:bCs/>
          <w:sz w:val="21"/>
          <w:szCs w:val="21"/>
          <w:highlight w:val="none"/>
        </w:rPr>
      </w:pPr>
      <w:r>
        <w:rPr>
          <w:rFonts w:hint="eastAsia" w:hAnsi="宋体"/>
          <w:b/>
          <w:bCs/>
          <w:sz w:val="21"/>
          <w:szCs w:val="21"/>
          <w:highlight w:val="none"/>
          <w:lang w:eastAsia="zh-CN"/>
        </w:rPr>
        <w:t>（二）</w:t>
      </w:r>
      <w:r>
        <w:rPr>
          <w:rFonts w:hAnsi="宋体"/>
          <w:b/>
          <w:bCs/>
          <w:sz w:val="21"/>
          <w:szCs w:val="21"/>
          <w:highlight w:val="none"/>
        </w:rPr>
        <w:t>最低评标价法</w:t>
      </w:r>
    </w:p>
    <w:p w14:paraId="10DADD5D">
      <w:pPr>
        <w:spacing w:line="360" w:lineRule="auto"/>
        <w:ind w:firstLine="420" w:firstLineChars="200"/>
        <w:rPr>
          <w:szCs w:val="21"/>
          <w:highlight w:val="none"/>
        </w:rPr>
      </w:pPr>
      <w:r>
        <w:rPr>
          <w:rFonts w:hint="eastAsia" w:hAnsi="宋体"/>
          <w:sz w:val="21"/>
          <w:szCs w:val="21"/>
          <w:highlight w:val="none"/>
        </w:rPr>
        <w:t>评标委员会</w:t>
      </w:r>
      <w:r>
        <w:rPr>
          <w:rFonts w:hint="eastAsia" w:ascii="宋体" w:hAnsi="宋体" w:cs="宋体"/>
          <w:sz w:val="21"/>
          <w:szCs w:val="21"/>
          <w:highlight w:val="none"/>
        </w:rPr>
        <w:t>应当从质量和服务均能满足谈判文件实质性响应要求的供应商中，按照评标价由低到高的顺序排列次序并推荐中标候选人。评标价相同时，由</w:t>
      </w:r>
      <w:r>
        <w:rPr>
          <w:rFonts w:hint="eastAsia" w:ascii="宋体" w:hAnsi="宋体" w:cs="宋体"/>
          <w:sz w:val="21"/>
          <w:szCs w:val="21"/>
          <w:highlight w:val="none"/>
          <w:lang w:eastAsia="zh-CN"/>
        </w:rPr>
        <w:t>评标委员会</w:t>
      </w:r>
      <w:r>
        <w:rPr>
          <w:rFonts w:hint="eastAsia" w:ascii="宋体" w:hAnsi="宋体" w:cs="宋体"/>
          <w:sz w:val="21"/>
          <w:szCs w:val="21"/>
          <w:highlight w:val="none"/>
        </w:rPr>
        <w:t>按“供应商须知前附表”第</w:t>
      </w:r>
      <w:r>
        <w:rPr>
          <w:rFonts w:ascii="宋体" w:hAnsi="宋体" w:cs="宋体"/>
          <w:sz w:val="21"/>
          <w:szCs w:val="21"/>
          <w:highlight w:val="none"/>
        </w:rPr>
        <w:t>30.1</w:t>
      </w:r>
      <w:r>
        <w:rPr>
          <w:rFonts w:hint="eastAsia" w:ascii="宋体" w:hAnsi="宋体" w:cs="宋体"/>
          <w:sz w:val="21"/>
          <w:szCs w:val="21"/>
          <w:highlight w:val="none"/>
        </w:rPr>
        <w:t>条规定的顺序</w:t>
      </w:r>
      <w:r>
        <w:rPr>
          <w:rFonts w:hint="eastAsia" w:hAnsi="宋体" w:cs="宋体"/>
          <w:sz w:val="21"/>
          <w:szCs w:val="21"/>
          <w:highlight w:val="none"/>
        </w:rPr>
        <w:t>确定中标候选人</w:t>
      </w:r>
      <w:r>
        <w:rPr>
          <w:rFonts w:hint="eastAsia" w:ascii="宋体" w:hAnsi="宋体" w:cs="宋体"/>
          <w:sz w:val="21"/>
          <w:szCs w:val="21"/>
          <w:highlight w:val="none"/>
        </w:rPr>
        <w:t>。</w:t>
      </w:r>
      <w:bookmarkStart w:id="147" w:name="_Toc74320804"/>
    </w:p>
    <w:p w14:paraId="4AAB09A3">
      <w:pPr>
        <w:rPr>
          <w:rFonts w:hint="eastAsia" w:ascii="宋体" w:hAnsi="宋体" w:cs="宋体"/>
          <w:highlight w:val="none"/>
        </w:rPr>
      </w:pPr>
      <w:r>
        <w:rPr>
          <w:rFonts w:hint="eastAsia" w:ascii="宋体" w:hAnsi="宋体" w:cs="宋体"/>
          <w:highlight w:val="none"/>
        </w:rPr>
        <w:br w:type="page"/>
      </w:r>
    </w:p>
    <w:p w14:paraId="38CBE134">
      <w:pPr>
        <w:pStyle w:val="2"/>
        <w:jc w:val="center"/>
        <w:rPr>
          <w:rFonts w:ascii="宋体" w:hAnsi="宋体" w:cs="宋体"/>
          <w:highlight w:val="none"/>
        </w:rPr>
      </w:pPr>
      <w:bookmarkStart w:id="148" w:name="_Toc27298"/>
      <w:r>
        <w:rPr>
          <w:rFonts w:hint="eastAsia" w:ascii="宋体" w:hAnsi="宋体" w:cs="宋体"/>
          <w:highlight w:val="none"/>
        </w:rPr>
        <w:t>第五章</w:t>
      </w:r>
      <w:r>
        <w:rPr>
          <w:rFonts w:hint="eastAsia" w:ascii="宋体" w:hAnsi="宋体" w:cs="宋体"/>
          <w:highlight w:val="none"/>
          <w:lang w:eastAsia="zh-CN"/>
        </w:rPr>
        <w:t>、</w:t>
      </w:r>
      <w:r>
        <w:rPr>
          <w:rFonts w:hint="eastAsia" w:ascii="宋体" w:hAnsi="宋体" w:cs="宋体"/>
          <w:highlight w:val="none"/>
        </w:rPr>
        <w:t>拟签订的合同文本</w:t>
      </w:r>
      <w:bookmarkEnd w:id="147"/>
      <w:bookmarkEnd w:id="148"/>
    </w:p>
    <w:p w14:paraId="60529CB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小标宋_GBK" w:hAnsi="方正小标宋_GBK" w:eastAsia="方正小标宋_GBK" w:cs="方正小标宋_GBK"/>
          <w:b w:val="0"/>
          <w:bCs/>
          <w:color w:val="auto"/>
          <w:sz w:val="40"/>
          <w:szCs w:val="40"/>
          <w:highlight w:val="none"/>
          <w:lang w:eastAsia="zh-CN"/>
        </w:rPr>
      </w:pPr>
      <w:r>
        <w:rPr>
          <w:rFonts w:hint="eastAsia" w:ascii="方正小标宋_GBK" w:hAnsi="方正小标宋_GBK" w:eastAsia="方正小标宋_GBK" w:cs="方正小标宋_GBK"/>
          <w:b w:val="0"/>
          <w:bCs/>
          <w:color w:val="auto"/>
          <w:sz w:val="40"/>
          <w:szCs w:val="40"/>
          <w:highlight w:val="none"/>
          <w:lang w:eastAsia="zh-CN"/>
        </w:rPr>
        <w:br w:type="page"/>
      </w:r>
    </w:p>
    <w:p w14:paraId="55A594E5">
      <w:pPr>
        <w:spacing w:line="360" w:lineRule="exact"/>
        <w:jc w:val="center"/>
        <w:rPr>
          <w:b/>
          <w:sz w:val="32"/>
          <w:szCs w:val="32"/>
          <w:highlight w:val="none"/>
        </w:rPr>
      </w:pPr>
    </w:p>
    <w:p w14:paraId="2DC2C71C">
      <w:pPr>
        <w:spacing w:line="360" w:lineRule="exact"/>
        <w:jc w:val="center"/>
        <w:rPr>
          <w:b/>
          <w:sz w:val="32"/>
          <w:szCs w:val="32"/>
          <w:highlight w:val="none"/>
        </w:rPr>
      </w:pPr>
    </w:p>
    <w:p w14:paraId="32742BA8">
      <w:pPr>
        <w:spacing w:line="360" w:lineRule="exact"/>
        <w:jc w:val="center"/>
        <w:rPr>
          <w:b/>
          <w:sz w:val="32"/>
          <w:szCs w:val="32"/>
          <w:highlight w:val="none"/>
        </w:rPr>
      </w:pPr>
    </w:p>
    <w:p w14:paraId="32F81D38">
      <w:pPr>
        <w:spacing w:line="360" w:lineRule="exact"/>
        <w:jc w:val="center"/>
        <w:rPr>
          <w:b/>
          <w:sz w:val="32"/>
          <w:szCs w:val="32"/>
          <w:highlight w:val="none"/>
        </w:rPr>
      </w:pPr>
    </w:p>
    <w:p w14:paraId="544FC0D2">
      <w:pPr>
        <w:spacing w:line="360" w:lineRule="exact"/>
        <w:jc w:val="center"/>
        <w:rPr>
          <w:b/>
          <w:sz w:val="32"/>
          <w:szCs w:val="32"/>
          <w:highlight w:val="none"/>
        </w:rPr>
      </w:pPr>
    </w:p>
    <w:p w14:paraId="5A9C467B">
      <w:pPr>
        <w:spacing w:line="360" w:lineRule="exact"/>
        <w:jc w:val="center"/>
        <w:rPr>
          <w:b/>
          <w:sz w:val="32"/>
          <w:szCs w:val="32"/>
          <w:highlight w:val="none"/>
        </w:rPr>
      </w:pPr>
    </w:p>
    <w:p w14:paraId="302E7CDD">
      <w:pPr>
        <w:spacing w:line="360" w:lineRule="exact"/>
        <w:jc w:val="center"/>
        <w:rPr>
          <w:b/>
          <w:sz w:val="32"/>
          <w:szCs w:val="32"/>
          <w:highlight w:val="none"/>
        </w:rPr>
      </w:pPr>
    </w:p>
    <w:p w14:paraId="1B555023">
      <w:pPr>
        <w:spacing w:line="360" w:lineRule="exact"/>
        <w:jc w:val="center"/>
        <w:rPr>
          <w:b/>
          <w:sz w:val="32"/>
          <w:szCs w:val="32"/>
          <w:highlight w:val="none"/>
        </w:rPr>
      </w:pPr>
    </w:p>
    <w:p w14:paraId="1AABB914">
      <w:pPr>
        <w:spacing w:line="360" w:lineRule="auto"/>
        <w:jc w:val="center"/>
        <w:rPr>
          <w:rFonts w:ascii="方正小标宋_GBK" w:hAnsi="方正小标宋_GBK" w:eastAsia="方正小标宋_GBK" w:cs="方正小标宋_GBK"/>
          <w:b/>
          <w:sz w:val="72"/>
          <w:szCs w:val="72"/>
          <w:highlight w:val="none"/>
        </w:rPr>
      </w:pPr>
      <w:r>
        <w:rPr>
          <w:rFonts w:hint="eastAsia" w:ascii="方正小标宋_GBK" w:hAnsi="方正小标宋_GBK" w:eastAsia="方正小标宋_GBK" w:cs="方正小标宋_GBK"/>
          <w:b/>
          <w:sz w:val="72"/>
          <w:szCs w:val="72"/>
          <w:highlight w:val="none"/>
        </w:rPr>
        <w:t>采购合同</w:t>
      </w:r>
    </w:p>
    <w:p w14:paraId="3FC391D3">
      <w:pPr>
        <w:spacing w:line="360" w:lineRule="exact"/>
        <w:jc w:val="center"/>
        <w:rPr>
          <w:b/>
          <w:sz w:val="32"/>
          <w:szCs w:val="32"/>
          <w:highlight w:val="none"/>
        </w:rPr>
      </w:pPr>
    </w:p>
    <w:p w14:paraId="5AB76D45">
      <w:pPr>
        <w:spacing w:line="360" w:lineRule="exact"/>
        <w:jc w:val="center"/>
        <w:rPr>
          <w:b/>
          <w:sz w:val="32"/>
          <w:szCs w:val="32"/>
          <w:highlight w:val="none"/>
        </w:rPr>
      </w:pPr>
    </w:p>
    <w:p w14:paraId="7BA953FB">
      <w:pPr>
        <w:spacing w:line="360" w:lineRule="exact"/>
        <w:jc w:val="center"/>
        <w:rPr>
          <w:b/>
          <w:sz w:val="32"/>
          <w:szCs w:val="32"/>
          <w:highlight w:val="none"/>
        </w:rPr>
      </w:pPr>
    </w:p>
    <w:p w14:paraId="2A242605">
      <w:pPr>
        <w:spacing w:line="360" w:lineRule="exact"/>
        <w:jc w:val="center"/>
        <w:rPr>
          <w:b/>
          <w:sz w:val="32"/>
          <w:szCs w:val="32"/>
          <w:highlight w:val="none"/>
        </w:rPr>
      </w:pPr>
    </w:p>
    <w:p w14:paraId="34554C51">
      <w:pPr>
        <w:spacing w:line="360" w:lineRule="exact"/>
        <w:jc w:val="center"/>
        <w:rPr>
          <w:b/>
          <w:sz w:val="32"/>
          <w:szCs w:val="32"/>
          <w:highlight w:val="none"/>
        </w:rPr>
      </w:pPr>
    </w:p>
    <w:p w14:paraId="74828E2D">
      <w:pPr>
        <w:spacing w:line="360" w:lineRule="exact"/>
        <w:jc w:val="center"/>
        <w:rPr>
          <w:b/>
          <w:sz w:val="32"/>
          <w:szCs w:val="32"/>
          <w:highlight w:val="none"/>
        </w:rPr>
      </w:pPr>
    </w:p>
    <w:p w14:paraId="37053FF5">
      <w:pPr>
        <w:spacing w:line="360" w:lineRule="exact"/>
        <w:jc w:val="center"/>
        <w:rPr>
          <w:b/>
          <w:sz w:val="32"/>
          <w:szCs w:val="32"/>
          <w:highlight w:val="none"/>
        </w:rPr>
      </w:pPr>
    </w:p>
    <w:p w14:paraId="7E7E145E">
      <w:pPr>
        <w:spacing w:line="360" w:lineRule="exact"/>
        <w:jc w:val="center"/>
        <w:rPr>
          <w:b/>
          <w:sz w:val="32"/>
          <w:szCs w:val="32"/>
          <w:highlight w:val="none"/>
        </w:rPr>
      </w:pPr>
    </w:p>
    <w:p w14:paraId="023C91C3">
      <w:pPr>
        <w:spacing w:line="360" w:lineRule="exact"/>
        <w:jc w:val="center"/>
        <w:rPr>
          <w:b/>
          <w:sz w:val="32"/>
          <w:szCs w:val="32"/>
          <w:highlight w:val="none"/>
        </w:rPr>
      </w:pPr>
    </w:p>
    <w:p w14:paraId="4AD1C421">
      <w:pPr>
        <w:spacing w:line="360" w:lineRule="exact"/>
        <w:ind w:firstLine="643" w:firstLineChars="200"/>
        <w:jc w:val="center"/>
        <w:rPr>
          <w:b/>
          <w:sz w:val="32"/>
          <w:szCs w:val="32"/>
          <w:highlight w:val="none"/>
        </w:rPr>
      </w:pPr>
    </w:p>
    <w:p w14:paraId="019B6545">
      <w:pPr>
        <w:spacing w:line="360" w:lineRule="exact"/>
        <w:ind w:firstLine="643" w:firstLineChars="200"/>
        <w:jc w:val="center"/>
        <w:rPr>
          <w:b/>
          <w:sz w:val="32"/>
          <w:szCs w:val="32"/>
          <w:highlight w:val="none"/>
        </w:rPr>
      </w:pPr>
    </w:p>
    <w:p w14:paraId="12509F38">
      <w:pPr>
        <w:spacing w:line="360" w:lineRule="exact"/>
        <w:ind w:firstLine="643" w:firstLineChars="200"/>
        <w:rPr>
          <w:b/>
          <w:sz w:val="32"/>
          <w:szCs w:val="32"/>
          <w:highlight w:val="none"/>
          <w:u w:val="none"/>
        </w:rPr>
      </w:pPr>
      <w:r>
        <w:rPr>
          <w:rFonts w:hint="eastAsia"/>
          <w:b/>
          <w:sz w:val="32"/>
          <w:szCs w:val="32"/>
          <w:highlight w:val="none"/>
        </w:rPr>
        <w:t>采购单位名称：</w:t>
      </w:r>
      <w:r>
        <w:rPr>
          <w:rFonts w:hint="eastAsia"/>
          <w:b/>
          <w:sz w:val="32"/>
          <w:szCs w:val="32"/>
          <w:highlight w:val="none"/>
          <w:u w:val="none"/>
          <w:lang w:eastAsia="zh-CN"/>
        </w:rPr>
        <w:t>桂林市妇女儿童医院（桂林市妇幼保健院）</w:t>
      </w:r>
    </w:p>
    <w:p w14:paraId="4BF23946">
      <w:pPr>
        <w:spacing w:line="360" w:lineRule="exact"/>
        <w:ind w:firstLine="643" w:firstLineChars="200"/>
        <w:rPr>
          <w:b/>
          <w:sz w:val="32"/>
          <w:szCs w:val="32"/>
          <w:highlight w:val="none"/>
          <w:u w:val="single"/>
        </w:rPr>
      </w:pPr>
    </w:p>
    <w:p w14:paraId="73F9B7B2">
      <w:pPr>
        <w:spacing w:line="360" w:lineRule="exact"/>
        <w:ind w:firstLine="643" w:firstLineChars="200"/>
        <w:rPr>
          <w:b/>
          <w:sz w:val="32"/>
          <w:szCs w:val="32"/>
          <w:highlight w:val="none"/>
        </w:rPr>
      </w:pPr>
    </w:p>
    <w:p w14:paraId="55391395">
      <w:pPr>
        <w:spacing w:line="360" w:lineRule="exact"/>
        <w:ind w:firstLine="643" w:firstLineChars="200"/>
        <w:rPr>
          <w:b/>
          <w:sz w:val="32"/>
          <w:szCs w:val="32"/>
          <w:highlight w:val="none"/>
          <w:u w:val="single"/>
        </w:rPr>
      </w:pPr>
      <w:r>
        <w:rPr>
          <w:rFonts w:hint="eastAsia"/>
          <w:b/>
          <w:sz w:val="32"/>
          <w:szCs w:val="32"/>
          <w:highlight w:val="none"/>
        </w:rPr>
        <w:t>供应单位名称：</w:t>
      </w:r>
    </w:p>
    <w:p w14:paraId="2FC46D65">
      <w:pPr>
        <w:spacing w:line="360" w:lineRule="exact"/>
        <w:jc w:val="center"/>
        <w:rPr>
          <w:b/>
          <w:sz w:val="32"/>
          <w:szCs w:val="32"/>
          <w:highlight w:val="none"/>
        </w:rPr>
      </w:pPr>
    </w:p>
    <w:p w14:paraId="2F95535D">
      <w:pPr>
        <w:spacing w:line="360" w:lineRule="exact"/>
        <w:jc w:val="center"/>
        <w:rPr>
          <w:b/>
          <w:sz w:val="32"/>
          <w:szCs w:val="32"/>
          <w:highlight w:val="none"/>
        </w:rPr>
      </w:pPr>
    </w:p>
    <w:p w14:paraId="73694EB0">
      <w:pPr>
        <w:spacing w:line="360" w:lineRule="exact"/>
        <w:jc w:val="center"/>
        <w:rPr>
          <w:b/>
          <w:sz w:val="32"/>
          <w:szCs w:val="32"/>
          <w:highlight w:val="none"/>
        </w:rPr>
      </w:pPr>
    </w:p>
    <w:p w14:paraId="0F9123B2">
      <w:pPr>
        <w:spacing w:line="360" w:lineRule="exact"/>
        <w:jc w:val="center"/>
        <w:rPr>
          <w:b/>
          <w:sz w:val="32"/>
          <w:szCs w:val="32"/>
          <w:highlight w:val="none"/>
        </w:rPr>
      </w:pPr>
    </w:p>
    <w:p w14:paraId="4B15FF02">
      <w:pPr>
        <w:spacing w:line="360" w:lineRule="exact"/>
        <w:jc w:val="center"/>
        <w:rPr>
          <w:b/>
          <w:sz w:val="32"/>
          <w:szCs w:val="32"/>
          <w:highlight w:val="none"/>
        </w:rPr>
      </w:pPr>
    </w:p>
    <w:p w14:paraId="41112EF4">
      <w:pPr>
        <w:spacing w:line="360" w:lineRule="exact"/>
        <w:jc w:val="center"/>
        <w:rPr>
          <w:b/>
          <w:sz w:val="32"/>
          <w:szCs w:val="32"/>
          <w:highlight w:val="none"/>
        </w:rPr>
      </w:pPr>
    </w:p>
    <w:p w14:paraId="416BCAE4">
      <w:pPr>
        <w:spacing w:line="360" w:lineRule="exact"/>
        <w:jc w:val="center"/>
        <w:rPr>
          <w:b/>
          <w:sz w:val="32"/>
          <w:szCs w:val="32"/>
          <w:highlight w:val="none"/>
        </w:rPr>
      </w:pPr>
    </w:p>
    <w:p w14:paraId="55E41425">
      <w:pPr>
        <w:spacing w:line="360" w:lineRule="exact"/>
        <w:jc w:val="center"/>
        <w:rPr>
          <w:b/>
          <w:sz w:val="32"/>
          <w:szCs w:val="32"/>
          <w:highlight w:val="none"/>
        </w:rPr>
      </w:pPr>
    </w:p>
    <w:p w14:paraId="58155037">
      <w:pPr>
        <w:spacing w:line="360" w:lineRule="exact"/>
        <w:jc w:val="center"/>
        <w:rPr>
          <w:b/>
          <w:sz w:val="32"/>
          <w:szCs w:val="32"/>
          <w:highlight w:val="none"/>
        </w:rPr>
      </w:pPr>
    </w:p>
    <w:p w14:paraId="6FEE2C95">
      <w:pPr>
        <w:spacing w:line="360" w:lineRule="exact"/>
        <w:jc w:val="center"/>
        <w:rPr>
          <w:b/>
          <w:sz w:val="32"/>
          <w:szCs w:val="32"/>
          <w:highlight w:val="none"/>
        </w:rPr>
      </w:pPr>
    </w:p>
    <w:p w14:paraId="58F1D1A8">
      <w:pPr>
        <w:spacing w:line="360" w:lineRule="exact"/>
        <w:rPr>
          <w:b/>
          <w:sz w:val="32"/>
          <w:szCs w:val="32"/>
          <w:highlight w:val="none"/>
        </w:rPr>
      </w:pPr>
    </w:p>
    <w:p w14:paraId="4A2AE3EA">
      <w:pPr>
        <w:spacing w:line="360" w:lineRule="exact"/>
        <w:rPr>
          <w:b/>
          <w:sz w:val="32"/>
          <w:szCs w:val="32"/>
          <w:highlight w:val="none"/>
        </w:rPr>
      </w:pPr>
    </w:p>
    <w:p w14:paraId="45EA953B">
      <w:pPr>
        <w:spacing w:line="360" w:lineRule="auto"/>
        <w:jc w:val="center"/>
        <w:rPr>
          <w:b/>
          <w:sz w:val="44"/>
          <w:szCs w:val="44"/>
          <w:highlight w:val="none"/>
        </w:rPr>
      </w:pPr>
      <w:r>
        <w:rPr>
          <w:rFonts w:hint="eastAsia"/>
          <w:b/>
          <w:sz w:val="44"/>
          <w:szCs w:val="44"/>
          <w:highlight w:val="none"/>
        </w:rPr>
        <w:t>合同</w:t>
      </w:r>
    </w:p>
    <w:p w14:paraId="6C4E2842">
      <w:pPr>
        <w:spacing w:line="360" w:lineRule="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项目编号：</w:t>
      </w:r>
    </w:p>
    <w:p w14:paraId="3599DEF0">
      <w:pPr>
        <w:spacing w:line="360" w:lineRule="auto"/>
        <w:rPr>
          <w:rFonts w:hint="eastAsia" w:ascii="宋体" w:hAnsi="宋体" w:eastAsia="宋体" w:cs="宋体"/>
          <w:b/>
          <w:bCs/>
          <w:szCs w:val="21"/>
          <w:highlight w:val="none"/>
          <w:lang w:val="en-US" w:eastAsia="zh-CN"/>
        </w:rPr>
      </w:pPr>
      <w:r>
        <w:rPr>
          <w:rFonts w:hint="eastAsia" w:ascii="宋体" w:hAnsi="宋体" w:cs="宋体"/>
          <w:b/>
          <w:bCs/>
          <w:szCs w:val="21"/>
          <w:highlight w:val="none"/>
          <w:lang w:val="en-US" w:eastAsia="zh-CN"/>
        </w:rPr>
        <w:t>标项：</w:t>
      </w:r>
    </w:p>
    <w:p w14:paraId="1ACF7DD1">
      <w:pPr>
        <w:spacing w:line="360" w:lineRule="auto"/>
        <w:rPr>
          <w:rFonts w:hint="eastAsia" w:ascii="宋体" w:hAnsi="宋体" w:cs="宋体"/>
          <w:b/>
          <w:bCs/>
          <w:szCs w:val="21"/>
          <w:highlight w:val="none"/>
          <w:u w:val="single"/>
        </w:rPr>
      </w:pPr>
      <w:r>
        <w:rPr>
          <w:rFonts w:hint="eastAsia" w:ascii="宋体" w:hAnsi="宋体" w:cs="宋体"/>
          <w:b/>
          <w:bCs/>
          <w:szCs w:val="21"/>
          <w:highlight w:val="none"/>
        </w:rPr>
        <w:t>甲方：</w:t>
      </w:r>
      <w:r>
        <w:rPr>
          <w:rFonts w:hint="eastAsia" w:ascii="宋体" w:hAnsi="宋体" w:cs="宋体"/>
          <w:b/>
          <w:bCs/>
          <w:szCs w:val="21"/>
          <w:highlight w:val="none"/>
          <w:lang w:eastAsia="zh-CN"/>
        </w:rPr>
        <w:t>桂林市妇女儿童医院（桂林市妇幼保健院）</w:t>
      </w:r>
      <w:r>
        <w:rPr>
          <w:rFonts w:hint="eastAsia" w:ascii="宋体" w:hAnsi="宋体" w:cs="宋体"/>
          <w:b/>
          <w:bCs/>
          <w:szCs w:val="21"/>
          <w:highlight w:val="none"/>
        </w:rPr>
        <w:t>(采购人)</w:t>
      </w:r>
    </w:p>
    <w:p w14:paraId="03A4B27B">
      <w:pPr>
        <w:spacing w:line="360" w:lineRule="auto"/>
        <w:rPr>
          <w:rFonts w:hint="eastAsia" w:ascii="宋体" w:hAnsi="宋体" w:cs="宋体"/>
          <w:b/>
          <w:bCs/>
          <w:szCs w:val="21"/>
          <w:highlight w:val="none"/>
        </w:rPr>
      </w:pPr>
      <w:r>
        <w:rPr>
          <w:rFonts w:hint="eastAsia" w:ascii="宋体" w:hAnsi="宋体" w:cs="宋体"/>
          <w:b/>
          <w:bCs/>
          <w:szCs w:val="21"/>
          <w:highlight w:val="none"/>
        </w:rPr>
        <w:t>乙方：（成交供应商）</w:t>
      </w:r>
    </w:p>
    <w:p w14:paraId="72E10E22">
      <w:pPr>
        <w:spacing w:line="360" w:lineRule="auto"/>
        <w:rPr>
          <w:rFonts w:hint="eastAsia" w:ascii="宋体" w:hAnsi="宋体" w:cs="宋体"/>
          <w:szCs w:val="21"/>
          <w:highlight w:val="none"/>
        </w:rPr>
      </w:pPr>
    </w:p>
    <w:p w14:paraId="62F9F1D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根据《中华人民共和国民法典》等法律、法规规定，按照本项目招标文件（以下简称招标文件）、投标文件规定条款和中标人的承诺、甲乙双方签订本合同。</w:t>
      </w:r>
    </w:p>
    <w:p w14:paraId="243F8600">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第一条　合同标的</w:t>
      </w:r>
    </w:p>
    <w:p w14:paraId="2930F9AA">
      <w:pPr>
        <w:pStyle w:val="21"/>
        <w:spacing w:line="360" w:lineRule="auto"/>
        <w:ind w:firstLine="422" w:firstLineChars="200"/>
        <w:rPr>
          <w:rFonts w:hint="eastAsia" w:ascii="宋体" w:hAnsi="宋体" w:cs="宋体"/>
          <w:sz w:val="21"/>
          <w:szCs w:val="21"/>
          <w:highlight w:val="none"/>
        </w:rPr>
      </w:pPr>
      <w:r>
        <w:rPr>
          <w:rFonts w:hint="eastAsia" w:ascii="宋体" w:hAnsi="宋体" w:cs="宋体"/>
          <w:b/>
          <w:sz w:val="21"/>
          <w:szCs w:val="21"/>
          <w:highlight w:val="none"/>
        </w:rPr>
        <w:t>1.供货一览表</w:t>
      </w:r>
    </w:p>
    <w:tbl>
      <w:tblPr>
        <w:tblStyle w:val="48"/>
        <w:tblW w:w="103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1477"/>
        <w:gridCol w:w="1976"/>
        <w:gridCol w:w="1468"/>
        <w:gridCol w:w="1056"/>
        <w:gridCol w:w="718"/>
        <w:gridCol w:w="1535"/>
        <w:gridCol w:w="1565"/>
      </w:tblGrid>
      <w:tr w14:paraId="1D06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49" w:type="dxa"/>
            <w:tcBorders>
              <w:top w:val="single" w:color="auto" w:sz="4" w:space="0"/>
              <w:left w:val="single" w:color="auto" w:sz="4" w:space="0"/>
              <w:bottom w:val="single" w:color="auto" w:sz="4" w:space="0"/>
              <w:right w:val="single" w:color="auto" w:sz="4" w:space="0"/>
            </w:tcBorders>
            <w:noWrap w:val="0"/>
            <w:vAlign w:val="center"/>
          </w:tcPr>
          <w:p w14:paraId="77603E89">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项号</w:t>
            </w:r>
          </w:p>
        </w:tc>
        <w:tc>
          <w:tcPr>
            <w:tcW w:w="1492" w:type="dxa"/>
            <w:tcBorders>
              <w:top w:val="single" w:color="auto" w:sz="4" w:space="0"/>
              <w:left w:val="single" w:color="auto" w:sz="4" w:space="0"/>
              <w:bottom w:val="single" w:color="auto" w:sz="4" w:space="0"/>
              <w:right w:val="single" w:color="auto" w:sz="4" w:space="0"/>
            </w:tcBorders>
            <w:noWrap w:val="0"/>
            <w:vAlign w:val="center"/>
          </w:tcPr>
          <w:p w14:paraId="5027436A">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货物名称</w:t>
            </w:r>
          </w:p>
        </w:tc>
        <w:tc>
          <w:tcPr>
            <w:tcW w:w="1995" w:type="dxa"/>
            <w:tcBorders>
              <w:top w:val="single" w:color="auto" w:sz="4" w:space="0"/>
              <w:left w:val="single" w:color="auto" w:sz="4" w:space="0"/>
              <w:bottom w:val="single" w:color="auto" w:sz="4" w:space="0"/>
              <w:right w:val="single" w:color="auto" w:sz="4" w:space="0"/>
            </w:tcBorders>
            <w:noWrap w:val="0"/>
            <w:vAlign w:val="center"/>
          </w:tcPr>
          <w:p w14:paraId="5E11AE72">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厂家、品牌、规格型号</w:t>
            </w:r>
          </w:p>
        </w:tc>
        <w:tc>
          <w:tcPr>
            <w:tcW w:w="1483" w:type="dxa"/>
            <w:tcBorders>
              <w:top w:val="single" w:color="auto" w:sz="4" w:space="0"/>
              <w:left w:val="single" w:color="auto" w:sz="4" w:space="0"/>
              <w:bottom w:val="single" w:color="auto" w:sz="4" w:space="0"/>
              <w:right w:val="single" w:color="auto" w:sz="4" w:space="0"/>
            </w:tcBorders>
            <w:noWrap w:val="0"/>
            <w:vAlign w:val="center"/>
          </w:tcPr>
          <w:p w14:paraId="63BC0CA8">
            <w:pPr>
              <w:snapToGrid w:val="0"/>
              <w:spacing w:line="360" w:lineRule="auto"/>
              <w:jc w:val="center"/>
              <w:rPr>
                <w:rFonts w:hint="eastAsia" w:ascii="宋体" w:hAnsi="宋体" w:cs="宋体"/>
                <w:bCs/>
                <w:szCs w:val="21"/>
                <w:highlight w:val="none"/>
              </w:rPr>
            </w:pPr>
            <w:r>
              <w:rPr>
                <w:rFonts w:hint="eastAsia" w:ascii="宋体" w:hAnsi="宋体" w:cs="宋体"/>
                <w:bCs/>
                <w:szCs w:val="21"/>
                <w:highlight w:val="none"/>
              </w:rPr>
              <w:t>器械注册证号</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09EE684">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数量</w:t>
            </w:r>
          </w:p>
          <w:p w14:paraId="3B73AE63">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①</w:t>
            </w:r>
          </w:p>
        </w:tc>
        <w:tc>
          <w:tcPr>
            <w:tcW w:w="722" w:type="dxa"/>
            <w:tcBorders>
              <w:top w:val="single" w:color="auto" w:sz="4" w:space="0"/>
              <w:left w:val="single" w:color="auto" w:sz="4" w:space="0"/>
              <w:bottom w:val="single" w:color="auto" w:sz="4" w:space="0"/>
              <w:right w:val="single" w:color="auto" w:sz="4" w:space="0"/>
            </w:tcBorders>
            <w:noWrap w:val="0"/>
            <w:vAlign w:val="center"/>
          </w:tcPr>
          <w:p w14:paraId="449F0FA1">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单位</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43A2B63">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单价（元）</w:t>
            </w:r>
          </w:p>
          <w:p w14:paraId="57E77B89">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②</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B181526">
            <w:pPr>
              <w:snapToGrid w:val="0"/>
              <w:spacing w:line="360" w:lineRule="auto"/>
              <w:jc w:val="center"/>
              <w:rPr>
                <w:rFonts w:hint="eastAsia" w:ascii="宋体" w:hAnsi="宋体" w:cs="宋体"/>
                <w:szCs w:val="21"/>
                <w:highlight w:val="none"/>
              </w:rPr>
            </w:pPr>
            <w:r>
              <w:rPr>
                <w:rFonts w:hint="eastAsia" w:ascii="宋体" w:hAnsi="宋体" w:cs="宋体"/>
                <w:b/>
                <w:szCs w:val="21"/>
                <w:highlight w:val="none"/>
              </w:rPr>
              <w:t>单项合计金额</w:t>
            </w:r>
            <w:r>
              <w:rPr>
                <w:rFonts w:hint="eastAsia" w:ascii="宋体" w:hAnsi="宋体" w:cs="宋体"/>
                <w:szCs w:val="21"/>
                <w:highlight w:val="none"/>
              </w:rPr>
              <w:t>（元）</w:t>
            </w:r>
          </w:p>
          <w:p w14:paraId="7EE3B809">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③＝①×②</w:t>
            </w:r>
          </w:p>
        </w:tc>
      </w:tr>
      <w:tr w14:paraId="1EAF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49" w:type="dxa"/>
            <w:tcBorders>
              <w:top w:val="single" w:color="auto" w:sz="4" w:space="0"/>
              <w:left w:val="single" w:color="auto" w:sz="4" w:space="0"/>
              <w:bottom w:val="single" w:color="auto" w:sz="4" w:space="0"/>
              <w:right w:val="single" w:color="auto" w:sz="4" w:space="0"/>
            </w:tcBorders>
            <w:noWrap w:val="0"/>
            <w:vAlign w:val="center"/>
          </w:tcPr>
          <w:p w14:paraId="3DB946D7">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1492" w:type="dxa"/>
            <w:tcBorders>
              <w:top w:val="single" w:color="auto" w:sz="4" w:space="0"/>
              <w:left w:val="single" w:color="auto" w:sz="4" w:space="0"/>
              <w:bottom w:val="single" w:color="auto" w:sz="4" w:space="0"/>
              <w:right w:val="single" w:color="auto" w:sz="4" w:space="0"/>
            </w:tcBorders>
            <w:noWrap w:val="0"/>
            <w:vAlign w:val="center"/>
          </w:tcPr>
          <w:p w14:paraId="7BD94AD0">
            <w:pPr>
              <w:snapToGrid w:val="0"/>
              <w:spacing w:line="360" w:lineRule="auto"/>
              <w:jc w:val="center"/>
              <w:rPr>
                <w:rFonts w:hint="eastAsia" w:ascii="宋体" w:hAnsi="宋体" w:cs="宋体"/>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72DE942A">
            <w:pPr>
              <w:snapToGrid w:val="0"/>
              <w:spacing w:line="360" w:lineRule="auto"/>
              <w:jc w:val="center"/>
              <w:rPr>
                <w:rFonts w:hint="eastAsia" w:ascii="宋体" w:hAnsi="宋体" w:cs="宋体"/>
                <w:szCs w:val="21"/>
                <w:highlight w:val="none"/>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588D099A">
            <w:pPr>
              <w:snapToGrid w:val="0"/>
              <w:spacing w:line="360" w:lineRule="auto"/>
              <w:jc w:val="center"/>
              <w:rPr>
                <w:rFonts w:hint="eastAsia" w:ascii="宋体" w:hAnsi="宋体" w:cs="宋体"/>
                <w:bCs/>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A03FA22">
            <w:pPr>
              <w:snapToGrid w:val="0"/>
              <w:spacing w:line="360" w:lineRule="auto"/>
              <w:jc w:val="center"/>
              <w:rPr>
                <w:rFonts w:hint="eastAsia" w:ascii="宋体" w:hAnsi="宋体" w:cs="宋体"/>
                <w:szCs w:val="21"/>
                <w:highlight w:val="none"/>
              </w:rPr>
            </w:pPr>
          </w:p>
        </w:tc>
        <w:tc>
          <w:tcPr>
            <w:tcW w:w="722" w:type="dxa"/>
            <w:tcBorders>
              <w:top w:val="single" w:color="auto" w:sz="4" w:space="0"/>
              <w:left w:val="single" w:color="auto" w:sz="4" w:space="0"/>
              <w:bottom w:val="single" w:color="auto" w:sz="4" w:space="0"/>
              <w:right w:val="single" w:color="auto" w:sz="4" w:space="0"/>
            </w:tcBorders>
            <w:noWrap w:val="0"/>
            <w:vAlign w:val="center"/>
          </w:tcPr>
          <w:p w14:paraId="1343D414">
            <w:pPr>
              <w:snapToGrid w:val="0"/>
              <w:spacing w:line="360" w:lineRule="auto"/>
              <w:jc w:val="center"/>
              <w:rPr>
                <w:rFonts w:hint="eastAsia" w:ascii="宋体" w:hAnsi="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2CF47355">
            <w:pPr>
              <w:snapToGrid w:val="0"/>
              <w:spacing w:line="360" w:lineRule="auto"/>
              <w:jc w:val="center"/>
              <w:rPr>
                <w:rFonts w:hint="eastAsia" w:ascii="宋体" w:hAnsi="宋体" w:cs="宋体"/>
                <w:szCs w:val="21"/>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18EABCB">
            <w:pPr>
              <w:snapToGrid w:val="0"/>
              <w:spacing w:line="360" w:lineRule="auto"/>
              <w:jc w:val="center"/>
              <w:rPr>
                <w:rFonts w:hint="eastAsia" w:ascii="宋体" w:hAnsi="宋体" w:cs="宋体"/>
                <w:szCs w:val="21"/>
                <w:highlight w:val="none"/>
              </w:rPr>
            </w:pPr>
          </w:p>
        </w:tc>
      </w:tr>
      <w:tr w14:paraId="1622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49" w:type="dxa"/>
            <w:tcBorders>
              <w:top w:val="single" w:color="auto" w:sz="4" w:space="0"/>
              <w:left w:val="single" w:color="auto" w:sz="4" w:space="0"/>
              <w:bottom w:val="single" w:color="auto" w:sz="4" w:space="0"/>
              <w:right w:val="single" w:color="auto" w:sz="4" w:space="0"/>
            </w:tcBorders>
            <w:noWrap w:val="0"/>
            <w:vAlign w:val="center"/>
          </w:tcPr>
          <w:p w14:paraId="7C8A8002">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2</w:t>
            </w:r>
          </w:p>
        </w:tc>
        <w:tc>
          <w:tcPr>
            <w:tcW w:w="1492" w:type="dxa"/>
            <w:tcBorders>
              <w:top w:val="single" w:color="auto" w:sz="4" w:space="0"/>
              <w:left w:val="single" w:color="auto" w:sz="4" w:space="0"/>
              <w:bottom w:val="single" w:color="auto" w:sz="4" w:space="0"/>
              <w:right w:val="single" w:color="auto" w:sz="4" w:space="0"/>
            </w:tcBorders>
            <w:noWrap w:val="0"/>
            <w:vAlign w:val="center"/>
          </w:tcPr>
          <w:p w14:paraId="0E6B4DFE">
            <w:pPr>
              <w:snapToGrid w:val="0"/>
              <w:spacing w:line="360" w:lineRule="auto"/>
              <w:jc w:val="center"/>
              <w:rPr>
                <w:rFonts w:hint="eastAsia" w:ascii="宋体" w:hAnsi="宋体" w:cs="宋体"/>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1D7F9C0B">
            <w:pPr>
              <w:snapToGrid w:val="0"/>
              <w:spacing w:line="360" w:lineRule="auto"/>
              <w:jc w:val="center"/>
              <w:rPr>
                <w:rFonts w:hint="eastAsia" w:ascii="宋体" w:hAnsi="宋体" w:cs="宋体"/>
                <w:szCs w:val="21"/>
                <w:highlight w:val="none"/>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2A9D0EE5">
            <w:pPr>
              <w:snapToGrid w:val="0"/>
              <w:spacing w:line="360" w:lineRule="auto"/>
              <w:jc w:val="center"/>
              <w:rPr>
                <w:rFonts w:hint="eastAsia" w:ascii="宋体" w:hAnsi="宋体" w:cs="宋体"/>
                <w:bCs/>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EDD44DB">
            <w:pPr>
              <w:snapToGrid w:val="0"/>
              <w:spacing w:line="360" w:lineRule="auto"/>
              <w:jc w:val="center"/>
              <w:rPr>
                <w:rFonts w:hint="eastAsia" w:ascii="宋体" w:hAnsi="宋体" w:cs="宋体"/>
                <w:szCs w:val="21"/>
                <w:highlight w:val="none"/>
              </w:rPr>
            </w:pPr>
          </w:p>
        </w:tc>
        <w:tc>
          <w:tcPr>
            <w:tcW w:w="722" w:type="dxa"/>
            <w:tcBorders>
              <w:top w:val="single" w:color="auto" w:sz="4" w:space="0"/>
              <w:left w:val="single" w:color="auto" w:sz="4" w:space="0"/>
              <w:bottom w:val="single" w:color="auto" w:sz="4" w:space="0"/>
              <w:right w:val="single" w:color="auto" w:sz="4" w:space="0"/>
            </w:tcBorders>
            <w:noWrap w:val="0"/>
            <w:vAlign w:val="center"/>
          </w:tcPr>
          <w:p w14:paraId="449F29FC">
            <w:pPr>
              <w:snapToGrid w:val="0"/>
              <w:spacing w:line="360" w:lineRule="auto"/>
              <w:jc w:val="center"/>
              <w:rPr>
                <w:rFonts w:hint="eastAsia" w:ascii="宋体" w:hAnsi="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7167E653">
            <w:pPr>
              <w:snapToGrid w:val="0"/>
              <w:spacing w:line="360" w:lineRule="auto"/>
              <w:jc w:val="center"/>
              <w:rPr>
                <w:rFonts w:hint="eastAsia" w:ascii="宋体" w:hAnsi="宋体" w:cs="宋体"/>
                <w:szCs w:val="21"/>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5B3BE90">
            <w:pPr>
              <w:snapToGrid w:val="0"/>
              <w:spacing w:line="360" w:lineRule="auto"/>
              <w:jc w:val="center"/>
              <w:rPr>
                <w:rFonts w:hint="eastAsia" w:ascii="宋体" w:hAnsi="宋体" w:cs="宋体"/>
                <w:szCs w:val="21"/>
                <w:highlight w:val="none"/>
              </w:rPr>
            </w:pPr>
          </w:p>
        </w:tc>
      </w:tr>
      <w:tr w14:paraId="4F97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49" w:type="dxa"/>
            <w:tcBorders>
              <w:top w:val="single" w:color="auto" w:sz="4" w:space="0"/>
              <w:left w:val="single" w:color="auto" w:sz="4" w:space="0"/>
              <w:bottom w:val="single" w:color="auto" w:sz="4" w:space="0"/>
              <w:right w:val="single" w:color="auto" w:sz="4" w:space="0"/>
            </w:tcBorders>
            <w:noWrap w:val="0"/>
            <w:vAlign w:val="center"/>
          </w:tcPr>
          <w:p w14:paraId="2615AB03">
            <w:pPr>
              <w:snapToGrid w:val="0"/>
              <w:spacing w:line="360" w:lineRule="auto"/>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3</w:t>
            </w:r>
          </w:p>
        </w:tc>
        <w:tc>
          <w:tcPr>
            <w:tcW w:w="1492" w:type="dxa"/>
            <w:tcBorders>
              <w:top w:val="single" w:color="auto" w:sz="4" w:space="0"/>
              <w:left w:val="single" w:color="auto" w:sz="4" w:space="0"/>
              <w:bottom w:val="single" w:color="auto" w:sz="4" w:space="0"/>
              <w:right w:val="single" w:color="auto" w:sz="4" w:space="0"/>
            </w:tcBorders>
            <w:noWrap w:val="0"/>
            <w:vAlign w:val="center"/>
          </w:tcPr>
          <w:p w14:paraId="7BBD6238">
            <w:pPr>
              <w:snapToGrid w:val="0"/>
              <w:spacing w:line="360" w:lineRule="auto"/>
              <w:jc w:val="center"/>
              <w:rPr>
                <w:rFonts w:hint="eastAsia" w:ascii="宋体" w:hAnsi="宋体" w:cs="宋体"/>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6750F29">
            <w:pPr>
              <w:snapToGrid w:val="0"/>
              <w:spacing w:line="360" w:lineRule="auto"/>
              <w:jc w:val="center"/>
              <w:rPr>
                <w:rFonts w:hint="eastAsia" w:ascii="宋体" w:hAnsi="宋体" w:cs="宋体"/>
                <w:szCs w:val="21"/>
                <w:highlight w:val="none"/>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62465182">
            <w:pPr>
              <w:snapToGrid w:val="0"/>
              <w:spacing w:line="360" w:lineRule="auto"/>
              <w:jc w:val="center"/>
              <w:rPr>
                <w:rFonts w:hint="eastAsia" w:ascii="宋体" w:hAnsi="宋体" w:cs="宋体"/>
                <w:bCs/>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A2E5DD6">
            <w:pPr>
              <w:snapToGrid w:val="0"/>
              <w:spacing w:line="360" w:lineRule="auto"/>
              <w:jc w:val="center"/>
              <w:rPr>
                <w:rFonts w:hint="eastAsia" w:ascii="宋体" w:hAnsi="宋体" w:cs="宋体"/>
                <w:szCs w:val="21"/>
                <w:highlight w:val="none"/>
              </w:rPr>
            </w:pPr>
          </w:p>
        </w:tc>
        <w:tc>
          <w:tcPr>
            <w:tcW w:w="722" w:type="dxa"/>
            <w:tcBorders>
              <w:top w:val="single" w:color="auto" w:sz="4" w:space="0"/>
              <w:left w:val="single" w:color="auto" w:sz="4" w:space="0"/>
              <w:bottom w:val="single" w:color="auto" w:sz="4" w:space="0"/>
              <w:right w:val="single" w:color="auto" w:sz="4" w:space="0"/>
            </w:tcBorders>
            <w:noWrap w:val="0"/>
            <w:vAlign w:val="center"/>
          </w:tcPr>
          <w:p w14:paraId="5625BC15">
            <w:pPr>
              <w:snapToGrid w:val="0"/>
              <w:spacing w:line="360" w:lineRule="auto"/>
              <w:jc w:val="center"/>
              <w:rPr>
                <w:rFonts w:hint="eastAsia" w:ascii="宋体" w:hAnsi="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EA74A11">
            <w:pPr>
              <w:snapToGrid w:val="0"/>
              <w:spacing w:line="360" w:lineRule="auto"/>
              <w:jc w:val="center"/>
              <w:rPr>
                <w:rFonts w:hint="eastAsia" w:ascii="宋体" w:hAnsi="宋体" w:cs="宋体"/>
                <w:szCs w:val="21"/>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FFB097D">
            <w:pPr>
              <w:snapToGrid w:val="0"/>
              <w:spacing w:line="360" w:lineRule="auto"/>
              <w:jc w:val="center"/>
              <w:rPr>
                <w:rFonts w:hint="eastAsia" w:ascii="宋体" w:hAnsi="宋体" w:cs="宋体"/>
                <w:szCs w:val="21"/>
                <w:highlight w:val="none"/>
              </w:rPr>
            </w:pPr>
          </w:p>
        </w:tc>
      </w:tr>
      <w:tr w14:paraId="3B23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49" w:type="dxa"/>
            <w:tcBorders>
              <w:top w:val="single" w:color="auto" w:sz="4" w:space="0"/>
              <w:left w:val="single" w:color="auto" w:sz="4" w:space="0"/>
              <w:bottom w:val="single" w:color="auto" w:sz="4" w:space="0"/>
              <w:right w:val="single" w:color="auto" w:sz="4" w:space="0"/>
            </w:tcBorders>
            <w:noWrap w:val="0"/>
            <w:vAlign w:val="center"/>
          </w:tcPr>
          <w:p w14:paraId="2439C244">
            <w:pPr>
              <w:snapToGrid w:val="0"/>
              <w:spacing w:line="360" w:lineRule="auto"/>
              <w:jc w:val="center"/>
              <w:rPr>
                <w:rFonts w:hint="default"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w:t>
            </w:r>
          </w:p>
        </w:tc>
        <w:tc>
          <w:tcPr>
            <w:tcW w:w="1492" w:type="dxa"/>
            <w:tcBorders>
              <w:top w:val="single" w:color="auto" w:sz="4" w:space="0"/>
              <w:left w:val="single" w:color="auto" w:sz="4" w:space="0"/>
              <w:bottom w:val="single" w:color="auto" w:sz="4" w:space="0"/>
              <w:right w:val="single" w:color="auto" w:sz="4" w:space="0"/>
            </w:tcBorders>
            <w:noWrap w:val="0"/>
            <w:vAlign w:val="center"/>
          </w:tcPr>
          <w:p w14:paraId="2476587B">
            <w:pPr>
              <w:snapToGrid w:val="0"/>
              <w:spacing w:line="360" w:lineRule="auto"/>
              <w:jc w:val="center"/>
              <w:rPr>
                <w:rFonts w:hint="eastAsia" w:ascii="宋体" w:hAnsi="宋体" w:cs="宋体"/>
                <w:szCs w:val="21"/>
                <w:highlight w:val="none"/>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14:paraId="341E06C8">
            <w:pPr>
              <w:snapToGrid w:val="0"/>
              <w:spacing w:line="360" w:lineRule="auto"/>
              <w:jc w:val="center"/>
              <w:rPr>
                <w:rFonts w:hint="eastAsia" w:ascii="宋体" w:hAnsi="宋体" w:cs="宋体"/>
                <w:szCs w:val="21"/>
                <w:highlight w:val="none"/>
              </w:rPr>
            </w:pPr>
          </w:p>
        </w:tc>
        <w:tc>
          <w:tcPr>
            <w:tcW w:w="1483" w:type="dxa"/>
            <w:tcBorders>
              <w:top w:val="single" w:color="auto" w:sz="4" w:space="0"/>
              <w:left w:val="single" w:color="auto" w:sz="4" w:space="0"/>
              <w:bottom w:val="single" w:color="auto" w:sz="4" w:space="0"/>
              <w:right w:val="single" w:color="auto" w:sz="4" w:space="0"/>
            </w:tcBorders>
            <w:noWrap w:val="0"/>
            <w:vAlign w:val="center"/>
          </w:tcPr>
          <w:p w14:paraId="42309FE1">
            <w:pPr>
              <w:snapToGrid w:val="0"/>
              <w:spacing w:line="360" w:lineRule="auto"/>
              <w:jc w:val="center"/>
              <w:rPr>
                <w:rFonts w:hint="eastAsia" w:ascii="宋体" w:hAnsi="宋体" w:cs="宋体"/>
                <w:szCs w:val="21"/>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177B4D5">
            <w:pPr>
              <w:snapToGrid w:val="0"/>
              <w:spacing w:line="360" w:lineRule="auto"/>
              <w:jc w:val="center"/>
              <w:rPr>
                <w:rFonts w:hint="eastAsia" w:ascii="宋体" w:hAnsi="宋体" w:cs="宋体"/>
                <w:szCs w:val="21"/>
                <w:highlight w:val="none"/>
              </w:rPr>
            </w:pPr>
          </w:p>
        </w:tc>
        <w:tc>
          <w:tcPr>
            <w:tcW w:w="722" w:type="dxa"/>
            <w:tcBorders>
              <w:top w:val="single" w:color="auto" w:sz="4" w:space="0"/>
              <w:left w:val="single" w:color="auto" w:sz="4" w:space="0"/>
              <w:bottom w:val="single" w:color="auto" w:sz="4" w:space="0"/>
              <w:right w:val="single" w:color="auto" w:sz="4" w:space="0"/>
            </w:tcBorders>
            <w:noWrap w:val="0"/>
            <w:vAlign w:val="center"/>
          </w:tcPr>
          <w:p w14:paraId="0ECBB9E1">
            <w:pPr>
              <w:snapToGrid w:val="0"/>
              <w:spacing w:line="360" w:lineRule="auto"/>
              <w:jc w:val="center"/>
              <w:rPr>
                <w:rFonts w:hint="eastAsia" w:ascii="宋体" w:hAnsi="宋体" w:cs="宋体"/>
                <w:szCs w:val="21"/>
                <w:highlight w:val="none"/>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57CB1B32">
            <w:pPr>
              <w:snapToGrid w:val="0"/>
              <w:spacing w:line="360" w:lineRule="auto"/>
              <w:rPr>
                <w:rFonts w:hint="eastAsia" w:ascii="宋体" w:hAnsi="宋体" w:cs="宋体"/>
                <w:szCs w:val="21"/>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75F145D">
            <w:pPr>
              <w:snapToGrid w:val="0"/>
              <w:spacing w:line="360" w:lineRule="auto"/>
              <w:rPr>
                <w:rFonts w:hint="eastAsia" w:ascii="宋体" w:hAnsi="宋体" w:cs="宋体"/>
                <w:szCs w:val="21"/>
                <w:highlight w:val="none"/>
              </w:rPr>
            </w:pPr>
          </w:p>
        </w:tc>
      </w:tr>
      <w:tr w14:paraId="5E9D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751" w:type="dxa"/>
            <w:gridSpan w:val="7"/>
            <w:tcBorders>
              <w:top w:val="single" w:color="auto" w:sz="4" w:space="0"/>
              <w:left w:val="single" w:color="auto" w:sz="4" w:space="0"/>
              <w:bottom w:val="single" w:color="auto" w:sz="4" w:space="0"/>
              <w:right w:val="single" w:color="auto" w:sz="4" w:space="0"/>
            </w:tcBorders>
            <w:noWrap w:val="0"/>
            <w:vAlign w:val="center"/>
          </w:tcPr>
          <w:p w14:paraId="6073C1CD">
            <w:pPr>
              <w:snapToGrid w:val="0"/>
              <w:spacing w:line="360" w:lineRule="auto"/>
              <w:jc w:val="center"/>
              <w:rPr>
                <w:rFonts w:hint="eastAsia" w:ascii="宋体" w:hAnsi="宋体" w:cs="宋体"/>
                <w:szCs w:val="21"/>
                <w:highlight w:val="none"/>
              </w:rPr>
            </w:pPr>
            <w:r>
              <w:rPr>
                <w:rFonts w:hint="eastAsia" w:ascii="宋体" w:hAnsi="宋体" w:cs="宋体"/>
                <w:szCs w:val="21"/>
                <w:highlight w:val="none"/>
              </w:rPr>
              <w:t xml:space="preserve">                                                       合计金额</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74676CF">
            <w:pPr>
              <w:snapToGrid w:val="0"/>
              <w:spacing w:line="360" w:lineRule="auto"/>
              <w:jc w:val="center"/>
              <w:rPr>
                <w:rFonts w:hint="eastAsia" w:ascii="宋体" w:hAnsi="宋体" w:cs="宋体"/>
                <w:szCs w:val="21"/>
                <w:highlight w:val="none"/>
              </w:rPr>
            </w:pPr>
          </w:p>
        </w:tc>
      </w:tr>
    </w:tbl>
    <w:p w14:paraId="7C4CDC24">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lang w:val="en-US" w:eastAsia="zh-CN"/>
        </w:rPr>
        <w:t>中标</w:t>
      </w:r>
      <w:r>
        <w:rPr>
          <w:rFonts w:hint="eastAsia" w:ascii="宋体" w:hAnsi="宋体" w:cs="宋体"/>
          <w:szCs w:val="21"/>
          <w:highlight w:val="none"/>
        </w:rPr>
        <w:t>内容合同的总金额为：（大写）人民币</w:t>
      </w:r>
      <w:r>
        <w:rPr>
          <w:rFonts w:hint="eastAsia" w:ascii="宋体" w:hAnsi="宋体" w:cs="宋体"/>
          <w:szCs w:val="21"/>
          <w:highlight w:val="none"/>
          <w:u w:val="single"/>
        </w:rPr>
        <w:t xml:space="preserve">                     （￥         ）</w:t>
      </w:r>
      <w:r>
        <w:rPr>
          <w:rFonts w:hint="eastAsia" w:ascii="宋体" w:hAnsi="宋体" w:cs="宋体"/>
          <w:szCs w:val="21"/>
          <w:highlight w:val="none"/>
        </w:rPr>
        <w:t>。</w:t>
      </w:r>
    </w:p>
    <w:p w14:paraId="304A5745">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2. 合同合计金额应包括本次招标范围内货物货款（若供应商所投本项目货物选用进口产品投标的，其货款必须包含进出口代理公司佣金、海关办证费、报关费、报检费、银行手续费、运杂费及其它全部费用的总和，由中标供应商自行与进出口代理公司结算，采购人不再支付除中标价以外的任何费用）、货物标准附件、备品备件、专用工具、包装、运输、装卸、保险、税金、货到就位以及安装、调试、培训、保修等一切税金和费用。如招标文件对其另有规定的，从其规定。</w:t>
      </w:r>
    </w:p>
    <w:p w14:paraId="2DDE0D58">
      <w:pPr>
        <w:pStyle w:val="21"/>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3. 乙方承诺给甲方的供货价格不高于广西区内同级医院价格，高出部份甲方有权拒付。</w:t>
      </w:r>
    </w:p>
    <w:p w14:paraId="2B8AB492">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第二条  质量保证</w:t>
      </w:r>
    </w:p>
    <w:p w14:paraId="7A916B5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按招投标文件规定的货物型号、技术规格、技术参数、质量标准向甲方提供未经使用的全新原装产品，且在正常安装使用和保养条件下，其使用寿命期内各项指标均达到质量标准。乙方提供的自主创新产品、节能和环保产品必须是列入政府采购清单的产品。</w:t>
      </w:r>
    </w:p>
    <w:p w14:paraId="660276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2.乙方提供货物的质量保证期为自交货物验收合格之日起至   个月内止。在质保期内因货物本身的质量问题发生故障，乙方应按照招标文件中的承诺负责免费修理和更换零部件。对达不到时限、技术要求者，根据实际情况，甲方有权自行选择以下办法处理：</w:t>
      </w:r>
    </w:p>
    <w:p w14:paraId="76BDA9A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（1）更换：由乙方承担所有发生的全部费用。</w:t>
      </w:r>
    </w:p>
    <w:p w14:paraId="4E0B28D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（2）贬值处理：由甲乙双方合议定价。</w:t>
      </w:r>
    </w:p>
    <w:p w14:paraId="0E4481B7">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（3）退货处理：乙方应退还甲方支付的合同款，同时应承担该货物的相关费用（包括但不限于运输、保险、检验、贷款利息及银行手续费等）。</w:t>
      </w:r>
    </w:p>
    <w:p w14:paraId="50616311">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第三条  权利保证</w:t>
      </w:r>
    </w:p>
    <w:p w14:paraId="1CB6BE4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保证所提供货物在使用时不会侵犯任何第三方的专利权、商标权、工业设计权或其他权利。如果甲方因此遭受到任何第三方的索赔、诉讼或任何权利请求，乙方有义务以甲方名义自费处理纠纷，并承担所有法律和经济责任。</w:t>
      </w:r>
    </w:p>
    <w:p w14:paraId="24816DE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2.乙方应按招标文件规定的时间向甲方提供使用货物的有关技术资料。</w:t>
      </w:r>
    </w:p>
    <w:p w14:paraId="725892E5">
      <w:pPr>
        <w:spacing w:line="360" w:lineRule="auto"/>
        <w:ind w:firstLine="420" w:firstLineChars="200"/>
        <w:rPr>
          <w:rFonts w:hint="eastAsia" w:ascii="宋体" w:hAnsi="宋体" w:cs="宋体"/>
          <w:spacing w:val="0"/>
          <w:szCs w:val="21"/>
          <w:highlight w:val="none"/>
        </w:rPr>
      </w:pPr>
      <w:r>
        <w:rPr>
          <w:rFonts w:hint="eastAsia" w:ascii="宋体" w:hAnsi="宋体" w:cs="宋体"/>
          <w:szCs w:val="21"/>
          <w:highlight w:val="none"/>
        </w:rPr>
        <w:t>3.</w:t>
      </w:r>
      <w:r>
        <w:rPr>
          <w:rFonts w:hint="eastAsia" w:ascii="宋体" w:hAnsi="宋体" w:cs="宋体"/>
          <w:spacing w:val="0"/>
          <w:szCs w:val="21"/>
          <w:highlight w:val="none"/>
        </w:rPr>
        <w:t>乙方保证所交付的货物的所有权完全属于乙方且无任何抵押、质押、查封等产权瑕疵。</w:t>
      </w:r>
    </w:p>
    <w:p w14:paraId="6D1D765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w:t>
      </w:r>
      <w:r>
        <w:rPr>
          <w:rFonts w:ascii="宋体" w:hAnsi="宋体" w:eastAsia="宋体" w:cs="宋体"/>
          <w:sz w:val="21"/>
          <w:szCs w:val="21"/>
          <w:highlight w:val="none"/>
        </w:rPr>
        <w:t xml:space="preserve"> </w:t>
      </w:r>
      <w:r>
        <w:rPr>
          <w:rFonts w:hint="eastAsia" w:ascii="宋体" w:hAnsi="宋体" w:eastAsia="宋体" w:cs="宋体"/>
          <w:sz w:val="21"/>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BEF5D5B">
      <w:p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第四条  货物包装、运输</w:t>
      </w:r>
    </w:p>
    <w:p w14:paraId="737D94B5">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1.乙方应在货物发运前对其进行满足运输距离、防潮、防震、防锈和防破损装卸等要求包装，以保证货物安全运达甲方指定地点。</w:t>
      </w:r>
    </w:p>
    <w:p w14:paraId="77082FB7">
      <w:pPr>
        <w:tabs>
          <w:tab w:val="left" w:pos="78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2.使用中文说明书、质量检验证明书、随配附件和工具以及清单一并附于货物内。</w:t>
      </w:r>
    </w:p>
    <w:p w14:paraId="6048DF8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3.乙方在货物发运手续办理完毕后二十四小时内或货到甲方四十八小时前通知甲方，以准备接货。</w:t>
      </w:r>
    </w:p>
    <w:p w14:paraId="09B721BA">
      <w:pPr>
        <w:tabs>
          <w:tab w:val="left" w:pos="78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4.货物在甲方最终验收完毕出具验收文书前发生的一切风险均由乙方承担。</w:t>
      </w:r>
    </w:p>
    <w:p w14:paraId="6840FFE3">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第五条  交付</w:t>
      </w:r>
    </w:p>
    <w:p w14:paraId="6A88F89D">
      <w:pPr>
        <w:spacing w:line="360" w:lineRule="auto"/>
        <w:ind w:firstLine="420" w:firstLineChars="200"/>
        <w:rPr>
          <w:rFonts w:hint="eastAsia" w:ascii="宋体" w:hAnsi="宋体" w:cs="宋体"/>
          <w:szCs w:val="21"/>
          <w:highlight w:val="none"/>
          <w:u w:val="none"/>
        </w:rPr>
      </w:pPr>
      <w:r>
        <w:rPr>
          <w:rFonts w:hint="eastAsia" w:ascii="宋体" w:hAnsi="宋体" w:cs="宋体"/>
          <w:szCs w:val="21"/>
          <w:highlight w:val="none"/>
        </w:rPr>
        <w:t>1.交货时间：自签订合同之日起</w:t>
      </w:r>
      <w:r>
        <w:rPr>
          <w:rFonts w:hint="eastAsia" w:ascii="宋体" w:hAnsi="宋体" w:cs="宋体"/>
          <w:szCs w:val="21"/>
          <w:highlight w:val="none"/>
          <w:u w:val="single"/>
        </w:rPr>
        <w:t xml:space="preserve">   10  </w:t>
      </w:r>
      <w:r>
        <w:rPr>
          <w:rFonts w:hint="eastAsia" w:ascii="宋体" w:hAnsi="宋体" w:cs="宋体"/>
          <w:szCs w:val="21"/>
          <w:highlight w:val="none"/>
        </w:rPr>
        <w:t>个日历日内交货并安装调试合格交付使用。交货地点：</w:t>
      </w:r>
      <w:r>
        <w:rPr>
          <w:rFonts w:hint="eastAsia" w:ascii="宋体" w:hAnsi="宋体" w:cs="宋体"/>
          <w:szCs w:val="21"/>
          <w:highlight w:val="none"/>
          <w:u w:val="none"/>
        </w:rPr>
        <w:t>广西桂林市甲方指定地点。</w:t>
      </w:r>
    </w:p>
    <w:p w14:paraId="38672E7B">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2. </w:t>
      </w:r>
      <w:r>
        <w:rPr>
          <w:rFonts w:hint="eastAsia" w:ascii="宋体" w:hAnsi="宋体" w:eastAsia="宋体" w:cs="宋体"/>
          <w:sz w:val="21"/>
          <w:szCs w:val="21"/>
          <w:highlight w:val="none"/>
        </w:rPr>
        <w:t>甲方对乙方提交的货物依据招标文件上的技术规格要求和国家有关质量标准进行现场开箱查验，外观、说明书符合招标文件技术要求的，给予签收，开箱查验不合格的不予签收。乙方提供的货物生产日期必须在一年以内。</w:t>
      </w:r>
      <w:r>
        <w:rPr>
          <w:rFonts w:hint="eastAsia" w:ascii="宋体" w:hAnsi="宋体" w:cs="宋体"/>
          <w:szCs w:val="21"/>
          <w:highlight w:val="none"/>
        </w:rPr>
        <w:t>乙方提供不符合招投标文件和本合同规定的货物，甲方有权拒绝接受，视为乙方严重违约，须向甲方支付合同总价款20%作为违约金，同时甲方有权决定终止合同，乙方自行承担所有不利后果。</w:t>
      </w:r>
    </w:p>
    <w:p w14:paraId="47A1794F">
      <w:pPr>
        <w:spacing w:line="360" w:lineRule="auto"/>
        <w:ind w:firstLine="420"/>
        <w:rPr>
          <w:rFonts w:hint="eastAsia" w:ascii="宋体" w:hAnsi="宋体" w:cs="宋体"/>
          <w:szCs w:val="21"/>
          <w:highlight w:val="none"/>
        </w:rPr>
      </w:pPr>
      <w:r>
        <w:rPr>
          <w:rFonts w:hint="eastAsia" w:ascii="宋体" w:hAnsi="宋体" w:cs="宋体"/>
          <w:szCs w:val="21"/>
          <w:highlight w:val="none"/>
        </w:rPr>
        <w:t>3.</w:t>
      </w:r>
      <w:r>
        <w:rPr>
          <w:rFonts w:hint="eastAsia" w:ascii="宋体" w:hAnsi="宋体" w:eastAsia="宋体" w:cs="宋体"/>
          <w:sz w:val="21"/>
          <w:szCs w:val="21"/>
          <w:highlight w:val="none"/>
        </w:rPr>
        <w:t>乙方应在送货前</w:t>
      </w:r>
      <w:r>
        <w:rPr>
          <w:rFonts w:ascii="宋体" w:hAnsi="宋体" w:eastAsia="宋体" w:cs="宋体"/>
          <w:sz w:val="21"/>
          <w:szCs w:val="21"/>
          <w:highlight w:val="none"/>
        </w:rPr>
        <w:t>48小时</w:t>
      </w:r>
      <w:r>
        <w:rPr>
          <w:rFonts w:hint="eastAsia" w:ascii="宋体" w:hAnsi="宋体" w:eastAsia="宋体" w:cs="宋体"/>
          <w:sz w:val="21"/>
          <w:szCs w:val="21"/>
          <w:highlight w:val="none"/>
        </w:rPr>
        <w:t>通知甲方</w:t>
      </w:r>
      <w:r>
        <w:rPr>
          <w:rFonts w:hint="eastAsia" w:ascii="宋体" w:hAnsi="宋体" w:cs="宋体"/>
          <w:szCs w:val="21"/>
          <w:highlight w:val="none"/>
        </w:rPr>
        <w:t>设备科</w:t>
      </w:r>
      <w:r>
        <w:rPr>
          <w:rFonts w:hint="eastAsia" w:ascii="宋体" w:hAnsi="宋体" w:eastAsia="宋体" w:cs="宋体"/>
          <w:sz w:val="21"/>
          <w:szCs w:val="21"/>
          <w:highlight w:val="none"/>
        </w:rPr>
        <w:t>组织收货，</w:t>
      </w:r>
      <w:r>
        <w:rPr>
          <w:rFonts w:hint="eastAsia" w:ascii="宋体" w:hAnsi="宋体" w:cs="宋体"/>
          <w:szCs w:val="21"/>
          <w:highlight w:val="none"/>
        </w:rPr>
        <w:t>乙方应将所有提供货物的装箱清单、用户手册、原厂保修卡、随机资料、工具和备用、备件、</w:t>
      </w:r>
      <w:r>
        <w:rPr>
          <w:rFonts w:hint="eastAsia" w:ascii="宋体" w:hAnsi="宋体" w:eastAsia="宋体" w:cs="宋体"/>
          <w:sz w:val="21"/>
          <w:szCs w:val="21"/>
          <w:highlight w:val="none"/>
          <w:lang w:eastAsia="zh-CN"/>
        </w:rPr>
        <w:t>产品合格证书</w:t>
      </w:r>
      <w:r>
        <w:rPr>
          <w:rFonts w:ascii="宋体" w:hAnsi="宋体" w:eastAsia="宋体" w:cs="宋体"/>
          <w:sz w:val="21"/>
          <w:szCs w:val="21"/>
          <w:highlight w:val="none"/>
          <w:lang w:eastAsia="zh-CN"/>
        </w:rPr>
        <w:t>、</w:t>
      </w:r>
      <w:r>
        <w:rPr>
          <w:rFonts w:hint="eastAsia" w:ascii="宋体" w:hAnsi="宋体" w:eastAsia="宋体" w:cs="宋体"/>
          <w:sz w:val="21"/>
          <w:szCs w:val="21"/>
          <w:highlight w:val="none"/>
          <w:lang w:eastAsia="zh-CN"/>
        </w:rPr>
        <w:t>检测报告</w:t>
      </w:r>
      <w:r>
        <w:rPr>
          <w:rFonts w:hint="eastAsia" w:ascii="宋体" w:hAnsi="宋体" w:cs="宋体"/>
          <w:szCs w:val="21"/>
          <w:highlight w:val="none"/>
        </w:rPr>
        <w:t>等交付给甲方。如有缺失应及时补齐，否则视为逾期交货。甲方的设备科只负责设备到货验收，不负责接收货物。设备的外包装(木箱、纸皮等）由乙方或工程师负责拆除并自行作院外处理，不得堆放在甲方院内，但可委托甲方的后勤部协助处理（需付费）。一经发现设备的外包装在甲方院内，甲方有权不予验收该设备并从设备货款中扣除200-1000元作为垃圾处理费。</w:t>
      </w:r>
    </w:p>
    <w:p w14:paraId="3ABC07D4">
      <w:pPr>
        <w:pStyle w:val="21"/>
        <w:spacing w:line="360" w:lineRule="auto"/>
        <w:ind w:left="181" w:leftChars="86" w:firstLine="420"/>
        <w:rPr>
          <w:rFonts w:hint="eastAsia" w:ascii="宋体" w:hAnsi="宋体" w:cs="宋体"/>
          <w:sz w:val="21"/>
          <w:szCs w:val="21"/>
          <w:highlight w:val="none"/>
        </w:rPr>
      </w:pPr>
      <w:r>
        <w:rPr>
          <w:rFonts w:hint="eastAsia" w:ascii="宋体" w:hAnsi="宋体" w:cs="宋体"/>
          <w:sz w:val="21"/>
          <w:szCs w:val="21"/>
          <w:highlight w:val="none"/>
        </w:rPr>
        <w:t>4. 乙方应根据国家计量相关法律法规管理规定提供有效期内的计量检定报告，或根据甲方需求提供有效期内的计量检定报告。</w:t>
      </w:r>
    </w:p>
    <w:p w14:paraId="1B3B272A">
      <w:pPr>
        <w:snapToGrid w:val="0"/>
        <w:spacing w:line="360" w:lineRule="auto"/>
        <w:ind w:left="181" w:leftChars="86" w:firstLine="420" w:firstLineChars="200"/>
        <w:rPr>
          <w:rFonts w:hint="eastAsia" w:ascii="宋体" w:hAnsi="宋体" w:cs="宋体"/>
          <w:szCs w:val="21"/>
          <w:highlight w:val="none"/>
        </w:rPr>
      </w:pPr>
      <w:r>
        <w:rPr>
          <w:rFonts w:hint="eastAsia" w:ascii="宋体" w:hAnsi="宋体" w:cs="宋体"/>
          <w:szCs w:val="21"/>
          <w:highlight w:val="none"/>
        </w:rPr>
        <w:t>5. 货物属于特种设备时，乙方需提供特种设备使用登记证。货物属于放射类设备时，乙方需提供专业检测机构出具的机房辐射防护与性能报告，一二类放射设备还需提供环境部门出具批复及竣工验收报告。</w:t>
      </w:r>
    </w:p>
    <w:p w14:paraId="2D687854">
      <w:pPr>
        <w:pStyle w:val="21"/>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6. 在进口设备到货初验时，乙方应提供报关单，如无报关单则该设备将不予验收及付款，并按违约处理。</w:t>
      </w:r>
    </w:p>
    <w:p w14:paraId="67A1115F">
      <w:pPr>
        <w:snapToGrid w:val="0"/>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 递交发票时请附：发票及合同复印件、验收单及培训单原件、进口设备报关单各一份。合同有分期付款的，乙方在每次递交催款通知单时附上合同复印件一份，并注明本次付款为第几笔款，以便核对。</w:t>
      </w:r>
    </w:p>
    <w:p w14:paraId="64D3FC04">
      <w:pPr>
        <w:spacing w:line="360" w:lineRule="auto"/>
        <w:ind w:left="413"/>
        <w:rPr>
          <w:rFonts w:hint="eastAsia" w:ascii="宋体" w:hAnsi="宋体" w:cs="宋体"/>
          <w:b/>
          <w:szCs w:val="21"/>
          <w:highlight w:val="none"/>
        </w:rPr>
      </w:pPr>
      <w:r>
        <w:rPr>
          <w:rFonts w:hint="eastAsia" w:ascii="宋体" w:hAnsi="宋体" w:cs="宋体"/>
          <w:b/>
          <w:szCs w:val="21"/>
          <w:highlight w:val="none"/>
        </w:rPr>
        <w:t>第六条  调试和验收</w:t>
      </w:r>
    </w:p>
    <w:p w14:paraId="46EDFED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1.乙方提供的产品必须符合国家、行业强制执行的相关质量标准要求以及产品制造厂家合格产品的出厂质量标准。</w:t>
      </w:r>
    </w:p>
    <w:p w14:paraId="222343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设备须全新、完好、无破损，产品到货后，甲方现场根据磋商文件要求.响应文件承诺以及国家相关标准、厂方标准进行验收，必要时，甲方有权邀请国家质量监督检验部门或国家认可的检测机构参与共同验收。如产品不满足磋商文件要求、乙方响应文件承诺或国家、行业强制执行的相关质量标准要求以及产品制造厂家合格产品的出厂质量标准，甲方有权不予验收，由此造成甲方的经济损失由乙方承担全部赔偿责任。</w:t>
      </w:r>
    </w:p>
    <w:p w14:paraId="248EE62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乙方必须于供货时向甲方提供所竞医疗器械产品由行政主管部门核准资格文件、产品注册时的检测检验报告书，产品彩页或参数说明书等资料材料，以便核实相关技术参数，否则不予验收，乙方应承担逾期交货违约责任。</w:t>
      </w:r>
    </w:p>
    <w:p w14:paraId="3A134F0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4.乙方交货前应对产品做出全面的检查和对验收文件进行整理，并列出清单，作为甲方验收和使用的技术条件依据，验收的结果应随货物交甲方。</w:t>
      </w:r>
    </w:p>
    <w:p w14:paraId="5D2D421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 xml:space="preserve">5.甲方依据磋商文件的技术规格要求和国家有关质量标准对货物进行现场初步验收，外观、说明书符合磋商文件技术要求的，给予签收，初步验收不合格的不予签收。货到后，甲方应当在到货（安装、调试完）后七个工作日内进行验收。验收合格后由甲乙双方签署货物验收单并加盖公章，甲乙双方各执一份。 </w:t>
      </w:r>
    </w:p>
    <w:p w14:paraId="05A0FFE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6.甲方对乙方提供的货物在使用前进行调试时，乙方须负责安装并培训甲方的使用操作人员，并协助甲方一起调试，直到符合技术要求，甲方才做最终验收。</w:t>
      </w:r>
    </w:p>
    <w:p w14:paraId="16D59CE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对技术复杂的货物，甲方应请国家认可的专业检测机构参与初步验收及最终验收，并由其出具质量检测报告，第三方检测费用由乙方承担。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1F6CCE87">
      <w:pPr>
        <w:spacing w:line="360" w:lineRule="auto"/>
        <w:ind w:left="420"/>
        <w:rPr>
          <w:rFonts w:hint="eastAsia" w:ascii="宋体" w:hAnsi="宋体" w:cs="宋体"/>
          <w:szCs w:val="21"/>
          <w:highlight w:val="none"/>
        </w:rPr>
      </w:pPr>
      <w:r>
        <w:rPr>
          <w:rFonts w:hint="eastAsia" w:ascii="宋体" w:hAnsi="宋体" w:cs="宋体"/>
          <w:szCs w:val="21"/>
          <w:highlight w:val="none"/>
        </w:rPr>
        <w:t>8.验收时乙方必须在现场，验收完毕后作出验收结果报告，验收费用由乙方负责。</w:t>
      </w:r>
    </w:p>
    <w:p w14:paraId="265D5A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9.甲方对验收有异议的，在验收后</w:t>
      </w:r>
      <w:r>
        <w:rPr>
          <w:rFonts w:hint="eastAsia" w:ascii="宋体" w:hAnsi="宋体" w:cs="宋体"/>
          <w:szCs w:val="21"/>
          <w:highlight w:val="none"/>
          <w:u w:val="single"/>
        </w:rPr>
        <w:t>7</w:t>
      </w:r>
      <w:r>
        <w:rPr>
          <w:rFonts w:hint="eastAsia" w:ascii="宋体" w:hAnsi="宋体" w:cs="宋体"/>
          <w:szCs w:val="21"/>
          <w:highlight w:val="none"/>
        </w:rPr>
        <w:t>个工作日内以书面形式向乙方提出，经甲方提出书面整改之日起，乙方七日内仍无法解决的，或经整改达不到甲方验收要求的，甲方有权终止合同，乙方无条件同意终止合同，乙方自愿放弃所有的索赔，由此造成甲方的经济损失由乙方承担全部赔偿责任包括不限于甲方的经济损失及律师费、诉讼费、鉴定费等。</w:t>
      </w:r>
    </w:p>
    <w:p w14:paraId="09C633F7">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第七条  安装和培训</w:t>
      </w:r>
    </w:p>
    <w:p w14:paraId="535BBFCB">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 xml:space="preserve"> 1.甲方应提供必要安装条件（如场地、电源、水源等），乙方负责具体满足设备安装条件的施工，直到设备正常使用。</w:t>
      </w:r>
    </w:p>
    <w:p w14:paraId="74DEFC0E">
      <w:pPr>
        <w:spacing w:line="360" w:lineRule="auto"/>
        <w:ind w:firstLine="420" w:firstLineChars="200"/>
        <w:rPr>
          <w:rFonts w:hint="eastAsia" w:ascii="宋体" w:hAnsi="宋体" w:cs="宋体"/>
          <w:szCs w:val="21"/>
          <w:highlight w:val="none"/>
        </w:rPr>
      </w:pPr>
      <w:r>
        <w:rPr>
          <w:rFonts w:hint="eastAsia" w:ascii="宋体" w:hAnsi="宋体" w:eastAsia="宋体" w:cs="宋体"/>
          <w:szCs w:val="21"/>
          <w:highlight w:val="none"/>
        </w:rPr>
        <w:t>2.乙方负责甲方有关人员的培训</w:t>
      </w:r>
      <w:r>
        <w:rPr>
          <w:rFonts w:hint="eastAsia" w:ascii="宋体" w:hAnsi="宋体" w:eastAsia="宋体" w:cs="宋体"/>
          <w:szCs w:val="21"/>
          <w:highlight w:val="none"/>
          <w:lang w:eastAsia="zh-CN"/>
        </w:rPr>
        <w:t>，</w:t>
      </w:r>
      <w:r>
        <w:rPr>
          <w:rFonts w:hint="eastAsia" w:ascii="宋体" w:hAnsi="宋体" w:eastAsia="宋体" w:cs="宋体"/>
          <w:szCs w:val="21"/>
          <w:highlight w:val="none"/>
        </w:rPr>
        <w:t>培训后甲方超过两名操作人员能独立完成设备基本操作，并由双方签</w:t>
      </w:r>
      <w:r>
        <w:rPr>
          <w:rFonts w:hint="eastAsia" w:ascii="宋体" w:hAnsi="宋体" w:cs="宋体"/>
          <w:szCs w:val="21"/>
          <w:highlight w:val="none"/>
        </w:rPr>
        <w:t>字确认培训合格后方可验收。</w:t>
      </w:r>
      <w:r>
        <w:rPr>
          <w:rFonts w:hint="eastAsia" w:ascii="宋体" w:hAnsi="宋体" w:cs="宋体"/>
          <w:szCs w:val="21"/>
          <w:highlight w:val="none"/>
        </w:rPr>
        <w:t>培训时间、地点：</w:t>
      </w:r>
      <w:r>
        <w:rPr>
          <w:rFonts w:hint="eastAsia" w:ascii="宋体" w:hAnsi="宋体" w:cs="宋体"/>
          <w:szCs w:val="21"/>
          <w:highlight w:val="none"/>
          <w:u w:val="single"/>
        </w:rPr>
        <w:t>_桂林市妇幼保健院采购人指定时间及地点</w:t>
      </w:r>
      <w:r>
        <w:rPr>
          <w:rFonts w:hint="eastAsia" w:ascii="宋体" w:hAnsi="宋体" w:cs="宋体"/>
          <w:szCs w:val="21"/>
          <w:highlight w:val="none"/>
        </w:rPr>
        <w:t>。</w:t>
      </w:r>
    </w:p>
    <w:p w14:paraId="49CB62B7">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第八条  售后服务、保修期</w:t>
      </w:r>
    </w:p>
    <w:p w14:paraId="5E8F54FD">
      <w:pPr>
        <w:tabs>
          <w:tab w:val="left" w:pos="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1.乙方应按照国家有关法律规定以及招投标文件和本合同所附《服务承诺》，为甲方提供售后服务。</w:t>
      </w:r>
    </w:p>
    <w:p w14:paraId="12118B1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2.如在使用过程中发生质量问题，乙方应在接到甲方通知后在</w:t>
      </w:r>
      <w:r>
        <w:rPr>
          <w:rFonts w:hint="eastAsia" w:ascii="宋体" w:hAnsi="宋体" w:cs="宋体"/>
          <w:szCs w:val="21"/>
          <w:highlight w:val="none"/>
          <w:u w:val="single"/>
        </w:rPr>
        <w:t>_8_</w:t>
      </w:r>
      <w:r>
        <w:rPr>
          <w:rFonts w:hint="eastAsia" w:ascii="宋体" w:hAnsi="宋体" w:cs="宋体"/>
          <w:szCs w:val="21"/>
          <w:highlight w:val="none"/>
        </w:rPr>
        <w:t>小时内到达甲方现场处理。</w:t>
      </w:r>
    </w:p>
    <w:p w14:paraId="30EA029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在质保期内，乙方应对货物出现的质量及安全问题负责处理解决并承担一切费用。超过保修期的机器设备，终生维修，维修时只收部件成本费，成本费不能超过市场价格。在设备规定的使用期限内，乙方必须保证配件供应。易损零配件和专机专用试剂耗材价格表：本项目合同中，应附易损零配件和专机专用试剂耗材价格表。</w:t>
      </w:r>
    </w:p>
    <w:p w14:paraId="0BB3B80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4.若质保期内非操作者原因，设备出现故障的达5次（含5次）以上的，乙方</w:t>
      </w:r>
      <w:r>
        <w:rPr>
          <w:rFonts w:hint="eastAsia" w:ascii="宋体" w:hAnsi="宋体" w:cs="宋体"/>
          <w:szCs w:val="21"/>
          <w:highlight w:val="none"/>
          <w:lang w:val="en-US" w:eastAsia="zh-CN"/>
        </w:rPr>
        <w:t>应</w:t>
      </w:r>
      <w:r>
        <w:rPr>
          <w:rFonts w:hint="eastAsia" w:ascii="宋体" w:hAnsi="宋体" w:cs="宋体"/>
          <w:szCs w:val="21"/>
          <w:highlight w:val="none"/>
        </w:rPr>
        <w:t>按合同总价款10%向甲方支付违约金，且乙方须在30日内更换全新整机。</w:t>
      </w:r>
    </w:p>
    <w:p w14:paraId="2C60B1F2">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5.售后服务过程中如有违反约定的情况，乙方</w:t>
      </w:r>
      <w:r>
        <w:rPr>
          <w:rFonts w:hint="eastAsia" w:ascii="宋体" w:hAnsi="宋体" w:cs="宋体"/>
          <w:szCs w:val="21"/>
          <w:highlight w:val="none"/>
          <w:lang w:val="en-US" w:eastAsia="zh-CN"/>
        </w:rPr>
        <w:t>应</w:t>
      </w:r>
      <w:r>
        <w:rPr>
          <w:rFonts w:hint="eastAsia" w:ascii="宋体" w:hAnsi="宋体" w:cs="宋体"/>
          <w:szCs w:val="21"/>
          <w:highlight w:val="none"/>
        </w:rPr>
        <w:t>按合同总价款5%向甲方支付违约金，甲方有权从合同尾款中扣除。</w:t>
      </w:r>
    </w:p>
    <w:p w14:paraId="7A05E2FC">
      <w:pPr>
        <w:spacing w:line="360" w:lineRule="auto"/>
        <w:ind w:left="181" w:leftChars="86" w:firstLine="420" w:firstLineChars="200"/>
        <w:rPr>
          <w:rFonts w:ascii="宋体" w:hAnsi="宋体" w:eastAsia="宋体" w:cs="宋体"/>
          <w:sz w:val="21"/>
          <w:szCs w:val="21"/>
          <w:highlight w:val="none"/>
        </w:rPr>
      </w:pPr>
      <w:r>
        <w:rPr>
          <w:rFonts w:hint="eastAsia" w:ascii="宋体" w:hAnsi="宋体" w:cs="宋体"/>
          <w:szCs w:val="21"/>
          <w:highlight w:val="none"/>
        </w:rPr>
        <w:t>6.</w:t>
      </w:r>
      <w:r>
        <w:rPr>
          <w:rFonts w:ascii="宋体" w:hAnsi="宋体" w:eastAsia="宋体" w:cs="宋体"/>
          <w:sz w:val="21"/>
          <w:szCs w:val="21"/>
          <w:highlight w:val="none"/>
        </w:rPr>
        <w:t xml:space="preserve"> </w:t>
      </w:r>
      <w:r>
        <w:rPr>
          <w:rFonts w:hint="eastAsia" w:ascii="宋体" w:hAnsi="宋体" w:eastAsia="宋体" w:cs="宋体"/>
          <w:sz w:val="21"/>
          <w:szCs w:val="21"/>
          <w:highlight w:val="none"/>
        </w:rPr>
        <w:t>维修技术支持：乙方一次性免费提供维护手册、维修手册、软件备份、故障代码表、备件清单等维护维修必需的材料和信息，否则不予验收。保修期外，无偿提供维修密码及软件在该项目中的使用权，按合同约定价格提供零部件、以及快速响应的技术支持。</w:t>
      </w:r>
    </w:p>
    <w:p w14:paraId="6F1EBDCA">
      <w:pPr>
        <w:spacing w:line="360" w:lineRule="auto"/>
        <w:ind w:left="181" w:leftChars="86" w:firstLine="420" w:firstLineChars="200"/>
        <w:rPr>
          <w:rFonts w:ascii="宋体" w:hAnsi="宋体" w:eastAsia="宋体" w:cs="宋体"/>
          <w:sz w:val="21"/>
          <w:szCs w:val="21"/>
          <w:highlight w:val="none"/>
        </w:rPr>
      </w:pPr>
      <w:r>
        <w:rPr>
          <w:rFonts w:hint="eastAsia" w:ascii="宋体" w:hAnsi="宋体" w:cs="宋体"/>
          <w:szCs w:val="21"/>
          <w:highlight w:val="none"/>
        </w:rPr>
        <w:t>7.</w:t>
      </w:r>
      <w:r>
        <w:rPr>
          <w:rFonts w:ascii="宋体" w:hAnsi="宋体" w:eastAsia="宋体" w:cs="宋体"/>
          <w:sz w:val="21"/>
          <w:szCs w:val="21"/>
          <w:highlight w:val="none"/>
        </w:rPr>
        <w:t xml:space="preserve"> </w:t>
      </w:r>
      <w:r>
        <w:rPr>
          <w:rFonts w:hint="eastAsia" w:ascii="宋体" w:hAnsi="宋体" w:eastAsia="宋体" w:cs="宋体"/>
          <w:sz w:val="21"/>
          <w:szCs w:val="21"/>
          <w:highlight w:val="none"/>
        </w:rPr>
        <w:t>乙方无偿保证甲方获得合同约定范围内所有软件功能，终生单机软件使用权。不得限制硬件配件采购，并在甲方自主更换配件后，无偿帮助甲方恢复原有的软件及系统，使甲方能够正常使用该器械</w:t>
      </w:r>
      <w:r>
        <w:rPr>
          <w:rFonts w:ascii="宋体" w:hAnsi="宋体" w:eastAsia="宋体" w:cs="宋体"/>
          <w:sz w:val="21"/>
          <w:szCs w:val="21"/>
          <w:highlight w:val="none"/>
        </w:rPr>
        <w:t>/设备、项目。</w:t>
      </w:r>
    </w:p>
    <w:p w14:paraId="32967D60">
      <w:pPr>
        <w:snapToGrid/>
        <w:spacing w:line="360" w:lineRule="auto"/>
        <w:ind w:left="181" w:leftChars="86" w:firstLine="420" w:firstLineChars="200"/>
        <w:rPr>
          <w:rFonts w:ascii="宋体" w:hAnsi="宋体" w:eastAsia="宋体" w:cs="宋体"/>
          <w:sz w:val="21"/>
          <w:szCs w:val="21"/>
          <w:highlight w:val="none"/>
        </w:rPr>
      </w:pPr>
      <w:r>
        <w:rPr>
          <w:rFonts w:hint="eastAsia" w:ascii="宋体" w:hAnsi="宋体" w:cs="宋体"/>
          <w:szCs w:val="21"/>
          <w:highlight w:val="none"/>
        </w:rPr>
        <w:t>8.</w:t>
      </w:r>
      <w:r>
        <w:rPr>
          <w:rFonts w:ascii="宋体" w:hAnsi="宋体" w:eastAsia="宋体" w:cs="宋体"/>
          <w:sz w:val="21"/>
          <w:szCs w:val="21"/>
          <w:highlight w:val="none"/>
        </w:rPr>
        <w:t xml:space="preserve"> </w:t>
      </w:r>
      <w:r>
        <w:rPr>
          <w:rFonts w:hint="eastAsia" w:ascii="宋体" w:hAnsi="宋体" w:eastAsia="宋体" w:cs="宋体"/>
          <w:sz w:val="21"/>
          <w:szCs w:val="21"/>
          <w:highlight w:val="none"/>
        </w:rPr>
        <w:t>乙方承诺保修期内，按国家相关规定，执行保养及预防性维护，并提供报告。</w:t>
      </w:r>
    </w:p>
    <w:p w14:paraId="02265AD8">
      <w:pPr>
        <w:snapToGrid/>
        <w:spacing w:line="360" w:lineRule="auto"/>
        <w:ind w:left="181" w:leftChars="86" w:firstLine="420" w:firstLineChars="200"/>
        <w:rPr>
          <w:rFonts w:ascii="宋体" w:hAnsi="宋体" w:eastAsia="宋体" w:cs="宋体"/>
          <w:sz w:val="21"/>
          <w:szCs w:val="21"/>
          <w:highlight w:val="none"/>
        </w:rPr>
      </w:pPr>
      <w:r>
        <w:rPr>
          <w:rFonts w:hint="eastAsia" w:ascii="宋体" w:hAnsi="宋体" w:cs="宋体"/>
          <w:szCs w:val="21"/>
          <w:highlight w:val="none"/>
        </w:rPr>
        <w:t>9.</w:t>
      </w:r>
      <w:r>
        <w:rPr>
          <w:rFonts w:ascii="宋体" w:hAnsi="宋体" w:eastAsia="宋体" w:cs="宋体"/>
          <w:sz w:val="21"/>
          <w:szCs w:val="21"/>
          <w:highlight w:val="none"/>
        </w:rPr>
        <w:t xml:space="preserve"> </w:t>
      </w:r>
      <w:r>
        <w:rPr>
          <w:rFonts w:hint="eastAsia" w:ascii="宋体" w:hAnsi="宋体" w:eastAsia="宋体" w:cs="宋体"/>
          <w:sz w:val="21"/>
          <w:szCs w:val="21"/>
          <w:highlight w:val="none"/>
        </w:rPr>
        <w:t>售后服务承诺书原则上须有生产厂家或省级（含省级）以上代理商的盖章。</w:t>
      </w:r>
    </w:p>
    <w:p w14:paraId="3B697D70">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第九条  税费</w:t>
      </w:r>
    </w:p>
    <w:p w14:paraId="1B5B1D1E">
      <w:pPr>
        <w:spacing w:line="360" w:lineRule="auto"/>
        <w:ind w:firstLine="411" w:firstLineChars="196"/>
        <w:rPr>
          <w:rFonts w:hint="eastAsia" w:ascii="宋体" w:hAnsi="宋体" w:cs="宋体"/>
          <w:szCs w:val="21"/>
          <w:highlight w:val="none"/>
        </w:rPr>
      </w:pPr>
      <w:r>
        <w:rPr>
          <w:rFonts w:hint="eastAsia" w:ascii="宋体" w:hAnsi="宋体" w:cs="宋体"/>
          <w:szCs w:val="21"/>
          <w:highlight w:val="none"/>
        </w:rPr>
        <w:t>本合同执行中相关的一切税费均由乙方负担。</w:t>
      </w:r>
    </w:p>
    <w:p w14:paraId="3EA3433D">
      <w:pPr>
        <w:numPr>
          <w:ilvl w:val="0"/>
          <w:numId w:val="5"/>
        </w:numPr>
        <w:spacing w:line="360" w:lineRule="auto"/>
        <w:ind w:firstLine="422" w:firstLineChars="200"/>
        <w:rPr>
          <w:rFonts w:hint="eastAsia" w:ascii="宋体" w:hAnsi="宋体" w:cs="宋体"/>
          <w:b/>
          <w:szCs w:val="21"/>
          <w:highlight w:val="none"/>
        </w:rPr>
      </w:pPr>
      <w:r>
        <w:rPr>
          <w:rFonts w:hint="eastAsia" w:ascii="宋体" w:hAnsi="宋体" w:cs="宋体"/>
          <w:b/>
          <w:szCs w:val="21"/>
          <w:highlight w:val="none"/>
        </w:rPr>
        <w:t>付款方式</w:t>
      </w:r>
    </w:p>
    <w:p w14:paraId="4DA83C74">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本合同签订前，乙方应按照合同总额的5%向甲方指定账户交纳履约保证金（如为中小企业，履约保证金为2%），甲方将于设备验收合格并正常运行满1年后，根据乙方的书面申请，退还中标人所提供的履约保证金。</w:t>
      </w:r>
    </w:p>
    <w:p w14:paraId="72ED7CD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2.在合同签订且设备验收合格之后，以及财政资金已成功拨付至甲方账户的前提下，经乙方提交书面申请及配套资料后，甲方一次性支付合同约定的全部价款给乙方（无息）。</w:t>
      </w:r>
    </w:p>
    <w:p w14:paraId="3BD6928F">
      <w:pPr>
        <w:spacing w:line="360" w:lineRule="auto"/>
        <w:ind w:firstLine="422" w:firstLineChars="200"/>
        <w:rPr>
          <w:rFonts w:hint="eastAsia" w:ascii="宋体" w:hAnsi="宋体" w:cs="宋体"/>
          <w:szCs w:val="21"/>
          <w:highlight w:val="none"/>
        </w:rPr>
      </w:pPr>
      <w:r>
        <w:rPr>
          <w:rFonts w:hint="eastAsia" w:ascii="宋体" w:hAnsi="宋体" w:cs="宋体"/>
          <w:b/>
          <w:szCs w:val="21"/>
          <w:highlight w:val="none"/>
        </w:rPr>
        <w:t>第十一条  违约责任</w:t>
      </w:r>
    </w:p>
    <w:p w14:paraId="7FEB3AC6">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1.乙方所提供的货物规格、技术标准、材料等质量不合格的，应及时更换，更换不及时的按逾期交货处罚，因质量问题甲方不同意接收的或特殊情况甲方同意接收的，乙方应向甲方支付违约货款额</w:t>
      </w:r>
      <w:r>
        <w:rPr>
          <w:rFonts w:hint="eastAsia" w:ascii="宋体" w:hAnsi="宋体" w:cs="宋体"/>
          <w:color w:val="FF0000"/>
          <w:szCs w:val="21"/>
          <w:highlight w:val="none"/>
          <w:lang w:val="en-US" w:eastAsia="zh-CN"/>
        </w:rPr>
        <w:t>1</w:t>
      </w:r>
      <w:r>
        <w:rPr>
          <w:rFonts w:hint="eastAsia" w:ascii="宋体" w:hAnsi="宋体" w:cs="宋体"/>
          <w:color w:val="FF0000"/>
          <w:szCs w:val="21"/>
          <w:highlight w:val="none"/>
        </w:rPr>
        <w:t>5%</w:t>
      </w:r>
      <w:r>
        <w:rPr>
          <w:rFonts w:hint="eastAsia" w:ascii="宋体" w:hAnsi="宋体" w:cs="宋体"/>
          <w:szCs w:val="21"/>
          <w:highlight w:val="none"/>
        </w:rPr>
        <w:t>违约金并赔偿甲方经济损失，包括但不限于维权费用。</w:t>
      </w:r>
    </w:p>
    <w:p w14:paraId="515D945C">
      <w:pPr>
        <w:spacing w:line="360" w:lineRule="auto"/>
        <w:ind w:firstLine="359" w:firstLineChars="171"/>
        <w:rPr>
          <w:rFonts w:hint="eastAsia" w:ascii="宋体" w:hAnsi="宋体" w:cs="宋体"/>
          <w:szCs w:val="21"/>
          <w:highlight w:val="none"/>
        </w:rPr>
      </w:pPr>
      <w:r>
        <w:rPr>
          <w:rFonts w:hint="eastAsia" w:ascii="宋体" w:hAnsi="宋体" w:cs="宋体"/>
          <w:szCs w:val="21"/>
          <w:highlight w:val="none"/>
        </w:rPr>
        <w:t>2.乙方提供的货物如果侵犯了第三方合法权益而引发的任何纠纷或诉讼，均由乙方负责交涉并承担全部责任；在履行本合同过程中非因甲方的原因引发的诉讼，由乙方承担全部责任（包括不限于赔偿费.甲方的经济损失费、律师费（按广西律师服务收费管理办法规定的标准）、仲裁费、诉讼费等费用，乙方承担后，有权向第三方追偿）。</w:t>
      </w:r>
    </w:p>
    <w:p w14:paraId="5D2C2B5F">
      <w:pPr>
        <w:spacing w:line="360" w:lineRule="auto"/>
        <w:ind w:firstLine="420" w:firstLineChars="200"/>
        <w:rPr>
          <w:rFonts w:hint="eastAsia" w:ascii="宋体" w:hAnsi="宋体" w:cs="宋体"/>
          <w:color w:val="auto"/>
          <w:szCs w:val="21"/>
          <w:highlight w:val="none"/>
        </w:rPr>
      </w:pPr>
      <w:r>
        <w:rPr>
          <w:rFonts w:hint="eastAsia" w:ascii="宋体" w:hAnsi="宋体" w:cs="宋体"/>
          <w:szCs w:val="21"/>
          <w:highlight w:val="none"/>
        </w:rPr>
        <w:t>3.因包装、运输引起的货物损坏，</w:t>
      </w:r>
      <w:r>
        <w:rPr>
          <w:rFonts w:hint="eastAsia" w:ascii="宋体" w:hAnsi="宋体" w:cs="宋体"/>
          <w:color w:val="auto"/>
          <w:szCs w:val="21"/>
          <w:highlight w:val="none"/>
        </w:rPr>
        <w:t>按质量不合格处理。</w:t>
      </w:r>
    </w:p>
    <w:p w14:paraId="26566E8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4.甲方无故延期接受货物的，每天向对方支付合同金额</w:t>
      </w:r>
      <w:r>
        <w:rPr>
          <w:rFonts w:hint="eastAsia" w:ascii="宋体" w:hAnsi="宋体" w:cs="宋体"/>
          <w:color w:val="auto"/>
          <w:szCs w:val="21"/>
          <w:highlight w:val="none"/>
          <w:u w:val="single"/>
        </w:rPr>
        <w:t>0.1</w:t>
      </w:r>
      <w:r>
        <w:rPr>
          <w:rFonts w:hint="eastAsia" w:ascii="宋体" w:hAnsi="宋体" w:cs="宋体"/>
          <w:color w:val="auto"/>
          <w:szCs w:val="21"/>
          <w:highlight w:val="none"/>
        </w:rPr>
        <w:t>‰违约金，但违约金额不得超过合同金额</w:t>
      </w:r>
      <w:r>
        <w:rPr>
          <w:rFonts w:hint="eastAsia" w:ascii="宋体" w:hAnsi="宋体" w:cs="宋体"/>
          <w:color w:val="auto"/>
          <w:szCs w:val="21"/>
          <w:highlight w:val="none"/>
          <w:u w:val="single"/>
        </w:rPr>
        <w:t>1</w:t>
      </w:r>
      <w:r>
        <w:rPr>
          <w:rFonts w:hint="eastAsia" w:ascii="宋体" w:hAnsi="宋体" w:cs="宋体"/>
          <w:color w:val="auto"/>
          <w:szCs w:val="21"/>
          <w:highlight w:val="none"/>
        </w:rPr>
        <w:t>%。甲方延期付货款的，每天向乙方偿付逾期金额0.</w:t>
      </w:r>
      <w:r>
        <w:rPr>
          <w:rFonts w:hint="eastAsia" w:ascii="宋体" w:hAnsi="宋体" w:cs="宋体"/>
          <w:color w:val="auto"/>
          <w:szCs w:val="21"/>
          <w:highlight w:val="none"/>
          <w:u w:val="single"/>
        </w:rPr>
        <w:t>1</w:t>
      </w:r>
      <w:r>
        <w:rPr>
          <w:rFonts w:hint="eastAsia" w:ascii="宋体" w:hAnsi="宋体" w:cs="宋体"/>
          <w:color w:val="auto"/>
          <w:szCs w:val="21"/>
          <w:highlight w:val="none"/>
        </w:rPr>
        <w:t>‰违约金，但违约金累计不得超过合同金额</w:t>
      </w:r>
      <w:r>
        <w:rPr>
          <w:rFonts w:hint="eastAsia" w:ascii="宋体" w:hAnsi="宋体" w:cs="宋体"/>
          <w:color w:val="auto"/>
          <w:szCs w:val="21"/>
          <w:highlight w:val="none"/>
          <w:u w:val="single"/>
        </w:rPr>
        <w:t>1</w:t>
      </w:r>
      <w:r>
        <w:rPr>
          <w:rFonts w:hint="eastAsia" w:ascii="宋体" w:hAnsi="宋体" w:cs="宋体"/>
          <w:color w:val="auto"/>
          <w:szCs w:val="21"/>
          <w:highlight w:val="none"/>
        </w:rPr>
        <w:t>%。乙方逾期交货的，每天向对方支付合同金额0.</w:t>
      </w:r>
      <w:r>
        <w:rPr>
          <w:rFonts w:hint="eastAsia" w:ascii="宋体" w:hAnsi="宋体" w:cs="宋体"/>
          <w:color w:val="auto"/>
          <w:szCs w:val="21"/>
          <w:highlight w:val="none"/>
          <w:u w:val="single"/>
        </w:rPr>
        <w:t>3</w:t>
      </w:r>
      <w:r>
        <w:rPr>
          <w:rFonts w:hint="eastAsia" w:ascii="宋体" w:hAnsi="宋体" w:cs="宋体"/>
          <w:color w:val="auto"/>
          <w:szCs w:val="21"/>
          <w:highlight w:val="none"/>
        </w:rPr>
        <w:t>‰违约金，但违约金额不得超过合同金额</w:t>
      </w:r>
      <w:r>
        <w:rPr>
          <w:rFonts w:hint="eastAsia" w:ascii="宋体" w:hAnsi="宋体" w:cs="宋体"/>
          <w:color w:val="auto"/>
          <w:szCs w:val="21"/>
          <w:highlight w:val="none"/>
          <w:u w:val="single"/>
        </w:rPr>
        <w:t>30</w:t>
      </w:r>
      <w:r>
        <w:rPr>
          <w:rFonts w:hint="eastAsia" w:ascii="宋体" w:hAnsi="宋体" w:cs="宋体"/>
          <w:color w:val="auto"/>
          <w:szCs w:val="21"/>
          <w:highlight w:val="none"/>
        </w:rPr>
        <w:t>%，逾期超过</w:t>
      </w:r>
      <w:r>
        <w:rPr>
          <w:rFonts w:hint="eastAsia" w:ascii="宋体" w:hAnsi="宋体" w:cs="宋体"/>
          <w:color w:val="auto"/>
          <w:szCs w:val="21"/>
          <w:highlight w:val="none"/>
          <w:u w:val="single"/>
        </w:rPr>
        <w:t>20</w:t>
      </w:r>
      <w:r>
        <w:rPr>
          <w:rFonts w:hint="eastAsia" w:ascii="宋体" w:hAnsi="宋体" w:cs="宋体"/>
          <w:color w:val="auto"/>
          <w:szCs w:val="21"/>
          <w:highlight w:val="none"/>
        </w:rPr>
        <w:t>天的，对方有权终止合同，乙方承担因此给对方造成的经济损失（赔偿内容见本合同第十一条第2项列明的范围）。</w:t>
      </w:r>
    </w:p>
    <w:p w14:paraId="4260286D">
      <w:pPr>
        <w:spacing w:line="360" w:lineRule="auto"/>
        <w:ind w:firstLine="420" w:firstLineChars="200"/>
        <w:rPr>
          <w:rFonts w:hint="eastAsia" w:ascii="宋体" w:hAnsi="宋体" w:cs="宋体"/>
          <w:szCs w:val="21"/>
          <w:highlight w:val="none"/>
        </w:rPr>
      </w:pPr>
      <w:r>
        <w:rPr>
          <w:rFonts w:hint="eastAsia" w:ascii="宋体" w:hAnsi="宋体" w:cs="宋体"/>
          <w:color w:val="auto"/>
          <w:szCs w:val="21"/>
          <w:highlight w:val="none"/>
        </w:rPr>
        <w:t>5.乙方未按本合同和投标文件中规定的服务承诺提供售后服务的，乙方除按其他条款约定支付违约金外，还须每次按本合同合计金额</w:t>
      </w:r>
      <w:r>
        <w:rPr>
          <w:rFonts w:hint="eastAsia" w:ascii="宋体" w:hAnsi="宋体" w:cs="宋体"/>
          <w:color w:val="auto"/>
          <w:szCs w:val="21"/>
          <w:highlight w:val="none"/>
          <w:u w:val="single"/>
        </w:rPr>
        <w:t>2</w:t>
      </w:r>
      <w:r>
        <w:rPr>
          <w:rFonts w:hint="eastAsia" w:ascii="宋体" w:hAnsi="宋体" w:cs="宋体"/>
          <w:color w:val="auto"/>
          <w:szCs w:val="21"/>
          <w:highlight w:val="none"/>
        </w:rPr>
        <w:t>%向甲方支付违约金并赔</w:t>
      </w:r>
      <w:r>
        <w:rPr>
          <w:rFonts w:hint="eastAsia" w:ascii="宋体" w:hAnsi="宋体" w:cs="宋体"/>
          <w:szCs w:val="21"/>
          <w:highlight w:val="none"/>
        </w:rPr>
        <w:t>偿甲方损失。</w:t>
      </w:r>
    </w:p>
    <w:p w14:paraId="382F767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6.乙方提供的货物在质保期内，因设计、工艺或材料的缺陷和其他质量原因造成的问题，由乙方负责，费用从合同尾款中扣除，不足部分乙方全部承担。如存在验收后1年内非因甲方原因进行维保累计达3次的，甲方有权解除合同，乙方应全额退款。</w:t>
      </w:r>
    </w:p>
    <w:p w14:paraId="3505D0D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7.乙方其他违约行为按合同总金额</w:t>
      </w:r>
      <w:r>
        <w:rPr>
          <w:rFonts w:hint="eastAsia" w:ascii="宋体" w:hAnsi="宋体" w:cs="宋体"/>
          <w:szCs w:val="21"/>
          <w:highlight w:val="none"/>
          <w:u w:val="single"/>
        </w:rPr>
        <w:t>5</w:t>
      </w:r>
      <w:r>
        <w:rPr>
          <w:rFonts w:hint="eastAsia" w:ascii="宋体" w:hAnsi="宋体" w:cs="宋体"/>
          <w:szCs w:val="21"/>
          <w:highlight w:val="none"/>
        </w:rPr>
        <w:t>%收取违约金并赔偿经济损失。</w:t>
      </w:r>
    </w:p>
    <w:p w14:paraId="16BE023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8.乙方承诺目前不存在任何影响公司经营的诉讼或仲裁，合同签订后，如出现对乙方经营有重大影响的诉讼或仲裁或行政处罚的，或出现严重困难和财务状况恶化等可能出现重大不利影响的情形，或面临资产被财产保全或其他司法强制措施等影响乙方正常经营、负面影响的其他事件，须在事件发生之日起叁日内向甲方书面通知，征得甲方书面同意，并妥善落实本合同项下的全部义务，必要时，甲方有权要求乙方提供担保。因乙方未能消除上述影响或提供担保的，甲方享有单方解除合同的权利，乙方已经收取的费用扣除服务年限后应予退回。</w:t>
      </w:r>
    </w:p>
    <w:p w14:paraId="79EB11FD">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第十二条  不可抗力事件处理</w:t>
      </w:r>
    </w:p>
    <w:p w14:paraId="12972C8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1.在合同有效期内，乙方因不可抗力事件导致不能履行合同，则合同履行期可延长，其延长期与不可抗力影响期相同。</w:t>
      </w:r>
    </w:p>
    <w:p w14:paraId="499320FC">
      <w:pPr>
        <w:tabs>
          <w:tab w:val="left" w:pos="780"/>
        </w:tabs>
        <w:spacing w:line="360" w:lineRule="auto"/>
        <w:ind w:firstLine="315" w:firstLineChars="150"/>
        <w:rPr>
          <w:rFonts w:hint="eastAsia" w:ascii="宋体" w:hAnsi="宋体" w:cs="宋体"/>
          <w:szCs w:val="21"/>
          <w:highlight w:val="none"/>
        </w:rPr>
      </w:pPr>
      <w:r>
        <w:rPr>
          <w:rFonts w:hint="eastAsia" w:ascii="宋体" w:hAnsi="宋体" w:cs="宋体"/>
          <w:szCs w:val="21"/>
          <w:highlight w:val="none"/>
        </w:rPr>
        <w:t>2.不可抗力事件发生后，应立即通知对方，并寄送有关权威机构出具的证明。</w:t>
      </w:r>
    </w:p>
    <w:p w14:paraId="4D967F8F">
      <w:pPr>
        <w:tabs>
          <w:tab w:val="left" w:pos="780"/>
        </w:tabs>
        <w:spacing w:line="360" w:lineRule="auto"/>
        <w:ind w:firstLine="315" w:firstLineChars="150"/>
        <w:rPr>
          <w:rFonts w:hint="eastAsia" w:ascii="宋体" w:hAnsi="宋体" w:cs="宋体"/>
          <w:szCs w:val="21"/>
          <w:highlight w:val="none"/>
        </w:rPr>
      </w:pPr>
      <w:r>
        <w:rPr>
          <w:rFonts w:hint="eastAsia" w:ascii="宋体" w:hAnsi="宋体" w:cs="宋体"/>
          <w:szCs w:val="21"/>
          <w:highlight w:val="none"/>
        </w:rPr>
        <w:t>3.不可抗力事件延续六十天以上，双方应通过友好协商，确定是否继续履行合同。</w:t>
      </w:r>
    </w:p>
    <w:p w14:paraId="66FDF112">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第十三条  合同争议解决</w:t>
      </w:r>
    </w:p>
    <w:p w14:paraId="2B8B7CCF">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1.因货物质量问题发生争议的，应邀请国家认可的质量检测机构对货物质量进行鉴定。货物符合标准的，鉴定费由甲方承担；货物不符合标准的，鉴定费由乙方承担。</w:t>
      </w:r>
    </w:p>
    <w:p w14:paraId="33C24EC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2.因履行本合同引起的或与本合同有关的争议，甲乙双方应首先通过友好协商解决，如果协商不能解决，双方约定由甲方所在地人民法院管辖。</w:t>
      </w:r>
    </w:p>
    <w:p w14:paraId="699A3041">
      <w:pPr>
        <w:spacing w:line="360" w:lineRule="auto"/>
        <w:ind w:firstLine="434" w:firstLineChars="207"/>
        <w:rPr>
          <w:rFonts w:hint="eastAsia" w:ascii="宋体" w:hAnsi="宋体" w:cs="宋体"/>
          <w:szCs w:val="21"/>
          <w:highlight w:val="none"/>
        </w:rPr>
      </w:pPr>
      <w:r>
        <w:rPr>
          <w:rFonts w:hint="eastAsia" w:ascii="宋体" w:hAnsi="宋体" w:cs="宋体"/>
          <w:szCs w:val="21"/>
          <w:highlight w:val="none"/>
        </w:rPr>
        <w:t>3.本合同尾部所约定的通讯地址及联系人作为双方送达文书及诉讼程序一审、二审、再审、执行以及仲裁程序所涉法律文书（包括但不限于应诉通知书、开庭传票、判决书、裁定书、裁决书等）的指定送达地址及送达联系人，如因受送达方无法签收、拒收等原因导致被退回的，各方一致同意法律文书被退回之日即为送达之日。各方变更地址应及时书面通知对方，否则由此引起的责任由信息变更方承担。按本协议所载资料向乙方发送的所有通知及司法部门的文书，视同送达。</w:t>
      </w:r>
    </w:p>
    <w:p w14:paraId="2243A992">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第十四条  合同生效及其它</w:t>
      </w:r>
    </w:p>
    <w:p w14:paraId="193DB139">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1.合同经甲乙双方法定代表人或授权代表签字并加盖单位公章、骑缝章后生效。</w:t>
      </w:r>
    </w:p>
    <w:p w14:paraId="4F53DE8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2.合同执行中涉及采购资金和采购内容修改或补充的，须经甲方同意，并签订书面补充协议，方可作为主合同不可分割的一部分。</w:t>
      </w:r>
    </w:p>
    <w:p w14:paraId="4357A5FE">
      <w:pPr>
        <w:spacing w:line="360" w:lineRule="auto"/>
        <w:ind w:left="435"/>
        <w:rPr>
          <w:rFonts w:hint="eastAsia" w:ascii="宋体" w:hAnsi="宋体" w:cs="宋体"/>
          <w:szCs w:val="21"/>
          <w:highlight w:val="none"/>
        </w:rPr>
      </w:pPr>
      <w:r>
        <w:rPr>
          <w:rFonts w:hint="eastAsia" w:ascii="宋体" w:hAnsi="宋体" w:cs="宋体"/>
          <w:szCs w:val="21"/>
          <w:highlight w:val="none"/>
        </w:rPr>
        <w:t>3.本合同未尽事宜，遵照《民法典》及相关法律有关条文执行。</w:t>
      </w:r>
    </w:p>
    <w:p w14:paraId="5BDD95FD">
      <w:pPr>
        <w:spacing w:line="360" w:lineRule="auto"/>
        <w:ind w:firstLine="413" w:firstLineChars="196"/>
        <w:rPr>
          <w:rFonts w:hint="eastAsia" w:ascii="宋体" w:hAnsi="宋体" w:cs="宋体"/>
          <w:b/>
          <w:szCs w:val="21"/>
          <w:highlight w:val="none"/>
        </w:rPr>
      </w:pPr>
      <w:r>
        <w:rPr>
          <w:rFonts w:hint="eastAsia" w:ascii="宋体" w:hAnsi="宋体" w:cs="宋体"/>
          <w:b/>
          <w:szCs w:val="21"/>
          <w:highlight w:val="none"/>
        </w:rPr>
        <w:t>第十五条  合同的变更.终止与转让</w:t>
      </w:r>
    </w:p>
    <w:p w14:paraId="3A3149E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1.本合同一经签订，甲乙双方不得擅自变更，中止或终止。</w:t>
      </w:r>
    </w:p>
    <w:p w14:paraId="3C3F1375">
      <w:pPr>
        <w:tabs>
          <w:tab w:val="left" w:pos="780"/>
        </w:tabs>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2.乙方不得擅自转让(无进口资格的供应商委托进口货物除外)其应履行的合同义务。</w:t>
      </w:r>
    </w:p>
    <w:p w14:paraId="2E56A6FD">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3.一式陆份，具有同等法律效力，甲方叁份、乙方贰份，招标代理机构一份。</w:t>
      </w:r>
    </w:p>
    <w:p w14:paraId="319DD8D8">
      <w:pPr>
        <w:tabs>
          <w:tab w:val="left" w:pos="4320"/>
          <w:tab w:val="left" w:pos="4500"/>
        </w:tabs>
        <w:spacing w:line="360" w:lineRule="auto"/>
        <w:ind w:firstLine="420" w:firstLineChars="200"/>
        <w:rPr>
          <w:rFonts w:hint="eastAsia" w:ascii="宋体" w:hAnsi="宋体" w:cs="宋体"/>
          <w:color w:val="FF0000"/>
          <w:szCs w:val="21"/>
          <w:highlight w:val="none"/>
        </w:rPr>
      </w:pPr>
    </w:p>
    <w:p w14:paraId="3660E69C">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以下</w:t>
      </w:r>
      <w:r>
        <w:rPr>
          <w:rFonts w:hint="eastAsia" w:ascii="宋体" w:hAnsi="宋体" w:cs="宋体"/>
          <w:szCs w:val="21"/>
          <w:highlight w:val="none"/>
        </w:rPr>
        <w:t>无正文，为签署</w:t>
      </w:r>
      <w:r>
        <w:rPr>
          <w:rFonts w:hint="eastAsia" w:ascii="宋体" w:hAnsi="宋体" w:cs="宋体"/>
          <w:szCs w:val="21"/>
          <w:highlight w:val="none"/>
          <w:lang w:val="en-US" w:eastAsia="zh-CN"/>
        </w:rPr>
        <w:t>部分</w:t>
      </w:r>
      <w:r>
        <w:rPr>
          <w:rFonts w:hint="eastAsia" w:ascii="宋体" w:hAnsi="宋体" w:cs="宋体"/>
          <w:szCs w:val="21"/>
          <w:highlight w:val="none"/>
        </w:rPr>
        <w:t>。）</w:t>
      </w:r>
    </w:p>
    <w:p w14:paraId="02CF0996">
      <w:pPr>
        <w:tabs>
          <w:tab w:val="left" w:pos="4320"/>
          <w:tab w:val="left" w:pos="4500"/>
        </w:tabs>
        <w:spacing w:line="360" w:lineRule="auto"/>
        <w:rPr>
          <w:rFonts w:hint="eastAsia" w:ascii="宋体" w:hAnsi="宋体" w:cs="宋体"/>
          <w:szCs w:val="21"/>
          <w:highlight w:val="none"/>
          <w:u w:val="single"/>
        </w:rPr>
      </w:pPr>
      <w:r>
        <w:rPr>
          <w:rFonts w:hint="eastAsia" w:ascii="宋体" w:hAnsi="宋体" w:cs="宋体"/>
          <w:szCs w:val="21"/>
          <w:highlight w:val="none"/>
        </w:rPr>
        <w:t>甲方名称（公章）：</w:t>
      </w:r>
      <w:r>
        <w:rPr>
          <w:rFonts w:hint="eastAsia" w:ascii="宋体" w:hAnsi="宋体" w:cs="宋体"/>
          <w:szCs w:val="21"/>
          <w:highlight w:val="none"/>
          <w:u w:val="single"/>
        </w:rPr>
        <w:t>桂林市妇幼保健院</w:t>
      </w:r>
      <w:r>
        <w:rPr>
          <w:rFonts w:hint="eastAsia" w:ascii="宋体" w:hAnsi="宋体" w:cs="宋体"/>
          <w:szCs w:val="21"/>
          <w:highlight w:val="none"/>
        </w:rPr>
        <w:t xml:space="preserve">        乙方名称（公章）：</w:t>
      </w:r>
    </w:p>
    <w:p w14:paraId="335933A2">
      <w:pPr>
        <w:tabs>
          <w:tab w:val="left" w:pos="4320"/>
          <w:tab w:val="left" w:pos="4500"/>
        </w:tabs>
        <w:spacing w:line="360" w:lineRule="auto"/>
        <w:rPr>
          <w:rFonts w:hint="eastAsia" w:ascii="宋体" w:hAnsi="宋体" w:cs="宋体"/>
          <w:szCs w:val="21"/>
          <w:highlight w:val="none"/>
        </w:rPr>
      </w:pPr>
      <w:r>
        <w:rPr>
          <w:rFonts w:hint="eastAsia" w:ascii="宋体" w:hAnsi="宋体" w:cs="宋体"/>
          <w:szCs w:val="21"/>
          <w:highlight w:val="none"/>
        </w:rPr>
        <w:t xml:space="preserve">统一社会信用代码：                        统一社会信用代码：                                                 </w:t>
      </w:r>
    </w:p>
    <w:p w14:paraId="7882F2A6">
      <w:pPr>
        <w:spacing w:line="360" w:lineRule="auto"/>
        <w:ind w:left="4620" w:hanging="4620" w:hangingChars="2200"/>
        <w:rPr>
          <w:rFonts w:hint="eastAsia" w:ascii="宋体" w:hAnsi="宋体" w:cs="宋体"/>
          <w:szCs w:val="21"/>
          <w:highlight w:val="none"/>
          <w:u w:val="single"/>
        </w:rPr>
      </w:pPr>
      <w:r>
        <w:rPr>
          <w:rFonts w:hint="eastAsia" w:ascii="宋体" w:hAnsi="宋体" w:cs="宋体"/>
          <w:szCs w:val="21"/>
          <w:highlight w:val="none"/>
        </w:rPr>
        <w:t>法定代表人：                                    法定代表人：</w:t>
      </w:r>
    </w:p>
    <w:p w14:paraId="15889BA0">
      <w:pPr>
        <w:tabs>
          <w:tab w:val="left" w:pos="4680"/>
        </w:tabs>
        <w:spacing w:line="360" w:lineRule="auto"/>
        <w:rPr>
          <w:rFonts w:hint="eastAsia" w:ascii="宋体" w:hAnsi="宋体" w:cs="宋体"/>
          <w:szCs w:val="21"/>
          <w:highlight w:val="none"/>
        </w:rPr>
      </w:pPr>
      <w:r>
        <w:rPr>
          <w:rFonts w:hint="eastAsia" w:ascii="宋体" w:hAnsi="宋体" w:cs="宋体"/>
          <w:szCs w:val="21"/>
          <w:highlight w:val="none"/>
        </w:rPr>
        <w:t>委托代理人：                                    委托代理人：</w:t>
      </w:r>
    </w:p>
    <w:p w14:paraId="662A0B29">
      <w:pPr>
        <w:tabs>
          <w:tab w:val="left" w:pos="4680"/>
        </w:tabs>
        <w:spacing w:line="360" w:lineRule="auto"/>
        <w:rPr>
          <w:rFonts w:hint="eastAsia" w:ascii="宋体" w:hAnsi="宋体" w:cs="宋体"/>
          <w:szCs w:val="21"/>
          <w:highlight w:val="none"/>
          <w:u w:val="single"/>
        </w:rPr>
      </w:pPr>
      <w:r>
        <w:rPr>
          <w:rFonts w:hint="eastAsia" w:ascii="宋体" w:hAnsi="宋体" w:cs="宋体"/>
          <w:szCs w:val="21"/>
          <w:highlight w:val="none"/>
        </w:rPr>
        <w:t xml:space="preserve">经办人：                                            经办人：                             </w:t>
      </w:r>
    </w:p>
    <w:p w14:paraId="7BC24309">
      <w:pPr>
        <w:tabs>
          <w:tab w:val="left" w:pos="5040"/>
        </w:tabs>
        <w:spacing w:line="360" w:lineRule="auto"/>
        <w:rPr>
          <w:rFonts w:hint="eastAsia" w:ascii="宋体" w:hAnsi="宋体" w:cs="宋体"/>
          <w:szCs w:val="21"/>
          <w:highlight w:val="none"/>
          <w:u w:val="single"/>
        </w:rPr>
      </w:pPr>
      <w:r>
        <w:rPr>
          <w:rFonts w:hint="eastAsia" w:ascii="宋体" w:hAnsi="宋体" w:cs="宋体"/>
          <w:szCs w:val="21"/>
          <w:highlight w:val="none"/>
        </w:rPr>
        <w:t>电话：</w:t>
      </w:r>
      <w:r>
        <w:rPr>
          <w:rFonts w:hint="eastAsia" w:ascii="宋体" w:hAnsi="宋体" w:eastAsia="宋体" w:cs="宋体"/>
          <w:szCs w:val="21"/>
          <w:highlight w:val="none"/>
          <w:u w:val="single"/>
        </w:rPr>
        <w:t xml:space="preserve"> 0773-2821055    </w:t>
      </w:r>
      <w:r>
        <w:rPr>
          <w:rFonts w:hint="eastAsia" w:ascii="宋体" w:hAnsi="宋体" w:eastAsia="宋体" w:cs="宋体"/>
          <w:szCs w:val="21"/>
          <w:highlight w:val="none"/>
        </w:rPr>
        <w:t xml:space="preserve">                               </w:t>
      </w:r>
      <w:r>
        <w:rPr>
          <w:rFonts w:hint="eastAsia" w:ascii="宋体" w:hAnsi="宋体" w:cs="宋体"/>
          <w:szCs w:val="21"/>
          <w:highlight w:val="none"/>
        </w:rPr>
        <w:t>电话：</w:t>
      </w:r>
    </w:p>
    <w:p w14:paraId="67B1A3EF">
      <w:pPr>
        <w:tabs>
          <w:tab w:val="left" w:pos="5040"/>
        </w:tabs>
        <w:spacing w:line="360" w:lineRule="auto"/>
        <w:rPr>
          <w:rFonts w:hint="eastAsia" w:ascii="宋体" w:hAnsi="宋体" w:cs="宋体"/>
          <w:szCs w:val="21"/>
          <w:highlight w:val="none"/>
        </w:rPr>
      </w:pPr>
      <w:r>
        <w:rPr>
          <w:rFonts w:hint="eastAsia" w:ascii="宋体" w:hAnsi="宋体" w:cs="宋体"/>
          <w:szCs w:val="21"/>
          <w:highlight w:val="none"/>
        </w:rPr>
        <w:t>开户名称：                                        开户名称：</w:t>
      </w:r>
    </w:p>
    <w:p w14:paraId="3C378465">
      <w:pPr>
        <w:tabs>
          <w:tab w:val="left" w:pos="5040"/>
        </w:tabs>
        <w:spacing w:line="360" w:lineRule="auto"/>
        <w:rPr>
          <w:rFonts w:hint="eastAsia" w:ascii="宋体" w:hAnsi="宋体" w:cs="宋体"/>
          <w:szCs w:val="21"/>
          <w:highlight w:val="none"/>
        </w:rPr>
      </w:pPr>
      <w:r>
        <w:rPr>
          <w:rFonts w:hint="eastAsia" w:ascii="宋体" w:hAnsi="宋体" w:cs="宋体"/>
          <w:szCs w:val="21"/>
          <w:highlight w:val="none"/>
        </w:rPr>
        <w:t>开户银行：                                        开户银行：</w:t>
      </w:r>
    </w:p>
    <w:p w14:paraId="6C16E455">
      <w:pPr>
        <w:tabs>
          <w:tab w:val="left" w:pos="5040"/>
        </w:tabs>
        <w:spacing w:line="360" w:lineRule="auto"/>
        <w:rPr>
          <w:rFonts w:hint="eastAsia" w:ascii="宋体" w:hAnsi="宋体" w:cs="宋体"/>
          <w:szCs w:val="21"/>
          <w:highlight w:val="none"/>
        </w:rPr>
      </w:pPr>
      <w:r>
        <w:rPr>
          <w:rFonts w:hint="eastAsia" w:ascii="宋体" w:hAnsi="宋体" w:cs="宋体"/>
          <w:szCs w:val="21"/>
          <w:highlight w:val="none"/>
        </w:rPr>
        <w:t>银行账号：                                        银行账号：</w:t>
      </w:r>
    </w:p>
    <w:p w14:paraId="090DE058">
      <w:pPr>
        <w:spacing w:line="360" w:lineRule="auto"/>
        <w:rPr>
          <w:rFonts w:hint="eastAsia" w:ascii="宋体" w:hAnsi="宋体" w:cs="宋体"/>
          <w:szCs w:val="21"/>
          <w:highlight w:val="none"/>
        </w:rPr>
      </w:pPr>
      <w:r>
        <w:rPr>
          <w:rFonts w:hint="eastAsia" w:ascii="宋体" w:hAnsi="宋体" w:cs="宋体"/>
          <w:szCs w:val="21"/>
          <w:highlight w:val="none"/>
        </w:rPr>
        <w:t xml:space="preserve">日期：   </w:t>
      </w:r>
      <w:r>
        <w:rPr>
          <w:rFonts w:hint="eastAsia" w:ascii="宋体" w:hAnsi="宋体" w:cs="宋体"/>
          <w:szCs w:val="21"/>
          <w:highlight w:val="none"/>
          <w:u w:val="single"/>
        </w:rPr>
        <w:t>年   月   日</w:t>
      </w:r>
      <w:r>
        <w:rPr>
          <w:rFonts w:hint="eastAsia" w:ascii="宋体" w:hAnsi="宋体" w:cs="宋体"/>
          <w:szCs w:val="21"/>
          <w:highlight w:val="none"/>
        </w:rPr>
        <w:t xml:space="preserve">                                 日期：  </w:t>
      </w:r>
      <w:r>
        <w:rPr>
          <w:rFonts w:hint="eastAsia" w:ascii="宋体" w:hAnsi="宋体" w:cs="宋体"/>
          <w:szCs w:val="21"/>
          <w:highlight w:val="none"/>
          <w:u w:val="single"/>
        </w:rPr>
        <w:t>年   月   日</w:t>
      </w:r>
    </w:p>
    <w:p w14:paraId="12D50802">
      <w:pPr>
        <w:widowControl/>
        <w:spacing w:line="360" w:lineRule="auto"/>
        <w:jc w:val="left"/>
        <w:rPr>
          <w:rFonts w:hint="eastAsia" w:ascii="宋体" w:hAnsi="宋体" w:eastAsia="宋体" w:cs="宋体"/>
          <w:sz w:val="21"/>
          <w:szCs w:val="21"/>
          <w:highlight w:val="none"/>
        </w:rPr>
      </w:pPr>
      <w:r>
        <w:rPr>
          <w:rFonts w:hint="eastAsia" w:ascii="宋体" w:hAnsi="宋体" w:cs="宋体"/>
          <w:szCs w:val="21"/>
          <w:highlight w:val="none"/>
        </w:rPr>
        <w:br w:type="page"/>
      </w:r>
      <w:r>
        <w:rPr>
          <w:rFonts w:hint="eastAsia" w:ascii="宋体" w:hAnsi="宋体" w:eastAsia="宋体" w:cs="宋体"/>
          <w:sz w:val="21"/>
          <w:szCs w:val="21"/>
          <w:highlight w:val="none"/>
        </w:rPr>
        <w:t xml:space="preserve">  附：</w:t>
      </w:r>
      <w:r>
        <w:rPr>
          <w:rFonts w:hint="eastAsia" w:ascii="宋体" w:hAnsi="宋体" w:eastAsia="宋体" w:cs="宋体"/>
          <w:b/>
          <w:bCs/>
          <w:sz w:val="21"/>
          <w:szCs w:val="21"/>
          <w:highlight w:val="none"/>
        </w:rPr>
        <w:t>（以下材料均须加盖乙方单位公章，备注经办人名字、电话、时间。）</w:t>
      </w:r>
    </w:p>
    <w:p w14:paraId="1ABFB390">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设备配置清单及参数。</w:t>
      </w:r>
    </w:p>
    <w:p w14:paraId="073FEE05">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营业执照（代理公司、设备厂家）；</w:t>
      </w:r>
    </w:p>
    <w:p w14:paraId="5777B3E0">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医疗器械生产许可证（代理公司、设备厂家）；</w:t>
      </w:r>
    </w:p>
    <w:p w14:paraId="3C667C35">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中华人民共和国医疗器械注册证（代理公司、设备厂家）；</w:t>
      </w:r>
    </w:p>
    <w:p w14:paraId="5B151D29">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售后服务承诺；</w:t>
      </w:r>
    </w:p>
    <w:p w14:paraId="474A66CD">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厂家授权书；</w:t>
      </w:r>
    </w:p>
    <w:p w14:paraId="123CD8D9">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委托代理人授权书；</w:t>
      </w:r>
    </w:p>
    <w:p w14:paraId="7D0C209B">
      <w:pPr>
        <w:widowControl/>
        <w:numPr>
          <w:ilvl w:val="-1"/>
          <w:numId w:val="0"/>
        </w:numPr>
        <w:spacing w:line="360"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法人及代理人身份证复印件（复印件上留联系人及电话）</w:t>
      </w:r>
    </w:p>
    <w:p w14:paraId="1BCECF25">
      <w:pPr>
        <w:widowControl/>
        <w:spacing w:line="360" w:lineRule="auto"/>
        <w:ind w:left="4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.....................以下空白........................</w:t>
      </w:r>
    </w:p>
    <w:p w14:paraId="67FA9492">
      <w:pPr>
        <w:widowControl/>
        <w:ind w:left="480"/>
        <w:jc w:val="left"/>
        <w:rPr>
          <w:rFonts w:ascii="仿宋_GB2312" w:hAnsi="仿宋_GB2312" w:eastAsia="仿宋_GB2312" w:cs="仿宋_GB2312"/>
          <w:sz w:val="32"/>
          <w:szCs w:val="32"/>
          <w:highlight w:val="none"/>
        </w:rPr>
      </w:pPr>
    </w:p>
    <w:p w14:paraId="29607EB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小标宋_GBK" w:hAnsi="方正小标宋_GBK" w:eastAsia="方正小标宋_GBK" w:cs="方正小标宋_GBK"/>
          <w:b w:val="0"/>
          <w:bCs/>
          <w:color w:val="auto"/>
          <w:sz w:val="40"/>
          <w:szCs w:val="40"/>
          <w:highlight w:val="none"/>
          <w:lang w:eastAsia="zh-CN"/>
        </w:rPr>
      </w:pPr>
      <w:r>
        <w:rPr>
          <w:rFonts w:hint="eastAsia" w:ascii="方正小标宋_GBK" w:hAnsi="方正小标宋_GBK" w:eastAsia="方正小标宋_GBK" w:cs="方正小标宋_GBK"/>
          <w:b w:val="0"/>
          <w:bCs/>
          <w:color w:val="auto"/>
          <w:sz w:val="40"/>
          <w:szCs w:val="40"/>
          <w:highlight w:val="none"/>
          <w:lang w:eastAsia="zh-CN"/>
        </w:rPr>
        <w:br w:type="page"/>
      </w:r>
    </w:p>
    <w:p w14:paraId="118F9C40">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6"/>
          <w:szCs w:val="36"/>
          <w:highlight w:val="none"/>
          <w:lang w:eastAsia="zh-CN"/>
        </w:rPr>
        <w:t>桂林市妇幼保健院</w:t>
      </w:r>
      <w:r>
        <w:rPr>
          <w:rFonts w:hint="eastAsia" w:ascii="宋体" w:hAnsi="宋体" w:eastAsia="宋体" w:cs="宋体"/>
          <w:b/>
          <w:bCs w:val="0"/>
          <w:color w:val="auto"/>
          <w:sz w:val="36"/>
          <w:szCs w:val="36"/>
          <w:highlight w:val="none"/>
        </w:rPr>
        <w:t>廉洁购销合同</w:t>
      </w:r>
    </w:p>
    <w:p w14:paraId="5B37E17E">
      <w:pPr>
        <w:keepNext w:val="0"/>
        <w:keepLines w:val="0"/>
        <w:pageBreakBefore w:val="0"/>
        <w:widowControl w:val="0"/>
        <w:kinsoku/>
        <w:wordWrap/>
        <w:overflowPunct/>
        <w:topLinePunct w:val="0"/>
        <w:autoSpaceDE/>
        <w:autoSpaceDN/>
        <w:bidi w:val="0"/>
        <w:adjustRightInd/>
        <w:snapToGrid/>
        <w:spacing w:line="586" w:lineRule="exact"/>
        <w:ind w:firstLine="640" w:firstLineChars="200"/>
        <w:textAlignment w:val="auto"/>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 xml:space="preserve">                        </w:t>
      </w:r>
      <w:r>
        <w:rPr>
          <w:rFonts w:hint="eastAsia" w:ascii="宋体" w:hAnsi="宋体" w:eastAsia="宋体" w:cs="宋体"/>
          <w:sz w:val="21"/>
          <w:szCs w:val="21"/>
          <w:highlight w:val="none"/>
        </w:rPr>
        <w:t>合同编号：</w:t>
      </w:r>
    </w:p>
    <w:p w14:paraId="44836234">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p>
    <w:p w14:paraId="5C1BF136">
      <w:pPr>
        <w:keepNext w:val="0"/>
        <w:keepLines w:val="0"/>
        <w:pageBreakBefore w:val="0"/>
        <w:widowControl w:val="0"/>
        <w:kinsoku/>
        <w:wordWrap/>
        <w:overflowPunct/>
        <w:topLinePunct w:val="0"/>
        <w:autoSpaceDE/>
        <w:autoSpaceDN/>
        <w:bidi w:val="0"/>
        <w:adjustRightInd/>
        <w:snapToGrid/>
        <w:spacing w:line="586" w:lineRule="exact"/>
        <w:ind w:left="643" w:hanging="420" w:hanging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val="0"/>
          <w:bCs w:val="0"/>
          <w:sz w:val="21"/>
          <w:szCs w:val="21"/>
          <w:highlight w:val="none"/>
        </w:rPr>
        <w:t>甲方：</w:t>
      </w:r>
      <w:r>
        <w:rPr>
          <w:rFonts w:hint="eastAsia" w:ascii="宋体" w:hAnsi="宋体" w:eastAsia="宋体" w:cs="宋体"/>
          <w:sz w:val="21"/>
          <w:szCs w:val="21"/>
          <w:highlight w:val="none"/>
        </w:rPr>
        <w:t>名称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p>
    <w:p w14:paraId="62DF8763">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统一社会信用机构代码：</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en-US" w:eastAsia="zh-CN"/>
        </w:rPr>
        <w:t xml:space="preserve"> </w:t>
      </w:r>
    </w:p>
    <w:p w14:paraId="66B54B97">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经营地址：</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24B39B88">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none"/>
          <w:lang w:val="en-US" w:eastAsia="zh-CN"/>
        </w:rPr>
        <w:t xml:space="preserve"> </w:t>
      </w:r>
      <w:r>
        <w:rPr>
          <w:rFonts w:hint="eastAsia" w:ascii="宋体" w:hAnsi="宋体" w:eastAsia="宋体" w:cs="宋体"/>
          <w:sz w:val="21"/>
          <w:szCs w:val="21"/>
          <w:highlight w:val="none"/>
        </w:rPr>
        <w:t xml:space="preserve">                </w:t>
      </w:r>
    </w:p>
    <w:p w14:paraId="7952F29E">
      <w:pPr>
        <w:keepNext w:val="0"/>
        <w:keepLines w:val="0"/>
        <w:pageBreakBefore w:val="0"/>
        <w:widowControl w:val="0"/>
        <w:kinsoku/>
        <w:wordWrap/>
        <w:overflowPunct/>
        <w:topLinePunct w:val="0"/>
        <w:autoSpaceDE/>
        <w:autoSpaceDN/>
        <w:bidi w:val="0"/>
        <w:adjustRightInd/>
        <w:snapToGrid/>
        <w:spacing w:line="586" w:lineRule="exact"/>
        <w:ind w:left="643" w:hanging="420" w:hangingChars="200"/>
        <w:textAlignment w:val="auto"/>
        <w:rPr>
          <w:rFonts w:hint="eastAsia" w:ascii="宋体" w:hAnsi="宋体" w:eastAsia="宋体" w:cs="宋体"/>
          <w:sz w:val="21"/>
          <w:szCs w:val="21"/>
          <w:highlight w:val="none"/>
          <w:lang w:eastAsia="zh-CN"/>
        </w:rPr>
      </w:pPr>
      <w:r>
        <w:rPr>
          <w:rFonts w:hint="eastAsia" w:ascii="宋体" w:hAnsi="宋体" w:eastAsia="宋体" w:cs="宋体"/>
          <w:b w:val="0"/>
          <w:bCs w:val="0"/>
          <w:sz w:val="21"/>
          <w:szCs w:val="21"/>
          <w:highlight w:val="none"/>
        </w:rPr>
        <w:t>乙方：</w:t>
      </w:r>
      <w:r>
        <w:rPr>
          <w:rFonts w:hint="eastAsia" w:ascii="宋体" w:hAnsi="宋体" w:eastAsia="宋体" w:cs="宋体"/>
          <w:sz w:val="21"/>
          <w:szCs w:val="21"/>
          <w:highlight w:val="none"/>
        </w:rPr>
        <w:t>名称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val="en-US" w:eastAsia="zh-CN"/>
        </w:rPr>
        <w:t xml:space="preserve"> </w:t>
      </w:r>
    </w:p>
    <w:p w14:paraId="7E364AA0">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统一社会信用机构代码：</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p>
    <w:p w14:paraId="43F1F999">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经营地址：</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559420B8">
      <w:pPr>
        <w:keepNext w:val="0"/>
        <w:keepLines w:val="0"/>
        <w:pageBreakBefore w:val="0"/>
        <w:widowControl w:val="0"/>
        <w:kinsoku/>
        <w:wordWrap/>
        <w:overflowPunct/>
        <w:topLinePunct w:val="0"/>
        <w:autoSpaceDE/>
        <w:autoSpaceDN/>
        <w:bidi w:val="0"/>
        <w:adjustRightInd/>
        <w:snapToGrid/>
        <w:spacing w:line="586" w:lineRule="exact"/>
        <w:ind w:left="638" w:leftChars="304"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法定代表人（负责人）：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w:t>
      </w:r>
    </w:p>
    <w:p w14:paraId="4FCB4044">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为建立医疗卫生领域良好的营商环境，规范购销行为，纠正行业不正之风，有效防范商业贿赂行为，保证</w:t>
      </w:r>
      <w:r>
        <w:rPr>
          <w:rFonts w:hint="eastAsia" w:ascii="宋体" w:hAnsi="宋体" w:eastAsia="宋体" w:cs="宋体"/>
          <w:sz w:val="21"/>
          <w:szCs w:val="21"/>
          <w:highlight w:val="none"/>
          <w:lang w:val="en-US" w:eastAsia="zh-CN"/>
        </w:rPr>
        <w:t>项目的</w:t>
      </w:r>
      <w:r>
        <w:rPr>
          <w:rFonts w:hint="eastAsia" w:ascii="宋体" w:hAnsi="宋体" w:eastAsia="宋体" w:cs="宋体"/>
          <w:sz w:val="21"/>
          <w:szCs w:val="21"/>
          <w:highlight w:val="none"/>
        </w:rPr>
        <w:t>高效优质，保证</w:t>
      </w:r>
      <w:r>
        <w:rPr>
          <w:rFonts w:hint="eastAsia" w:ascii="宋体" w:hAnsi="宋体" w:eastAsia="宋体" w:cs="宋体"/>
          <w:sz w:val="21"/>
          <w:szCs w:val="21"/>
          <w:highlight w:val="none"/>
          <w:lang w:val="en-US" w:eastAsia="zh-CN"/>
        </w:rPr>
        <w:t>项目</w:t>
      </w:r>
      <w:r>
        <w:rPr>
          <w:rFonts w:hint="eastAsia" w:ascii="宋体" w:hAnsi="宋体" w:eastAsia="宋体" w:cs="宋体"/>
          <w:sz w:val="21"/>
          <w:szCs w:val="21"/>
          <w:highlight w:val="none"/>
        </w:rPr>
        <w:t>资金的安全和有效使用以及投资效益，</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 xml:space="preserve">                   </w:t>
      </w:r>
    </w:p>
    <w:p w14:paraId="00D1172C">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（项目名称）的项目法人（以下简称“甲方）与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（以下简称“乙方”）特订立如下合同。</w:t>
      </w:r>
    </w:p>
    <w:p w14:paraId="654466BD">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第一条</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甲乙双方共同的权利和义务</w:t>
      </w:r>
    </w:p>
    <w:p w14:paraId="726FD45A">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（一）严格遵守党的政策规定和国家有关法律法规及相关行业部门的有关规定。</w:t>
      </w:r>
    </w:p>
    <w:p w14:paraId="37298690">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（二）严格执行甲乙双方已签订的合同、文件要求，自觉按合同办事。</w:t>
      </w:r>
    </w:p>
    <w:p w14:paraId="52E92041">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（三）甲乙双方的业务活动坚持公开、公正、诚信、透明的原则（涉及国家秘密、商业秘密和合同另有约定的除外），不得损害国家和集体利益，不得违反</w:t>
      </w:r>
      <w:r>
        <w:rPr>
          <w:rFonts w:hint="eastAsia" w:ascii="宋体" w:hAnsi="宋体" w:eastAsia="宋体" w:cs="宋体"/>
          <w:sz w:val="21"/>
          <w:szCs w:val="21"/>
          <w:highlight w:val="none"/>
          <w:lang w:val="en-US" w:eastAsia="zh-CN"/>
        </w:rPr>
        <w:t>相关</w:t>
      </w:r>
      <w:r>
        <w:rPr>
          <w:rFonts w:hint="eastAsia" w:ascii="宋体" w:hAnsi="宋体" w:eastAsia="宋体" w:cs="宋体"/>
          <w:sz w:val="21"/>
          <w:szCs w:val="21"/>
          <w:highlight w:val="none"/>
        </w:rPr>
        <w:t>管理规章制度。</w:t>
      </w:r>
    </w:p>
    <w:p w14:paraId="4A05B7CA">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（四）建立健全廉政制度，开展廉政教育，可通过设立廉政告示牌、公布举报电话等方式，接受监督并认真查处违纪违法行为。</w:t>
      </w:r>
    </w:p>
    <w:p w14:paraId="00FC5A3D">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（五）发现对方在业务活动中有违反廉政规定或严重违反本合同义务条款的行为，有及时提醒对方纠正和向上级有关部门举报的权利。</w:t>
      </w:r>
    </w:p>
    <w:p w14:paraId="095B7096">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第二条</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甲方的义务</w:t>
      </w:r>
    </w:p>
    <w:p w14:paraId="31297408">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（一）甲方及其工作人员不得索要或接受乙方的礼金、有价证券和贵重物品，不得在乙方报销任何应由甲方或者甲方工作人员个人支付的费用等。</w:t>
      </w:r>
    </w:p>
    <w:p w14:paraId="42C1DE76">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（二）甲方工作人员不得参加乙方安排的超标准宴请和娱乐活动；不得接受乙方提供的通讯工具、交通工具和高档办公用品等。</w:t>
      </w:r>
    </w:p>
    <w:p w14:paraId="6058041E">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（三）甲方及其工作人员不得要求或者接受乙方为其住房装修、婚丧嫁娶活动、配偶子女及其亲属的工作安排以及出国出境、旅游等提供方便等。</w:t>
      </w:r>
    </w:p>
    <w:p w14:paraId="20DE0EEA">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（四）不准向乙方和相关单位介绍或为配偶、子女、亲属参与同本合同、本项目有关的业务等活动。</w:t>
      </w:r>
    </w:p>
    <w:p w14:paraId="0B93127D">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第三条 乙方的义务    </w:t>
      </w:r>
    </w:p>
    <w:p w14:paraId="739B7CA3">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（一）乙方不得以任何理由向甲方及其工作人员行贿或馈赠礼金、有价证券、贵重礼品。</w:t>
      </w:r>
    </w:p>
    <w:p w14:paraId="2E2F94A8">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（二）乙方不得以任何名义为甲方及其工作人员报销应由甲方单位或个人支付的任何费用。</w:t>
      </w:r>
    </w:p>
    <w:p w14:paraId="76E15FC3">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（三）乙方不得以任何理由安排甲方工作人员参加超标准宴请及娱乐活动。</w:t>
      </w:r>
    </w:p>
    <w:p w14:paraId="3752763C">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（四）乙方不得为甲方单位和个人购置或提供通讯工具、交通工具和高档办公用品等。</w:t>
      </w:r>
    </w:p>
    <w:p w14:paraId="0E7E3A8A">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第四条 违约责任</w:t>
      </w:r>
    </w:p>
    <w:p w14:paraId="6704222F">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（一）甲方及其工作人员违反本合同第一、二条，按管理权限，依据有关规定给予党纪、政纪或组织处理；涉嫌犯罪的，移交司法机关追究刑事责任；给乙方造成经济损失的，应给予赔偿</w:t>
      </w:r>
      <w:r>
        <w:rPr>
          <w:rFonts w:hint="eastAsia" w:ascii="宋体" w:hAnsi="宋体" w:eastAsia="宋体" w:cs="宋体"/>
          <w:sz w:val="21"/>
          <w:szCs w:val="21"/>
          <w:highlight w:val="none"/>
          <w:lang w:eastAsia="zh-CN"/>
        </w:rPr>
        <w:t>直接损失和间接损失</w:t>
      </w:r>
      <w:r>
        <w:rPr>
          <w:rFonts w:hint="eastAsia" w:ascii="宋体" w:hAnsi="宋体" w:eastAsia="宋体" w:cs="宋体"/>
          <w:sz w:val="21"/>
          <w:szCs w:val="21"/>
          <w:highlight w:val="none"/>
        </w:rPr>
        <w:t>。</w:t>
      </w:r>
    </w:p>
    <w:p w14:paraId="4AD0C860">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（二）乙方及其工作人员违反本合同第一、三条，按管理权限，依据有关规定给予党纪、政纪或组织处理；给甲方单位造成经济损失的，应予以赔偿</w:t>
      </w:r>
      <w:r>
        <w:rPr>
          <w:rFonts w:hint="eastAsia" w:ascii="宋体" w:hAnsi="宋体" w:eastAsia="宋体" w:cs="宋体"/>
          <w:sz w:val="21"/>
          <w:szCs w:val="21"/>
          <w:highlight w:val="none"/>
          <w:lang w:eastAsia="zh-CN"/>
        </w:rPr>
        <w:t>直接损失和间接损失</w:t>
      </w:r>
      <w:r>
        <w:rPr>
          <w:rFonts w:hint="eastAsia" w:ascii="宋体" w:hAnsi="宋体" w:eastAsia="宋体" w:cs="宋体"/>
          <w:sz w:val="21"/>
          <w:szCs w:val="21"/>
          <w:highlight w:val="none"/>
        </w:rPr>
        <w:t>；情节严重的，甲方可建议相关行业主管部门给予乙方一年至三年内不得进入其从事行业领域从事相关工作的处罚。</w:t>
      </w:r>
    </w:p>
    <w:p w14:paraId="7ADC92ED">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三</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乙方如违反本合同或者涉及违纪违规案件则视为乙方违约，甲方有权暂缓付款，对经济合同内容进行重新审核和财务审计，乙方承担合同中的违约责任。违法违纪事实认定后，视情节轻重，予以警告、整顿，</w:t>
      </w:r>
      <w:r>
        <w:rPr>
          <w:rFonts w:hint="eastAsia" w:ascii="宋体" w:hAnsi="宋体" w:eastAsia="宋体" w:cs="宋体"/>
          <w:sz w:val="21"/>
          <w:szCs w:val="21"/>
          <w:highlight w:val="none"/>
        </w:rPr>
        <w:t>乙方承担缔约过失责任、退还甲方全部已支付费用、按照合同金额的30%收取违约金；</w:t>
      </w:r>
      <w:r>
        <w:rPr>
          <w:rFonts w:hint="eastAsia" w:ascii="宋体" w:hAnsi="宋体" w:eastAsia="宋体" w:cs="宋体"/>
          <w:sz w:val="21"/>
          <w:szCs w:val="21"/>
          <w:highlight w:val="none"/>
        </w:rPr>
        <w:t>甲方有权单方面取消合作，原签订合同终止，且甲方无须为此承担任何责任。涉嫌商业贿赂犯罪的，移送相关部门依法处理，并向有关卫生健康行政部门报告。如乙方被列入商业贿赂不良记录，则严格按照《国家卫生计生委关于建立医药购销领域商业贿赂不良记录的规定》（国卫法制发〔2013〕50号）相关规定处理。</w:t>
      </w:r>
    </w:p>
    <w:p w14:paraId="6210A675">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第五条 双方约定</w:t>
      </w:r>
    </w:p>
    <w:p w14:paraId="4BC7DF41">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本合同有效期为甲乙双方签署之日起至主合同（合同编号：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）失效之日止。</w:t>
      </w:r>
    </w:p>
    <w:p w14:paraId="4AEDF77B">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第六条 本合同为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主合同（合同编号：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）的附件，与主合同具有同等的法律效力，经双方签署后立即生效。</w:t>
      </w:r>
    </w:p>
    <w:p w14:paraId="36F106A8">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p>
    <w:p w14:paraId="5CEA5DAD">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p>
    <w:p w14:paraId="071CDFA1">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甲</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方：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乙</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方：</w:t>
      </w:r>
    </w:p>
    <w:p w14:paraId="7EBEC1C3">
      <w:pPr>
        <w:keepNext w:val="0"/>
        <w:keepLines w:val="0"/>
        <w:pageBreakBefore w:val="0"/>
        <w:widowControl w:val="0"/>
        <w:kinsoku/>
        <w:wordWrap/>
        <w:overflowPunct/>
        <w:topLinePunct w:val="0"/>
        <w:autoSpaceDE/>
        <w:autoSpaceDN/>
        <w:bidi w:val="0"/>
        <w:adjustRightInd/>
        <w:snapToGrid/>
        <w:spacing w:line="586" w:lineRule="exact"/>
        <w:ind w:firstLine="210" w:firstLineChars="1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lang w:val="en-US" w:eastAsia="zh-CN"/>
        </w:rPr>
        <w:t xml:space="preserve">             </w:t>
      </w:r>
    </w:p>
    <w:p w14:paraId="5FF5A8AA">
      <w:pPr>
        <w:keepNext w:val="0"/>
        <w:keepLines w:val="0"/>
        <w:pageBreakBefore w:val="0"/>
        <w:widowControl w:val="0"/>
        <w:kinsoku/>
        <w:wordWrap/>
        <w:overflowPunct/>
        <w:topLinePunct w:val="0"/>
        <w:autoSpaceDE/>
        <w:autoSpaceDN/>
        <w:bidi w:val="0"/>
        <w:adjustRightInd/>
        <w:snapToGrid/>
        <w:spacing w:line="586" w:lineRule="exact"/>
        <w:ind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经  办  人：                   </w:t>
      </w:r>
      <w:r>
        <w:rPr>
          <w:rFonts w:hint="eastAsia" w:ascii="宋体" w:hAnsi="宋体" w:eastAsia="宋体" w:cs="宋体"/>
          <w:sz w:val="21"/>
          <w:szCs w:val="21"/>
          <w:highlight w:val="none"/>
        </w:rPr>
        <w:t>授权委托人：</w:t>
      </w:r>
    </w:p>
    <w:p w14:paraId="5F6639D8">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宋体" w:hAnsi="宋体" w:eastAsia="宋体" w:cs="宋体"/>
          <w:sz w:val="21"/>
          <w:szCs w:val="21"/>
          <w:highlight w:val="none"/>
        </w:rPr>
      </w:pPr>
    </w:p>
    <w:p w14:paraId="17BA04F3">
      <w:pPr>
        <w:keepNext w:val="0"/>
        <w:keepLines w:val="0"/>
        <w:pageBreakBefore w:val="0"/>
        <w:widowControl w:val="0"/>
        <w:kinsoku/>
        <w:wordWrap/>
        <w:overflowPunct/>
        <w:topLinePunct w:val="0"/>
        <w:autoSpaceDE/>
        <w:autoSpaceDN/>
        <w:bidi w:val="0"/>
        <w:adjustRightInd/>
        <w:snapToGrid/>
        <w:spacing w:line="586" w:lineRule="exact"/>
        <w:ind w:firstLine="420" w:firstLineChars="200"/>
        <w:textAlignment w:val="auto"/>
        <w:rPr>
          <w:rFonts w:hint="eastAsia" w:ascii="宋体" w:hAnsi="宋体" w:eastAsia="宋体" w:cs="宋体"/>
          <w:sz w:val="21"/>
          <w:szCs w:val="21"/>
          <w:highlight w:val="none"/>
        </w:rPr>
      </w:pPr>
    </w:p>
    <w:p w14:paraId="4616680D">
      <w:pPr>
        <w:keepNext w:val="0"/>
        <w:keepLines w:val="0"/>
        <w:pageBreakBefore w:val="0"/>
        <w:widowControl w:val="0"/>
        <w:kinsoku/>
        <w:wordWrap/>
        <w:overflowPunct/>
        <w:topLinePunct w:val="0"/>
        <w:autoSpaceDE/>
        <w:autoSpaceDN/>
        <w:bidi w:val="0"/>
        <w:adjustRightInd/>
        <w:snapToGrid/>
        <w:spacing w:line="586"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年   月   日               </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年   月   日</w:t>
      </w:r>
    </w:p>
    <w:p w14:paraId="56F04CAA">
      <w:pPr>
        <w:spacing w:line="460" w:lineRule="exact"/>
        <w:rPr>
          <w:rFonts w:hint="eastAsia" w:ascii="宋体" w:hAnsi="宋体" w:cs="宋体"/>
          <w:b/>
          <w:bCs/>
          <w:kern w:val="0"/>
          <w:sz w:val="21"/>
          <w:szCs w:val="21"/>
          <w:highlight w:val="none"/>
        </w:rPr>
      </w:pPr>
    </w:p>
    <w:p w14:paraId="6FD07DB2">
      <w:pPr>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74E419C">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p w14:paraId="7CD9ADF8">
      <w:pPr>
        <w:jc w:val="center"/>
        <w:rPr>
          <w:rFonts w:hint="eastAsia" w:ascii="宋体" w:hAnsi="宋体" w:eastAsia="宋体" w:cs="宋体"/>
          <w:color w:val="auto"/>
          <w:sz w:val="36"/>
          <w:szCs w:val="36"/>
          <w:highlight w:val="none"/>
        </w:rPr>
      </w:pPr>
    </w:p>
    <w:tbl>
      <w:tblPr>
        <w:tblStyle w:val="48"/>
        <w:tblW w:w="0" w:type="auto"/>
        <w:tblInd w:w="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791"/>
      </w:tblGrid>
      <w:tr w14:paraId="30CBB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5D63061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w:t>
            </w:r>
          </w:p>
          <w:p w14:paraId="2A78A2A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w:t>
            </w:r>
          </w:p>
          <w:p w14:paraId="6AD7466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w:t>
            </w:r>
          </w:p>
          <w:p w14:paraId="793B35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w:t>
            </w:r>
          </w:p>
          <w:p w14:paraId="5CCA28C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w:t>
            </w:r>
          </w:p>
        </w:tc>
        <w:tc>
          <w:tcPr>
            <w:tcW w:w="7791" w:type="dxa"/>
            <w:noWrap w:val="0"/>
            <w:vAlign w:val="center"/>
          </w:tcPr>
          <w:p w14:paraId="1935696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tc>
      </w:tr>
      <w:tr w14:paraId="6D05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11A3F15">
            <w:pPr>
              <w:rPr>
                <w:rFonts w:hint="eastAsia" w:ascii="宋体" w:hAnsi="宋体" w:eastAsia="宋体" w:cs="宋体"/>
                <w:color w:val="auto"/>
                <w:sz w:val="21"/>
                <w:szCs w:val="21"/>
                <w:highlight w:val="none"/>
              </w:rPr>
            </w:pPr>
          </w:p>
        </w:tc>
        <w:tc>
          <w:tcPr>
            <w:tcW w:w="7791" w:type="dxa"/>
            <w:noWrap w:val="0"/>
            <w:vAlign w:val="center"/>
          </w:tcPr>
          <w:p w14:paraId="4223E88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r>
      <w:tr w14:paraId="3CEB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514740CC">
            <w:pPr>
              <w:rPr>
                <w:rFonts w:hint="eastAsia" w:ascii="宋体" w:hAnsi="宋体" w:eastAsia="宋体" w:cs="宋体"/>
                <w:color w:val="auto"/>
                <w:sz w:val="21"/>
                <w:szCs w:val="21"/>
                <w:highlight w:val="none"/>
              </w:rPr>
            </w:pPr>
          </w:p>
        </w:tc>
        <w:tc>
          <w:tcPr>
            <w:tcW w:w="7791" w:type="dxa"/>
            <w:noWrap w:val="0"/>
            <w:vAlign w:val="top"/>
          </w:tcPr>
          <w:p w14:paraId="10D221E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7312B46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该项目已于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日验收并交付使用。根据合同规定，该项目的履约保证金期限于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日已满，请将履约保证金</w:t>
            </w:r>
          </w:p>
          <w:p w14:paraId="5D196E44">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（小写）退付到达以下</w:t>
            </w:r>
            <w:r>
              <w:rPr>
                <w:rFonts w:hint="eastAsia" w:ascii="宋体" w:hAnsi="宋体" w:cs="宋体"/>
                <w:color w:val="auto"/>
                <w:sz w:val="21"/>
                <w:szCs w:val="21"/>
                <w:highlight w:val="none"/>
                <w:lang w:eastAsia="zh-CN"/>
              </w:rPr>
              <w:t>账</w:t>
            </w:r>
            <w:r>
              <w:rPr>
                <w:rFonts w:hint="eastAsia" w:ascii="宋体" w:hAnsi="宋体" w:eastAsia="宋体" w:cs="宋体"/>
                <w:color w:val="auto"/>
                <w:sz w:val="21"/>
                <w:szCs w:val="21"/>
                <w:highlight w:val="none"/>
              </w:rPr>
              <w:t>户。</w:t>
            </w:r>
          </w:p>
          <w:p w14:paraId="6156B60D">
            <w:pPr>
              <w:spacing w:line="400" w:lineRule="exact"/>
              <w:ind w:firstLine="7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6A08A350">
            <w:pPr>
              <w:spacing w:line="400" w:lineRule="exact"/>
              <w:ind w:firstLine="70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p w14:paraId="652699CC">
            <w:pPr>
              <w:spacing w:line="400" w:lineRule="exact"/>
              <w:ind w:firstLine="705"/>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账</w:t>
            </w:r>
            <w:r>
              <w:rPr>
                <w:rFonts w:hint="eastAsia" w:ascii="宋体" w:hAnsi="宋体" w:eastAsia="宋体" w:cs="宋体"/>
                <w:color w:val="auto"/>
                <w:sz w:val="21"/>
                <w:szCs w:val="21"/>
                <w:highlight w:val="none"/>
              </w:rPr>
              <w:t xml:space="preserve">   号：</w:t>
            </w:r>
          </w:p>
          <w:p w14:paraId="4D2266E4">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联系人及电话：</w:t>
            </w:r>
          </w:p>
          <w:p w14:paraId="2C1815F0">
            <w:pPr>
              <w:spacing w:line="400" w:lineRule="exact"/>
              <w:rPr>
                <w:rFonts w:hint="eastAsia" w:ascii="宋体" w:hAnsi="宋体" w:eastAsia="宋体" w:cs="宋体"/>
                <w:color w:val="auto"/>
                <w:sz w:val="21"/>
                <w:szCs w:val="21"/>
                <w:highlight w:val="none"/>
              </w:rPr>
            </w:pPr>
          </w:p>
          <w:p w14:paraId="29D468DE">
            <w:pPr>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投标人签章：</w:t>
            </w:r>
          </w:p>
          <w:p w14:paraId="43594CAA">
            <w:pPr>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095F8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2D192C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w:t>
            </w:r>
          </w:p>
          <w:p w14:paraId="5BB0A80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w:t>
            </w:r>
          </w:p>
          <w:p w14:paraId="2D575E6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p w14:paraId="5DA5F29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意</w:t>
            </w:r>
          </w:p>
          <w:p w14:paraId="4F29986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w:t>
            </w:r>
          </w:p>
        </w:tc>
        <w:tc>
          <w:tcPr>
            <w:tcW w:w="7791" w:type="dxa"/>
            <w:noWrap w:val="0"/>
            <w:vAlign w:val="top"/>
          </w:tcPr>
          <w:p w14:paraId="6FAAD208">
            <w:pPr>
              <w:rPr>
                <w:rFonts w:hint="eastAsia" w:ascii="宋体" w:hAnsi="宋体" w:eastAsia="宋体" w:cs="宋体"/>
                <w:color w:val="auto"/>
                <w:sz w:val="21"/>
                <w:szCs w:val="21"/>
                <w:highlight w:val="none"/>
              </w:rPr>
            </w:pPr>
          </w:p>
          <w:p w14:paraId="79443FE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退付意见：（是否同意退付履约保证金及退付金额）</w:t>
            </w:r>
          </w:p>
          <w:p w14:paraId="420C1B9C">
            <w:pPr>
              <w:rPr>
                <w:rFonts w:hint="eastAsia" w:ascii="宋体" w:hAnsi="宋体" w:eastAsia="宋体" w:cs="宋体"/>
                <w:color w:val="auto"/>
                <w:sz w:val="21"/>
                <w:szCs w:val="21"/>
                <w:highlight w:val="none"/>
              </w:rPr>
            </w:pPr>
          </w:p>
          <w:p w14:paraId="30FE8E27">
            <w:pPr>
              <w:rPr>
                <w:rFonts w:hint="eastAsia" w:ascii="宋体" w:hAnsi="宋体" w:eastAsia="宋体" w:cs="宋体"/>
                <w:color w:val="auto"/>
                <w:sz w:val="21"/>
                <w:szCs w:val="21"/>
                <w:highlight w:val="none"/>
              </w:rPr>
            </w:pPr>
          </w:p>
          <w:p w14:paraId="331F3721">
            <w:pPr>
              <w:rPr>
                <w:rFonts w:hint="eastAsia" w:ascii="宋体" w:hAnsi="宋体" w:eastAsia="宋体" w:cs="宋体"/>
                <w:color w:val="auto"/>
                <w:sz w:val="21"/>
                <w:szCs w:val="21"/>
                <w:highlight w:val="none"/>
              </w:rPr>
            </w:pPr>
          </w:p>
          <w:p w14:paraId="7A6C04EB">
            <w:pPr>
              <w:rPr>
                <w:rFonts w:hint="eastAsia" w:ascii="宋体" w:hAnsi="宋体" w:eastAsia="宋体" w:cs="宋体"/>
                <w:color w:val="auto"/>
                <w:sz w:val="21"/>
                <w:szCs w:val="21"/>
                <w:highlight w:val="none"/>
              </w:rPr>
            </w:pPr>
          </w:p>
          <w:p w14:paraId="2D022A26">
            <w:pPr>
              <w:spacing w:line="5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联系人及电话：                         采购人签章</w:t>
            </w:r>
          </w:p>
          <w:p w14:paraId="596D6FAF">
            <w:pPr>
              <w:spacing w:line="5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238C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705A393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7791" w:type="dxa"/>
            <w:noWrap w:val="0"/>
            <w:vAlign w:val="top"/>
          </w:tcPr>
          <w:p w14:paraId="63705CEE">
            <w:pPr>
              <w:rPr>
                <w:rFonts w:hint="eastAsia" w:ascii="宋体" w:hAnsi="宋体" w:eastAsia="宋体" w:cs="宋体"/>
                <w:color w:val="auto"/>
                <w:sz w:val="21"/>
                <w:szCs w:val="21"/>
                <w:highlight w:val="none"/>
              </w:rPr>
            </w:pPr>
          </w:p>
        </w:tc>
      </w:tr>
    </w:tbl>
    <w:p w14:paraId="1BCF27AE">
      <w:pPr>
        <w:snapToGrid w:val="0"/>
        <w:jc w:val="center"/>
        <w:rPr>
          <w:rFonts w:ascii="宋体" w:hAnsi="宋体" w:cs="宋体"/>
          <w:bCs/>
          <w:sz w:val="21"/>
          <w:szCs w:val="21"/>
          <w:highlight w:val="none"/>
        </w:rPr>
      </w:pPr>
      <w:r>
        <w:rPr>
          <w:rFonts w:hint="eastAsia" w:ascii="宋体" w:hAnsi="宋体" w:eastAsia="宋体" w:cs="宋体"/>
          <w:b/>
          <w:bCs/>
          <w:color w:val="auto"/>
          <w:sz w:val="21"/>
          <w:szCs w:val="21"/>
          <w:highlight w:val="none"/>
        </w:rPr>
        <w:t>注：投标人凭经采购人审批的退付意见书到保证金收取单位办理履约保证金退付事宜。</w:t>
      </w:r>
    </w:p>
    <w:p w14:paraId="460A0DAA">
      <w:pPr>
        <w:rPr>
          <w:rFonts w:ascii="宋体" w:hAnsi="宋体" w:cs="宋体"/>
          <w:bCs/>
          <w:sz w:val="21"/>
          <w:szCs w:val="21"/>
          <w:highlight w:val="none"/>
        </w:rPr>
      </w:pPr>
      <w:r>
        <w:rPr>
          <w:rFonts w:ascii="宋体" w:hAnsi="宋体" w:cs="宋体"/>
          <w:bCs/>
          <w:sz w:val="21"/>
          <w:szCs w:val="21"/>
          <w:highlight w:val="none"/>
        </w:rPr>
        <w:br w:type="page"/>
      </w:r>
    </w:p>
    <w:tbl>
      <w:tblPr>
        <w:tblStyle w:val="48"/>
        <w:tblW w:w="4799" w:type="pct"/>
        <w:tblInd w:w="105" w:type="dxa"/>
        <w:tblLayout w:type="autofit"/>
        <w:tblCellMar>
          <w:top w:w="0" w:type="dxa"/>
          <w:left w:w="108" w:type="dxa"/>
          <w:bottom w:w="0" w:type="dxa"/>
          <w:right w:w="108" w:type="dxa"/>
        </w:tblCellMar>
      </w:tblPr>
      <w:tblGrid>
        <w:gridCol w:w="1297"/>
        <w:gridCol w:w="1877"/>
        <w:gridCol w:w="778"/>
        <w:gridCol w:w="101"/>
        <w:gridCol w:w="1956"/>
        <w:gridCol w:w="171"/>
        <w:gridCol w:w="670"/>
        <w:gridCol w:w="1857"/>
      </w:tblGrid>
      <w:tr w14:paraId="5F57D9AD">
        <w:tblPrEx>
          <w:tblCellMar>
            <w:top w:w="0" w:type="dxa"/>
            <w:left w:w="108" w:type="dxa"/>
            <w:bottom w:w="0" w:type="dxa"/>
            <w:right w:w="108" w:type="dxa"/>
          </w:tblCellMar>
        </w:tblPrEx>
        <w:trPr>
          <w:trHeight w:val="605" w:hRule="atLeast"/>
        </w:trPr>
        <w:tc>
          <w:tcPr>
            <w:tcW w:w="5000" w:type="pct"/>
            <w:gridSpan w:val="8"/>
            <w:tcBorders>
              <w:top w:val="nil"/>
              <w:left w:val="nil"/>
              <w:bottom w:val="nil"/>
              <w:right w:val="nil"/>
            </w:tcBorders>
            <w:noWrap/>
            <w:vAlign w:val="center"/>
          </w:tcPr>
          <w:p w14:paraId="7BD2EEAA">
            <w:pPr>
              <w:widowControl/>
              <w:jc w:val="center"/>
              <w:rPr>
                <w:rFonts w:hint="eastAsia" w:ascii="宋体" w:hAnsi="宋体" w:eastAsia="宋体" w:cs="宋体"/>
                <w:b/>
                <w:bCs/>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广西壮族自治区政府采购项目合同验收书（格式）</w:t>
            </w:r>
          </w:p>
        </w:tc>
      </w:tr>
      <w:tr w14:paraId="2B3DC29B">
        <w:tblPrEx>
          <w:tblCellMar>
            <w:top w:w="0" w:type="dxa"/>
            <w:left w:w="108" w:type="dxa"/>
            <w:bottom w:w="0" w:type="dxa"/>
            <w:right w:w="108" w:type="dxa"/>
          </w:tblCellMar>
        </w:tblPrEx>
        <w:trPr>
          <w:trHeight w:val="908" w:hRule="atLeast"/>
        </w:trPr>
        <w:tc>
          <w:tcPr>
            <w:tcW w:w="5000" w:type="pct"/>
            <w:gridSpan w:val="8"/>
            <w:tcBorders>
              <w:top w:val="nil"/>
              <w:left w:val="nil"/>
              <w:bottom w:val="single" w:color="auto" w:sz="8" w:space="0"/>
              <w:right w:val="nil"/>
            </w:tcBorders>
            <w:noWrap w:val="0"/>
            <w:vAlign w:val="center"/>
          </w:tcPr>
          <w:p w14:paraId="3439A88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根据政府采购项目（</w:t>
            </w:r>
            <w:r>
              <w:rPr>
                <w:rFonts w:hint="eastAsia" w:ascii="宋体" w:hAnsi="宋体" w:eastAsia="宋体" w:cs="宋体"/>
                <w:color w:val="auto"/>
                <w:kern w:val="0"/>
                <w:sz w:val="21"/>
                <w:szCs w:val="21"/>
                <w:highlight w:val="none"/>
                <w:u w:val="single"/>
              </w:rPr>
              <w:t>采购合同编号：</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softHyphen/>
            </w:r>
            <w:r>
              <w:rPr>
                <w:rFonts w:hint="eastAsia" w:ascii="宋体" w:hAnsi="宋体" w:eastAsia="宋体" w:cs="宋体"/>
                <w:color w:val="auto"/>
                <w:kern w:val="0"/>
                <w:sz w:val="21"/>
                <w:szCs w:val="21"/>
                <w:highlight w:val="none"/>
              </w:rPr>
              <w:t>）的约定，我单位对（</w:t>
            </w:r>
            <w:r>
              <w:rPr>
                <w:rFonts w:hint="eastAsia" w:ascii="宋体" w:hAnsi="宋体" w:eastAsia="宋体" w:cs="宋体"/>
                <w:color w:val="auto"/>
                <w:kern w:val="0"/>
                <w:sz w:val="21"/>
                <w:szCs w:val="21"/>
                <w:highlight w:val="none"/>
                <w:u w:val="single"/>
              </w:rPr>
              <w:t>项目名称</w:t>
            </w:r>
            <w:r>
              <w:rPr>
                <w:rFonts w:hint="eastAsia" w:ascii="宋体" w:hAnsi="宋体" w:eastAsia="宋体" w:cs="宋体"/>
                <w:color w:val="auto"/>
                <w:kern w:val="0"/>
                <w:sz w:val="21"/>
                <w:szCs w:val="21"/>
                <w:highlight w:val="none"/>
              </w:rPr>
              <w:t>）政府采购项目中标（或者成交）投标人（</w:t>
            </w:r>
            <w:r>
              <w:rPr>
                <w:rFonts w:hint="eastAsia" w:ascii="宋体" w:hAnsi="宋体" w:eastAsia="宋体" w:cs="宋体"/>
                <w:color w:val="auto"/>
                <w:kern w:val="0"/>
                <w:sz w:val="21"/>
                <w:szCs w:val="21"/>
                <w:highlight w:val="none"/>
                <w:u w:val="single"/>
              </w:rPr>
              <w:t>公司名称</w:t>
            </w:r>
            <w:r>
              <w:rPr>
                <w:rFonts w:hint="eastAsia" w:ascii="宋体" w:hAnsi="宋体" w:eastAsia="宋体" w:cs="宋体"/>
                <w:color w:val="auto"/>
                <w:kern w:val="0"/>
                <w:sz w:val="21"/>
                <w:szCs w:val="21"/>
                <w:highlight w:val="none"/>
              </w:rPr>
              <w:t>）提供的货物（或者工程、服务）进行了验收，验收情况如下：</w:t>
            </w:r>
          </w:p>
        </w:tc>
      </w:tr>
      <w:tr w14:paraId="55B2CCF4">
        <w:tblPrEx>
          <w:tblCellMar>
            <w:top w:w="0" w:type="dxa"/>
            <w:left w:w="0" w:type="dxa"/>
            <w:bottom w:w="0" w:type="dxa"/>
            <w:right w:w="0" w:type="dxa"/>
          </w:tblCellMar>
        </w:tblPrEx>
        <w:trPr>
          <w:trHeight w:val="497" w:hRule="atLeast"/>
        </w:trPr>
        <w:tc>
          <w:tcPr>
            <w:tcW w:w="1823" w:type="pct"/>
            <w:gridSpan w:val="2"/>
            <w:tcBorders>
              <w:top w:val="single" w:color="auto" w:sz="8" w:space="0"/>
              <w:left w:val="single" w:color="auto" w:sz="8" w:space="0"/>
              <w:bottom w:val="single" w:color="auto" w:sz="8" w:space="0"/>
              <w:right w:val="single" w:color="auto" w:sz="8" w:space="0"/>
            </w:tcBorders>
            <w:noWrap w:val="0"/>
            <w:vAlign w:val="center"/>
          </w:tcPr>
          <w:p w14:paraId="27A8FCFA">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3176" w:type="pct"/>
            <w:gridSpan w:val="6"/>
            <w:tcBorders>
              <w:top w:val="single" w:color="auto" w:sz="8" w:space="0"/>
              <w:left w:val="nil"/>
              <w:bottom w:val="single" w:color="auto" w:sz="8" w:space="0"/>
              <w:right w:val="single" w:color="auto" w:sz="8" w:space="0"/>
            </w:tcBorders>
            <w:noWrap w:val="0"/>
            <w:vAlign w:val="center"/>
          </w:tcPr>
          <w:p w14:paraId="07DDA22B">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22AE96A6">
        <w:tblPrEx>
          <w:tblCellMar>
            <w:top w:w="0" w:type="dxa"/>
            <w:left w:w="0" w:type="dxa"/>
            <w:bottom w:w="0" w:type="dxa"/>
            <w:right w:w="0" w:type="dxa"/>
          </w:tblCellMar>
        </w:tblPrEx>
        <w:trPr>
          <w:trHeight w:val="622" w:hRule="atLeast"/>
        </w:trPr>
        <w:tc>
          <w:tcPr>
            <w:tcW w:w="745" w:type="pct"/>
            <w:tcBorders>
              <w:top w:val="nil"/>
              <w:left w:val="single" w:color="auto" w:sz="8" w:space="0"/>
              <w:bottom w:val="single" w:color="auto" w:sz="8" w:space="0"/>
              <w:right w:val="single" w:color="auto" w:sz="8" w:space="0"/>
            </w:tcBorders>
            <w:noWrap w:val="0"/>
            <w:vAlign w:val="center"/>
          </w:tcPr>
          <w:p w14:paraId="3607149C">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077" w:type="pct"/>
            <w:tcBorders>
              <w:top w:val="nil"/>
              <w:left w:val="nil"/>
              <w:bottom w:val="single" w:color="auto" w:sz="8" w:space="0"/>
              <w:right w:val="single" w:color="auto" w:sz="8" w:space="0"/>
            </w:tcBorders>
            <w:noWrap w:val="0"/>
            <w:vAlign w:val="center"/>
          </w:tcPr>
          <w:p w14:paraId="7E6B6604">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1628" w:type="pct"/>
            <w:gridSpan w:val="3"/>
            <w:tcBorders>
              <w:top w:val="nil"/>
              <w:left w:val="nil"/>
              <w:bottom w:val="single" w:color="auto" w:sz="8" w:space="0"/>
              <w:right w:val="single" w:color="auto" w:sz="8" w:space="0"/>
            </w:tcBorders>
            <w:noWrap w:val="0"/>
            <w:vAlign w:val="center"/>
          </w:tcPr>
          <w:p w14:paraId="77EE4356">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483" w:type="pct"/>
            <w:gridSpan w:val="2"/>
            <w:tcBorders>
              <w:top w:val="nil"/>
              <w:left w:val="nil"/>
              <w:bottom w:val="single" w:color="auto" w:sz="8" w:space="0"/>
              <w:right w:val="single" w:color="auto" w:sz="8" w:space="0"/>
            </w:tcBorders>
            <w:noWrap w:val="0"/>
            <w:vAlign w:val="center"/>
          </w:tcPr>
          <w:p w14:paraId="3C9A25B7">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064" w:type="pct"/>
            <w:tcBorders>
              <w:top w:val="nil"/>
              <w:left w:val="nil"/>
              <w:bottom w:val="single" w:color="auto" w:sz="8" w:space="0"/>
              <w:right w:val="single" w:color="auto" w:sz="8" w:space="0"/>
            </w:tcBorders>
            <w:noWrap w:val="0"/>
            <w:vAlign w:val="center"/>
          </w:tcPr>
          <w:p w14:paraId="79667F07">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618E4E8F">
        <w:tblPrEx>
          <w:tblCellMar>
            <w:top w:w="0" w:type="dxa"/>
            <w:left w:w="0" w:type="dxa"/>
            <w:bottom w:w="0" w:type="dxa"/>
            <w:right w:w="0" w:type="dxa"/>
          </w:tblCellMar>
        </w:tblPrEx>
        <w:trPr>
          <w:trHeight w:val="487" w:hRule="atLeast"/>
        </w:trPr>
        <w:tc>
          <w:tcPr>
            <w:tcW w:w="745" w:type="pct"/>
            <w:tcBorders>
              <w:top w:val="nil"/>
              <w:left w:val="single" w:color="auto" w:sz="8" w:space="0"/>
              <w:bottom w:val="single" w:color="auto" w:sz="8" w:space="0"/>
              <w:right w:val="single" w:color="auto" w:sz="8" w:space="0"/>
            </w:tcBorders>
            <w:noWrap w:val="0"/>
            <w:vAlign w:val="center"/>
          </w:tcPr>
          <w:p w14:paraId="7C0FEC1E">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77" w:type="pct"/>
            <w:tcBorders>
              <w:top w:val="nil"/>
              <w:left w:val="nil"/>
              <w:bottom w:val="single" w:color="auto" w:sz="8" w:space="0"/>
              <w:right w:val="single" w:color="auto" w:sz="8" w:space="0"/>
            </w:tcBorders>
            <w:noWrap w:val="0"/>
            <w:vAlign w:val="center"/>
          </w:tcPr>
          <w:p w14:paraId="15B38ED6">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28" w:type="pct"/>
            <w:gridSpan w:val="3"/>
            <w:tcBorders>
              <w:top w:val="nil"/>
              <w:left w:val="nil"/>
              <w:bottom w:val="single" w:color="auto" w:sz="8" w:space="0"/>
              <w:right w:val="single" w:color="auto" w:sz="8" w:space="0"/>
            </w:tcBorders>
            <w:noWrap w:val="0"/>
            <w:vAlign w:val="center"/>
          </w:tcPr>
          <w:p w14:paraId="4275EDC6">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483" w:type="pct"/>
            <w:gridSpan w:val="2"/>
            <w:tcBorders>
              <w:top w:val="nil"/>
              <w:left w:val="nil"/>
              <w:bottom w:val="single" w:color="auto" w:sz="8" w:space="0"/>
              <w:right w:val="single" w:color="auto" w:sz="8" w:space="0"/>
            </w:tcBorders>
            <w:noWrap w:val="0"/>
            <w:vAlign w:val="center"/>
          </w:tcPr>
          <w:p w14:paraId="59DFE2D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64" w:type="pct"/>
            <w:tcBorders>
              <w:top w:val="nil"/>
              <w:left w:val="nil"/>
              <w:bottom w:val="single" w:color="auto" w:sz="8" w:space="0"/>
              <w:right w:val="single" w:color="auto" w:sz="8" w:space="0"/>
            </w:tcBorders>
            <w:noWrap w:val="0"/>
            <w:vAlign w:val="center"/>
          </w:tcPr>
          <w:p w14:paraId="3B5CFEC1">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9E2CF2B">
        <w:tblPrEx>
          <w:tblCellMar>
            <w:top w:w="0" w:type="dxa"/>
            <w:left w:w="0" w:type="dxa"/>
            <w:bottom w:w="0" w:type="dxa"/>
            <w:right w:w="0" w:type="dxa"/>
          </w:tblCellMar>
        </w:tblPrEx>
        <w:trPr>
          <w:trHeight w:val="487" w:hRule="atLeast"/>
        </w:trPr>
        <w:tc>
          <w:tcPr>
            <w:tcW w:w="745" w:type="pct"/>
            <w:tcBorders>
              <w:top w:val="nil"/>
              <w:left w:val="single" w:color="auto" w:sz="8" w:space="0"/>
              <w:bottom w:val="single" w:color="auto" w:sz="8" w:space="0"/>
              <w:right w:val="single" w:color="auto" w:sz="8" w:space="0"/>
            </w:tcBorders>
            <w:noWrap w:val="0"/>
            <w:vAlign w:val="center"/>
          </w:tcPr>
          <w:p w14:paraId="4EECC47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77" w:type="pct"/>
            <w:tcBorders>
              <w:top w:val="nil"/>
              <w:left w:val="nil"/>
              <w:bottom w:val="single" w:color="auto" w:sz="8" w:space="0"/>
              <w:right w:val="single" w:color="auto" w:sz="8" w:space="0"/>
            </w:tcBorders>
            <w:noWrap w:val="0"/>
            <w:vAlign w:val="center"/>
          </w:tcPr>
          <w:p w14:paraId="059365B2">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28" w:type="pct"/>
            <w:gridSpan w:val="3"/>
            <w:tcBorders>
              <w:top w:val="nil"/>
              <w:left w:val="nil"/>
              <w:bottom w:val="single" w:color="auto" w:sz="8" w:space="0"/>
              <w:right w:val="single" w:color="auto" w:sz="8" w:space="0"/>
            </w:tcBorders>
            <w:noWrap w:val="0"/>
            <w:vAlign w:val="center"/>
          </w:tcPr>
          <w:p w14:paraId="56AC235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483" w:type="pct"/>
            <w:gridSpan w:val="2"/>
            <w:tcBorders>
              <w:top w:val="nil"/>
              <w:left w:val="nil"/>
              <w:bottom w:val="single" w:color="auto" w:sz="8" w:space="0"/>
              <w:right w:val="single" w:color="auto" w:sz="8" w:space="0"/>
            </w:tcBorders>
            <w:noWrap w:val="0"/>
            <w:vAlign w:val="center"/>
          </w:tcPr>
          <w:p w14:paraId="6A0E78E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64" w:type="pct"/>
            <w:tcBorders>
              <w:top w:val="nil"/>
              <w:left w:val="nil"/>
              <w:bottom w:val="single" w:color="auto" w:sz="8" w:space="0"/>
              <w:right w:val="single" w:color="auto" w:sz="8" w:space="0"/>
            </w:tcBorders>
            <w:noWrap w:val="0"/>
            <w:vAlign w:val="center"/>
          </w:tcPr>
          <w:p w14:paraId="4E651B86">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52A7EF4">
        <w:tblPrEx>
          <w:tblCellMar>
            <w:top w:w="0" w:type="dxa"/>
            <w:left w:w="0" w:type="dxa"/>
            <w:bottom w:w="0" w:type="dxa"/>
            <w:right w:w="0" w:type="dxa"/>
          </w:tblCellMar>
        </w:tblPrEx>
        <w:trPr>
          <w:trHeight w:val="487" w:hRule="atLeast"/>
        </w:trPr>
        <w:tc>
          <w:tcPr>
            <w:tcW w:w="745" w:type="pct"/>
            <w:tcBorders>
              <w:top w:val="nil"/>
              <w:left w:val="single" w:color="auto" w:sz="8" w:space="0"/>
              <w:bottom w:val="single" w:color="auto" w:sz="8" w:space="0"/>
              <w:right w:val="single" w:color="auto" w:sz="8" w:space="0"/>
            </w:tcBorders>
            <w:noWrap w:val="0"/>
            <w:vAlign w:val="center"/>
          </w:tcPr>
          <w:p w14:paraId="6E6421F2">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77" w:type="pct"/>
            <w:tcBorders>
              <w:top w:val="nil"/>
              <w:left w:val="nil"/>
              <w:bottom w:val="single" w:color="auto" w:sz="8" w:space="0"/>
              <w:right w:val="single" w:color="auto" w:sz="8" w:space="0"/>
            </w:tcBorders>
            <w:noWrap w:val="0"/>
            <w:vAlign w:val="center"/>
          </w:tcPr>
          <w:p w14:paraId="284801C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628" w:type="pct"/>
            <w:gridSpan w:val="3"/>
            <w:tcBorders>
              <w:top w:val="nil"/>
              <w:left w:val="nil"/>
              <w:bottom w:val="single" w:color="auto" w:sz="8" w:space="0"/>
              <w:right w:val="single" w:color="auto" w:sz="8" w:space="0"/>
            </w:tcBorders>
            <w:noWrap w:val="0"/>
            <w:vAlign w:val="center"/>
          </w:tcPr>
          <w:p w14:paraId="7A8FB89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483" w:type="pct"/>
            <w:gridSpan w:val="2"/>
            <w:tcBorders>
              <w:top w:val="nil"/>
              <w:left w:val="nil"/>
              <w:bottom w:val="single" w:color="auto" w:sz="8" w:space="0"/>
              <w:right w:val="single" w:color="auto" w:sz="8" w:space="0"/>
            </w:tcBorders>
            <w:noWrap w:val="0"/>
            <w:vAlign w:val="center"/>
          </w:tcPr>
          <w:p w14:paraId="6781802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64" w:type="pct"/>
            <w:tcBorders>
              <w:top w:val="nil"/>
              <w:left w:val="nil"/>
              <w:bottom w:val="single" w:color="auto" w:sz="8" w:space="0"/>
              <w:right w:val="single" w:color="auto" w:sz="8" w:space="0"/>
            </w:tcBorders>
            <w:noWrap w:val="0"/>
            <w:vAlign w:val="center"/>
          </w:tcPr>
          <w:p w14:paraId="2F49DF6F">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E34CD1B">
        <w:tblPrEx>
          <w:tblCellMar>
            <w:top w:w="0" w:type="dxa"/>
            <w:left w:w="0" w:type="dxa"/>
            <w:bottom w:w="0" w:type="dxa"/>
            <w:right w:w="0" w:type="dxa"/>
          </w:tblCellMar>
        </w:tblPrEx>
        <w:trPr>
          <w:trHeight w:val="487" w:hRule="atLeast"/>
        </w:trPr>
        <w:tc>
          <w:tcPr>
            <w:tcW w:w="3451" w:type="pct"/>
            <w:gridSpan w:val="5"/>
            <w:tcBorders>
              <w:top w:val="nil"/>
              <w:left w:val="single" w:color="auto" w:sz="8" w:space="0"/>
              <w:bottom w:val="single" w:color="auto" w:sz="8" w:space="0"/>
              <w:right w:val="single" w:color="auto" w:sz="8" w:space="0"/>
            </w:tcBorders>
            <w:noWrap w:val="0"/>
            <w:vAlign w:val="center"/>
          </w:tcPr>
          <w:p w14:paraId="74F7339E">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w:t>
            </w:r>
          </w:p>
        </w:tc>
        <w:tc>
          <w:tcPr>
            <w:tcW w:w="483" w:type="pct"/>
            <w:gridSpan w:val="2"/>
            <w:tcBorders>
              <w:top w:val="nil"/>
              <w:left w:val="nil"/>
              <w:bottom w:val="single" w:color="auto" w:sz="8" w:space="0"/>
              <w:right w:val="single" w:color="auto" w:sz="8" w:space="0"/>
            </w:tcBorders>
            <w:noWrap w:val="0"/>
            <w:vAlign w:val="center"/>
          </w:tcPr>
          <w:p w14:paraId="1302BBA4">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064" w:type="pct"/>
            <w:tcBorders>
              <w:top w:val="nil"/>
              <w:left w:val="nil"/>
              <w:bottom w:val="single" w:color="auto" w:sz="8" w:space="0"/>
              <w:right w:val="single" w:color="auto" w:sz="8" w:space="0"/>
            </w:tcBorders>
            <w:noWrap w:val="0"/>
            <w:vAlign w:val="center"/>
          </w:tcPr>
          <w:p w14:paraId="71E4C6D8">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084E357">
        <w:tblPrEx>
          <w:tblCellMar>
            <w:top w:w="0" w:type="dxa"/>
            <w:left w:w="0" w:type="dxa"/>
            <w:bottom w:w="0" w:type="dxa"/>
            <w:right w:w="0" w:type="dxa"/>
          </w:tblCellMar>
        </w:tblPrEx>
        <w:trPr>
          <w:trHeight w:val="641" w:hRule="atLeast"/>
        </w:trPr>
        <w:tc>
          <w:tcPr>
            <w:tcW w:w="5000" w:type="pct"/>
            <w:gridSpan w:val="8"/>
            <w:tcBorders>
              <w:top w:val="nil"/>
              <w:left w:val="single" w:color="auto" w:sz="8" w:space="0"/>
              <w:bottom w:val="single" w:color="auto" w:sz="8" w:space="0"/>
              <w:right w:val="single" w:color="auto" w:sz="8" w:space="0"/>
            </w:tcBorders>
            <w:noWrap w:val="0"/>
            <w:vAlign w:val="center"/>
          </w:tcPr>
          <w:p w14:paraId="44D7604E">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198B7005">
        <w:tblPrEx>
          <w:tblCellMar>
            <w:top w:w="0" w:type="dxa"/>
            <w:left w:w="0" w:type="dxa"/>
            <w:bottom w:w="0" w:type="dxa"/>
            <w:right w:w="0" w:type="dxa"/>
          </w:tblCellMar>
        </w:tblPrEx>
        <w:trPr>
          <w:trHeight w:val="641" w:hRule="atLeast"/>
        </w:trPr>
        <w:tc>
          <w:tcPr>
            <w:tcW w:w="745" w:type="pct"/>
            <w:tcBorders>
              <w:top w:val="nil"/>
              <w:left w:val="single" w:color="auto" w:sz="8" w:space="0"/>
              <w:bottom w:val="single" w:color="auto" w:sz="8" w:space="0"/>
              <w:right w:val="single" w:color="auto" w:sz="8" w:space="0"/>
            </w:tcBorders>
            <w:noWrap w:val="0"/>
            <w:vAlign w:val="center"/>
          </w:tcPr>
          <w:p w14:paraId="51B22640">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1525" w:type="pct"/>
            <w:gridSpan w:val="2"/>
            <w:tcBorders>
              <w:top w:val="nil"/>
              <w:left w:val="nil"/>
              <w:bottom w:val="single" w:color="auto" w:sz="8" w:space="0"/>
              <w:right w:val="single" w:color="auto" w:sz="8" w:space="0"/>
            </w:tcBorders>
            <w:noWrap w:val="0"/>
            <w:vAlign w:val="center"/>
          </w:tcPr>
          <w:p w14:paraId="2761FC2E">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279" w:type="pct"/>
            <w:gridSpan w:val="3"/>
            <w:tcBorders>
              <w:top w:val="nil"/>
              <w:left w:val="nil"/>
              <w:bottom w:val="single" w:color="auto" w:sz="8" w:space="0"/>
              <w:right w:val="single" w:color="auto" w:sz="8" w:space="0"/>
            </w:tcBorders>
            <w:noWrap w:val="0"/>
            <w:vAlign w:val="center"/>
          </w:tcPr>
          <w:p w14:paraId="2FFAAE4B">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1450" w:type="pct"/>
            <w:gridSpan w:val="2"/>
            <w:tcBorders>
              <w:top w:val="nil"/>
              <w:left w:val="nil"/>
              <w:bottom w:val="single" w:color="auto" w:sz="8" w:space="0"/>
              <w:right w:val="single" w:color="auto" w:sz="8" w:space="0"/>
            </w:tcBorders>
            <w:noWrap w:val="0"/>
            <w:vAlign w:val="center"/>
          </w:tcPr>
          <w:p w14:paraId="034C3209">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4E1C281">
        <w:tblPrEx>
          <w:tblCellMar>
            <w:top w:w="0" w:type="dxa"/>
            <w:left w:w="0" w:type="dxa"/>
            <w:bottom w:w="0" w:type="dxa"/>
            <w:right w:w="0" w:type="dxa"/>
          </w:tblCellMar>
        </w:tblPrEx>
        <w:trPr>
          <w:trHeight w:val="394" w:hRule="atLeast"/>
        </w:trPr>
        <w:tc>
          <w:tcPr>
            <w:tcW w:w="745" w:type="pct"/>
            <w:tcBorders>
              <w:top w:val="nil"/>
              <w:left w:val="single" w:color="auto" w:sz="8" w:space="0"/>
              <w:bottom w:val="single" w:color="auto" w:sz="8" w:space="0"/>
              <w:right w:val="single" w:color="auto" w:sz="8" w:space="0"/>
            </w:tcBorders>
            <w:noWrap w:val="0"/>
            <w:vAlign w:val="center"/>
          </w:tcPr>
          <w:p w14:paraId="1B3BBA9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525" w:type="pct"/>
            <w:gridSpan w:val="2"/>
            <w:tcBorders>
              <w:top w:val="nil"/>
              <w:left w:val="nil"/>
              <w:bottom w:val="single" w:color="auto" w:sz="8" w:space="0"/>
              <w:right w:val="single" w:color="auto" w:sz="8" w:space="0"/>
            </w:tcBorders>
            <w:noWrap w:val="0"/>
            <w:vAlign w:val="center"/>
          </w:tcPr>
          <w:p w14:paraId="313C7BB8">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279" w:type="pct"/>
            <w:gridSpan w:val="3"/>
            <w:tcBorders>
              <w:top w:val="nil"/>
              <w:left w:val="nil"/>
              <w:bottom w:val="single" w:color="auto" w:sz="8" w:space="0"/>
              <w:right w:val="single" w:color="auto" w:sz="8" w:space="0"/>
            </w:tcBorders>
            <w:noWrap w:val="0"/>
            <w:vAlign w:val="center"/>
          </w:tcPr>
          <w:p w14:paraId="1AE24348">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50" w:type="pct"/>
            <w:gridSpan w:val="2"/>
            <w:tcBorders>
              <w:top w:val="nil"/>
              <w:left w:val="nil"/>
              <w:bottom w:val="single" w:color="auto" w:sz="8" w:space="0"/>
              <w:right w:val="single" w:color="auto" w:sz="8" w:space="0"/>
            </w:tcBorders>
            <w:noWrap w:val="0"/>
            <w:vAlign w:val="center"/>
          </w:tcPr>
          <w:p w14:paraId="533E1B58">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2FDB3A7">
        <w:tblPrEx>
          <w:tblCellMar>
            <w:top w:w="0" w:type="dxa"/>
            <w:left w:w="0" w:type="dxa"/>
            <w:bottom w:w="0" w:type="dxa"/>
            <w:right w:w="0" w:type="dxa"/>
          </w:tblCellMar>
        </w:tblPrEx>
        <w:trPr>
          <w:trHeight w:val="693" w:hRule="atLeast"/>
        </w:trPr>
        <w:tc>
          <w:tcPr>
            <w:tcW w:w="745" w:type="pc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24FD221">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4254" w:type="pct"/>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79EEBD">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4EC139A">
        <w:tblPrEx>
          <w:tblCellMar>
            <w:top w:w="0" w:type="dxa"/>
            <w:left w:w="0" w:type="dxa"/>
            <w:bottom w:w="0" w:type="dxa"/>
            <w:right w:w="0" w:type="dxa"/>
          </w:tblCellMar>
        </w:tblPrEx>
        <w:trPr>
          <w:trHeight w:val="1281" w:hRule="atLeast"/>
        </w:trPr>
        <w:tc>
          <w:tcPr>
            <w:tcW w:w="745" w:type="pct"/>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435DCD7">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4254" w:type="pct"/>
            <w:gridSpan w:val="7"/>
            <w:tcBorders>
              <w:top w:val="nil"/>
              <w:left w:val="nil"/>
              <w:bottom w:val="single" w:color="auto" w:sz="8" w:space="0"/>
              <w:right w:val="single" w:color="auto" w:sz="8" w:space="0"/>
            </w:tcBorders>
            <w:noWrap w:val="0"/>
            <w:vAlign w:val="center"/>
          </w:tcPr>
          <w:p w14:paraId="690C8FA1">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7BB93250">
        <w:tblPrEx>
          <w:tblCellMar>
            <w:top w:w="0" w:type="dxa"/>
            <w:left w:w="0" w:type="dxa"/>
            <w:bottom w:w="0" w:type="dxa"/>
            <w:right w:w="0" w:type="dxa"/>
          </w:tblCellMar>
        </w:tblPrEx>
        <w:trPr>
          <w:trHeight w:val="607" w:hRule="atLeast"/>
        </w:trPr>
        <w:tc>
          <w:tcPr>
            <w:tcW w:w="745" w:type="pct"/>
            <w:vMerge w:val="continue"/>
            <w:tcBorders>
              <w:top w:val="nil"/>
              <w:left w:val="single" w:color="auto" w:sz="8" w:space="0"/>
              <w:bottom w:val="single" w:color="auto" w:sz="8" w:space="0"/>
              <w:right w:val="single" w:color="auto" w:sz="8" w:space="0"/>
            </w:tcBorders>
            <w:noWrap w:val="0"/>
            <w:vAlign w:val="center"/>
          </w:tcPr>
          <w:p w14:paraId="4360D5FE">
            <w:pPr>
              <w:jc w:val="left"/>
              <w:rPr>
                <w:rFonts w:hint="eastAsia" w:ascii="宋体" w:hAnsi="宋体" w:eastAsia="宋体" w:cs="宋体"/>
                <w:color w:val="auto"/>
                <w:kern w:val="0"/>
                <w:szCs w:val="21"/>
                <w:highlight w:val="none"/>
              </w:rPr>
            </w:pPr>
          </w:p>
        </w:tc>
        <w:tc>
          <w:tcPr>
            <w:tcW w:w="4254" w:type="pct"/>
            <w:gridSpan w:val="7"/>
            <w:tcBorders>
              <w:top w:val="nil"/>
              <w:left w:val="nil"/>
              <w:bottom w:val="single" w:color="auto" w:sz="8" w:space="0"/>
              <w:right w:val="single" w:color="auto" w:sz="8" w:space="0"/>
            </w:tcBorders>
            <w:noWrap w:val="0"/>
            <w:vAlign w:val="center"/>
          </w:tcPr>
          <w:p w14:paraId="68C0F3F8">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63FC196D">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3571C47D">
        <w:tblPrEx>
          <w:tblCellMar>
            <w:top w:w="0" w:type="dxa"/>
            <w:left w:w="0" w:type="dxa"/>
            <w:bottom w:w="0" w:type="dxa"/>
            <w:right w:w="0" w:type="dxa"/>
          </w:tblCellMar>
        </w:tblPrEx>
        <w:trPr>
          <w:trHeight w:val="507" w:hRule="atLeast"/>
        </w:trPr>
        <w:tc>
          <w:tcPr>
            <w:tcW w:w="5000" w:type="pct"/>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9689ED">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5B450B4F">
        <w:tblPrEx>
          <w:tblCellMar>
            <w:top w:w="0" w:type="dxa"/>
            <w:left w:w="0" w:type="dxa"/>
            <w:bottom w:w="0" w:type="dxa"/>
            <w:right w:w="0" w:type="dxa"/>
          </w:tblCellMar>
        </w:tblPrEx>
        <w:trPr>
          <w:trHeight w:val="736" w:hRule="atLeast"/>
        </w:trPr>
        <w:tc>
          <w:tcPr>
            <w:tcW w:w="5000" w:type="pct"/>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CFF69F9">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0B304122">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0C9A4AE6">
        <w:tblPrEx>
          <w:tblCellMar>
            <w:top w:w="0" w:type="dxa"/>
            <w:left w:w="0" w:type="dxa"/>
            <w:bottom w:w="0" w:type="dxa"/>
            <w:right w:w="0" w:type="dxa"/>
          </w:tblCellMar>
        </w:tblPrEx>
        <w:trPr>
          <w:trHeight w:val="758" w:hRule="atLeast"/>
        </w:trPr>
        <w:tc>
          <w:tcPr>
            <w:tcW w:w="2328" w:type="pct"/>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60E291BC">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中标或者中标人负责人签字或者盖章：</w:t>
            </w:r>
          </w:p>
          <w:p w14:paraId="6534AD68">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2671" w:type="pct"/>
            <w:gridSpan w:val="4"/>
            <w:tcBorders>
              <w:top w:val="nil"/>
              <w:left w:val="nil"/>
              <w:bottom w:val="single" w:color="auto" w:sz="8" w:space="0"/>
              <w:right w:val="single" w:color="auto" w:sz="8" w:space="0"/>
            </w:tcBorders>
            <w:noWrap w:val="0"/>
            <w:vAlign w:val="center"/>
          </w:tcPr>
          <w:p w14:paraId="5910CDF3">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66B66A49">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7911FD24">
      <w:pPr>
        <w:pStyle w:val="30"/>
        <w:rPr>
          <w:sz w:val="21"/>
          <w:szCs w:val="21"/>
          <w:highlight w:val="none"/>
        </w:rPr>
      </w:pPr>
    </w:p>
    <w:p w14:paraId="486E2F05">
      <w:pPr>
        <w:pStyle w:val="2"/>
        <w:jc w:val="center"/>
        <w:rPr>
          <w:rFonts w:ascii="宋体" w:hAnsi="宋体" w:cs="宋体"/>
          <w:highlight w:val="none"/>
        </w:rPr>
      </w:pPr>
      <w:bookmarkStart w:id="149" w:name="_Toc23387"/>
      <w:bookmarkStart w:id="150" w:name="_Toc74320805"/>
      <w:r>
        <w:rPr>
          <w:rFonts w:hint="eastAsia" w:ascii="宋体" w:hAnsi="宋体" w:cs="宋体"/>
          <w:highlight w:val="none"/>
        </w:rPr>
        <w:t>第六章</w:t>
      </w:r>
      <w:r>
        <w:rPr>
          <w:rFonts w:hint="eastAsia" w:ascii="宋体" w:hAnsi="宋体" w:cs="宋体"/>
          <w:highlight w:val="none"/>
          <w:lang w:eastAsia="zh-CN"/>
        </w:rPr>
        <w:t>、</w:t>
      </w:r>
      <w:r>
        <w:rPr>
          <w:rFonts w:hint="eastAsia" w:ascii="宋体" w:hAnsi="宋体" w:cs="宋体"/>
          <w:highlight w:val="none"/>
        </w:rPr>
        <w:t>投标文件格式</w:t>
      </w:r>
      <w:bookmarkEnd w:id="149"/>
      <w:bookmarkEnd w:id="150"/>
    </w:p>
    <w:p w14:paraId="16113138">
      <w:pPr>
        <w:rPr>
          <w:rFonts w:ascii="宋体" w:hAnsi="宋体" w:cs="宋体"/>
          <w:b/>
          <w:sz w:val="28"/>
          <w:szCs w:val="28"/>
          <w:highlight w:val="none"/>
        </w:rPr>
      </w:pPr>
      <w:bookmarkStart w:id="151" w:name="_Toc19686836"/>
      <w:bookmarkStart w:id="152" w:name="_Toc254970698"/>
      <w:bookmarkStart w:id="153" w:name="_Toc254970557"/>
      <w:r>
        <w:rPr>
          <w:rFonts w:hint="eastAsia" w:ascii="宋体" w:hAnsi="宋体" w:cs="宋体"/>
          <w:b/>
          <w:sz w:val="28"/>
          <w:szCs w:val="28"/>
          <w:highlight w:val="none"/>
        </w:rPr>
        <w:t>一、报价文件格式</w:t>
      </w:r>
      <w:bookmarkEnd w:id="151"/>
    </w:p>
    <w:p w14:paraId="2C99E7BE">
      <w:pPr>
        <w:snapToGrid w:val="0"/>
        <w:spacing w:before="120" w:beforeLines="50" w:after="50" w:line="360" w:lineRule="auto"/>
        <w:ind w:left="142"/>
        <w:jc w:val="left"/>
        <w:rPr>
          <w:rFonts w:hint="eastAsia" w:ascii="宋体" w:hAnsi="宋体" w:eastAsia="宋体" w:cs="宋体"/>
          <w:sz w:val="24"/>
          <w:highlight w:val="none"/>
          <w:lang w:eastAsia="zh-CN"/>
        </w:rPr>
      </w:pPr>
      <w:r>
        <w:rPr>
          <w:rFonts w:hint="eastAsia" w:ascii="宋体" w:hAnsi="宋体" w:cs="宋体"/>
          <w:b/>
          <w:sz w:val="24"/>
          <w:highlight w:val="none"/>
        </w:rPr>
        <w:t>1.报价文件封面格式：</w:t>
      </w:r>
    </w:p>
    <w:p w14:paraId="275C38EB">
      <w:pPr>
        <w:snapToGrid w:val="0"/>
        <w:spacing w:before="120" w:beforeLines="50" w:after="50" w:line="400" w:lineRule="exact"/>
        <w:rPr>
          <w:rFonts w:ascii="宋体" w:hAnsi="宋体" w:cs="宋体"/>
          <w:bCs/>
          <w:sz w:val="24"/>
          <w:highlight w:val="none"/>
        </w:rPr>
      </w:pPr>
    </w:p>
    <w:p w14:paraId="1800617F">
      <w:pPr>
        <w:snapToGrid w:val="0"/>
        <w:spacing w:before="120" w:beforeLines="50" w:after="50" w:line="400" w:lineRule="exact"/>
        <w:jc w:val="center"/>
        <w:rPr>
          <w:rFonts w:ascii="宋体" w:hAnsi="宋体" w:cs="宋体"/>
          <w:bCs/>
          <w:sz w:val="24"/>
          <w:highlight w:val="none"/>
        </w:rPr>
      </w:pPr>
    </w:p>
    <w:p w14:paraId="61A8FB9C">
      <w:pPr>
        <w:snapToGrid w:val="0"/>
        <w:spacing w:before="120" w:beforeLines="50" w:after="50"/>
        <w:jc w:val="center"/>
        <w:rPr>
          <w:rFonts w:ascii="宋体" w:hAnsi="宋体" w:cs="宋体"/>
          <w:sz w:val="84"/>
          <w:szCs w:val="84"/>
          <w:highlight w:val="none"/>
        </w:rPr>
      </w:pPr>
      <w:r>
        <w:rPr>
          <w:rFonts w:hint="eastAsia" w:ascii="宋体" w:hAnsi="宋体" w:cs="宋体"/>
          <w:sz w:val="84"/>
          <w:szCs w:val="84"/>
          <w:highlight w:val="none"/>
        </w:rPr>
        <w:t>投标文件</w:t>
      </w:r>
    </w:p>
    <w:p w14:paraId="2AC96B89">
      <w:pPr>
        <w:snapToGrid w:val="0"/>
        <w:spacing w:before="120" w:beforeLines="50" w:after="50" w:line="400" w:lineRule="exact"/>
        <w:jc w:val="center"/>
        <w:rPr>
          <w:rFonts w:ascii="宋体" w:hAnsi="宋体" w:cs="宋体"/>
          <w:bCs/>
          <w:sz w:val="32"/>
          <w:szCs w:val="32"/>
          <w:highlight w:val="none"/>
        </w:rPr>
      </w:pPr>
    </w:p>
    <w:p w14:paraId="0C2F34C6">
      <w:pPr>
        <w:snapToGrid w:val="0"/>
        <w:spacing w:before="120" w:beforeLines="50" w:after="50" w:line="400" w:lineRule="exact"/>
        <w:jc w:val="center"/>
        <w:rPr>
          <w:rFonts w:ascii="宋体" w:hAnsi="宋体" w:cs="宋体"/>
          <w:sz w:val="48"/>
          <w:szCs w:val="48"/>
          <w:highlight w:val="none"/>
        </w:rPr>
      </w:pPr>
      <w:r>
        <w:rPr>
          <w:rFonts w:hint="eastAsia" w:ascii="宋体" w:hAnsi="宋体" w:cs="宋体"/>
          <w:sz w:val="48"/>
          <w:szCs w:val="48"/>
          <w:highlight w:val="none"/>
        </w:rPr>
        <w:t>报价文件</w:t>
      </w:r>
    </w:p>
    <w:p w14:paraId="0A0846C8">
      <w:pPr>
        <w:snapToGrid w:val="0"/>
        <w:spacing w:before="120" w:beforeLines="50" w:after="50" w:line="400" w:lineRule="exact"/>
        <w:rPr>
          <w:rFonts w:ascii="宋体" w:hAnsi="宋体" w:cs="宋体"/>
          <w:bCs/>
          <w:sz w:val="24"/>
          <w:szCs w:val="20"/>
          <w:highlight w:val="none"/>
        </w:rPr>
      </w:pPr>
    </w:p>
    <w:p w14:paraId="7A9018A1">
      <w:pPr>
        <w:snapToGrid w:val="0"/>
        <w:spacing w:before="120" w:beforeLines="50" w:after="50" w:line="400" w:lineRule="exact"/>
        <w:rPr>
          <w:rFonts w:ascii="宋体" w:hAnsi="宋体" w:cs="宋体"/>
          <w:bCs/>
          <w:sz w:val="24"/>
          <w:szCs w:val="20"/>
          <w:highlight w:val="none"/>
        </w:rPr>
      </w:pPr>
    </w:p>
    <w:p w14:paraId="050DDE9D">
      <w:pPr>
        <w:snapToGrid w:val="0"/>
        <w:spacing w:before="120" w:beforeLines="50" w:after="50" w:line="400" w:lineRule="exact"/>
        <w:ind w:firstLine="1960" w:firstLineChars="700"/>
        <w:rPr>
          <w:rFonts w:ascii="宋体" w:hAnsi="宋体" w:cs="宋体"/>
          <w:bCs/>
          <w:sz w:val="28"/>
          <w:szCs w:val="21"/>
          <w:highlight w:val="none"/>
        </w:rPr>
      </w:pPr>
    </w:p>
    <w:p w14:paraId="0021E5E9">
      <w:pPr>
        <w:snapToGrid w:val="0"/>
        <w:spacing w:before="120" w:beforeLines="50" w:after="50" w:line="400" w:lineRule="exact"/>
        <w:ind w:firstLine="1960" w:firstLineChars="700"/>
        <w:rPr>
          <w:rFonts w:ascii="宋体" w:hAnsi="宋体" w:cs="宋体"/>
          <w:bCs/>
          <w:sz w:val="28"/>
          <w:szCs w:val="21"/>
          <w:highlight w:val="none"/>
        </w:rPr>
      </w:pPr>
    </w:p>
    <w:p w14:paraId="2F7DC9F4">
      <w:pPr>
        <w:snapToGrid w:val="0"/>
        <w:spacing w:before="120" w:beforeLines="50" w:after="50" w:line="400" w:lineRule="exact"/>
        <w:ind w:firstLine="1680" w:firstLineChars="700"/>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项目名称：</w:t>
      </w:r>
    </w:p>
    <w:p w14:paraId="07B952DD">
      <w:pPr>
        <w:snapToGrid w:val="0"/>
        <w:spacing w:before="120" w:beforeLines="50" w:after="50" w:line="400" w:lineRule="exact"/>
        <w:ind w:firstLine="1680" w:firstLineChars="700"/>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项目编号：</w:t>
      </w:r>
    </w:p>
    <w:p w14:paraId="6BAC9324">
      <w:pPr>
        <w:snapToGrid w:val="0"/>
        <w:spacing w:before="120" w:beforeLines="50" w:after="50" w:line="400" w:lineRule="exact"/>
        <w:ind w:firstLine="1680" w:firstLineChars="700"/>
        <w:rPr>
          <w:rFonts w:ascii="宋体" w:hAnsi="宋体" w:cs="宋体"/>
          <w:bCs/>
          <w:sz w:val="24"/>
          <w:szCs w:val="24"/>
          <w:highlight w:val="none"/>
        </w:rPr>
      </w:pPr>
      <w:r>
        <w:rPr>
          <w:rFonts w:hint="eastAsia" w:ascii="宋体" w:hAnsi="宋体" w:cs="宋体"/>
          <w:bCs/>
          <w:sz w:val="24"/>
          <w:szCs w:val="24"/>
          <w:highlight w:val="none"/>
        </w:rPr>
        <w:t>所投分标：</w:t>
      </w:r>
    </w:p>
    <w:p w14:paraId="5695C862">
      <w:pPr>
        <w:snapToGrid w:val="0"/>
        <w:spacing w:before="120" w:beforeLines="50" w:after="50" w:line="400" w:lineRule="exact"/>
        <w:ind w:firstLine="1680" w:firstLineChars="700"/>
        <w:rPr>
          <w:rFonts w:ascii="宋体" w:hAnsi="宋体" w:cs="宋体"/>
          <w:bCs/>
          <w:sz w:val="24"/>
          <w:szCs w:val="24"/>
          <w:highlight w:val="none"/>
        </w:rPr>
      </w:pPr>
      <w:r>
        <w:rPr>
          <w:rFonts w:hint="eastAsia" w:ascii="宋体" w:hAnsi="宋体" w:cs="宋体"/>
          <w:bCs/>
          <w:sz w:val="24"/>
          <w:szCs w:val="24"/>
          <w:highlight w:val="none"/>
        </w:rPr>
        <w:t>投标人名称：</w:t>
      </w:r>
    </w:p>
    <w:p w14:paraId="4B353EA1">
      <w:pPr>
        <w:snapToGrid w:val="0"/>
        <w:spacing w:before="120" w:beforeLines="50" w:after="50" w:line="400" w:lineRule="exact"/>
        <w:ind w:firstLine="1680" w:firstLineChars="700"/>
        <w:rPr>
          <w:rFonts w:ascii="宋体" w:hAnsi="宋体" w:cs="宋体"/>
          <w:bCs/>
          <w:sz w:val="24"/>
          <w:szCs w:val="24"/>
          <w:highlight w:val="none"/>
        </w:rPr>
      </w:pPr>
      <w:r>
        <w:rPr>
          <w:rFonts w:hint="eastAsia" w:ascii="宋体" w:hAnsi="宋体" w:cs="宋体"/>
          <w:bCs/>
          <w:sz w:val="24"/>
          <w:szCs w:val="24"/>
          <w:highlight w:val="none"/>
        </w:rPr>
        <w:t>投标人地址：</w:t>
      </w:r>
    </w:p>
    <w:p w14:paraId="54B076F6">
      <w:pPr>
        <w:pStyle w:val="7"/>
        <w:snapToGrid w:val="0"/>
        <w:spacing w:before="50" w:after="50" w:line="400" w:lineRule="exact"/>
        <w:ind w:firstLine="1120" w:firstLineChars="400"/>
        <w:rPr>
          <w:rFonts w:ascii="宋体" w:hAnsi="宋体" w:cs="宋体"/>
          <w:bCs/>
          <w:sz w:val="28"/>
          <w:szCs w:val="28"/>
          <w:highlight w:val="none"/>
        </w:rPr>
      </w:pPr>
    </w:p>
    <w:p w14:paraId="10D0985B">
      <w:pPr>
        <w:snapToGrid w:val="0"/>
        <w:spacing w:before="120" w:beforeLines="50" w:after="50" w:line="400" w:lineRule="exact"/>
        <w:rPr>
          <w:rFonts w:ascii="宋体" w:hAnsi="宋体" w:cs="宋体"/>
          <w:sz w:val="32"/>
          <w:szCs w:val="21"/>
          <w:highlight w:val="none"/>
        </w:rPr>
      </w:pPr>
      <w:r>
        <w:rPr>
          <w:rFonts w:hint="eastAsia" w:ascii="宋体" w:hAnsi="宋体" w:cs="宋体"/>
          <w:sz w:val="24"/>
          <w:highlight w:val="none"/>
        </w:rPr>
        <w:t xml:space="preserve">                            </w:t>
      </w:r>
      <w:r>
        <w:rPr>
          <w:rFonts w:hint="eastAsia" w:ascii="宋体" w:hAnsi="宋体" w:cs="宋体"/>
          <w:sz w:val="28"/>
          <w:szCs w:val="28"/>
          <w:highlight w:val="none"/>
        </w:rPr>
        <w:t xml:space="preserve">    </w:t>
      </w:r>
      <w:r>
        <w:rPr>
          <w:rFonts w:hint="eastAsia" w:ascii="宋体" w:hAnsi="宋体" w:cs="宋体"/>
          <w:sz w:val="24"/>
          <w:szCs w:val="24"/>
          <w:highlight w:val="none"/>
        </w:rPr>
        <w:t xml:space="preserve">  年  月  日</w:t>
      </w:r>
    </w:p>
    <w:p w14:paraId="2D719E7F">
      <w:pPr>
        <w:snapToGrid w:val="0"/>
        <w:spacing w:before="120" w:beforeLines="50" w:after="50" w:line="360" w:lineRule="auto"/>
        <w:jc w:val="left"/>
        <w:rPr>
          <w:rFonts w:ascii="宋体" w:hAnsi="宋体" w:cs="宋体"/>
          <w:sz w:val="24"/>
          <w:szCs w:val="20"/>
          <w:highlight w:val="none"/>
        </w:rPr>
      </w:pPr>
      <w:r>
        <w:rPr>
          <w:rFonts w:hint="eastAsia" w:ascii="宋体" w:hAnsi="宋体" w:cs="宋体"/>
          <w:b/>
          <w:sz w:val="24"/>
          <w:highlight w:val="none"/>
        </w:rPr>
        <w:br w:type="page"/>
      </w:r>
      <w:r>
        <w:rPr>
          <w:rFonts w:hint="eastAsia" w:ascii="宋体" w:hAnsi="宋体" w:cs="宋体"/>
          <w:b/>
          <w:sz w:val="24"/>
          <w:highlight w:val="none"/>
        </w:rPr>
        <w:t>2.</w:t>
      </w:r>
      <w:r>
        <w:rPr>
          <w:rFonts w:hint="eastAsia" w:ascii="宋体" w:hAnsi="宋体" w:cs="宋体"/>
          <w:b/>
          <w:bCs/>
          <w:sz w:val="24"/>
          <w:highlight w:val="none"/>
        </w:rPr>
        <w:t>报价文件目录</w:t>
      </w:r>
    </w:p>
    <w:p w14:paraId="7ADA33E4">
      <w:pPr>
        <w:snapToGrid w:val="0"/>
        <w:spacing w:before="50" w:after="120" w:afterLines="50" w:line="360" w:lineRule="auto"/>
        <w:jc w:val="left"/>
        <w:rPr>
          <w:rFonts w:ascii="宋体" w:hAnsi="宋体" w:cs="宋体"/>
          <w:b/>
          <w:sz w:val="24"/>
          <w:highlight w:val="none"/>
        </w:rPr>
      </w:pPr>
      <w:r>
        <w:rPr>
          <w:rFonts w:hint="eastAsia" w:ascii="宋体" w:hAnsi="宋体" w:cs="宋体"/>
          <w:sz w:val="24"/>
          <w:highlight w:val="none"/>
        </w:rPr>
        <w:t>根据招标文件规定及投标人提供的材料自行编写目录。</w:t>
      </w:r>
    </w:p>
    <w:p w14:paraId="2005B627">
      <w:pPr>
        <w:snapToGrid w:val="0"/>
        <w:spacing w:before="120" w:beforeLines="50" w:after="50"/>
        <w:rPr>
          <w:rFonts w:ascii="宋体" w:hAnsi="宋体" w:cs="宋体"/>
          <w:b/>
          <w:sz w:val="24"/>
          <w:highlight w:val="none"/>
        </w:rPr>
      </w:pPr>
    </w:p>
    <w:p w14:paraId="1629C79E">
      <w:pPr>
        <w:snapToGrid w:val="0"/>
        <w:spacing w:before="120" w:beforeLines="50" w:after="50"/>
        <w:rPr>
          <w:rFonts w:ascii="宋体" w:hAnsi="宋体" w:cs="宋体"/>
          <w:b/>
          <w:sz w:val="24"/>
          <w:highlight w:val="none"/>
        </w:rPr>
      </w:pPr>
    </w:p>
    <w:p w14:paraId="5BDBBCE2">
      <w:pPr>
        <w:snapToGrid w:val="0"/>
        <w:spacing w:before="120" w:beforeLines="50" w:after="50"/>
        <w:rPr>
          <w:rFonts w:ascii="宋体" w:hAnsi="宋体" w:cs="宋体"/>
          <w:b/>
          <w:sz w:val="24"/>
          <w:highlight w:val="none"/>
        </w:rPr>
      </w:pPr>
    </w:p>
    <w:p w14:paraId="17EA04B1">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3.投标函：</w:t>
      </w:r>
    </w:p>
    <w:p w14:paraId="07C2C4EF">
      <w:pPr>
        <w:snapToGrid w:val="0"/>
        <w:spacing w:before="120" w:beforeLines="50" w:after="50" w:line="360" w:lineRule="auto"/>
        <w:jc w:val="center"/>
        <w:rPr>
          <w:rFonts w:ascii="宋体" w:hAnsi="宋体" w:cs="宋体"/>
          <w:bCs/>
          <w:sz w:val="44"/>
          <w:szCs w:val="44"/>
          <w:highlight w:val="none"/>
        </w:rPr>
      </w:pPr>
      <w:r>
        <w:rPr>
          <w:rFonts w:hint="eastAsia" w:ascii="宋体" w:hAnsi="宋体" w:cs="宋体"/>
          <w:bCs/>
          <w:sz w:val="44"/>
          <w:szCs w:val="44"/>
          <w:highlight w:val="none"/>
        </w:rPr>
        <w:t>投标函</w:t>
      </w:r>
    </w:p>
    <w:p w14:paraId="5609B501">
      <w:pPr>
        <w:spacing w:line="360" w:lineRule="auto"/>
        <w:contextualSpacing/>
        <w:rPr>
          <w:rFonts w:ascii="宋体" w:hAnsi="宋体" w:cs="宋体"/>
          <w:sz w:val="21"/>
          <w:szCs w:val="21"/>
          <w:highlight w:val="none"/>
        </w:rPr>
      </w:pPr>
      <w:r>
        <w:rPr>
          <w:rFonts w:hint="eastAsia" w:ascii="宋体" w:hAnsi="宋体" w:cs="宋体"/>
          <w:sz w:val="21"/>
          <w:szCs w:val="21"/>
          <w:highlight w:val="none"/>
        </w:rPr>
        <w:t>致：</w:t>
      </w:r>
      <w:r>
        <w:rPr>
          <w:rFonts w:hint="eastAsia" w:ascii="宋体" w:hAnsi="宋体" w:cs="宋体"/>
          <w:sz w:val="21"/>
          <w:szCs w:val="21"/>
          <w:highlight w:val="none"/>
          <w:u w:val="single"/>
        </w:rPr>
        <w:t>采购人名称</w:t>
      </w:r>
    </w:p>
    <w:p w14:paraId="4D71B956">
      <w:pPr>
        <w:spacing w:line="360" w:lineRule="auto"/>
        <w:ind w:firstLine="480"/>
        <w:contextualSpacing/>
        <w:rPr>
          <w:rFonts w:ascii="宋体" w:hAnsi="宋体" w:cs="宋体"/>
          <w:sz w:val="21"/>
          <w:szCs w:val="21"/>
          <w:highlight w:val="none"/>
        </w:rPr>
      </w:pPr>
      <w:r>
        <w:rPr>
          <w:rFonts w:hint="eastAsia" w:ascii="宋体" w:hAnsi="宋体" w:cs="宋体"/>
          <w:sz w:val="21"/>
          <w:szCs w:val="21"/>
          <w:highlight w:val="none"/>
        </w:rPr>
        <w:t>根据贵方</w:t>
      </w:r>
      <w:r>
        <w:rPr>
          <w:rFonts w:hint="eastAsia" w:ascii="宋体" w:hAnsi="宋体" w:cs="宋体"/>
          <w:sz w:val="21"/>
          <w:szCs w:val="21"/>
          <w:highlight w:val="none"/>
          <w:u w:val="single"/>
        </w:rPr>
        <w:t>项目名称</w:t>
      </w:r>
      <w:r>
        <w:rPr>
          <w:rFonts w:hint="eastAsia" w:ascii="宋体" w:hAnsi="宋体" w:cs="宋体"/>
          <w:sz w:val="21"/>
          <w:szCs w:val="21"/>
          <w:highlight w:val="none"/>
        </w:rPr>
        <w:t>（项目编号：</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）的招标公告，签字代表</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（姓名）经正式授权并代表投标人</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（投标人名称）提交投标文件。</w:t>
      </w:r>
    </w:p>
    <w:p w14:paraId="1EDFE725">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据此函，我方宣布同意如下：</w:t>
      </w:r>
    </w:p>
    <w:p w14:paraId="0EB33430">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0BE5BC54">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2.我方在投标之前已经完全理解并接受招标文件的各项规定和要求，对招标文件的合理性、合法性不再有异议。</w:t>
      </w:r>
    </w:p>
    <w:p w14:paraId="0776A069">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3.本投标有效期自投标截止之日起</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6CF490F7">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4.如中标，本投标文件至本项目合同履行完毕止均保持有效，我方将按“招标文件”及政府采购法律、法规的规定履行合同责任和义务。</w:t>
      </w:r>
    </w:p>
    <w:p w14:paraId="7D6A561A">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5.我方同意按照贵方要求提供与投标有关的一切数据或者资料。</w:t>
      </w:r>
    </w:p>
    <w:p w14:paraId="737625BE">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6.我方向贵方提交的所有投标文件、资料都是准确的和真实的。</w:t>
      </w:r>
    </w:p>
    <w:p w14:paraId="567E7154">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7.以上事项如有虚假或者隐瞒，我方愿意承担一切后果，并不再寻求任何旨在减轻或者免除法律责任的辩解。</w:t>
      </w:r>
    </w:p>
    <w:p w14:paraId="1C788D19">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57C9AD48">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□我方本次投标文件</w:t>
      </w:r>
      <w:r>
        <w:rPr>
          <w:rFonts w:hint="eastAsia" w:ascii="宋体" w:hAnsi="宋体" w:cs="宋体"/>
          <w:kern w:val="0"/>
          <w:sz w:val="21"/>
          <w:szCs w:val="21"/>
          <w:highlight w:val="none"/>
        </w:rPr>
        <w:t>内容中</w:t>
      </w:r>
      <w:r>
        <w:rPr>
          <w:rFonts w:hint="eastAsia" w:ascii="宋体" w:hAnsi="宋体" w:cs="宋体"/>
          <w:sz w:val="21"/>
          <w:szCs w:val="21"/>
          <w:highlight w:val="none"/>
        </w:rPr>
        <w:t>未</w:t>
      </w:r>
      <w:r>
        <w:rPr>
          <w:rFonts w:hint="eastAsia" w:ascii="宋体" w:hAnsi="宋体" w:cs="宋体"/>
          <w:kern w:val="0"/>
          <w:sz w:val="21"/>
          <w:szCs w:val="21"/>
          <w:highlight w:val="none"/>
        </w:rPr>
        <w:t>涉及商业秘密；</w:t>
      </w:r>
    </w:p>
    <w:p w14:paraId="6F097BA5">
      <w:pPr>
        <w:spacing w:line="360" w:lineRule="auto"/>
        <w:ind w:firstLine="420" w:firstLineChars="200"/>
        <w:contextualSpacing/>
        <w:rPr>
          <w:rFonts w:ascii="宋体" w:hAnsi="宋体" w:cs="宋体"/>
          <w:kern w:val="0"/>
          <w:sz w:val="21"/>
          <w:szCs w:val="21"/>
          <w:highlight w:val="none"/>
        </w:rPr>
      </w:pPr>
      <w:r>
        <w:rPr>
          <w:rFonts w:hint="eastAsia" w:ascii="宋体" w:hAnsi="宋体" w:cs="宋体"/>
          <w:sz w:val="21"/>
          <w:szCs w:val="21"/>
          <w:highlight w:val="none"/>
        </w:rPr>
        <w:t>□我方本次投标文件</w:t>
      </w:r>
      <w:r>
        <w:rPr>
          <w:rFonts w:hint="eastAsia" w:ascii="宋体" w:hAnsi="宋体" w:cs="宋体"/>
          <w:kern w:val="0"/>
          <w:sz w:val="21"/>
          <w:szCs w:val="21"/>
          <w:highlight w:val="none"/>
        </w:rPr>
        <w:t>涉及商业秘密的内容有：</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kern w:val="0"/>
          <w:sz w:val="21"/>
          <w:szCs w:val="21"/>
          <w:highlight w:val="none"/>
        </w:rPr>
        <w:t>；</w:t>
      </w:r>
    </w:p>
    <w:p w14:paraId="10A98D72">
      <w:pPr>
        <w:spacing w:line="360" w:lineRule="auto"/>
        <w:ind w:firstLine="420" w:firstLineChars="200"/>
        <w:contextualSpacing/>
        <w:rPr>
          <w:rFonts w:ascii="宋体" w:hAnsi="宋体" w:cs="宋体"/>
          <w:sz w:val="21"/>
          <w:szCs w:val="21"/>
          <w:highlight w:val="none"/>
        </w:rPr>
      </w:pPr>
      <w:r>
        <w:rPr>
          <w:rFonts w:ascii="宋体" w:hAnsi="宋体" w:cs="宋体"/>
          <w:sz w:val="21"/>
          <w:szCs w:val="21"/>
          <w:highlight w:val="none"/>
        </w:rPr>
        <w:t>9</w:t>
      </w:r>
      <w:r>
        <w:rPr>
          <w:rFonts w:hint="eastAsia" w:ascii="宋体" w:hAnsi="宋体" w:cs="宋体"/>
          <w:sz w:val="21"/>
          <w:szCs w:val="21"/>
          <w:highlight w:val="none"/>
        </w:rPr>
        <w:t>.</w:t>
      </w:r>
      <w:r>
        <w:rPr>
          <w:rFonts w:ascii="宋体" w:hAnsi="宋体" w:cs="宋体"/>
          <w:sz w:val="21"/>
          <w:szCs w:val="21"/>
          <w:highlight w:val="none"/>
        </w:rPr>
        <w:t>我方若中标，将采取</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ascii="宋体" w:hAnsi="宋体" w:cs="宋体"/>
          <w:sz w:val="21"/>
          <w:szCs w:val="21"/>
          <w:highlight w:val="none"/>
        </w:rPr>
        <w:t>（</w:t>
      </w:r>
      <w:r>
        <w:rPr>
          <w:rFonts w:hint="eastAsia" w:ascii="宋体" w:hAnsi="宋体" w:cs="宋体"/>
          <w:sz w:val="21"/>
          <w:szCs w:val="21"/>
          <w:highlight w:val="none"/>
        </w:rPr>
        <w:t>汽车、火车、飞机等</w:t>
      </w:r>
      <w:r>
        <w:rPr>
          <w:rFonts w:ascii="宋体" w:hAnsi="宋体" w:cs="宋体"/>
          <w:sz w:val="21"/>
          <w:szCs w:val="21"/>
          <w:highlight w:val="none"/>
        </w:rPr>
        <w:t>）方式运输货物。</w:t>
      </w:r>
    </w:p>
    <w:p w14:paraId="7B794AFC">
      <w:pPr>
        <w:spacing w:line="360" w:lineRule="auto"/>
        <w:ind w:firstLine="420" w:firstLineChars="200"/>
        <w:contextualSpacing/>
        <w:rPr>
          <w:szCs w:val="21"/>
          <w:highlight w:val="none"/>
        </w:rPr>
      </w:pPr>
      <w:r>
        <w:rPr>
          <w:rFonts w:hint="eastAsia" w:ascii="宋体" w:hAnsi="宋体" w:cs="宋体"/>
          <w:sz w:val="21"/>
          <w:szCs w:val="21"/>
          <w:highlight w:val="none"/>
        </w:rPr>
        <w:t>1</w:t>
      </w:r>
      <w:r>
        <w:rPr>
          <w:rFonts w:ascii="宋体" w:hAnsi="宋体" w:cs="宋体"/>
          <w:sz w:val="21"/>
          <w:szCs w:val="21"/>
          <w:highlight w:val="none"/>
        </w:rPr>
        <w:t>0.</w:t>
      </w:r>
      <w:r>
        <w:rPr>
          <w:rFonts w:hint="eastAsia" w:ascii="宋体" w:hAnsi="宋体" w:cs="宋体"/>
          <w:sz w:val="21"/>
          <w:szCs w:val="21"/>
          <w:highlight w:val="none"/>
        </w:rPr>
        <w:t>我方若中标，除非发生不可抗力，承诺与采购人及时签订《采购合同》。如果放弃，自愿按照本文件之</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投标人</w:t>
      </w:r>
      <w:r>
        <w:rPr>
          <w:rFonts w:hint="eastAsia" w:ascii="宋体" w:hAnsi="宋体" w:cs="宋体"/>
          <w:color w:val="auto"/>
          <w:sz w:val="21"/>
          <w:szCs w:val="21"/>
          <w:highlight w:val="none"/>
        </w:rPr>
        <w:t>须知正文》</w:t>
      </w:r>
      <w:r>
        <w:rPr>
          <w:rFonts w:hint="eastAsia" w:ascii="宋体" w:hAnsi="宋体" w:cs="宋体"/>
          <w:sz w:val="21"/>
          <w:szCs w:val="21"/>
          <w:highlight w:val="none"/>
        </w:rPr>
        <w:t>第30.4条的要求承担法律责任和失信惩戒。</w:t>
      </w:r>
    </w:p>
    <w:p w14:paraId="59D956A3">
      <w:pPr>
        <w:spacing w:line="360" w:lineRule="auto"/>
        <w:ind w:firstLine="420" w:firstLineChars="200"/>
        <w:contextualSpacing/>
        <w:rPr>
          <w:rFonts w:ascii="宋体" w:hAnsi="宋体" w:cs="宋体"/>
          <w:sz w:val="21"/>
          <w:szCs w:val="21"/>
          <w:highlight w:val="none"/>
        </w:rPr>
      </w:pPr>
      <w:r>
        <w:rPr>
          <w:rFonts w:ascii="宋体" w:hAnsi="宋体" w:cs="宋体"/>
          <w:sz w:val="21"/>
          <w:szCs w:val="21"/>
          <w:highlight w:val="none"/>
        </w:rPr>
        <w:t>11</w:t>
      </w:r>
      <w:r>
        <w:rPr>
          <w:rFonts w:hint="eastAsia" w:ascii="宋体" w:hAnsi="宋体" w:cs="宋体"/>
          <w:sz w:val="21"/>
          <w:szCs w:val="21"/>
          <w:highlight w:val="none"/>
        </w:rPr>
        <w:t>.与本投标有关的一切正式往来信函请寄：</w:t>
      </w:r>
    </w:p>
    <w:p w14:paraId="01DD8210">
      <w:pPr>
        <w:spacing w:line="360" w:lineRule="auto"/>
        <w:ind w:firstLine="420" w:firstLineChars="200"/>
        <w:contextualSpacing/>
        <w:rPr>
          <w:rFonts w:ascii="宋体" w:hAnsi="宋体" w:cs="宋体"/>
          <w:sz w:val="21"/>
          <w:szCs w:val="21"/>
          <w:highlight w:val="none"/>
          <w:u w:val="single"/>
        </w:rPr>
      </w:pPr>
      <w:r>
        <w:rPr>
          <w:rFonts w:hint="eastAsia" w:ascii="宋体" w:hAnsi="宋体" w:cs="宋体"/>
          <w:sz w:val="21"/>
          <w:szCs w:val="21"/>
          <w:highlight w:val="none"/>
        </w:rPr>
        <w:t>地址：</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邮政编码：</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9D340EF">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电话：</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传真：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86ECF3E">
      <w:pPr>
        <w:spacing w:line="360" w:lineRule="auto"/>
        <w:ind w:firstLine="420" w:firstLineChars="200"/>
        <w:contextualSpacing/>
        <w:rPr>
          <w:rFonts w:ascii="宋体" w:hAnsi="宋体" w:cs="宋体"/>
          <w:sz w:val="21"/>
          <w:szCs w:val="21"/>
          <w:highlight w:val="none"/>
        </w:rPr>
      </w:pPr>
      <w:r>
        <w:rPr>
          <w:rFonts w:hint="eastAsia" w:ascii="宋体" w:hAnsi="宋体" w:cs="宋体"/>
          <w:sz w:val="21"/>
          <w:szCs w:val="21"/>
          <w:highlight w:val="none"/>
        </w:rPr>
        <w:t>投标人名称：</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3E1153C4">
      <w:pPr>
        <w:spacing w:line="360" w:lineRule="auto"/>
        <w:ind w:firstLine="420" w:firstLineChars="200"/>
        <w:contextualSpacing/>
        <w:jc w:val="left"/>
        <w:rPr>
          <w:rFonts w:ascii="宋体" w:hAnsi="宋体" w:cs="宋体"/>
          <w:sz w:val="21"/>
          <w:szCs w:val="21"/>
          <w:highlight w:val="none"/>
        </w:rPr>
      </w:pPr>
      <w:r>
        <w:rPr>
          <w:rFonts w:hint="eastAsia" w:ascii="宋体" w:hAnsi="宋体" w:cs="宋体"/>
          <w:sz w:val="21"/>
          <w:szCs w:val="21"/>
          <w:highlight w:val="none"/>
        </w:rPr>
        <w:t>开户银行：</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银行</w:t>
      </w:r>
      <w:r>
        <w:rPr>
          <w:rFonts w:hint="eastAsia" w:ascii="宋体" w:hAnsi="宋体" w:cs="宋体"/>
          <w:sz w:val="21"/>
          <w:szCs w:val="21"/>
          <w:highlight w:val="none"/>
          <w:lang w:eastAsia="zh-CN"/>
        </w:rPr>
        <w:t>账号</w:t>
      </w:r>
      <w:r>
        <w:rPr>
          <w:rFonts w:hint="eastAsia" w:ascii="宋体" w:hAnsi="宋体" w:cs="宋体"/>
          <w:sz w:val="21"/>
          <w:szCs w:val="21"/>
          <w:highlight w:val="none"/>
        </w:rPr>
        <w:t>：</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460A7095">
      <w:pPr>
        <w:snapToGrid w:val="0"/>
        <w:spacing w:before="120" w:beforeLines="50" w:line="360" w:lineRule="auto"/>
        <w:ind w:right="480"/>
        <w:jc w:val="right"/>
        <w:rPr>
          <w:rFonts w:hint="eastAsia" w:ascii="宋体" w:hAnsi="宋体" w:cs="宋体"/>
          <w:sz w:val="21"/>
          <w:szCs w:val="21"/>
          <w:highlight w:val="none"/>
        </w:rPr>
      </w:pPr>
    </w:p>
    <w:p w14:paraId="7700CA63">
      <w:pPr>
        <w:snapToGrid w:val="0"/>
        <w:spacing w:before="120" w:beforeLines="50" w:line="360" w:lineRule="auto"/>
        <w:ind w:right="480"/>
        <w:jc w:val="right"/>
        <w:rPr>
          <w:rFonts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CB66B51">
      <w:pPr>
        <w:snapToGrid w:val="0"/>
        <w:spacing w:before="120" w:beforeLines="50" w:after="50" w:line="360" w:lineRule="auto"/>
        <w:ind w:right="480" w:firstLine="4830" w:firstLineChars="2300"/>
        <w:rPr>
          <w:rFonts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0904E5DF">
      <w:pPr>
        <w:snapToGrid w:val="0"/>
        <w:spacing w:before="120" w:beforeLines="50" w:after="50" w:line="360" w:lineRule="auto"/>
        <w:ind w:right="480" w:firstLine="210" w:firstLineChars="100"/>
        <w:jc w:val="right"/>
        <w:rPr>
          <w:rFonts w:ascii="宋体" w:hAnsi="宋体" w:cs="宋体"/>
          <w:sz w:val="21"/>
          <w:szCs w:val="21"/>
          <w:highlight w:val="none"/>
        </w:rPr>
      </w:pPr>
      <w:r>
        <w:rPr>
          <w:rFonts w:hint="eastAsia"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日</w:t>
      </w:r>
    </w:p>
    <w:p w14:paraId="5A9AAAE9">
      <w:pPr>
        <w:snapToGrid w:val="0"/>
        <w:spacing w:before="120" w:beforeLines="50" w:after="50" w:line="360" w:lineRule="auto"/>
        <w:jc w:val="left"/>
        <w:rPr>
          <w:rFonts w:ascii="宋体" w:hAnsi="宋体" w:cs="宋体"/>
          <w:b/>
          <w:sz w:val="24"/>
          <w:szCs w:val="20"/>
          <w:highlight w:val="none"/>
        </w:rPr>
      </w:pPr>
      <w:r>
        <w:rPr>
          <w:rFonts w:hint="eastAsia" w:ascii="宋体" w:hAnsi="宋体" w:cs="宋体"/>
          <w:sz w:val="24"/>
          <w:highlight w:val="none"/>
          <w:u w:val="single"/>
        </w:rPr>
        <w:br w:type="page"/>
      </w:r>
      <w:r>
        <w:rPr>
          <w:rFonts w:hint="eastAsia" w:ascii="宋体" w:hAnsi="宋体" w:cs="宋体"/>
          <w:b/>
          <w:sz w:val="24"/>
          <w:highlight w:val="none"/>
        </w:rPr>
        <w:t>4. 开标一览表</w:t>
      </w:r>
    </w:p>
    <w:p w14:paraId="7A9B9697">
      <w:pPr>
        <w:snapToGrid w:val="0"/>
        <w:spacing w:before="50" w:after="50"/>
        <w:jc w:val="center"/>
        <w:rPr>
          <w:rFonts w:ascii="宋体" w:hAnsi="宋体" w:cs="宋体"/>
          <w:b/>
          <w:sz w:val="32"/>
          <w:szCs w:val="32"/>
          <w:highlight w:val="none"/>
        </w:rPr>
      </w:pPr>
      <w:r>
        <w:rPr>
          <w:rFonts w:hint="eastAsia" w:ascii="宋体" w:hAnsi="宋体" w:cs="宋体"/>
          <w:b/>
          <w:sz w:val="32"/>
          <w:szCs w:val="32"/>
          <w:highlight w:val="none"/>
        </w:rPr>
        <w:t>开标一览表</w:t>
      </w:r>
    </w:p>
    <w:p w14:paraId="3DED18EA">
      <w:pPr>
        <w:snapToGrid w:val="0"/>
        <w:spacing w:before="50" w:after="50"/>
        <w:jc w:val="center"/>
        <w:rPr>
          <w:rFonts w:ascii="宋体" w:hAnsi="宋体" w:cs="宋体"/>
          <w:b/>
          <w:sz w:val="24"/>
          <w:highlight w:val="none"/>
        </w:rPr>
      </w:pPr>
    </w:p>
    <w:p w14:paraId="4BE19ECD">
      <w:pPr>
        <w:snapToGrid/>
        <w:spacing w:before="0" w:beforeLines="0" w:after="0" w:line="360" w:lineRule="auto"/>
        <w:rPr>
          <w:rFonts w:hint="eastAsia"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项目编号：</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分标：</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995F77D">
      <w:pPr>
        <w:snapToGrid/>
        <w:spacing w:before="0" w:beforeLines="0" w:after="0" w:line="360" w:lineRule="auto"/>
        <w:rPr>
          <w:rFonts w:hint="eastAsia" w:ascii="宋体" w:hAnsi="宋体" w:cs="宋体"/>
          <w:sz w:val="21"/>
          <w:szCs w:val="21"/>
          <w:highlight w:val="none"/>
        </w:rPr>
      </w:pPr>
      <w:r>
        <w:rPr>
          <w:rFonts w:hint="eastAsia" w:ascii="宋体" w:hAnsi="宋体" w:cs="宋体"/>
          <w:sz w:val="21"/>
          <w:szCs w:val="21"/>
          <w:highlight w:val="none"/>
        </w:rPr>
        <w:t>投标人名称：</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 xml:space="preserve">                       货币单位：人民币元</w:t>
      </w:r>
    </w:p>
    <w:p w14:paraId="2B962A58">
      <w:pPr>
        <w:snapToGrid/>
        <w:spacing w:before="0" w:beforeLines="0" w:after="0" w:line="360" w:lineRule="auto"/>
        <w:jc w:val="left"/>
        <w:rPr>
          <w:rFonts w:hint="eastAsia" w:ascii="宋体" w:hAnsi="宋体" w:cs="宋体"/>
          <w:sz w:val="21"/>
          <w:szCs w:val="21"/>
          <w:highlight w:val="none"/>
        </w:rPr>
      </w:pPr>
    </w:p>
    <w:tbl>
      <w:tblPr>
        <w:tblStyle w:val="4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48"/>
        <w:gridCol w:w="933"/>
        <w:gridCol w:w="1050"/>
        <w:gridCol w:w="933"/>
        <w:gridCol w:w="813"/>
        <w:gridCol w:w="576"/>
        <w:gridCol w:w="677"/>
        <w:gridCol w:w="1425"/>
        <w:gridCol w:w="1162"/>
      </w:tblGrid>
      <w:tr w14:paraId="703D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327" w:type="pct"/>
            <w:vAlign w:val="center"/>
          </w:tcPr>
          <w:p w14:paraId="42BE664C">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序号</w:t>
            </w:r>
          </w:p>
        </w:tc>
        <w:tc>
          <w:tcPr>
            <w:tcW w:w="477" w:type="pct"/>
            <w:vAlign w:val="center"/>
          </w:tcPr>
          <w:p w14:paraId="1D67435C">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标的名称</w:t>
            </w:r>
          </w:p>
        </w:tc>
        <w:tc>
          <w:tcPr>
            <w:tcW w:w="524" w:type="pct"/>
            <w:vAlign w:val="center"/>
          </w:tcPr>
          <w:p w14:paraId="1D8FDA6B">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品牌</w:t>
            </w:r>
          </w:p>
        </w:tc>
        <w:tc>
          <w:tcPr>
            <w:tcW w:w="589" w:type="pct"/>
            <w:vAlign w:val="center"/>
          </w:tcPr>
          <w:p w14:paraId="32BB04FA">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型号（与铭牌一致）</w:t>
            </w:r>
          </w:p>
        </w:tc>
        <w:tc>
          <w:tcPr>
            <w:tcW w:w="524" w:type="pct"/>
            <w:vAlign w:val="center"/>
          </w:tcPr>
          <w:p w14:paraId="4BBAB6F2">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生产厂家</w:t>
            </w:r>
          </w:p>
        </w:tc>
        <w:tc>
          <w:tcPr>
            <w:tcW w:w="458" w:type="pct"/>
            <w:vAlign w:val="center"/>
          </w:tcPr>
          <w:p w14:paraId="550950BB">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产地</w:t>
            </w:r>
          </w:p>
        </w:tc>
        <w:tc>
          <w:tcPr>
            <w:tcW w:w="327" w:type="pct"/>
            <w:vAlign w:val="center"/>
          </w:tcPr>
          <w:p w14:paraId="616B0892">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数  量①</w:t>
            </w:r>
          </w:p>
        </w:tc>
        <w:tc>
          <w:tcPr>
            <w:tcW w:w="383" w:type="pct"/>
            <w:vAlign w:val="center"/>
          </w:tcPr>
          <w:p w14:paraId="6234C5CB">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单位</w:t>
            </w:r>
          </w:p>
        </w:tc>
        <w:tc>
          <w:tcPr>
            <w:tcW w:w="796" w:type="pct"/>
            <w:vAlign w:val="center"/>
          </w:tcPr>
          <w:p w14:paraId="1D94E726">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单  价</w:t>
            </w:r>
          </w:p>
          <w:p w14:paraId="74744D95">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②</w:t>
            </w:r>
          </w:p>
        </w:tc>
        <w:tc>
          <w:tcPr>
            <w:tcW w:w="589" w:type="pct"/>
            <w:vAlign w:val="center"/>
          </w:tcPr>
          <w:p w14:paraId="456101F4">
            <w:pPr>
              <w:snapToGrid/>
              <w:spacing w:before="0" w:beforeLines="0" w:after="0" w:line="360" w:lineRule="auto"/>
              <w:jc w:val="center"/>
              <w:rPr>
                <w:rFonts w:hint="eastAsia" w:ascii="宋体" w:hAnsi="宋体" w:cs="宋体"/>
                <w:sz w:val="21"/>
                <w:szCs w:val="21"/>
                <w:highlight w:val="none"/>
              </w:rPr>
            </w:pPr>
            <w:r>
              <w:rPr>
                <w:rFonts w:hint="eastAsia" w:ascii="宋体" w:hAnsi="宋体" w:cs="宋体"/>
                <w:sz w:val="21"/>
                <w:szCs w:val="21"/>
                <w:highlight w:val="none"/>
              </w:rPr>
              <w:t>投标报价</w:t>
            </w:r>
          </w:p>
          <w:p w14:paraId="2CD1307C">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③=①×②</w:t>
            </w:r>
          </w:p>
        </w:tc>
      </w:tr>
      <w:tr w14:paraId="7BC8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0FCD8574">
            <w:pPr>
              <w:snapToGrid/>
              <w:spacing w:beforeLines="0" w:line="360" w:lineRule="auto"/>
              <w:jc w:val="center"/>
              <w:rPr>
                <w:rFonts w:hint="eastAsia" w:ascii="宋体" w:hAnsi="宋体" w:cs="宋体"/>
                <w:sz w:val="21"/>
                <w:szCs w:val="21"/>
                <w:highlight w:val="none"/>
              </w:rPr>
            </w:pPr>
            <w:r>
              <w:rPr>
                <w:rFonts w:hint="eastAsia" w:ascii="宋体" w:hAnsi="宋体" w:cs="宋体"/>
                <w:sz w:val="21"/>
                <w:szCs w:val="21"/>
                <w:highlight w:val="none"/>
              </w:rPr>
              <w:t>1</w:t>
            </w:r>
          </w:p>
        </w:tc>
        <w:tc>
          <w:tcPr>
            <w:tcW w:w="477" w:type="pct"/>
            <w:vAlign w:val="center"/>
          </w:tcPr>
          <w:p w14:paraId="5A855C20">
            <w:pPr>
              <w:snapToGrid/>
              <w:spacing w:beforeLines="0" w:line="360" w:lineRule="auto"/>
              <w:jc w:val="center"/>
              <w:rPr>
                <w:rFonts w:hint="eastAsia" w:ascii="宋体" w:hAnsi="宋体" w:cs="宋体"/>
                <w:sz w:val="21"/>
                <w:szCs w:val="21"/>
                <w:highlight w:val="none"/>
              </w:rPr>
            </w:pPr>
          </w:p>
        </w:tc>
        <w:tc>
          <w:tcPr>
            <w:tcW w:w="524" w:type="pct"/>
            <w:vAlign w:val="center"/>
          </w:tcPr>
          <w:p w14:paraId="492C1F2D">
            <w:pPr>
              <w:snapToGrid/>
              <w:spacing w:beforeLines="0" w:line="360" w:lineRule="auto"/>
              <w:jc w:val="center"/>
              <w:rPr>
                <w:rFonts w:hint="eastAsia" w:ascii="宋体" w:hAnsi="宋体" w:cs="宋体"/>
                <w:sz w:val="21"/>
                <w:szCs w:val="21"/>
                <w:highlight w:val="none"/>
              </w:rPr>
            </w:pPr>
          </w:p>
        </w:tc>
        <w:tc>
          <w:tcPr>
            <w:tcW w:w="589" w:type="pct"/>
            <w:vAlign w:val="center"/>
          </w:tcPr>
          <w:p w14:paraId="3CB4DC3C">
            <w:pPr>
              <w:snapToGrid/>
              <w:spacing w:beforeLines="0" w:line="360" w:lineRule="auto"/>
              <w:jc w:val="center"/>
              <w:rPr>
                <w:rFonts w:hint="eastAsia" w:ascii="宋体" w:hAnsi="宋体" w:cs="宋体"/>
                <w:sz w:val="21"/>
                <w:szCs w:val="21"/>
                <w:highlight w:val="none"/>
              </w:rPr>
            </w:pPr>
          </w:p>
        </w:tc>
        <w:tc>
          <w:tcPr>
            <w:tcW w:w="524" w:type="pct"/>
          </w:tcPr>
          <w:p w14:paraId="0171D04E">
            <w:pPr>
              <w:snapToGrid/>
              <w:spacing w:beforeLines="0" w:line="360" w:lineRule="auto"/>
              <w:jc w:val="center"/>
              <w:rPr>
                <w:rFonts w:hint="eastAsia" w:ascii="宋体" w:hAnsi="宋体" w:cs="宋体"/>
                <w:sz w:val="21"/>
                <w:szCs w:val="21"/>
                <w:highlight w:val="none"/>
              </w:rPr>
            </w:pPr>
          </w:p>
        </w:tc>
        <w:tc>
          <w:tcPr>
            <w:tcW w:w="458" w:type="pct"/>
            <w:vAlign w:val="center"/>
          </w:tcPr>
          <w:p w14:paraId="0650E009">
            <w:pPr>
              <w:snapToGrid/>
              <w:spacing w:beforeLines="0" w:line="360" w:lineRule="auto"/>
              <w:jc w:val="center"/>
              <w:rPr>
                <w:rFonts w:hint="eastAsia" w:ascii="宋体" w:hAnsi="宋体" w:cs="宋体"/>
                <w:sz w:val="21"/>
                <w:szCs w:val="21"/>
                <w:highlight w:val="none"/>
              </w:rPr>
            </w:pPr>
          </w:p>
        </w:tc>
        <w:tc>
          <w:tcPr>
            <w:tcW w:w="327" w:type="pct"/>
            <w:vAlign w:val="center"/>
          </w:tcPr>
          <w:p w14:paraId="67AF6660">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4EF7638C">
            <w:pPr>
              <w:snapToGrid/>
              <w:spacing w:beforeLines="0" w:line="360" w:lineRule="auto"/>
              <w:jc w:val="center"/>
              <w:rPr>
                <w:rFonts w:hint="eastAsia" w:ascii="宋体" w:hAnsi="宋体" w:cs="宋体"/>
                <w:sz w:val="21"/>
                <w:szCs w:val="21"/>
                <w:highlight w:val="none"/>
              </w:rPr>
            </w:pPr>
          </w:p>
        </w:tc>
        <w:tc>
          <w:tcPr>
            <w:tcW w:w="796" w:type="pct"/>
            <w:vAlign w:val="center"/>
          </w:tcPr>
          <w:p w14:paraId="03B2D751">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7EFAEFA6">
            <w:pPr>
              <w:snapToGrid/>
              <w:spacing w:beforeLines="0" w:line="360" w:lineRule="auto"/>
              <w:jc w:val="center"/>
              <w:rPr>
                <w:rFonts w:hint="eastAsia" w:ascii="宋体" w:hAnsi="宋体" w:cs="宋体"/>
                <w:sz w:val="21"/>
                <w:szCs w:val="21"/>
                <w:highlight w:val="none"/>
              </w:rPr>
            </w:pPr>
          </w:p>
        </w:tc>
      </w:tr>
      <w:tr w14:paraId="45C9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60DA1380">
            <w:pPr>
              <w:snapToGrid/>
              <w:spacing w:beforeLines="0"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p>
        </w:tc>
        <w:tc>
          <w:tcPr>
            <w:tcW w:w="477" w:type="pct"/>
            <w:vAlign w:val="center"/>
          </w:tcPr>
          <w:p w14:paraId="559F4504">
            <w:pPr>
              <w:snapToGrid/>
              <w:spacing w:beforeLines="0" w:line="360" w:lineRule="auto"/>
              <w:jc w:val="center"/>
              <w:rPr>
                <w:rFonts w:hint="eastAsia" w:ascii="宋体" w:hAnsi="宋体" w:cs="宋体"/>
                <w:sz w:val="21"/>
                <w:szCs w:val="21"/>
                <w:highlight w:val="none"/>
              </w:rPr>
            </w:pPr>
          </w:p>
        </w:tc>
        <w:tc>
          <w:tcPr>
            <w:tcW w:w="524" w:type="pct"/>
            <w:vAlign w:val="center"/>
          </w:tcPr>
          <w:p w14:paraId="1FED9057">
            <w:pPr>
              <w:snapToGrid/>
              <w:spacing w:beforeLines="0" w:line="360" w:lineRule="auto"/>
              <w:jc w:val="center"/>
              <w:rPr>
                <w:rFonts w:hint="eastAsia" w:ascii="宋体" w:hAnsi="宋体" w:cs="宋体"/>
                <w:sz w:val="21"/>
                <w:szCs w:val="21"/>
                <w:highlight w:val="none"/>
              </w:rPr>
            </w:pPr>
          </w:p>
        </w:tc>
        <w:tc>
          <w:tcPr>
            <w:tcW w:w="589" w:type="pct"/>
            <w:vAlign w:val="center"/>
          </w:tcPr>
          <w:p w14:paraId="0A165747">
            <w:pPr>
              <w:snapToGrid/>
              <w:spacing w:beforeLines="0" w:line="360" w:lineRule="auto"/>
              <w:jc w:val="center"/>
              <w:rPr>
                <w:rFonts w:hint="eastAsia" w:ascii="宋体" w:hAnsi="宋体" w:cs="宋体"/>
                <w:sz w:val="21"/>
                <w:szCs w:val="21"/>
                <w:highlight w:val="none"/>
              </w:rPr>
            </w:pPr>
          </w:p>
        </w:tc>
        <w:tc>
          <w:tcPr>
            <w:tcW w:w="524" w:type="pct"/>
          </w:tcPr>
          <w:p w14:paraId="3F930B50">
            <w:pPr>
              <w:snapToGrid/>
              <w:spacing w:beforeLines="0" w:line="360" w:lineRule="auto"/>
              <w:jc w:val="center"/>
              <w:rPr>
                <w:rFonts w:hint="eastAsia" w:ascii="宋体" w:hAnsi="宋体" w:cs="宋体"/>
                <w:sz w:val="21"/>
                <w:szCs w:val="21"/>
                <w:highlight w:val="none"/>
              </w:rPr>
            </w:pPr>
          </w:p>
        </w:tc>
        <w:tc>
          <w:tcPr>
            <w:tcW w:w="458" w:type="pct"/>
            <w:vAlign w:val="center"/>
          </w:tcPr>
          <w:p w14:paraId="2165991D">
            <w:pPr>
              <w:snapToGrid/>
              <w:spacing w:beforeLines="0" w:line="360" w:lineRule="auto"/>
              <w:jc w:val="center"/>
              <w:rPr>
                <w:rFonts w:hint="eastAsia" w:ascii="宋体" w:hAnsi="宋体" w:cs="宋体"/>
                <w:sz w:val="21"/>
                <w:szCs w:val="21"/>
                <w:highlight w:val="none"/>
              </w:rPr>
            </w:pPr>
          </w:p>
        </w:tc>
        <w:tc>
          <w:tcPr>
            <w:tcW w:w="327" w:type="pct"/>
            <w:vAlign w:val="center"/>
          </w:tcPr>
          <w:p w14:paraId="51BBA70F">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0DD88516">
            <w:pPr>
              <w:snapToGrid/>
              <w:spacing w:beforeLines="0" w:line="360" w:lineRule="auto"/>
              <w:jc w:val="center"/>
              <w:rPr>
                <w:rFonts w:hint="eastAsia" w:ascii="宋体" w:hAnsi="宋体" w:cs="宋体"/>
                <w:sz w:val="21"/>
                <w:szCs w:val="21"/>
                <w:highlight w:val="none"/>
              </w:rPr>
            </w:pPr>
          </w:p>
        </w:tc>
        <w:tc>
          <w:tcPr>
            <w:tcW w:w="796" w:type="pct"/>
            <w:vAlign w:val="center"/>
          </w:tcPr>
          <w:p w14:paraId="046262D2">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5D5802BC">
            <w:pPr>
              <w:snapToGrid/>
              <w:spacing w:beforeLines="0" w:line="360" w:lineRule="auto"/>
              <w:jc w:val="center"/>
              <w:rPr>
                <w:rFonts w:hint="eastAsia" w:ascii="宋体" w:hAnsi="宋体" w:cs="宋体"/>
                <w:sz w:val="21"/>
                <w:szCs w:val="21"/>
                <w:highlight w:val="none"/>
              </w:rPr>
            </w:pPr>
          </w:p>
        </w:tc>
      </w:tr>
      <w:tr w14:paraId="1B00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551711B9">
            <w:pPr>
              <w:snapToGrid/>
              <w:spacing w:beforeLines="0"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p>
        </w:tc>
        <w:tc>
          <w:tcPr>
            <w:tcW w:w="477" w:type="pct"/>
            <w:vAlign w:val="center"/>
          </w:tcPr>
          <w:p w14:paraId="004D0B95">
            <w:pPr>
              <w:snapToGrid/>
              <w:spacing w:beforeLines="0" w:line="360" w:lineRule="auto"/>
              <w:jc w:val="center"/>
              <w:rPr>
                <w:rFonts w:hint="eastAsia" w:ascii="宋体" w:hAnsi="宋体" w:cs="宋体"/>
                <w:sz w:val="21"/>
                <w:szCs w:val="21"/>
                <w:highlight w:val="none"/>
              </w:rPr>
            </w:pPr>
          </w:p>
        </w:tc>
        <w:tc>
          <w:tcPr>
            <w:tcW w:w="524" w:type="pct"/>
            <w:vAlign w:val="center"/>
          </w:tcPr>
          <w:p w14:paraId="141B80BA">
            <w:pPr>
              <w:snapToGrid/>
              <w:spacing w:beforeLines="0" w:line="360" w:lineRule="auto"/>
              <w:jc w:val="center"/>
              <w:rPr>
                <w:rFonts w:hint="eastAsia" w:ascii="宋体" w:hAnsi="宋体" w:cs="宋体"/>
                <w:sz w:val="21"/>
                <w:szCs w:val="21"/>
                <w:highlight w:val="none"/>
              </w:rPr>
            </w:pPr>
          </w:p>
        </w:tc>
        <w:tc>
          <w:tcPr>
            <w:tcW w:w="589" w:type="pct"/>
            <w:vAlign w:val="center"/>
          </w:tcPr>
          <w:p w14:paraId="6335412A">
            <w:pPr>
              <w:snapToGrid/>
              <w:spacing w:beforeLines="0" w:line="360" w:lineRule="auto"/>
              <w:jc w:val="center"/>
              <w:rPr>
                <w:rFonts w:hint="eastAsia" w:ascii="宋体" w:hAnsi="宋体" w:cs="宋体"/>
                <w:sz w:val="21"/>
                <w:szCs w:val="21"/>
                <w:highlight w:val="none"/>
              </w:rPr>
            </w:pPr>
          </w:p>
        </w:tc>
        <w:tc>
          <w:tcPr>
            <w:tcW w:w="524" w:type="pct"/>
          </w:tcPr>
          <w:p w14:paraId="67756E1E">
            <w:pPr>
              <w:snapToGrid/>
              <w:spacing w:beforeLines="0" w:line="360" w:lineRule="auto"/>
              <w:jc w:val="center"/>
              <w:rPr>
                <w:rFonts w:hint="eastAsia" w:ascii="宋体" w:hAnsi="宋体" w:cs="宋体"/>
                <w:sz w:val="21"/>
                <w:szCs w:val="21"/>
                <w:highlight w:val="none"/>
              </w:rPr>
            </w:pPr>
          </w:p>
        </w:tc>
        <w:tc>
          <w:tcPr>
            <w:tcW w:w="458" w:type="pct"/>
            <w:vAlign w:val="center"/>
          </w:tcPr>
          <w:p w14:paraId="27E7A187">
            <w:pPr>
              <w:snapToGrid/>
              <w:spacing w:beforeLines="0" w:line="360" w:lineRule="auto"/>
              <w:jc w:val="center"/>
              <w:rPr>
                <w:rFonts w:hint="eastAsia" w:ascii="宋体" w:hAnsi="宋体" w:cs="宋体"/>
                <w:sz w:val="21"/>
                <w:szCs w:val="21"/>
                <w:highlight w:val="none"/>
              </w:rPr>
            </w:pPr>
          </w:p>
        </w:tc>
        <w:tc>
          <w:tcPr>
            <w:tcW w:w="327" w:type="pct"/>
            <w:vAlign w:val="center"/>
          </w:tcPr>
          <w:p w14:paraId="4CDD685F">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4ABE9DC9">
            <w:pPr>
              <w:snapToGrid/>
              <w:spacing w:beforeLines="0" w:line="360" w:lineRule="auto"/>
              <w:jc w:val="center"/>
              <w:rPr>
                <w:rFonts w:hint="eastAsia" w:ascii="宋体" w:hAnsi="宋体" w:cs="宋体"/>
                <w:sz w:val="21"/>
                <w:szCs w:val="21"/>
                <w:highlight w:val="none"/>
              </w:rPr>
            </w:pPr>
          </w:p>
        </w:tc>
        <w:tc>
          <w:tcPr>
            <w:tcW w:w="796" w:type="pct"/>
            <w:vAlign w:val="center"/>
          </w:tcPr>
          <w:p w14:paraId="48B296C5">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59AEBFB9">
            <w:pPr>
              <w:snapToGrid/>
              <w:spacing w:beforeLines="0" w:line="360" w:lineRule="auto"/>
              <w:jc w:val="center"/>
              <w:rPr>
                <w:rFonts w:hint="eastAsia" w:ascii="宋体" w:hAnsi="宋体" w:cs="宋体"/>
                <w:sz w:val="21"/>
                <w:szCs w:val="21"/>
                <w:highlight w:val="none"/>
              </w:rPr>
            </w:pPr>
          </w:p>
        </w:tc>
      </w:tr>
      <w:tr w14:paraId="121A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020BD997">
            <w:pPr>
              <w:snapToGrid/>
              <w:spacing w:beforeLines="0"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477" w:type="pct"/>
            <w:vAlign w:val="center"/>
          </w:tcPr>
          <w:p w14:paraId="74B3D2D7">
            <w:pPr>
              <w:snapToGrid/>
              <w:spacing w:beforeLines="0" w:line="360" w:lineRule="auto"/>
              <w:jc w:val="center"/>
              <w:rPr>
                <w:rFonts w:hint="eastAsia" w:ascii="宋体" w:hAnsi="宋体" w:cs="宋体"/>
                <w:sz w:val="21"/>
                <w:szCs w:val="21"/>
                <w:highlight w:val="none"/>
              </w:rPr>
            </w:pPr>
          </w:p>
        </w:tc>
        <w:tc>
          <w:tcPr>
            <w:tcW w:w="524" w:type="pct"/>
            <w:vAlign w:val="center"/>
          </w:tcPr>
          <w:p w14:paraId="5851872D">
            <w:pPr>
              <w:snapToGrid/>
              <w:spacing w:beforeLines="0" w:line="360" w:lineRule="auto"/>
              <w:jc w:val="center"/>
              <w:rPr>
                <w:rFonts w:hint="eastAsia" w:ascii="宋体" w:hAnsi="宋体" w:cs="宋体"/>
                <w:sz w:val="21"/>
                <w:szCs w:val="21"/>
                <w:highlight w:val="none"/>
              </w:rPr>
            </w:pPr>
          </w:p>
        </w:tc>
        <w:tc>
          <w:tcPr>
            <w:tcW w:w="589" w:type="pct"/>
            <w:vAlign w:val="center"/>
          </w:tcPr>
          <w:p w14:paraId="4598E979">
            <w:pPr>
              <w:snapToGrid/>
              <w:spacing w:beforeLines="0" w:line="360" w:lineRule="auto"/>
              <w:jc w:val="center"/>
              <w:rPr>
                <w:rFonts w:hint="eastAsia" w:ascii="宋体" w:hAnsi="宋体" w:cs="宋体"/>
                <w:sz w:val="21"/>
                <w:szCs w:val="21"/>
                <w:highlight w:val="none"/>
              </w:rPr>
            </w:pPr>
          </w:p>
        </w:tc>
        <w:tc>
          <w:tcPr>
            <w:tcW w:w="524" w:type="pct"/>
          </w:tcPr>
          <w:p w14:paraId="34574F15">
            <w:pPr>
              <w:snapToGrid/>
              <w:spacing w:beforeLines="0" w:line="360" w:lineRule="auto"/>
              <w:jc w:val="center"/>
              <w:rPr>
                <w:rFonts w:hint="eastAsia" w:ascii="宋体" w:hAnsi="宋体" w:cs="宋体"/>
                <w:sz w:val="21"/>
                <w:szCs w:val="21"/>
                <w:highlight w:val="none"/>
              </w:rPr>
            </w:pPr>
          </w:p>
        </w:tc>
        <w:tc>
          <w:tcPr>
            <w:tcW w:w="458" w:type="pct"/>
            <w:vAlign w:val="center"/>
          </w:tcPr>
          <w:p w14:paraId="783B999A">
            <w:pPr>
              <w:snapToGrid/>
              <w:spacing w:beforeLines="0" w:line="360" w:lineRule="auto"/>
              <w:jc w:val="center"/>
              <w:rPr>
                <w:rFonts w:hint="eastAsia" w:ascii="宋体" w:hAnsi="宋体" w:cs="宋体"/>
                <w:sz w:val="21"/>
                <w:szCs w:val="21"/>
                <w:highlight w:val="none"/>
              </w:rPr>
            </w:pPr>
          </w:p>
        </w:tc>
        <w:tc>
          <w:tcPr>
            <w:tcW w:w="327" w:type="pct"/>
            <w:vAlign w:val="center"/>
          </w:tcPr>
          <w:p w14:paraId="362EE08A">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41563957">
            <w:pPr>
              <w:snapToGrid/>
              <w:spacing w:beforeLines="0" w:line="360" w:lineRule="auto"/>
              <w:jc w:val="center"/>
              <w:rPr>
                <w:rFonts w:hint="eastAsia" w:ascii="宋体" w:hAnsi="宋体" w:cs="宋体"/>
                <w:sz w:val="21"/>
                <w:szCs w:val="21"/>
                <w:highlight w:val="none"/>
              </w:rPr>
            </w:pPr>
          </w:p>
        </w:tc>
        <w:tc>
          <w:tcPr>
            <w:tcW w:w="796" w:type="pct"/>
            <w:vAlign w:val="center"/>
          </w:tcPr>
          <w:p w14:paraId="13279738">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19DFBE0D">
            <w:pPr>
              <w:snapToGrid/>
              <w:spacing w:beforeLines="0" w:line="360" w:lineRule="auto"/>
              <w:jc w:val="center"/>
              <w:rPr>
                <w:rFonts w:hint="eastAsia" w:ascii="宋体" w:hAnsi="宋体" w:cs="宋体"/>
                <w:sz w:val="21"/>
                <w:szCs w:val="21"/>
                <w:highlight w:val="none"/>
              </w:rPr>
            </w:pPr>
          </w:p>
        </w:tc>
      </w:tr>
      <w:tr w14:paraId="3D60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646C9FB2">
            <w:pPr>
              <w:snapToGrid/>
              <w:spacing w:beforeLines="0"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5</w:t>
            </w:r>
          </w:p>
        </w:tc>
        <w:tc>
          <w:tcPr>
            <w:tcW w:w="477" w:type="pct"/>
            <w:vAlign w:val="center"/>
          </w:tcPr>
          <w:p w14:paraId="3BE526C3">
            <w:pPr>
              <w:snapToGrid/>
              <w:spacing w:beforeLines="0" w:line="360" w:lineRule="auto"/>
              <w:jc w:val="center"/>
              <w:rPr>
                <w:rFonts w:hint="eastAsia" w:ascii="宋体" w:hAnsi="宋体" w:cs="宋体"/>
                <w:sz w:val="21"/>
                <w:szCs w:val="21"/>
                <w:highlight w:val="none"/>
              </w:rPr>
            </w:pPr>
          </w:p>
        </w:tc>
        <w:tc>
          <w:tcPr>
            <w:tcW w:w="524" w:type="pct"/>
            <w:vAlign w:val="center"/>
          </w:tcPr>
          <w:p w14:paraId="31CE84AB">
            <w:pPr>
              <w:snapToGrid/>
              <w:spacing w:beforeLines="0" w:line="360" w:lineRule="auto"/>
              <w:jc w:val="center"/>
              <w:rPr>
                <w:rFonts w:hint="eastAsia" w:ascii="宋体" w:hAnsi="宋体" w:cs="宋体"/>
                <w:sz w:val="21"/>
                <w:szCs w:val="21"/>
                <w:highlight w:val="none"/>
              </w:rPr>
            </w:pPr>
          </w:p>
        </w:tc>
        <w:tc>
          <w:tcPr>
            <w:tcW w:w="589" w:type="pct"/>
            <w:vAlign w:val="center"/>
          </w:tcPr>
          <w:p w14:paraId="55DD4E19">
            <w:pPr>
              <w:snapToGrid/>
              <w:spacing w:beforeLines="0" w:line="360" w:lineRule="auto"/>
              <w:jc w:val="center"/>
              <w:rPr>
                <w:rFonts w:hint="eastAsia" w:ascii="宋体" w:hAnsi="宋体" w:cs="宋体"/>
                <w:sz w:val="21"/>
                <w:szCs w:val="21"/>
                <w:highlight w:val="none"/>
              </w:rPr>
            </w:pPr>
          </w:p>
        </w:tc>
        <w:tc>
          <w:tcPr>
            <w:tcW w:w="524" w:type="pct"/>
          </w:tcPr>
          <w:p w14:paraId="51695867">
            <w:pPr>
              <w:snapToGrid/>
              <w:spacing w:beforeLines="0" w:line="360" w:lineRule="auto"/>
              <w:jc w:val="center"/>
              <w:rPr>
                <w:rFonts w:hint="eastAsia" w:ascii="宋体" w:hAnsi="宋体" w:cs="宋体"/>
                <w:sz w:val="21"/>
                <w:szCs w:val="21"/>
                <w:highlight w:val="none"/>
              </w:rPr>
            </w:pPr>
          </w:p>
        </w:tc>
        <w:tc>
          <w:tcPr>
            <w:tcW w:w="458" w:type="pct"/>
            <w:vAlign w:val="center"/>
          </w:tcPr>
          <w:p w14:paraId="53CD843F">
            <w:pPr>
              <w:snapToGrid/>
              <w:spacing w:beforeLines="0" w:line="360" w:lineRule="auto"/>
              <w:jc w:val="center"/>
              <w:rPr>
                <w:rFonts w:hint="eastAsia" w:ascii="宋体" w:hAnsi="宋体" w:cs="宋体"/>
                <w:sz w:val="21"/>
                <w:szCs w:val="21"/>
                <w:highlight w:val="none"/>
              </w:rPr>
            </w:pPr>
          </w:p>
        </w:tc>
        <w:tc>
          <w:tcPr>
            <w:tcW w:w="327" w:type="pct"/>
            <w:vAlign w:val="center"/>
          </w:tcPr>
          <w:p w14:paraId="00E54BA0">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001D2444">
            <w:pPr>
              <w:snapToGrid/>
              <w:spacing w:beforeLines="0" w:line="360" w:lineRule="auto"/>
              <w:jc w:val="center"/>
              <w:rPr>
                <w:rFonts w:hint="eastAsia" w:ascii="宋体" w:hAnsi="宋体" w:cs="宋体"/>
                <w:sz w:val="21"/>
                <w:szCs w:val="21"/>
                <w:highlight w:val="none"/>
              </w:rPr>
            </w:pPr>
          </w:p>
        </w:tc>
        <w:tc>
          <w:tcPr>
            <w:tcW w:w="796" w:type="pct"/>
            <w:vAlign w:val="center"/>
          </w:tcPr>
          <w:p w14:paraId="553F048A">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3D51AA1A">
            <w:pPr>
              <w:snapToGrid/>
              <w:spacing w:beforeLines="0" w:line="360" w:lineRule="auto"/>
              <w:jc w:val="center"/>
              <w:rPr>
                <w:rFonts w:hint="eastAsia" w:ascii="宋体" w:hAnsi="宋体" w:cs="宋体"/>
                <w:sz w:val="21"/>
                <w:szCs w:val="21"/>
                <w:highlight w:val="none"/>
              </w:rPr>
            </w:pPr>
          </w:p>
        </w:tc>
      </w:tr>
      <w:tr w14:paraId="4639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0C2F78A7">
            <w:pPr>
              <w:snapToGrid/>
              <w:spacing w:beforeLines="0" w:line="360" w:lineRule="auto"/>
              <w:jc w:val="center"/>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6</w:t>
            </w:r>
          </w:p>
        </w:tc>
        <w:tc>
          <w:tcPr>
            <w:tcW w:w="477" w:type="pct"/>
            <w:vAlign w:val="center"/>
          </w:tcPr>
          <w:p w14:paraId="49A84211">
            <w:pPr>
              <w:snapToGrid/>
              <w:spacing w:beforeLines="0" w:line="360" w:lineRule="auto"/>
              <w:jc w:val="center"/>
              <w:rPr>
                <w:rFonts w:hint="eastAsia" w:ascii="宋体" w:hAnsi="宋体" w:cs="宋体"/>
                <w:sz w:val="21"/>
                <w:szCs w:val="21"/>
                <w:highlight w:val="none"/>
              </w:rPr>
            </w:pPr>
          </w:p>
        </w:tc>
        <w:tc>
          <w:tcPr>
            <w:tcW w:w="524" w:type="pct"/>
            <w:vAlign w:val="center"/>
          </w:tcPr>
          <w:p w14:paraId="2147E2A6">
            <w:pPr>
              <w:snapToGrid/>
              <w:spacing w:beforeLines="0" w:line="360" w:lineRule="auto"/>
              <w:jc w:val="center"/>
              <w:rPr>
                <w:rFonts w:hint="eastAsia" w:ascii="宋体" w:hAnsi="宋体" w:cs="宋体"/>
                <w:sz w:val="21"/>
                <w:szCs w:val="21"/>
                <w:highlight w:val="none"/>
              </w:rPr>
            </w:pPr>
          </w:p>
        </w:tc>
        <w:tc>
          <w:tcPr>
            <w:tcW w:w="589" w:type="pct"/>
            <w:vAlign w:val="center"/>
          </w:tcPr>
          <w:p w14:paraId="654ADB7B">
            <w:pPr>
              <w:snapToGrid/>
              <w:spacing w:beforeLines="0" w:line="360" w:lineRule="auto"/>
              <w:jc w:val="center"/>
              <w:rPr>
                <w:rFonts w:hint="eastAsia" w:ascii="宋体" w:hAnsi="宋体" w:cs="宋体"/>
                <w:sz w:val="21"/>
                <w:szCs w:val="21"/>
                <w:highlight w:val="none"/>
              </w:rPr>
            </w:pPr>
          </w:p>
        </w:tc>
        <w:tc>
          <w:tcPr>
            <w:tcW w:w="524" w:type="pct"/>
          </w:tcPr>
          <w:p w14:paraId="3E3B9A97">
            <w:pPr>
              <w:snapToGrid/>
              <w:spacing w:beforeLines="0" w:line="360" w:lineRule="auto"/>
              <w:jc w:val="center"/>
              <w:rPr>
                <w:rFonts w:hint="eastAsia" w:ascii="宋体" w:hAnsi="宋体" w:cs="宋体"/>
                <w:sz w:val="21"/>
                <w:szCs w:val="21"/>
                <w:highlight w:val="none"/>
              </w:rPr>
            </w:pPr>
          </w:p>
        </w:tc>
        <w:tc>
          <w:tcPr>
            <w:tcW w:w="458" w:type="pct"/>
            <w:vAlign w:val="center"/>
          </w:tcPr>
          <w:p w14:paraId="07610EF0">
            <w:pPr>
              <w:snapToGrid/>
              <w:spacing w:beforeLines="0" w:line="360" w:lineRule="auto"/>
              <w:jc w:val="center"/>
              <w:rPr>
                <w:rFonts w:hint="eastAsia" w:ascii="宋体" w:hAnsi="宋体" w:cs="宋体"/>
                <w:sz w:val="21"/>
                <w:szCs w:val="21"/>
                <w:highlight w:val="none"/>
              </w:rPr>
            </w:pPr>
          </w:p>
        </w:tc>
        <w:tc>
          <w:tcPr>
            <w:tcW w:w="327" w:type="pct"/>
            <w:vAlign w:val="center"/>
          </w:tcPr>
          <w:p w14:paraId="3C368F73">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154F2912">
            <w:pPr>
              <w:snapToGrid/>
              <w:spacing w:beforeLines="0" w:line="360" w:lineRule="auto"/>
              <w:jc w:val="center"/>
              <w:rPr>
                <w:rFonts w:hint="eastAsia" w:ascii="宋体" w:hAnsi="宋体" w:cs="宋体"/>
                <w:sz w:val="21"/>
                <w:szCs w:val="21"/>
                <w:highlight w:val="none"/>
              </w:rPr>
            </w:pPr>
          </w:p>
        </w:tc>
        <w:tc>
          <w:tcPr>
            <w:tcW w:w="796" w:type="pct"/>
            <w:vAlign w:val="center"/>
          </w:tcPr>
          <w:p w14:paraId="3709747A">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4939759A">
            <w:pPr>
              <w:snapToGrid/>
              <w:spacing w:beforeLines="0" w:line="360" w:lineRule="auto"/>
              <w:jc w:val="center"/>
              <w:rPr>
                <w:rFonts w:hint="eastAsia" w:ascii="宋体" w:hAnsi="宋体" w:cs="宋体"/>
                <w:sz w:val="21"/>
                <w:szCs w:val="21"/>
                <w:highlight w:val="none"/>
              </w:rPr>
            </w:pPr>
          </w:p>
        </w:tc>
      </w:tr>
      <w:tr w14:paraId="379A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327" w:type="pct"/>
            <w:vAlign w:val="center"/>
          </w:tcPr>
          <w:p w14:paraId="56CEB6C7">
            <w:pPr>
              <w:snapToGrid/>
              <w:spacing w:beforeLines="0" w:line="36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477" w:type="pct"/>
            <w:vAlign w:val="center"/>
          </w:tcPr>
          <w:p w14:paraId="02516A4A">
            <w:pPr>
              <w:snapToGrid/>
              <w:spacing w:beforeLines="0" w:line="360" w:lineRule="auto"/>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w:t>
            </w:r>
          </w:p>
        </w:tc>
        <w:tc>
          <w:tcPr>
            <w:tcW w:w="524" w:type="pct"/>
            <w:vAlign w:val="center"/>
          </w:tcPr>
          <w:p w14:paraId="0C87C103">
            <w:pPr>
              <w:snapToGrid/>
              <w:spacing w:beforeLines="0" w:line="360" w:lineRule="auto"/>
              <w:jc w:val="center"/>
              <w:rPr>
                <w:rFonts w:hint="eastAsia" w:ascii="宋体" w:hAnsi="宋体" w:cs="宋体"/>
                <w:sz w:val="21"/>
                <w:szCs w:val="21"/>
                <w:highlight w:val="none"/>
              </w:rPr>
            </w:pPr>
          </w:p>
        </w:tc>
        <w:tc>
          <w:tcPr>
            <w:tcW w:w="589" w:type="pct"/>
            <w:vAlign w:val="center"/>
          </w:tcPr>
          <w:p w14:paraId="76272D05">
            <w:pPr>
              <w:snapToGrid/>
              <w:spacing w:beforeLines="0" w:line="360" w:lineRule="auto"/>
              <w:jc w:val="center"/>
              <w:rPr>
                <w:rFonts w:hint="eastAsia" w:ascii="宋体" w:hAnsi="宋体" w:cs="宋体"/>
                <w:sz w:val="21"/>
                <w:szCs w:val="21"/>
                <w:highlight w:val="none"/>
              </w:rPr>
            </w:pPr>
          </w:p>
        </w:tc>
        <w:tc>
          <w:tcPr>
            <w:tcW w:w="524" w:type="pct"/>
          </w:tcPr>
          <w:p w14:paraId="13E74348">
            <w:pPr>
              <w:snapToGrid/>
              <w:spacing w:beforeLines="0" w:line="360" w:lineRule="auto"/>
              <w:jc w:val="center"/>
              <w:rPr>
                <w:rFonts w:hint="eastAsia" w:ascii="宋体" w:hAnsi="宋体" w:cs="宋体"/>
                <w:sz w:val="21"/>
                <w:szCs w:val="21"/>
                <w:highlight w:val="none"/>
              </w:rPr>
            </w:pPr>
          </w:p>
        </w:tc>
        <w:tc>
          <w:tcPr>
            <w:tcW w:w="458" w:type="pct"/>
            <w:vAlign w:val="center"/>
          </w:tcPr>
          <w:p w14:paraId="251E89B3">
            <w:pPr>
              <w:snapToGrid/>
              <w:spacing w:beforeLines="0" w:line="360" w:lineRule="auto"/>
              <w:jc w:val="center"/>
              <w:rPr>
                <w:rFonts w:hint="eastAsia" w:ascii="宋体" w:hAnsi="宋体" w:cs="宋体"/>
                <w:sz w:val="21"/>
                <w:szCs w:val="21"/>
                <w:highlight w:val="none"/>
              </w:rPr>
            </w:pPr>
          </w:p>
        </w:tc>
        <w:tc>
          <w:tcPr>
            <w:tcW w:w="327" w:type="pct"/>
            <w:vAlign w:val="center"/>
          </w:tcPr>
          <w:p w14:paraId="6C0D134E">
            <w:pPr>
              <w:pStyle w:val="126"/>
              <w:snapToGrid/>
              <w:spacing w:beforeLines="0" w:line="360" w:lineRule="auto"/>
              <w:ind w:left="0" w:firstLine="0" w:firstLineChars="0"/>
              <w:rPr>
                <w:rFonts w:hint="eastAsia" w:ascii="宋体" w:hAnsi="宋体" w:cs="宋体"/>
                <w:sz w:val="21"/>
                <w:szCs w:val="21"/>
                <w:highlight w:val="none"/>
              </w:rPr>
            </w:pPr>
          </w:p>
        </w:tc>
        <w:tc>
          <w:tcPr>
            <w:tcW w:w="383" w:type="pct"/>
          </w:tcPr>
          <w:p w14:paraId="00648E1B">
            <w:pPr>
              <w:snapToGrid/>
              <w:spacing w:beforeLines="0" w:line="360" w:lineRule="auto"/>
              <w:jc w:val="center"/>
              <w:rPr>
                <w:rFonts w:hint="eastAsia" w:ascii="宋体" w:hAnsi="宋体" w:cs="宋体"/>
                <w:sz w:val="21"/>
                <w:szCs w:val="21"/>
                <w:highlight w:val="none"/>
              </w:rPr>
            </w:pPr>
          </w:p>
        </w:tc>
        <w:tc>
          <w:tcPr>
            <w:tcW w:w="796" w:type="pct"/>
            <w:vAlign w:val="center"/>
          </w:tcPr>
          <w:p w14:paraId="783A7930">
            <w:pPr>
              <w:pStyle w:val="126"/>
              <w:snapToGrid/>
              <w:spacing w:beforeLines="0" w:line="360" w:lineRule="auto"/>
              <w:ind w:left="0" w:firstLine="0" w:firstLineChars="0"/>
              <w:rPr>
                <w:rFonts w:hint="eastAsia" w:ascii="宋体" w:hAnsi="宋体" w:cs="宋体"/>
                <w:sz w:val="21"/>
                <w:szCs w:val="21"/>
                <w:highlight w:val="none"/>
              </w:rPr>
            </w:pPr>
          </w:p>
        </w:tc>
        <w:tc>
          <w:tcPr>
            <w:tcW w:w="589" w:type="pct"/>
          </w:tcPr>
          <w:p w14:paraId="2D07A2C9">
            <w:pPr>
              <w:snapToGrid/>
              <w:spacing w:beforeLines="0" w:line="360" w:lineRule="auto"/>
              <w:jc w:val="center"/>
              <w:rPr>
                <w:rFonts w:hint="eastAsia" w:ascii="宋体" w:hAnsi="宋体" w:cs="宋体"/>
                <w:sz w:val="21"/>
                <w:szCs w:val="21"/>
                <w:highlight w:val="none"/>
              </w:rPr>
            </w:pPr>
          </w:p>
        </w:tc>
      </w:tr>
      <w:tr w14:paraId="3084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5000" w:type="pct"/>
            <w:gridSpan w:val="10"/>
          </w:tcPr>
          <w:p w14:paraId="5F8C9D86">
            <w:pPr>
              <w:snapToGrid/>
              <w:spacing w:beforeLines="0" w:line="360" w:lineRule="auto"/>
              <w:jc w:val="left"/>
              <w:rPr>
                <w:rFonts w:hint="eastAsia" w:ascii="宋体" w:hAnsi="宋体" w:cs="宋体"/>
                <w:szCs w:val="21"/>
                <w:highlight w:val="none"/>
              </w:rPr>
            </w:pPr>
            <w:r>
              <w:rPr>
                <w:rFonts w:hint="eastAsia" w:ascii="宋体" w:hAnsi="宋体" w:cs="宋体"/>
                <w:sz w:val="21"/>
                <w:szCs w:val="21"/>
                <w:highlight w:val="none"/>
              </w:rPr>
              <w:t>合计金额（人民币大写</w:t>
            </w:r>
            <w:r>
              <w:rPr>
                <w:rFonts w:hint="eastAsia" w:ascii="宋体" w:hAnsi="宋体" w:cs="宋体"/>
                <w:sz w:val="21"/>
                <w:szCs w:val="21"/>
                <w:highlight w:val="none"/>
                <w:u w:val="single"/>
              </w:rPr>
              <w:t>）</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bCs/>
                <w:sz w:val="21"/>
                <w:szCs w:val="21"/>
                <w:highlight w:val="none"/>
                <w:u w:val="single"/>
              </w:rPr>
              <w:t>元整</w:t>
            </w:r>
            <w:r>
              <w:rPr>
                <w:rFonts w:hint="eastAsia" w:ascii="宋体" w:hAnsi="宋体" w:cs="宋体"/>
                <w:bCs/>
                <w:sz w:val="21"/>
                <w:szCs w:val="21"/>
                <w:highlight w:val="none"/>
              </w:rPr>
              <w:t>（小写）</w:t>
            </w:r>
            <w:r>
              <w:rPr>
                <w:rFonts w:hint="eastAsia" w:ascii="宋体" w:hAnsi="宋体" w:cs="宋体"/>
                <w:bCs/>
                <w:sz w:val="21"/>
                <w:szCs w:val="21"/>
                <w:highlight w:val="none"/>
                <w:u w:val="single"/>
              </w:rPr>
              <w:t>¥</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tc>
      </w:tr>
      <w:tr w14:paraId="43B9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5000" w:type="pct"/>
            <w:gridSpan w:val="10"/>
          </w:tcPr>
          <w:p w14:paraId="052A52DA">
            <w:pPr>
              <w:snapToGrid/>
              <w:spacing w:beforeLines="0" w:line="360" w:lineRule="auto"/>
              <w:jc w:val="left"/>
              <w:rPr>
                <w:rFonts w:hint="eastAsia" w:ascii="宋体" w:hAnsi="宋体" w:cs="宋体"/>
                <w:sz w:val="21"/>
                <w:szCs w:val="21"/>
                <w:highlight w:val="none"/>
              </w:rPr>
            </w:pPr>
            <w:r>
              <w:rPr>
                <w:rFonts w:hint="eastAsia" w:ascii="宋体" w:hAnsi="宋体" w:cs="宋体"/>
                <w:sz w:val="21"/>
                <w:szCs w:val="21"/>
                <w:highlight w:val="none"/>
              </w:rPr>
              <w:t>交付时间：</w:t>
            </w:r>
          </w:p>
        </w:tc>
      </w:tr>
    </w:tbl>
    <w:p w14:paraId="7BB52D4B">
      <w:pPr>
        <w:snapToGrid/>
        <w:spacing w:before="0" w:beforeLines="0" w:after="0"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 xml:space="preserve">注： </w:t>
      </w:r>
    </w:p>
    <w:p w14:paraId="618D4634">
      <w:pPr>
        <w:spacing w:beforeLines="0" w:line="360" w:lineRule="auto"/>
        <w:ind w:firstLine="420" w:firstLineChars="200"/>
        <w:contextualSpacing/>
        <w:jc w:val="left"/>
        <w:rPr>
          <w:rFonts w:hint="eastAsia" w:ascii="宋体" w:hAnsi="宋体" w:eastAsia="宋体" w:cs="宋体"/>
          <w:szCs w:val="21"/>
          <w:highlight w:val="none"/>
        </w:rPr>
      </w:pPr>
      <w:r>
        <w:rPr>
          <w:rFonts w:hint="eastAsia" w:ascii="宋体" w:hAnsi="宋体" w:eastAsia="宋体" w:cs="宋体"/>
          <w:sz w:val="21"/>
          <w:szCs w:val="21"/>
          <w:highlight w:val="none"/>
        </w:rPr>
        <w:t>1.开标一览表中“标的名称、数量、单位、品牌、型号、生产厂家、产地”必须如实填写完整，定制产品在型号栏中填写“定制”。</w:t>
      </w:r>
      <w:r>
        <w:rPr>
          <w:rFonts w:hint="eastAsia" w:ascii="宋体" w:hAnsi="宋体" w:eastAsia="宋体" w:cs="宋体"/>
          <w:b/>
          <w:sz w:val="21"/>
          <w:szCs w:val="21"/>
          <w:highlight w:val="none"/>
        </w:rPr>
        <w:t>填写有缺漏</w:t>
      </w:r>
      <w:r>
        <w:rPr>
          <w:rFonts w:hint="eastAsia" w:ascii="宋体" w:hAnsi="宋体" w:eastAsia="宋体" w:cs="宋体"/>
          <w:b/>
          <w:bCs/>
          <w:sz w:val="21"/>
          <w:szCs w:val="21"/>
          <w:highlight w:val="none"/>
        </w:rPr>
        <w:t>的，</w:t>
      </w:r>
      <w:r>
        <w:rPr>
          <w:rFonts w:hint="eastAsia" w:ascii="宋体" w:hAnsi="宋体" w:eastAsia="宋体" w:cs="宋体"/>
          <w:b/>
          <w:sz w:val="21"/>
          <w:szCs w:val="21"/>
          <w:highlight w:val="none"/>
        </w:rPr>
        <w:t>其投标文件按无效响应处理。</w:t>
      </w:r>
    </w:p>
    <w:p w14:paraId="47C84376">
      <w:pPr>
        <w:snapToGrid/>
        <w:spacing w:before="0" w:beforeLines="0" w:after="0"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
          <w:sz w:val="21"/>
          <w:szCs w:val="21"/>
          <w:highlight w:val="none"/>
        </w:rPr>
        <w:t>所填写的型号与货物铭牌一致。</w:t>
      </w:r>
    </w:p>
    <w:p w14:paraId="68D0DAD5">
      <w:pPr>
        <w:snapToGrid/>
        <w:spacing w:before="0" w:beforeLines="0" w:after="0" w:line="360" w:lineRule="auto"/>
        <w:ind w:firstLine="420" w:firstLineChars="200"/>
        <w:jc w:val="left"/>
        <w:rPr>
          <w:rFonts w:hint="eastAsia" w:ascii="宋体" w:hAnsi="宋体" w:eastAsia="宋体" w:cs="宋体"/>
          <w:b/>
          <w:sz w:val="21"/>
          <w:szCs w:val="21"/>
          <w:highlight w:val="none"/>
        </w:rPr>
      </w:pPr>
      <w:r>
        <w:rPr>
          <w:rFonts w:hint="eastAsia" w:ascii="宋体" w:hAnsi="宋体" w:eastAsia="宋体" w:cs="宋体"/>
          <w:bCs/>
          <w:sz w:val="21"/>
          <w:szCs w:val="21"/>
          <w:highlight w:val="none"/>
        </w:rPr>
        <w:t>3.</w:t>
      </w:r>
      <w:r>
        <w:rPr>
          <w:rFonts w:hint="eastAsia" w:ascii="宋体" w:hAnsi="宋体" w:eastAsia="宋体" w:cs="宋体"/>
          <w:sz w:val="21"/>
          <w:szCs w:val="21"/>
          <w:highlight w:val="none"/>
        </w:rPr>
        <w:t>报价一经涂改，应在涂改处加盖投标人公章或者由法定代表人或者委托代理人签字或者盖章</w:t>
      </w:r>
      <w:r>
        <w:rPr>
          <w:rFonts w:hint="eastAsia" w:ascii="宋体" w:hAnsi="宋体" w:eastAsia="宋体" w:cs="宋体"/>
          <w:b/>
          <w:sz w:val="21"/>
          <w:szCs w:val="21"/>
          <w:highlight w:val="none"/>
        </w:rPr>
        <w:t>，否则其投标作无效标处理。</w:t>
      </w:r>
    </w:p>
    <w:p w14:paraId="520030CE">
      <w:pPr>
        <w:snapToGrid/>
        <w:spacing w:before="0" w:beforeLines="0" w:after="0" w:line="360" w:lineRule="auto"/>
        <w:ind w:firstLine="422" w:firstLineChars="200"/>
        <w:jc w:val="left"/>
        <w:rPr>
          <w:rFonts w:hint="eastAsia" w:ascii="宋体" w:hAnsi="宋体" w:eastAsia="宋体" w:cs="宋体"/>
          <w:sz w:val="21"/>
          <w:szCs w:val="21"/>
          <w:highlight w:val="none"/>
        </w:rPr>
      </w:pPr>
      <w:r>
        <w:rPr>
          <w:rFonts w:hint="eastAsia" w:ascii="宋体" w:hAnsi="宋体" w:eastAsia="宋体" w:cs="宋体"/>
          <w:b/>
          <w:sz w:val="21"/>
          <w:szCs w:val="21"/>
          <w:highlight w:val="none"/>
        </w:rPr>
        <w:t>4.</w:t>
      </w:r>
      <w:r>
        <w:rPr>
          <w:rFonts w:hint="eastAsia" w:ascii="宋体" w:hAnsi="宋体" w:eastAsia="宋体" w:cs="宋体"/>
          <w:sz w:val="21"/>
          <w:szCs w:val="21"/>
          <w:highlight w:val="none"/>
        </w:rPr>
        <w:t>投标人的开标一览表必须加盖投标人公章并由法定代表人或者委托代理人签字（或个人CA签章），</w:t>
      </w:r>
      <w:r>
        <w:rPr>
          <w:rFonts w:hint="eastAsia" w:ascii="宋体" w:hAnsi="宋体" w:eastAsia="宋体" w:cs="宋体"/>
          <w:b/>
          <w:sz w:val="21"/>
          <w:szCs w:val="21"/>
          <w:highlight w:val="none"/>
        </w:rPr>
        <w:t>否则其投标作无效标处理</w:t>
      </w:r>
      <w:r>
        <w:rPr>
          <w:rFonts w:hint="eastAsia" w:ascii="宋体" w:hAnsi="宋体" w:eastAsia="宋体" w:cs="宋体"/>
          <w:sz w:val="21"/>
          <w:szCs w:val="21"/>
          <w:highlight w:val="none"/>
        </w:rPr>
        <w:t>。</w:t>
      </w:r>
    </w:p>
    <w:p w14:paraId="2F681CD5">
      <w:pPr>
        <w:snapToGrid/>
        <w:spacing w:before="0" w:beforeLines="0" w:after="0"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5.招标文件中列明采购专用耗材的，应按招标文件规定的耗材量或者按耗材的常规使用量提供报价。</w:t>
      </w:r>
    </w:p>
    <w:p w14:paraId="4826F018">
      <w:pPr>
        <w:snapToGrid/>
        <w:spacing w:before="0" w:beforeLines="0" w:after="0"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6.如为联合体投标，“投标人名称”处必须列明联合体各方名称，并标注联合体牵头人名称，</w:t>
      </w:r>
      <w:r>
        <w:rPr>
          <w:rFonts w:hint="eastAsia" w:ascii="宋体" w:hAnsi="宋体" w:eastAsia="宋体" w:cs="宋体"/>
          <w:b/>
          <w:sz w:val="21"/>
          <w:szCs w:val="21"/>
          <w:highlight w:val="none"/>
        </w:rPr>
        <w:t>否则其投标作无效标处理。</w:t>
      </w:r>
    </w:p>
    <w:p w14:paraId="18D5A4F5">
      <w:pPr>
        <w:snapToGrid/>
        <w:spacing w:before="0" w:beforeLines="0" w:after="0" w:line="360" w:lineRule="auto"/>
        <w:ind w:firstLine="396" w:firstLineChars="200"/>
        <w:jc w:val="left"/>
        <w:rPr>
          <w:rFonts w:hint="eastAsia" w:ascii="宋体" w:hAnsi="宋体" w:eastAsia="宋体" w:cs="宋体"/>
          <w:spacing w:val="-6"/>
          <w:sz w:val="21"/>
          <w:szCs w:val="21"/>
          <w:highlight w:val="none"/>
        </w:rPr>
      </w:pPr>
      <w:r>
        <w:rPr>
          <w:rFonts w:hint="eastAsia" w:ascii="宋体" w:hAnsi="宋体" w:eastAsia="宋体" w:cs="宋体"/>
          <w:spacing w:val="-6"/>
          <w:sz w:val="21"/>
          <w:szCs w:val="21"/>
          <w:highlight w:val="none"/>
        </w:rPr>
        <w:t>7.如为联合体投标，盖章处须加盖联合体各方公章，</w:t>
      </w:r>
      <w:r>
        <w:rPr>
          <w:rFonts w:hint="eastAsia" w:ascii="宋体" w:hAnsi="宋体" w:eastAsia="宋体" w:cs="宋体"/>
          <w:b/>
          <w:spacing w:val="-6"/>
          <w:sz w:val="21"/>
          <w:szCs w:val="21"/>
          <w:highlight w:val="none"/>
        </w:rPr>
        <w:t>否则其投标作无效标处理。</w:t>
      </w:r>
    </w:p>
    <w:p w14:paraId="5726157B">
      <w:pPr>
        <w:snapToGrid/>
        <w:spacing w:before="0" w:beforeLines="0" w:after="0"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sz w:val="21"/>
          <w:szCs w:val="21"/>
          <w:highlight w:val="none"/>
        </w:rPr>
        <w:t>8.投标人需按本表格式填写，不得自行更改，如有多分标，按分标分别提供开标一览表，必须加盖投标人公章并由法定代表人或者委托代理人签字（或个人CA签章），</w:t>
      </w:r>
      <w:r>
        <w:rPr>
          <w:rFonts w:hint="eastAsia" w:ascii="宋体" w:hAnsi="宋体" w:eastAsia="宋体" w:cs="宋体"/>
          <w:b/>
          <w:sz w:val="21"/>
          <w:szCs w:val="21"/>
          <w:highlight w:val="none"/>
        </w:rPr>
        <w:t>否则投标无效。</w:t>
      </w:r>
    </w:p>
    <w:p w14:paraId="478605DD">
      <w:pPr>
        <w:snapToGrid/>
        <w:spacing w:before="0" w:beforeLines="0" w:line="360" w:lineRule="auto"/>
        <w:ind w:right="0"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9.特别提示：采购代理机构将对项目名称和项目编号，中标人名称、地址和中标金额，主要中标标的的名称、规格型号、品牌（如有）、数量、单价等予以公示。</w:t>
      </w:r>
    </w:p>
    <w:p w14:paraId="178785EA">
      <w:pPr>
        <w:snapToGrid/>
        <w:spacing w:before="0" w:beforeLines="0" w:line="360" w:lineRule="auto"/>
        <w:ind w:right="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32BAF07B">
      <w:pPr>
        <w:snapToGrid/>
        <w:spacing w:before="0" w:beforeLines="0" w:after="0" w:line="360" w:lineRule="auto"/>
        <w:ind w:right="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3F684231">
      <w:pPr>
        <w:snapToGrid/>
        <w:spacing w:before="0" w:beforeLines="0" w:after="0" w:line="360" w:lineRule="auto"/>
        <w:ind w:right="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177ED466">
      <w:pPr>
        <w:rPr>
          <w:rFonts w:ascii="宋体" w:hAnsi="宋体" w:cs="宋体"/>
          <w:b/>
          <w:sz w:val="28"/>
          <w:szCs w:val="28"/>
          <w:highlight w:val="none"/>
        </w:rPr>
      </w:pPr>
      <w:r>
        <w:rPr>
          <w:rFonts w:hint="eastAsia" w:ascii="宋体" w:hAnsi="宋体" w:cs="宋体"/>
          <w:b/>
          <w:bCs/>
          <w:sz w:val="24"/>
          <w:highlight w:val="none"/>
        </w:rPr>
        <w:br w:type="page"/>
      </w:r>
      <w:bookmarkStart w:id="154" w:name="_Toc19686837"/>
      <w:r>
        <w:rPr>
          <w:rFonts w:hint="eastAsia" w:ascii="宋体" w:hAnsi="宋体" w:cs="宋体"/>
          <w:b/>
          <w:sz w:val="28"/>
          <w:szCs w:val="28"/>
          <w:highlight w:val="none"/>
        </w:rPr>
        <w:t>二、资格证明文件格式</w:t>
      </w:r>
      <w:bookmarkEnd w:id="152"/>
      <w:bookmarkEnd w:id="153"/>
      <w:bookmarkEnd w:id="154"/>
    </w:p>
    <w:p w14:paraId="77A71D26">
      <w:pPr>
        <w:numPr>
          <w:ilvl w:val="2"/>
          <w:numId w:val="6"/>
        </w:numPr>
        <w:snapToGrid w:val="0"/>
        <w:spacing w:before="120" w:beforeLines="50" w:after="50" w:line="360" w:lineRule="auto"/>
        <w:ind w:left="0" w:firstLine="0"/>
        <w:jc w:val="left"/>
        <w:rPr>
          <w:rFonts w:ascii="宋体" w:hAnsi="宋体" w:cs="宋体"/>
          <w:b/>
          <w:sz w:val="24"/>
          <w:highlight w:val="none"/>
        </w:rPr>
      </w:pPr>
      <w:r>
        <w:rPr>
          <w:rFonts w:hint="eastAsia" w:ascii="宋体" w:hAnsi="宋体" w:cs="宋体"/>
          <w:b/>
          <w:sz w:val="24"/>
          <w:highlight w:val="none"/>
        </w:rPr>
        <w:t xml:space="preserve">资格证明文件封面格式： </w:t>
      </w:r>
    </w:p>
    <w:p w14:paraId="611641AD">
      <w:pPr>
        <w:snapToGrid w:val="0"/>
        <w:spacing w:before="120" w:beforeLines="50" w:after="50"/>
        <w:rPr>
          <w:rFonts w:ascii="宋体" w:hAnsi="宋体" w:cs="宋体"/>
          <w:bCs/>
          <w:sz w:val="32"/>
          <w:szCs w:val="20"/>
          <w:highlight w:val="none"/>
        </w:rPr>
      </w:pPr>
    </w:p>
    <w:p w14:paraId="2DE261E4">
      <w:pPr>
        <w:snapToGrid w:val="0"/>
        <w:spacing w:before="120" w:beforeLines="50" w:after="50"/>
        <w:rPr>
          <w:rFonts w:ascii="宋体" w:hAnsi="宋体" w:cs="宋体"/>
          <w:sz w:val="24"/>
          <w:szCs w:val="20"/>
          <w:highlight w:val="none"/>
        </w:rPr>
      </w:pPr>
    </w:p>
    <w:p w14:paraId="60D22BB6">
      <w:pPr>
        <w:snapToGrid w:val="0"/>
        <w:spacing w:before="120" w:beforeLines="50" w:after="50"/>
        <w:rPr>
          <w:rFonts w:ascii="宋体" w:hAnsi="宋体" w:cs="宋体"/>
          <w:sz w:val="24"/>
          <w:szCs w:val="20"/>
          <w:highlight w:val="none"/>
        </w:rPr>
      </w:pPr>
    </w:p>
    <w:p w14:paraId="79E3D4AF">
      <w:pPr>
        <w:snapToGrid w:val="0"/>
        <w:spacing w:before="120" w:beforeLines="50" w:after="50"/>
        <w:jc w:val="center"/>
        <w:rPr>
          <w:rFonts w:ascii="宋体" w:hAnsi="宋体" w:cs="宋体"/>
          <w:sz w:val="84"/>
          <w:szCs w:val="84"/>
          <w:highlight w:val="none"/>
        </w:rPr>
      </w:pPr>
      <w:r>
        <w:rPr>
          <w:rFonts w:hint="eastAsia" w:ascii="宋体" w:hAnsi="宋体" w:cs="宋体"/>
          <w:sz w:val="84"/>
          <w:szCs w:val="84"/>
          <w:highlight w:val="none"/>
        </w:rPr>
        <w:t>投标文件</w:t>
      </w:r>
    </w:p>
    <w:p w14:paraId="3463292C">
      <w:pPr>
        <w:snapToGrid w:val="0"/>
        <w:spacing w:before="120" w:beforeLines="50" w:after="50"/>
        <w:rPr>
          <w:rFonts w:ascii="宋体" w:hAnsi="宋体" w:cs="宋体"/>
          <w:sz w:val="24"/>
          <w:szCs w:val="20"/>
          <w:highlight w:val="none"/>
        </w:rPr>
      </w:pPr>
    </w:p>
    <w:p w14:paraId="5B2F5087">
      <w:pPr>
        <w:snapToGrid w:val="0"/>
        <w:spacing w:before="120" w:beforeLines="50" w:after="50"/>
        <w:rPr>
          <w:rFonts w:ascii="宋体" w:hAnsi="宋体" w:cs="宋体"/>
          <w:sz w:val="24"/>
          <w:szCs w:val="20"/>
          <w:highlight w:val="none"/>
        </w:rPr>
      </w:pPr>
    </w:p>
    <w:p w14:paraId="41313930">
      <w:pPr>
        <w:snapToGrid w:val="0"/>
        <w:spacing w:before="120" w:beforeLines="50" w:after="50"/>
        <w:jc w:val="center"/>
        <w:rPr>
          <w:rFonts w:ascii="宋体" w:hAnsi="宋体" w:cs="宋体"/>
          <w:b/>
          <w:sz w:val="24"/>
          <w:szCs w:val="20"/>
          <w:highlight w:val="none"/>
        </w:rPr>
      </w:pPr>
      <w:r>
        <w:rPr>
          <w:rFonts w:hint="eastAsia" w:ascii="宋体" w:hAnsi="宋体" w:cs="宋体"/>
          <w:b/>
          <w:sz w:val="32"/>
          <w:szCs w:val="32"/>
          <w:highlight w:val="none"/>
        </w:rPr>
        <w:t>资格证明文件</w:t>
      </w:r>
    </w:p>
    <w:p w14:paraId="186BC0BB">
      <w:pPr>
        <w:snapToGrid w:val="0"/>
        <w:spacing w:before="120" w:beforeLines="50" w:after="50"/>
        <w:rPr>
          <w:rFonts w:ascii="宋体" w:hAnsi="宋体" w:cs="宋体"/>
          <w:bCs/>
          <w:sz w:val="24"/>
          <w:szCs w:val="20"/>
          <w:highlight w:val="none"/>
        </w:rPr>
      </w:pPr>
    </w:p>
    <w:p w14:paraId="78CD74B0">
      <w:pPr>
        <w:snapToGrid w:val="0"/>
        <w:spacing w:before="120" w:beforeLines="50" w:after="50"/>
        <w:rPr>
          <w:rFonts w:ascii="宋体" w:hAnsi="宋体" w:cs="宋体"/>
          <w:bCs/>
          <w:sz w:val="24"/>
          <w:szCs w:val="20"/>
          <w:highlight w:val="none"/>
        </w:rPr>
      </w:pPr>
    </w:p>
    <w:p w14:paraId="7D026AF6">
      <w:pPr>
        <w:snapToGrid w:val="0"/>
        <w:spacing w:before="120" w:beforeLines="50" w:after="50"/>
        <w:ind w:firstLine="1680" w:firstLineChars="600"/>
        <w:rPr>
          <w:rFonts w:ascii="宋体" w:hAnsi="宋体" w:cs="宋体"/>
          <w:bCs/>
          <w:sz w:val="28"/>
          <w:szCs w:val="21"/>
          <w:highlight w:val="none"/>
        </w:rPr>
      </w:pPr>
    </w:p>
    <w:p w14:paraId="60CE5647">
      <w:pPr>
        <w:snapToGrid w:val="0"/>
        <w:spacing w:before="120" w:beforeLines="50" w:after="50"/>
        <w:ind w:firstLine="1680" w:firstLineChars="600"/>
        <w:rPr>
          <w:rFonts w:ascii="宋体" w:hAnsi="宋体" w:cs="宋体"/>
          <w:bCs/>
          <w:sz w:val="28"/>
          <w:szCs w:val="21"/>
          <w:highlight w:val="none"/>
        </w:rPr>
      </w:pPr>
    </w:p>
    <w:p w14:paraId="66D0C5D2">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项目名称：</w:t>
      </w:r>
    </w:p>
    <w:p w14:paraId="7241F5EF">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项目编号：</w:t>
      </w:r>
    </w:p>
    <w:p w14:paraId="6784BA32">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所投分标：</w:t>
      </w:r>
    </w:p>
    <w:p w14:paraId="69E8116A">
      <w:pPr>
        <w:pStyle w:val="7"/>
        <w:snapToGrid w:val="0"/>
        <w:spacing w:before="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投标人名称：</w:t>
      </w:r>
    </w:p>
    <w:p w14:paraId="06F0F603">
      <w:pPr>
        <w:pStyle w:val="7"/>
        <w:snapToGrid w:val="0"/>
        <w:spacing w:before="50" w:after="50"/>
        <w:ind w:firstLine="1680" w:firstLineChars="600"/>
        <w:rPr>
          <w:rFonts w:ascii="宋体" w:hAnsi="宋体" w:cs="宋体"/>
          <w:bCs/>
          <w:sz w:val="28"/>
          <w:szCs w:val="28"/>
          <w:highlight w:val="none"/>
        </w:rPr>
      </w:pPr>
    </w:p>
    <w:p w14:paraId="651A9725">
      <w:pPr>
        <w:pStyle w:val="7"/>
        <w:snapToGrid w:val="0"/>
        <w:spacing w:before="50" w:after="50"/>
        <w:ind w:firstLine="1680" w:firstLineChars="600"/>
        <w:rPr>
          <w:rFonts w:ascii="宋体" w:hAnsi="宋体" w:cs="宋体"/>
          <w:bCs/>
          <w:sz w:val="28"/>
          <w:szCs w:val="28"/>
          <w:highlight w:val="none"/>
        </w:rPr>
      </w:pPr>
    </w:p>
    <w:p w14:paraId="48256046">
      <w:pPr>
        <w:snapToGrid w:val="0"/>
        <w:spacing w:before="120" w:beforeLines="50" w:after="50"/>
        <w:ind w:firstLine="1440" w:firstLineChars="600"/>
        <w:jc w:val="center"/>
        <w:rPr>
          <w:rFonts w:ascii="宋体" w:hAnsi="宋体" w:cs="宋体"/>
          <w:sz w:val="24"/>
          <w:szCs w:val="24"/>
          <w:highlight w:val="none"/>
        </w:rPr>
      </w:pP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szCs w:val="24"/>
          <w:highlight w:val="none"/>
        </w:rPr>
        <w:t>年</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szCs w:val="24"/>
          <w:highlight w:val="none"/>
        </w:rPr>
        <w:t>月</w:t>
      </w:r>
      <w:r>
        <w:rPr>
          <w:rFonts w:hint="eastAsia" w:ascii="宋体" w:hAnsi="宋体" w:cs="宋体"/>
          <w:sz w:val="24"/>
          <w:highlight w:val="none"/>
          <w:u w:val="single"/>
        </w:rPr>
        <w:tab/>
      </w:r>
      <w:r>
        <w:rPr>
          <w:rFonts w:hint="eastAsia" w:ascii="宋体" w:hAnsi="宋体" w:cs="宋体"/>
          <w:sz w:val="24"/>
          <w:highlight w:val="none"/>
          <w:u w:val="single"/>
        </w:rPr>
        <w:tab/>
      </w:r>
      <w:r>
        <w:rPr>
          <w:rFonts w:hint="eastAsia" w:ascii="宋体" w:hAnsi="宋体" w:cs="宋体"/>
          <w:sz w:val="24"/>
          <w:szCs w:val="24"/>
          <w:highlight w:val="none"/>
        </w:rPr>
        <w:t>日</w:t>
      </w:r>
    </w:p>
    <w:p w14:paraId="5CEB449B">
      <w:pPr>
        <w:snapToGrid w:val="0"/>
        <w:spacing w:before="120" w:beforeLines="50" w:after="50"/>
        <w:rPr>
          <w:rFonts w:hint="eastAsia" w:ascii="宋体" w:hAnsi="宋体" w:eastAsia="宋体" w:cs="宋体"/>
          <w:sz w:val="24"/>
          <w:szCs w:val="20"/>
          <w:highlight w:val="none"/>
          <w:lang w:eastAsia="zh-CN"/>
        </w:rPr>
      </w:pPr>
    </w:p>
    <w:p w14:paraId="48B3CCB8">
      <w:pPr>
        <w:snapToGrid w:val="0"/>
        <w:spacing w:before="120" w:beforeLines="50" w:after="50"/>
        <w:rPr>
          <w:rFonts w:ascii="宋体" w:hAnsi="宋体" w:cs="宋体"/>
          <w:sz w:val="24"/>
          <w:szCs w:val="20"/>
          <w:highlight w:val="none"/>
        </w:rPr>
      </w:pPr>
    </w:p>
    <w:p w14:paraId="34C18397">
      <w:pPr>
        <w:numPr>
          <w:ilvl w:val="2"/>
          <w:numId w:val="6"/>
        </w:numPr>
        <w:snapToGrid w:val="0"/>
        <w:spacing w:before="120" w:beforeLines="50" w:after="50" w:line="360" w:lineRule="auto"/>
        <w:ind w:left="0" w:firstLine="0"/>
        <w:jc w:val="left"/>
        <w:rPr>
          <w:rFonts w:ascii="宋体" w:hAnsi="宋体" w:cs="宋体"/>
          <w:sz w:val="24"/>
          <w:szCs w:val="20"/>
          <w:highlight w:val="none"/>
        </w:rPr>
      </w:pPr>
      <w:r>
        <w:rPr>
          <w:rFonts w:hint="eastAsia" w:ascii="宋体" w:hAnsi="宋体" w:cs="宋体"/>
          <w:b/>
          <w:bCs/>
          <w:sz w:val="24"/>
          <w:highlight w:val="none"/>
        </w:rPr>
        <w:br w:type="page"/>
      </w:r>
      <w:r>
        <w:rPr>
          <w:rFonts w:hint="eastAsia" w:ascii="宋体" w:hAnsi="宋体" w:cs="宋体"/>
          <w:b/>
          <w:bCs/>
          <w:sz w:val="24"/>
          <w:highlight w:val="none"/>
        </w:rPr>
        <w:t>资格证明文件目录</w:t>
      </w:r>
    </w:p>
    <w:p w14:paraId="7EE1FC0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根据招标文件规定及投标人提供的材料自行编写目录。</w:t>
      </w:r>
    </w:p>
    <w:p w14:paraId="3E8EF0B6">
      <w:pPr>
        <w:snapToGrid w:val="0"/>
        <w:spacing w:before="50" w:after="120" w:afterLines="50"/>
        <w:jc w:val="left"/>
        <w:rPr>
          <w:rFonts w:ascii="宋体" w:hAnsi="宋体" w:cs="宋体"/>
          <w:sz w:val="24"/>
          <w:highlight w:val="none"/>
        </w:rPr>
      </w:pPr>
    </w:p>
    <w:p w14:paraId="0CB5514F">
      <w:pPr>
        <w:snapToGrid w:val="0"/>
        <w:spacing w:before="50" w:after="120" w:afterLines="50"/>
        <w:jc w:val="left"/>
        <w:rPr>
          <w:rFonts w:ascii="宋体" w:hAnsi="宋体" w:cs="宋体"/>
          <w:sz w:val="24"/>
          <w:highlight w:val="none"/>
        </w:rPr>
      </w:pPr>
    </w:p>
    <w:p w14:paraId="22FCF95A">
      <w:pPr>
        <w:numPr>
          <w:ilvl w:val="2"/>
          <w:numId w:val="6"/>
        </w:numPr>
        <w:snapToGrid w:val="0"/>
        <w:spacing w:before="120" w:beforeLines="50" w:after="50"/>
        <w:ind w:left="0" w:firstLine="0"/>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8"/>
          <w:szCs w:val="28"/>
          <w:highlight w:val="none"/>
        </w:rPr>
        <w:t>投标人直接控股、管理关系信息表</w:t>
      </w:r>
    </w:p>
    <w:p w14:paraId="5DF6A744">
      <w:pPr>
        <w:snapToGrid w:val="0"/>
        <w:spacing w:before="50" w:after="120" w:afterLines="50"/>
        <w:jc w:val="center"/>
        <w:rPr>
          <w:rFonts w:ascii="宋体" w:hAnsi="宋体" w:cs="宋体"/>
          <w:b/>
          <w:sz w:val="28"/>
          <w:szCs w:val="28"/>
          <w:highlight w:val="none"/>
        </w:rPr>
      </w:pPr>
    </w:p>
    <w:p w14:paraId="5A7BD709">
      <w:pPr>
        <w:snapToGrid w:val="0"/>
        <w:spacing w:before="50" w:after="120" w:afterLines="50" w:line="360" w:lineRule="auto"/>
        <w:jc w:val="center"/>
        <w:rPr>
          <w:rFonts w:ascii="宋体" w:hAnsi="宋体" w:cs="宋体"/>
          <w:b/>
          <w:sz w:val="32"/>
          <w:szCs w:val="32"/>
          <w:highlight w:val="none"/>
        </w:rPr>
      </w:pPr>
      <w:r>
        <w:rPr>
          <w:rFonts w:hint="eastAsia" w:ascii="宋体" w:hAnsi="宋体" w:cs="宋体"/>
          <w:b/>
          <w:sz w:val="32"/>
          <w:szCs w:val="32"/>
          <w:highlight w:val="none"/>
        </w:rPr>
        <w:t>投标人直接控股股东信息表</w:t>
      </w:r>
    </w:p>
    <w:tbl>
      <w:tblPr>
        <w:tblStyle w:val="48"/>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221A1C0">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BF54D5C">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A59B22">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3D69F4">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168031">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40CDBE">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备注</w:t>
            </w:r>
          </w:p>
        </w:tc>
      </w:tr>
      <w:tr w14:paraId="1906AA0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4737A4">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2E4FD7">
            <w:pPr>
              <w:spacing w:line="360" w:lineRule="auto"/>
              <w:jc w:val="center"/>
              <w:rPr>
                <w:rFonts w:hint="eastAsia" w:ascii="宋体" w:hAnsi="宋体" w:cs="宋体"/>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B9CCF7">
            <w:pPr>
              <w:spacing w:line="360" w:lineRule="auto"/>
              <w:jc w:val="center"/>
              <w:rPr>
                <w:rFonts w:hint="eastAsia" w:ascii="宋体" w:hAnsi="宋体" w:cs="宋体"/>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F8DBBF">
            <w:pPr>
              <w:spacing w:line="360" w:lineRule="auto"/>
              <w:jc w:val="center"/>
              <w:rPr>
                <w:rFonts w:hint="eastAsia" w:ascii="宋体" w:hAnsi="宋体" w:cs="宋体"/>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131B2F">
            <w:pPr>
              <w:spacing w:line="360" w:lineRule="auto"/>
              <w:jc w:val="center"/>
              <w:rPr>
                <w:rFonts w:hint="eastAsia" w:ascii="宋体" w:hAnsi="宋体" w:cs="宋体"/>
                <w:kern w:val="0"/>
                <w:sz w:val="21"/>
                <w:szCs w:val="21"/>
                <w:highlight w:val="none"/>
              </w:rPr>
            </w:pPr>
          </w:p>
        </w:tc>
      </w:tr>
      <w:tr w14:paraId="0987A5B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B57AC1">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032F808">
            <w:pPr>
              <w:spacing w:line="360" w:lineRule="auto"/>
              <w:jc w:val="center"/>
              <w:rPr>
                <w:rFonts w:hint="eastAsia" w:ascii="宋体" w:hAnsi="宋体" w:cs="宋体"/>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623468">
            <w:pPr>
              <w:spacing w:line="360" w:lineRule="auto"/>
              <w:jc w:val="center"/>
              <w:rPr>
                <w:rFonts w:hint="eastAsia" w:ascii="宋体" w:hAnsi="宋体" w:cs="宋体"/>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814A08">
            <w:pPr>
              <w:spacing w:line="360" w:lineRule="auto"/>
              <w:jc w:val="center"/>
              <w:rPr>
                <w:rFonts w:hint="eastAsia" w:ascii="宋体" w:hAnsi="宋体" w:cs="宋体"/>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01DCFD">
            <w:pPr>
              <w:spacing w:line="360" w:lineRule="auto"/>
              <w:jc w:val="center"/>
              <w:rPr>
                <w:rFonts w:hint="eastAsia" w:ascii="宋体" w:hAnsi="宋体" w:cs="宋体"/>
                <w:kern w:val="0"/>
                <w:sz w:val="21"/>
                <w:szCs w:val="21"/>
                <w:highlight w:val="none"/>
              </w:rPr>
            </w:pPr>
          </w:p>
        </w:tc>
      </w:tr>
      <w:tr w14:paraId="3AC29D4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ECFBC1">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82DD47">
            <w:pPr>
              <w:spacing w:line="360" w:lineRule="auto"/>
              <w:jc w:val="center"/>
              <w:rPr>
                <w:rFonts w:hint="eastAsia" w:ascii="宋体" w:hAnsi="宋体" w:cs="宋体"/>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6FAF2E">
            <w:pPr>
              <w:spacing w:line="360" w:lineRule="auto"/>
              <w:jc w:val="center"/>
              <w:rPr>
                <w:rFonts w:hint="eastAsia" w:ascii="宋体" w:hAnsi="宋体" w:cs="宋体"/>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A04F00">
            <w:pPr>
              <w:spacing w:line="360" w:lineRule="auto"/>
              <w:jc w:val="center"/>
              <w:rPr>
                <w:rFonts w:hint="eastAsia" w:ascii="宋体" w:hAnsi="宋体" w:cs="宋体"/>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03A44B">
            <w:pPr>
              <w:spacing w:line="360" w:lineRule="auto"/>
              <w:jc w:val="center"/>
              <w:rPr>
                <w:rFonts w:hint="eastAsia" w:ascii="宋体" w:hAnsi="宋体" w:cs="宋体"/>
                <w:kern w:val="0"/>
                <w:sz w:val="21"/>
                <w:szCs w:val="21"/>
                <w:highlight w:val="none"/>
              </w:rPr>
            </w:pPr>
          </w:p>
        </w:tc>
      </w:tr>
      <w:tr w14:paraId="0ACDF94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195475">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CA0345">
            <w:pPr>
              <w:spacing w:line="360" w:lineRule="auto"/>
              <w:jc w:val="center"/>
              <w:rPr>
                <w:rFonts w:hint="eastAsia" w:ascii="宋体" w:hAnsi="宋体" w:cs="宋体"/>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EC1DB9">
            <w:pPr>
              <w:spacing w:line="360" w:lineRule="auto"/>
              <w:jc w:val="center"/>
              <w:rPr>
                <w:rFonts w:hint="eastAsia" w:ascii="宋体" w:hAnsi="宋体" w:cs="宋体"/>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3D09C5">
            <w:pPr>
              <w:spacing w:line="360" w:lineRule="auto"/>
              <w:jc w:val="center"/>
              <w:rPr>
                <w:rFonts w:hint="eastAsia" w:ascii="宋体" w:hAnsi="宋体" w:cs="宋体"/>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AC8098">
            <w:pPr>
              <w:spacing w:line="360" w:lineRule="auto"/>
              <w:jc w:val="center"/>
              <w:rPr>
                <w:rFonts w:hint="eastAsia" w:ascii="宋体" w:hAnsi="宋体" w:cs="宋体"/>
                <w:kern w:val="0"/>
                <w:sz w:val="21"/>
                <w:szCs w:val="21"/>
                <w:highlight w:val="none"/>
              </w:rPr>
            </w:pPr>
          </w:p>
        </w:tc>
      </w:tr>
    </w:tbl>
    <w:p w14:paraId="20151CF8">
      <w:pPr>
        <w:snapToGrid w:val="0"/>
        <w:spacing w:line="360" w:lineRule="auto"/>
        <w:jc w:val="left"/>
        <w:rPr>
          <w:rFonts w:hint="eastAsia" w:ascii="宋体" w:hAnsi="宋体" w:eastAsia="宋体" w:cs="宋体"/>
          <w:sz w:val="21"/>
          <w:szCs w:val="21"/>
          <w:highlight w:val="none"/>
        </w:rPr>
      </w:pPr>
    </w:p>
    <w:p w14:paraId="1AE0B2CC">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3937F0B6">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21A3D3A">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2.本表所指的控股关系仅限于直接控股关系，不包括间接的控股关系。公司实际控制人与公司之间的关系不属于本表所指的直接控股关系。</w:t>
      </w:r>
    </w:p>
    <w:p w14:paraId="33AB9C02">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3.供应商不存在直接控股股东的，则填“无”。</w:t>
      </w:r>
    </w:p>
    <w:p w14:paraId="6C189035">
      <w:pPr>
        <w:snapToGrid w:val="0"/>
        <w:spacing w:line="360" w:lineRule="auto"/>
        <w:jc w:val="left"/>
        <w:rPr>
          <w:rFonts w:hint="eastAsia" w:ascii="宋体" w:hAnsi="宋体" w:cs="宋体"/>
          <w:sz w:val="21"/>
          <w:szCs w:val="21"/>
          <w:highlight w:val="none"/>
        </w:rPr>
      </w:pPr>
    </w:p>
    <w:p w14:paraId="1C810338">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95B7E1D">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57C3C9BA">
      <w:pPr>
        <w:snapToGrid w:val="0"/>
        <w:spacing w:before="120" w:beforeLines="50" w:after="50" w:line="360" w:lineRule="auto"/>
        <w:ind w:right="480" w:firstLine="210" w:firstLineChars="100"/>
        <w:jc w:val="right"/>
        <w:rPr>
          <w:rFonts w:ascii="宋体" w:hAnsi="宋体" w:cs="宋体"/>
          <w:sz w:val="24"/>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371BC360">
      <w:pPr>
        <w:snapToGrid w:val="0"/>
        <w:jc w:val="center"/>
        <w:rPr>
          <w:rFonts w:ascii="宋体" w:hAnsi="宋体" w:cs="宋体"/>
          <w:b/>
          <w:sz w:val="28"/>
          <w:szCs w:val="28"/>
          <w:highlight w:val="none"/>
        </w:rPr>
      </w:pPr>
    </w:p>
    <w:p w14:paraId="3AF8C9BC">
      <w:pPr>
        <w:snapToGrid w:val="0"/>
        <w:spacing w:line="360" w:lineRule="auto"/>
        <w:jc w:val="center"/>
        <w:rPr>
          <w:rFonts w:ascii="宋体" w:hAnsi="宋体" w:cs="宋体"/>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投标人直接管理关系信息表</w:t>
      </w:r>
    </w:p>
    <w:tbl>
      <w:tblPr>
        <w:tblStyle w:val="48"/>
        <w:tblW w:w="9652" w:type="dxa"/>
        <w:tblInd w:w="0" w:type="dxa"/>
        <w:tblLayout w:type="fixed"/>
        <w:tblCellMar>
          <w:top w:w="0" w:type="dxa"/>
          <w:left w:w="0" w:type="dxa"/>
          <w:bottom w:w="0" w:type="dxa"/>
          <w:right w:w="0" w:type="dxa"/>
        </w:tblCellMar>
      </w:tblPr>
      <w:tblGrid>
        <w:gridCol w:w="1005"/>
        <w:gridCol w:w="2659"/>
        <w:gridCol w:w="3924"/>
        <w:gridCol w:w="2064"/>
      </w:tblGrid>
      <w:tr w14:paraId="627B7313">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5600297">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505E20">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4937FAD2">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9E143F">
            <w:pPr>
              <w:spacing w:line="360" w:lineRule="auto"/>
              <w:jc w:val="center"/>
              <w:rPr>
                <w:rFonts w:hint="eastAsia" w:ascii="宋体" w:hAnsi="宋体" w:cs="宋体"/>
                <w:b/>
                <w:bCs/>
                <w:kern w:val="0"/>
                <w:sz w:val="21"/>
                <w:szCs w:val="21"/>
                <w:highlight w:val="none"/>
              </w:rPr>
            </w:pPr>
            <w:r>
              <w:rPr>
                <w:rFonts w:hint="eastAsia" w:ascii="宋体" w:hAnsi="宋体" w:cs="宋体"/>
                <w:b/>
                <w:bCs/>
                <w:kern w:val="0"/>
                <w:sz w:val="21"/>
                <w:szCs w:val="21"/>
                <w:highlight w:val="none"/>
              </w:rPr>
              <w:t>备注</w:t>
            </w:r>
          </w:p>
        </w:tc>
      </w:tr>
      <w:tr w14:paraId="27953EB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34FA96F7">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C7E4D43">
            <w:pPr>
              <w:spacing w:line="360" w:lineRule="auto"/>
              <w:jc w:val="center"/>
              <w:rPr>
                <w:rFonts w:hint="eastAsia" w:ascii="宋体" w:hAnsi="宋体" w:cs="宋体"/>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466BA69">
            <w:pPr>
              <w:spacing w:line="360" w:lineRule="auto"/>
              <w:jc w:val="center"/>
              <w:rPr>
                <w:rFonts w:hint="eastAsia" w:ascii="宋体" w:hAnsi="宋体" w:cs="宋体"/>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40A3B64">
            <w:pPr>
              <w:spacing w:line="360" w:lineRule="auto"/>
              <w:jc w:val="center"/>
              <w:rPr>
                <w:rFonts w:hint="eastAsia" w:ascii="宋体" w:hAnsi="宋体" w:cs="宋体"/>
                <w:kern w:val="0"/>
                <w:sz w:val="21"/>
                <w:szCs w:val="21"/>
                <w:highlight w:val="none"/>
              </w:rPr>
            </w:pPr>
          </w:p>
        </w:tc>
      </w:tr>
      <w:tr w14:paraId="3D3817DC">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3941F6B">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486080B">
            <w:pPr>
              <w:spacing w:line="360" w:lineRule="auto"/>
              <w:jc w:val="center"/>
              <w:rPr>
                <w:rFonts w:hint="eastAsia" w:ascii="宋体" w:hAnsi="宋体" w:cs="宋体"/>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4EF3C01">
            <w:pPr>
              <w:spacing w:line="360" w:lineRule="auto"/>
              <w:jc w:val="center"/>
              <w:rPr>
                <w:rFonts w:hint="eastAsia" w:ascii="宋体" w:hAnsi="宋体" w:cs="宋体"/>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8DDBA13">
            <w:pPr>
              <w:spacing w:line="360" w:lineRule="auto"/>
              <w:jc w:val="center"/>
              <w:rPr>
                <w:rFonts w:hint="eastAsia" w:ascii="宋体" w:hAnsi="宋体" w:cs="宋体"/>
                <w:kern w:val="0"/>
                <w:sz w:val="21"/>
                <w:szCs w:val="21"/>
                <w:highlight w:val="none"/>
              </w:rPr>
            </w:pPr>
          </w:p>
        </w:tc>
      </w:tr>
      <w:tr w14:paraId="6CCC93F1">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2BF82C2A">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AC3078B">
            <w:pPr>
              <w:spacing w:line="360" w:lineRule="auto"/>
              <w:jc w:val="center"/>
              <w:rPr>
                <w:rFonts w:hint="eastAsia" w:ascii="宋体" w:hAnsi="宋体" w:cs="宋体"/>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70559DA">
            <w:pPr>
              <w:spacing w:line="360" w:lineRule="auto"/>
              <w:jc w:val="center"/>
              <w:rPr>
                <w:rFonts w:hint="eastAsia" w:ascii="宋体" w:hAnsi="宋体" w:cs="宋体"/>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0354F1CA">
            <w:pPr>
              <w:spacing w:line="360" w:lineRule="auto"/>
              <w:jc w:val="center"/>
              <w:rPr>
                <w:rFonts w:hint="eastAsia" w:ascii="宋体" w:hAnsi="宋体" w:cs="宋体"/>
                <w:kern w:val="0"/>
                <w:sz w:val="21"/>
                <w:szCs w:val="21"/>
                <w:highlight w:val="none"/>
              </w:rPr>
            </w:pPr>
          </w:p>
        </w:tc>
      </w:tr>
      <w:tr w14:paraId="31B97C6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7F548247">
            <w:pPr>
              <w:spacing w:line="360" w:lineRule="auto"/>
              <w:jc w:val="center"/>
              <w:rPr>
                <w:rFonts w:hint="eastAsia" w:ascii="宋体" w:hAnsi="宋体" w:cs="宋体"/>
                <w:kern w:val="0"/>
                <w:sz w:val="21"/>
                <w:szCs w:val="21"/>
                <w:highlight w:val="none"/>
              </w:rPr>
            </w:pPr>
            <w:r>
              <w:rPr>
                <w:rFonts w:hint="eastAsia" w:ascii="宋体" w:hAnsi="宋体" w:cs="宋体"/>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6816ED21">
            <w:pPr>
              <w:spacing w:line="360" w:lineRule="auto"/>
              <w:jc w:val="center"/>
              <w:rPr>
                <w:rFonts w:hint="eastAsia" w:ascii="宋体" w:hAnsi="宋体" w:cs="宋体"/>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5293F742">
            <w:pPr>
              <w:spacing w:line="360" w:lineRule="auto"/>
              <w:jc w:val="center"/>
              <w:rPr>
                <w:rFonts w:hint="eastAsia" w:ascii="宋体" w:hAnsi="宋体" w:cs="宋体"/>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tcMar>
              <w:top w:w="120" w:type="dxa"/>
              <w:left w:w="120" w:type="dxa"/>
              <w:bottom w:w="120" w:type="dxa"/>
              <w:right w:w="120" w:type="dxa"/>
            </w:tcMar>
            <w:vAlign w:val="center"/>
          </w:tcPr>
          <w:p w14:paraId="11818AE0">
            <w:pPr>
              <w:spacing w:line="360" w:lineRule="auto"/>
              <w:jc w:val="center"/>
              <w:rPr>
                <w:rFonts w:hint="eastAsia" w:ascii="宋体" w:hAnsi="宋体" w:cs="宋体"/>
                <w:kern w:val="0"/>
                <w:sz w:val="21"/>
                <w:szCs w:val="21"/>
                <w:highlight w:val="none"/>
              </w:rPr>
            </w:pPr>
          </w:p>
        </w:tc>
      </w:tr>
    </w:tbl>
    <w:p w14:paraId="5964B1AB">
      <w:pPr>
        <w:snapToGrid w:val="0"/>
        <w:spacing w:line="360" w:lineRule="auto"/>
        <w:jc w:val="left"/>
        <w:rPr>
          <w:rFonts w:hint="eastAsia" w:ascii="宋体" w:hAnsi="宋体" w:eastAsia="宋体" w:cs="宋体"/>
          <w:sz w:val="21"/>
          <w:szCs w:val="21"/>
          <w:highlight w:val="none"/>
        </w:rPr>
      </w:pPr>
    </w:p>
    <w:p w14:paraId="33E7659F">
      <w:pPr>
        <w:snapToGrid w:val="0"/>
        <w:spacing w:line="360" w:lineRule="auto"/>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4F32608C">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1.管理关系：是指不具有出资持股关系的其他单位之间存在的管理与被管理关系，如一些上下级关系的事业单位和团体组织。</w:t>
      </w:r>
    </w:p>
    <w:p w14:paraId="5AAEC841">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spacing w:val="-6"/>
          <w:sz w:val="21"/>
          <w:szCs w:val="21"/>
          <w:highlight w:val="none"/>
        </w:rPr>
        <w:t>本表所指的管理关系仅限于直接管理关系，不包括间接的管理关系。</w:t>
      </w:r>
    </w:p>
    <w:p w14:paraId="7E4546F1">
      <w:pPr>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3.供应商不存在直接管理关系的，则填“无”。</w:t>
      </w:r>
    </w:p>
    <w:p w14:paraId="42BF89E1">
      <w:pPr>
        <w:snapToGrid w:val="0"/>
        <w:spacing w:line="360" w:lineRule="auto"/>
        <w:jc w:val="left"/>
        <w:rPr>
          <w:rFonts w:hint="eastAsia" w:ascii="宋体" w:hAnsi="宋体" w:cs="宋体"/>
          <w:sz w:val="21"/>
          <w:szCs w:val="21"/>
          <w:highlight w:val="none"/>
        </w:rPr>
      </w:pPr>
    </w:p>
    <w:p w14:paraId="4919602B">
      <w:pPr>
        <w:snapToGrid w:val="0"/>
        <w:spacing w:line="360" w:lineRule="auto"/>
        <w:jc w:val="left"/>
        <w:rPr>
          <w:rFonts w:hint="eastAsia" w:ascii="宋体" w:hAnsi="宋体" w:cs="宋体"/>
          <w:sz w:val="21"/>
          <w:szCs w:val="21"/>
          <w:highlight w:val="none"/>
        </w:rPr>
      </w:pPr>
    </w:p>
    <w:p w14:paraId="6D8B2CE2">
      <w:pPr>
        <w:snapToGrid w:val="0"/>
        <w:spacing w:line="360" w:lineRule="auto"/>
        <w:jc w:val="left"/>
        <w:rPr>
          <w:rFonts w:hint="eastAsia" w:ascii="宋体" w:hAnsi="宋体" w:cs="宋体"/>
          <w:sz w:val="21"/>
          <w:szCs w:val="21"/>
          <w:highlight w:val="none"/>
        </w:rPr>
      </w:pPr>
    </w:p>
    <w:p w14:paraId="0F45BD16">
      <w:pPr>
        <w:snapToGrid w:val="0"/>
        <w:spacing w:line="360" w:lineRule="auto"/>
        <w:jc w:val="left"/>
        <w:rPr>
          <w:rFonts w:hint="eastAsia" w:ascii="宋体" w:hAnsi="宋体" w:cs="宋体"/>
          <w:sz w:val="21"/>
          <w:szCs w:val="21"/>
          <w:highlight w:val="none"/>
        </w:rPr>
      </w:pPr>
    </w:p>
    <w:p w14:paraId="15BEE7B9">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657ABBC1">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6DE08400">
      <w:pPr>
        <w:snapToGrid w:val="0"/>
        <w:spacing w:before="120" w:beforeLines="50" w:after="50" w:line="360" w:lineRule="auto"/>
        <w:ind w:right="480" w:firstLine="210" w:firstLineChars="100"/>
        <w:jc w:val="right"/>
        <w:rPr>
          <w:rFonts w:ascii="宋体" w:hAnsi="宋体" w:cs="宋体"/>
          <w:sz w:val="24"/>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19BA347C">
      <w:pPr>
        <w:snapToGrid w:val="0"/>
        <w:spacing w:before="50" w:after="120" w:afterLines="50"/>
        <w:jc w:val="left"/>
        <w:rPr>
          <w:rFonts w:ascii="宋体" w:hAnsi="宋体" w:cs="宋体"/>
          <w:szCs w:val="21"/>
          <w:highlight w:val="none"/>
        </w:rPr>
      </w:pPr>
    </w:p>
    <w:p w14:paraId="73F32EB4">
      <w:pPr>
        <w:snapToGrid w:val="0"/>
        <w:spacing w:before="120" w:beforeLines="50" w:after="50"/>
        <w:jc w:val="left"/>
        <w:rPr>
          <w:rFonts w:ascii="宋体" w:hAnsi="宋体" w:cs="宋体"/>
          <w:b/>
          <w:sz w:val="24"/>
          <w:szCs w:val="20"/>
          <w:highlight w:val="none"/>
        </w:rPr>
      </w:pPr>
    </w:p>
    <w:p w14:paraId="53539DD6">
      <w:pPr>
        <w:numPr>
          <w:ilvl w:val="2"/>
          <w:numId w:val="6"/>
        </w:numPr>
        <w:snapToGrid w:val="0"/>
        <w:spacing w:before="120" w:beforeLines="50" w:after="50"/>
        <w:ind w:left="0" w:firstLine="0"/>
        <w:jc w:val="left"/>
        <w:rPr>
          <w:rFonts w:ascii="宋体" w:hAnsi="宋体" w:cs="宋体"/>
          <w:b/>
          <w:sz w:val="24"/>
          <w:szCs w:val="20"/>
          <w:highlight w:val="none"/>
        </w:rPr>
      </w:pPr>
      <w:r>
        <w:rPr>
          <w:rFonts w:hint="eastAsia" w:ascii="宋体" w:hAnsi="宋体" w:cs="宋体"/>
          <w:b/>
          <w:sz w:val="24"/>
          <w:highlight w:val="none"/>
        </w:rPr>
        <w:br w:type="page"/>
      </w:r>
      <w:r>
        <w:rPr>
          <w:rFonts w:hint="eastAsia" w:ascii="宋体" w:hAnsi="宋体" w:cs="宋体"/>
          <w:b/>
          <w:sz w:val="24"/>
          <w:highlight w:val="none"/>
        </w:rPr>
        <w:t>投标声明</w:t>
      </w:r>
    </w:p>
    <w:p w14:paraId="6E6A5ADF">
      <w:pPr>
        <w:snapToGrid w:val="0"/>
        <w:spacing w:before="50" w:after="120" w:afterLines="50"/>
        <w:jc w:val="center"/>
        <w:rPr>
          <w:rFonts w:ascii="宋体" w:hAnsi="宋体" w:cs="宋体"/>
          <w:bCs/>
          <w:sz w:val="44"/>
          <w:szCs w:val="44"/>
          <w:highlight w:val="none"/>
        </w:rPr>
      </w:pPr>
      <w:r>
        <w:rPr>
          <w:rFonts w:hint="eastAsia" w:ascii="宋体" w:hAnsi="宋体" w:cs="宋体"/>
          <w:bCs/>
          <w:sz w:val="44"/>
          <w:szCs w:val="44"/>
          <w:highlight w:val="none"/>
        </w:rPr>
        <w:t>投标声明</w:t>
      </w:r>
    </w:p>
    <w:p w14:paraId="35FE0FD2">
      <w:pPr>
        <w:spacing w:line="360" w:lineRule="auto"/>
        <w:contextualSpacing/>
        <w:jc w:val="left"/>
        <w:rPr>
          <w:rFonts w:hint="eastAsia" w:ascii="宋体" w:hAnsi="宋体" w:cs="宋体"/>
          <w:sz w:val="21"/>
          <w:szCs w:val="21"/>
          <w:highlight w:val="none"/>
        </w:rPr>
      </w:pPr>
      <w:r>
        <w:rPr>
          <w:rFonts w:hint="eastAsia" w:ascii="宋体" w:hAnsi="宋体" w:cs="宋体"/>
          <w:sz w:val="21"/>
          <w:szCs w:val="21"/>
          <w:highlight w:val="none"/>
        </w:rPr>
        <w:t>（采购人名称）：</w:t>
      </w:r>
    </w:p>
    <w:p w14:paraId="6EB1C281">
      <w:pPr>
        <w:spacing w:line="360" w:lineRule="auto"/>
        <w:ind w:firstLine="457" w:firstLineChars="218"/>
        <w:contextualSpacing/>
        <w:jc w:val="left"/>
        <w:rPr>
          <w:rFonts w:hint="eastAsia" w:ascii="宋体" w:hAnsi="宋体" w:cs="宋体"/>
          <w:sz w:val="21"/>
          <w:szCs w:val="21"/>
          <w:highlight w:val="none"/>
        </w:rPr>
      </w:pPr>
      <w:r>
        <w:rPr>
          <w:rFonts w:hint="eastAsia" w:ascii="宋体" w:hAnsi="宋体" w:cs="宋体"/>
          <w:sz w:val="21"/>
          <w:szCs w:val="21"/>
          <w:highlight w:val="none"/>
        </w:rPr>
        <w:t>我方参加贵单位组织</w:t>
      </w:r>
      <w:r>
        <w:rPr>
          <w:rFonts w:hint="eastAsia" w:ascii="宋体" w:hAnsi="宋体" w:cs="宋体"/>
          <w:sz w:val="21"/>
          <w:szCs w:val="21"/>
          <w:highlight w:val="none"/>
          <w:u w:val="single"/>
        </w:rPr>
        <w:t xml:space="preserve">             </w:t>
      </w:r>
      <w:r>
        <w:rPr>
          <w:rFonts w:hint="eastAsia" w:ascii="宋体" w:hAnsi="宋体" w:cs="宋体"/>
          <w:sz w:val="21"/>
          <w:szCs w:val="21"/>
          <w:highlight w:val="none"/>
        </w:rPr>
        <w:t>项目（项目编号：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）的政府采购活动。我方在此郑重声明：</w:t>
      </w:r>
    </w:p>
    <w:p w14:paraId="347FC4A7">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027AFBB">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2.我方与采购人不存在以下禁止性关联关系： </w:t>
      </w:r>
    </w:p>
    <w:p w14:paraId="45F8B81D">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（1）不是采购人的附属机构； </w:t>
      </w:r>
    </w:p>
    <w:p w14:paraId="5D85C7A1">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（2）单位负责人与已参与本项目的其他供应商不为同一人； </w:t>
      </w:r>
    </w:p>
    <w:p w14:paraId="04B44352">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（3）与已参与本项目的其他供应商不存在直接控股或管理关系； </w:t>
      </w:r>
    </w:p>
    <w:p w14:paraId="4CCEB329">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（4）未为本项目提供过整体设计、规范编制或项目管理、监理、检测等服务的供应商（如曾提供上述服务，则仅可参与原服务内容的续期采购）； </w:t>
      </w:r>
    </w:p>
    <w:p w14:paraId="24A802D3">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（5）在获知本项目采购信息后，与采购人聘请的为本项目提供咨询服务的公司及其附属机构无任何业务联系。</w:t>
      </w:r>
    </w:p>
    <w:p w14:paraId="5C812F6B">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3.我方承诺符合《中华人民共和国政府采购法》第二十二条规定：</w:t>
      </w:r>
    </w:p>
    <w:p w14:paraId="630502BF">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（一）具有独立承担民事责任的能力；</w:t>
      </w:r>
    </w:p>
    <w:p w14:paraId="52474249">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（二）具有良好的商业信誉和健全的财务会计制度；</w:t>
      </w:r>
    </w:p>
    <w:p w14:paraId="12C6CFC0">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（三）具有履行合同所必需的设备和专业技术能力；</w:t>
      </w:r>
    </w:p>
    <w:p w14:paraId="701CBB6F">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（四）有依法缴纳税收和社会保障资金的良好记录；</w:t>
      </w:r>
    </w:p>
    <w:p w14:paraId="194F847E">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（五）参加政府采购活动前三年内，在经营活动中没有重大违法记录；</w:t>
      </w:r>
    </w:p>
    <w:p w14:paraId="1A9A904C">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（六）法律、行政法规规定的其他条件。</w:t>
      </w:r>
    </w:p>
    <w:p w14:paraId="369E61C4">
      <w:pPr>
        <w:spacing w:line="360" w:lineRule="auto"/>
        <w:ind w:firstLine="420" w:firstLineChars="200"/>
        <w:contextualSpacing/>
        <w:jc w:val="left"/>
        <w:rPr>
          <w:rFonts w:hint="eastAsia" w:ascii="宋体" w:hAnsi="宋体" w:cs="宋体"/>
          <w:sz w:val="21"/>
          <w:szCs w:val="21"/>
          <w:highlight w:val="none"/>
        </w:rPr>
      </w:pPr>
      <w:r>
        <w:rPr>
          <w:rFonts w:hint="eastAsia" w:ascii="宋体" w:hAnsi="宋体" w:cs="宋体"/>
          <w:sz w:val="21"/>
          <w:szCs w:val="21"/>
          <w:highlight w:val="none"/>
        </w:rPr>
        <w:t>4.以上事项如有虚假或者隐瞒，我方愿意承担一切后果，并不再寻求任何旨在减轻或者免除法律责任的辩解。</w:t>
      </w:r>
    </w:p>
    <w:p w14:paraId="50D9F9DF">
      <w:pPr>
        <w:spacing w:line="360" w:lineRule="auto"/>
        <w:ind w:firstLine="420" w:firstLineChars="200"/>
        <w:contextualSpacing/>
        <w:jc w:val="left"/>
        <w:rPr>
          <w:rFonts w:hint="eastAsia" w:ascii="宋体" w:hAnsi="宋体" w:cs="宋体"/>
          <w:szCs w:val="21"/>
          <w:highlight w:val="none"/>
        </w:rPr>
      </w:pPr>
      <w:r>
        <w:rPr>
          <w:rFonts w:hint="eastAsia" w:ascii="宋体" w:hAnsi="宋体" w:cs="宋体"/>
          <w:sz w:val="21"/>
          <w:szCs w:val="21"/>
          <w:highlight w:val="none"/>
        </w:rPr>
        <w:t>5.我方若中标，除非发生不可抗力，承诺与发包方及时签订《合同书》。如果弃标，自愿按照本文件之《投标人须知正文》第30.4条的要求承担法律责任和失信惩戒。</w:t>
      </w:r>
    </w:p>
    <w:p w14:paraId="751971D8">
      <w:pPr>
        <w:spacing w:line="360" w:lineRule="auto"/>
        <w:contextualSpacing/>
        <w:jc w:val="left"/>
        <w:rPr>
          <w:rFonts w:hint="eastAsia" w:ascii="宋体" w:hAnsi="宋体" w:cs="宋体"/>
          <w:sz w:val="21"/>
          <w:szCs w:val="21"/>
          <w:highlight w:val="none"/>
        </w:rPr>
      </w:pPr>
      <w:r>
        <w:rPr>
          <w:rFonts w:hint="eastAsia" w:ascii="宋体" w:hAnsi="宋体" w:cs="宋体"/>
          <w:sz w:val="21"/>
          <w:szCs w:val="21"/>
          <w:highlight w:val="none"/>
        </w:rPr>
        <w:t xml:space="preserve">    特此承诺。</w:t>
      </w:r>
    </w:p>
    <w:p w14:paraId="6C315CE8">
      <w:pPr>
        <w:spacing w:line="360" w:lineRule="auto"/>
        <w:contextualSpacing/>
        <w:jc w:val="left"/>
        <w:rPr>
          <w:rFonts w:hint="eastAsia" w:ascii="宋体" w:hAnsi="宋体" w:eastAsia="宋体" w:cs="宋体"/>
          <w:b/>
          <w:sz w:val="21"/>
          <w:szCs w:val="21"/>
          <w:highlight w:val="none"/>
        </w:rPr>
      </w:pPr>
      <w:r>
        <w:rPr>
          <w:rFonts w:hint="eastAsia" w:ascii="宋体" w:hAnsi="宋体" w:cs="宋体"/>
          <w:b/>
          <w:sz w:val="21"/>
          <w:szCs w:val="21"/>
          <w:highlight w:val="none"/>
        </w:rPr>
        <w:t xml:space="preserve">   </w:t>
      </w:r>
      <w:r>
        <w:rPr>
          <w:rFonts w:hint="eastAsia" w:ascii="宋体" w:hAnsi="宋体" w:eastAsia="宋体" w:cs="宋体"/>
          <w:b/>
          <w:sz w:val="21"/>
          <w:szCs w:val="21"/>
          <w:highlight w:val="none"/>
        </w:rPr>
        <w:t xml:space="preserve"> 注：如为联合体投标，盖章处须加盖联合体各方公章并由联合体各方法定代表人分别签字（或个人CA签章），否则投标无效。</w:t>
      </w:r>
    </w:p>
    <w:p w14:paraId="4AE4BB53">
      <w:pPr>
        <w:snapToGrid w:val="0"/>
        <w:spacing w:before="120" w:beforeLines="50" w:line="360" w:lineRule="auto"/>
        <w:ind w:right="480"/>
        <w:jc w:val="right"/>
        <w:rPr>
          <w:rFonts w:hint="eastAsia" w:ascii="宋体" w:hAnsi="宋体" w:cs="宋体"/>
          <w:sz w:val="21"/>
          <w:szCs w:val="21"/>
          <w:highlight w:val="none"/>
          <w:u w:val="single"/>
        </w:rPr>
      </w:pPr>
      <w:bookmarkStart w:id="155" w:name="_Toc19686838"/>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0B824889">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C952DC9">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1D98B8BA">
      <w:pPr>
        <w:rPr>
          <w:rFonts w:ascii="宋体" w:hAnsi="宋体" w:cs="宋体"/>
          <w:b/>
          <w:sz w:val="28"/>
          <w:szCs w:val="28"/>
          <w:highlight w:val="none"/>
        </w:rPr>
      </w:pPr>
      <w:r>
        <w:rPr>
          <w:rFonts w:hint="eastAsia" w:ascii="宋体" w:hAnsi="宋体" w:cs="宋体"/>
          <w:b/>
          <w:sz w:val="28"/>
          <w:szCs w:val="28"/>
          <w:highlight w:val="none"/>
        </w:rPr>
        <w:br w:type="page"/>
      </w:r>
      <w:r>
        <w:rPr>
          <w:rFonts w:hint="eastAsia" w:ascii="宋体" w:hAnsi="宋体" w:cs="宋体"/>
          <w:b/>
          <w:sz w:val="28"/>
          <w:szCs w:val="28"/>
          <w:highlight w:val="none"/>
        </w:rPr>
        <w:t>三、商务文件格式</w:t>
      </w:r>
      <w:bookmarkEnd w:id="155"/>
    </w:p>
    <w:p w14:paraId="06F3759D">
      <w:pPr>
        <w:snapToGrid w:val="0"/>
        <w:spacing w:before="120" w:beforeLines="50" w:after="50" w:line="360" w:lineRule="auto"/>
        <w:jc w:val="left"/>
        <w:rPr>
          <w:rFonts w:ascii="宋体" w:hAnsi="宋体" w:cs="宋体"/>
          <w:b/>
          <w:sz w:val="24"/>
          <w:highlight w:val="none"/>
        </w:rPr>
      </w:pPr>
      <w:r>
        <w:rPr>
          <w:rFonts w:hint="eastAsia" w:ascii="宋体" w:hAnsi="宋体" w:cs="宋体"/>
          <w:b/>
          <w:sz w:val="24"/>
          <w:highlight w:val="none"/>
        </w:rPr>
        <w:t xml:space="preserve">1.商务文件封面格式： </w:t>
      </w:r>
    </w:p>
    <w:p w14:paraId="57B7C7E1">
      <w:pPr>
        <w:snapToGrid w:val="0"/>
        <w:spacing w:before="120" w:beforeLines="50" w:after="50"/>
        <w:rPr>
          <w:rFonts w:ascii="宋体" w:hAnsi="宋体" w:cs="宋体"/>
          <w:sz w:val="24"/>
          <w:szCs w:val="20"/>
          <w:highlight w:val="none"/>
        </w:rPr>
      </w:pPr>
    </w:p>
    <w:p w14:paraId="407BDF6D">
      <w:pPr>
        <w:snapToGrid w:val="0"/>
        <w:spacing w:before="120" w:beforeLines="50" w:after="50"/>
        <w:rPr>
          <w:rFonts w:ascii="宋体" w:hAnsi="宋体" w:cs="宋体"/>
          <w:sz w:val="24"/>
          <w:szCs w:val="20"/>
          <w:highlight w:val="none"/>
        </w:rPr>
      </w:pPr>
    </w:p>
    <w:p w14:paraId="6B372685">
      <w:pPr>
        <w:snapToGrid w:val="0"/>
        <w:spacing w:before="120" w:beforeLines="50" w:after="50"/>
        <w:rPr>
          <w:rFonts w:ascii="宋体" w:hAnsi="宋体" w:cs="宋体"/>
          <w:sz w:val="24"/>
          <w:szCs w:val="20"/>
          <w:highlight w:val="none"/>
        </w:rPr>
      </w:pPr>
    </w:p>
    <w:p w14:paraId="3DCDB8EC">
      <w:pPr>
        <w:snapToGrid w:val="0"/>
        <w:spacing w:before="120" w:beforeLines="50" w:after="50"/>
        <w:jc w:val="center"/>
        <w:rPr>
          <w:rFonts w:ascii="宋体" w:hAnsi="宋体" w:cs="宋体"/>
          <w:sz w:val="84"/>
          <w:szCs w:val="84"/>
          <w:highlight w:val="none"/>
        </w:rPr>
      </w:pPr>
      <w:r>
        <w:rPr>
          <w:rFonts w:hint="eastAsia" w:ascii="宋体" w:hAnsi="宋体" w:cs="宋体"/>
          <w:sz w:val="84"/>
          <w:szCs w:val="84"/>
          <w:highlight w:val="none"/>
        </w:rPr>
        <w:t>投标文件</w:t>
      </w:r>
    </w:p>
    <w:p w14:paraId="183C1246">
      <w:pPr>
        <w:snapToGrid w:val="0"/>
        <w:spacing w:before="120" w:beforeLines="50" w:after="50"/>
        <w:rPr>
          <w:rFonts w:ascii="宋体" w:hAnsi="宋体" w:cs="宋体"/>
          <w:sz w:val="24"/>
          <w:szCs w:val="20"/>
          <w:highlight w:val="none"/>
        </w:rPr>
      </w:pPr>
    </w:p>
    <w:p w14:paraId="5395C76B">
      <w:pPr>
        <w:snapToGrid w:val="0"/>
        <w:spacing w:before="120" w:beforeLines="50" w:after="50"/>
        <w:rPr>
          <w:rFonts w:ascii="宋体" w:hAnsi="宋体" w:cs="宋体"/>
          <w:sz w:val="24"/>
          <w:szCs w:val="20"/>
          <w:highlight w:val="none"/>
        </w:rPr>
      </w:pPr>
    </w:p>
    <w:p w14:paraId="3410325B">
      <w:pPr>
        <w:snapToGrid w:val="0"/>
        <w:spacing w:before="120" w:beforeLines="50" w:after="50"/>
        <w:jc w:val="center"/>
        <w:rPr>
          <w:rFonts w:ascii="宋体" w:hAnsi="宋体" w:cs="宋体"/>
          <w:bCs/>
          <w:sz w:val="32"/>
          <w:szCs w:val="32"/>
          <w:highlight w:val="none"/>
        </w:rPr>
      </w:pPr>
      <w:r>
        <w:rPr>
          <w:rFonts w:hint="eastAsia" w:ascii="宋体" w:hAnsi="宋体" w:cs="宋体"/>
          <w:bCs/>
          <w:sz w:val="32"/>
          <w:szCs w:val="32"/>
          <w:highlight w:val="none"/>
        </w:rPr>
        <w:t>商务文件</w:t>
      </w:r>
    </w:p>
    <w:p w14:paraId="6C68A8C5">
      <w:pPr>
        <w:snapToGrid w:val="0"/>
        <w:spacing w:before="120" w:beforeLines="50" w:after="50"/>
        <w:rPr>
          <w:rFonts w:ascii="宋体" w:hAnsi="宋体" w:cs="宋体"/>
          <w:bCs/>
          <w:sz w:val="24"/>
          <w:szCs w:val="20"/>
          <w:highlight w:val="none"/>
        </w:rPr>
      </w:pPr>
    </w:p>
    <w:p w14:paraId="061F73FF">
      <w:pPr>
        <w:snapToGrid w:val="0"/>
        <w:spacing w:before="120" w:beforeLines="50" w:after="50"/>
        <w:ind w:firstLine="540" w:firstLineChars="225"/>
        <w:rPr>
          <w:rFonts w:ascii="宋体" w:hAnsi="宋体" w:cs="宋体"/>
          <w:bCs/>
          <w:sz w:val="24"/>
          <w:highlight w:val="none"/>
        </w:rPr>
      </w:pPr>
    </w:p>
    <w:p w14:paraId="7FB1BCCC">
      <w:pPr>
        <w:snapToGrid w:val="0"/>
        <w:spacing w:before="120" w:beforeLines="50" w:after="50"/>
        <w:ind w:firstLine="540" w:firstLineChars="225"/>
        <w:rPr>
          <w:rFonts w:ascii="宋体" w:hAnsi="宋体" w:cs="宋体"/>
          <w:bCs/>
          <w:sz w:val="24"/>
          <w:highlight w:val="none"/>
        </w:rPr>
      </w:pPr>
    </w:p>
    <w:p w14:paraId="60A4E308">
      <w:pPr>
        <w:snapToGrid w:val="0"/>
        <w:spacing w:before="120" w:beforeLines="50" w:after="50"/>
        <w:ind w:firstLine="1680" w:firstLineChars="600"/>
        <w:rPr>
          <w:rFonts w:ascii="宋体" w:hAnsi="宋体" w:cs="宋体"/>
          <w:bCs/>
          <w:sz w:val="28"/>
          <w:szCs w:val="28"/>
          <w:highlight w:val="none"/>
        </w:rPr>
      </w:pPr>
    </w:p>
    <w:p w14:paraId="30A68CBD">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项目名称：</w:t>
      </w:r>
    </w:p>
    <w:p w14:paraId="0071F88B">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项目编号：</w:t>
      </w:r>
    </w:p>
    <w:p w14:paraId="2F58A3B8">
      <w:pPr>
        <w:snapToGrid w:val="0"/>
        <w:spacing w:before="120" w:beforeLines="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所投分标：</w:t>
      </w:r>
    </w:p>
    <w:p w14:paraId="768D9EA9">
      <w:pPr>
        <w:pStyle w:val="7"/>
        <w:snapToGrid w:val="0"/>
        <w:spacing w:before="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投标人名称：</w:t>
      </w:r>
    </w:p>
    <w:p w14:paraId="320CB66A">
      <w:pPr>
        <w:pStyle w:val="7"/>
        <w:snapToGrid w:val="0"/>
        <w:spacing w:before="50" w:after="50" w:line="360" w:lineRule="auto"/>
        <w:ind w:firstLine="1440" w:firstLineChars="600"/>
        <w:rPr>
          <w:rFonts w:ascii="宋体" w:hAnsi="宋体" w:cs="宋体"/>
          <w:bCs/>
          <w:sz w:val="24"/>
          <w:szCs w:val="24"/>
          <w:highlight w:val="none"/>
        </w:rPr>
      </w:pPr>
      <w:r>
        <w:rPr>
          <w:rFonts w:hint="eastAsia" w:ascii="宋体" w:hAnsi="宋体" w:cs="宋体"/>
          <w:bCs/>
          <w:sz w:val="24"/>
          <w:szCs w:val="24"/>
          <w:highlight w:val="none"/>
        </w:rPr>
        <w:t>投标人地址：</w:t>
      </w:r>
    </w:p>
    <w:p w14:paraId="2CBEC9DD">
      <w:pPr>
        <w:pStyle w:val="7"/>
        <w:snapToGrid w:val="0"/>
        <w:spacing w:before="50" w:after="50"/>
        <w:ind w:firstLine="1680" w:firstLineChars="600"/>
        <w:rPr>
          <w:rFonts w:ascii="宋体" w:hAnsi="宋体" w:cs="宋体"/>
          <w:bCs/>
          <w:sz w:val="28"/>
          <w:szCs w:val="28"/>
          <w:highlight w:val="none"/>
        </w:rPr>
      </w:pPr>
    </w:p>
    <w:p w14:paraId="2E52F675">
      <w:pPr>
        <w:snapToGrid w:val="0"/>
        <w:spacing w:before="120" w:beforeLines="50" w:after="50"/>
        <w:ind w:firstLine="1680" w:firstLineChars="600"/>
        <w:rPr>
          <w:rFonts w:ascii="宋体" w:hAnsi="宋体" w:cs="宋体"/>
          <w:sz w:val="28"/>
          <w:szCs w:val="28"/>
          <w:highlight w:val="none"/>
        </w:rPr>
      </w:pPr>
      <w:r>
        <w:rPr>
          <w:rFonts w:hint="eastAsia" w:ascii="宋体" w:hAnsi="宋体" w:cs="宋体"/>
          <w:sz w:val="28"/>
          <w:szCs w:val="28"/>
          <w:highlight w:val="none"/>
        </w:rPr>
        <w:t xml:space="preserve">                      </w:t>
      </w:r>
      <w:r>
        <w:rPr>
          <w:rFonts w:hint="eastAsia" w:ascii="宋体" w:hAnsi="宋体" w:cs="宋体"/>
          <w:sz w:val="24"/>
          <w:szCs w:val="24"/>
          <w:highlight w:val="none"/>
        </w:rPr>
        <w:t xml:space="preserve">  年  月  日</w:t>
      </w:r>
    </w:p>
    <w:p w14:paraId="3FC5B1CF">
      <w:pPr>
        <w:snapToGrid w:val="0"/>
        <w:spacing w:before="120" w:beforeLines="50" w:after="50"/>
        <w:rPr>
          <w:rFonts w:ascii="宋体" w:hAnsi="宋体" w:cs="宋体"/>
          <w:sz w:val="24"/>
          <w:szCs w:val="20"/>
          <w:highlight w:val="none"/>
        </w:rPr>
      </w:pPr>
      <w:r>
        <w:rPr>
          <w:rFonts w:hint="eastAsia" w:ascii="宋体" w:hAnsi="宋体" w:cs="宋体"/>
          <w:sz w:val="24"/>
          <w:szCs w:val="20"/>
          <w:highlight w:val="none"/>
        </w:rPr>
        <w:t xml:space="preserve"> </w:t>
      </w:r>
    </w:p>
    <w:p w14:paraId="1E431ABB">
      <w:pPr>
        <w:snapToGrid w:val="0"/>
        <w:spacing w:line="360" w:lineRule="auto"/>
        <w:jc w:val="left"/>
        <w:rPr>
          <w:rFonts w:ascii="宋体" w:hAnsi="宋体" w:cs="宋体"/>
          <w:b/>
          <w:bCs/>
          <w:sz w:val="28"/>
          <w:szCs w:val="28"/>
          <w:highlight w:val="none"/>
        </w:rPr>
      </w:pPr>
      <w:r>
        <w:rPr>
          <w:rFonts w:hint="eastAsia" w:ascii="宋体" w:hAnsi="宋体" w:cs="宋体"/>
          <w:sz w:val="24"/>
          <w:szCs w:val="20"/>
          <w:highlight w:val="none"/>
        </w:rPr>
        <w:br w:type="page"/>
      </w:r>
      <w:r>
        <w:rPr>
          <w:rFonts w:hint="eastAsia" w:ascii="宋体" w:hAnsi="宋体" w:cs="宋体"/>
          <w:b/>
          <w:bCs/>
          <w:sz w:val="24"/>
          <w:highlight w:val="none"/>
        </w:rPr>
        <w:t>2.商务文件目录</w:t>
      </w:r>
    </w:p>
    <w:p w14:paraId="0F654B2F">
      <w:pPr>
        <w:snapToGrid w:val="0"/>
        <w:spacing w:before="50" w:after="120" w:afterLines="50" w:line="360" w:lineRule="auto"/>
        <w:ind w:firstLine="480" w:firstLineChars="200"/>
        <w:jc w:val="left"/>
        <w:rPr>
          <w:rFonts w:ascii="宋体" w:hAnsi="宋体" w:cs="宋体"/>
          <w:b/>
          <w:bCs/>
          <w:sz w:val="32"/>
          <w:szCs w:val="32"/>
          <w:highlight w:val="none"/>
        </w:rPr>
      </w:pPr>
      <w:r>
        <w:rPr>
          <w:rFonts w:hint="eastAsia" w:ascii="宋体" w:hAnsi="宋体" w:cs="宋体"/>
          <w:sz w:val="24"/>
          <w:highlight w:val="none"/>
        </w:rPr>
        <w:t>根据招标文件规定及投标人提供的材料自行编写目录。</w:t>
      </w:r>
    </w:p>
    <w:p w14:paraId="3C01F5FC">
      <w:pPr>
        <w:snapToGrid w:val="0"/>
        <w:spacing w:before="50" w:after="120" w:afterLines="50"/>
        <w:jc w:val="left"/>
        <w:rPr>
          <w:rFonts w:ascii="宋体" w:hAnsi="宋体" w:cs="宋体"/>
          <w:highlight w:val="none"/>
        </w:rPr>
      </w:pPr>
    </w:p>
    <w:p w14:paraId="324688F5">
      <w:pPr>
        <w:snapToGrid w:val="0"/>
        <w:spacing w:before="120" w:beforeLines="50" w:after="50"/>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3.投标人参加本项目无围标串标行为的承诺</w:t>
      </w:r>
    </w:p>
    <w:p w14:paraId="5A68B2E0">
      <w:pPr>
        <w:spacing w:before="168" w:beforeLines="50" w:after="168" w:afterLines="50" w:line="360" w:lineRule="auto"/>
        <w:ind w:left="0"/>
        <w:contextualSpacing/>
        <w:jc w:val="center"/>
        <w:rPr>
          <w:rFonts w:ascii="宋体" w:hAnsi="宋体" w:cs="宋体"/>
          <w:b/>
          <w:sz w:val="24"/>
          <w:highlight w:val="none"/>
        </w:rPr>
      </w:pPr>
      <w:r>
        <w:rPr>
          <w:rFonts w:hint="eastAsia" w:ascii="宋体" w:hAnsi="宋体" w:cs="宋体"/>
          <w:b/>
          <w:bCs w:val="0"/>
          <w:spacing w:val="-11"/>
          <w:sz w:val="28"/>
          <w:szCs w:val="28"/>
          <w:highlight w:val="none"/>
        </w:rPr>
        <w:t>投标人参加本项目无围标串标行为的承诺函</w:t>
      </w:r>
    </w:p>
    <w:p w14:paraId="7DA3118A">
      <w:pPr>
        <w:spacing w:line="360" w:lineRule="auto"/>
        <w:contextualSpacing/>
        <w:jc w:val="left"/>
        <w:rPr>
          <w:rFonts w:ascii="宋体" w:hAnsi="宋体" w:cs="宋体"/>
          <w:b/>
          <w:sz w:val="21"/>
          <w:szCs w:val="21"/>
          <w:highlight w:val="none"/>
        </w:rPr>
      </w:pPr>
      <w:r>
        <w:rPr>
          <w:rFonts w:hint="eastAsia" w:ascii="宋体" w:hAnsi="宋体" w:cs="宋体"/>
          <w:b/>
          <w:sz w:val="21"/>
          <w:szCs w:val="21"/>
          <w:highlight w:val="none"/>
        </w:rPr>
        <w:t>一、我方承诺无下列相互串通投标的情形：</w:t>
      </w:r>
    </w:p>
    <w:p w14:paraId="52B61AB1">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cs="宋体"/>
          <w:sz w:val="21"/>
          <w:szCs w:val="21"/>
          <w:highlight w:val="none"/>
        </w:rPr>
        <w:t>不同投标人的投标文件由同一单位或者个人编制；或不同投标人报名的IP地址一致的；</w:t>
      </w:r>
      <w:r>
        <w:rPr>
          <w:rFonts w:hint="eastAsia" w:ascii="宋体" w:hAnsi="宋体" w:cs="宋体"/>
          <w:sz w:val="21"/>
          <w:szCs w:val="21"/>
          <w:highlight w:val="none"/>
          <w:lang w:eastAsia="zh-CN"/>
        </w:rPr>
        <w:t>或者编制响应文件硬件设备CPU编号、硬盘编号、网卡地址一致的情况；</w:t>
      </w:r>
    </w:p>
    <w:p w14:paraId="08DD9DDD">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不同投标人委托同一单位或者个人办理投标事宜；</w:t>
      </w:r>
    </w:p>
    <w:p w14:paraId="639F6568">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3.</w:t>
      </w:r>
      <w:r>
        <w:rPr>
          <w:rFonts w:hint="eastAsia" w:ascii="宋体" w:hAnsi="宋体" w:cs="宋体"/>
          <w:sz w:val="21"/>
          <w:szCs w:val="21"/>
          <w:highlight w:val="none"/>
        </w:rPr>
        <w:t>不同的投标人的投标文件载明的项目管理员为同一个人；</w:t>
      </w:r>
    </w:p>
    <w:p w14:paraId="096BC458">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cs="宋体"/>
          <w:sz w:val="21"/>
          <w:szCs w:val="21"/>
          <w:highlight w:val="none"/>
        </w:rPr>
        <w:t>不同投标人的投标文件异常一致或者投标报价呈规律性差异；</w:t>
      </w:r>
    </w:p>
    <w:p w14:paraId="7EF3ACD7">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none"/>
        </w:rPr>
        <w:t>不同投标人的投标文件相互混装；</w:t>
      </w:r>
    </w:p>
    <w:p w14:paraId="1EF62663">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6.</w:t>
      </w:r>
      <w:r>
        <w:rPr>
          <w:rFonts w:hint="eastAsia" w:ascii="宋体" w:hAnsi="宋体" w:cs="宋体"/>
          <w:sz w:val="21"/>
          <w:szCs w:val="21"/>
          <w:highlight w:val="none"/>
        </w:rPr>
        <w:t>不同投标人的投标保证金从同一单位或者个人账户转出。</w:t>
      </w:r>
    </w:p>
    <w:p w14:paraId="248B3BBC">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7.</w:t>
      </w:r>
      <w:r>
        <w:rPr>
          <w:rFonts w:hint="eastAsia" w:ascii="宋体" w:hAnsi="宋体" w:cs="宋体"/>
          <w:sz w:val="21"/>
          <w:szCs w:val="21"/>
          <w:highlight w:val="none"/>
        </w:rPr>
        <w:t>投标人之间协商投标报价等投标文件的实质性内容；</w:t>
      </w:r>
    </w:p>
    <w:p w14:paraId="6F7CCF8E">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8.</w:t>
      </w:r>
      <w:r>
        <w:rPr>
          <w:rFonts w:hint="eastAsia" w:ascii="宋体" w:hAnsi="宋体" w:cs="宋体"/>
          <w:sz w:val="21"/>
          <w:szCs w:val="21"/>
          <w:highlight w:val="none"/>
        </w:rPr>
        <w:t>投标人之间约定中标人；</w:t>
      </w:r>
    </w:p>
    <w:p w14:paraId="45B46CA0">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9.</w:t>
      </w:r>
      <w:r>
        <w:rPr>
          <w:rFonts w:hint="eastAsia" w:ascii="宋体" w:hAnsi="宋体" w:cs="宋体"/>
          <w:sz w:val="21"/>
          <w:szCs w:val="21"/>
          <w:highlight w:val="none"/>
        </w:rPr>
        <w:t>投标人之间约定部分投标人放弃投标或者中标；</w:t>
      </w:r>
    </w:p>
    <w:p w14:paraId="38BAE2E5">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属于同一集团、协会、商会等组织成员的投标人按照该组织要求协同投标；</w:t>
      </w:r>
    </w:p>
    <w:p w14:paraId="64E6DC4A">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lang w:val="en-US" w:eastAsia="zh-CN"/>
        </w:rPr>
        <w:t>11.</w:t>
      </w:r>
      <w:r>
        <w:rPr>
          <w:rFonts w:hint="eastAsia" w:ascii="宋体" w:hAnsi="宋体" w:cs="宋体"/>
          <w:sz w:val="21"/>
          <w:szCs w:val="21"/>
          <w:highlight w:val="none"/>
        </w:rPr>
        <w:t>投标人之间为谋取中标或者排斥特定投标人而采取的其他联合行动。</w:t>
      </w:r>
    </w:p>
    <w:p w14:paraId="5763E4F6">
      <w:pPr>
        <w:spacing w:line="360" w:lineRule="auto"/>
        <w:contextualSpacing/>
        <w:jc w:val="left"/>
        <w:rPr>
          <w:rFonts w:ascii="宋体" w:hAnsi="宋体" w:cs="宋体"/>
          <w:sz w:val="21"/>
          <w:szCs w:val="21"/>
          <w:highlight w:val="none"/>
        </w:rPr>
      </w:pPr>
      <w:r>
        <w:rPr>
          <w:rFonts w:hint="eastAsia" w:ascii="宋体" w:hAnsi="宋体" w:cs="宋体"/>
          <w:b/>
          <w:sz w:val="21"/>
          <w:szCs w:val="21"/>
          <w:highlight w:val="none"/>
        </w:rPr>
        <w:t>二、我方承诺无下列恶意串通的情形：</w:t>
      </w:r>
    </w:p>
    <w:p w14:paraId="2E538AFC">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1.投标人直接或者间接从采购人或者采购代理机构处获得其他投标人的相关信息并修改其投标文件或者响应文件；</w:t>
      </w:r>
    </w:p>
    <w:p w14:paraId="5607A250">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2.投标人按照采购人或者采购代理机构的授意撤换、修改投标文件或者响应文件；</w:t>
      </w:r>
    </w:p>
    <w:p w14:paraId="7DEABCD0">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3.投标人之间协商报价、技术方案等投标文件或者响应文件的实质性内容；</w:t>
      </w:r>
    </w:p>
    <w:p w14:paraId="315A6B07">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4.属于同一集团、协会、商会等组织成员的投标人按照该组织要求协同参加政府采购活动；</w:t>
      </w:r>
    </w:p>
    <w:p w14:paraId="74C8C1EF">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5.投标人之间事先约定一致抬高或者压低投标报价，或者在招标项目中事先约定轮流以高价位或者低价位中标，或者事先约定由某一特定投标人中标，然后再参加投标；</w:t>
      </w:r>
    </w:p>
    <w:p w14:paraId="54C4D839">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6.投标人之间商定部分投标人放弃参加政府采购活动或者放弃中标；</w:t>
      </w:r>
    </w:p>
    <w:p w14:paraId="1EA7D9DA">
      <w:pPr>
        <w:spacing w:line="360" w:lineRule="auto"/>
        <w:ind w:firstLine="411" w:firstLineChars="196"/>
        <w:contextualSpacing/>
        <w:jc w:val="left"/>
        <w:rPr>
          <w:rFonts w:ascii="宋体" w:hAnsi="宋体" w:cs="宋体"/>
          <w:sz w:val="21"/>
          <w:szCs w:val="21"/>
          <w:highlight w:val="none"/>
        </w:rPr>
      </w:pPr>
      <w:r>
        <w:rPr>
          <w:rFonts w:hint="eastAsia" w:ascii="宋体" w:hAnsi="宋体" w:cs="宋体"/>
          <w:sz w:val="21"/>
          <w:szCs w:val="21"/>
          <w:highlight w:val="none"/>
        </w:rPr>
        <w:t>7.投标人与采购人或者采购代理机构之间、投标人相互之间，为谋求特定投标人中标或者排斥其他投标人的其他串通行为。</w:t>
      </w:r>
    </w:p>
    <w:p w14:paraId="285D3D30">
      <w:pPr>
        <w:spacing w:line="360" w:lineRule="auto"/>
        <w:ind w:firstLine="413" w:firstLineChars="196"/>
        <w:contextualSpacing/>
        <w:jc w:val="left"/>
        <w:rPr>
          <w:rFonts w:ascii="宋体" w:hAnsi="宋体" w:cs="宋体"/>
          <w:b/>
          <w:sz w:val="21"/>
          <w:szCs w:val="21"/>
          <w:highlight w:val="none"/>
        </w:rPr>
      </w:pPr>
      <w:r>
        <w:rPr>
          <w:rFonts w:hint="eastAsia" w:ascii="宋体" w:hAnsi="宋体" w:cs="宋体"/>
          <w:b/>
          <w:sz w:val="21"/>
          <w:szCs w:val="21"/>
          <w:highlight w:val="none"/>
        </w:rPr>
        <w:t>以上情形一经核查属实，我方愿意承担一切后果，并不再寻求任何旨在减轻或者免除法律责任的辩解。</w:t>
      </w:r>
    </w:p>
    <w:p w14:paraId="55CEF502">
      <w:pPr>
        <w:snapToGrid w:val="0"/>
        <w:spacing w:before="120" w:beforeLines="50" w:after="50" w:line="360" w:lineRule="auto"/>
        <w:ind w:right="480" w:firstLine="4830" w:firstLineChars="2300"/>
        <w:rPr>
          <w:rFonts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D5870AC">
      <w:pPr>
        <w:snapToGrid w:val="0"/>
        <w:spacing w:before="120" w:beforeLines="50" w:after="50" w:line="360" w:lineRule="auto"/>
        <w:ind w:right="480" w:firstLine="210" w:firstLineChars="100"/>
        <w:jc w:val="right"/>
        <w:rPr>
          <w:rFonts w:ascii="宋体" w:hAnsi="宋体" w:cs="宋体"/>
          <w:sz w:val="21"/>
          <w:szCs w:val="21"/>
          <w:highlight w:val="none"/>
        </w:rPr>
      </w:pPr>
      <w:r>
        <w:rPr>
          <w:rFonts w:hint="eastAsia"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日</w:t>
      </w:r>
    </w:p>
    <w:p w14:paraId="49808A0F">
      <w:pPr>
        <w:snapToGrid w:val="0"/>
        <w:spacing w:before="120" w:beforeLines="50" w:after="50"/>
        <w:jc w:val="left"/>
        <w:rPr>
          <w:rFonts w:ascii="宋体" w:hAnsi="宋体" w:cs="宋体"/>
          <w:b/>
          <w:sz w:val="24"/>
          <w:szCs w:val="20"/>
          <w:highlight w:val="none"/>
        </w:rPr>
      </w:pPr>
      <w:r>
        <w:rPr>
          <w:rFonts w:hint="eastAsia" w:ascii="宋体" w:hAnsi="宋体" w:cs="宋体"/>
          <w:b/>
          <w:sz w:val="24"/>
          <w:highlight w:val="none"/>
        </w:rPr>
        <w:br w:type="page"/>
      </w:r>
      <w:r>
        <w:rPr>
          <w:rFonts w:hint="eastAsia" w:ascii="宋体" w:hAnsi="宋体" w:cs="宋体"/>
          <w:b/>
          <w:sz w:val="24"/>
          <w:highlight w:val="none"/>
        </w:rPr>
        <w:t>4.法定代表人身份证明</w:t>
      </w:r>
    </w:p>
    <w:p w14:paraId="3CD6918D">
      <w:pPr>
        <w:spacing w:before="240" w:beforeLines="100" w:after="120" w:afterLines="50"/>
        <w:ind w:left="540"/>
        <w:jc w:val="center"/>
        <w:rPr>
          <w:rFonts w:ascii="宋体" w:hAnsi="宋体" w:cs="宋体"/>
          <w:bCs/>
          <w:sz w:val="44"/>
          <w:szCs w:val="44"/>
          <w:highlight w:val="none"/>
        </w:rPr>
      </w:pPr>
      <w:r>
        <w:rPr>
          <w:rFonts w:hint="eastAsia" w:ascii="宋体" w:hAnsi="宋体" w:cs="宋体"/>
          <w:bCs/>
          <w:sz w:val="44"/>
          <w:szCs w:val="44"/>
          <w:highlight w:val="none"/>
        </w:rPr>
        <w:t>法定代表人身份证明</w:t>
      </w:r>
    </w:p>
    <w:p w14:paraId="0E9A97F5">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投 标 人：</w:t>
      </w:r>
      <w:r>
        <w:rPr>
          <w:rFonts w:hint="eastAsia" w:ascii="宋体" w:hAnsi="宋体" w:cs="宋体"/>
          <w:sz w:val="21"/>
          <w:szCs w:val="21"/>
          <w:highlight w:val="none"/>
          <w:u w:val="single"/>
        </w:rPr>
        <w:t xml:space="preserve">                                                        </w:t>
      </w:r>
    </w:p>
    <w:p w14:paraId="5BC43B4A">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地    址：</w:t>
      </w:r>
      <w:r>
        <w:rPr>
          <w:rFonts w:hint="eastAsia" w:ascii="宋体" w:hAnsi="宋体" w:cs="宋体"/>
          <w:sz w:val="21"/>
          <w:szCs w:val="21"/>
          <w:highlight w:val="none"/>
          <w:u w:val="single"/>
        </w:rPr>
        <w:t xml:space="preserve">                                                        </w:t>
      </w:r>
    </w:p>
    <w:p w14:paraId="122362F2">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姓    名：</w:t>
      </w:r>
      <w:r>
        <w:rPr>
          <w:rFonts w:hint="eastAsia" w:ascii="宋体" w:hAnsi="宋体" w:cs="宋体"/>
          <w:sz w:val="21"/>
          <w:szCs w:val="21"/>
          <w:highlight w:val="none"/>
          <w:u w:val="single"/>
        </w:rPr>
        <w:t xml:space="preserve">                          </w:t>
      </w:r>
      <w:r>
        <w:rPr>
          <w:rFonts w:hint="eastAsia" w:ascii="宋体" w:hAnsi="宋体" w:cs="宋体"/>
          <w:sz w:val="21"/>
          <w:szCs w:val="21"/>
          <w:highlight w:val="none"/>
        </w:rPr>
        <w:t>性      别：</w:t>
      </w:r>
      <w:r>
        <w:rPr>
          <w:rFonts w:hint="eastAsia" w:ascii="宋体" w:hAnsi="宋体" w:cs="宋体"/>
          <w:sz w:val="21"/>
          <w:szCs w:val="21"/>
          <w:highlight w:val="none"/>
          <w:u w:val="single"/>
        </w:rPr>
        <w:t xml:space="preserve">                </w:t>
      </w:r>
    </w:p>
    <w:p w14:paraId="7297A851">
      <w:pPr>
        <w:spacing w:line="500" w:lineRule="exact"/>
        <w:ind w:left="540"/>
        <w:rPr>
          <w:rFonts w:hint="eastAsia" w:ascii="宋体" w:hAnsi="宋体" w:cs="宋体"/>
          <w:sz w:val="21"/>
          <w:szCs w:val="21"/>
          <w:highlight w:val="none"/>
          <w:u w:val="single"/>
        </w:rPr>
      </w:pPr>
      <w:r>
        <w:rPr>
          <w:rFonts w:hint="eastAsia" w:ascii="宋体" w:hAnsi="宋体" w:cs="宋体"/>
          <w:sz w:val="21"/>
          <w:szCs w:val="21"/>
          <w:highlight w:val="none"/>
        </w:rPr>
        <w:t>年    龄：</w:t>
      </w:r>
      <w:r>
        <w:rPr>
          <w:rFonts w:hint="eastAsia" w:ascii="宋体" w:hAnsi="宋体" w:cs="宋体"/>
          <w:sz w:val="21"/>
          <w:szCs w:val="21"/>
          <w:highlight w:val="none"/>
          <w:u w:val="single"/>
        </w:rPr>
        <w:t xml:space="preserve">                          </w:t>
      </w:r>
      <w:r>
        <w:rPr>
          <w:rFonts w:hint="eastAsia" w:ascii="宋体" w:hAnsi="宋体" w:cs="宋体"/>
          <w:sz w:val="21"/>
          <w:szCs w:val="21"/>
          <w:highlight w:val="none"/>
        </w:rPr>
        <w:t>职      务：</w:t>
      </w:r>
      <w:r>
        <w:rPr>
          <w:rFonts w:hint="eastAsia" w:ascii="宋体" w:hAnsi="宋体" w:cs="宋体"/>
          <w:sz w:val="21"/>
          <w:szCs w:val="21"/>
          <w:highlight w:val="none"/>
          <w:u w:val="single"/>
        </w:rPr>
        <w:t xml:space="preserve">                </w:t>
      </w:r>
    </w:p>
    <w:p w14:paraId="3F21136D">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身份证号码：</w:t>
      </w:r>
      <w:r>
        <w:rPr>
          <w:rFonts w:hint="eastAsia" w:ascii="宋体" w:hAnsi="宋体" w:cs="宋体"/>
          <w:sz w:val="21"/>
          <w:szCs w:val="21"/>
          <w:highlight w:val="none"/>
          <w:u w:val="single"/>
        </w:rPr>
        <w:t xml:space="preserve">                                 </w:t>
      </w:r>
    </w:p>
    <w:p w14:paraId="72F31AEE">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系</w:t>
      </w:r>
      <w:r>
        <w:rPr>
          <w:rFonts w:hint="eastAsia" w:ascii="宋体" w:hAnsi="宋体" w:cs="宋体"/>
          <w:sz w:val="21"/>
          <w:szCs w:val="21"/>
          <w:highlight w:val="none"/>
          <w:u w:val="single"/>
        </w:rPr>
        <w:t xml:space="preserve">            （投标人名称）              </w:t>
      </w:r>
      <w:r>
        <w:rPr>
          <w:rFonts w:hint="eastAsia" w:ascii="宋体" w:hAnsi="宋体" w:cs="宋体"/>
          <w:sz w:val="21"/>
          <w:szCs w:val="21"/>
          <w:highlight w:val="none"/>
        </w:rPr>
        <w:t>的法定代表人。</w:t>
      </w:r>
    </w:p>
    <w:p w14:paraId="735D1099">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特此证明。</w:t>
      </w:r>
    </w:p>
    <w:p w14:paraId="5452AC66">
      <w:pPr>
        <w:spacing w:line="500" w:lineRule="exact"/>
        <w:ind w:left="540"/>
        <w:rPr>
          <w:rFonts w:hint="eastAsia" w:ascii="宋体" w:hAnsi="宋体" w:cs="宋体"/>
          <w:sz w:val="21"/>
          <w:szCs w:val="21"/>
          <w:highlight w:val="none"/>
        </w:rPr>
      </w:pPr>
    </w:p>
    <w:p w14:paraId="02ACB7C6">
      <w:pPr>
        <w:spacing w:line="500" w:lineRule="exact"/>
        <w:ind w:left="540"/>
        <w:rPr>
          <w:rFonts w:hint="eastAsia" w:ascii="宋体" w:hAnsi="宋体" w:cs="宋体"/>
          <w:sz w:val="21"/>
          <w:szCs w:val="21"/>
          <w:highlight w:val="none"/>
        </w:rPr>
      </w:pPr>
    </w:p>
    <w:p w14:paraId="3712DDEE">
      <w:pPr>
        <w:spacing w:line="500" w:lineRule="exact"/>
        <w:ind w:left="540"/>
        <w:rPr>
          <w:rFonts w:hint="eastAsia" w:ascii="宋体" w:hAnsi="宋体" w:cs="宋体"/>
          <w:sz w:val="21"/>
          <w:szCs w:val="21"/>
          <w:highlight w:val="none"/>
        </w:rPr>
      </w:pPr>
      <w:r>
        <w:rPr>
          <w:rFonts w:hint="eastAsia" w:ascii="宋体" w:hAnsi="宋体" w:cs="宋体"/>
          <w:sz w:val="21"/>
          <w:szCs w:val="21"/>
          <w:highlight w:val="none"/>
        </w:rPr>
        <w:t>附件：法定代表人有效身份证正反面</w:t>
      </w:r>
      <w:r>
        <w:rPr>
          <w:rFonts w:hint="eastAsia" w:ascii="宋体" w:hAnsi="宋体" w:cs="宋体"/>
          <w:sz w:val="21"/>
          <w:szCs w:val="21"/>
          <w:highlight w:val="none"/>
          <w:lang w:val="en-US" w:eastAsia="zh-CN"/>
        </w:rPr>
        <w:t>扫描件</w:t>
      </w:r>
    </w:p>
    <w:p w14:paraId="69D8B360">
      <w:pPr>
        <w:spacing w:line="500" w:lineRule="exact"/>
        <w:ind w:left="540"/>
        <w:rPr>
          <w:rFonts w:hint="eastAsia" w:ascii="宋体" w:hAnsi="宋体" w:cs="宋体"/>
          <w:sz w:val="21"/>
          <w:szCs w:val="21"/>
          <w:highlight w:val="none"/>
        </w:rPr>
      </w:pPr>
    </w:p>
    <w:p w14:paraId="58DC58EC">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B0D9389">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44518988">
      <w:pPr>
        <w:snapToGrid w:val="0"/>
        <w:spacing w:before="120" w:beforeLines="50" w:after="50"/>
        <w:jc w:val="center"/>
        <w:rPr>
          <w:rFonts w:hint="eastAsia" w:ascii="宋体" w:hAnsi="宋体" w:cs="宋体"/>
          <w:b/>
          <w:sz w:val="21"/>
          <w:szCs w:val="21"/>
          <w:highlight w:val="none"/>
        </w:rPr>
      </w:pPr>
    </w:p>
    <w:p w14:paraId="41D869F1">
      <w:pPr>
        <w:snapToGrid w:val="0"/>
        <w:spacing w:before="120" w:beforeLines="50" w:after="50"/>
        <w:jc w:val="left"/>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r>
        <w:rPr>
          <w:rFonts w:hint="eastAsia" w:ascii="宋体" w:hAnsi="宋体" w:eastAsia="宋体" w:cs="宋体"/>
          <w:sz w:val="21"/>
          <w:szCs w:val="21"/>
          <w:highlight w:val="none"/>
        </w:rPr>
        <w:t>自然人投标的无需提供</w:t>
      </w:r>
    </w:p>
    <w:p w14:paraId="26652B9A">
      <w:pPr>
        <w:snapToGrid w:val="0"/>
        <w:spacing w:before="120" w:beforeLines="50" w:after="50"/>
        <w:jc w:val="left"/>
        <w:rPr>
          <w:rFonts w:ascii="宋体" w:hAnsi="宋体" w:cs="宋体"/>
          <w:b/>
          <w:sz w:val="24"/>
          <w:szCs w:val="20"/>
          <w:highlight w:val="none"/>
        </w:rPr>
      </w:pPr>
      <w:r>
        <w:rPr>
          <w:rFonts w:hint="eastAsia" w:ascii="宋体" w:hAnsi="宋体" w:cs="宋体"/>
          <w:b/>
          <w:sz w:val="24"/>
          <w:highlight w:val="none"/>
        </w:rPr>
        <w:br w:type="page"/>
      </w:r>
      <w:r>
        <w:rPr>
          <w:rFonts w:hint="eastAsia" w:ascii="宋体" w:hAnsi="宋体" w:cs="宋体"/>
          <w:b/>
          <w:sz w:val="24"/>
          <w:highlight w:val="none"/>
        </w:rPr>
        <w:t>5.授权委托书</w:t>
      </w:r>
    </w:p>
    <w:p w14:paraId="359FA332">
      <w:pPr>
        <w:spacing w:line="360" w:lineRule="auto"/>
        <w:contextualSpacing/>
        <w:jc w:val="center"/>
        <w:rPr>
          <w:rFonts w:ascii="宋体" w:hAnsi="宋体" w:cs="宋体"/>
          <w:bCs/>
          <w:sz w:val="40"/>
          <w:szCs w:val="40"/>
          <w:highlight w:val="none"/>
        </w:rPr>
      </w:pPr>
      <w:r>
        <w:rPr>
          <w:rFonts w:hint="eastAsia" w:ascii="宋体" w:hAnsi="宋体" w:cs="宋体"/>
          <w:bCs/>
          <w:sz w:val="40"/>
          <w:szCs w:val="40"/>
          <w:highlight w:val="none"/>
        </w:rPr>
        <w:t>授权委托书</w:t>
      </w:r>
    </w:p>
    <w:p w14:paraId="484482B7">
      <w:pPr>
        <w:spacing w:line="360" w:lineRule="auto"/>
        <w:contextualSpacing/>
        <w:jc w:val="center"/>
        <w:rPr>
          <w:rFonts w:ascii="宋体" w:hAnsi="宋体" w:cs="宋体"/>
          <w:bCs/>
          <w:sz w:val="28"/>
          <w:szCs w:val="28"/>
          <w:highlight w:val="none"/>
        </w:rPr>
      </w:pPr>
      <w:r>
        <w:rPr>
          <w:rFonts w:hint="eastAsia" w:ascii="宋体" w:hAnsi="宋体" w:cs="宋体"/>
          <w:bCs/>
          <w:sz w:val="28"/>
          <w:szCs w:val="28"/>
          <w:highlight w:val="none"/>
        </w:rPr>
        <w:t>（非联合体投标格式）</w:t>
      </w:r>
    </w:p>
    <w:p w14:paraId="07578040">
      <w:pPr>
        <w:spacing w:line="360" w:lineRule="auto"/>
        <w:contextualSpacing/>
        <w:jc w:val="center"/>
        <w:rPr>
          <w:rFonts w:ascii="宋体" w:hAnsi="宋体" w:cs="宋体"/>
          <w:bCs/>
          <w:sz w:val="22"/>
          <w:szCs w:val="22"/>
          <w:highlight w:val="none"/>
        </w:rPr>
      </w:pPr>
      <w:r>
        <w:rPr>
          <w:rFonts w:hint="eastAsia" w:ascii="宋体" w:hAnsi="宋体" w:cs="宋体"/>
          <w:bCs/>
          <w:sz w:val="28"/>
          <w:szCs w:val="28"/>
          <w:highlight w:val="none"/>
        </w:rPr>
        <w:t>（如有委托时）</w:t>
      </w:r>
    </w:p>
    <w:p w14:paraId="1C2C6D5E">
      <w:pPr>
        <w:spacing w:line="360" w:lineRule="auto"/>
        <w:contextualSpacing/>
        <w:rPr>
          <w:rFonts w:hint="eastAsia" w:ascii="宋体" w:hAnsi="宋体" w:cs="宋体"/>
          <w:b/>
          <w:bCs/>
          <w:sz w:val="21"/>
          <w:szCs w:val="21"/>
          <w:highlight w:val="none"/>
        </w:rPr>
      </w:pPr>
      <w:r>
        <w:rPr>
          <w:rFonts w:hint="eastAsia" w:ascii="宋体" w:hAnsi="宋体" w:cs="宋体"/>
          <w:bCs/>
          <w:sz w:val="21"/>
          <w:szCs w:val="21"/>
          <w:highlight w:val="none"/>
        </w:rPr>
        <w:t>致：</w:t>
      </w:r>
      <w:r>
        <w:rPr>
          <w:rFonts w:hint="eastAsia" w:ascii="宋体" w:hAnsi="宋体" w:cs="宋体"/>
          <w:sz w:val="21"/>
          <w:szCs w:val="21"/>
          <w:highlight w:val="none"/>
          <w:u w:val="single"/>
        </w:rPr>
        <w:t>采购人名称</w:t>
      </w:r>
      <w:r>
        <w:rPr>
          <w:rFonts w:hint="eastAsia" w:ascii="宋体" w:hAnsi="宋体" w:cs="宋体"/>
          <w:sz w:val="21"/>
          <w:szCs w:val="21"/>
          <w:highlight w:val="none"/>
        </w:rPr>
        <w:t>：</w:t>
      </w:r>
    </w:p>
    <w:p w14:paraId="6F6C7CFF">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我</w:t>
      </w:r>
      <w:r>
        <w:rPr>
          <w:rFonts w:hint="eastAsia" w:ascii="宋体" w:hAnsi="宋体" w:cs="宋体"/>
          <w:sz w:val="21"/>
          <w:szCs w:val="21"/>
          <w:highlight w:val="none"/>
          <w:u w:val="single"/>
        </w:rPr>
        <w:t xml:space="preserve">       </w:t>
      </w:r>
      <w:r>
        <w:rPr>
          <w:rFonts w:hint="eastAsia" w:ascii="宋体" w:hAnsi="宋体" w:cs="宋体"/>
          <w:sz w:val="21"/>
          <w:szCs w:val="21"/>
          <w:highlight w:val="none"/>
        </w:rPr>
        <w:t>（姓名）系</w:t>
      </w:r>
      <w:r>
        <w:rPr>
          <w:rFonts w:hint="eastAsia" w:ascii="宋体" w:hAnsi="宋体" w:cs="宋体"/>
          <w:sz w:val="21"/>
          <w:szCs w:val="21"/>
          <w:highlight w:val="none"/>
          <w:u w:val="single"/>
        </w:rPr>
        <w:t xml:space="preserve">      </w:t>
      </w:r>
      <w:r>
        <w:rPr>
          <w:rFonts w:hint="eastAsia" w:ascii="宋体" w:hAnsi="宋体" w:cs="宋体"/>
          <w:sz w:val="21"/>
          <w:szCs w:val="21"/>
          <w:highlight w:val="none"/>
        </w:rPr>
        <w:t>（投标人名称）的法定代表人，现授权委托</w:t>
      </w:r>
      <w:r>
        <w:rPr>
          <w:rFonts w:hint="eastAsia" w:ascii="宋体" w:hAnsi="宋体" w:cs="宋体"/>
          <w:sz w:val="21"/>
          <w:szCs w:val="21"/>
          <w:highlight w:val="none"/>
          <w:u w:val="single"/>
        </w:rPr>
        <w:t xml:space="preserve">              （姓名）</w:t>
      </w:r>
      <w:r>
        <w:rPr>
          <w:rFonts w:hint="eastAsia" w:ascii="宋体" w:hAnsi="宋体" w:cs="宋体"/>
          <w:sz w:val="21"/>
          <w:szCs w:val="21"/>
          <w:highlight w:val="none"/>
        </w:rPr>
        <w:t>以我方的名义参加</w:t>
      </w:r>
      <w:r>
        <w:rPr>
          <w:rFonts w:hint="eastAsia" w:ascii="宋体" w:hAnsi="宋体" w:cs="宋体"/>
          <w:sz w:val="21"/>
          <w:szCs w:val="21"/>
          <w:highlight w:val="none"/>
          <w:u w:val="single"/>
        </w:rPr>
        <w:t xml:space="preserve">              </w:t>
      </w:r>
      <w:r>
        <w:rPr>
          <w:rFonts w:hint="eastAsia" w:ascii="宋体" w:hAnsi="宋体" w:cs="宋体"/>
          <w:sz w:val="21"/>
          <w:szCs w:val="21"/>
          <w:highlight w:val="none"/>
        </w:rPr>
        <w:t>项目的投标活动，并代表我方全权办理针对上述项目的所有采购程序和环节的具体事务和签署相关文件。</w:t>
      </w:r>
    </w:p>
    <w:p w14:paraId="30043847">
      <w:pPr>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 xml:space="preserve">    我方对委托代理人的签字（或个人CA签章）事项负全部责任。</w:t>
      </w:r>
    </w:p>
    <w:p w14:paraId="2CEFB62A">
      <w:pPr>
        <w:spacing w:line="360" w:lineRule="auto"/>
        <w:ind w:firstLine="480"/>
        <w:contextualSpacing/>
        <w:rPr>
          <w:rFonts w:hint="eastAsia" w:ascii="宋体" w:hAnsi="宋体" w:cs="宋体"/>
          <w:sz w:val="21"/>
          <w:szCs w:val="21"/>
          <w:highlight w:val="none"/>
        </w:rPr>
      </w:pPr>
      <w:r>
        <w:rPr>
          <w:rFonts w:hint="eastAsia" w:ascii="宋体" w:hAnsi="宋体" w:cs="宋体"/>
          <w:sz w:val="21"/>
          <w:szCs w:val="21"/>
          <w:highlight w:val="none"/>
          <w:u w:val="single"/>
        </w:rPr>
        <w:t>本授权书自签署之日起生效，在撤销授权的书面通知以前，本授权书一直有效。委托代理人在授权书有效期内签署的所有文件不因授权的撤销而失效。</w:t>
      </w:r>
    </w:p>
    <w:p w14:paraId="032C2FD8">
      <w:pPr>
        <w:spacing w:line="360" w:lineRule="auto"/>
        <w:ind w:firstLine="480"/>
        <w:contextualSpacing/>
        <w:rPr>
          <w:rFonts w:hint="eastAsia" w:ascii="宋体" w:hAnsi="宋体" w:cs="宋体"/>
          <w:sz w:val="21"/>
          <w:szCs w:val="21"/>
          <w:highlight w:val="none"/>
        </w:rPr>
      </w:pPr>
      <w:r>
        <w:rPr>
          <w:rFonts w:hint="eastAsia" w:ascii="宋体" w:hAnsi="宋体" w:cs="宋体"/>
          <w:sz w:val="21"/>
          <w:szCs w:val="21"/>
          <w:highlight w:val="none"/>
        </w:rPr>
        <w:t>委托代理人无转委托权，特此委托。</w:t>
      </w:r>
    </w:p>
    <w:p w14:paraId="513428FD">
      <w:pPr>
        <w:spacing w:line="360" w:lineRule="auto"/>
        <w:ind w:firstLine="480"/>
        <w:contextualSpacing/>
        <w:rPr>
          <w:rFonts w:hint="eastAsia" w:ascii="宋体" w:hAnsi="宋体" w:cs="宋体"/>
          <w:sz w:val="21"/>
          <w:szCs w:val="21"/>
          <w:highlight w:val="none"/>
        </w:rPr>
      </w:pPr>
      <w:r>
        <w:rPr>
          <w:rFonts w:hint="eastAsia" w:ascii="宋体" w:hAnsi="宋体" w:cs="宋体"/>
          <w:sz w:val="21"/>
          <w:szCs w:val="21"/>
          <w:highlight w:val="none"/>
        </w:rPr>
        <w:t>附：法定代表人身份证及委托代理人有效身份证正反面</w:t>
      </w:r>
      <w:r>
        <w:rPr>
          <w:rFonts w:hint="eastAsia" w:ascii="宋体" w:hAnsi="宋体" w:cs="宋体"/>
          <w:sz w:val="21"/>
          <w:szCs w:val="21"/>
          <w:highlight w:val="none"/>
          <w:lang w:val="en-US" w:eastAsia="zh-CN"/>
        </w:rPr>
        <w:t>扫描件</w:t>
      </w:r>
    </w:p>
    <w:p w14:paraId="5915629A">
      <w:pPr>
        <w:spacing w:line="360" w:lineRule="auto"/>
        <w:contextualSpacing/>
        <w:rPr>
          <w:rFonts w:hint="eastAsia" w:ascii="宋体" w:hAnsi="宋体" w:cs="宋体"/>
          <w:sz w:val="21"/>
          <w:szCs w:val="21"/>
          <w:highlight w:val="none"/>
        </w:rPr>
      </w:pPr>
    </w:p>
    <w:p w14:paraId="2474A5FC">
      <w:pPr>
        <w:spacing w:line="360" w:lineRule="auto"/>
        <w:contextualSpacing/>
        <w:rPr>
          <w:rFonts w:hint="eastAsia" w:ascii="宋体" w:hAnsi="宋体" w:cs="宋体"/>
          <w:sz w:val="21"/>
          <w:szCs w:val="21"/>
          <w:highlight w:val="none"/>
          <w:u w:val="single"/>
        </w:rPr>
      </w:pPr>
      <w:r>
        <w:rPr>
          <w:rFonts w:hint="eastAsia" w:ascii="宋体" w:hAnsi="宋体" w:cs="宋体"/>
          <w:sz w:val="21"/>
          <w:szCs w:val="21"/>
          <w:highlight w:val="none"/>
        </w:rPr>
        <w:t>委托代理人（签字（或个人CA签章））：</w:t>
      </w:r>
      <w:r>
        <w:rPr>
          <w:rFonts w:hint="eastAsia" w:ascii="宋体" w:hAnsi="宋体" w:cs="宋体"/>
          <w:sz w:val="21"/>
          <w:szCs w:val="21"/>
          <w:highlight w:val="none"/>
          <w:u w:val="single"/>
        </w:rPr>
        <w:t xml:space="preserve">        </w:t>
      </w:r>
      <w:r>
        <w:rPr>
          <w:rFonts w:hint="eastAsia" w:ascii="宋体" w:hAnsi="宋体" w:cs="宋体"/>
          <w:sz w:val="21"/>
          <w:szCs w:val="21"/>
          <w:highlight w:val="none"/>
        </w:rPr>
        <w:t>法定代表人（签字（或个人CA签章））：</w:t>
      </w:r>
      <w:r>
        <w:rPr>
          <w:rFonts w:hint="eastAsia" w:ascii="宋体" w:hAnsi="宋体" w:cs="宋体"/>
          <w:sz w:val="21"/>
          <w:szCs w:val="21"/>
          <w:highlight w:val="none"/>
          <w:u w:val="single"/>
        </w:rPr>
        <w:t xml:space="preserve">              </w:t>
      </w:r>
    </w:p>
    <w:p w14:paraId="2A106793">
      <w:pPr>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委托代理人身份证号码：</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w:t>
      </w:r>
    </w:p>
    <w:p w14:paraId="5D481B07">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5BE0628">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09BAE835">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76E0DF21">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6AEC1280">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w:t>
      </w:r>
      <w:bookmarkStart w:id="156" w:name="_Hlk65851555"/>
      <w:bookmarkStart w:id="157" w:name="_Hlk65851620"/>
      <w:r>
        <w:rPr>
          <w:rFonts w:hint="eastAsia" w:ascii="宋体" w:hAnsi="宋体" w:eastAsia="宋体" w:cs="宋体"/>
          <w:sz w:val="21"/>
          <w:szCs w:val="21"/>
          <w:highlight w:val="none"/>
        </w:rPr>
        <w:t>法定代表人必须在授权委托书上签字（或个人CA签章），</w:t>
      </w:r>
      <w:bookmarkEnd w:id="156"/>
      <w:r>
        <w:rPr>
          <w:rFonts w:hint="eastAsia" w:ascii="宋体" w:hAnsi="宋体" w:eastAsia="宋体" w:cs="宋体"/>
          <w:sz w:val="21"/>
          <w:szCs w:val="21"/>
          <w:highlight w:val="none"/>
        </w:rPr>
        <w:t>委托代理人必须在授权委托书上签字（或个人CA签章），</w:t>
      </w:r>
      <w:r>
        <w:rPr>
          <w:rFonts w:hint="eastAsia" w:ascii="宋体" w:hAnsi="宋体" w:eastAsia="宋体" w:cs="宋体"/>
          <w:b/>
          <w:bCs/>
          <w:sz w:val="21"/>
          <w:szCs w:val="21"/>
          <w:highlight w:val="none"/>
        </w:rPr>
        <w:t>否则按无效投标处理</w:t>
      </w:r>
      <w:r>
        <w:rPr>
          <w:rFonts w:hint="eastAsia" w:ascii="宋体" w:hAnsi="宋体" w:eastAsia="宋体" w:cs="宋体"/>
          <w:sz w:val="21"/>
          <w:szCs w:val="21"/>
          <w:highlight w:val="none"/>
        </w:rPr>
        <w:t>；</w:t>
      </w:r>
      <w:bookmarkEnd w:id="157"/>
    </w:p>
    <w:p w14:paraId="7D8E9961">
      <w:pPr>
        <w:spacing w:line="360" w:lineRule="auto"/>
        <w:ind w:firstLine="420" w:firstLineChars="20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2.法人、其他组织投标时“我方”是指“我单位”，自然人投标时“我方”是指“本人”。</w:t>
      </w:r>
    </w:p>
    <w:p w14:paraId="629F1932">
      <w:pPr>
        <w:snapToGrid w:val="0"/>
        <w:spacing w:before="120" w:beforeLines="50" w:after="50"/>
        <w:ind w:firstLine="566" w:firstLineChars="236"/>
        <w:jc w:val="center"/>
        <w:rPr>
          <w:rFonts w:ascii="宋体" w:hAnsi="宋体" w:cs="宋体"/>
          <w:sz w:val="44"/>
          <w:szCs w:val="44"/>
          <w:highlight w:val="none"/>
        </w:rPr>
      </w:pPr>
      <w:r>
        <w:rPr>
          <w:rFonts w:hint="eastAsia" w:ascii="宋体" w:hAnsi="宋体" w:cs="宋体"/>
          <w:sz w:val="24"/>
          <w:highlight w:val="none"/>
        </w:rPr>
        <w:br w:type="page"/>
      </w:r>
      <w:r>
        <w:rPr>
          <w:rFonts w:hint="eastAsia" w:ascii="宋体" w:hAnsi="宋体" w:cs="宋体"/>
          <w:sz w:val="44"/>
          <w:szCs w:val="44"/>
          <w:highlight w:val="none"/>
        </w:rPr>
        <w:t>授权委托书</w:t>
      </w:r>
    </w:p>
    <w:p w14:paraId="0C966FDB">
      <w:pPr>
        <w:snapToGrid w:val="0"/>
        <w:spacing w:before="120" w:beforeLines="50" w:after="50"/>
        <w:ind w:firstLine="755" w:firstLineChars="236"/>
        <w:jc w:val="center"/>
        <w:rPr>
          <w:rFonts w:ascii="宋体" w:hAnsi="宋体" w:cs="宋体"/>
          <w:sz w:val="32"/>
          <w:szCs w:val="32"/>
          <w:highlight w:val="none"/>
        </w:rPr>
      </w:pPr>
      <w:r>
        <w:rPr>
          <w:rFonts w:hint="eastAsia" w:ascii="宋体" w:hAnsi="宋体" w:cs="宋体"/>
          <w:sz w:val="32"/>
          <w:szCs w:val="32"/>
          <w:highlight w:val="none"/>
        </w:rPr>
        <w:t>（联合体投标格式）</w:t>
      </w:r>
    </w:p>
    <w:p w14:paraId="024DCC20">
      <w:pPr>
        <w:snapToGrid w:val="0"/>
        <w:spacing w:before="120" w:beforeLines="50" w:after="50"/>
        <w:ind w:firstLine="755" w:firstLineChars="236"/>
        <w:jc w:val="center"/>
        <w:rPr>
          <w:rFonts w:ascii="宋体" w:hAnsi="宋体" w:cs="宋体"/>
          <w:sz w:val="24"/>
          <w:highlight w:val="none"/>
        </w:rPr>
      </w:pPr>
      <w:r>
        <w:rPr>
          <w:rFonts w:hint="eastAsia" w:ascii="宋体" w:hAnsi="宋体" w:cs="宋体"/>
          <w:sz w:val="32"/>
          <w:szCs w:val="32"/>
          <w:highlight w:val="none"/>
        </w:rPr>
        <w:t>（如有委托时）</w:t>
      </w:r>
    </w:p>
    <w:p w14:paraId="7D9C9780">
      <w:pPr>
        <w:spacing w:line="360" w:lineRule="auto"/>
        <w:contextualSpacing/>
        <w:jc w:val="left"/>
        <w:rPr>
          <w:rFonts w:hint="eastAsia" w:ascii="宋体" w:hAnsi="宋体" w:cs="宋体"/>
          <w:sz w:val="21"/>
          <w:szCs w:val="21"/>
          <w:highlight w:val="none"/>
        </w:rPr>
      </w:pPr>
      <w:r>
        <w:rPr>
          <w:rFonts w:hint="eastAsia" w:ascii="宋体" w:hAnsi="宋体" w:cs="宋体"/>
          <w:bCs/>
          <w:sz w:val="21"/>
          <w:szCs w:val="21"/>
          <w:highlight w:val="none"/>
        </w:rPr>
        <w:t>致：</w:t>
      </w:r>
      <w:r>
        <w:rPr>
          <w:rFonts w:hint="eastAsia" w:ascii="宋体" w:hAnsi="宋体" w:cs="宋体"/>
          <w:sz w:val="21"/>
          <w:szCs w:val="21"/>
          <w:highlight w:val="none"/>
          <w:u w:val="single"/>
        </w:rPr>
        <w:t>采购人名称</w:t>
      </w:r>
      <w:r>
        <w:rPr>
          <w:rFonts w:hint="eastAsia" w:ascii="宋体" w:hAnsi="宋体" w:cs="宋体"/>
          <w:sz w:val="21"/>
          <w:szCs w:val="21"/>
          <w:highlight w:val="none"/>
        </w:rPr>
        <w:t>：</w:t>
      </w:r>
    </w:p>
    <w:p w14:paraId="7B6D0C53">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 xml:space="preserve">根据 </w:t>
      </w:r>
      <w:r>
        <w:rPr>
          <w:rFonts w:hint="eastAsia" w:ascii="宋体" w:hAnsi="宋体" w:cs="宋体"/>
          <w:sz w:val="21"/>
          <w:szCs w:val="21"/>
          <w:highlight w:val="none"/>
          <w:u w:val="single"/>
        </w:rPr>
        <w:t xml:space="preserve"> （牵头人名称）</w:t>
      </w:r>
      <w:r>
        <w:rPr>
          <w:rFonts w:hint="eastAsia" w:ascii="宋体" w:hAnsi="宋体" w:cs="宋体"/>
          <w:sz w:val="21"/>
          <w:szCs w:val="21"/>
          <w:highlight w:val="none"/>
        </w:rPr>
        <w:t>与</w:t>
      </w:r>
      <w:r>
        <w:rPr>
          <w:rFonts w:hint="eastAsia" w:ascii="宋体" w:hAnsi="宋体" w:cs="宋体"/>
          <w:sz w:val="21"/>
          <w:szCs w:val="21"/>
          <w:highlight w:val="none"/>
          <w:u w:val="single"/>
        </w:rPr>
        <w:t>（联合体其他成员名称）</w:t>
      </w:r>
      <w:r>
        <w:rPr>
          <w:rFonts w:hint="eastAsia" w:ascii="宋体" w:hAnsi="宋体" w:cs="宋体"/>
          <w:sz w:val="21"/>
          <w:szCs w:val="21"/>
          <w:highlight w:val="none"/>
        </w:rPr>
        <w:t>签订的《联合体投标协议书》的内容，</w:t>
      </w:r>
      <w:r>
        <w:rPr>
          <w:rFonts w:hint="eastAsia" w:ascii="宋体" w:hAnsi="宋体" w:cs="宋体"/>
          <w:sz w:val="21"/>
          <w:szCs w:val="21"/>
          <w:highlight w:val="none"/>
          <w:u w:val="single"/>
        </w:rPr>
        <w:t>（牵头人名称）</w:t>
      </w:r>
      <w:r>
        <w:rPr>
          <w:rFonts w:hint="eastAsia" w:ascii="宋体" w:hAnsi="宋体" w:cs="宋体"/>
          <w:sz w:val="21"/>
          <w:szCs w:val="21"/>
          <w:highlight w:val="none"/>
        </w:rPr>
        <w:t>的法定代表人</w:t>
      </w:r>
      <w:r>
        <w:rPr>
          <w:rFonts w:hint="eastAsia" w:ascii="宋体" w:hAnsi="宋体" w:cs="宋体"/>
          <w:sz w:val="21"/>
          <w:szCs w:val="21"/>
          <w:highlight w:val="none"/>
          <w:u w:val="single"/>
        </w:rPr>
        <w:t>（姓名）</w:t>
      </w:r>
      <w:r>
        <w:rPr>
          <w:rFonts w:hint="eastAsia" w:ascii="宋体" w:hAnsi="宋体" w:cs="宋体"/>
          <w:sz w:val="21"/>
          <w:szCs w:val="21"/>
          <w:highlight w:val="none"/>
        </w:rPr>
        <w:t>现授权委托</w:t>
      </w:r>
      <w:r>
        <w:rPr>
          <w:rFonts w:hint="eastAsia" w:ascii="宋体" w:hAnsi="宋体" w:cs="宋体"/>
          <w:sz w:val="21"/>
          <w:szCs w:val="21"/>
          <w:highlight w:val="none"/>
          <w:u w:val="single"/>
        </w:rPr>
        <w:t xml:space="preserve">              （姓名）</w:t>
      </w:r>
      <w:r>
        <w:rPr>
          <w:rFonts w:hint="eastAsia" w:ascii="宋体" w:hAnsi="宋体" w:cs="宋体"/>
          <w:sz w:val="21"/>
          <w:szCs w:val="21"/>
          <w:highlight w:val="none"/>
        </w:rPr>
        <w:t>以我方的名义参加</w:t>
      </w:r>
      <w:r>
        <w:rPr>
          <w:rFonts w:hint="eastAsia" w:ascii="宋体" w:hAnsi="宋体" w:cs="宋体"/>
          <w:sz w:val="21"/>
          <w:szCs w:val="21"/>
          <w:highlight w:val="none"/>
          <w:u w:val="single"/>
        </w:rPr>
        <w:t xml:space="preserve">              </w:t>
      </w:r>
      <w:r>
        <w:rPr>
          <w:rFonts w:hint="eastAsia" w:ascii="宋体" w:hAnsi="宋体" w:cs="宋体"/>
          <w:sz w:val="21"/>
          <w:szCs w:val="21"/>
          <w:highlight w:val="none"/>
        </w:rPr>
        <w:t>项目的投标活动，并代表我方全权办理针对上述项目的所有采购程序和环节的具体事务和签署相关文件。</w:t>
      </w:r>
    </w:p>
    <w:p w14:paraId="217EC29E">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我方对委托代理人的签字（或个人CA签章）事项负全部责任。</w:t>
      </w:r>
    </w:p>
    <w:p w14:paraId="16FCE19F">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本授权书自签署之日起生效，在撤销授权的书面通知以前，本授权书一直有效。委托代理人在授权书有效期内签署的所有文件不因授权的撤销而失效。</w:t>
      </w:r>
    </w:p>
    <w:p w14:paraId="7E684967">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委托代理人无转委托权，特此委托。</w:t>
      </w:r>
    </w:p>
    <w:p w14:paraId="01D500EA">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附：牵头人法定代表人身份证及委托代理人有效身份证正反面</w:t>
      </w:r>
      <w:r>
        <w:rPr>
          <w:rFonts w:hint="eastAsia" w:ascii="宋体" w:hAnsi="宋体" w:cs="宋体"/>
          <w:sz w:val="21"/>
          <w:szCs w:val="21"/>
          <w:highlight w:val="none"/>
          <w:lang w:val="en-US" w:eastAsia="zh-CN"/>
        </w:rPr>
        <w:t>扫描件</w:t>
      </w:r>
    </w:p>
    <w:p w14:paraId="6390B44C">
      <w:pPr>
        <w:spacing w:line="360" w:lineRule="auto"/>
        <w:ind w:firstLine="495" w:firstLineChars="236"/>
        <w:contextualSpacing/>
        <w:rPr>
          <w:rFonts w:hint="eastAsia" w:ascii="宋体" w:hAnsi="宋体" w:cs="宋体"/>
          <w:sz w:val="21"/>
          <w:szCs w:val="21"/>
          <w:highlight w:val="none"/>
        </w:rPr>
      </w:pPr>
    </w:p>
    <w:p w14:paraId="4161B6A8">
      <w:pPr>
        <w:spacing w:line="360" w:lineRule="auto"/>
        <w:ind w:firstLine="495" w:firstLineChars="236"/>
        <w:contextualSpacing/>
        <w:rPr>
          <w:rFonts w:hint="eastAsia" w:ascii="宋体" w:hAnsi="宋体" w:cs="宋体"/>
          <w:sz w:val="21"/>
          <w:szCs w:val="21"/>
          <w:highlight w:val="none"/>
          <w:u w:val="single"/>
        </w:rPr>
      </w:pPr>
      <w:r>
        <w:rPr>
          <w:rFonts w:hint="eastAsia" w:ascii="宋体" w:hAnsi="宋体" w:cs="宋体"/>
          <w:sz w:val="21"/>
          <w:szCs w:val="21"/>
          <w:highlight w:val="none"/>
        </w:rPr>
        <w:t>牵头人法定代表人（签字（或个人CA签章））：</w:t>
      </w:r>
      <w:r>
        <w:rPr>
          <w:rFonts w:hint="eastAsia" w:ascii="宋体" w:hAnsi="宋体" w:cs="宋体"/>
          <w:sz w:val="21"/>
          <w:szCs w:val="21"/>
          <w:highlight w:val="none"/>
          <w:u w:val="single"/>
        </w:rPr>
        <w:t xml:space="preserve">         </w:t>
      </w:r>
    </w:p>
    <w:p w14:paraId="5CA91CDA">
      <w:pPr>
        <w:spacing w:line="360" w:lineRule="auto"/>
        <w:ind w:firstLine="495" w:firstLineChars="236"/>
        <w:contextualSpacing/>
        <w:rPr>
          <w:rFonts w:hint="eastAsia" w:ascii="宋体" w:hAnsi="宋体" w:cs="宋体"/>
          <w:sz w:val="21"/>
          <w:szCs w:val="21"/>
          <w:highlight w:val="none"/>
          <w:u w:val="single"/>
        </w:rPr>
      </w:pPr>
      <w:r>
        <w:rPr>
          <w:rFonts w:hint="eastAsia" w:ascii="宋体" w:hAnsi="宋体" w:cs="宋体"/>
          <w:sz w:val="21"/>
          <w:szCs w:val="21"/>
          <w:highlight w:val="none"/>
        </w:rPr>
        <w:t>牵头人（公章）：</w:t>
      </w:r>
      <w:r>
        <w:rPr>
          <w:rFonts w:hint="eastAsia" w:ascii="宋体" w:hAnsi="宋体" w:cs="宋体"/>
          <w:sz w:val="21"/>
          <w:szCs w:val="21"/>
          <w:highlight w:val="none"/>
          <w:u w:val="single"/>
        </w:rPr>
        <w:t xml:space="preserve">         </w:t>
      </w:r>
    </w:p>
    <w:p w14:paraId="3CCDE0AA">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w:t>
      </w:r>
    </w:p>
    <w:p w14:paraId="4130A643">
      <w:pPr>
        <w:spacing w:line="360" w:lineRule="auto"/>
        <w:ind w:firstLine="495" w:firstLineChars="236"/>
        <w:contextualSpacing/>
        <w:rPr>
          <w:rFonts w:hint="eastAsia" w:ascii="宋体" w:hAnsi="宋体" w:cs="宋体"/>
          <w:sz w:val="21"/>
          <w:szCs w:val="21"/>
          <w:highlight w:val="none"/>
          <w:u w:val="single"/>
        </w:rPr>
      </w:pPr>
      <w:r>
        <w:rPr>
          <w:rFonts w:hint="eastAsia" w:ascii="宋体" w:hAnsi="宋体" w:cs="宋体"/>
          <w:sz w:val="21"/>
          <w:szCs w:val="21"/>
          <w:highlight w:val="none"/>
        </w:rPr>
        <w:t>被授权人（签字）：</w:t>
      </w:r>
      <w:r>
        <w:rPr>
          <w:rFonts w:hint="eastAsia" w:ascii="宋体" w:hAnsi="宋体" w:cs="宋体"/>
          <w:sz w:val="21"/>
          <w:szCs w:val="21"/>
          <w:highlight w:val="none"/>
          <w:u w:val="single"/>
        </w:rPr>
        <w:t xml:space="preserve">              </w:t>
      </w:r>
    </w:p>
    <w:p w14:paraId="02671D47">
      <w:pPr>
        <w:spacing w:line="360" w:lineRule="auto"/>
        <w:ind w:firstLine="495" w:firstLineChars="236"/>
        <w:contextualSpacing/>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hint="eastAsia" w:ascii="宋体" w:hAnsi="宋体" w:cs="宋体"/>
          <w:sz w:val="21"/>
          <w:szCs w:val="21"/>
          <w:highlight w:val="none"/>
        </w:rPr>
        <w:t>日</w:t>
      </w:r>
    </w:p>
    <w:p w14:paraId="399C7F8B">
      <w:pPr>
        <w:spacing w:line="360" w:lineRule="auto"/>
        <w:rPr>
          <w:rFonts w:hint="eastAsia" w:ascii="宋体" w:hAnsi="宋体" w:cs="宋体"/>
          <w:szCs w:val="21"/>
          <w:highlight w:val="none"/>
        </w:rPr>
      </w:pPr>
    </w:p>
    <w:p w14:paraId="5D046A9B">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注：</w:t>
      </w:r>
    </w:p>
    <w:p w14:paraId="48DAE477">
      <w:pPr>
        <w:spacing w:line="360" w:lineRule="auto"/>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rPr>
        <w:t>1.法定代表人必须在授权委托书上签字（或个人CA签章），委托代理人必须在授权委托书上签字（或个人CA签章），</w:t>
      </w:r>
      <w:r>
        <w:rPr>
          <w:rFonts w:hint="eastAsia" w:ascii="宋体" w:hAnsi="宋体" w:eastAsia="宋体" w:cs="宋体"/>
          <w:b/>
          <w:bCs/>
          <w:sz w:val="21"/>
          <w:szCs w:val="21"/>
          <w:highlight w:val="none"/>
        </w:rPr>
        <w:t>否则按无效投标处理</w:t>
      </w:r>
      <w:r>
        <w:rPr>
          <w:rFonts w:hint="eastAsia" w:ascii="宋体" w:hAnsi="宋体" w:eastAsia="宋体" w:cs="宋体"/>
          <w:sz w:val="21"/>
          <w:szCs w:val="21"/>
          <w:highlight w:val="none"/>
        </w:rPr>
        <w:t>；</w:t>
      </w:r>
    </w:p>
    <w:p w14:paraId="107B8180">
      <w:pPr>
        <w:spacing w:line="360" w:lineRule="auto"/>
        <w:ind w:firstLine="420" w:firstLineChars="20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2.本授权委托书应由联合体牵头人的法定代表人按上述规定签字（或个人CA签章）。</w:t>
      </w:r>
    </w:p>
    <w:p w14:paraId="6D23D4ED">
      <w:pPr>
        <w:spacing w:line="360" w:lineRule="auto"/>
        <w:ind w:firstLine="420" w:firstLineChars="20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3.法人、其他组织投标时“我方”是指“我单位”，自然人投标时“我方”是指“本人”。</w:t>
      </w:r>
    </w:p>
    <w:p w14:paraId="12AC889A">
      <w:pPr>
        <w:snapToGrid w:val="0"/>
        <w:spacing w:before="50" w:after="120" w:afterLines="50" w:line="360" w:lineRule="auto"/>
        <w:ind w:firstLine="420" w:firstLineChars="200"/>
        <w:jc w:val="left"/>
        <w:rPr>
          <w:rFonts w:hint="eastAsia" w:ascii="宋体" w:hAnsi="宋体" w:eastAsia="宋体" w:cs="宋体"/>
          <w:sz w:val="21"/>
          <w:szCs w:val="21"/>
          <w:highlight w:val="none"/>
        </w:rPr>
        <w:sectPr>
          <w:footerReference r:id="rId8" w:type="first"/>
          <w:headerReference r:id="rId5" w:type="default"/>
          <w:footerReference r:id="rId6" w:type="default"/>
          <w:footerReference r:id="rId7" w:type="even"/>
          <w:pgSz w:w="11906" w:h="16838"/>
          <w:pgMar w:top="1417" w:right="1417" w:bottom="1417" w:left="1417" w:header="720" w:footer="720" w:gutter="0"/>
          <w:cols w:space="0" w:num="1"/>
          <w:rtlGutter w:val="0"/>
          <w:docGrid w:type="lines" w:linePitch="333" w:charSpace="0"/>
        </w:sectPr>
      </w:pPr>
    </w:p>
    <w:p w14:paraId="4B7BF1C4">
      <w:pPr>
        <w:rPr>
          <w:rFonts w:ascii="宋体" w:hAnsi="宋体" w:cs="宋体"/>
          <w:b/>
          <w:sz w:val="24"/>
          <w:szCs w:val="20"/>
          <w:highlight w:val="none"/>
        </w:rPr>
      </w:pPr>
      <w:r>
        <w:rPr>
          <w:rFonts w:hint="eastAsia" w:ascii="宋体" w:hAnsi="宋体" w:cs="宋体"/>
          <w:b/>
          <w:sz w:val="24"/>
          <w:highlight w:val="none"/>
        </w:rPr>
        <w:t>6.商务要求偏离表</w:t>
      </w:r>
    </w:p>
    <w:p w14:paraId="5F806C69">
      <w:pPr>
        <w:jc w:val="center"/>
        <w:rPr>
          <w:rFonts w:ascii="宋体" w:hAnsi="宋体" w:cs="宋体"/>
          <w:b/>
          <w:sz w:val="32"/>
          <w:szCs w:val="32"/>
          <w:highlight w:val="none"/>
        </w:rPr>
      </w:pPr>
      <w:r>
        <w:rPr>
          <w:rFonts w:hint="eastAsia" w:ascii="宋体" w:hAnsi="宋体" w:cs="宋体"/>
          <w:b/>
          <w:sz w:val="32"/>
          <w:szCs w:val="32"/>
          <w:highlight w:val="none"/>
        </w:rPr>
        <w:t>商务要求偏离表</w:t>
      </w:r>
    </w:p>
    <w:p w14:paraId="120724F0">
      <w:pPr>
        <w:snapToGrid w:val="0"/>
        <w:spacing w:before="50" w:after="50" w:line="360" w:lineRule="auto"/>
        <w:rPr>
          <w:rFonts w:hint="eastAsia"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3720C808">
      <w:pPr>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r>
        <w:rPr>
          <w:rFonts w:hint="eastAsia" w:ascii="宋体" w:hAnsi="宋体" w:cs="宋体"/>
          <w:kern w:val="0"/>
          <w:sz w:val="21"/>
          <w:szCs w:val="21"/>
          <w:highlight w:val="none"/>
          <w:u w:val="single"/>
        </w:rPr>
        <w:t xml:space="preserve">                     </w:t>
      </w:r>
      <w:r>
        <w:rPr>
          <w:rFonts w:hint="eastAsia" w:ascii="宋体" w:hAnsi="宋体" w:cs="宋体"/>
          <w:kern w:val="0"/>
          <w:sz w:val="21"/>
          <w:szCs w:val="21"/>
          <w:highlight w:val="none"/>
        </w:rPr>
        <w:t xml:space="preserve">                      </w:t>
      </w:r>
    </w:p>
    <w:p w14:paraId="36D25B6F">
      <w:pPr>
        <w:snapToGrid w:val="0"/>
        <w:spacing w:before="50"/>
        <w:jc w:val="left"/>
        <w:rPr>
          <w:rFonts w:hint="eastAsia" w:ascii="宋体" w:hAnsi="宋体" w:cs="宋体"/>
          <w:sz w:val="21"/>
          <w:szCs w:val="21"/>
          <w:highlight w:val="none"/>
          <w:u w:val="single"/>
        </w:rPr>
      </w:pPr>
    </w:p>
    <w:tbl>
      <w:tblPr>
        <w:tblStyle w:val="48"/>
        <w:tblW w:w="9278" w:type="dxa"/>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21"/>
        <w:gridCol w:w="3582"/>
        <w:gridCol w:w="1890"/>
        <w:gridCol w:w="2185"/>
      </w:tblGrid>
      <w:tr w14:paraId="3E8E99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621" w:type="dxa"/>
            <w:tcBorders>
              <w:top w:val="single" w:color="auto" w:sz="4" w:space="0"/>
              <w:left w:val="single" w:color="auto" w:sz="4" w:space="0"/>
              <w:bottom w:val="single" w:color="auto" w:sz="4" w:space="0"/>
              <w:right w:val="single" w:color="auto" w:sz="4" w:space="0"/>
            </w:tcBorders>
          </w:tcPr>
          <w:p w14:paraId="3F0A90EF">
            <w:pPr>
              <w:snapToGrid w:val="0"/>
              <w:spacing w:before="120" w:beforeLines="50"/>
              <w:jc w:val="center"/>
              <w:rPr>
                <w:rFonts w:hint="eastAsia" w:ascii="宋体" w:hAnsi="宋体" w:cs="宋体"/>
                <w:sz w:val="21"/>
                <w:szCs w:val="21"/>
                <w:highlight w:val="none"/>
              </w:rPr>
            </w:pPr>
            <w:r>
              <w:rPr>
                <w:rFonts w:hint="eastAsia" w:ascii="宋体" w:hAnsi="宋体" w:cs="宋体"/>
                <w:sz w:val="21"/>
                <w:szCs w:val="21"/>
                <w:highlight w:val="none"/>
              </w:rPr>
              <w:t>项目</w:t>
            </w:r>
          </w:p>
        </w:tc>
        <w:tc>
          <w:tcPr>
            <w:tcW w:w="3582" w:type="dxa"/>
            <w:tcBorders>
              <w:top w:val="single" w:color="auto" w:sz="4" w:space="0"/>
              <w:left w:val="single" w:color="auto" w:sz="4" w:space="0"/>
              <w:bottom w:val="single" w:color="auto" w:sz="4" w:space="0"/>
              <w:right w:val="single" w:color="auto" w:sz="4" w:space="0"/>
            </w:tcBorders>
          </w:tcPr>
          <w:p w14:paraId="1366F1F9">
            <w:pPr>
              <w:snapToGrid w:val="0"/>
              <w:spacing w:before="120" w:beforeLines="50"/>
              <w:jc w:val="center"/>
              <w:rPr>
                <w:rFonts w:hint="eastAsia" w:ascii="宋体" w:hAnsi="宋体" w:cs="宋体"/>
                <w:sz w:val="21"/>
                <w:szCs w:val="21"/>
                <w:highlight w:val="none"/>
              </w:rPr>
            </w:pPr>
            <w:r>
              <w:rPr>
                <w:rFonts w:hint="eastAsia" w:ascii="宋体" w:hAnsi="宋体" w:cs="宋体"/>
                <w:sz w:val="21"/>
                <w:szCs w:val="21"/>
                <w:highlight w:val="none"/>
              </w:rPr>
              <w:t>招标文件商务要求</w:t>
            </w:r>
          </w:p>
        </w:tc>
        <w:tc>
          <w:tcPr>
            <w:tcW w:w="1890" w:type="dxa"/>
            <w:tcBorders>
              <w:top w:val="single" w:color="auto" w:sz="4" w:space="0"/>
              <w:left w:val="single" w:color="auto" w:sz="4" w:space="0"/>
              <w:bottom w:val="single" w:color="auto" w:sz="4" w:space="0"/>
              <w:right w:val="single" w:color="auto" w:sz="4" w:space="0"/>
            </w:tcBorders>
          </w:tcPr>
          <w:p w14:paraId="6F5DAC6E">
            <w:pPr>
              <w:snapToGrid w:val="0"/>
              <w:spacing w:before="120" w:beforeLines="50"/>
              <w:jc w:val="center"/>
              <w:rPr>
                <w:rFonts w:hint="eastAsia" w:ascii="宋体" w:hAnsi="宋体" w:cs="宋体"/>
                <w:sz w:val="21"/>
                <w:szCs w:val="21"/>
                <w:highlight w:val="none"/>
              </w:rPr>
            </w:pPr>
            <w:r>
              <w:rPr>
                <w:rFonts w:hint="eastAsia" w:ascii="宋体" w:hAnsi="宋体" w:cs="宋体"/>
                <w:sz w:val="21"/>
                <w:szCs w:val="21"/>
                <w:highlight w:val="none"/>
              </w:rPr>
              <w:t>投标人的承诺</w:t>
            </w:r>
          </w:p>
        </w:tc>
        <w:tc>
          <w:tcPr>
            <w:tcW w:w="2185" w:type="dxa"/>
            <w:tcBorders>
              <w:top w:val="single" w:color="auto" w:sz="4" w:space="0"/>
              <w:left w:val="single" w:color="auto" w:sz="4" w:space="0"/>
              <w:bottom w:val="single" w:color="auto" w:sz="4" w:space="0"/>
              <w:right w:val="single" w:color="auto" w:sz="4" w:space="0"/>
            </w:tcBorders>
          </w:tcPr>
          <w:p w14:paraId="77ACE308">
            <w:pPr>
              <w:snapToGrid w:val="0"/>
              <w:spacing w:before="120" w:beforeLines="50"/>
              <w:jc w:val="center"/>
              <w:rPr>
                <w:rFonts w:hint="eastAsia" w:ascii="宋体" w:hAnsi="宋体" w:cs="宋体"/>
                <w:sz w:val="21"/>
                <w:szCs w:val="21"/>
                <w:highlight w:val="none"/>
              </w:rPr>
            </w:pPr>
            <w:r>
              <w:rPr>
                <w:rFonts w:hint="eastAsia" w:ascii="宋体" w:hAnsi="宋体" w:cs="宋体"/>
                <w:sz w:val="21"/>
                <w:szCs w:val="21"/>
                <w:highlight w:val="none"/>
              </w:rPr>
              <w:t>偏离说明</w:t>
            </w:r>
          </w:p>
        </w:tc>
      </w:tr>
      <w:tr w14:paraId="0556D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621" w:type="dxa"/>
            <w:tcBorders>
              <w:top w:val="single" w:color="auto" w:sz="4" w:space="0"/>
              <w:left w:val="single" w:color="auto" w:sz="4" w:space="0"/>
              <w:bottom w:val="single" w:color="auto" w:sz="4" w:space="0"/>
              <w:right w:val="single" w:color="auto" w:sz="4" w:space="0"/>
            </w:tcBorders>
            <w:vAlign w:val="center"/>
          </w:tcPr>
          <w:p w14:paraId="7FA2A2A0">
            <w:pPr>
              <w:jc w:val="center"/>
              <w:rPr>
                <w:rFonts w:hint="eastAsia" w:ascii="宋体" w:hAnsi="宋体" w:cs="宋体"/>
                <w:sz w:val="21"/>
                <w:szCs w:val="21"/>
                <w:highlight w:val="none"/>
              </w:rPr>
            </w:pPr>
          </w:p>
        </w:tc>
        <w:tc>
          <w:tcPr>
            <w:tcW w:w="3582" w:type="dxa"/>
            <w:tcBorders>
              <w:top w:val="single" w:color="auto" w:sz="4" w:space="0"/>
              <w:left w:val="single" w:color="auto" w:sz="4" w:space="0"/>
              <w:bottom w:val="single" w:color="auto" w:sz="4" w:space="0"/>
              <w:right w:val="single" w:color="auto" w:sz="4" w:space="0"/>
            </w:tcBorders>
          </w:tcPr>
          <w:p w14:paraId="1D45D501">
            <w:pPr>
              <w:snapToGrid w:val="0"/>
              <w:spacing w:before="120" w:beforeLines="50"/>
              <w:jc w:val="center"/>
              <w:rPr>
                <w:rFonts w:hint="eastAsia" w:ascii="宋体" w:hAnsi="宋体" w:cs="宋体"/>
                <w:sz w:val="21"/>
                <w:szCs w:val="21"/>
                <w:highlight w:val="none"/>
              </w:rPr>
            </w:pPr>
          </w:p>
        </w:tc>
        <w:tc>
          <w:tcPr>
            <w:tcW w:w="1890" w:type="dxa"/>
            <w:tcBorders>
              <w:top w:val="single" w:color="auto" w:sz="4" w:space="0"/>
              <w:left w:val="single" w:color="auto" w:sz="4" w:space="0"/>
              <w:bottom w:val="single" w:color="auto" w:sz="4" w:space="0"/>
              <w:right w:val="single" w:color="auto" w:sz="4" w:space="0"/>
            </w:tcBorders>
          </w:tcPr>
          <w:p w14:paraId="1B094B07">
            <w:pPr>
              <w:snapToGrid w:val="0"/>
              <w:spacing w:before="120" w:beforeLines="50"/>
              <w:jc w:val="center"/>
              <w:rPr>
                <w:rFonts w:hint="eastAsia" w:ascii="宋体" w:hAnsi="宋体" w:cs="宋体"/>
                <w:sz w:val="21"/>
                <w:szCs w:val="21"/>
                <w:highlight w:val="none"/>
              </w:rPr>
            </w:pPr>
          </w:p>
        </w:tc>
        <w:tc>
          <w:tcPr>
            <w:tcW w:w="2185" w:type="dxa"/>
            <w:tcBorders>
              <w:top w:val="single" w:color="auto" w:sz="4" w:space="0"/>
              <w:left w:val="single" w:color="auto" w:sz="4" w:space="0"/>
              <w:bottom w:val="single" w:color="auto" w:sz="4" w:space="0"/>
              <w:right w:val="single" w:color="auto" w:sz="4" w:space="0"/>
            </w:tcBorders>
          </w:tcPr>
          <w:p w14:paraId="4E8FFFD8">
            <w:pPr>
              <w:snapToGrid w:val="0"/>
              <w:spacing w:before="120" w:beforeLines="50"/>
              <w:jc w:val="center"/>
              <w:rPr>
                <w:rFonts w:hint="eastAsia" w:ascii="宋体" w:hAnsi="宋体" w:cs="宋体"/>
                <w:sz w:val="21"/>
                <w:szCs w:val="21"/>
                <w:highlight w:val="none"/>
              </w:rPr>
            </w:pPr>
          </w:p>
        </w:tc>
      </w:tr>
      <w:tr w14:paraId="08DD8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621" w:type="dxa"/>
            <w:tcBorders>
              <w:top w:val="single" w:color="auto" w:sz="4" w:space="0"/>
              <w:left w:val="single" w:color="auto" w:sz="4" w:space="0"/>
              <w:bottom w:val="single" w:color="auto" w:sz="4" w:space="0"/>
              <w:right w:val="single" w:color="auto" w:sz="4" w:space="0"/>
            </w:tcBorders>
            <w:vAlign w:val="center"/>
          </w:tcPr>
          <w:p w14:paraId="6EEC0598">
            <w:pPr>
              <w:jc w:val="center"/>
              <w:rPr>
                <w:rFonts w:hint="eastAsia" w:ascii="宋体" w:hAnsi="宋体" w:cs="宋体"/>
                <w:sz w:val="21"/>
                <w:szCs w:val="21"/>
                <w:highlight w:val="none"/>
              </w:rPr>
            </w:pPr>
          </w:p>
        </w:tc>
        <w:tc>
          <w:tcPr>
            <w:tcW w:w="3582" w:type="dxa"/>
            <w:tcBorders>
              <w:top w:val="single" w:color="auto" w:sz="4" w:space="0"/>
              <w:left w:val="single" w:color="auto" w:sz="4" w:space="0"/>
              <w:bottom w:val="single" w:color="auto" w:sz="4" w:space="0"/>
              <w:right w:val="single" w:color="auto" w:sz="4" w:space="0"/>
            </w:tcBorders>
          </w:tcPr>
          <w:p w14:paraId="6F9F90ED">
            <w:pPr>
              <w:snapToGrid w:val="0"/>
              <w:spacing w:before="120" w:beforeLines="50"/>
              <w:rPr>
                <w:rFonts w:hint="eastAsia" w:ascii="宋体" w:hAnsi="宋体" w:cs="宋体"/>
                <w:sz w:val="21"/>
                <w:szCs w:val="21"/>
                <w:highlight w:val="none"/>
                <w:u w:val="single"/>
              </w:rPr>
            </w:pPr>
          </w:p>
        </w:tc>
        <w:tc>
          <w:tcPr>
            <w:tcW w:w="1890" w:type="dxa"/>
            <w:tcBorders>
              <w:top w:val="single" w:color="auto" w:sz="4" w:space="0"/>
              <w:left w:val="single" w:color="auto" w:sz="4" w:space="0"/>
              <w:bottom w:val="single" w:color="auto" w:sz="4" w:space="0"/>
              <w:right w:val="single" w:color="auto" w:sz="4" w:space="0"/>
            </w:tcBorders>
          </w:tcPr>
          <w:p w14:paraId="5787C5EA">
            <w:pPr>
              <w:snapToGrid w:val="0"/>
              <w:spacing w:before="120" w:beforeLines="50"/>
              <w:ind w:left="43"/>
              <w:jc w:val="center"/>
              <w:rPr>
                <w:rFonts w:hint="eastAsia" w:ascii="宋体" w:hAnsi="宋体" w:cs="宋体"/>
                <w:sz w:val="21"/>
                <w:szCs w:val="21"/>
                <w:highlight w:val="none"/>
              </w:rPr>
            </w:pPr>
          </w:p>
        </w:tc>
        <w:tc>
          <w:tcPr>
            <w:tcW w:w="2185" w:type="dxa"/>
            <w:tcBorders>
              <w:top w:val="single" w:color="auto" w:sz="4" w:space="0"/>
              <w:left w:val="single" w:color="auto" w:sz="4" w:space="0"/>
              <w:bottom w:val="single" w:color="auto" w:sz="4" w:space="0"/>
              <w:right w:val="single" w:color="auto" w:sz="4" w:space="0"/>
            </w:tcBorders>
          </w:tcPr>
          <w:p w14:paraId="0EC0788E">
            <w:pPr>
              <w:snapToGrid w:val="0"/>
              <w:spacing w:before="120" w:beforeLines="50"/>
              <w:ind w:left="43"/>
              <w:jc w:val="center"/>
              <w:rPr>
                <w:rFonts w:hint="eastAsia" w:ascii="宋体" w:hAnsi="宋体" w:cs="宋体"/>
                <w:sz w:val="21"/>
                <w:szCs w:val="21"/>
                <w:highlight w:val="none"/>
              </w:rPr>
            </w:pPr>
          </w:p>
        </w:tc>
      </w:tr>
      <w:tr w14:paraId="1D6B69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1621" w:type="dxa"/>
            <w:tcBorders>
              <w:top w:val="single" w:color="auto" w:sz="4" w:space="0"/>
              <w:left w:val="single" w:color="auto" w:sz="4" w:space="0"/>
              <w:bottom w:val="single" w:color="auto" w:sz="4" w:space="0"/>
              <w:right w:val="single" w:color="auto" w:sz="4" w:space="0"/>
            </w:tcBorders>
          </w:tcPr>
          <w:p w14:paraId="3631CC11">
            <w:pPr>
              <w:snapToGrid w:val="0"/>
              <w:spacing w:before="120" w:beforeLines="50"/>
              <w:jc w:val="center"/>
              <w:rPr>
                <w:rFonts w:hint="eastAsia" w:ascii="宋体" w:hAnsi="宋体" w:cs="宋体"/>
                <w:sz w:val="21"/>
                <w:szCs w:val="21"/>
                <w:highlight w:val="none"/>
              </w:rPr>
            </w:pPr>
            <w:r>
              <w:rPr>
                <w:rFonts w:hint="eastAsia" w:ascii="宋体" w:hAnsi="宋体" w:cs="宋体"/>
                <w:sz w:val="21"/>
                <w:szCs w:val="21"/>
                <w:highlight w:val="none"/>
              </w:rPr>
              <w:t>…</w:t>
            </w:r>
          </w:p>
        </w:tc>
        <w:tc>
          <w:tcPr>
            <w:tcW w:w="3582" w:type="dxa"/>
            <w:tcBorders>
              <w:top w:val="single" w:color="auto" w:sz="4" w:space="0"/>
              <w:left w:val="single" w:color="auto" w:sz="4" w:space="0"/>
              <w:bottom w:val="single" w:color="auto" w:sz="4" w:space="0"/>
              <w:right w:val="single" w:color="auto" w:sz="4" w:space="0"/>
            </w:tcBorders>
          </w:tcPr>
          <w:p w14:paraId="2F6E65EB">
            <w:pPr>
              <w:snapToGrid w:val="0"/>
              <w:spacing w:before="120" w:beforeLines="50"/>
              <w:jc w:val="center"/>
              <w:rPr>
                <w:rFonts w:hint="eastAsia" w:ascii="宋体" w:hAnsi="宋体" w:cs="宋体"/>
                <w:sz w:val="21"/>
                <w:szCs w:val="21"/>
                <w:highlight w:val="none"/>
              </w:rPr>
            </w:pPr>
          </w:p>
        </w:tc>
        <w:tc>
          <w:tcPr>
            <w:tcW w:w="1890" w:type="dxa"/>
            <w:tcBorders>
              <w:top w:val="single" w:color="auto" w:sz="4" w:space="0"/>
              <w:left w:val="single" w:color="auto" w:sz="4" w:space="0"/>
              <w:bottom w:val="single" w:color="auto" w:sz="4" w:space="0"/>
              <w:right w:val="single" w:color="auto" w:sz="4" w:space="0"/>
            </w:tcBorders>
          </w:tcPr>
          <w:p w14:paraId="3948B59F">
            <w:pPr>
              <w:snapToGrid w:val="0"/>
              <w:spacing w:before="120" w:beforeLines="50"/>
              <w:jc w:val="center"/>
              <w:rPr>
                <w:rFonts w:hint="eastAsia" w:ascii="宋体" w:hAnsi="宋体" w:cs="宋体"/>
                <w:sz w:val="21"/>
                <w:szCs w:val="21"/>
                <w:highlight w:val="none"/>
              </w:rPr>
            </w:pPr>
          </w:p>
        </w:tc>
        <w:tc>
          <w:tcPr>
            <w:tcW w:w="2185" w:type="dxa"/>
            <w:tcBorders>
              <w:top w:val="single" w:color="auto" w:sz="4" w:space="0"/>
              <w:left w:val="single" w:color="auto" w:sz="4" w:space="0"/>
              <w:bottom w:val="single" w:color="auto" w:sz="4" w:space="0"/>
              <w:right w:val="single" w:color="auto" w:sz="4" w:space="0"/>
            </w:tcBorders>
          </w:tcPr>
          <w:p w14:paraId="356C7904">
            <w:pPr>
              <w:snapToGrid w:val="0"/>
              <w:spacing w:before="120" w:beforeLines="50"/>
              <w:jc w:val="center"/>
              <w:rPr>
                <w:rFonts w:hint="eastAsia" w:ascii="宋体" w:hAnsi="宋体" w:cs="宋体"/>
                <w:sz w:val="21"/>
                <w:szCs w:val="21"/>
                <w:highlight w:val="none"/>
              </w:rPr>
            </w:pPr>
          </w:p>
        </w:tc>
      </w:tr>
    </w:tbl>
    <w:p w14:paraId="2325FBBC">
      <w:pPr>
        <w:pStyle w:val="20"/>
        <w:rPr>
          <w:rFonts w:hint="eastAsia" w:ascii="宋体" w:hAnsi="宋体" w:eastAsia="宋体" w:cs="宋体"/>
          <w:sz w:val="21"/>
          <w:szCs w:val="21"/>
          <w:highlight w:val="none"/>
        </w:rPr>
      </w:pPr>
    </w:p>
    <w:p w14:paraId="3CC09497">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431140CB">
      <w:pPr>
        <w:pStyle w:val="10"/>
        <w:spacing w:line="520" w:lineRule="exact"/>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1.说明：应对照招标文件“第二章 采购需求”中的商务要求逐条作明确的投标响应，并作出偏离说明。</w:t>
      </w:r>
    </w:p>
    <w:p w14:paraId="07EF80B8">
      <w:pPr>
        <w:pStyle w:val="20"/>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2.投标人应根据自身的承诺，对照招标文件要求在“偏离说明”中注明“</w:t>
      </w:r>
      <w:r>
        <w:rPr>
          <w:rFonts w:hint="eastAsia" w:ascii="宋体" w:hAnsi="宋体" w:eastAsia="宋体" w:cs="宋体"/>
          <w:sz w:val="21"/>
          <w:szCs w:val="21"/>
          <w:highlight w:val="none"/>
        </w:rPr>
        <w:t>正偏离</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rPr>
        <w:t>负偏离</w:t>
      </w:r>
      <w:r>
        <w:rPr>
          <w:rFonts w:hint="eastAsia" w:ascii="宋体" w:hAnsi="宋体" w:eastAsia="宋体" w:cs="宋体"/>
          <w:b w:val="0"/>
          <w:bCs w:val="0"/>
          <w:sz w:val="21"/>
          <w:szCs w:val="21"/>
          <w:highlight w:val="none"/>
        </w:rPr>
        <w:t>”或者“</w:t>
      </w:r>
      <w:r>
        <w:rPr>
          <w:rFonts w:hint="eastAsia" w:ascii="宋体" w:hAnsi="宋体" w:eastAsia="宋体" w:cs="宋体"/>
          <w:sz w:val="21"/>
          <w:szCs w:val="21"/>
          <w:highlight w:val="none"/>
        </w:rPr>
        <w:t>无偏离</w:t>
      </w:r>
      <w:r>
        <w:rPr>
          <w:rFonts w:hint="eastAsia" w:ascii="宋体" w:hAnsi="宋体" w:eastAsia="宋体" w:cs="宋体"/>
          <w:b w:val="0"/>
          <w:bCs w:val="0"/>
          <w:sz w:val="21"/>
          <w:szCs w:val="21"/>
          <w:highlight w:val="none"/>
        </w:rPr>
        <w:t>”。既不属于“</w:t>
      </w:r>
      <w:r>
        <w:rPr>
          <w:rFonts w:hint="eastAsia" w:ascii="宋体" w:hAnsi="宋体" w:eastAsia="宋体" w:cs="宋体"/>
          <w:sz w:val="21"/>
          <w:szCs w:val="21"/>
          <w:highlight w:val="none"/>
        </w:rPr>
        <w:t>正偏离</w:t>
      </w:r>
      <w:r>
        <w:rPr>
          <w:rFonts w:hint="eastAsia" w:ascii="宋体" w:hAnsi="宋体" w:eastAsia="宋体" w:cs="宋体"/>
          <w:b w:val="0"/>
          <w:bCs w:val="0"/>
          <w:sz w:val="21"/>
          <w:szCs w:val="21"/>
          <w:highlight w:val="none"/>
        </w:rPr>
        <w:t>”也不属于“</w:t>
      </w:r>
      <w:r>
        <w:rPr>
          <w:rFonts w:hint="eastAsia" w:ascii="宋体" w:hAnsi="宋体" w:eastAsia="宋体" w:cs="宋体"/>
          <w:sz w:val="21"/>
          <w:szCs w:val="21"/>
          <w:highlight w:val="none"/>
        </w:rPr>
        <w:t>负偏离</w:t>
      </w:r>
      <w:r>
        <w:rPr>
          <w:rFonts w:hint="eastAsia" w:ascii="宋体" w:hAnsi="宋体" w:eastAsia="宋体" w:cs="宋体"/>
          <w:b w:val="0"/>
          <w:bCs w:val="0"/>
          <w:sz w:val="21"/>
          <w:szCs w:val="21"/>
          <w:highlight w:val="none"/>
        </w:rPr>
        <w:t>”即为“</w:t>
      </w:r>
      <w:r>
        <w:rPr>
          <w:rFonts w:hint="eastAsia" w:ascii="宋体" w:hAnsi="宋体" w:eastAsia="宋体" w:cs="宋体"/>
          <w:sz w:val="21"/>
          <w:szCs w:val="21"/>
          <w:highlight w:val="none"/>
        </w:rPr>
        <w:t>无偏离</w:t>
      </w:r>
      <w:r>
        <w:rPr>
          <w:rFonts w:hint="eastAsia" w:ascii="宋体" w:hAnsi="宋体" w:eastAsia="宋体" w:cs="宋体"/>
          <w:b w:val="0"/>
          <w:bCs w:val="0"/>
          <w:sz w:val="21"/>
          <w:szCs w:val="21"/>
          <w:highlight w:val="none"/>
        </w:rPr>
        <w:t>”。</w:t>
      </w:r>
    </w:p>
    <w:p w14:paraId="0A29C593">
      <w:pPr>
        <w:snapToGrid w:val="0"/>
        <w:spacing w:before="50" w:after="50"/>
        <w:rPr>
          <w:rFonts w:hint="eastAsia" w:ascii="宋体" w:hAnsi="宋体" w:cs="宋体"/>
          <w:sz w:val="21"/>
          <w:szCs w:val="21"/>
          <w:highlight w:val="none"/>
        </w:rPr>
      </w:pPr>
    </w:p>
    <w:p w14:paraId="1082A29B">
      <w:pPr>
        <w:snapToGrid w:val="0"/>
        <w:spacing w:before="120" w:beforeLines="50" w:line="360" w:lineRule="auto"/>
        <w:ind w:right="480"/>
        <w:jc w:val="right"/>
        <w:rPr>
          <w:rFonts w:hint="eastAsia" w:ascii="宋体" w:hAnsi="宋体" w:cs="宋体"/>
          <w:sz w:val="21"/>
          <w:szCs w:val="21"/>
          <w:highlight w:val="none"/>
        </w:rPr>
      </w:pPr>
    </w:p>
    <w:p w14:paraId="6DE9DC82">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19AE2D79">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005EE2A6">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064B5CEB">
      <w:pPr>
        <w:snapToGrid w:val="0"/>
        <w:spacing w:before="120" w:beforeLines="50"/>
        <w:ind w:firstLine="2310" w:firstLineChars="1100"/>
        <w:jc w:val="left"/>
        <w:rPr>
          <w:rFonts w:hint="eastAsia" w:ascii="宋体" w:hAnsi="宋体" w:cs="宋体"/>
          <w:sz w:val="21"/>
          <w:szCs w:val="21"/>
          <w:highlight w:val="none"/>
        </w:rPr>
      </w:pPr>
    </w:p>
    <w:p w14:paraId="1C34ABD4">
      <w:pPr>
        <w:snapToGrid w:val="0"/>
        <w:spacing w:before="120" w:beforeLines="50"/>
        <w:rPr>
          <w:rFonts w:hint="eastAsia" w:ascii="宋体" w:hAnsi="宋体" w:cs="宋体"/>
          <w:sz w:val="21"/>
          <w:szCs w:val="21"/>
          <w:highlight w:val="none"/>
        </w:rPr>
      </w:pPr>
    </w:p>
    <w:p w14:paraId="2BB093BF">
      <w:pPr>
        <w:snapToGrid w:val="0"/>
        <w:spacing w:before="120" w:beforeLines="50" w:after="50"/>
        <w:jc w:val="left"/>
        <w:rPr>
          <w:rFonts w:ascii="宋体" w:hAnsi="宋体" w:cs="宋体"/>
          <w:sz w:val="24"/>
          <w:szCs w:val="20"/>
          <w:highlight w:val="none"/>
        </w:rPr>
      </w:pPr>
    </w:p>
    <w:p w14:paraId="3020D4EA">
      <w:pPr>
        <w:snapToGrid w:val="0"/>
        <w:spacing w:before="120" w:beforeLines="50" w:after="50"/>
        <w:jc w:val="left"/>
        <w:rPr>
          <w:rFonts w:ascii="宋体" w:hAnsi="宋体" w:cs="宋体"/>
          <w:b/>
          <w:sz w:val="24"/>
          <w:highlight w:val="none"/>
        </w:rPr>
      </w:pPr>
      <w:r>
        <w:rPr>
          <w:rFonts w:hint="eastAsia" w:ascii="宋体" w:hAnsi="宋体" w:cs="宋体"/>
          <w:sz w:val="24"/>
          <w:szCs w:val="20"/>
          <w:highlight w:val="none"/>
        </w:rPr>
        <w:br w:type="page"/>
      </w:r>
      <w:r>
        <w:rPr>
          <w:rFonts w:hint="eastAsia" w:ascii="宋体" w:hAnsi="宋体" w:cs="宋体"/>
          <w:b/>
          <w:sz w:val="24"/>
          <w:highlight w:val="none"/>
        </w:rPr>
        <w:t>7.投标人业绩及证明材料</w:t>
      </w:r>
    </w:p>
    <w:p w14:paraId="51CD21DA">
      <w:pPr>
        <w:pStyle w:val="37"/>
        <w:snapToGrid w:val="0"/>
        <w:ind w:left="-420" w:leftChars="-200" w:firstLine="0" w:firstLineChars="0"/>
        <w:jc w:val="center"/>
        <w:rPr>
          <w:rFonts w:ascii="宋体" w:hAnsi="宋体" w:cs="宋体"/>
          <w:b/>
          <w:sz w:val="32"/>
          <w:szCs w:val="32"/>
          <w:highlight w:val="none"/>
        </w:rPr>
      </w:pPr>
      <w:r>
        <w:rPr>
          <w:rFonts w:hint="eastAsia" w:ascii="宋体" w:hAnsi="宋体" w:cs="宋体"/>
          <w:b/>
          <w:sz w:val="32"/>
          <w:szCs w:val="32"/>
          <w:highlight w:val="none"/>
        </w:rPr>
        <w:t>投标人业绩情况一览表</w:t>
      </w:r>
    </w:p>
    <w:p w14:paraId="45989238">
      <w:pPr>
        <w:pStyle w:val="37"/>
        <w:snapToGrid w:val="0"/>
        <w:ind w:left="-420" w:leftChars="-200" w:firstLine="0" w:firstLineChars="0"/>
        <w:jc w:val="center"/>
        <w:rPr>
          <w:rFonts w:ascii="宋体" w:hAnsi="宋体" w:cs="宋体"/>
          <w:b/>
          <w:bCs/>
          <w:sz w:val="24"/>
          <w:highlight w:val="none"/>
        </w:rPr>
      </w:pPr>
    </w:p>
    <w:p w14:paraId="092E4903">
      <w:pPr>
        <w:snapToGrid w:val="0"/>
        <w:spacing w:before="50" w:after="50" w:line="360" w:lineRule="auto"/>
        <w:rPr>
          <w:rFonts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4FB3A353">
      <w:pPr>
        <w:rPr>
          <w:rFonts w:ascii="宋体" w:hAnsi="宋体" w:cs="宋体"/>
          <w:kern w:val="0"/>
          <w:sz w:val="21"/>
          <w:szCs w:val="21"/>
          <w:highlight w:val="none"/>
          <w:u w:val="single"/>
        </w:rPr>
      </w:pPr>
      <w:r>
        <w:rPr>
          <w:rFonts w:hint="eastAsia" w:ascii="宋体" w:hAnsi="宋体" w:cs="宋体"/>
          <w:kern w:val="0"/>
          <w:sz w:val="21"/>
          <w:szCs w:val="21"/>
          <w:highlight w:val="none"/>
        </w:rPr>
        <w:t>投标人名称：</w:t>
      </w:r>
      <w:r>
        <w:rPr>
          <w:rFonts w:hint="eastAsia" w:ascii="宋体" w:hAnsi="宋体" w:cs="宋体"/>
          <w:kern w:val="0"/>
          <w:sz w:val="21"/>
          <w:szCs w:val="21"/>
          <w:highlight w:val="none"/>
          <w:u w:val="single"/>
        </w:rPr>
        <w:t xml:space="preserve"> </w:t>
      </w:r>
      <w:r>
        <w:rPr>
          <w:rFonts w:ascii="宋体" w:hAnsi="宋体" w:cs="宋体"/>
          <w:kern w:val="0"/>
          <w:sz w:val="21"/>
          <w:szCs w:val="21"/>
          <w:highlight w:val="none"/>
          <w:u w:val="single"/>
        </w:rPr>
        <w:t xml:space="preserve">            </w:t>
      </w:r>
    </w:p>
    <w:p w14:paraId="694BF29E">
      <w:pPr>
        <w:rPr>
          <w:szCs w:val="21"/>
          <w:highlight w:val="none"/>
        </w:rPr>
      </w:pPr>
    </w:p>
    <w:tbl>
      <w:tblPr>
        <w:tblStyle w:val="48"/>
        <w:tblW w:w="928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2"/>
        <w:gridCol w:w="1928"/>
        <w:gridCol w:w="1928"/>
        <w:gridCol w:w="3110"/>
      </w:tblGrid>
      <w:tr w14:paraId="3AD025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322" w:type="dxa"/>
            <w:vMerge w:val="restart"/>
            <w:tcBorders>
              <w:top w:val="single" w:color="auto" w:sz="4" w:space="0"/>
              <w:left w:val="single" w:color="auto" w:sz="4" w:space="0"/>
              <w:bottom w:val="single" w:color="auto" w:sz="4" w:space="0"/>
              <w:right w:val="single" w:color="auto" w:sz="4" w:space="0"/>
            </w:tcBorders>
            <w:vAlign w:val="center"/>
          </w:tcPr>
          <w:p w14:paraId="0BC99E45">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采购人名称</w:t>
            </w:r>
          </w:p>
        </w:tc>
        <w:tc>
          <w:tcPr>
            <w:tcW w:w="1928" w:type="dxa"/>
            <w:vMerge w:val="restart"/>
            <w:tcBorders>
              <w:top w:val="single" w:color="auto" w:sz="4" w:space="0"/>
              <w:left w:val="single" w:color="auto" w:sz="4" w:space="0"/>
              <w:bottom w:val="single" w:color="auto" w:sz="4" w:space="0"/>
              <w:right w:val="single" w:color="auto" w:sz="4" w:space="0"/>
            </w:tcBorders>
            <w:vAlign w:val="center"/>
          </w:tcPr>
          <w:p w14:paraId="50C96B12">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项目名称</w:t>
            </w:r>
          </w:p>
        </w:tc>
        <w:tc>
          <w:tcPr>
            <w:tcW w:w="1928" w:type="dxa"/>
            <w:vMerge w:val="restart"/>
            <w:tcBorders>
              <w:top w:val="single" w:color="auto" w:sz="4" w:space="0"/>
              <w:left w:val="single" w:color="auto" w:sz="4" w:space="0"/>
              <w:bottom w:val="single" w:color="auto" w:sz="4" w:space="0"/>
              <w:right w:val="single" w:color="auto" w:sz="4" w:space="0"/>
            </w:tcBorders>
            <w:vAlign w:val="center"/>
          </w:tcPr>
          <w:p w14:paraId="5A1D7F9C">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合同金额</w:t>
            </w:r>
          </w:p>
          <w:p w14:paraId="38B556FE">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（人民币万元）</w:t>
            </w:r>
          </w:p>
        </w:tc>
        <w:tc>
          <w:tcPr>
            <w:tcW w:w="3110" w:type="dxa"/>
            <w:vMerge w:val="restart"/>
            <w:tcBorders>
              <w:top w:val="single" w:color="auto" w:sz="4" w:space="0"/>
              <w:left w:val="single" w:color="auto" w:sz="4" w:space="0"/>
              <w:bottom w:val="single" w:color="auto" w:sz="4" w:space="0"/>
              <w:right w:val="single" w:color="auto" w:sz="4" w:space="0"/>
            </w:tcBorders>
            <w:vAlign w:val="center"/>
          </w:tcPr>
          <w:p w14:paraId="1FD72784">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采购人联系人及</w:t>
            </w:r>
          </w:p>
          <w:p w14:paraId="1C13B33E">
            <w:pPr>
              <w:snapToGrid w:val="0"/>
              <w:spacing w:line="240" w:lineRule="exact"/>
              <w:jc w:val="center"/>
              <w:rPr>
                <w:rFonts w:ascii="宋体" w:hAnsi="宋体" w:cs="宋体"/>
                <w:sz w:val="21"/>
                <w:szCs w:val="21"/>
                <w:highlight w:val="none"/>
              </w:rPr>
            </w:pPr>
            <w:r>
              <w:rPr>
                <w:rFonts w:hint="eastAsia" w:ascii="宋体" w:hAnsi="宋体" w:cs="宋体"/>
                <w:sz w:val="21"/>
                <w:szCs w:val="21"/>
                <w:highlight w:val="none"/>
              </w:rPr>
              <w:t>联系电话</w:t>
            </w:r>
          </w:p>
        </w:tc>
      </w:tr>
      <w:tr w14:paraId="36FA03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322" w:type="dxa"/>
            <w:vMerge w:val="continue"/>
            <w:tcBorders>
              <w:top w:val="single" w:color="auto" w:sz="4" w:space="0"/>
              <w:left w:val="single" w:color="auto" w:sz="4" w:space="0"/>
              <w:bottom w:val="single" w:color="auto" w:sz="4" w:space="0"/>
              <w:right w:val="single" w:color="auto" w:sz="4" w:space="0"/>
            </w:tcBorders>
            <w:vAlign w:val="center"/>
          </w:tcPr>
          <w:p w14:paraId="5E3C2A8B">
            <w:pPr>
              <w:jc w:val="left"/>
              <w:rPr>
                <w:rFonts w:ascii="宋体" w:hAnsi="宋体" w:cs="宋体"/>
                <w:sz w:val="21"/>
                <w:szCs w:val="21"/>
                <w:highlight w:val="none"/>
              </w:rPr>
            </w:pP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4538FE6C">
            <w:pPr>
              <w:jc w:val="left"/>
              <w:rPr>
                <w:rFonts w:ascii="宋体" w:hAnsi="宋体" w:cs="宋体"/>
                <w:sz w:val="21"/>
                <w:szCs w:val="21"/>
                <w:highlight w:val="none"/>
              </w:rPr>
            </w:pP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36854C9A">
            <w:pPr>
              <w:jc w:val="left"/>
              <w:rPr>
                <w:rFonts w:ascii="宋体" w:hAnsi="宋体" w:cs="宋体"/>
                <w:sz w:val="21"/>
                <w:szCs w:val="21"/>
                <w:highlight w:val="none"/>
              </w:rPr>
            </w:pPr>
          </w:p>
        </w:tc>
        <w:tc>
          <w:tcPr>
            <w:tcW w:w="3110" w:type="dxa"/>
            <w:vMerge w:val="continue"/>
            <w:tcBorders>
              <w:top w:val="single" w:color="auto" w:sz="4" w:space="0"/>
              <w:left w:val="single" w:color="auto" w:sz="4" w:space="0"/>
              <w:bottom w:val="single" w:color="auto" w:sz="4" w:space="0"/>
              <w:right w:val="single" w:color="auto" w:sz="4" w:space="0"/>
            </w:tcBorders>
            <w:vAlign w:val="center"/>
          </w:tcPr>
          <w:p w14:paraId="32D881D8">
            <w:pPr>
              <w:jc w:val="left"/>
              <w:rPr>
                <w:rFonts w:ascii="宋体" w:hAnsi="宋体" w:cs="宋体"/>
                <w:sz w:val="21"/>
                <w:szCs w:val="21"/>
                <w:highlight w:val="none"/>
              </w:rPr>
            </w:pPr>
          </w:p>
        </w:tc>
      </w:tr>
      <w:tr w14:paraId="5DC13C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322" w:type="dxa"/>
            <w:tcBorders>
              <w:top w:val="single" w:color="auto" w:sz="4" w:space="0"/>
              <w:left w:val="single" w:color="auto" w:sz="4" w:space="0"/>
              <w:bottom w:val="single" w:color="auto" w:sz="4" w:space="0"/>
              <w:right w:val="single" w:color="auto" w:sz="4" w:space="0"/>
            </w:tcBorders>
          </w:tcPr>
          <w:p w14:paraId="30614848">
            <w:pPr>
              <w:snapToGrid w:val="0"/>
              <w:spacing w:line="24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1F1EBF09">
            <w:pPr>
              <w:snapToGrid w:val="0"/>
              <w:spacing w:line="24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79937DAE">
            <w:pPr>
              <w:snapToGrid w:val="0"/>
              <w:spacing w:line="240" w:lineRule="exact"/>
              <w:jc w:val="left"/>
              <w:rPr>
                <w:rFonts w:ascii="宋体" w:hAnsi="宋体" w:cs="宋体"/>
                <w:sz w:val="21"/>
                <w:szCs w:val="21"/>
                <w:highlight w:val="none"/>
              </w:rPr>
            </w:pPr>
          </w:p>
        </w:tc>
        <w:tc>
          <w:tcPr>
            <w:tcW w:w="3110" w:type="dxa"/>
            <w:tcBorders>
              <w:top w:val="single" w:color="auto" w:sz="4" w:space="0"/>
              <w:left w:val="single" w:color="auto" w:sz="4" w:space="0"/>
              <w:bottom w:val="single" w:color="auto" w:sz="4" w:space="0"/>
              <w:right w:val="single" w:color="auto" w:sz="4" w:space="0"/>
            </w:tcBorders>
          </w:tcPr>
          <w:p w14:paraId="2A496C01">
            <w:pPr>
              <w:snapToGrid w:val="0"/>
              <w:spacing w:line="240" w:lineRule="exact"/>
              <w:jc w:val="left"/>
              <w:rPr>
                <w:rFonts w:ascii="宋体" w:hAnsi="宋体" w:cs="宋体"/>
                <w:sz w:val="21"/>
                <w:szCs w:val="21"/>
                <w:highlight w:val="none"/>
              </w:rPr>
            </w:pPr>
          </w:p>
        </w:tc>
      </w:tr>
      <w:tr w14:paraId="5267E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tcBorders>
              <w:top w:val="single" w:color="auto" w:sz="4" w:space="0"/>
              <w:left w:val="single" w:color="auto" w:sz="4" w:space="0"/>
              <w:bottom w:val="single" w:color="auto" w:sz="4" w:space="0"/>
              <w:right w:val="single" w:color="auto" w:sz="4" w:space="0"/>
            </w:tcBorders>
          </w:tcPr>
          <w:p w14:paraId="593AE80B">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43E4DD44">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3E09496D">
            <w:pPr>
              <w:snapToGrid w:val="0"/>
              <w:spacing w:before="50" w:after="120" w:afterLines="50" w:line="400" w:lineRule="exact"/>
              <w:jc w:val="left"/>
              <w:rPr>
                <w:rFonts w:ascii="宋体" w:hAnsi="宋体" w:cs="宋体"/>
                <w:sz w:val="21"/>
                <w:szCs w:val="21"/>
                <w:highlight w:val="none"/>
              </w:rPr>
            </w:pPr>
          </w:p>
        </w:tc>
        <w:tc>
          <w:tcPr>
            <w:tcW w:w="3110" w:type="dxa"/>
            <w:tcBorders>
              <w:top w:val="single" w:color="auto" w:sz="4" w:space="0"/>
              <w:left w:val="single" w:color="auto" w:sz="4" w:space="0"/>
              <w:bottom w:val="single" w:color="auto" w:sz="4" w:space="0"/>
              <w:right w:val="single" w:color="auto" w:sz="4" w:space="0"/>
            </w:tcBorders>
          </w:tcPr>
          <w:p w14:paraId="0552BEA1">
            <w:pPr>
              <w:snapToGrid w:val="0"/>
              <w:spacing w:before="50" w:after="120" w:afterLines="50" w:line="400" w:lineRule="exact"/>
              <w:jc w:val="left"/>
              <w:rPr>
                <w:rFonts w:ascii="宋体" w:hAnsi="宋体" w:cs="宋体"/>
                <w:sz w:val="21"/>
                <w:szCs w:val="21"/>
                <w:highlight w:val="none"/>
              </w:rPr>
            </w:pPr>
          </w:p>
        </w:tc>
      </w:tr>
      <w:tr w14:paraId="44B7B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322" w:type="dxa"/>
            <w:tcBorders>
              <w:top w:val="single" w:color="auto" w:sz="4" w:space="0"/>
              <w:left w:val="single" w:color="auto" w:sz="4" w:space="0"/>
              <w:bottom w:val="single" w:color="auto" w:sz="4" w:space="0"/>
              <w:right w:val="single" w:color="auto" w:sz="4" w:space="0"/>
            </w:tcBorders>
          </w:tcPr>
          <w:p w14:paraId="77F329F0">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469CDD5D">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0AE51853">
            <w:pPr>
              <w:snapToGrid w:val="0"/>
              <w:spacing w:before="50" w:after="120" w:afterLines="50" w:line="400" w:lineRule="exact"/>
              <w:jc w:val="left"/>
              <w:rPr>
                <w:rFonts w:ascii="宋体" w:hAnsi="宋体" w:cs="宋体"/>
                <w:sz w:val="21"/>
                <w:szCs w:val="21"/>
                <w:highlight w:val="none"/>
              </w:rPr>
            </w:pPr>
          </w:p>
        </w:tc>
        <w:tc>
          <w:tcPr>
            <w:tcW w:w="3110" w:type="dxa"/>
            <w:tcBorders>
              <w:top w:val="single" w:color="auto" w:sz="4" w:space="0"/>
              <w:left w:val="single" w:color="auto" w:sz="4" w:space="0"/>
              <w:bottom w:val="single" w:color="auto" w:sz="4" w:space="0"/>
              <w:right w:val="single" w:color="auto" w:sz="4" w:space="0"/>
            </w:tcBorders>
          </w:tcPr>
          <w:p w14:paraId="11E2CBF9">
            <w:pPr>
              <w:snapToGrid w:val="0"/>
              <w:spacing w:before="50" w:after="120" w:afterLines="50" w:line="400" w:lineRule="exact"/>
              <w:jc w:val="left"/>
              <w:rPr>
                <w:rFonts w:ascii="宋体" w:hAnsi="宋体" w:cs="宋体"/>
                <w:sz w:val="21"/>
                <w:szCs w:val="21"/>
                <w:highlight w:val="none"/>
              </w:rPr>
            </w:pPr>
          </w:p>
        </w:tc>
      </w:tr>
      <w:tr w14:paraId="28216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tcBorders>
              <w:top w:val="single" w:color="auto" w:sz="4" w:space="0"/>
              <w:left w:val="single" w:color="auto" w:sz="4" w:space="0"/>
              <w:bottom w:val="single" w:color="auto" w:sz="4" w:space="0"/>
              <w:right w:val="single" w:color="auto" w:sz="4" w:space="0"/>
            </w:tcBorders>
          </w:tcPr>
          <w:p w14:paraId="57BB6822">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4B96D35E">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74379004">
            <w:pPr>
              <w:snapToGrid w:val="0"/>
              <w:spacing w:before="50" w:after="120" w:afterLines="50" w:line="400" w:lineRule="exact"/>
              <w:jc w:val="left"/>
              <w:rPr>
                <w:rFonts w:ascii="宋体" w:hAnsi="宋体" w:cs="宋体"/>
                <w:sz w:val="21"/>
                <w:szCs w:val="21"/>
                <w:highlight w:val="none"/>
              </w:rPr>
            </w:pPr>
          </w:p>
        </w:tc>
        <w:tc>
          <w:tcPr>
            <w:tcW w:w="3110" w:type="dxa"/>
            <w:tcBorders>
              <w:top w:val="single" w:color="auto" w:sz="4" w:space="0"/>
              <w:left w:val="single" w:color="auto" w:sz="4" w:space="0"/>
              <w:bottom w:val="single" w:color="auto" w:sz="4" w:space="0"/>
              <w:right w:val="single" w:color="auto" w:sz="4" w:space="0"/>
            </w:tcBorders>
          </w:tcPr>
          <w:p w14:paraId="129CE59D">
            <w:pPr>
              <w:snapToGrid w:val="0"/>
              <w:spacing w:before="50" w:after="120" w:afterLines="50" w:line="400" w:lineRule="exact"/>
              <w:jc w:val="left"/>
              <w:rPr>
                <w:rFonts w:ascii="宋体" w:hAnsi="宋体" w:cs="宋体"/>
                <w:sz w:val="21"/>
                <w:szCs w:val="21"/>
                <w:highlight w:val="none"/>
              </w:rPr>
            </w:pPr>
          </w:p>
        </w:tc>
      </w:tr>
      <w:tr w14:paraId="1151D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22" w:type="dxa"/>
            <w:tcBorders>
              <w:top w:val="single" w:color="auto" w:sz="4" w:space="0"/>
              <w:left w:val="single" w:color="auto" w:sz="4" w:space="0"/>
              <w:bottom w:val="single" w:color="auto" w:sz="4" w:space="0"/>
              <w:right w:val="single" w:color="auto" w:sz="4" w:space="0"/>
            </w:tcBorders>
          </w:tcPr>
          <w:p w14:paraId="2509938F">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7B6E8AD2">
            <w:pPr>
              <w:snapToGrid w:val="0"/>
              <w:spacing w:before="50" w:after="120" w:afterLines="50" w:line="400" w:lineRule="exact"/>
              <w:jc w:val="left"/>
              <w:rPr>
                <w:rFonts w:ascii="宋体" w:hAnsi="宋体" w:cs="宋体"/>
                <w:sz w:val="21"/>
                <w:szCs w:val="21"/>
                <w:highlight w:val="none"/>
              </w:rPr>
            </w:pPr>
          </w:p>
        </w:tc>
        <w:tc>
          <w:tcPr>
            <w:tcW w:w="1928" w:type="dxa"/>
            <w:tcBorders>
              <w:top w:val="single" w:color="auto" w:sz="4" w:space="0"/>
              <w:left w:val="single" w:color="auto" w:sz="4" w:space="0"/>
              <w:bottom w:val="single" w:color="auto" w:sz="4" w:space="0"/>
              <w:right w:val="single" w:color="auto" w:sz="4" w:space="0"/>
            </w:tcBorders>
          </w:tcPr>
          <w:p w14:paraId="5AD08B21">
            <w:pPr>
              <w:snapToGrid w:val="0"/>
              <w:spacing w:before="50" w:after="120" w:afterLines="50" w:line="400" w:lineRule="exact"/>
              <w:jc w:val="left"/>
              <w:rPr>
                <w:rFonts w:ascii="宋体" w:hAnsi="宋体" w:cs="宋体"/>
                <w:sz w:val="21"/>
                <w:szCs w:val="21"/>
                <w:highlight w:val="none"/>
              </w:rPr>
            </w:pPr>
          </w:p>
        </w:tc>
        <w:tc>
          <w:tcPr>
            <w:tcW w:w="3110" w:type="dxa"/>
            <w:tcBorders>
              <w:top w:val="single" w:color="auto" w:sz="4" w:space="0"/>
              <w:left w:val="single" w:color="auto" w:sz="4" w:space="0"/>
              <w:bottom w:val="single" w:color="auto" w:sz="4" w:space="0"/>
              <w:right w:val="single" w:color="auto" w:sz="4" w:space="0"/>
            </w:tcBorders>
          </w:tcPr>
          <w:p w14:paraId="0D76601C">
            <w:pPr>
              <w:snapToGrid w:val="0"/>
              <w:spacing w:before="50" w:after="120" w:afterLines="50" w:line="400" w:lineRule="exact"/>
              <w:jc w:val="left"/>
              <w:rPr>
                <w:rFonts w:ascii="宋体" w:hAnsi="宋体" w:cs="宋体"/>
                <w:sz w:val="21"/>
                <w:szCs w:val="21"/>
                <w:highlight w:val="none"/>
              </w:rPr>
            </w:pPr>
          </w:p>
        </w:tc>
      </w:tr>
    </w:tbl>
    <w:p w14:paraId="0B3D4A47">
      <w:pPr>
        <w:pStyle w:val="18"/>
        <w:spacing w:before="0" w:after="0" w:line="360" w:lineRule="auto"/>
        <w:contextualSpacing/>
        <w:rPr>
          <w:rFonts w:ascii="宋体" w:hAnsi="宋体" w:eastAsia="宋体" w:cs="宋体"/>
          <w:sz w:val="21"/>
          <w:szCs w:val="21"/>
          <w:highlight w:val="none"/>
        </w:rPr>
      </w:pPr>
    </w:p>
    <w:p w14:paraId="49574B54">
      <w:pPr>
        <w:pStyle w:val="18"/>
        <w:spacing w:before="0" w:after="0" w:line="360" w:lineRule="auto"/>
        <w:contextualSpacing/>
        <w:rPr>
          <w:rFonts w:ascii="楷体" w:hAnsi="楷体" w:eastAsia="楷体" w:cs="宋体"/>
          <w:sz w:val="21"/>
          <w:szCs w:val="21"/>
          <w:highlight w:val="none"/>
        </w:rPr>
      </w:pPr>
      <w:r>
        <w:rPr>
          <w:rFonts w:hint="eastAsia" w:ascii="楷体" w:hAnsi="楷体" w:eastAsia="楷体" w:cs="宋体"/>
          <w:sz w:val="21"/>
          <w:szCs w:val="21"/>
          <w:highlight w:val="none"/>
        </w:rPr>
        <w:t>注：投标人根据评标标准具体要求附业绩证明材料。</w:t>
      </w:r>
    </w:p>
    <w:p w14:paraId="743C6C57">
      <w:pPr>
        <w:rPr>
          <w:szCs w:val="21"/>
          <w:highlight w:val="none"/>
        </w:rPr>
      </w:pPr>
    </w:p>
    <w:p w14:paraId="1EB4754D">
      <w:pPr>
        <w:snapToGrid w:val="0"/>
        <w:spacing w:before="120" w:beforeLines="50" w:line="360" w:lineRule="auto"/>
        <w:ind w:right="480"/>
        <w:jc w:val="right"/>
        <w:rPr>
          <w:rFonts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054922F4">
      <w:pPr>
        <w:snapToGrid w:val="0"/>
        <w:spacing w:before="120" w:beforeLines="50" w:after="50" w:line="360" w:lineRule="auto"/>
        <w:ind w:right="480" w:firstLine="4830" w:firstLineChars="2300"/>
        <w:rPr>
          <w:rFonts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022EE56">
      <w:pPr>
        <w:snapToGrid w:val="0"/>
        <w:spacing w:before="120" w:beforeLines="50" w:after="50" w:line="360" w:lineRule="auto"/>
        <w:ind w:right="480" w:firstLine="210" w:firstLineChars="100"/>
        <w:jc w:val="right"/>
        <w:rPr>
          <w:rFonts w:ascii="宋体" w:hAnsi="宋体" w:cs="宋体"/>
          <w:sz w:val="21"/>
          <w:szCs w:val="21"/>
          <w:highlight w:val="none"/>
        </w:rPr>
      </w:pPr>
      <w:r>
        <w:rPr>
          <w:rFonts w:hint="eastAsia"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日</w:t>
      </w:r>
    </w:p>
    <w:p w14:paraId="68205116">
      <w:pPr>
        <w:snapToGrid w:val="0"/>
        <w:spacing w:before="50"/>
        <w:ind w:firstLine="480" w:firstLineChars="200"/>
        <w:jc w:val="left"/>
        <w:rPr>
          <w:rFonts w:ascii="宋体" w:hAnsi="宋体" w:cs="宋体"/>
          <w:sz w:val="24"/>
          <w:szCs w:val="20"/>
          <w:highlight w:val="none"/>
        </w:rPr>
      </w:pPr>
    </w:p>
    <w:p w14:paraId="191F92F6">
      <w:pPr>
        <w:snapToGrid w:val="0"/>
        <w:spacing w:before="50"/>
        <w:jc w:val="left"/>
        <w:rPr>
          <w:rFonts w:ascii="宋体" w:hAnsi="宋体" w:cs="宋体"/>
          <w:sz w:val="24"/>
          <w:highlight w:val="none"/>
        </w:rPr>
      </w:pPr>
    </w:p>
    <w:p w14:paraId="6B55A255">
      <w:pPr>
        <w:snapToGrid w:val="0"/>
        <w:spacing w:before="120" w:beforeLines="50"/>
        <w:rPr>
          <w:rFonts w:ascii="宋体" w:hAnsi="宋体" w:cs="宋体"/>
          <w:sz w:val="24"/>
          <w:szCs w:val="20"/>
          <w:highlight w:val="none"/>
        </w:rPr>
        <w:sectPr>
          <w:pgSz w:w="11906" w:h="16838"/>
          <w:pgMar w:top="1417" w:right="1417" w:bottom="1417" w:left="1417" w:header="720" w:footer="720" w:gutter="0"/>
          <w:cols w:space="0" w:num="1"/>
          <w:rtlGutter w:val="0"/>
          <w:docGrid w:type="lines" w:linePitch="333" w:charSpace="0"/>
        </w:sectPr>
      </w:pPr>
    </w:p>
    <w:p w14:paraId="4F419535">
      <w:pPr>
        <w:rPr>
          <w:rFonts w:ascii="宋体" w:hAnsi="宋体" w:cs="宋体"/>
          <w:b/>
          <w:sz w:val="28"/>
          <w:szCs w:val="28"/>
          <w:highlight w:val="none"/>
        </w:rPr>
      </w:pPr>
      <w:r>
        <w:rPr>
          <w:rFonts w:hint="eastAsia" w:ascii="宋体" w:hAnsi="宋体" w:cs="宋体"/>
          <w:b/>
          <w:sz w:val="28"/>
          <w:szCs w:val="28"/>
          <w:highlight w:val="none"/>
        </w:rPr>
        <w:t>四、技术文件格式</w:t>
      </w:r>
    </w:p>
    <w:p w14:paraId="2205F5B0">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t xml:space="preserve">1. 技术文件封面格式： </w:t>
      </w:r>
    </w:p>
    <w:p w14:paraId="2CE595B9">
      <w:pPr>
        <w:snapToGrid w:val="0"/>
        <w:spacing w:before="120" w:beforeLines="50" w:after="50"/>
        <w:rPr>
          <w:rFonts w:ascii="宋体" w:hAnsi="宋体" w:cs="宋体"/>
          <w:sz w:val="24"/>
          <w:szCs w:val="20"/>
          <w:highlight w:val="none"/>
        </w:rPr>
      </w:pPr>
    </w:p>
    <w:p w14:paraId="7EADB205">
      <w:pPr>
        <w:snapToGrid w:val="0"/>
        <w:spacing w:before="120" w:beforeLines="50" w:after="50"/>
        <w:rPr>
          <w:rFonts w:ascii="宋体" w:hAnsi="宋体" w:cs="宋体"/>
          <w:sz w:val="24"/>
          <w:szCs w:val="20"/>
          <w:highlight w:val="none"/>
        </w:rPr>
      </w:pPr>
    </w:p>
    <w:p w14:paraId="68936585">
      <w:pPr>
        <w:snapToGrid w:val="0"/>
        <w:spacing w:before="120" w:beforeLines="50" w:after="50"/>
        <w:jc w:val="center"/>
        <w:rPr>
          <w:rFonts w:ascii="宋体" w:hAnsi="宋体" w:cs="宋体"/>
          <w:sz w:val="84"/>
          <w:szCs w:val="84"/>
          <w:highlight w:val="none"/>
        </w:rPr>
      </w:pPr>
      <w:r>
        <w:rPr>
          <w:rFonts w:hint="eastAsia" w:ascii="宋体" w:hAnsi="宋体" w:cs="宋体"/>
          <w:sz w:val="84"/>
          <w:szCs w:val="84"/>
          <w:highlight w:val="none"/>
        </w:rPr>
        <w:t>投标文件</w:t>
      </w:r>
    </w:p>
    <w:p w14:paraId="21158A3C">
      <w:pPr>
        <w:snapToGrid w:val="0"/>
        <w:spacing w:before="120" w:beforeLines="50" w:after="50"/>
        <w:rPr>
          <w:rFonts w:ascii="宋体" w:hAnsi="宋体" w:cs="宋体"/>
          <w:sz w:val="24"/>
          <w:szCs w:val="20"/>
          <w:highlight w:val="none"/>
        </w:rPr>
      </w:pPr>
    </w:p>
    <w:p w14:paraId="5264D392">
      <w:pPr>
        <w:snapToGrid w:val="0"/>
        <w:spacing w:before="120" w:beforeLines="50" w:after="50"/>
        <w:jc w:val="center"/>
        <w:rPr>
          <w:rFonts w:ascii="宋体" w:hAnsi="宋体" w:cs="宋体"/>
          <w:b/>
          <w:bCs/>
          <w:sz w:val="32"/>
          <w:szCs w:val="32"/>
          <w:highlight w:val="none"/>
        </w:rPr>
      </w:pPr>
      <w:r>
        <w:rPr>
          <w:rFonts w:hint="eastAsia" w:ascii="宋体" w:hAnsi="宋体" w:cs="宋体"/>
          <w:b/>
          <w:bCs/>
          <w:sz w:val="32"/>
          <w:szCs w:val="32"/>
          <w:highlight w:val="none"/>
        </w:rPr>
        <w:t>技术文件</w:t>
      </w:r>
    </w:p>
    <w:p w14:paraId="2F4CC466">
      <w:pPr>
        <w:snapToGrid w:val="0"/>
        <w:spacing w:before="120" w:beforeLines="50" w:after="50"/>
        <w:rPr>
          <w:rFonts w:ascii="宋体" w:hAnsi="宋体" w:cs="宋体"/>
          <w:bCs/>
          <w:sz w:val="24"/>
          <w:szCs w:val="20"/>
          <w:highlight w:val="none"/>
        </w:rPr>
      </w:pPr>
    </w:p>
    <w:p w14:paraId="2F174CC8">
      <w:pPr>
        <w:snapToGrid w:val="0"/>
        <w:spacing w:before="120" w:beforeLines="50" w:after="50" w:line="400" w:lineRule="exact"/>
        <w:ind w:firstLine="360" w:firstLineChars="150"/>
        <w:rPr>
          <w:rFonts w:ascii="宋体" w:hAnsi="宋体" w:cs="宋体"/>
          <w:bCs/>
          <w:sz w:val="24"/>
          <w:highlight w:val="none"/>
        </w:rPr>
      </w:pPr>
      <w:r>
        <w:rPr>
          <w:rFonts w:hint="eastAsia" w:ascii="宋体" w:hAnsi="宋体" w:cs="宋体"/>
          <w:bCs/>
          <w:sz w:val="24"/>
          <w:highlight w:val="none"/>
        </w:rPr>
        <w:t xml:space="preserve">项目名称： </w:t>
      </w:r>
    </w:p>
    <w:p w14:paraId="2BE95DD3">
      <w:pPr>
        <w:snapToGrid w:val="0"/>
        <w:spacing w:before="120" w:beforeLines="50" w:after="50" w:line="400" w:lineRule="exact"/>
        <w:ind w:firstLine="360" w:firstLineChars="150"/>
        <w:rPr>
          <w:rFonts w:ascii="宋体" w:hAnsi="宋体" w:cs="宋体"/>
          <w:bCs/>
          <w:sz w:val="24"/>
          <w:szCs w:val="20"/>
          <w:highlight w:val="none"/>
        </w:rPr>
      </w:pPr>
    </w:p>
    <w:p w14:paraId="32C13C96">
      <w:pPr>
        <w:snapToGrid w:val="0"/>
        <w:spacing w:before="120" w:beforeLines="50" w:after="50" w:line="400" w:lineRule="exact"/>
        <w:ind w:firstLine="360" w:firstLineChars="150"/>
        <w:rPr>
          <w:rFonts w:ascii="宋体" w:hAnsi="宋体" w:cs="宋体"/>
          <w:bCs/>
          <w:sz w:val="24"/>
          <w:highlight w:val="none"/>
        </w:rPr>
      </w:pPr>
      <w:r>
        <w:rPr>
          <w:rFonts w:hint="eastAsia" w:ascii="宋体" w:hAnsi="宋体" w:cs="宋体"/>
          <w:bCs/>
          <w:sz w:val="24"/>
          <w:highlight w:val="none"/>
        </w:rPr>
        <w:t xml:space="preserve">项目编号： </w:t>
      </w:r>
    </w:p>
    <w:p w14:paraId="3A3E08EB">
      <w:pPr>
        <w:snapToGrid w:val="0"/>
        <w:spacing w:before="120" w:beforeLines="50" w:after="50" w:line="400" w:lineRule="exact"/>
        <w:ind w:firstLine="360" w:firstLineChars="150"/>
        <w:rPr>
          <w:rFonts w:ascii="宋体" w:hAnsi="宋体" w:cs="宋体"/>
          <w:bCs/>
          <w:sz w:val="24"/>
          <w:highlight w:val="none"/>
        </w:rPr>
      </w:pPr>
    </w:p>
    <w:p w14:paraId="78E8E6F6">
      <w:pPr>
        <w:snapToGrid w:val="0"/>
        <w:spacing w:before="120" w:beforeLines="50" w:after="50" w:line="400" w:lineRule="exact"/>
        <w:ind w:firstLine="360" w:firstLineChars="150"/>
        <w:rPr>
          <w:rFonts w:ascii="宋体" w:hAnsi="宋体" w:cs="宋体"/>
          <w:bCs/>
          <w:sz w:val="24"/>
          <w:highlight w:val="none"/>
        </w:rPr>
      </w:pPr>
      <w:r>
        <w:rPr>
          <w:rFonts w:hint="eastAsia" w:ascii="宋体" w:hAnsi="宋体" w:cs="宋体"/>
          <w:bCs/>
          <w:sz w:val="24"/>
          <w:highlight w:val="none"/>
        </w:rPr>
        <w:t>所投分标：</w:t>
      </w:r>
    </w:p>
    <w:p w14:paraId="19F16DBF">
      <w:pPr>
        <w:snapToGrid w:val="0"/>
        <w:spacing w:before="120" w:beforeLines="50" w:after="50" w:line="400" w:lineRule="exact"/>
        <w:ind w:firstLine="360" w:firstLineChars="150"/>
        <w:rPr>
          <w:rFonts w:ascii="宋体" w:hAnsi="宋体" w:cs="宋体"/>
          <w:bCs/>
          <w:sz w:val="24"/>
          <w:highlight w:val="none"/>
        </w:rPr>
      </w:pPr>
    </w:p>
    <w:p w14:paraId="5E0BEDF5">
      <w:pPr>
        <w:snapToGrid w:val="0"/>
        <w:spacing w:before="120" w:beforeLines="50" w:after="50" w:line="400" w:lineRule="exact"/>
        <w:ind w:firstLine="360" w:firstLineChars="150"/>
        <w:rPr>
          <w:rFonts w:ascii="宋体" w:hAnsi="宋体" w:cs="宋体"/>
          <w:bCs/>
          <w:sz w:val="24"/>
          <w:highlight w:val="none"/>
        </w:rPr>
      </w:pPr>
      <w:r>
        <w:rPr>
          <w:rFonts w:hint="eastAsia" w:ascii="宋体" w:hAnsi="宋体" w:cs="宋体"/>
          <w:bCs/>
          <w:sz w:val="24"/>
          <w:highlight w:val="none"/>
        </w:rPr>
        <w:t>投标人名称：</w:t>
      </w:r>
    </w:p>
    <w:p w14:paraId="0AB4CB57">
      <w:pPr>
        <w:snapToGrid w:val="0"/>
        <w:spacing w:before="120" w:beforeLines="50" w:after="50" w:line="400" w:lineRule="exact"/>
        <w:ind w:firstLine="360" w:firstLineChars="150"/>
        <w:rPr>
          <w:rFonts w:ascii="宋体" w:hAnsi="宋体" w:cs="宋体"/>
          <w:bCs/>
          <w:sz w:val="24"/>
          <w:highlight w:val="none"/>
        </w:rPr>
      </w:pPr>
    </w:p>
    <w:p w14:paraId="54E97B55">
      <w:pPr>
        <w:snapToGrid w:val="0"/>
        <w:spacing w:before="120" w:beforeLines="50" w:after="50" w:line="400" w:lineRule="exact"/>
        <w:ind w:firstLine="360" w:firstLineChars="150"/>
        <w:rPr>
          <w:rFonts w:ascii="宋体" w:hAnsi="宋体" w:cs="宋体"/>
          <w:bCs/>
          <w:sz w:val="24"/>
          <w:highlight w:val="none"/>
        </w:rPr>
      </w:pPr>
      <w:r>
        <w:rPr>
          <w:rFonts w:hint="eastAsia" w:ascii="宋体" w:hAnsi="宋体" w:cs="宋体"/>
          <w:bCs/>
          <w:sz w:val="24"/>
          <w:highlight w:val="none"/>
        </w:rPr>
        <w:t>投标人地址：</w:t>
      </w:r>
    </w:p>
    <w:p w14:paraId="1C2D4499">
      <w:pPr>
        <w:snapToGrid w:val="0"/>
        <w:spacing w:before="120" w:beforeLines="50" w:after="50" w:line="400" w:lineRule="exact"/>
        <w:ind w:firstLine="360" w:firstLineChars="150"/>
        <w:rPr>
          <w:rFonts w:ascii="宋体" w:hAnsi="宋体" w:cs="宋体"/>
          <w:bCs/>
          <w:sz w:val="24"/>
          <w:highlight w:val="none"/>
        </w:rPr>
      </w:pPr>
    </w:p>
    <w:p w14:paraId="0FAD5775">
      <w:pPr>
        <w:snapToGrid w:val="0"/>
        <w:spacing w:before="120" w:beforeLines="50" w:after="50"/>
        <w:ind w:firstLine="645"/>
        <w:jc w:val="center"/>
        <w:rPr>
          <w:rFonts w:ascii="宋体" w:hAnsi="宋体" w:cs="宋体"/>
          <w:sz w:val="24"/>
          <w:highlight w:val="none"/>
        </w:rPr>
      </w:pPr>
      <w:r>
        <w:rPr>
          <w:rFonts w:hint="eastAsia" w:ascii="宋体" w:hAnsi="宋体" w:cs="宋体"/>
          <w:sz w:val="24"/>
          <w:highlight w:val="none"/>
        </w:rPr>
        <w:t xml:space="preserve">               </w:t>
      </w:r>
    </w:p>
    <w:p w14:paraId="0800EDFD">
      <w:pPr>
        <w:snapToGrid w:val="0"/>
        <w:spacing w:before="120" w:beforeLines="50" w:after="50"/>
        <w:ind w:firstLine="645"/>
        <w:jc w:val="center"/>
        <w:rPr>
          <w:rFonts w:ascii="宋体" w:hAnsi="宋体" w:cs="宋体"/>
          <w:sz w:val="24"/>
          <w:highlight w:val="none"/>
        </w:rPr>
      </w:pPr>
    </w:p>
    <w:p w14:paraId="26B6A527">
      <w:pPr>
        <w:snapToGrid w:val="0"/>
        <w:spacing w:before="120" w:beforeLines="50" w:after="50"/>
        <w:ind w:firstLine="645"/>
        <w:jc w:val="center"/>
        <w:rPr>
          <w:rFonts w:ascii="宋体" w:hAnsi="宋体" w:cs="宋体"/>
          <w:sz w:val="24"/>
          <w:highlight w:val="none"/>
        </w:rPr>
      </w:pPr>
      <w:r>
        <w:rPr>
          <w:rFonts w:hint="eastAsia" w:ascii="宋体" w:hAnsi="宋体" w:cs="宋体"/>
          <w:sz w:val="24"/>
          <w:highlight w:val="none"/>
        </w:rPr>
        <w:t>年    月    日</w:t>
      </w:r>
    </w:p>
    <w:p w14:paraId="47EAA362">
      <w:pPr>
        <w:snapToGrid w:val="0"/>
        <w:spacing w:before="120" w:beforeLines="50" w:after="50"/>
        <w:ind w:firstLine="645"/>
        <w:jc w:val="center"/>
        <w:rPr>
          <w:rFonts w:ascii="宋体" w:hAnsi="宋体" w:cs="宋体"/>
          <w:sz w:val="24"/>
          <w:szCs w:val="20"/>
          <w:highlight w:val="none"/>
        </w:rPr>
      </w:pPr>
    </w:p>
    <w:p w14:paraId="0F8AB4C1">
      <w:pPr>
        <w:snapToGrid w:val="0"/>
        <w:spacing w:before="120" w:beforeLines="50" w:after="50"/>
        <w:ind w:left="142"/>
        <w:jc w:val="left"/>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2.技术文件目录</w:t>
      </w:r>
    </w:p>
    <w:p w14:paraId="574514E5">
      <w:pPr>
        <w:snapToGrid w:val="0"/>
        <w:spacing w:before="50" w:after="120" w:afterLines="50" w:line="360" w:lineRule="auto"/>
        <w:ind w:firstLine="480" w:firstLineChars="200"/>
        <w:jc w:val="left"/>
        <w:rPr>
          <w:rFonts w:ascii="宋体" w:hAnsi="宋体" w:cs="宋体"/>
          <w:sz w:val="24"/>
          <w:highlight w:val="none"/>
        </w:rPr>
      </w:pPr>
      <w:r>
        <w:rPr>
          <w:rFonts w:hint="eastAsia" w:ascii="宋体" w:hAnsi="宋体" w:cs="宋体"/>
          <w:sz w:val="24"/>
          <w:highlight w:val="none"/>
        </w:rPr>
        <w:t>根据招标文件规定及投标人提供的材料自行编写目录。</w:t>
      </w:r>
    </w:p>
    <w:p w14:paraId="103F8BA8">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3. 设备性能配置清单</w:t>
      </w:r>
    </w:p>
    <w:p w14:paraId="70DD662C">
      <w:pPr>
        <w:snapToGrid w:val="0"/>
        <w:spacing w:before="120" w:beforeLines="50" w:after="50"/>
        <w:ind w:left="142"/>
        <w:jc w:val="left"/>
        <w:rPr>
          <w:rFonts w:ascii="宋体" w:hAnsi="宋体" w:cs="宋体"/>
          <w:b/>
          <w:sz w:val="24"/>
          <w:highlight w:val="none"/>
        </w:rPr>
      </w:pPr>
    </w:p>
    <w:p w14:paraId="78A5A463">
      <w:pPr>
        <w:snapToGrid w:val="0"/>
        <w:spacing w:before="120" w:beforeLines="50" w:after="50"/>
        <w:ind w:left="142"/>
        <w:jc w:val="center"/>
        <w:rPr>
          <w:rFonts w:ascii="宋体" w:hAnsi="宋体" w:cs="宋体"/>
          <w:b/>
          <w:sz w:val="32"/>
          <w:szCs w:val="32"/>
          <w:highlight w:val="none"/>
        </w:rPr>
      </w:pPr>
      <w:r>
        <w:rPr>
          <w:rFonts w:hint="eastAsia" w:ascii="宋体" w:hAnsi="宋体" w:cs="宋体"/>
          <w:b/>
          <w:sz w:val="32"/>
          <w:szCs w:val="32"/>
          <w:highlight w:val="none"/>
        </w:rPr>
        <w:t>设备性能配置清单</w:t>
      </w:r>
    </w:p>
    <w:p w14:paraId="0959CADF">
      <w:pPr>
        <w:snapToGrid w:val="0"/>
        <w:spacing w:before="50" w:after="50" w:line="360" w:lineRule="auto"/>
        <w:rPr>
          <w:rFonts w:hint="eastAsia"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585859C7">
      <w:pPr>
        <w:pStyle w:val="25"/>
        <w:rPr>
          <w:rFonts w:hint="eastAsia" w:hAnsi="宋体" w:cs="宋体"/>
          <w:sz w:val="21"/>
          <w:highlight w:val="none"/>
          <w:u w:val="single"/>
        </w:rPr>
      </w:pPr>
      <w:r>
        <w:rPr>
          <w:rFonts w:hint="eastAsia" w:hAnsi="宋体" w:cs="宋体"/>
          <w:sz w:val="21"/>
          <w:highlight w:val="none"/>
        </w:rPr>
        <w:t>投标人名称：</w:t>
      </w:r>
      <w:r>
        <w:rPr>
          <w:rFonts w:hint="eastAsia" w:hAnsi="宋体" w:cs="宋体"/>
          <w:sz w:val="21"/>
          <w:highlight w:val="none"/>
          <w:u w:val="single"/>
        </w:rPr>
        <w:t xml:space="preserve">                     </w:t>
      </w:r>
    </w:p>
    <w:p w14:paraId="17415FF1">
      <w:pPr>
        <w:rPr>
          <w:rFonts w:hint="eastAsia" w:ascii="宋体" w:hAnsi="宋体" w:cs="宋体"/>
          <w:szCs w:val="21"/>
          <w:highlight w:val="none"/>
        </w:rPr>
      </w:pPr>
    </w:p>
    <w:tbl>
      <w:tblPr>
        <w:tblStyle w:val="48"/>
        <w:tblW w:w="108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7"/>
        <w:gridCol w:w="1293"/>
        <w:gridCol w:w="929"/>
        <w:gridCol w:w="1854"/>
        <w:gridCol w:w="1293"/>
        <w:gridCol w:w="765"/>
        <w:gridCol w:w="797"/>
        <w:gridCol w:w="971"/>
        <w:gridCol w:w="2147"/>
      </w:tblGrid>
      <w:tr w14:paraId="7DA24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72CE6B21">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序号</w:t>
            </w:r>
          </w:p>
        </w:tc>
        <w:tc>
          <w:tcPr>
            <w:tcW w:w="1293" w:type="dxa"/>
            <w:tcBorders>
              <w:top w:val="single" w:color="auto" w:sz="4" w:space="0"/>
              <w:left w:val="single" w:color="auto" w:sz="4" w:space="0"/>
              <w:bottom w:val="single" w:color="auto" w:sz="4" w:space="0"/>
              <w:right w:val="single" w:color="auto" w:sz="4" w:space="0"/>
            </w:tcBorders>
            <w:vAlign w:val="center"/>
          </w:tcPr>
          <w:p w14:paraId="73F0BF6E">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标的名称</w:t>
            </w:r>
          </w:p>
        </w:tc>
        <w:tc>
          <w:tcPr>
            <w:tcW w:w="929" w:type="dxa"/>
            <w:tcBorders>
              <w:top w:val="single" w:color="auto" w:sz="4" w:space="0"/>
              <w:left w:val="single" w:color="auto" w:sz="4" w:space="0"/>
              <w:bottom w:val="single" w:color="auto" w:sz="4" w:space="0"/>
              <w:right w:val="single" w:color="auto" w:sz="4" w:space="0"/>
            </w:tcBorders>
            <w:vAlign w:val="center"/>
          </w:tcPr>
          <w:p w14:paraId="19BEB114">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品牌</w:t>
            </w:r>
          </w:p>
        </w:tc>
        <w:tc>
          <w:tcPr>
            <w:tcW w:w="1854" w:type="dxa"/>
            <w:tcBorders>
              <w:top w:val="single" w:color="auto" w:sz="4" w:space="0"/>
              <w:left w:val="single" w:color="auto" w:sz="4" w:space="0"/>
              <w:bottom w:val="single" w:color="auto" w:sz="4" w:space="0"/>
              <w:right w:val="single" w:color="auto" w:sz="4" w:space="0"/>
            </w:tcBorders>
            <w:vAlign w:val="center"/>
          </w:tcPr>
          <w:p w14:paraId="54B4566A">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型号</w:t>
            </w:r>
          </w:p>
        </w:tc>
        <w:tc>
          <w:tcPr>
            <w:tcW w:w="1293" w:type="dxa"/>
            <w:tcBorders>
              <w:top w:val="single" w:color="auto" w:sz="4" w:space="0"/>
              <w:left w:val="single" w:color="auto" w:sz="4" w:space="0"/>
              <w:bottom w:val="single" w:color="auto" w:sz="4" w:space="0"/>
              <w:right w:val="single" w:color="auto" w:sz="4" w:space="0"/>
            </w:tcBorders>
            <w:vAlign w:val="center"/>
          </w:tcPr>
          <w:p w14:paraId="25641360">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生产厂家</w:t>
            </w:r>
          </w:p>
        </w:tc>
        <w:tc>
          <w:tcPr>
            <w:tcW w:w="765" w:type="dxa"/>
            <w:tcBorders>
              <w:top w:val="single" w:color="auto" w:sz="4" w:space="0"/>
              <w:left w:val="single" w:color="auto" w:sz="4" w:space="0"/>
              <w:bottom w:val="single" w:color="auto" w:sz="4" w:space="0"/>
              <w:right w:val="single" w:color="auto" w:sz="4" w:space="0"/>
            </w:tcBorders>
            <w:vAlign w:val="center"/>
          </w:tcPr>
          <w:p w14:paraId="0B480ED0">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产地</w:t>
            </w:r>
          </w:p>
        </w:tc>
        <w:tc>
          <w:tcPr>
            <w:tcW w:w="797" w:type="dxa"/>
            <w:tcBorders>
              <w:top w:val="single" w:color="auto" w:sz="4" w:space="0"/>
              <w:left w:val="single" w:color="auto" w:sz="4" w:space="0"/>
              <w:bottom w:val="single" w:color="auto" w:sz="4" w:space="0"/>
              <w:right w:val="single" w:color="auto" w:sz="4" w:space="0"/>
            </w:tcBorders>
            <w:vAlign w:val="center"/>
          </w:tcPr>
          <w:p w14:paraId="69D547EA">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数量</w:t>
            </w:r>
          </w:p>
        </w:tc>
        <w:tc>
          <w:tcPr>
            <w:tcW w:w="971" w:type="dxa"/>
            <w:tcBorders>
              <w:top w:val="single" w:color="auto" w:sz="4" w:space="0"/>
              <w:left w:val="single" w:color="auto" w:sz="4" w:space="0"/>
              <w:bottom w:val="single" w:color="auto" w:sz="4" w:space="0"/>
              <w:right w:val="single" w:color="auto" w:sz="4" w:space="0"/>
            </w:tcBorders>
            <w:vAlign w:val="center"/>
          </w:tcPr>
          <w:p w14:paraId="38F8B0DE">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单位</w:t>
            </w:r>
          </w:p>
        </w:tc>
        <w:tc>
          <w:tcPr>
            <w:tcW w:w="2147" w:type="dxa"/>
            <w:tcBorders>
              <w:top w:val="single" w:color="auto" w:sz="4" w:space="0"/>
              <w:left w:val="single" w:color="auto" w:sz="4" w:space="0"/>
              <w:bottom w:val="single" w:color="auto" w:sz="4" w:space="0"/>
              <w:right w:val="single" w:color="auto" w:sz="4" w:space="0"/>
            </w:tcBorders>
            <w:vAlign w:val="center"/>
          </w:tcPr>
          <w:p w14:paraId="666CF93B">
            <w:pPr>
              <w:snapToGrid w:val="0"/>
              <w:spacing w:before="50" w:after="50"/>
              <w:jc w:val="center"/>
              <w:rPr>
                <w:rFonts w:hint="eastAsia" w:ascii="宋体" w:hAnsi="宋体" w:cs="宋体"/>
                <w:sz w:val="21"/>
                <w:szCs w:val="21"/>
                <w:highlight w:val="none"/>
              </w:rPr>
            </w:pPr>
            <w:r>
              <w:rPr>
                <w:rFonts w:hint="eastAsia" w:ascii="宋体" w:hAnsi="宋体" w:cs="宋体"/>
                <w:sz w:val="21"/>
                <w:szCs w:val="21"/>
                <w:highlight w:val="none"/>
              </w:rPr>
              <w:t>参数性能、指标及配置</w:t>
            </w:r>
          </w:p>
        </w:tc>
      </w:tr>
      <w:tr w14:paraId="4E276F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6267D9A">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1DAD603A">
            <w:pPr>
              <w:snapToGrid w:val="0"/>
              <w:spacing w:before="50" w:after="50"/>
              <w:jc w:val="center"/>
              <w:rPr>
                <w:rFonts w:hint="eastAsia" w:ascii="宋体" w:hAnsi="宋体" w:cs="宋体"/>
                <w:sz w:val="21"/>
                <w:szCs w:val="21"/>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0F9F33EB">
            <w:pPr>
              <w:snapToGrid w:val="0"/>
              <w:spacing w:before="50" w:after="50"/>
              <w:jc w:val="center"/>
              <w:rPr>
                <w:rFonts w:hint="eastAsia" w:ascii="宋体" w:hAnsi="宋体" w:cs="宋体"/>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tcPr>
          <w:p w14:paraId="69976F13">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718D0849">
            <w:pPr>
              <w:snapToGrid w:val="0"/>
              <w:spacing w:before="50" w:after="50"/>
              <w:jc w:val="center"/>
              <w:rPr>
                <w:rFonts w:hint="eastAsia" w:ascii="宋体" w:hAnsi="宋体" w:cs="宋体"/>
                <w:sz w:val="21"/>
                <w:szCs w:val="21"/>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4A83D74C">
            <w:pPr>
              <w:snapToGrid w:val="0"/>
              <w:spacing w:before="50" w:after="50"/>
              <w:jc w:val="center"/>
              <w:rPr>
                <w:rFonts w:hint="eastAsia" w:ascii="宋体" w:hAnsi="宋体" w:cs="宋体"/>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tcPr>
          <w:p w14:paraId="2516339C">
            <w:pPr>
              <w:snapToGrid w:val="0"/>
              <w:spacing w:before="50" w:after="50"/>
              <w:jc w:val="center"/>
              <w:rPr>
                <w:rFonts w:hint="eastAsia" w:ascii="宋体" w:hAnsi="宋体" w:cs="宋体"/>
                <w:sz w:val="21"/>
                <w:szCs w:val="21"/>
                <w:highlight w:val="none"/>
              </w:rPr>
            </w:pPr>
          </w:p>
        </w:tc>
        <w:tc>
          <w:tcPr>
            <w:tcW w:w="971" w:type="dxa"/>
            <w:tcBorders>
              <w:top w:val="single" w:color="auto" w:sz="4" w:space="0"/>
              <w:left w:val="single" w:color="auto" w:sz="4" w:space="0"/>
              <w:bottom w:val="single" w:color="auto" w:sz="4" w:space="0"/>
              <w:right w:val="single" w:color="auto" w:sz="4" w:space="0"/>
            </w:tcBorders>
          </w:tcPr>
          <w:p w14:paraId="76B7D7E7">
            <w:pPr>
              <w:snapToGrid w:val="0"/>
              <w:spacing w:before="50" w:after="50"/>
              <w:jc w:val="center"/>
              <w:rPr>
                <w:rFonts w:hint="eastAsia" w:ascii="宋体" w:hAnsi="宋体" w:cs="宋体"/>
                <w:sz w:val="21"/>
                <w:szCs w:val="21"/>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3EE76556">
            <w:pPr>
              <w:snapToGrid w:val="0"/>
              <w:spacing w:before="50" w:after="50"/>
              <w:jc w:val="center"/>
              <w:rPr>
                <w:rFonts w:hint="eastAsia" w:ascii="宋体" w:hAnsi="宋体" w:cs="宋体"/>
                <w:sz w:val="21"/>
                <w:szCs w:val="21"/>
                <w:highlight w:val="none"/>
              </w:rPr>
            </w:pPr>
          </w:p>
        </w:tc>
      </w:tr>
      <w:tr w14:paraId="558FD8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59E20B5C">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4FDAB0B9">
            <w:pPr>
              <w:snapToGrid w:val="0"/>
              <w:spacing w:before="50" w:after="50"/>
              <w:jc w:val="center"/>
              <w:rPr>
                <w:rFonts w:hint="eastAsia" w:ascii="宋体" w:hAnsi="宋体" w:cs="宋体"/>
                <w:sz w:val="21"/>
                <w:szCs w:val="21"/>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745C3F60">
            <w:pPr>
              <w:snapToGrid w:val="0"/>
              <w:spacing w:before="50" w:after="50"/>
              <w:jc w:val="center"/>
              <w:rPr>
                <w:rFonts w:hint="eastAsia" w:ascii="宋体" w:hAnsi="宋体" w:cs="宋体"/>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tcPr>
          <w:p w14:paraId="11F8360C">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7A3E1AAF">
            <w:pPr>
              <w:snapToGrid w:val="0"/>
              <w:spacing w:before="50" w:after="50"/>
              <w:jc w:val="center"/>
              <w:rPr>
                <w:rFonts w:hint="eastAsia" w:ascii="宋体" w:hAnsi="宋体" w:cs="宋体"/>
                <w:sz w:val="21"/>
                <w:szCs w:val="21"/>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3B92B1D9">
            <w:pPr>
              <w:snapToGrid w:val="0"/>
              <w:spacing w:before="50" w:after="50"/>
              <w:jc w:val="center"/>
              <w:rPr>
                <w:rFonts w:hint="eastAsia" w:ascii="宋体" w:hAnsi="宋体" w:cs="宋体"/>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tcPr>
          <w:p w14:paraId="64A1CB4A">
            <w:pPr>
              <w:snapToGrid w:val="0"/>
              <w:spacing w:before="50" w:after="50"/>
              <w:jc w:val="center"/>
              <w:rPr>
                <w:rFonts w:hint="eastAsia" w:ascii="宋体" w:hAnsi="宋体" w:cs="宋体"/>
                <w:sz w:val="21"/>
                <w:szCs w:val="21"/>
                <w:highlight w:val="none"/>
              </w:rPr>
            </w:pPr>
          </w:p>
        </w:tc>
        <w:tc>
          <w:tcPr>
            <w:tcW w:w="971" w:type="dxa"/>
            <w:tcBorders>
              <w:top w:val="single" w:color="auto" w:sz="4" w:space="0"/>
              <w:left w:val="single" w:color="auto" w:sz="4" w:space="0"/>
              <w:bottom w:val="single" w:color="auto" w:sz="4" w:space="0"/>
              <w:right w:val="single" w:color="auto" w:sz="4" w:space="0"/>
            </w:tcBorders>
          </w:tcPr>
          <w:p w14:paraId="61C5BB65">
            <w:pPr>
              <w:snapToGrid w:val="0"/>
              <w:spacing w:before="50" w:after="50"/>
              <w:jc w:val="center"/>
              <w:rPr>
                <w:rFonts w:hint="eastAsia" w:ascii="宋体" w:hAnsi="宋体" w:cs="宋体"/>
                <w:sz w:val="21"/>
                <w:szCs w:val="21"/>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05BD987E">
            <w:pPr>
              <w:snapToGrid w:val="0"/>
              <w:spacing w:before="50" w:after="50"/>
              <w:jc w:val="center"/>
              <w:rPr>
                <w:rFonts w:hint="eastAsia" w:ascii="宋体" w:hAnsi="宋体" w:cs="宋体"/>
                <w:sz w:val="21"/>
                <w:szCs w:val="21"/>
                <w:highlight w:val="none"/>
              </w:rPr>
            </w:pPr>
          </w:p>
        </w:tc>
      </w:tr>
      <w:tr w14:paraId="042A6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67" w:type="dxa"/>
            <w:tcBorders>
              <w:top w:val="single" w:color="auto" w:sz="4" w:space="0"/>
              <w:left w:val="single" w:color="auto" w:sz="4" w:space="0"/>
              <w:bottom w:val="single" w:color="auto" w:sz="4" w:space="0"/>
              <w:right w:val="single" w:color="auto" w:sz="4" w:space="0"/>
            </w:tcBorders>
            <w:vAlign w:val="center"/>
          </w:tcPr>
          <w:p w14:paraId="0A686EEA">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6373C20D">
            <w:pPr>
              <w:snapToGrid w:val="0"/>
              <w:spacing w:before="50" w:after="50"/>
              <w:jc w:val="center"/>
              <w:rPr>
                <w:rFonts w:hint="eastAsia" w:ascii="宋体" w:hAnsi="宋体" w:cs="宋体"/>
                <w:sz w:val="21"/>
                <w:szCs w:val="21"/>
                <w:highlight w:val="none"/>
              </w:rPr>
            </w:pPr>
          </w:p>
        </w:tc>
        <w:tc>
          <w:tcPr>
            <w:tcW w:w="929" w:type="dxa"/>
            <w:tcBorders>
              <w:top w:val="single" w:color="auto" w:sz="4" w:space="0"/>
              <w:left w:val="single" w:color="auto" w:sz="4" w:space="0"/>
              <w:bottom w:val="single" w:color="auto" w:sz="4" w:space="0"/>
              <w:right w:val="single" w:color="auto" w:sz="4" w:space="0"/>
            </w:tcBorders>
            <w:vAlign w:val="center"/>
          </w:tcPr>
          <w:p w14:paraId="6CAB4B30">
            <w:pPr>
              <w:snapToGrid w:val="0"/>
              <w:spacing w:before="50" w:after="50"/>
              <w:jc w:val="center"/>
              <w:rPr>
                <w:rFonts w:hint="eastAsia" w:ascii="宋体" w:hAnsi="宋体" w:cs="宋体"/>
                <w:sz w:val="21"/>
                <w:szCs w:val="21"/>
                <w:highlight w:val="none"/>
              </w:rPr>
            </w:pPr>
          </w:p>
        </w:tc>
        <w:tc>
          <w:tcPr>
            <w:tcW w:w="1854" w:type="dxa"/>
            <w:tcBorders>
              <w:top w:val="single" w:color="auto" w:sz="4" w:space="0"/>
              <w:left w:val="single" w:color="auto" w:sz="4" w:space="0"/>
              <w:bottom w:val="single" w:color="auto" w:sz="4" w:space="0"/>
              <w:right w:val="single" w:color="auto" w:sz="4" w:space="0"/>
            </w:tcBorders>
          </w:tcPr>
          <w:p w14:paraId="027064A8">
            <w:pPr>
              <w:snapToGrid w:val="0"/>
              <w:spacing w:before="50" w:after="50"/>
              <w:jc w:val="center"/>
              <w:rPr>
                <w:rFonts w:hint="eastAsia" w:ascii="宋体" w:hAnsi="宋体" w:cs="宋体"/>
                <w:sz w:val="21"/>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2CD22A05">
            <w:pPr>
              <w:snapToGrid w:val="0"/>
              <w:spacing w:before="50" w:after="50"/>
              <w:jc w:val="center"/>
              <w:rPr>
                <w:rFonts w:hint="eastAsia" w:ascii="宋体" w:hAnsi="宋体" w:cs="宋体"/>
                <w:sz w:val="21"/>
                <w:szCs w:val="21"/>
                <w:highlight w:val="none"/>
              </w:rPr>
            </w:pPr>
          </w:p>
        </w:tc>
        <w:tc>
          <w:tcPr>
            <w:tcW w:w="765" w:type="dxa"/>
            <w:tcBorders>
              <w:top w:val="single" w:color="auto" w:sz="4" w:space="0"/>
              <w:left w:val="single" w:color="auto" w:sz="4" w:space="0"/>
              <w:bottom w:val="single" w:color="auto" w:sz="4" w:space="0"/>
              <w:right w:val="single" w:color="auto" w:sz="4" w:space="0"/>
            </w:tcBorders>
            <w:vAlign w:val="center"/>
          </w:tcPr>
          <w:p w14:paraId="15A2C302">
            <w:pPr>
              <w:snapToGrid w:val="0"/>
              <w:spacing w:before="50" w:after="50"/>
              <w:jc w:val="center"/>
              <w:rPr>
                <w:rFonts w:hint="eastAsia" w:ascii="宋体" w:hAnsi="宋体" w:cs="宋体"/>
                <w:sz w:val="21"/>
                <w:szCs w:val="21"/>
                <w:highlight w:val="none"/>
              </w:rPr>
            </w:pPr>
          </w:p>
        </w:tc>
        <w:tc>
          <w:tcPr>
            <w:tcW w:w="797" w:type="dxa"/>
            <w:tcBorders>
              <w:top w:val="single" w:color="auto" w:sz="4" w:space="0"/>
              <w:left w:val="single" w:color="auto" w:sz="4" w:space="0"/>
              <w:bottom w:val="single" w:color="auto" w:sz="4" w:space="0"/>
              <w:right w:val="single" w:color="auto" w:sz="4" w:space="0"/>
            </w:tcBorders>
          </w:tcPr>
          <w:p w14:paraId="6DE8E0C7">
            <w:pPr>
              <w:snapToGrid w:val="0"/>
              <w:spacing w:before="50" w:after="50"/>
              <w:jc w:val="center"/>
              <w:rPr>
                <w:rFonts w:hint="eastAsia" w:ascii="宋体" w:hAnsi="宋体" w:cs="宋体"/>
                <w:sz w:val="21"/>
                <w:szCs w:val="21"/>
                <w:highlight w:val="none"/>
              </w:rPr>
            </w:pPr>
          </w:p>
        </w:tc>
        <w:tc>
          <w:tcPr>
            <w:tcW w:w="971" w:type="dxa"/>
            <w:tcBorders>
              <w:top w:val="single" w:color="auto" w:sz="4" w:space="0"/>
              <w:left w:val="single" w:color="auto" w:sz="4" w:space="0"/>
              <w:bottom w:val="single" w:color="auto" w:sz="4" w:space="0"/>
              <w:right w:val="single" w:color="auto" w:sz="4" w:space="0"/>
            </w:tcBorders>
          </w:tcPr>
          <w:p w14:paraId="626116CA">
            <w:pPr>
              <w:snapToGrid w:val="0"/>
              <w:spacing w:before="50" w:after="50"/>
              <w:jc w:val="center"/>
              <w:rPr>
                <w:rFonts w:hint="eastAsia" w:ascii="宋体" w:hAnsi="宋体" w:cs="宋体"/>
                <w:sz w:val="21"/>
                <w:szCs w:val="21"/>
                <w:highlight w:val="none"/>
              </w:rPr>
            </w:pPr>
          </w:p>
        </w:tc>
        <w:tc>
          <w:tcPr>
            <w:tcW w:w="2147" w:type="dxa"/>
            <w:tcBorders>
              <w:top w:val="single" w:color="auto" w:sz="4" w:space="0"/>
              <w:left w:val="single" w:color="auto" w:sz="4" w:space="0"/>
              <w:bottom w:val="single" w:color="auto" w:sz="4" w:space="0"/>
              <w:right w:val="single" w:color="auto" w:sz="4" w:space="0"/>
            </w:tcBorders>
            <w:vAlign w:val="center"/>
          </w:tcPr>
          <w:p w14:paraId="201FEF42">
            <w:pPr>
              <w:snapToGrid w:val="0"/>
              <w:spacing w:before="50" w:after="50"/>
              <w:jc w:val="center"/>
              <w:rPr>
                <w:rFonts w:hint="eastAsia" w:ascii="宋体" w:hAnsi="宋体" w:cs="宋体"/>
                <w:sz w:val="21"/>
                <w:szCs w:val="21"/>
                <w:highlight w:val="none"/>
              </w:rPr>
            </w:pPr>
          </w:p>
        </w:tc>
      </w:tr>
    </w:tbl>
    <w:p w14:paraId="68B8D2CE">
      <w:pPr>
        <w:spacing w:line="360" w:lineRule="auto"/>
        <w:contextualSpacing/>
        <w:rPr>
          <w:rFonts w:hint="eastAsia" w:ascii="宋体" w:hAnsi="宋体" w:cs="宋体"/>
          <w:sz w:val="21"/>
          <w:szCs w:val="21"/>
          <w:highlight w:val="none"/>
        </w:rPr>
      </w:pPr>
    </w:p>
    <w:p w14:paraId="6ACCAF9A">
      <w:pPr>
        <w:spacing w:line="360" w:lineRule="auto"/>
        <w:contextualSpacing/>
        <w:rPr>
          <w:rFonts w:hint="eastAsia" w:ascii="宋体" w:hAnsi="宋体" w:eastAsia="宋体" w:cs="宋体"/>
          <w:b/>
          <w:sz w:val="21"/>
          <w:szCs w:val="21"/>
          <w:highlight w:val="none"/>
        </w:rPr>
      </w:pPr>
      <w:r>
        <w:rPr>
          <w:rFonts w:hint="eastAsia" w:ascii="宋体" w:hAnsi="宋体" w:eastAsia="宋体" w:cs="宋体"/>
          <w:b/>
          <w:sz w:val="21"/>
          <w:szCs w:val="21"/>
          <w:highlight w:val="none"/>
        </w:rPr>
        <w:t>备注：</w:t>
      </w:r>
    </w:p>
    <w:p w14:paraId="4979A0B4">
      <w:pPr>
        <w:spacing w:line="360" w:lineRule="auto"/>
        <w:ind w:firstLine="420" w:firstLineChars="200"/>
        <w:contextualSpacing/>
        <w:rPr>
          <w:rFonts w:hint="eastAsia" w:ascii="宋体" w:hAnsi="宋体" w:eastAsia="宋体" w:cs="宋体"/>
          <w:b/>
          <w:sz w:val="21"/>
          <w:szCs w:val="21"/>
          <w:highlight w:val="none"/>
        </w:rPr>
      </w:pPr>
      <w:r>
        <w:rPr>
          <w:rFonts w:hint="eastAsia" w:ascii="宋体" w:hAnsi="宋体" w:eastAsia="宋体" w:cs="宋体"/>
          <w:sz w:val="21"/>
          <w:szCs w:val="21"/>
          <w:highlight w:val="none"/>
        </w:rPr>
        <w:t>以上设备性能配置清单中“标的名称、数量及单位、品牌、规格型号、制造商、原产地、参数性能、指标及配置”必须如实填写完整，定制产品在型号栏中填写“定制”。填写有缺漏</w:t>
      </w:r>
      <w:r>
        <w:rPr>
          <w:rFonts w:hint="eastAsia" w:ascii="宋体" w:hAnsi="宋体" w:eastAsia="宋体" w:cs="宋体"/>
          <w:bCs/>
          <w:sz w:val="21"/>
          <w:szCs w:val="21"/>
          <w:highlight w:val="none"/>
        </w:rPr>
        <w:t>的，</w:t>
      </w:r>
      <w:r>
        <w:rPr>
          <w:rFonts w:hint="eastAsia" w:ascii="宋体" w:hAnsi="宋体" w:eastAsia="宋体" w:cs="宋体"/>
          <w:b/>
          <w:sz w:val="21"/>
          <w:szCs w:val="21"/>
          <w:highlight w:val="none"/>
        </w:rPr>
        <w:t>作无效投标处理。标的</w:t>
      </w:r>
      <w:r>
        <w:rPr>
          <w:rFonts w:hint="eastAsia" w:ascii="宋体" w:hAnsi="宋体" w:eastAsia="宋体" w:cs="宋体"/>
          <w:sz w:val="21"/>
          <w:szCs w:val="21"/>
          <w:highlight w:val="none"/>
        </w:rPr>
        <w:t>名称、数量、单位、品牌等必须与“开标一览表”一致，</w:t>
      </w:r>
      <w:r>
        <w:rPr>
          <w:rFonts w:hint="eastAsia" w:ascii="宋体" w:hAnsi="宋体" w:eastAsia="宋体" w:cs="宋体"/>
          <w:b/>
          <w:sz w:val="21"/>
          <w:szCs w:val="21"/>
          <w:highlight w:val="none"/>
        </w:rPr>
        <w:t>否则按无效投标处理。</w:t>
      </w:r>
    </w:p>
    <w:p w14:paraId="5A16F9AC">
      <w:pPr>
        <w:spacing w:line="360" w:lineRule="auto"/>
        <w:ind w:firstLine="420" w:firstLineChars="200"/>
        <w:contextualSpacing/>
        <w:rPr>
          <w:rFonts w:hint="eastAsia" w:ascii="宋体" w:hAnsi="宋体" w:cs="宋体"/>
          <w:sz w:val="21"/>
          <w:szCs w:val="21"/>
          <w:highlight w:val="none"/>
        </w:rPr>
      </w:pPr>
    </w:p>
    <w:p w14:paraId="79B41D28">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C133ABE">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23BC0E7F">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728986A8">
      <w:pPr>
        <w:snapToGrid w:val="0"/>
        <w:spacing w:before="50" w:after="120" w:afterLines="50"/>
        <w:jc w:val="left"/>
        <w:rPr>
          <w:rFonts w:hint="eastAsia" w:ascii="宋体" w:hAnsi="宋体" w:cs="宋体"/>
          <w:sz w:val="21"/>
          <w:szCs w:val="21"/>
          <w:highlight w:val="none"/>
        </w:rPr>
      </w:pPr>
    </w:p>
    <w:p w14:paraId="2FD5F89A">
      <w:pPr>
        <w:snapToGrid w:val="0"/>
        <w:spacing w:before="50" w:after="120" w:afterLines="50"/>
        <w:jc w:val="left"/>
        <w:rPr>
          <w:rFonts w:hint="eastAsia" w:ascii="宋体" w:hAnsi="宋体" w:cs="宋体"/>
          <w:sz w:val="21"/>
          <w:szCs w:val="21"/>
          <w:highlight w:val="none"/>
        </w:rPr>
      </w:pPr>
    </w:p>
    <w:p w14:paraId="3EAEF094">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4. 技术要求偏离表</w:t>
      </w:r>
    </w:p>
    <w:p w14:paraId="5850464A">
      <w:pPr>
        <w:snapToGrid w:val="0"/>
        <w:spacing w:before="120" w:beforeLines="50" w:after="50"/>
        <w:ind w:left="142"/>
        <w:jc w:val="left"/>
        <w:rPr>
          <w:rFonts w:ascii="宋体" w:hAnsi="宋体" w:cs="宋体"/>
          <w:b/>
          <w:sz w:val="24"/>
          <w:highlight w:val="none"/>
        </w:rPr>
      </w:pPr>
    </w:p>
    <w:p w14:paraId="1AA56DA3">
      <w:pPr>
        <w:snapToGrid w:val="0"/>
        <w:spacing w:before="120" w:beforeLines="50" w:after="50"/>
        <w:ind w:left="142"/>
        <w:jc w:val="center"/>
        <w:rPr>
          <w:rFonts w:ascii="宋体" w:hAnsi="宋体" w:cs="宋体"/>
          <w:b/>
          <w:sz w:val="32"/>
          <w:szCs w:val="32"/>
          <w:highlight w:val="none"/>
        </w:rPr>
      </w:pPr>
      <w:r>
        <w:rPr>
          <w:rFonts w:hint="eastAsia" w:ascii="宋体" w:hAnsi="宋体" w:cs="宋体"/>
          <w:b/>
          <w:sz w:val="32"/>
          <w:szCs w:val="32"/>
          <w:highlight w:val="none"/>
        </w:rPr>
        <w:t>技术要求偏离表</w:t>
      </w:r>
    </w:p>
    <w:p w14:paraId="362D878F">
      <w:pPr>
        <w:rPr>
          <w:highlight w:val="none"/>
        </w:rPr>
      </w:pPr>
    </w:p>
    <w:p w14:paraId="6F64F6FF">
      <w:pPr>
        <w:snapToGrid w:val="0"/>
        <w:spacing w:before="50" w:after="50" w:line="360" w:lineRule="auto"/>
        <w:rPr>
          <w:rFonts w:hint="eastAsia"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0F647C0B">
      <w:pPr>
        <w:pStyle w:val="25"/>
        <w:rPr>
          <w:rFonts w:hint="eastAsia" w:hAnsi="宋体" w:cs="宋体"/>
          <w:sz w:val="21"/>
          <w:highlight w:val="none"/>
        </w:rPr>
      </w:pPr>
      <w:r>
        <w:rPr>
          <w:rFonts w:hint="eastAsia" w:hAnsi="宋体" w:cs="宋体"/>
          <w:sz w:val="21"/>
          <w:highlight w:val="none"/>
        </w:rPr>
        <w:t>投标人名称：</w:t>
      </w:r>
      <w:r>
        <w:rPr>
          <w:rFonts w:hint="eastAsia" w:hAnsi="宋体" w:cs="宋体"/>
          <w:sz w:val="21"/>
          <w:highlight w:val="none"/>
          <w:u w:val="single"/>
        </w:rPr>
        <w:t xml:space="preserve">                     </w:t>
      </w:r>
      <w:r>
        <w:rPr>
          <w:rFonts w:hint="eastAsia" w:hAnsi="宋体" w:cs="宋体"/>
          <w:sz w:val="21"/>
          <w:highlight w:val="none"/>
        </w:rPr>
        <w:t xml:space="preserve"> </w:t>
      </w:r>
    </w:p>
    <w:p w14:paraId="3EB04532">
      <w:pPr>
        <w:rPr>
          <w:rFonts w:hint="eastAsia" w:ascii="宋体" w:hAnsi="宋体" w:cs="宋体"/>
          <w:szCs w:val="21"/>
          <w:highlight w:val="none"/>
        </w:rPr>
      </w:pPr>
    </w:p>
    <w:tbl>
      <w:tblPr>
        <w:tblStyle w:val="48"/>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686B7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3" w:hRule="atLeast"/>
          <w:jc w:val="center"/>
        </w:trPr>
        <w:tc>
          <w:tcPr>
            <w:tcW w:w="852" w:type="dxa"/>
            <w:vAlign w:val="center"/>
          </w:tcPr>
          <w:p w14:paraId="5A5DD15E">
            <w:pPr>
              <w:pStyle w:val="25"/>
              <w:spacing w:line="400" w:lineRule="exact"/>
              <w:jc w:val="center"/>
              <w:rPr>
                <w:rFonts w:hint="eastAsia" w:hAnsi="宋体" w:cs="宋体"/>
                <w:kern w:val="2"/>
                <w:sz w:val="21"/>
                <w:szCs w:val="21"/>
                <w:highlight w:val="none"/>
              </w:rPr>
            </w:pPr>
            <w:r>
              <w:rPr>
                <w:rFonts w:hint="eastAsia" w:hAnsi="宋体" w:cs="宋体"/>
                <w:kern w:val="2"/>
                <w:sz w:val="21"/>
                <w:szCs w:val="21"/>
                <w:highlight w:val="none"/>
              </w:rPr>
              <w:t>序号</w:t>
            </w:r>
          </w:p>
        </w:tc>
        <w:tc>
          <w:tcPr>
            <w:tcW w:w="2143" w:type="dxa"/>
            <w:vAlign w:val="center"/>
          </w:tcPr>
          <w:p w14:paraId="5C35F590">
            <w:pPr>
              <w:pStyle w:val="25"/>
              <w:spacing w:line="400" w:lineRule="exact"/>
              <w:jc w:val="center"/>
              <w:rPr>
                <w:rFonts w:hint="eastAsia" w:hAnsi="宋体" w:cs="宋体"/>
                <w:kern w:val="2"/>
                <w:sz w:val="21"/>
                <w:szCs w:val="21"/>
                <w:highlight w:val="none"/>
              </w:rPr>
            </w:pPr>
            <w:r>
              <w:rPr>
                <w:rFonts w:hint="eastAsia" w:hAnsi="宋体" w:cs="宋体"/>
                <w:kern w:val="2"/>
                <w:sz w:val="21"/>
                <w:szCs w:val="21"/>
                <w:highlight w:val="none"/>
              </w:rPr>
              <w:t>标的名称</w:t>
            </w:r>
          </w:p>
        </w:tc>
        <w:tc>
          <w:tcPr>
            <w:tcW w:w="1834" w:type="dxa"/>
            <w:vAlign w:val="center"/>
          </w:tcPr>
          <w:p w14:paraId="1D1A7D2A">
            <w:pPr>
              <w:pStyle w:val="25"/>
              <w:spacing w:line="400" w:lineRule="exact"/>
              <w:jc w:val="center"/>
              <w:rPr>
                <w:rFonts w:hint="eastAsia" w:hAnsi="宋体" w:cs="宋体"/>
                <w:kern w:val="2"/>
                <w:sz w:val="21"/>
                <w:szCs w:val="21"/>
                <w:highlight w:val="none"/>
              </w:rPr>
            </w:pPr>
            <w:r>
              <w:rPr>
                <w:rFonts w:hint="eastAsia" w:hAnsi="宋体" w:cs="宋体"/>
                <w:kern w:val="2"/>
                <w:sz w:val="21"/>
                <w:szCs w:val="21"/>
                <w:highlight w:val="none"/>
              </w:rPr>
              <w:t>技术要求</w:t>
            </w:r>
          </w:p>
        </w:tc>
        <w:tc>
          <w:tcPr>
            <w:tcW w:w="2181" w:type="dxa"/>
            <w:vAlign w:val="center"/>
          </w:tcPr>
          <w:p w14:paraId="1C4084A9">
            <w:pPr>
              <w:pStyle w:val="25"/>
              <w:spacing w:line="400" w:lineRule="exact"/>
              <w:jc w:val="center"/>
              <w:rPr>
                <w:rFonts w:hint="eastAsia" w:hAnsi="宋体" w:cs="宋体"/>
                <w:kern w:val="2"/>
                <w:sz w:val="21"/>
                <w:szCs w:val="21"/>
                <w:highlight w:val="none"/>
              </w:rPr>
            </w:pPr>
            <w:r>
              <w:rPr>
                <w:rFonts w:hint="eastAsia" w:hAnsi="宋体" w:cs="宋体"/>
                <w:kern w:val="2"/>
                <w:sz w:val="21"/>
                <w:szCs w:val="21"/>
                <w:highlight w:val="none"/>
              </w:rPr>
              <w:t>投标响应</w:t>
            </w:r>
          </w:p>
        </w:tc>
        <w:tc>
          <w:tcPr>
            <w:tcW w:w="1934" w:type="dxa"/>
            <w:vAlign w:val="center"/>
          </w:tcPr>
          <w:p w14:paraId="722DF70C">
            <w:pPr>
              <w:pStyle w:val="25"/>
              <w:spacing w:line="400" w:lineRule="exact"/>
              <w:jc w:val="center"/>
              <w:rPr>
                <w:rFonts w:hint="eastAsia" w:hAnsi="宋体" w:cs="宋体"/>
                <w:kern w:val="2"/>
                <w:sz w:val="21"/>
                <w:szCs w:val="21"/>
                <w:highlight w:val="none"/>
              </w:rPr>
            </w:pPr>
            <w:r>
              <w:rPr>
                <w:rFonts w:hint="eastAsia" w:hAnsi="宋体" w:cs="宋体"/>
                <w:kern w:val="2"/>
                <w:sz w:val="21"/>
                <w:szCs w:val="21"/>
                <w:highlight w:val="none"/>
              </w:rPr>
              <w:t>偏离说明</w:t>
            </w:r>
          </w:p>
        </w:tc>
      </w:tr>
      <w:tr w14:paraId="6980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D7F109D">
            <w:pPr>
              <w:pStyle w:val="25"/>
              <w:spacing w:line="600" w:lineRule="exact"/>
              <w:jc w:val="center"/>
              <w:rPr>
                <w:rFonts w:hint="eastAsia" w:hAnsi="宋体" w:cs="宋体"/>
                <w:kern w:val="2"/>
                <w:sz w:val="21"/>
                <w:szCs w:val="21"/>
                <w:highlight w:val="none"/>
              </w:rPr>
            </w:pPr>
          </w:p>
        </w:tc>
        <w:tc>
          <w:tcPr>
            <w:tcW w:w="2143" w:type="dxa"/>
            <w:vAlign w:val="center"/>
          </w:tcPr>
          <w:p w14:paraId="0EAD3F7D">
            <w:pPr>
              <w:pStyle w:val="25"/>
              <w:spacing w:line="600" w:lineRule="exact"/>
              <w:jc w:val="center"/>
              <w:rPr>
                <w:rFonts w:hint="eastAsia" w:hAnsi="宋体" w:cs="宋体"/>
                <w:kern w:val="2"/>
                <w:sz w:val="21"/>
                <w:szCs w:val="21"/>
                <w:highlight w:val="none"/>
              </w:rPr>
            </w:pPr>
          </w:p>
        </w:tc>
        <w:tc>
          <w:tcPr>
            <w:tcW w:w="1834" w:type="dxa"/>
            <w:vAlign w:val="center"/>
          </w:tcPr>
          <w:p w14:paraId="276959FB">
            <w:pPr>
              <w:pStyle w:val="25"/>
              <w:spacing w:line="600" w:lineRule="exact"/>
              <w:jc w:val="center"/>
              <w:rPr>
                <w:rFonts w:hint="eastAsia" w:hAnsi="宋体" w:cs="宋体"/>
                <w:kern w:val="2"/>
                <w:sz w:val="21"/>
                <w:szCs w:val="21"/>
                <w:highlight w:val="none"/>
              </w:rPr>
            </w:pPr>
          </w:p>
        </w:tc>
        <w:tc>
          <w:tcPr>
            <w:tcW w:w="2181" w:type="dxa"/>
            <w:vAlign w:val="center"/>
          </w:tcPr>
          <w:p w14:paraId="0FADB52C">
            <w:pPr>
              <w:pStyle w:val="25"/>
              <w:spacing w:line="600" w:lineRule="exact"/>
              <w:jc w:val="center"/>
              <w:rPr>
                <w:rFonts w:hint="eastAsia" w:hAnsi="宋体" w:cs="宋体"/>
                <w:kern w:val="2"/>
                <w:sz w:val="21"/>
                <w:szCs w:val="21"/>
                <w:highlight w:val="none"/>
              </w:rPr>
            </w:pPr>
          </w:p>
        </w:tc>
        <w:tc>
          <w:tcPr>
            <w:tcW w:w="1934" w:type="dxa"/>
            <w:vAlign w:val="center"/>
          </w:tcPr>
          <w:p w14:paraId="160C1B4C">
            <w:pPr>
              <w:pStyle w:val="25"/>
              <w:spacing w:line="600" w:lineRule="exact"/>
              <w:jc w:val="center"/>
              <w:rPr>
                <w:rFonts w:hint="eastAsia" w:hAnsi="宋体" w:cs="宋体"/>
                <w:kern w:val="2"/>
                <w:sz w:val="21"/>
                <w:szCs w:val="21"/>
                <w:highlight w:val="none"/>
              </w:rPr>
            </w:pPr>
          </w:p>
        </w:tc>
      </w:tr>
      <w:tr w14:paraId="1683B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6EFD59DF">
            <w:pPr>
              <w:pStyle w:val="25"/>
              <w:spacing w:line="600" w:lineRule="exact"/>
              <w:rPr>
                <w:rFonts w:hint="eastAsia" w:hAnsi="宋体" w:cs="宋体"/>
                <w:kern w:val="2"/>
                <w:sz w:val="21"/>
                <w:szCs w:val="21"/>
                <w:highlight w:val="none"/>
              </w:rPr>
            </w:pPr>
          </w:p>
        </w:tc>
        <w:tc>
          <w:tcPr>
            <w:tcW w:w="2143" w:type="dxa"/>
          </w:tcPr>
          <w:p w14:paraId="086DB20E">
            <w:pPr>
              <w:pStyle w:val="25"/>
              <w:spacing w:line="600" w:lineRule="exact"/>
              <w:rPr>
                <w:rFonts w:hint="eastAsia" w:hAnsi="宋体" w:cs="宋体"/>
                <w:kern w:val="2"/>
                <w:sz w:val="21"/>
                <w:szCs w:val="21"/>
                <w:highlight w:val="none"/>
              </w:rPr>
            </w:pPr>
          </w:p>
        </w:tc>
        <w:tc>
          <w:tcPr>
            <w:tcW w:w="1834" w:type="dxa"/>
          </w:tcPr>
          <w:p w14:paraId="7354883E">
            <w:pPr>
              <w:pStyle w:val="25"/>
              <w:spacing w:line="600" w:lineRule="exact"/>
              <w:rPr>
                <w:rFonts w:hint="eastAsia" w:hAnsi="宋体" w:cs="宋体"/>
                <w:kern w:val="2"/>
                <w:sz w:val="21"/>
                <w:szCs w:val="21"/>
                <w:highlight w:val="none"/>
              </w:rPr>
            </w:pPr>
          </w:p>
        </w:tc>
        <w:tc>
          <w:tcPr>
            <w:tcW w:w="2181" w:type="dxa"/>
          </w:tcPr>
          <w:p w14:paraId="0CFBA578">
            <w:pPr>
              <w:pStyle w:val="25"/>
              <w:spacing w:line="600" w:lineRule="exact"/>
              <w:rPr>
                <w:rFonts w:hint="eastAsia" w:hAnsi="宋体" w:cs="宋体"/>
                <w:kern w:val="2"/>
                <w:sz w:val="21"/>
                <w:szCs w:val="21"/>
                <w:highlight w:val="none"/>
              </w:rPr>
            </w:pPr>
          </w:p>
        </w:tc>
        <w:tc>
          <w:tcPr>
            <w:tcW w:w="1934" w:type="dxa"/>
          </w:tcPr>
          <w:p w14:paraId="2D079249">
            <w:pPr>
              <w:pStyle w:val="25"/>
              <w:spacing w:line="600" w:lineRule="exact"/>
              <w:rPr>
                <w:rFonts w:hint="eastAsia" w:hAnsi="宋体" w:cs="宋体"/>
                <w:kern w:val="2"/>
                <w:sz w:val="21"/>
                <w:szCs w:val="21"/>
                <w:highlight w:val="none"/>
              </w:rPr>
            </w:pPr>
          </w:p>
        </w:tc>
      </w:tr>
      <w:tr w14:paraId="7B92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3FB2053">
            <w:pPr>
              <w:pStyle w:val="25"/>
              <w:spacing w:line="600" w:lineRule="exact"/>
              <w:rPr>
                <w:rFonts w:hint="eastAsia" w:hAnsi="宋体" w:cs="宋体"/>
                <w:kern w:val="2"/>
                <w:sz w:val="21"/>
                <w:szCs w:val="21"/>
                <w:highlight w:val="none"/>
              </w:rPr>
            </w:pPr>
          </w:p>
        </w:tc>
        <w:tc>
          <w:tcPr>
            <w:tcW w:w="2143" w:type="dxa"/>
          </w:tcPr>
          <w:p w14:paraId="6413E08D">
            <w:pPr>
              <w:pStyle w:val="25"/>
              <w:spacing w:line="600" w:lineRule="exact"/>
              <w:rPr>
                <w:rFonts w:hint="eastAsia" w:hAnsi="宋体" w:cs="宋体"/>
                <w:kern w:val="2"/>
                <w:sz w:val="21"/>
                <w:szCs w:val="21"/>
                <w:highlight w:val="none"/>
              </w:rPr>
            </w:pPr>
          </w:p>
        </w:tc>
        <w:tc>
          <w:tcPr>
            <w:tcW w:w="1834" w:type="dxa"/>
          </w:tcPr>
          <w:p w14:paraId="699A64E0">
            <w:pPr>
              <w:pStyle w:val="25"/>
              <w:spacing w:line="600" w:lineRule="exact"/>
              <w:rPr>
                <w:rFonts w:hint="eastAsia" w:hAnsi="宋体" w:cs="宋体"/>
                <w:kern w:val="2"/>
                <w:sz w:val="21"/>
                <w:szCs w:val="21"/>
                <w:highlight w:val="none"/>
              </w:rPr>
            </w:pPr>
          </w:p>
        </w:tc>
        <w:tc>
          <w:tcPr>
            <w:tcW w:w="2181" w:type="dxa"/>
          </w:tcPr>
          <w:p w14:paraId="631CD58A">
            <w:pPr>
              <w:pStyle w:val="25"/>
              <w:spacing w:line="600" w:lineRule="exact"/>
              <w:rPr>
                <w:rFonts w:hint="eastAsia" w:hAnsi="宋体" w:cs="宋体"/>
                <w:kern w:val="2"/>
                <w:sz w:val="21"/>
                <w:szCs w:val="21"/>
                <w:highlight w:val="none"/>
              </w:rPr>
            </w:pPr>
          </w:p>
        </w:tc>
        <w:tc>
          <w:tcPr>
            <w:tcW w:w="1934" w:type="dxa"/>
          </w:tcPr>
          <w:p w14:paraId="64390C1C">
            <w:pPr>
              <w:pStyle w:val="25"/>
              <w:spacing w:line="600" w:lineRule="exact"/>
              <w:rPr>
                <w:rFonts w:hint="eastAsia" w:hAnsi="宋体" w:cs="宋体"/>
                <w:kern w:val="2"/>
                <w:sz w:val="21"/>
                <w:szCs w:val="21"/>
                <w:highlight w:val="none"/>
              </w:rPr>
            </w:pPr>
          </w:p>
        </w:tc>
      </w:tr>
    </w:tbl>
    <w:p w14:paraId="404A4C19">
      <w:pPr>
        <w:pStyle w:val="20"/>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7D563FB5">
      <w:pPr>
        <w:pStyle w:val="1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1.说明：应对照招标文件“第二章 采购需求”中的“技术参数及性能（配置）要求”逐条作明确的投标响应，并作出偏离说明。</w:t>
      </w:r>
    </w:p>
    <w:p w14:paraId="70D700C8">
      <w:pPr>
        <w:pStyle w:val="20"/>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2.投标人根据投标货物的性能指标，对照招标文件技术要求，在“偏离说明”中注明“</w:t>
      </w:r>
      <w:r>
        <w:rPr>
          <w:rFonts w:hint="eastAsia" w:ascii="宋体" w:hAnsi="宋体" w:eastAsia="宋体" w:cs="宋体"/>
          <w:sz w:val="21"/>
          <w:szCs w:val="21"/>
          <w:highlight w:val="none"/>
        </w:rPr>
        <w:t>正偏离</w:t>
      </w:r>
      <w:r>
        <w:rPr>
          <w:rFonts w:hint="eastAsia" w:ascii="宋体" w:hAnsi="宋体" w:eastAsia="宋体" w:cs="宋体"/>
          <w:b w:val="0"/>
          <w:bCs w:val="0"/>
          <w:sz w:val="21"/>
          <w:szCs w:val="21"/>
          <w:highlight w:val="none"/>
        </w:rPr>
        <w:t>”、“</w:t>
      </w:r>
      <w:r>
        <w:rPr>
          <w:rFonts w:hint="eastAsia" w:ascii="宋体" w:hAnsi="宋体" w:eastAsia="宋体" w:cs="宋体"/>
          <w:sz w:val="21"/>
          <w:szCs w:val="21"/>
          <w:highlight w:val="none"/>
        </w:rPr>
        <w:t>负偏离</w:t>
      </w:r>
      <w:r>
        <w:rPr>
          <w:rFonts w:hint="eastAsia" w:ascii="宋体" w:hAnsi="宋体" w:eastAsia="宋体" w:cs="宋体"/>
          <w:b w:val="0"/>
          <w:bCs w:val="0"/>
          <w:sz w:val="21"/>
          <w:szCs w:val="21"/>
          <w:highlight w:val="none"/>
        </w:rPr>
        <w:t>”或者“</w:t>
      </w:r>
      <w:r>
        <w:rPr>
          <w:rFonts w:hint="eastAsia" w:ascii="宋体" w:hAnsi="宋体" w:eastAsia="宋体" w:cs="宋体"/>
          <w:sz w:val="21"/>
          <w:szCs w:val="21"/>
          <w:highlight w:val="none"/>
        </w:rPr>
        <w:t>无偏离</w:t>
      </w:r>
      <w:r>
        <w:rPr>
          <w:rFonts w:hint="eastAsia" w:ascii="宋体" w:hAnsi="宋体" w:eastAsia="宋体" w:cs="宋体"/>
          <w:b w:val="0"/>
          <w:bCs w:val="0"/>
          <w:sz w:val="21"/>
          <w:szCs w:val="21"/>
          <w:highlight w:val="none"/>
        </w:rPr>
        <w:t>”。既不属于“</w:t>
      </w:r>
      <w:r>
        <w:rPr>
          <w:rFonts w:hint="eastAsia" w:ascii="宋体" w:hAnsi="宋体" w:eastAsia="宋体" w:cs="宋体"/>
          <w:sz w:val="21"/>
          <w:szCs w:val="21"/>
          <w:highlight w:val="none"/>
        </w:rPr>
        <w:t>正偏离</w:t>
      </w:r>
      <w:r>
        <w:rPr>
          <w:rFonts w:hint="eastAsia" w:ascii="宋体" w:hAnsi="宋体" w:eastAsia="宋体" w:cs="宋体"/>
          <w:b w:val="0"/>
          <w:bCs w:val="0"/>
          <w:sz w:val="21"/>
          <w:szCs w:val="21"/>
          <w:highlight w:val="none"/>
        </w:rPr>
        <w:t>”也不属于“</w:t>
      </w:r>
      <w:r>
        <w:rPr>
          <w:rFonts w:hint="eastAsia" w:ascii="宋体" w:hAnsi="宋体" w:eastAsia="宋体" w:cs="宋体"/>
          <w:sz w:val="21"/>
          <w:szCs w:val="21"/>
          <w:highlight w:val="none"/>
        </w:rPr>
        <w:t>负偏离</w:t>
      </w:r>
      <w:r>
        <w:rPr>
          <w:rFonts w:hint="eastAsia" w:ascii="宋体" w:hAnsi="宋体" w:eastAsia="宋体" w:cs="宋体"/>
          <w:b w:val="0"/>
          <w:bCs w:val="0"/>
          <w:sz w:val="21"/>
          <w:szCs w:val="21"/>
          <w:highlight w:val="none"/>
        </w:rPr>
        <w:t>”即为“</w:t>
      </w:r>
      <w:r>
        <w:rPr>
          <w:rFonts w:hint="eastAsia" w:ascii="宋体" w:hAnsi="宋体" w:eastAsia="宋体" w:cs="宋体"/>
          <w:sz w:val="21"/>
          <w:szCs w:val="21"/>
          <w:highlight w:val="none"/>
        </w:rPr>
        <w:t>无偏离</w:t>
      </w:r>
      <w:r>
        <w:rPr>
          <w:rFonts w:hint="eastAsia" w:ascii="宋体" w:hAnsi="宋体" w:eastAsia="宋体" w:cs="宋体"/>
          <w:b w:val="0"/>
          <w:bCs w:val="0"/>
          <w:sz w:val="21"/>
          <w:szCs w:val="21"/>
          <w:highlight w:val="none"/>
        </w:rPr>
        <w:t>”。</w:t>
      </w:r>
    </w:p>
    <w:p w14:paraId="0345E695">
      <w:pPr>
        <w:pStyle w:val="1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投标人认为其投标响应有正偏离的，请在技术要求偏离表中列明，且在投标文件中提供投标产品的彩页或国家认可的有资质的第三方检测机构出具的检测报告或产品生产厂家出具的技术参数说明证明作为佐证，以上佐证材料均需加盖生产厂家或代理商（附生产厂家授权资料）公章。</w:t>
      </w:r>
    </w:p>
    <w:p w14:paraId="2BAB813A">
      <w:pPr>
        <w:pStyle w:val="10"/>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4.如技术要求偏离表中的投标响应与佐证材料不一致的，以佐证材料为准。</w:t>
      </w:r>
    </w:p>
    <w:p w14:paraId="6F377EF0">
      <w:pPr>
        <w:snapToGrid w:val="0"/>
        <w:spacing w:before="120" w:beforeLines="50" w:line="360" w:lineRule="auto"/>
        <w:ind w:right="48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455C442D">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4E591160">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5F4A6132">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5. 项目实施人员一览表</w:t>
      </w:r>
    </w:p>
    <w:p w14:paraId="437FB0A7">
      <w:pPr>
        <w:snapToGrid w:val="0"/>
        <w:spacing w:before="120" w:beforeLines="50" w:after="50"/>
        <w:ind w:left="142"/>
        <w:jc w:val="left"/>
        <w:rPr>
          <w:rFonts w:ascii="宋体" w:hAnsi="宋体" w:cs="宋体"/>
          <w:b/>
          <w:sz w:val="24"/>
          <w:highlight w:val="none"/>
        </w:rPr>
      </w:pPr>
    </w:p>
    <w:p w14:paraId="14A8C951">
      <w:pPr>
        <w:snapToGrid w:val="0"/>
        <w:spacing w:before="120" w:beforeLines="50" w:after="50"/>
        <w:ind w:left="142"/>
        <w:jc w:val="center"/>
        <w:rPr>
          <w:rFonts w:ascii="宋体" w:hAnsi="宋体" w:cs="宋体"/>
          <w:b/>
          <w:sz w:val="32"/>
          <w:szCs w:val="32"/>
          <w:highlight w:val="none"/>
        </w:rPr>
      </w:pPr>
      <w:r>
        <w:rPr>
          <w:rFonts w:hint="eastAsia" w:ascii="宋体" w:hAnsi="宋体" w:cs="宋体"/>
          <w:b/>
          <w:sz w:val="32"/>
          <w:szCs w:val="32"/>
          <w:highlight w:val="none"/>
        </w:rPr>
        <w:t>项目实施人员一览表</w:t>
      </w:r>
    </w:p>
    <w:p w14:paraId="16236E00">
      <w:pPr>
        <w:snapToGrid w:val="0"/>
        <w:spacing w:before="50" w:after="50" w:line="360" w:lineRule="auto"/>
        <w:rPr>
          <w:rFonts w:hint="eastAsia" w:ascii="宋体" w:hAnsi="宋体" w:cs="宋体"/>
          <w:sz w:val="24"/>
          <w:highlight w:val="none"/>
        </w:rPr>
      </w:pPr>
    </w:p>
    <w:p w14:paraId="5D46A1AC">
      <w:pPr>
        <w:snapToGrid/>
        <w:spacing w:before="0" w:beforeLines="0" w:after="0" w:afterLines="0" w:line="360" w:lineRule="auto"/>
        <w:rPr>
          <w:rFonts w:hint="eastAsia"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2A3FE951">
      <w:pPr>
        <w:pStyle w:val="25"/>
        <w:spacing w:beforeLines="0" w:afterLines="0" w:line="360" w:lineRule="auto"/>
        <w:rPr>
          <w:rFonts w:hint="eastAsia" w:hAnsi="宋体" w:cs="宋体"/>
          <w:sz w:val="21"/>
          <w:highlight w:val="none"/>
          <w:u w:val="single"/>
        </w:rPr>
      </w:pPr>
      <w:r>
        <w:rPr>
          <w:rFonts w:hint="eastAsia" w:hAnsi="宋体" w:cs="宋体"/>
          <w:sz w:val="21"/>
          <w:highlight w:val="none"/>
        </w:rPr>
        <w:t>投标人名称：</w:t>
      </w:r>
      <w:r>
        <w:rPr>
          <w:rFonts w:hint="eastAsia" w:hAnsi="宋体" w:cs="宋体"/>
          <w:sz w:val="21"/>
          <w:highlight w:val="none"/>
          <w:u w:val="single"/>
        </w:rPr>
        <w:t xml:space="preserve">                    </w:t>
      </w:r>
    </w:p>
    <w:tbl>
      <w:tblPr>
        <w:tblStyle w:val="48"/>
        <w:tblW w:w="90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787"/>
        <w:gridCol w:w="1890"/>
        <w:gridCol w:w="1578"/>
        <w:gridCol w:w="1887"/>
        <w:gridCol w:w="2048"/>
      </w:tblGrid>
      <w:tr w14:paraId="5D9B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trPr>
        <w:tc>
          <w:tcPr>
            <w:tcW w:w="907" w:type="dxa"/>
            <w:vAlign w:val="center"/>
          </w:tcPr>
          <w:p w14:paraId="14D3A088">
            <w:pPr>
              <w:snapToGrid/>
              <w:spacing w:before="0" w:beforeLines="0" w:after="0" w:afterLines="0" w:line="360" w:lineRule="auto"/>
              <w:jc w:val="center"/>
              <w:rPr>
                <w:rFonts w:hint="eastAsia" w:ascii="宋体" w:hAnsi="宋体" w:cs="宋体"/>
                <w:sz w:val="21"/>
                <w:szCs w:val="21"/>
                <w:highlight w:val="none"/>
              </w:rPr>
            </w:pPr>
          </w:p>
          <w:p w14:paraId="70E68770">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姓名</w:t>
            </w:r>
          </w:p>
        </w:tc>
        <w:tc>
          <w:tcPr>
            <w:tcW w:w="787" w:type="dxa"/>
            <w:vAlign w:val="center"/>
          </w:tcPr>
          <w:p w14:paraId="56E6CAAC">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职务</w:t>
            </w:r>
          </w:p>
        </w:tc>
        <w:tc>
          <w:tcPr>
            <w:tcW w:w="1890" w:type="dxa"/>
            <w:vAlign w:val="center"/>
          </w:tcPr>
          <w:p w14:paraId="6EFA1368">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专业技术资格（职称）或者职业资格或者执业资格证或者其他证书</w:t>
            </w:r>
          </w:p>
        </w:tc>
        <w:tc>
          <w:tcPr>
            <w:tcW w:w="1578" w:type="dxa"/>
            <w:vAlign w:val="center"/>
          </w:tcPr>
          <w:p w14:paraId="0AC75E57">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证书编号</w:t>
            </w:r>
          </w:p>
        </w:tc>
        <w:tc>
          <w:tcPr>
            <w:tcW w:w="1887" w:type="dxa"/>
            <w:vAlign w:val="center"/>
          </w:tcPr>
          <w:p w14:paraId="1D7AF644">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参加本单位</w:t>
            </w:r>
          </w:p>
          <w:p w14:paraId="11464D32">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工作时间</w:t>
            </w:r>
          </w:p>
        </w:tc>
        <w:tc>
          <w:tcPr>
            <w:tcW w:w="2048" w:type="dxa"/>
            <w:vAlign w:val="center"/>
          </w:tcPr>
          <w:p w14:paraId="510C3D5F">
            <w:pPr>
              <w:snapToGrid/>
              <w:spacing w:before="0" w:beforeLines="0" w:after="0" w:afterLines="0" w:line="360" w:lineRule="auto"/>
              <w:jc w:val="center"/>
              <w:rPr>
                <w:rFonts w:hint="eastAsia" w:ascii="宋体" w:hAnsi="宋体" w:cs="宋体"/>
                <w:sz w:val="21"/>
                <w:szCs w:val="21"/>
                <w:highlight w:val="none"/>
              </w:rPr>
            </w:pPr>
            <w:r>
              <w:rPr>
                <w:rFonts w:hint="eastAsia" w:ascii="宋体" w:hAnsi="宋体" w:cs="宋体"/>
                <w:sz w:val="21"/>
                <w:szCs w:val="21"/>
                <w:highlight w:val="none"/>
              </w:rPr>
              <w:t>劳动合同编号</w:t>
            </w:r>
          </w:p>
        </w:tc>
      </w:tr>
      <w:tr w14:paraId="27B4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07" w:type="dxa"/>
            <w:vAlign w:val="center"/>
          </w:tcPr>
          <w:p w14:paraId="28FC844F">
            <w:pPr>
              <w:snapToGrid/>
              <w:spacing w:before="0" w:beforeLines="0" w:after="0" w:afterLines="0" w:line="360" w:lineRule="auto"/>
              <w:jc w:val="center"/>
              <w:rPr>
                <w:rFonts w:hint="eastAsia" w:ascii="宋体" w:hAnsi="宋体" w:cs="宋体"/>
                <w:sz w:val="21"/>
                <w:szCs w:val="21"/>
                <w:highlight w:val="none"/>
              </w:rPr>
            </w:pPr>
          </w:p>
        </w:tc>
        <w:tc>
          <w:tcPr>
            <w:tcW w:w="787" w:type="dxa"/>
            <w:vAlign w:val="center"/>
          </w:tcPr>
          <w:p w14:paraId="7A6C837E">
            <w:pPr>
              <w:snapToGrid/>
              <w:spacing w:before="0" w:beforeLines="0" w:after="0" w:afterLines="0" w:line="360" w:lineRule="auto"/>
              <w:jc w:val="center"/>
              <w:rPr>
                <w:rFonts w:hint="eastAsia" w:ascii="宋体" w:hAnsi="宋体" w:cs="宋体"/>
                <w:sz w:val="21"/>
                <w:szCs w:val="21"/>
                <w:highlight w:val="none"/>
              </w:rPr>
            </w:pPr>
          </w:p>
        </w:tc>
        <w:tc>
          <w:tcPr>
            <w:tcW w:w="1890" w:type="dxa"/>
            <w:vAlign w:val="center"/>
          </w:tcPr>
          <w:p w14:paraId="2FFD6CD7">
            <w:pPr>
              <w:snapToGrid/>
              <w:spacing w:before="0" w:beforeLines="0" w:after="0" w:afterLines="0" w:line="360" w:lineRule="auto"/>
              <w:jc w:val="center"/>
              <w:rPr>
                <w:rFonts w:hint="eastAsia" w:ascii="宋体" w:hAnsi="宋体" w:cs="宋体"/>
                <w:sz w:val="21"/>
                <w:szCs w:val="21"/>
                <w:highlight w:val="none"/>
              </w:rPr>
            </w:pPr>
          </w:p>
        </w:tc>
        <w:tc>
          <w:tcPr>
            <w:tcW w:w="1578" w:type="dxa"/>
            <w:vAlign w:val="center"/>
          </w:tcPr>
          <w:p w14:paraId="28453585">
            <w:pPr>
              <w:snapToGrid/>
              <w:spacing w:before="0" w:beforeLines="0" w:after="0" w:afterLines="0" w:line="360" w:lineRule="auto"/>
              <w:jc w:val="center"/>
              <w:rPr>
                <w:rFonts w:hint="eastAsia" w:ascii="宋体" w:hAnsi="宋体" w:cs="宋体"/>
                <w:sz w:val="21"/>
                <w:szCs w:val="21"/>
                <w:highlight w:val="none"/>
              </w:rPr>
            </w:pPr>
          </w:p>
        </w:tc>
        <w:tc>
          <w:tcPr>
            <w:tcW w:w="1887" w:type="dxa"/>
            <w:vAlign w:val="center"/>
          </w:tcPr>
          <w:p w14:paraId="0222F8C0">
            <w:pPr>
              <w:snapToGrid/>
              <w:spacing w:before="0" w:beforeLines="0" w:after="0" w:afterLines="0" w:line="360" w:lineRule="auto"/>
              <w:jc w:val="center"/>
              <w:rPr>
                <w:rFonts w:hint="eastAsia" w:ascii="宋体" w:hAnsi="宋体" w:cs="宋体"/>
                <w:sz w:val="21"/>
                <w:szCs w:val="21"/>
                <w:highlight w:val="none"/>
              </w:rPr>
            </w:pPr>
          </w:p>
        </w:tc>
        <w:tc>
          <w:tcPr>
            <w:tcW w:w="2048" w:type="dxa"/>
            <w:vAlign w:val="center"/>
          </w:tcPr>
          <w:p w14:paraId="12AD9187">
            <w:pPr>
              <w:snapToGrid/>
              <w:spacing w:before="0" w:beforeLines="0" w:after="0" w:afterLines="0" w:line="360" w:lineRule="auto"/>
              <w:jc w:val="center"/>
              <w:rPr>
                <w:rFonts w:hint="eastAsia" w:ascii="宋体" w:hAnsi="宋体" w:cs="宋体"/>
                <w:sz w:val="21"/>
                <w:szCs w:val="21"/>
                <w:highlight w:val="none"/>
              </w:rPr>
            </w:pPr>
          </w:p>
        </w:tc>
      </w:tr>
      <w:tr w14:paraId="1E3C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07" w:type="dxa"/>
            <w:vAlign w:val="center"/>
          </w:tcPr>
          <w:p w14:paraId="59B323FA">
            <w:pPr>
              <w:snapToGrid/>
              <w:spacing w:before="0" w:beforeLines="0" w:after="0" w:afterLines="0" w:line="360" w:lineRule="auto"/>
              <w:jc w:val="center"/>
              <w:rPr>
                <w:rFonts w:hint="eastAsia" w:ascii="宋体" w:hAnsi="宋体" w:cs="宋体"/>
                <w:sz w:val="21"/>
                <w:szCs w:val="21"/>
                <w:highlight w:val="none"/>
              </w:rPr>
            </w:pPr>
          </w:p>
        </w:tc>
        <w:tc>
          <w:tcPr>
            <w:tcW w:w="787" w:type="dxa"/>
            <w:vAlign w:val="center"/>
          </w:tcPr>
          <w:p w14:paraId="48781AD7">
            <w:pPr>
              <w:snapToGrid/>
              <w:spacing w:before="0" w:beforeLines="0" w:after="0" w:afterLines="0" w:line="360" w:lineRule="auto"/>
              <w:jc w:val="center"/>
              <w:rPr>
                <w:rFonts w:hint="eastAsia" w:ascii="宋体" w:hAnsi="宋体" w:cs="宋体"/>
                <w:sz w:val="21"/>
                <w:szCs w:val="21"/>
                <w:highlight w:val="none"/>
              </w:rPr>
            </w:pPr>
          </w:p>
        </w:tc>
        <w:tc>
          <w:tcPr>
            <w:tcW w:w="1890" w:type="dxa"/>
            <w:vAlign w:val="center"/>
          </w:tcPr>
          <w:p w14:paraId="42AA8EF6">
            <w:pPr>
              <w:snapToGrid/>
              <w:spacing w:before="0" w:beforeLines="0" w:after="0" w:afterLines="0" w:line="360" w:lineRule="auto"/>
              <w:jc w:val="center"/>
              <w:rPr>
                <w:rFonts w:hint="eastAsia" w:ascii="宋体" w:hAnsi="宋体" w:cs="宋体"/>
                <w:sz w:val="21"/>
                <w:szCs w:val="21"/>
                <w:highlight w:val="none"/>
              </w:rPr>
            </w:pPr>
          </w:p>
        </w:tc>
        <w:tc>
          <w:tcPr>
            <w:tcW w:w="1578" w:type="dxa"/>
            <w:vAlign w:val="center"/>
          </w:tcPr>
          <w:p w14:paraId="243B3994">
            <w:pPr>
              <w:snapToGrid/>
              <w:spacing w:before="0" w:beforeLines="0" w:after="0" w:afterLines="0" w:line="360" w:lineRule="auto"/>
              <w:jc w:val="center"/>
              <w:rPr>
                <w:rFonts w:hint="eastAsia" w:ascii="宋体" w:hAnsi="宋体" w:cs="宋体"/>
                <w:sz w:val="21"/>
                <w:szCs w:val="21"/>
                <w:highlight w:val="none"/>
              </w:rPr>
            </w:pPr>
          </w:p>
        </w:tc>
        <w:tc>
          <w:tcPr>
            <w:tcW w:w="1887" w:type="dxa"/>
            <w:vAlign w:val="center"/>
          </w:tcPr>
          <w:p w14:paraId="0F1C9DD0">
            <w:pPr>
              <w:snapToGrid/>
              <w:spacing w:before="0" w:beforeLines="0" w:after="0" w:afterLines="0" w:line="360" w:lineRule="auto"/>
              <w:jc w:val="center"/>
              <w:rPr>
                <w:rFonts w:hint="eastAsia" w:ascii="宋体" w:hAnsi="宋体" w:cs="宋体"/>
                <w:sz w:val="21"/>
                <w:szCs w:val="21"/>
                <w:highlight w:val="none"/>
              </w:rPr>
            </w:pPr>
          </w:p>
        </w:tc>
        <w:tc>
          <w:tcPr>
            <w:tcW w:w="2048" w:type="dxa"/>
            <w:vAlign w:val="center"/>
          </w:tcPr>
          <w:p w14:paraId="57DEED22">
            <w:pPr>
              <w:snapToGrid/>
              <w:spacing w:before="0" w:beforeLines="0" w:after="0" w:afterLines="0" w:line="360" w:lineRule="auto"/>
              <w:jc w:val="center"/>
              <w:rPr>
                <w:rFonts w:hint="eastAsia" w:ascii="宋体" w:hAnsi="宋体" w:cs="宋体"/>
                <w:sz w:val="21"/>
                <w:szCs w:val="21"/>
                <w:highlight w:val="none"/>
              </w:rPr>
            </w:pPr>
          </w:p>
        </w:tc>
      </w:tr>
      <w:tr w14:paraId="17C61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07" w:type="dxa"/>
            <w:vAlign w:val="center"/>
          </w:tcPr>
          <w:p w14:paraId="01523F4B">
            <w:pPr>
              <w:snapToGrid/>
              <w:spacing w:before="0" w:beforeLines="0" w:after="0" w:afterLines="0" w:line="360" w:lineRule="auto"/>
              <w:jc w:val="center"/>
              <w:rPr>
                <w:rFonts w:hint="eastAsia" w:ascii="宋体" w:hAnsi="宋体" w:cs="宋体"/>
                <w:sz w:val="21"/>
                <w:szCs w:val="21"/>
                <w:highlight w:val="none"/>
              </w:rPr>
            </w:pPr>
          </w:p>
        </w:tc>
        <w:tc>
          <w:tcPr>
            <w:tcW w:w="787" w:type="dxa"/>
            <w:vAlign w:val="center"/>
          </w:tcPr>
          <w:p w14:paraId="4B52E195">
            <w:pPr>
              <w:snapToGrid/>
              <w:spacing w:before="0" w:beforeLines="0" w:after="0" w:afterLines="0" w:line="360" w:lineRule="auto"/>
              <w:jc w:val="center"/>
              <w:rPr>
                <w:rFonts w:hint="eastAsia" w:ascii="宋体" w:hAnsi="宋体" w:cs="宋体"/>
                <w:sz w:val="21"/>
                <w:szCs w:val="21"/>
                <w:highlight w:val="none"/>
              </w:rPr>
            </w:pPr>
          </w:p>
        </w:tc>
        <w:tc>
          <w:tcPr>
            <w:tcW w:w="1890" w:type="dxa"/>
            <w:vAlign w:val="center"/>
          </w:tcPr>
          <w:p w14:paraId="45A4F9F4">
            <w:pPr>
              <w:snapToGrid/>
              <w:spacing w:before="0" w:beforeLines="0" w:after="0" w:afterLines="0" w:line="360" w:lineRule="auto"/>
              <w:jc w:val="center"/>
              <w:rPr>
                <w:rFonts w:hint="eastAsia" w:ascii="宋体" w:hAnsi="宋体" w:cs="宋体"/>
                <w:sz w:val="21"/>
                <w:szCs w:val="21"/>
                <w:highlight w:val="none"/>
              </w:rPr>
            </w:pPr>
          </w:p>
        </w:tc>
        <w:tc>
          <w:tcPr>
            <w:tcW w:w="1578" w:type="dxa"/>
            <w:vAlign w:val="center"/>
          </w:tcPr>
          <w:p w14:paraId="6515EF5D">
            <w:pPr>
              <w:snapToGrid/>
              <w:spacing w:before="0" w:beforeLines="0" w:after="0" w:afterLines="0" w:line="360" w:lineRule="auto"/>
              <w:jc w:val="center"/>
              <w:rPr>
                <w:rFonts w:hint="eastAsia" w:ascii="宋体" w:hAnsi="宋体" w:cs="宋体"/>
                <w:sz w:val="21"/>
                <w:szCs w:val="21"/>
                <w:highlight w:val="none"/>
              </w:rPr>
            </w:pPr>
          </w:p>
        </w:tc>
        <w:tc>
          <w:tcPr>
            <w:tcW w:w="1887" w:type="dxa"/>
            <w:vAlign w:val="center"/>
          </w:tcPr>
          <w:p w14:paraId="158CA7F1">
            <w:pPr>
              <w:snapToGrid/>
              <w:spacing w:before="0" w:beforeLines="0" w:after="0" w:afterLines="0" w:line="360" w:lineRule="auto"/>
              <w:jc w:val="center"/>
              <w:rPr>
                <w:rFonts w:hint="eastAsia" w:ascii="宋体" w:hAnsi="宋体" w:cs="宋体"/>
                <w:sz w:val="21"/>
                <w:szCs w:val="21"/>
                <w:highlight w:val="none"/>
              </w:rPr>
            </w:pPr>
          </w:p>
        </w:tc>
        <w:tc>
          <w:tcPr>
            <w:tcW w:w="2048" w:type="dxa"/>
            <w:vAlign w:val="center"/>
          </w:tcPr>
          <w:p w14:paraId="50138445">
            <w:pPr>
              <w:snapToGrid/>
              <w:spacing w:before="0" w:beforeLines="0" w:after="0" w:afterLines="0" w:line="360" w:lineRule="auto"/>
              <w:jc w:val="center"/>
              <w:rPr>
                <w:rFonts w:hint="eastAsia" w:ascii="宋体" w:hAnsi="宋体" w:cs="宋体"/>
                <w:sz w:val="21"/>
                <w:szCs w:val="21"/>
                <w:highlight w:val="none"/>
              </w:rPr>
            </w:pPr>
          </w:p>
        </w:tc>
      </w:tr>
    </w:tbl>
    <w:p w14:paraId="262C9958">
      <w:pPr>
        <w:snapToGrid/>
        <w:spacing w:before="0" w:beforeLines="0" w:after="0" w:afterLines="0" w:line="360" w:lineRule="auto"/>
        <w:jc w:val="left"/>
        <w:rPr>
          <w:rFonts w:hint="eastAsia" w:ascii="宋体" w:hAnsi="宋体" w:cs="宋体"/>
          <w:sz w:val="21"/>
          <w:szCs w:val="21"/>
          <w:highlight w:val="none"/>
        </w:rPr>
      </w:pPr>
    </w:p>
    <w:p w14:paraId="1803960B">
      <w:pPr>
        <w:spacing w:beforeLines="0" w:afterLines="0" w:line="360" w:lineRule="auto"/>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5C9FEC00">
      <w:pPr>
        <w:spacing w:beforeLines="0" w:afterLines="0" w:line="360" w:lineRule="auto"/>
        <w:ind w:firstLine="420" w:firstLineChars="20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1.在填写时，如本表格不适合投标单位的实际情况，可根据本表格式自行制表填写。</w:t>
      </w:r>
    </w:p>
    <w:p w14:paraId="7E2DAB31">
      <w:pPr>
        <w:spacing w:beforeLines="0" w:afterLines="0" w:line="360" w:lineRule="auto"/>
        <w:ind w:firstLine="420" w:firstLineChars="200"/>
        <w:contextualSpacing/>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2.投标人应当附本表所列证书并加盖投标人公章。</w:t>
      </w:r>
    </w:p>
    <w:p w14:paraId="3600ECE1">
      <w:pPr>
        <w:snapToGrid/>
        <w:spacing w:before="0" w:beforeLines="0" w:afterLines="0" w:line="360" w:lineRule="auto"/>
        <w:ind w:right="0"/>
        <w:jc w:val="right"/>
        <w:rPr>
          <w:rFonts w:hint="eastAsia"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6BB4B9E7">
      <w:pPr>
        <w:snapToGrid/>
        <w:spacing w:before="0" w:beforeLines="0" w:after="0" w:afterLines="0" w:line="360" w:lineRule="auto"/>
        <w:ind w:right="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7046027F">
      <w:pPr>
        <w:snapToGrid/>
        <w:spacing w:before="0" w:beforeLines="0" w:after="0" w:afterLines="0" w:line="360" w:lineRule="auto"/>
        <w:ind w:right="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5D7CAEAD">
      <w:pPr>
        <w:snapToGrid w:val="0"/>
        <w:spacing w:before="50" w:after="120" w:afterLines="50"/>
        <w:jc w:val="left"/>
        <w:rPr>
          <w:rFonts w:ascii="宋体" w:hAnsi="宋体" w:cs="宋体"/>
          <w:sz w:val="24"/>
          <w:szCs w:val="20"/>
          <w:highlight w:val="none"/>
        </w:rPr>
      </w:pPr>
    </w:p>
    <w:p w14:paraId="188B5248">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br w:type="page"/>
      </w:r>
      <w:r>
        <w:rPr>
          <w:rFonts w:hint="eastAsia" w:ascii="宋体" w:hAnsi="宋体" w:cs="宋体"/>
          <w:b/>
          <w:sz w:val="24"/>
          <w:highlight w:val="none"/>
        </w:rPr>
        <w:t>6. 选配件、专用耗材、售后服务优惠表</w:t>
      </w:r>
    </w:p>
    <w:p w14:paraId="33E05D96">
      <w:pPr>
        <w:snapToGrid w:val="0"/>
        <w:spacing w:before="120" w:beforeLines="50" w:after="50"/>
        <w:ind w:left="142"/>
        <w:jc w:val="left"/>
        <w:rPr>
          <w:rFonts w:ascii="宋体" w:hAnsi="宋体" w:cs="宋体"/>
          <w:b/>
          <w:sz w:val="24"/>
          <w:highlight w:val="none"/>
        </w:rPr>
      </w:pPr>
    </w:p>
    <w:p w14:paraId="41731DA2">
      <w:pPr>
        <w:snapToGrid w:val="0"/>
        <w:spacing w:before="120" w:beforeLines="50" w:after="50"/>
        <w:ind w:left="142"/>
        <w:jc w:val="center"/>
        <w:rPr>
          <w:rFonts w:ascii="宋体" w:hAnsi="宋体" w:cs="宋体"/>
          <w:b/>
          <w:sz w:val="32"/>
          <w:szCs w:val="32"/>
          <w:highlight w:val="none"/>
        </w:rPr>
      </w:pPr>
      <w:r>
        <w:rPr>
          <w:rFonts w:hint="eastAsia" w:ascii="宋体" w:hAnsi="宋体" w:cs="宋体"/>
          <w:b/>
          <w:sz w:val="32"/>
          <w:szCs w:val="32"/>
          <w:highlight w:val="none"/>
        </w:rPr>
        <w:t>选配件、专用耗材、售后服务优惠表</w:t>
      </w:r>
    </w:p>
    <w:p w14:paraId="1659145F">
      <w:pPr>
        <w:snapToGrid w:val="0"/>
        <w:spacing w:before="50" w:after="50" w:line="360" w:lineRule="auto"/>
        <w:rPr>
          <w:rFonts w:hint="eastAsia" w:ascii="宋体" w:hAnsi="宋体" w:cs="宋体"/>
          <w:sz w:val="24"/>
          <w:highlight w:val="none"/>
        </w:rPr>
      </w:pPr>
    </w:p>
    <w:p w14:paraId="3BC703A4">
      <w:pPr>
        <w:snapToGrid w:val="0"/>
        <w:spacing w:before="50" w:after="50" w:line="360" w:lineRule="auto"/>
        <w:rPr>
          <w:rFonts w:ascii="宋体" w:hAnsi="宋体" w:cs="宋体"/>
          <w:sz w:val="21"/>
          <w:szCs w:val="21"/>
          <w:highlight w:val="none"/>
          <w:u w:val="single"/>
        </w:rPr>
      </w:pPr>
      <w:r>
        <w:rPr>
          <w:rFonts w:hint="eastAsia" w:ascii="宋体" w:hAnsi="宋体" w:cs="宋体"/>
          <w:sz w:val="21"/>
          <w:szCs w:val="21"/>
          <w:highlight w:val="none"/>
        </w:rPr>
        <w:t>项目名称：</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项目编号：</w:t>
      </w:r>
      <w:r>
        <w:rPr>
          <w:rFonts w:hint="eastAsia" w:ascii="宋体" w:hAnsi="宋体" w:cs="宋体"/>
          <w:sz w:val="21"/>
          <w:szCs w:val="21"/>
          <w:highlight w:val="none"/>
          <w:u w:val="single"/>
        </w:rPr>
        <w:t xml:space="preserve">            </w:t>
      </w:r>
      <w:r>
        <w:rPr>
          <w:rFonts w:hint="eastAsia" w:ascii="宋体" w:hAnsi="宋体" w:cs="宋体"/>
          <w:sz w:val="21"/>
          <w:szCs w:val="21"/>
          <w:highlight w:val="none"/>
        </w:rPr>
        <w:t xml:space="preserve">         分标：</w:t>
      </w:r>
      <w:r>
        <w:rPr>
          <w:rFonts w:hint="eastAsia" w:ascii="宋体" w:hAnsi="宋体" w:cs="宋体"/>
          <w:sz w:val="21"/>
          <w:szCs w:val="21"/>
          <w:highlight w:val="none"/>
          <w:u w:val="single"/>
        </w:rPr>
        <w:t xml:space="preserve">  </w:t>
      </w:r>
    </w:p>
    <w:p w14:paraId="78449708">
      <w:pPr>
        <w:pStyle w:val="25"/>
        <w:rPr>
          <w:rFonts w:hAnsi="宋体" w:cs="宋体"/>
          <w:sz w:val="21"/>
          <w:highlight w:val="none"/>
        </w:rPr>
      </w:pPr>
      <w:r>
        <w:rPr>
          <w:rFonts w:hint="eastAsia" w:hAnsi="宋体" w:cs="宋体"/>
          <w:sz w:val="21"/>
          <w:highlight w:val="none"/>
        </w:rPr>
        <w:t>投标人名称：</w:t>
      </w:r>
      <w:r>
        <w:rPr>
          <w:rFonts w:hint="eastAsia" w:hAnsi="宋体" w:cs="宋体"/>
          <w:sz w:val="21"/>
          <w:highlight w:val="none"/>
          <w:u w:val="single"/>
        </w:rPr>
        <w:t xml:space="preserve">                     </w:t>
      </w:r>
      <w:r>
        <w:rPr>
          <w:rFonts w:hint="eastAsia" w:hAnsi="宋体" w:cs="宋体"/>
          <w:sz w:val="21"/>
          <w:highlight w:val="none"/>
        </w:rPr>
        <w:t xml:space="preserve">                      </w:t>
      </w:r>
    </w:p>
    <w:tbl>
      <w:tblPr>
        <w:tblStyle w:val="48"/>
        <w:tblW w:w="865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2340"/>
      </w:tblGrid>
      <w:tr w14:paraId="3C1AAB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A62FD2C">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14:paraId="42977725">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14:paraId="47C2B184">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14:paraId="1320DE16">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单价（人民币元）</w:t>
            </w:r>
          </w:p>
        </w:tc>
        <w:tc>
          <w:tcPr>
            <w:tcW w:w="2340" w:type="dxa"/>
            <w:tcBorders>
              <w:top w:val="single" w:color="auto" w:sz="4" w:space="0"/>
              <w:left w:val="single" w:color="auto" w:sz="4" w:space="0"/>
              <w:bottom w:val="single" w:color="auto" w:sz="2" w:space="0"/>
              <w:right w:val="single" w:color="auto" w:sz="4" w:space="0"/>
            </w:tcBorders>
            <w:vAlign w:val="center"/>
          </w:tcPr>
          <w:p w14:paraId="6EF4B041">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比市场价优惠率</w:t>
            </w:r>
          </w:p>
        </w:tc>
      </w:tr>
      <w:tr w14:paraId="1EF5F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637A07F">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1</w:t>
            </w:r>
          </w:p>
        </w:tc>
        <w:tc>
          <w:tcPr>
            <w:tcW w:w="2700" w:type="dxa"/>
            <w:tcBorders>
              <w:top w:val="single" w:color="auto" w:sz="2" w:space="0"/>
              <w:left w:val="single" w:color="auto" w:sz="2" w:space="0"/>
              <w:bottom w:val="single" w:color="auto" w:sz="6" w:space="0"/>
              <w:right w:val="single" w:color="auto" w:sz="4" w:space="0"/>
            </w:tcBorders>
            <w:vAlign w:val="center"/>
          </w:tcPr>
          <w:p w14:paraId="7F1513E1">
            <w:pPr>
              <w:pStyle w:val="25"/>
              <w:snapToGrid w:val="0"/>
              <w:spacing w:before="295" w:after="295"/>
              <w:jc w:val="center"/>
              <w:rPr>
                <w:rFonts w:hAnsi="宋体" w:cs="宋体"/>
                <w:kern w:val="2"/>
                <w:sz w:val="21"/>
                <w:szCs w:val="21"/>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14:paraId="66A8A695">
            <w:pPr>
              <w:pStyle w:val="25"/>
              <w:snapToGrid w:val="0"/>
              <w:spacing w:before="295" w:after="295"/>
              <w:jc w:val="center"/>
              <w:rPr>
                <w:rFonts w:hAnsi="宋体" w:cs="宋体"/>
                <w:kern w:val="2"/>
                <w:sz w:val="21"/>
                <w:szCs w:val="21"/>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14:paraId="6F0B881B">
            <w:pPr>
              <w:pStyle w:val="25"/>
              <w:snapToGrid w:val="0"/>
              <w:spacing w:before="295" w:after="295"/>
              <w:jc w:val="center"/>
              <w:rPr>
                <w:rFonts w:hAnsi="宋体" w:cs="宋体"/>
                <w:kern w:val="2"/>
                <w:sz w:val="21"/>
                <w:szCs w:val="21"/>
                <w:highlight w:val="none"/>
              </w:rPr>
            </w:pPr>
          </w:p>
        </w:tc>
        <w:tc>
          <w:tcPr>
            <w:tcW w:w="2340" w:type="dxa"/>
            <w:tcBorders>
              <w:top w:val="single" w:color="auto" w:sz="2" w:space="0"/>
              <w:left w:val="single" w:color="auto" w:sz="6" w:space="0"/>
              <w:bottom w:val="single" w:color="auto" w:sz="6" w:space="0"/>
              <w:right w:val="single" w:color="auto" w:sz="2" w:space="0"/>
            </w:tcBorders>
            <w:vAlign w:val="center"/>
          </w:tcPr>
          <w:p w14:paraId="287155D1">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 xml:space="preserve"> </w:t>
            </w:r>
            <w:r>
              <w:rPr>
                <w:rFonts w:hint="eastAsia" w:hAnsi="宋体" w:cs="宋体"/>
                <w:kern w:val="2"/>
                <w:sz w:val="21"/>
                <w:szCs w:val="21"/>
                <w:highlight w:val="none"/>
                <w:u w:val="single"/>
              </w:rPr>
              <w:t xml:space="preserve">           </w:t>
            </w:r>
            <w:r>
              <w:rPr>
                <w:rFonts w:hint="eastAsia" w:hAnsi="宋体" w:cs="宋体"/>
                <w:kern w:val="2"/>
                <w:sz w:val="21"/>
                <w:szCs w:val="21"/>
                <w:highlight w:val="none"/>
              </w:rPr>
              <w:t>%</w:t>
            </w:r>
          </w:p>
        </w:tc>
      </w:tr>
      <w:tr w14:paraId="00DE66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5DF3284A">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2</w:t>
            </w:r>
          </w:p>
        </w:tc>
        <w:tc>
          <w:tcPr>
            <w:tcW w:w="2700" w:type="dxa"/>
            <w:tcBorders>
              <w:top w:val="single" w:color="auto" w:sz="6" w:space="0"/>
              <w:left w:val="single" w:color="auto" w:sz="2" w:space="0"/>
              <w:bottom w:val="single" w:color="auto" w:sz="6" w:space="0"/>
              <w:right w:val="single" w:color="auto" w:sz="4" w:space="0"/>
            </w:tcBorders>
            <w:vAlign w:val="center"/>
          </w:tcPr>
          <w:p w14:paraId="545D95F1">
            <w:pPr>
              <w:pStyle w:val="25"/>
              <w:snapToGrid w:val="0"/>
              <w:spacing w:before="295" w:after="295"/>
              <w:jc w:val="center"/>
              <w:rPr>
                <w:rFonts w:hAnsi="宋体" w:cs="宋体"/>
                <w:kern w:val="2"/>
                <w:sz w:val="21"/>
                <w:szCs w:val="21"/>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254E3072">
            <w:pPr>
              <w:pStyle w:val="25"/>
              <w:snapToGrid w:val="0"/>
              <w:spacing w:before="295" w:after="295"/>
              <w:jc w:val="center"/>
              <w:rPr>
                <w:rFonts w:hAnsi="宋体" w:cs="宋体"/>
                <w:kern w:val="2"/>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43A53C7D">
            <w:pPr>
              <w:pStyle w:val="25"/>
              <w:snapToGrid w:val="0"/>
              <w:spacing w:before="295" w:after="295"/>
              <w:jc w:val="center"/>
              <w:rPr>
                <w:rFonts w:hAnsi="宋体" w:cs="宋体"/>
                <w:kern w:val="2"/>
                <w:sz w:val="21"/>
                <w:szCs w:val="21"/>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350E4E4B">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 xml:space="preserve"> </w:t>
            </w:r>
            <w:r>
              <w:rPr>
                <w:rFonts w:hint="eastAsia" w:hAnsi="宋体" w:cs="宋体"/>
                <w:kern w:val="2"/>
                <w:sz w:val="21"/>
                <w:szCs w:val="21"/>
                <w:highlight w:val="none"/>
                <w:u w:val="single"/>
              </w:rPr>
              <w:t xml:space="preserve">           </w:t>
            </w:r>
            <w:r>
              <w:rPr>
                <w:rFonts w:hint="eastAsia" w:hAnsi="宋体" w:cs="宋体"/>
                <w:kern w:val="2"/>
                <w:sz w:val="21"/>
                <w:szCs w:val="21"/>
                <w:highlight w:val="none"/>
              </w:rPr>
              <w:t>%</w:t>
            </w:r>
          </w:p>
        </w:tc>
      </w:tr>
      <w:tr w14:paraId="56923D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14:paraId="6F1481C9">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3</w:t>
            </w:r>
          </w:p>
        </w:tc>
        <w:tc>
          <w:tcPr>
            <w:tcW w:w="2700" w:type="dxa"/>
            <w:tcBorders>
              <w:top w:val="single" w:color="auto" w:sz="6" w:space="0"/>
              <w:left w:val="single" w:color="auto" w:sz="2" w:space="0"/>
              <w:bottom w:val="single" w:color="auto" w:sz="6" w:space="0"/>
              <w:right w:val="single" w:color="auto" w:sz="4" w:space="0"/>
            </w:tcBorders>
            <w:vAlign w:val="center"/>
          </w:tcPr>
          <w:p w14:paraId="00C3DE8E">
            <w:pPr>
              <w:pStyle w:val="25"/>
              <w:snapToGrid w:val="0"/>
              <w:spacing w:before="295" w:after="295"/>
              <w:jc w:val="center"/>
              <w:rPr>
                <w:rFonts w:hAnsi="宋体" w:cs="宋体"/>
                <w:kern w:val="2"/>
                <w:sz w:val="21"/>
                <w:szCs w:val="21"/>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14:paraId="753DA734">
            <w:pPr>
              <w:pStyle w:val="25"/>
              <w:snapToGrid w:val="0"/>
              <w:spacing w:before="295" w:after="295"/>
              <w:jc w:val="center"/>
              <w:rPr>
                <w:rFonts w:hAnsi="宋体" w:cs="宋体"/>
                <w:kern w:val="2"/>
                <w:sz w:val="21"/>
                <w:szCs w:val="21"/>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14:paraId="594469E1">
            <w:pPr>
              <w:pStyle w:val="25"/>
              <w:snapToGrid w:val="0"/>
              <w:spacing w:before="295" w:after="295"/>
              <w:jc w:val="center"/>
              <w:rPr>
                <w:rFonts w:hAnsi="宋体" w:cs="宋体"/>
                <w:kern w:val="2"/>
                <w:sz w:val="21"/>
                <w:szCs w:val="21"/>
                <w:highlight w:val="none"/>
              </w:rPr>
            </w:pPr>
          </w:p>
        </w:tc>
        <w:tc>
          <w:tcPr>
            <w:tcW w:w="2340" w:type="dxa"/>
            <w:tcBorders>
              <w:top w:val="single" w:color="auto" w:sz="6" w:space="0"/>
              <w:left w:val="single" w:color="auto" w:sz="6" w:space="0"/>
              <w:bottom w:val="single" w:color="auto" w:sz="6" w:space="0"/>
              <w:right w:val="single" w:color="auto" w:sz="2" w:space="0"/>
            </w:tcBorders>
            <w:vAlign w:val="center"/>
          </w:tcPr>
          <w:p w14:paraId="309EC903">
            <w:pPr>
              <w:pStyle w:val="25"/>
              <w:snapToGrid w:val="0"/>
              <w:spacing w:before="295" w:after="295"/>
              <w:jc w:val="center"/>
              <w:rPr>
                <w:rFonts w:hAnsi="宋体" w:cs="宋体"/>
                <w:kern w:val="2"/>
                <w:sz w:val="21"/>
                <w:szCs w:val="21"/>
                <w:highlight w:val="none"/>
              </w:rPr>
            </w:pPr>
            <w:r>
              <w:rPr>
                <w:rFonts w:hint="eastAsia" w:hAnsi="宋体" w:cs="宋体"/>
                <w:kern w:val="2"/>
                <w:sz w:val="21"/>
                <w:szCs w:val="21"/>
                <w:highlight w:val="none"/>
              </w:rPr>
              <w:t xml:space="preserve"> </w:t>
            </w:r>
            <w:r>
              <w:rPr>
                <w:rFonts w:hint="eastAsia" w:hAnsi="宋体" w:cs="宋体"/>
                <w:kern w:val="2"/>
                <w:sz w:val="21"/>
                <w:szCs w:val="21"/>
                <w:highlight w:val="none"/>
                <w:u w:val="single"/>
              </w:rPr>
              <w:t xml:space="preserve">           </w:t>
            </w:r>
            <w:r>
              <w:rPr>
                <w:rFonts w:hint="eastAsia" w:hAnsi="宋体" w:cs="宋体"/>
                <w:kern w:val="2"/>
                <w:sz w:val="21"/>
                <w:szCs w:val="21"/>
                <w:highlight w:val="none"/>
              </w:rPr>
              <w:t>%</w:t>
            </w:r>
          </w:p>
        </w:tc>
      </w:tr>
    </w:tbl>
    <w:p w14:paraId="4352EC2E">
      <w:pPr>
        <w:spacing w:line="360" w:lineRule="auto"/>
        <w:contextualSpacing/>
        <w:rPr>
          <w:rFonts w:ascii="宋体" w:hAnsi="宋体" w:cs="宋体"/>
          <w:sz w:val="21"/>
          <w:szCs w:val="21"/>
          <w:highlight w:val="none"/>
        </w:rPr>
      </w:pPr>
    </w:p>
    <w:p w14:paraId="41FE6963">
      <w:pPr>
        <w:snapToGrid w:val="0"/>
        <w:spacing w:before="120" w:beforeLines="50" w:line="360" w:lineRule="auto"/>
        <w:ind w:right="480"/>
        <w:jc w:val="right"/>
        <w:rPr>
          <w:rFonts w:ascii="宋体" w:hAnsi="宋体" w:cs="宋体"/>
          <w:sz w:val="21"/>
          <w:szCs w:val="21"/>
          <w:highlight w:val="none"/>
          <w:u w:val="single"/>
        </w:rPr>
      </w:pPr>
      <w:r>
        <w:rPr>
          <w:rFonts w:hint="eastAsia" w:ascii="宋体" w:hAnsi="宋体" w:cs="宋体"/>
          <w:sz w:val="21"/>
          <w:szCs w:val="21"/>
          <w:highlight w:val="none"/>
        </w:rPr>
        <w:t>法定代表人或者委托代理人（签字（或个人CA签章））：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1611DD6C">
      <w:pPr>
        <w:snapToGrid w:val="0"/>
        <w:spacing w:before="120" w:beforeLines="50" w:after="50" w:line="360" w:lineRule="auto"/>
        <w:ind w:right="480" w:firstLine="4830" w:firstLineChars="2300"/>
        <w:rPr>
          <w:rFonts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461AEBA7">
      <w:pPr>
        <w:snapToGrid w:val="0"/>
        <w:spacing w:before="120" w:beforeLines="50" w:after="50" w:line="360" w:lineRule="auto"/>
        <w:ind w:right="480" w:firstLine="210" w:firstLineChars="100"/>
        <w:jc w:val="right"/>
        <w:rPr>
          <w:rFonts w:ascii="宋体" w:hAnsi="宋体" w:cs="宋体"/>
          <w:sz w:val="21"/>
          <w:szCs w:val="21"/>
          <w:highlight w:val="none"/>
        </w:rPr>
      </w:pPr>
      <w:r>
        <w:rPr>
          <w:rFonts w:hint="eastAsia"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日</w:t>
      </w:r>
    </w:p>
    <w:p w14:paraId="204AE454">
      <w:pPr>
        <w:snapToGrid w:val="0"/>
        <w:spacing w:before="50" w:after="120" w:afterLines="50"/>
        <w:jc w:val="left"/>
        <w:rPr>
          <w:rFonts w:ascii="宋体" w:hAnsi="宋体" w:cs="宋体"/>
          <w:sz w:val="21"/>
          <w:szCs w:val="21"/>
          <w:highlight w:val="none"/>
        </w:rPr>
      </w:pPr>
    </w:p>
    <w:p w14:paraId="707FC2B1">
      <w:pPr>
        <w:rPr>
          <w:rFonts w:ascii="宋体" w:hAnsi="宋体" w:cs="宋体"/>
          <w:b/>
          <w:sz w:val="28"/>
          <w:szCs w:val="28"/>
          <w:highlight w:val="none"/>
        </w:rPr>
      </w:pPr>
      <w:r>
        <w:rPr>
          <w:rFonts w:hint="eastAsia" w:ascii="宋体" w:hAnsi="宋体" w:cs="宋体"/>
          <w:b/>
          <w:bCs/>
          <w:sz w:val="24"/>
          <w:highlight w:val="none"/>
        </w:rPr>
        <w:br w:type="page"/>
      </w:r>
      <w:r>
        <w:rPr>
          <w:rFonts w:hint="eastAsia" w:ascii="宋体" w:hAnsi="宋体" w:cs="宋体"/>
          <w:b/>
          <w:sz w:val="28"/>
          <w:szCs w:val="28"/>
          <w:highlight w:val="none"/>
        </w:rPr>
        <w:t>五、其他文书、文件格式</w:t>
      </w:r>
    </w:p>
    <w:p w14:paraId="705CFEA1">
      <w:pPr>
        <w:snapToGrid w:val="0"/>
        <w:spacing w:before="120" w:beforeLines="50" w:after="50"/>
        <w:ind w:left="142"/>
        <w:jc w:val="left"/>
        <w:rPr>
          <w:rFonts w:ascii="宋体" w:hAnsi="宋体" w:cs="宋体"/>
          <w:b/>
          <w:spacing w:val="20"/>
          <w:sz w:val="24"/>
          <w:highlight w:val="none"/>
        </w:rPr>
      </w:pPr>
      <w:r>
        <w:rPr>
          <w:rFonts w:hint="eastAsia" w:ascii="宋体" w:hAnsi="宋体" w:cs="宋体"/>
          <w:b/>
          <w:spacing w:val="20"/>
          <w:sz w:val="24"/>
          <w:highlight w:val="none"/>
        </w:rPr>
        <w:t>1.联合投标协议书格式</w:t>
      </w:r>
    </w:p>
    <w:p w14:paraId="589D97B5">
      <w:pPr>
        <w:pStyle w:val="7"/>
        <w:overflowPunct w:val="0"/>
        <w:jc w:val="center"/>
        <w:rPr>
          <w:rFonts w:ascii="宋体" w:hAnsi="宋体" w:cs="宋体"/>
          <w:sz w:val="44"/>
          <w:szCs w:val="44"/>
          <w:highlight w:val="none"/>
        </w:rPr>
      </w:pPr>
      <w:r>
        <w:rPr>
          <w:rFonts w:hint="eastAsia" w:ascii="宋体" w:hAnsi="宋体" w:cs="宋体"/>
          <w:sz w:val="44"/>
          <w:szCs w:val="44"/>
          <w:highlight w:val="none"/>
        </w:rPr>
        <w:t>联合体协议书</w:t>
      </w:r>
    </w:p>
    <w:p w14:paraId="7F3FA115">
      <w:pPr>
        <w:pStyle w:val="7"/>
        <w:overflowPunct w:val="0"/>
        <w:spacing w:line="360" w:lineRule="auto"/>
        <w:contextualSpacing/>
        <w:rPr>
          <w:rFonts w:ascii="宋体" w:hAnsi="宋体" w:cs="宋体"/>
          <w:sz w:val="21"/>
          <w:szCs w:val="21"/>
          <w:highlight w:val="none"/>
        </w:rPr>
      </w:pP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（所有成员单位名称）自愿组成</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（联合体名称）联合体，共同参加</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（项</w:t>
      </w:r>
      <w:r>
        <w:rPr>
          <w:rFonts w:hint="eastAsia" w:ascii="宋体" w:hAnsi="宋体" w:cs="宋体"/>
          <w:sz w:val="21"/>
          <w:szCs w:val="21"/>
          <w:highlight w:val="none"/>
        </w:rPr>
        <w:t>目名称）采购招标项目投标。现就联合体投标事宜订立如下协议。</w:t>
      </w:r>
    </w:p>
    <w:p w14:paraId="47139EB6">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（某成员单位名称）为</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（联合体名称）牵头人。</w:t>
      </w:r>
    </w:p>
    <w:p w14:paraId="56BC7E2A">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1840E721">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3.联合体牵头人在本项目中签署和盖章的一切文件和处理的一切事宜，联合体各成员均予以承认。联合体各成员将严格按照招标文件、投标文件和合同的要求全面履行义务，并向甲方承担连带责任。</w:t>
      </w:r>
    </w:p>
    <w:p w14:paraId="0CEF969D">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4.联合体各成员单位内部的职责分工如下：</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w:t>
      </w:r>
    </w:p>
    <w:p w14:paraId="5E71AC4C">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5.本协议书自所有成员单位法定代表人或者其委托代理人签字或者盖公章之日起生效，合同履行完毕后自动失效。</w:t>
      </w:r>
    </w:p>
    <w:p w14:paraId="49EBC057">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6.本协议书一式</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份，联合体成员和甲方各执壹份。</w:t>
      </w:r>
    </w:p>
    <w:p w14:paraId="743EB68C">
      <w:pPr>
        <w:pStyle w:val="7"/>
        <w:overflowPunct w:val="0"/>
        <w:spacing w:line="360" w:lineRule="auto"/>
        <w:ind w:firstLineChars="175"/>
        <w:contextualSpacing/>
        <w:rPr>
          <w:rFonts w:ascii="宋体" w:hAnsi="宋体" w:cs="宋体"/>
          <w:sz w:val="21"/>
          <w:szCs w:val="21"/>
          <w:highlight w:val="none"/>
        </w:rPr>
      </w:pPr>
      <w:r>
        <w:rPr>
          <w:rFonts w:hint="eastAsia" w:ascii="宋体" w:hAnsi="宋体" w:cs="宋体"/>
          <w:sz w:val="21"/>
          <w:szCs w:val="21"/>
          <w:highlight w:val="none"/>
        </w:rPr>
        <w:t>注：本协议书由法定代表人签字的，应附法定代表人身份证明；由委托代理人签字的，应附授权委托书。</w:t>
      </w:r>
    </w:p>
    <w:p w14:paraId="24EE1D1C">
      <w:pPr>
        <w:pStyle w:val="7"/>
        <w:overflowPunct w:val="0"/>
        <w:spacing w:line="360" w:lineRule="auto"/>
        <w:ind w:firstLineChars="175"/>
        <w:contextualSpacing/>
        <w:rPr>
          <w:rFonts w:ascii="宋体" w:hAnsi="宋体" w:cs="宋体"/>
          <w:sz w:val="21"/>
          <w:szCs w:val="21"/>
          <w:highlight w:val="none"/>
        </w:rPr>
      </w:pPr>
    </w:p>
    <w:p w14:paraId="5DDF8593">
      <w:pPr>
        <w:pStyle w:val="7"/>
        <w:overflowPunct w:val="0"/>
        <w:spacing w:line="360" w:lineRule="auto"/>
        <w:ind w:firstLineChars="175"/>
        <w:contextualSpacing/>
        <w:rPr>
          <w:rFonts w:ascii="宋体" w:hAnsi="宋体" w:cs="宋体"/>
          <w:sz w:val="21"/>
          <w:szCs w:val="21"/>
          <w:highlight w:val="none"/>
          <w:u w:val="single"/>
        </w:rPr>
      </w:pPr>
      <w:r>
        <w:rPr>
          <w:rFonts w:hint="eastAsia" w:ascii="宋体" w:hAnsi="宋体" w:cs="宋体"/>
          <w:sz w:val="21"/>
          <w:szCs w:val="21"/>
          <w:highlight w:val="none"/>
        </w:rPr>
        <w:t>联合体牵头人名称（公章）：</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p>
    <w:p w14:paraId="4E9A54A4">
      <w:pPr>
        <w:pStyle w:val="7"/>
        <w:overflowPunct w:val="0"/>
        <w:spacing w:line="360" w:lineRule="auto"/>
        <w:ind w:firstLineChars="175"/>
        <w:contextualSpacing/>
        <w:jc w:val="left"/>
        <w:rPr>
          <w:rFonts w:ascii="宋体" w:hAnsi="宋体" w:cs="宋体"/>
          <w:sz w:val="21"/>
          <w:szCs w:val="21"/>
          <w:highlight w:val="none"/>
          <w:u w:val="single"/>
        </w:rPr>
      </w:pPr>
      <w:r>
        <w:rPr>
          <w:rFonts w:hint="eastAsia" w:ascii="宋体" w:hAnsi="宋体" w:cs="宋体"/>
          <w:sz w:val="21"/>
          <w:szCs w:val="21"/>
          <w:highlight w:val="none"/>
        </w:rPr>
        <w:t>法定代表人或者其委托代理人（签字（或个人CA签章））：</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p>
    <w:p w14:paraId="63144067">
      <w:pPr>
        <w:pStyle w:val="7"/>
        <w:overflowPunct w:val="0"/>
        <w:spacing w:line="360" w:lineRule="auto"/>
        <w:ind w:firstLineChars="175"/>
        <w:contextualSpacing/>
        <w:jc w:val="left"/>
        <w:rPr>
          <w:rFonts w:ascii="宋体" w:hAnsi="宋体" w:cs="宋体"/>
          <w:sz w:val="21"/>
          <w:szCs w:val="21"/>
          <w:highlight w:val="none"/>
        </w:rPr>
      </w:pPr>
    </w:p>
    <w:p w14:paraId="2605F2E4">
      <w:pPr>
        <w:pStyle w:val="7"/>
        <w:overflowPunct w:val="0"/>
        <w:spacing w:line="360" w:lineRule="auto"/>
        <w:ind w:firstLineChars="175"/>
        <w:contextualSpacing/>
        <w:jc w:val="left"/>
        <w:rPr>
          <w:rFonts w:ascii="宋体" w:hAnsi="宋体" w:cs="宋体"/>
          <w:sz w:val="21"/>
          <w:szCs w:val="21"/>
          <w:highlight w:val="none"/>
          <w:u w:val="single"/>
        </w:rPr>
      </w:pPr>
      <w:r>
        <w:rPr>
          <w:rFonts w:hint="eastAsia" w:ascii="宋体" w:hAnsi="宋体" w:cs="宋体"/>
          <w:sz w:val="21"/>
          <w:szCs w:val="21"/>
          <w:highlight w:val="none"/>
        </w:rPr>
        <w:t>联合体成员名称（公章）：</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p>
    <w:p w14:paraId="1FA85B58">
      <w:pPr>
        <w:pStyle w:val="7"/>
        <w:overflowPunct w:val="0"/>
        <w:spacing w:line="360" w:lineRule="auto"/>
        <w:ind w:firstLineChars="175"/>
        <w:contextualSpacing/>
        <w:jc w:val="left"/>
        <w:rPr>
          <w:rFonts w:ascii="宋体" w:hAnsi="宋体" w:cs="宋体"/>
          <w:sz w:val="21"/>
          <w:szCs w:val="21"/>
          <w:highlight w:val="none"/>
          <w:u w:val="single"/>
        </w:rPr>
      </w:pPr>
      <w:r>
        <w:rPr>
          <w:rFonts w:hint="eastAsia" w:ascii="宋体" w:hAnsi="宋体" w:cs="宋体"/>
          <w:sz w:val="21"/>
          <w:szCs w:val="21"/>
          <w:highlight w:val="none"/>
        </w:rPr>
        <w:t>法定代表人或者其委托代理人（签字（或个人CA签章））：</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p>
    <w:p w14:paraId="4D43DD22">
      <w:pPr>
        <w:pStyle w:val="7"/>
        <w:overflowPunct w:val="0"/>
        <w:spacing w:line="360" w:lineRule="auto"/>
        <w:ind w:firstLineChars="175"/>
        <w:contextualSpacing/>
        <w:jc w:val="left"/>
        <w:rPr>
          <w:rFonts w:ascii="宋体" w:hAnsi="宋体" w:cs="宋体"/>
          <w:sz w:val="21"/>
          <w:szCs w:val="21"/>
          <w:highlight w:val="none"/>
        </w:rPr>
      </w:pPr>
    </w:p>
    <w:p w14:paraId="22262D7F">
      <w:pPr>
        <w:pStyle w:val="7"/>
        <w:overflowPunct w:val="0"/>
        <w:spacing w:line="360" w:lineRule="auto"/>
        <w:ind w:right="720" w:firstLineChars="175"/>
        <w:contextualSpacing/>
        <w:jc w:val="right"/>
        <w:rPr>
          <w:rFonts w:ascii="宋体" w:hAnsi="宋体" w:cs="宋体"/>
          <w:b/>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r>
        <w:rPr>
          <w:rFonts w:hint="eastAsia" w:ascii="宋体" w:hAnsi="宋体" w:cs="宋体"/>
          <w:sz w:val="21"/>
          <w:szCs w:val="21"/>
          <w:highlight w:val="none"/>
        </w:rPr>
        <w:t>年</w:t>
      </w:r>
      <w:r>
        <w:rPr>
          <w:rFonts w:hint="eastAsia" w:ascii="宋体" w:hAnsi="宋体" w:cs="宋体"/>
          <w:sz w:val="21"/>
          <w:szCs w:val="21"/>
          <w:highlight w:val="none"/>
          <w:u w:val="single"/>
        </w:rPr>
        <w:t xml:space="preserve"> </w:t>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 xml:space="preserve"> </w:t>
      </w:r>
      <w:r>
        <w:rPr>
          <w:rFonts w:ascii="宋体" w:hAnsi="宋体" w:cs="宋体"/>
          <w:sz w:val="21"/>
          <w:szCs w:val="21"/>
          <w:highlight w:val="none"/>
          <w:u w:val="single"/>
        </w:rPr>
        <w:t xml:space="preserve">  </w:t>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2DAC18F6">
      <w:pPr>
        <w:snapToGrid w:val="0"/>
        <w:spacing w:before="120" w:beforeLines="50" w:after="50"/>
        <w:jc w:val="left"/>
        <w:rPr>
          <w:rFonts w:ascii="宋体" w:hAnsi="宋体" w:cs="宋体"/>
          <w:highlight w:val="none"/>
        </w:rPr>
      </w:pPr>
      <w:r>
        <w:rPr>
          <w:rFonts w:hint="eastAsia" w:ascii="宋体" w:hAnsi="宋体" w:cs="宋体"/>
          <w:b/>
          <w:sz w:val="21"/>
          <w:szCs w:val="21"/>
          <w:highlight w:val="none"/>
        </w:rPr>
        <w:br w:type="page"/>
      </w:r>
      <w:r>
        <w:rPr>
          <w:rFonts w:hint="eastAsia" w:ascii="宋体" w:hAnsi="宋体" w:cs="宋体"/>
          <w:b/>
          <w:sz w:val="24"/>
          <w:highlight w:val="none"/>
        </w:rPr>
        <w:t xml:space="preserve"> 2.中小企业声明函格式</w:t>
      </w:r>
    </w:p>
    <w:p w14:paraId="2B3FA2CE">
      <w:pPr>
        <w:jc w:val="center"/>
        <w:rPr>
          <w:rFonts w:ascii="宋体" w:hAnsi="宋体" w:cs="宋体"/>
          <w:sz w:val="36"/>
          <w:szCs w:val="36"/>
          <w:highlight w:val="none"/>
        </w:rPr>
      </w:pPr>
      <w:r>
        <w:rPr>
          <w:rFonts w:hint="eastAsia" w:ascii="宋体" w:hAnsi="宋体" w:cs="宋体"/>
          <w:sz w:val="36"/>
          <w:szCs w:val="36"/>
          <w:highlight w:val="none"/>
        </w:rPr>
        <w:t>中小企业声明函（货物）</w:t>
      </w:r>
    </w:p>
    <w:p w14:paraId="40AD1947">
      <w:pPr>
        <w:pStyle w:val="21"/>
        <w:spacing w:line="360" w:lineRule="auto"/>
        <w:ind w:left="-426" w:leftChars="-203" w:right="142" w:firstLine="420" w:firstLineChars="200"/>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本公司（联合体）郑重声明，根据《政府采购促进中小企业发展管理办法》（财库﹝2020﹞46号）的规定，本公司（联合体）参加</w:t>
      </w:r>
      <w:r>
        <w:rPr>
          <w:rFonts w:hint="eastAsia" w:ascii="宋体" w:hAnsi="宋体" w:cs="宋体"/>
          <w:kern w:val="24"/>
          <w:sz w:val="21"/>
          <w:szCs w:val="21"/>
          <w:highlight w:val="none"/>
          <w:u w:val="single"/>
        </w:rPr>
        <w:t>（单位名称）</w:t>
      </w:r>
      <w:r>
        <w:rPr>
          <w:rFonts w:hint="eastAsia" w:ascii="宋体" w:hAnsi="宋体" w:cs="宋体"/>
          <w:kern w:val="24"/>
          <w:sz w:val="21"/>
          <w:szCs w:val="21"/>
          <w:highlight w:val="none"/>
        </w:rPr>
        <w:t>的</w:t>
      </w:r>
      <w:r>
        <w:rPr>
          <w:rFonts w:hint="eastAsia" w:ascii="宋体" w:hAnsi="宋体" w:cs="宋体"/>
          <w:kern w:val="24"/>
          <w:sz w:val="21"/>
          <w:szCs w:val="21"/>
          <w:highlight w:val="none"/>
          <w:u w:val="single"/>
        </w:rPr>
        <w:t>（项目名称）</w:t>
      </w:r>
      <w:r>
        <w:rPr>
          <w:rFonts w:hint="eastAsia" w:ascii="宋体" w:hAnsi="宋体" w:cs="宋体"/>
          <w:kern w:val="24"/>
          <w:sz w:val="21"/>
          <w:szCs w:val="21"/>
          <w:highlight w:val="none"/>
        </w:rPr>
        <w:t>采购活动，提供的货物全部由符合政策要求的中小企业制造。相关企业（含联合体中的中小企业、签订分包意向协议的中小企业）的具体情况如下：</w:t>
      </w:r>
    </w:p>
    <w:p w14:paraId="4BAF7EED">
      <w:pPr>
        <w:tabs>
          <w:tab w:val="left" w:pos="1384"/>
          <w:tab w:val="left" w:pos="4562"/>
          <w:tab w:val="left" w:pos="6803"/>
        </w:tabs>
        <w:spacing w:line="360" w:lineRule="auto"/>
        <w:ind w:left="-426" w:right="-58" w:firstLine="655"/>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1.</w:t>
      </w:r>
      <w:r>
        <w:rPr>
          <w:rFonts w:hint="eastAsia" w:ascii="宋体" w:hAnsi="宋体" w:cs="宋体"/>
          <w:kern w:val="24"/>
          <w:sz w:val="21"/>
          <w:szCs w:val="21"/>
          <w:highlight w:val="none"/>
          <w:u w:val="single"/>
        </w:rPr>
        <w:t>（标的名称）</w:t>
      </w:r>
      <w:r>
        <w:rPr>
          <w:rFonts w:hint="eastAsia" w:ascii="宋体" w:hAnsi="宋体" w:cs="宋体"/>
          <w:kern w:val="24"/>
          <w:sz w:val="21"/>
          <w:szCs w:val="21"/>
          <w:highlight w:val="none"/>
        </w:rPr>
        <w:t>，属于</w:t>
      </w:r>
      <w:r>
        <w:rPr>
          <w:rFonts w:hint="eastAsia" w:ascii="宋体" w:hAnsi="宋体" w:cs="宋体"/>
          <w:kern w:val="24"/>
          <w:sz w:val="21"/>
          <w:szCs w:val="21"/>
          <w:highlight w:val="none"/>
          <w:u w:val="single"/>
        </w:rPr>
        <w:t>（采购文件中明确的所属行业）</w:t>
      </w:r>
      <w:r>
        <w:rPr>
          <w:rFonts w:hint="eastAsia" w:ascii="宋体" w:hAnsi="宋体" w:cs="宋体"/>
          <w:kern w:val="24"/>
          <w:sz w:val="21"/>
          <w:szCs w:val="21"/>
          <w:highlight w:val="none"/>
        </w:rPr>
        <w:t>行业；制造商为</w:t>
      </w:r>
      <w:r>
        <w:rPr>
          <w:rFonts w:hint="eastAsia" w:ascii="宋体" w:hAnsi="宋体" w:cs="宋体"/>
          <w:kern w:val="24"/>
          <w:sz w:val="21"/>
          <w:szCs w:val="21"/>
          <w:highlight w:val="none"/>
          <w:u w:val="single"/>
        </w:rPr>
        <w:t>（企业名称）</w:t>
      </w:r>
      <w:r>
        <w:rPr>
          <w:rFonts w:hint="eastAsia" w:ascii="宋体" w:hAnsi="宋体" w:cs="宋体"/>
          <w:kern w:val="24"/>
          <w:sz w:val="21"/>
          <w:szCs w:val="21"/>
          <w:highlight w:val="none"/>
        </w:rPr>
        <w:t>，从业人员</w:t>
      </w:r>
      <w:r>
        <w:rPr>
          <w:rFonts w:hint="eastAsia" w:ascii="宋体" w:hAnsi="宋体" w:cs="宋体"/>
          <w:sz w:val="21"/>
          <w:szCs w:val="21"/>
          <w:highlight w:val="none"/>
          <w:u w:val="single"/>
        </w:rPr>
        <w:tab/>
      </w:r>
      <w:r>
        <w:rPr>
          <w:rFonts w:hint="eastAsia" w:ascii="宋体" w:hAnsi="宋体" w:cs="宋体"/>
          <w:kern w:val="24"/>
          <w:sz w:val="21"/>
          <w:szCs w:val="21"/>
          <w:highlight w:val="none"/>
        </w:rPr>
        <w:t>人，营业收入为</w:t>
      </w:r>
      <w:r>
        <w:rPr>
          <w:rFonts w:hint="eastAsia" w:ascii="宋体" w:hAnsi="宋体" w:cs="宋体"/>
          <w:sz w:val="21"/>
          <w:szCs w:val="21"/>
          <w:highlight w:val="none"/>
          <w:u w:val="single"/>
        </w:rPr>
        <w:tab/>
      </w:r>
      <w:r>
        <w:rPr>
          <w:rFonts w:hint="eastAsia" w:ascii="宋体" w:hAnsi="宋体" w:cs="宋体"/>
          <w:kern w:val="24"/>
          <w:sz w:val="21"/>
          <w:szCs w:val="21"/>
          <w:highlight w:val="none"/>
        </w:rPr>
        <w:t>万元，资产总额为</w:t>
      </w:r>
      <w:r>
        <w:rPr>
          <w:rFonts w:hint="eastAsia" w:ascii="宋体" w:hAnsi="宋体" w:cs="宋体"/>
          <w:sz w:val="21"/>
          <w:szCs w:val="21"/>
          <w:highlight w:val="none"/>
          <w:u w:val="single"/>
        </w:rPr>
        <w:tab/>
      </w:r>
      <w:r>
        <w:rPr>
          <w:rFonts w:hint="eastAsia" w:ascii="宋体" w:hAnsi="宋体" w:cs="宋体"/>
          <w:kern w:val="24"/>
          <w:sz w:val="21"/>
          <w:szCs w:val="21"/>
          <w:highlight w:val="none"/>
        </w:rPr>
        <w:t>万元，属于</w:t>
      </w:r>
      <w:r>
        <w:rPr>
          <w:rFonts w:hint="eastAsia" w:ascii="宋体" w:hAnsi="宋体" w:cs="宋体"/>
          <w:kern w:val="24"/>
          <w:sz w:val="21"/>
          <w:szCs w:val="21"/>
          <w:highlight w:val="none"/>
          <w:u w:val="single"/>
        </w:rPr>
        <w:t>（中型企业、小型企业、微型企业）</w:t>
      </w:r>
      <w:r>
        <w:rPr>
          <w:rFonts w:hint="eastAsia" w:ascii="宋体" w:hAnsi="宋体" w:cs="宋体"/>
          <w:kern w:val="24"/>
          <w:sz w:val="21"/>
          <w:szCs w:val="21"/>
          <w:highlight w:val="none"/>
        </w:rPr>
        <w:t>；</w:t>
      </w:r>
    </w:p>
    <w:p w14:paraId="26A5248A">
      <w:pPr>
        <w:tabs>
          <w:tab w:val="left" w:pos="1065"/>
          <w:tab w:val="left" w:pos="6477"/>
        </w:tabs>
        <w:spacing w:line="360" w:lineRule="auto"/>
        <w:ind w:left="-426" w:right="-58" w:firstLine="655"/>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2.</w:t>
      </w:r>
      <w:r>
        <w:rPr>
          <w:rFonts w:hint="eastAsia" w:ascii="宋体" w:hAnsi="宋体" w:cs="宋体"/>
          <w:kern w:val="24"/>
          <w:sz w:val="21"/>
          <w:szCs w:val="21"/>
          <w:highlight w:val="none"/>
          <w:u w:val="single"/>
        </w:rPr>
        <w:t>（标的名称）</w:t>
      </w:r>
      <w:r>
        <w:rPr>
          <w:rFonts w:hint="eastAsia" w:ascii="宋体" w:hAnsi="宋体" w:cs="宋体"/>
          <w:kern w:val="24"/>
          <w:sz w:val="21"/>
          <w:szCs w:val="21"/>
          <w:highlight w:val="none"/>
        </w:rPr>
        <w:t>，属于</w:t>
      </w:r>
      <w:r>
        <w:rPr>
          <w:rFonts w:hint="eastAsia" w:ascii="宋体" w:hAnsi="宋体" w:cs="宋体"/>
          <w:kern w:val="24"/>
          <w:sz w:val="21"/>
          <w:szCs w:val="21"/>
          <w:highlight w:val="none"/>
          <w:u w:val="single"/>
        </w:rPr>
        <w:t>（采购文件中明确的所属行业）</w:t>
      </w:r>
      <w:r>
        <w:rPr>
          <w:rFonts w:hint="eastAsia" w:ascii="宋体" w:hAnsi="宋体" w:cs="宋体"/>
          <w:kern w:val="24"/>
          <w:sz w:val="21"/>
          <w:szCs w:val="21"/>
          <w:highlight w:val="none"/>
        </w:rPr>
        <w:t>行业；制造商为</w:t>
      </w:r>
      <w:r>
        <w:rPr>
          <w:rFonts w:hint="eastAsia" w:ascii="宋体" w:hAnsi="宋体" w:cs="宋体"/>
          <w:kern w:val="24"/>
          <w:sz w:val="21"/>
          <w:szCs w:val="21"/>
          <w:highlight w:val="none"/>
          <w:u w:val="single"/>
        </w:rPr>
        <w:t>（企业名称）</w:t>
      </w:r>
      <w:r>
        <w:rPr>
          <w:rFonts w:hint="eastAsia" w:ascii="宋体" w:hAnsi="宋体" w:cs="宋体"/>
          <w:kern w:val="24"/>
          <w:sz w:val="21"/>
          <w:szCs w:val="21"/>
          <w:highlight w:val="none"/>
        </w:rPr>
        <w:t>，从业人员</w:t>
      </w:r>
      <w:r>
        <w:rPr>
          <w:rFonts w:hint="eastAsia" w:ascii="宋体" w:hAnsi="宋体" w:cs="宋体"/>
          <w:sz w:val="21"/>
          <w:szCs w:val="21"/>
          <w:highlight w:val="none"/>
          <w:u w:val="single"/>
        </w:rPr>
        <w:tab/>
      </w:r>
      <w:r>
        <w:rPr>
          <w:rFonts w:hint="eastAsia" w:ascii="宋体" w:hAnsi="宋体" w:cs="宋体"/>
          <w:kern w:val="24"/>
          <w:sz w:val="21"/>
          <w:szCs w:val="21"/>
          <w:highlight w:val="none"/>
        </w:rPr>
        <w:t>人，营业收入为</w:t>
      </w:r>
      <w:r>
        <w:rPr>
          <w:rFonts w:hint="eastAsia" w:ascii="宋体" w:hAnsi="宋体" w:cs="宋体"/>
          <w:kern w:val="24"/>
          <w:sz w:val="21"/>
          <w:szCs w:val="21"/>
          <w:highlight w:val="none"/>
          <w:u w:val="single"/>
        </w:rPr>
        <w:t xml:space="preserve">      </w:t>
      </w:r>
      <w:r>
        <w:rPr>
          <w:rFonts w:hint="eastAsia" w:ascii="宋体" w:hAnsi="宋体" w:cs="宋体"/>
          <w:kern w:val="24"/>
          <w:sz w:val="21"/>
          <w:szCs w:val="21"/>
          <w:highlight w:val="none"/>
        </w:rPr>
        <w:t>万元，资产总额为</w:t>
      </w:r>
      <w:r>
        <w:rPr>
          <w:rFonts w:hint="eastAsia" w:ascii="宋体" w:hAnsi="宋体" w:cs="宋体"/>
          <w:sz w:val="21"/>
          <w:szCs w:val="21"/>
          <w:highlight w:val="none"/>
          <w:u w:val="single"/>
        </w:rPr>
        <w:tab/>
      </w:r>
      <w:r>
        <w:rPr>
          <w:rFonts w:hint="eastAsia" w:ascii="宋体" w:hAnsi="宋体" w:cs="宋体"/>
          <w:kern w:val="24"/>
          <w:sz w:val="21"/>
          <w:szCs w:val="21"/>
          <w:highlight w:val="none"/>
        </w:rPr>
        <w:t>万元，属于</w:t>
      </w:r>
      <w:r>
        <w:rPr>
          <w:rFonts w:hint="eastAsia" w:ascii="宋体" w:hAnsi="宋体" w:cs="宋体"/>
          <w:kern w:val="24"/>
          <w:sz w:val="21"/>
          <w:szCs w:val="21"/>
          <w:highlight w:val="none"/>
          <w:u w:val="single"/>
        </w:rPr>
        <w:t>（中型企业、小型企业、微型企业）</w:t>
      </w:r>
      <w:r>
        <w:rPr>
          <w:rFonts w:hint="eastAsia" w:ascii="宋体" w:hAnsi="宋体" w:cs="宋体"/>
          <w:kern w:val="24"/>
          <w:sz w:val="21"/>
          <w:szCs w:val="21"/>
          <w:highlight w:val="none"/>
        </w:rPr>
        <w:t>；</w:t>
      </w:r>
    </w:p>
    <w:p w14:paraId="28777ED4">
      <w:pPr>
        <w:pStyle w:val="21"/>
        <w:spacing w:line="360" w:lineRule="auto"/>
        <w:ind w:left="142" w:right="142"/>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 xml:space="preserve">…… </w:t>
      </w:r>
    </w:p>
    <w:p w14:paraId="0B494371">
      <w:pPr>
        <w:pStyle w:val="21"/>
        <w:spacing w:line="360" w:lineRule="auto"/>
        <w:ind w:left="-405" w:leftChars="-193" w:right="142" w:firstLine="396" w:firstLineChars="189"/>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以上企业，不属于大企业的分支机构，不存在控股股东为大企业的情形，也不存在与大企业的负责人为同一人的情形。</w:t>
      </w:r>
    </w:p>
    <w:p w14:paraId="14ACF0EA">
      <w:pPr>
        <w:pStyle w:val="21"/>
        <w:spacing w:line="360" w:lineRule="auto"/>
        <w:ind w:left="-426" w:right="142" w:firstLine="567"/>
        <w:contextualSpacing/>
        <w:rPr>
          <w:rFonts w:hint="eastAsia" w:ascii="宋体" w:hAnsi="宋体" w:cs="宋体"/>
          <w:kern w:val="24"/>
          <w:sz w:val="21"/>
          <w:szCs w:val="21"/>
          <w:highlight w:val="none"/>
        </w:rPr>
      </w:pPr>
      <w:r>
        <w:rPr>
          <w:rFonts w:hint="eastAsia" w:ascii="宋体" w:hAnsi="宋体" w:cs="宋体"/>
          <w:kern w:val="24"/>
          <w:sz w:val="21"/>
          <w:szCs w:val="21"/>
          <w:highlight w:val="none"/>
        </w:rPr>
        <w:t>本企业对上述声明内容的真实性负责。如有虚假，将依法承担相应责任。</w:t>
      </w:r>
    </w:p>
    <w:p w14:paraId="49A2F096">
      <w:pPr>
        <w:pStyle w:val="21"/>
        <w:spacing w:line="360" w:lineRule="auto"/>
        <w:ind w:left="3960" w:right="1808"/>
        <w:contextualSpacing/>
        <w:rPr>
          <w:rFonts w:hint="eastAsia" w:ascii="宋体" w:hAnsi="宋体" w:cs="宋体"/>
          <w:kern w:val="24"/>
          <w:sz w:val="21"/>
          <w:szCs w:val="21"/>
          <w:highlight w:val="none"/>
        </w:rPr>
      </w:pPr>
    </w:p>
    <w:p w14:paraId="2CC6E31B">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1D63CC29">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2E67627C">
      <w:pPr>
        <w:pStyle w:val="21"/>
        <w:spacing w:line="360" w:lineRule="auto"/>
        <w:ind w:left="3960" w:right="1808"/>
        <w:contextualSpacing/>
        <w:rPr>
          <w:rFonts w:hint="eastAsia" w:ascii="宋体" w:hAnsi="宋体" w:cs="宋体"/>
          <w:kern w:val="24"/>
          <w:sz w:val="21"/>
          <w:szCs w:val="21"/>
          <w:highlight w:val="none"/>
        </w:rPr>
      </w:pPr>
    </w:p>
    <w:p w14:paraId="317F887D">
      <w:pPr>
        <w:pStyle w:val="21"/>
        <w:spacing w:line="360" w:lineRule="auto"/>
        <w:ind w:left="-426" w:right="142" w:firstLine="567"/>
        <w:contextualSpacing/>
        <w:rPr>
          <w:rFonts w:hint="eastAsia" w:ascii="宋体" w:hAnsi="宋体" w:eastAsia="宋体" w:cs="宋体"/>
          <w:b/>
          <w:kern w:val="24"/>
          <w:sz w:val="21"/>
          <w:szCs w:val="21"/>
          <w:highlight w:val="none"/>
        </w:rPr>
      </w:pPr>
      <w:r>
        <w:rPr>
          <w:rFonts w:hint="eastAsia" w:ascii="宋体" w:hAnsi="宋体" w:eastAsia="宋体" w:cs="宋体"/>
          <w:b/>
          <w:kern w:val="24"/>
          <w:sz w:val="21"/>
          <w:szCs w:val="21"/>
          <w:highlight w:val="none"/>
        </w:rPr>
        <w:t>注：</w:t>
      </w:r>
    </w:p>
    <w:p w14:paraId="2845C4AB">
      <w:pPr>
        <w:pStyle w:val="21"/>
        <w:spacing w:line="360" w:lineRule="auto"/>
        <w:ind w:left="-426" w:right="142" w:firstLine="567"/>
        <w:contextualSpacing/>
        <w:rPr>
          <w:rFonts w:hint="eastAsia" w:ascii="宋体" w:hAnsi="宋体" w:eastAsia="宋体" w:cs="宋体"/>
          <w:kern w:val="24"/>
          <w:sz w:val="21"/>
          <w:szCs w:val="21"/>
          <w:highlight w:val="none"/>
        </w:rPr>
      </w:pPr>
      <w:r>
        <w:rPr>
          <w:rFonts w:hint="eastAsia" w:ascii="宋体" w:hAnsi="宋体" w:eastAsia="宋体" w:cs="宋体"/>
          <w:kern w:val="24"/>
          <w:sz w:val="21"/>
          <w:szCs w:val="21"/>
          <w:highlight w:val="none"/>
        </w:rPr>
        <w:t>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1796A053">
      <w:pPr>
        <w:snapToGrid w:val="0"/>
        <w:spacing w:before="120" w:beforeLines="50" w:after="50" w:line="360" w:lineRule="auto"/>
        <w:ind w:left="142"/>
        <w:jc w:val="left"/>
        <w:rPr>
          <w:rFonts w:hint="eastAsia" w:ascii="宋体" w:hAnsi="宋体" w:cs="宋体"/>
          <w:b/>
          <w:sz w:val="21"/>
          <w:szCs w:val="21"/>
          <w:highlight w:val="none"/>
        </w:rPr>
      </w:pPr>
    </w:p>
    <w:p w14:paraId="08915F94">
      <w:pPr>
        <w:rPr>
          <w:rFonts w:hAnsi="宋体" w:cs="宋体"/>
          <w:sz w:val="32"/>
          <w:szCs w:val="32"/>
          <w:highlight w:val="none"/>
        </w:rPr>
      </w:pPr>
      <w:r>
        <w:rPr>
          <w:rFonts w:hint="eastAsia" w:hAnsi="宋体" w:cs="宋体"/>
          <w:sz w:val="32"/>
          <w:szCs w:val="32"/>
          <w:highlight w:val="none"/>
        </w:rPr>
        <w:br w:type="page"/>
      </w:r>
    </w:p>
    <w:p w14:paraId="4C0C78EC">
      <w:pPr>
        <w:snapToGrid w:val="0"/>
        <w:spacing w:before="120" w:beforeLines="50" w:after="50"/>
        <w:ind w:left="142"/>
        <w:jc w:val="left"/>
        <w:rPr>
          <w:rFonts w:ascii="宋体" w:hAnsi="宋体" w:cs="宋体"/>
          <w:b/>
          <w:sz w:val="24"/>
          <w:highlight w:val="none"/>
        </w:rPr>
      </w:pPr>
      <w:r>
        <w:rPr>
          <w:rFonts w:hint="eastAsia" w:ascii="宋体" w:hAnsi="宋体" w:cs="宋体"/>
          <w:b/>
          <w:sz w:val="24"/>
          <w:highlight w:val="none"/>
        </w:rPr>
        <w:t>3.残疾人福利性单位声明函格式</w:t>
      </w:r>
    </w:p>
    <w:p w14:paraId="1587CC81">
      <w:pPr>
        <w:spacing w:line="588" w:lineRule="exact"/>
        <w:jc w:val="center"/>
        <w:rPr>
          <w:rFonts w:ascii="宋体" w:hAnsi="宋体" w:cs="宋体"/>
          <w:b/>
          <w:spacing w:val="6"/>
          <w:sz w:val="32"/>
          <w:szCs w:val="32"/>
          <w:highlight w:val="none"/>
        </w:rPr>
      </w:pPr>
    </w:p>
    <w:p w14:paraId="15BD3161">
      <w:pPr>
        <w:spacing w:line="588" w:lineRule="exact"/>
        <w:jc w:val="center"/>
        <w:rPr>
          <w:rFonts w:ascii="宋体" w:hAnsi="宋体" w:cs="宋体"/>
          <w:bCs/>
          <w:spacing w:val="6"/>
          <w:sz w:val="44"/>
          <w:szCs w:val="44"/>
          <w:highlight w:val="none"/>
        </w:rPr>
      </w:pPr>
      <w:r>
        <w:rPr>
          <w:rFonts w:hint="eastAsia" w:ascii="宋体" w:hAnsi="宋体" w:cs="宋体"/>
          <w:bCs/>
          <w:spacing w:val="6"/>
          <w:sz w:val="44"/>
          <w:szCs w:val="44"/>
          <w:highlight w:val="none"/>
        </w:rPr>
        <w:t>残疾人福利性单位声明函</w:t>
      </w:r>
    </w:p>
    <w:p w14:paraId="161C18C7">
      <w:pPr>
        <w:spacing w:line="360" w:lineRule="auto"/>
        <w:contextualSpacing/>
        <w:rPr>
          <w:rFonts w:ascii="宋体" w:hAnsi="宋体" w:cs="宋体"/>
          <w:bCs/>
          <w:spacing w:val="6"/>
          <w:sz w:val="30"/>
          <w:szCs w:val="30"/>
          <w:highlight w:val="none"/>
        </w:rPr>
      </w:pPr>
    </w:p>
    <w:p w14:paraId="4EEF4928">
      <w:pPr>
        <w:spacing w:line="360" w:lineRule="auto"/>
        <w:ind w:firstLine="444" w:firstLineChars="200"/>
        <w:contextualSpacing/>
        <w:rPr>
          <w:rFonts w:ascii="宋体" w:hAnsi="宋体" w:cs="宋体"/>
          <w:spacing w:val="6"/>
          <w:sz w:val="21"/>
          <w:szCs w:val="21"/>
          <w:highlight w:val="none"/>
        </w:rPr>
      </w:pPr>
      <w:r>
        <w:rPr>
          <w:rFonts w:hint="eastAsia" w:ascii="宋体" w:hAnsi="宋体" w:cs="宋体"/>
          <w:spacing w:val="6"/>
          <w:sz w:val="21"/>
          <w:szCs w:val="21"/>
          <w:highlight w:val="none"/>
        </w:rPr>
        <w:t>本单位郑重声明，根据《财政部 民政部 中国残疾人联合会关于促进残疾人就业政府采购政策的通知》（财库</w:t>
      </w:r>
      <w:r>
        <w:rPr>
          <w:rFonts w:hint="eastAsia" w:ascii="宋体" w:hAnsi="宋体" w:cs="宋体"/>
          <w:sz w:val="21"/>
          <w:szCs w:val="21"/>
          <w:highlight w:val="none"/>
        </w:rPr>
        <w:t>〔2017〕 141</w:t>
      </w:r>
      <w:r>
        <w:rPr>
          <w:rFonts w:hint="eastAsia" w:ascii="宋体" w:hAnsi="宋体" w:cs="宋体"/>
          <w:spacing w:val="6"/>
          <w:sz w:val="21"/>
          <w:szCs w:val="21"/>
          <w:highlight w:val="none"/>
        </w:rPr>
        <w:t>号）的规定，本单位为符合条件的残疾人福利性单位，且本单位参加______单位的______项目采购活动提供本单位制造的货物（由本单位承担工程/提供服务），或者提供其他残</w:t>
      </w:r>
      <w:r>
        <w:rPr>
          <w:rFonts w:hint="eastAsia" w:ascii="宋体" w:hAnsi="宋体" w:cs="宋体"/>
          <w:spacing w:val="-6"/>
          <w:sz w:val="21"/>
          <w:szCs w:val="21"/>
          <w:highlight w:val="none"/>
        </w:rPr>
        <w:t>疾人福利性单位制造的货物（不包括使用非残疾人福利性单位注册商标的货物）。</w:t>
      </w:r>
    </w:p>
    <w:p w14:paraId="4CD66C95">
      <w:pPr>
        <w:spacing w:line="360" w:lineRule="auto"/>
        <w:ind w:firstLine="444" w:firstLineChars="200"/>
        <w:contextualSpacing/>
        <w:rPr>
          <w:rFonts w:ascii="宋体" w:hAnsi="宋体" w:cs="宋体"/>
          <w:spacing w:val="6"/>
          <w:sz w:val="21"/>
          <w:szCs w:val="21"/>
          <w:highlight w:val="none"/>
        </w:rPr>
      </w:pPr>
      <w:r>
        <w:rPr>
          <w:rFonts w:hint="eastAsia" w:ascii="宋体" w:hAnsi="宋体" w:cs="宋体"/>
          <w:spacing w:val="6"/>
          <w:sz w:val="21"/>
          <w:szCs w:val="21"/>
          <w:highlight w:val="none"/>
        </w:rPr>
        <w:t>本单位对上述声明的真实性负责。如有虚假，将依法承担相应责任。</w:t>
      </w:r>
    </w:p>
    <w:p w14:paraId="59105CEE">
      <w:pPr>
        <w:spacing w:line="360" w:lineRule="auto"/>
        <w:ind w:firstLine="444" w:firstLineChars="200"/>
        <w:contextualSpacing/>
        <w:rPr>
          <w:rFonts w:ascii="宋体" w:hAnsi="宋体" w:cs="宋体"/>
          <w:spacing w:val="6"/>
          <w:sz w:val="21"/>
          <w:szCs w:val="21"/>
          <w:highlight w:val="none"/>
        </w:rPr>
      </w:pPr>
    </w:p>
    <w:p w14:paraId="63C9F744">
      <w:pPr>
        <w:spacing w:line="360" w:lineRule="auto"/>
        <w:ind w:firstLine="444" w:firstLineChars="200"/>
        <w:contextualSpacing/>
        <w:rPr>
          <w:rFonts w:ascii="宋体" w:hAnsi="宋体" w:cs="宋体"/>
          <w:spacing w:val="6"/>
          <w:sz w:val="21"/>
          <w:szCs w:val="21"/>
          <w:highlight w:val="none"/>
        </w:rPr>
      </w:pPr>
    </w:p>
    <w:p w14:paraId="05C9F2C4">
      <w:pPr>
        <w:snapToGrid w:val="0"/>
        <w:spacing w:before="120" w:beforeLines="50" w:after="50" w:line="360" w:lineRule="auto"/>
        <w:ind w:right="480" w:firstLine="4830" w:firstLineChars="2300"/>
        <w:rPr>
          <w:rFonts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6B9EFA13">
      <w:pPr>
        <w:snapToGrid w:val="0"/>
        <w:spacing w:before="120" w:beforeLines="50" w:after="50" w:line="360" w:lineRule="auto"/>
        <w:ind w:right="480" w:firstLine="210" w:firstLineChars="100"/>
        <w:jc w:val="right"/>
        <w:rPr>
          <w:rFonts w:ascii="宋体" w:hAnsi="宋体" w:cs="宋体"/>
          <w:sz w:val="21"/>
          <w:szCs w:val="21"/>
          <w:highlight w:val="none"/>
        </w:rPr>
      </w:pPr>
      <w:r>
        <w:rPr>
          <w:rFonts w:hint="eastAsia"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hAnsi="宋体" w:cs="宋体"/>
          <w:sz w:val="21"/>
          <w:szCs w:val="21"/>
          <w:highlight w:val="none"/>
        </w:rPr>
        <w:t>日</w:t>
      </w:r>
    </w:p>
    <w:p w14:paraId="374EF08A">
      <w:pPr>
        <w:spacing w:line="360" w:lineRule="auto"/>
        <w:contextualSpacing/>
        <w:rPr>
          <w:rFonts w:ascii="宋体" w:hAnsi="宋体" w:cs="宋体"/>
          <w:sz w:val="21"/>
          <w:szCs w:val="21"/>
          <w:highlight w:val="none"/>
        </w:rPr>
      </w:pPr>
    </w:p>
    <w:p w14:paraId="3A444697">
      <w:pPr>
        <w:spacing w:line="360" w:lineRule="auto"/>
        <w:contextualSpacing/>
        <w:rPr>
          <w:rFonts w:ascii="宋体" w:hAnsi="宋体" w:cs="宋体"/>
          <w:sz w:val="21"/>
          <w:szCs w:val="21"/>
          <w:highlight w:val="none"/>
        </w:rPr>
      </w:pPr>
    </w:p>
    <w:p w14:paraId="78C66EFC">
      <w:pPr>
        <w:spacing w:line="360" w:lineRule="auto"/>
        <w:contextualSpacing/>
        <w:rPr>
          <w:rFonts w:ascii="楷体" w:hAnsi="楷体" w:eastAsia="楷体" w:cs="宋体"/>
          <w:b/>
          <w:sz w:val="21"/>
          <w:szCs w:val="21"/>
          <w:highlight w:val="none"/>
        </w:rPr>
      </w:pPr>
      <w:r>
        <w:rPr>
          <w:rFonts w:hint="eastAsia" w:ascii="楷体" w:hAnsi="楷体" w:eastAsia="楷体" w:cs="宋体"/>
          <w:b/>
          <w:sz w:val="21"/>
          <w:szCs w:val="21"/>
          <w:highlight w:val="none"/>
        </w:rPr>
        <w:t>注：</w:t>
      </w:r>
    </w:p>
    <w:p w14:paraId="6854DE21">
      <w:pPr>
        <w:spacing w:line="360" w:lineRule="auto"/>
        <w:ind w:firstLine="420" w:firstLineChars="200"/>
        <w:contextualSpacing/>
        <w:rPr>
          <w:rFonts w:ascii="楷体" w:hAnsi="楷体" w:eastAsia="楷体" w:cs="宋体"/>
          <w:sz w:val="21"/>
          <w:szCs w:val="21"/>
          <w:highlight w:val="none"/>
        </w:rPr>
      </w:pPr>
      <w:r>
        <w:rPr>
          <w:rFonts w:hint="eastAsia" w:ascii="楷体" w:hAnsi="楷体" w:eastAsia="楷体" w:cs="宋体"/>
          <w:sz w:val="21"/>
          <w:szCs w:val="21"/>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4580D6FE">
      <w:pPr>
        <w:spacing w:line="360" w:lineRule="auto"/>
        <w:jc w:val="left"/>
        <w:rPr>
          <w:rFonts w:ascii="宋体" w:hAnsi="宋体" w:cs="宋体"/>
          <w:sz w:val="24"/>
          <w:highlight w:val="none"/>
        </w:rPr>
      </w:pPr>
      <w:r>
        <w:rPr>
          <w:rFonts w:hint="eastAsia" w:ascii="宋体" w:hAnsi="宋体" w:cs="宋体"/>
          <w:sz w:val="24"/>
          <w:highlight w:val="none"/>
        </w:rPr>
        <w:br w:type="page"/>
      </w:r>
    </w:p>
    <w:p w14:paraId="15EA5561">
      <w:pPr>
        <w:spacing w:line="360" w:lineRule="auto"/>
        <w:jc w:val="left"/>
        <w:rPr>
          <w:rFonts w:ascii="宋体" w:hAnsi="宋体" w:cs="宋体"/>
          <w:b/>
          <w:sz w:val="24"/>
          <w:highlight w:val="none"/>
        </w:rPr>
      </w:pPr>
      <w:r>
        <w:rPr>
          <w:rFonts w:hint="eastAsia" w:ascii="宋体" w:hAnsi="宋体" w:cs="宋体"/>
          <w:b/>
          <w:sz w:val="24"/>
          <w:highlight w:val="none"/>
        </w:rPr>
        <w:t>4.关于符合本国产品标准的声明函</w:t>
      </w:r>
    </w:p>
    <w:p w14:paraId="59DA2222">
      <w:pPr>
        <w:jc w:val="center"/>
        <w:rPr>
          <w:rFonts w:ascii="宋体" w:hAnsi="宋体" w:cs="宋体"/>
          <w:sz w:val="22"/>
          <w:szCs w:val="22"/>
          <w:highlight w:val="none"/>
        </w:rPr>
      </w:pPr>
      <w:r>
        <w:rPr>
          <w:rFonts w:hint="eastAsia" w:ascii="宋体" w:hAnsi="宋体" w:cs="宋体"/>
          <w:b/>
          <w:bCs/>
          <w:sz w:val="40"/>
          <w:szCs w:val="40"/>
          <w:highlight w:val="none"/>
        </w:rPr>
        <w:t>关于符合本国产品标准的声明函</w:t>
      </w:r>
    </w:p>
    <w:p w14:paraId="205C5F86">
      <w:pPr>
        <w:spacing w:line="360" w:lineRule="auto"/>
        <w:ind w:firstLine="480" w:firstLineChars="200"/>
        <w:rPr>
          <w:rFonts w:ascii="宋体" w:hAnsi="宋体" w:cs="宋体"/>
          <w:sz w:val="24"/>
          <w:highlight w:val="none"/>
        </w:rPr>
      </w:pPr>
    </w:p>
    <w:p w14:paraId="12C9641C">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53124423">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1.(产品名称1)1，生产厂为(厂名)2，厂址为(生产厂址)。(产品名称1)的中国境内生产的组件成本占比≥(规定比例)3。(产品名称1)的(关键组件)4在中国境内生产。(产品名称1)的(关键工序)5在中国境内完成。</w:t>
      </w:r>
    </w:p>
    <w:p w14:paraId="7ECCD4DE">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2.(产品名称2)，生产厂为(厂名)，厂址为(生产厂址)。(产品名称2)的中国境内生产的组件成本占比≥(规定比例)。(产品名称2)的(关键组件)在中国境内生产。(产品名称2)的(关键工序)在中国境内完成。</w:t>
      </w:r>
    </w:p>
    <w:p w14:paraId="130F46E8">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w:t>
      </w:r>
    </w:p>
    <w:p w14:paraId="4C1FE84E">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本公司(单位)对上述声明内容的真实性负责。如有虚假，愿承担相应法律责任。</w:t>
      </w:r>
    </w:p>
    <w:p w14:paraId="7F1FD0BF">
      <w:pPr>
        <w:spacing w:line="360" w:lineRule="auto"/>
        <w:rPr>
          <w:rFonts w:hint="eastAsia" w:ascii="宋体" w:hAnsi="宋体" w:cs="宋体"/>
          <w:sz w:val="21"/>
          <w:szCs w:val="21"/>
          <w:highlight w:val="none"/>
        </w:rPr>
      </w:pPr>
    </w:p>
    <w:p w14:paraId="0B1972E8">
      <w:pPr>
        <w:snapToGrid w:val="0"/>
        <w:spacing w:before="120" w:beforeLines="50" w:after="50" w:line="360" w:lineRule="auto"/>
        <w:ind w:right="480" w:firstLine="4830" w:firstLineChars="2300"/>
        <w:rPr>
          <w:rFonts w:hint="eastAsia" w:ascii="宋体" w:hAnsi="宋体" w:cs="宋体"/>
          <w:sz w:val="21"/>
          <w:szCs w:val="21"/>
          <w:highlight w:val="none"/>
        </w:rPr>
      </w:pPr>
      <w:r>
        <w:rPr>
          <w:rFonts w:hint="eastAsia" w:ascii="宋体" w:hAnsi="宋体" w:cs="宋体"/>
          <w:sz w:val="21"/>
          <w:szCs w:val="21"/>
          <w:highlight w:val="none"/>
        </w:rPr>
        <w:t>投标人（公章）：</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p>
    <w:p w14:paraId="45736DF3">
      <w:pPr>
        <w:snapToGrid w:val="0"/>
        <w:spacing w:before="120" w:beforeLines="50" w:after="50" w:line="360" w:lineRule="auto"/>
        <w:ind w:right="480" w:firstLine="210" w:firstLineChars="100"/>
        <w:jc w:val="right"/>
        <w:rPr>
          <w:rFonts w:hint="eastAsia" w:ascii="宋体" w:hAnsi="宋体" w:cs="宋体"/>
          <w:sz w:val="21"/>
          <w:szCs w:val="21"/>
          <w:highlight w:val="none"/>
        </w:rPr>
      </w:pPr>
      <w:r>
        <w:rPr>
          <w:rFonts w:hint="eastAsia" w:ascii="宋体" w:hAnsi="宋体" w:cs="宋体"/>
          <w:sz w:val="21"/>
          <w:szCs w:val="21"/>
          <w:highlight w:val="none"/>
        </w:rPr>
        <w:t>日期：</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年</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月</w:t>
      </w:r>
      <w:r>
        <w:rPr>
          <w:rFonts w:hint="eastAsia" w:ascii="宋体" w:hAnsi="宋体" w:cs="宋体"/>
          <w:sz w:val="21"/>
          <w:szCs w:val="21"/>
          <w:highlight w:val="none"/>
          <w:u w:val="single"/>
        </w:rPr>
        <w:tab/>
      </w:r>
      <w:r>
        <w:rPr>
          <w:rFonts w:hint="eastAsia" w:ascii="宋体" w:hAnsi="宋体" w:cs="宋体"/>
          <w:sz w:val="21"/>
          <w:szCs w:val="21"/>
          <w:highlight w:val="none"/>
          <w:u w:val="single"/>
        </w:rPr>
        <w:tab/>
      </w:r>
      <w:r>
        <w:rPr>
          <w:rFonts w:hint="eastAsia" w:ascii="宋体" w:hAnsi="宋体" w:cs="宋体"/>
          <w:sz w:val="21"/>
          <w:szCs w:val="21"/>
          <w:highlight w:val="none"/>
        </w:rPr>
        <w:t>日</w:t>
      </w:r>
    </w:p>
    <w:p w14:paraId="7C46DAFD">
      <w:pPr>
        <w:spacing w:line="360" w:lineRule="auto"/>
        <w:ind w:firstLine="420" w:firstLineChars="200"/>
        <w:rPr>
          <w:rFonts w:hint="eastAsia" w:ascii="宋体" w:hAnsi="宋体" w:cs="宋体"/>
          <w:sz w:val="21"/>
          <w:szCs w:val="21"/>
          <w:highlight w:val="none"/>
        </w:rPr>
      </w:pPr>
    </w:p>
    <w:p w14:paraId="3B55855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1.产品如有型号，请在“产品名称”栏一并填写。</w:t>
      </w:r>
    </w:p>
    <w:p w14:paraId="5AE865F1">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2.生产厂名与厂址应与生产厂营业执照载明的相关信息保持一致。</w:t>
      </w:r>
    </w:p>
    <w:p w14:paraId="209BAF83">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3.该产品的中国境内生产的组件成本占比相关要求实施前，“规定比例”栏可不填，下同。</w:t>
      </w:r>
    </w:p>
    <w:p w14:paraId="0FA8E9B8">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4.该产品的关键组件要求实施前，“关键组件”栏可不填，下同。</w:t>
      </w:r>
    </w:p>
    <w:p w14:paraId="5E1AE300">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5.该产品的关键工序要求实施前，“关键工序”栏可不填，下同。</w:t>
      </w:r>
    </w:p>
    <w:p w14:paraId="63F3E368">
      <w:pPr>
        <w:spacing w:line="360" w:lineRule="auto"/>
        <w:jc w:val="left"/>
        <w:rPr>
          <w:rFonts w:hint="eastAsia" w:ascii="宋体" w:hAnsi="宋体" w:cs="宋体"/>
          <w:sz w:val="21"/>
          <w:szCs w:val="21"/>
          <w:highlight w:val="none"/>
        </w:rPr>
      </w:pPr>
    </w:p>
    <w:p w14:paraId="149F6112">
      <w:pPr>
        <w:spacing w:line="360" w:lineRule="auto"/>
        <w:jc w:val="left"/>
        <w:rPr>
          <w:rFonts w:ascii="宋体" w:hAnsi="宋体" w:cs="宋体"/>
          <w:sz w:val="24"/>
          <w:highlight w:val="none"/>
        </w:rPr>
      </w:pPr>
    </w:p>
    <w:p w14:paraId="77C2717F">
      <w:pPr>
        <w:spacing w:line="360" w:lineRule="auto"/>
        <w:jc w:val="left"/>
        <w:rPr>
          <w:rFonts w:ascii="宋体" w:hAnsi="宋体" w:cs="宋体"/>
          <w:sz w:val="24"/>
          <w:highlight w:val="none"/>
        </w:rPr>
      </w:pPr>
    </w:p>
    <w:p w14:paraId="18B456FF">
      <w:pPr>
        <w:spacing w:line="360" w:lineRule="auto"/>
        <w:jc w:val="left"/>
        <w:rPr>
          <w:rFonts w:ascii="宋体" w:hAnsi="宋体" w:cs="宋体"/>
          <w:sz w:val="24"/>
          <w:highlight w:val="none"/>
        </w:rPr>
      </w:pPr>
    </w:p>
    <w:p w14:paraId="1ADA7893">
      <w:pPr>
        <w:spacing w:line="360" w:lineRule="auto"/>
        <w:jc w:val="left"/>
        <w:rPr>
          <w:rFonts w:ascii="宋体" w:hAnsi="宋体" w:cs="宋体"/>
          <w:sz w:val="24"/>
          <w:highlight w:val="none"/>
        </w:rPr>
      </w:pPr>
      <w:r>
        <w:rPr>
          <w:rFonts w:ascii="宋体" w:hAnsi="宋体" w:cs="宋体"/>
          <w:b/>
          <w:sz w:val="24"/>
          <w:highlight w:val="none"/>
        </w:rPr>
        <w:t>5</w:t>
      </w:r>
      <w:r>
        <w:rPr>
          <w:rFonts w:hint="eastAsia" w:ascii="宋体" w:hAnsi="宋体" w:cs="宋体"/>
          <w:b/>
          <w:sz w:val="24"/>
          <w:highlight w:val="none"/>
        </w:rPr>
        <w:t>.质疑函格式</w:t>
      </w:r>
    </w:p>
    <w:p w14:paraId="4A50580C">
      <w:pPr>
        <w:spacing w:line="360" w:lineRule="auto"/>
        <w:jc w:val="center"/>
        <w:rPr>
          <w:rFonts w:ascii="宋体" w:hAnsi="宋体" w:cs="宋体"/>
          <w:sz w:val="44"/>
          <w:szCs w:val="44"/>
          <w:highlight w:val="none"/>
        </w:rPr>
      </w:pPr>
      <w:r>
        <w:rPr>
          <w:rFonts w:hint="eastAsia" w:ascii="宋体" w:hAnsi="宋体" w:cs="宋体"/>
          <w:sz w:val="44"/>
          <w:szCs w:val="44"/>
          <w:highlight w:val="none"/>
        </w:rPr>
        <w:t>质疑函</w:t>
      </w:r>
    </w:p>
    <w:p w14:paraId="074EAA7E">
      <w:pPr>
        <w:pStyle w:val="25"/>
        <w:snapToGrid w:val="0"/>
        <w:spacing w:line="360" w:lineRule="auto"/>
        <w:ind w:firstLine="422" w:firstLineChars="200"/>
        <w:rPr>
          <w:rFonts w:hAnsi="宋体" w:cs="宋体"/>
          <w:b/>
          <w:bCs/>
          <w:sz w:val="21"/>
          <w:szCs w:val="21"/>
          <w:highlight w:val="none"/>
        </w:rPr>
      </w:pPr>
      <w:r>
        <w:rPr>
          <w:rFonts w:hint="eastAsia" w:hAnsi="宋体" w:cs="宋体"/>
          <w:b/>
          <w:bCs/>
          <w:sz w:val="21"/>
          <w:szCs w:val="21"/>
          <w:highlight w:val="none"/>
        </w:rPr>
        <w:t>一、质疑供应商基本信息：</w:t>
      </w:r>
    </w:p>
    <w:p w14:paraId="6FEF46FD">
      <w:pPr>
        <w:pStyle w:val="25"/>
        <w:snapToGrid w:val="0"/>
        <w:spacing w:line="360" w:lineRule="auto"/>
        <w:ind w:firstLine="420" w:firstLineChars="200"/>
        <w:rPr>
          <w:rFonts w:hAnsi="宋体" w:cs="宋体"/>
          <w:bCs/>
          <w:sz w:val="21"/>
          <w:szCs w:val="21"/>
          <w:highlight w:val="none"/>
          <w:u w:val="single"/>
        </w:rPr>
      </w:pPr>
      <w:r>
        <w:rPr>
          <w:rFonts w:hint="eastAsia" w:hAnsi="宋体" w:cs="宋体"/>
          <w:bCs/>
          <w:sz w:val="21"/>
          <w:szCs w:val="21"/>
          <w:highlight w:val="none"/>
        </w:rPr>
        <w:t>质疑供应商：</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49833FFC">
      <w:pPr>
        <w:pStyle w:val="25"/>
        <w:snapToGrid w:val="0"/>
        <w:spacing w:line="360" w:lineRule="auto"/>
        <w:ind w:firstLine="420" w:firstLineChars="200"/>
        <w:rPr>
          <w:rFonts w:hAnsi="宋体" w:cs="宋体"/>
          <w:bCs/>
          <w:sz w:val="21"/>
          <w:szCs w:val="21"/>
          <w:highlight w:val="non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r>
        <w:rPr>
          <w:rFonts w:hint="eastAsia" w:hAnsi="宋体" w:cs="宋体"/>
          <w:bCs/>
          <w:sz w:val="21"/>
          <w:szCs w:val="21"/>
          <w:highlight w:val="none"/>
        </w:rPr>
        <w:t>邮编：</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4B3A8BED">
      <w:pPr>
        <w:pStyle w:val="25"/>
        <w:snapToGrid w:val="0"/>
        <w:spacing w:line="360" w:lineRule="auto"/>
        <w:ind w:firstLine="420" w:firstLineChars="200"/>
        <w:rPr>
          <w:rFonts w:hAnsi="宋体" w:cs="宋体"/>
          <w:bCs/>
          <w:sz w:val="21"/>
          <w:szCs w:val="21"/>
          <w:highlight w:val="none"/>
        </w:rPr>
      </w:pPr>
      <w:r>
        <w:rPr>
          <w:rFonts w:hint="eastAsia" w:hAnsi="宋体" w:cs="宋体"/>
          <w:bCs/>
          <w:sz w:val="21"/>
          <w:szCs w:val="21"/>
          <w:highlight w:val="none"/>
        </w:rPr>
        <w:t>联系人：</w:t>
      </w:r>
      <w:r>
        <w:rPr>
          <w:rFonts w:hint="eastAsia" w:hAnsi="宋体" w:cs="宋体"/>
          <w:bCs/>
          <w:sz w:val="21"/>
          <w:szCs w:val="21"/>
          <w:highlight w:val="none"/>
          <w:u w:val="single"/>
        </w:rPr>
        <w:t xml:space="preserve">                     </w:t>
      </w:r>
      <w:r>
        <w:rPr>
          <w:rFonts w:hint="eastAsia" w:hAnsi="宋体" w:cs="宋体"/>
          <w:bCs/>
          <w:sz w:val="21"/>
          <w:szCs w:val="21"/>
          <w:highlight w:val="none"/>
        </w:rPr>
        <w:t>联系电话：</w:t>
      </w:r>
      <w:r>
        <w:rPr>
          <w:rFonts w:hint="eastAsia" w:hAnsi="宋体" w:cs="宋体"/>
          <w:bCs/>
          <w:sz w:val="21"/>
          <w:szCs w:val="21"/>
          <w:highlight w:val="none"/>
          <w:u w:val="single"/>
        </w:rPr>
        <w:t xml:space="preserve">                 </w:t>
      </w:r>
    </w:p>
    <w:p w14:paraId="2016D3B9">
      <w:pPr>
        <w:pStyle w:val="25"/>
        <w:snapToGrid w:val="0"/>
        <w:spacing w:line="360" w:lineRule="auto"/>
        <w:ind w:firstLine="420" w:firstLineChars="200"/>
        <w:rPr>
          <w:rFonts w:hAnsi="宋体" w:cs="宋体"/>
          <w:bCs/>
          <w:sz w:val="21"/>
          <w:szCs w:val="21"/>
          <w:highlight w:val="none"/>
        </w:rPr>
      </w:pPr>
      <w:r>
        <w:rPr>
          <w:rFonts w:hint="eastAsia" w:hAnsi="宋体" w:cs="宋体"/>
          <w:bCs/>
          <w:sz w:val="21"/>
          <w:szCs w:val="21"/>
          <w:highlight w:val="none"/>
        </w:rPr>
        <w:t>授权代表：</w:t>
      </w:r>
      <w:r>
        <w:rPr>
          <w:rFonts w:hint="eastAsia" w:hAnsi="宋体" w:cs="宋体"/>
          <w:bCs/>
          <w:sz w:val="21"/>
          <w:szCs w:val="21"/>
          <w:highlight w:val="none"/>
          <w:u w:val="single"/>
        </w:rPr>
        <w:t xml:space="preserve">                      </w:t>
      </w:r>
    </w:p>
    <w:p w14:paraId="26C524C5">
      <w:pPr>
        <w:pStyle w:val="25"/>
        <w:snapToGrid w:val="0"/>
        <w:spacing w:line="360" w:lineRule="auto"/>
        <w:ind w:firstLine="420" w:firstLineChars="200"/>
        <w:rPr>
          <w:rFonts w:hAnsi="宋体" w:cs="宋体"/>
          <w:bCs/>
          <w:sz w:val="21"/>
          <w:szCs w:val="21"/>
          <w:highlight w:val="none"/>
          <w:u w:val="single"/>
        </w:rPr>
      </w:pPr>
      <w:r>
        <w:rPr>
          <w:rFonts w:hint="eastAsia" w:hAnsi="宋体" w:cs="宋体"/>
          <w:bCs/>
          <w:sz w:val="21"/>
          <w:szCs w:val="21"/>
          <w:highlight w:val="none"/>
        </w:rPr>
        <w:t>联系电话：</w:t>
      </w:r>
      <w:r>
        <w:rPr>
          <w:rFonts w:hint="eastAsia" w:hAnsi="宋体" w:cs="宋体"/>
          <w:bCs/>
          <w:sz w:val="21"/>
          <w:szCs w:val="21"/>
          <w:highlight w:val="none"/>
          <w:u w:val="single"/>
        </w:rPr>
        <w:t xml:space="preserve">                      </w:t>
      </w:r>
    </w:p>
    <w:p w14:paraId="742054C2">
      <w:pPr>
        <w:pStyle w:val="25"/>
        <w:snapToGrid w:val="0"/>
        <w:spacing w:line="360" w:lineRule="auto"/>
        <w:ind w:firstLine="420" w:firstLineChars="200"/>
        <w:rPr>
          <w:rFonts w:hAnsi="宋体" w:cs="宋体"/>
          <w:bCs/>
          <w:sz w:val="21"/>
          <w:szCs w:val="21"/>
          <w:highlight w:val="non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r>
        <w:rPr>
          <w:rFonts w:hint="eastAsia" w:hAnsi="宋体" w:cs="宋体"/>
          <w:bCs/>
          <w:sz w:val="21"/>
          <w:szCs w:val="21"/>
          <w:highlight w:val="none"/>
        </w:rPr>
        <w:t>邮编：</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1760835A">
      <w:pPr>
        <w:pStyle w:val="25"/>
        <w:snapToGrid w:val="0"/>
        <w:spacing w:line="360" w:lineRule="auto"/>
        <w:ind w:firstLine="422" w:firstLineChars="200"/>
        <w:rPr>
          <w:rFonts w:hAnsi="宋体" w:cs="宋体"/>
          <w:b/>
          <w:bCs/>
          <w:sz w:val="21"/>
          <w:szCs w:val="21"/>
          <w:highlight w:val="none"/>
        </w:rPr>
      </w:pPr>
      <w:r>
        <w:rPr>
          <w:rFonts w:hint="eastAsia" w:hAnsi="宋体" w:cs="宋体"/>
          <w:b/>
          <w:bCs/>
          <w:sz w:val="21"/>
          <w:szCs w:val="21"/>
          <w:highlight w:val="none"/>
        </w:rPr>
        <w:t>二、质疑项目基本情况：</w:t>
      </w:r>
    </w:p>
    <w:p w14:paraId="6C9BC452">
      <w:pPr>
        <w:pStyle w:val="25"/>
        <w:spacing w:line="360" w:lineRule="auto"/>
        <w:ind w:left="25" w:leftChars="12" w:firstLine="413" w:firstLineChars="197"/>
        <w:rPr>
          <w:rFonts w:hAnsi="宋体" w:cs="宋体"/>
          <w:sz w:val="21"/>
          <w:szCs w:val="21"/>
          <w:highlight w:val="none"/>
        </w:rPr>
      </w:pPr>
      <w:r>
        <w:rPr>
          <w:rFonts w:hint="eastAsia" w:hAnsi="宋体" w:cs="宋体"/>
          <w:bCs/>
          <w:sz w:val="21"/>
          <w:szCs w:val="21"/>
          <w:highlight w:val="none"/>
        </w:rPr>
        <w:t>质疑</w:t>
      </w:r>
      <w:r>
        <w:rPr>
          <w:rFonts w:hint="eastAsia" w:hAnsi="宋体" w:cs="宋体"/>
          <w:sz w:val="21"/>
          <w:szCs w:val="21"/>
          <w:highlight w:val="none"/>
        </w:rPr>
        <w:t>项目的名称：</w:t>
      </w:r>
      <w:r>
        <w:rPr>
          <w:rFonts w:hint="eastAsia" w:hAnsi="宋体" w:cs="宋体"/>
          <w:bCs/>
          <w:sz w:val="21"/>
          <w:szCs w:val="21"/>
          <w:highlight w:val="none"/>
          <w:u w:val="single"/>
        </w:rPr>
        <w:t xml:space="preserve">                                     </w:t>
      </w:r>
    </w:p>
    <w:p w14:paraId="2EC77992">
      <w:pPr>
        <w:pStyle w:val="25"/>
        <w:spacing w:line="360" w:lineRule="auto"/>
        <w:ind w:left="25" w:leftChars="12" w:firstLine="413" w:firstLineChars="197"/>
        <w:rPr>
          <w:rFonts w:hAnsi="宋体" w:cs="宋体"/>
          <w:sz w:val="21"/>
          <w:szCs w:val="21"/>
          <w:highlight w:val="none"/>
        </w:rPr>
      </w:pPr>
      <w:r>
        <w:rPr>
          <w:rFonts w:hint="eastAsia" w:hAnsi="宋体" w:cs="宋体"/>
          <w:bCs/>
          <w:sz w:val="21"/>
          <w:szCs w:val="21"/>
          <w:highlight w:val="none"/>
        </w:rPr>
        <w:t>质疑</w:t>
      </w:r>
      <w:r>
        <w:rPr>
          <w:rFonts w:hint="eastAsia" w:hAnsi="宋体" w:cs="宋体"/>
          <w:sz w:val="21"/>
          <w:szCs w:val="21"/>
          <w:highlight w:val="none"/>
        </w:rPr>
        <w:t>项目的编号：</w:t>
      </w:r>
      <w:r>
        <w:rPr>
          <w:rFonts w:hint="eastAsia" w:hAnsi="宋体" w:cs="宋体"/>
          <w:bCs/>
          <w:sz w:val="21"/>
          <w:szCs w:val="21"/>
          <w:highlight w:val="none"/>
          <w:u w:val="single"/>
        </w:rPr>
        <w:t xml:space="preserve">                                     </w:t>
      </w:r>
    </w:p>
    <w:p w14:paraId="358FB294">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采购人名称：</w:t>
      </w:r>
      <w:r>
        <w:rPr>
          <w:rFonts w:hint="eastAsia" w:hAnsi="宋体" w:cs="宋体"/>
          <w:bCs/>
          <w:sz w:val="21"/>
          <w:szCs w:val="21"/>
          <w:highlight w:val="none"/>
          <w:u w:val="single"/>
        </w:rPr>
        <w:t xml:space="preserve">                                         </w:t>
      </w:r>
    </w:p>
    <w:p w14:paraId="64C297C1">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质疑事项：</w:t>
      </w:r>
    </w:p>
    <w:p w14:paraId="1844A59A">
      <w:pPr>
        <w:pStyle w:val="25"/>
        <w:spacing w:line="360" w:lineRule="auto"/>
        <w:ind w:left="25" w:leftChars="12" w:firstLine="308" w:firstLineChars="147"/>
        <w:rPr>
          <w:rFonts w:hAnsi="宋体" w:cs="宋体"/>
          <w:sz w:val="21"/>
          <w:szCs w:val="21"/>
          <w:highlight w:val="none"/>
        </w:rPr>
      </w:pPr>
      <w:r>
        <w:rPr>
          <w:rFonts w:hint="eastAsia" w:hAnsi="宋体" w:cs="宋体"/>
          <w:sz w:val="21"/>
          <w:szCs w:val="21"/>
          <w:highlight w:val="none"/>
        </w:rPr>
        <w:t>□招标文件   招标文件获取日期：</w:t>
      </w:r>
      <w:r>
        <w:rPr>
          <w:rFonts w:hint="eastAsia" w:hAnsi="宋体" w:cs="宋体"/>
          <w:bCs/>
          <w:sz w:val="21"/>
          <w:szCs w:val="21"/>
          <w:highlight w:val="none"/>
          <w:u w:val="single"/>
        </w:rPr>
        <w:t xml:space="preserve">                                   </w:t>
      </w:r>
    </w:p>
    <w:p w14:paraId="1C91BA4C">
      <w:pPr>
        <w:pStyle w:val="25"/>
        <w:spacing w:line="360" w:lineRule="auto"/>
        <w:ind w:left="25" w:leftChars="12" w:firstLine="308" w:firstLineChars="147"/>
        <w:rPr>
          <w:rFonts w:hAnsi="宋体" w:cs="宋体"/>
          <w:sz w:val="21"/>
          <w:szCs w:val="21"/>
          <w:highlight w:val="none"/>
        </w:rPr>
      </w:pPr>
      <w:r>
        <w:rPr>
          <w:rFonts w:hint="eastAsia" w:hAnsi="宋体" w:cs="宋体"/>
          <w:sz w:val="21"/>
          <w:szCs w:val="21"/>
          <w:highlight w:val="none"/>
        </w:rPr>
        <w:t xml:space="preserve">□采购过程   </w:t>
      </w:r>
    </w:p>
    <w:p w14:paraId="1DA4B5AD">
      <w:pPr>
        <w:pStyle w:val="25"/>
        <w:spacing w:line="360" w:lineRule="auto"/>
        <w:ind w:left="25" w:leftChars="12" w:firstLine="308" w:firstLineChars="147"/>
        <w:rPr>
          <w:rFonts w:hAnsi="宋体" w:cs="宋体"/>
          <w:bCs/>
          <w:sz w:val="21"/>
          <w:szCs w:val="21"/>
          <w:highlight w:val="none"/>
          <w:u w:val="single"/>
        </w:rPr>
      </w:pPr>
      <w:r>
        <w:rPr>
          <w:rFonts w:hint="eastAsia" w:hAnsi="宋体" w:cs="宋体"/>
          <w:sz w:val="21"/>
          <w:szCs w:val="21"/>
          <w:highlight w:val="none"/>
        </w:rPr>
        <w:t xml:space="preserve">□中标结果   </w:t>
      </w:r>
    </w:p>
    <w:p w14:paraId="52DA6CF0">
      <w:pPr>
        <w:pStyle w:val="25"/>
        <w:spacing w:line="360" w:lineRule="auto"/>
        <w:ind w:left="25" w:leftChars="12" w:firstLine="413" w:firstLineChars="196"/>
        <w:rPr>
          <w:rFonts w:hAnsi="宋体" w:cs="宋体"/>
          <w:b/>
          <w:sz w:val="21"/>
          <w:szCs w:val="21"/>
          <w:highlight w:val="none"/>
        </w:rPr>
      </w:pPr>
      <w:r>
        <w:rPr>
          <w:rFonts w:hint="eastAsia" w:hAnsi="宋体" w:cs="宋体"/>
          <w:b/>
          <w:sz w:val="21"/>
          <w:szCs w:val="21"/>
          <w:highlight w:val="none"/>
        </w:rPr>
        <w:t>三、质疑事项具体内容</w:t>
      </w:r>
    </w:p>
    <w:p w14:paraId="20920AC8">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质疑事项1：</w:t>
      </w:r>
      <w:r>
        <w:rPr>
          <w:rFonts w:hint="eastAsia" w:hAnsi="宋体" w:cs="宋体"/>
          <w:bCs/>
          <w:sz w:val="21"/>
          <w:szCs w:val="21"/>
          <w:highlight w:val="none"/>
          <w:u w:val="single"/>
        </w:rPr>
        <w:t xml:space="preserve">                                                                    </w:t>
      </w:r>
    </w:p>
    <w:p w14:paraId="1DB45B19">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事实依据：</w:t>
      </w:r>
      <w:r>
        <w:rPr>
          <w:rFonts w:hint="eastAsia" w:hAnsi="宋体" w:cs="宋体"/>
          <w:bCs/>
          <w:sz w:val="21"/>
          <w:szCs w:val="21"/>
          <w:highlight w:val="none"/>
          <w:u w:val="single"/>
        </w:rPr>
        <w:t xml:space="preserve">                                                                      </w:t>
      </w:r>
    </w:p>
    <w:p w14:paraId="2B1789A7">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法律依据：</w:t>
      </w:r>
      <w:r>
        <w:rPr>
          <w:rFonts w:hint="eastAsia" w:hAnsi="宋体" w:cs="宋体"/>
          <w:sz w:val="21"/>
          <w:szCs w:val="21"/>
          <w:highlight w:val="none"/>
          <w:u w:val="single"/>
        </w:rPr>
        <w:t xml:space="preserve">                                                        </w:t>
      </w:r>
      <w:r>
        <w:rPr>
          <w:rFonts w:hint="eastAsia" w:hAnsi="宋体" w:cs="宋体"/>
          <w:bCs/>
          <w:sz w:val="21"/>
          <w:szCs w:val="21"/>
          <w:highlight w:val="none"/>
          <w:u w:val="single"/>
        </w:rPr>
        <w:t xml:space="preserve">               </w:t>
      </w:r>
    </w:p>
    <w:p w14:paraId="41088EA7">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质疑事项2</w:t>
      </w:r>
    </w:p>
    <w:p w14:paraId="00558559">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w:t>
      </w:r>
    </w:p>
    <w:p w14:paraId="6BE9514A">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四、与质疑事项相关的质疑请求：</w:t>
      </w:r>
    </w:p>
    <w:p w14:paraId="70E0794B">
      <w:pPr>
        <w:pStyle w:val="25"/>
        <w:spacing w:line="360" w:lineRule="auto"/>
        <w:ind w:left="25" w:leftChars="12" w:firstLine="413" w:firstLineChars="197"/>
        <w:rPr>
          <w:rFonts w:hAnsi="宋体" w:cs="宋体"/>
          <w:sz w:val="21"/>
          <w:szCs w:val="21"/>
          <w:highlight w:val="none"/>
        </w:rPr>
      </w:pPr>
      <w:r>
        <w:rPr>
          <w:rFonts w:hint="eastAsia" w:hAnsi="宋体" w:cs="宋体"/>
          <w:sz w:val="21"/>
          <w:szCs w:val="21"/>
          <w:highlight w:val="none"/>
        </w:rPr>
        <w:t>请求：</w:t>
      </w:r>
      <w:r>
        <w:rPr>
          <w:rFonts w:hint="eastAsia" w:hAnsi="宋体" w:cs="宋体"/>
          <w:bCs/>
          <w:sz w:val="21"/>
          <w:szCs w:val="21"/>
          <w:highlight w:val="none"/>
          <w:u w:val="single"/>
        </w:rPr>
        <w:t xml:space="preserve">                                                                </w:t>
      </w:r>
    </w:p>
    <w:p w14:paraId="6E9A32BF">
      <w:pPr>
        <w:pStyle w:val="25"/>
        <w:spacing w:line="360" w:lineRule="auto"/>
        <w:ind w:left="25" w:leftChars="12" w:firstLine="308" w:firstLineChars="147"/>
        <w:rPr>
          <w:rFonts w:hAnsi="宋体" w:cs="宋体"/>
          <w:sz w:val="21"/>
          <w:szCs w:val="21"/>
          <w:highlight w:val="none"/>
        </w:rPr>
      </w:pPr>
    </w:p>
    <w:p w14:paraId="20FAD0CC">
      <w:pPr>
        <w:pStyle w:val="25"/>
        <w:spacing w:line="360" w:lineRule="auto"/>
        <w:ind w:left="25" w:leftChars="12" w:firstLine="4193" w:firstLineChars="1997"/>
        <w:rPr>
          <w:rFonts w:hAnsi="宋体" w:cs="宋体"/>
          <w:sz w:val="21"/>
          <w:szCs w:val="21"/>
          <w:highlight w:val="none"/>
        </w:rPr>
      </w:pPr>
      <w:r>
        <w:rPr>
          <w:rFonts w:hint="eastAsia" w:hAnsi="宋体" w:cs="宋体"/>
          <w:sz w:val="21"/>
          <w:szCs w:val="21"/>
          <w:highlight w:val="none"/>
        </w:rPr>
        <w:t>签 字（签章）：</w:t>
      </w:r>
      <w:r>
        <w:rPr>
          <w:rFonts w:hint="eastAsia" w:hAnsi="宋体" w:cs="宋体"/>
          <w:sz w:val="21"/>
          <w:szCs w:val="21"/>
          <w:highlight w:val="none"/>
          <w:u w:val="single"/>
        </w:rPr>
        <w:t xml:space="preserve"> </w:t>
      </w:r>
      <w:r>
        <w:rPr>
          <w:rFonts w:hAnsi="宋体" w:cs="宋体"/>
          <w:sz w:val="21"/>
          <w:szCs w:val="21"/>
          <w:highlight w:val="none"/>
          <w:u w:val="single"/>
        </w:rPr>
        <w:t xml:space="preserve">              </w:t>
      </w:r>
      <w:r>
        <w:rPr>
          <w:rFonts w:hint="eastAsia" w:hAnsi="宋体" w:cs="宋体"/>
          <w:sz w:val="21"/>
          <w:szCs w:val="21"/>
          <w:highlight w:val="none"/>
        </w:rPr>
        <w:t xml:space="preserve">                                 </w:t>
      </w:r>
    </w:p>
    <w:p w14:paraId="5128E8FE">
      <w:pPr>
        <w:pStyle w:val="25"/>
        <w:spacing w:line="360" w:lineRule="auto"/>
        <w:ind w:left="25" w:leftChars="12" w:firstLine="4193" w:firstLineChars="1997"/>
        <w:rPr>
          <w:rFonts w:hAnsi="宋体" w:cs="宋体"/>
          <w:sz w:val="21"/>
          <w:szCs w:val="21"/>
          <w:highlight w:val="none"/>
          <w:u w:val="single"/>
        </w:rPr>
      </w:pPr>
      <w:r>
        <w:rPr>
          <w:rFonts w:hint="eastAsia" w:hAnsi="宋体" w:cs="宋体"/>
          <w:sz w:val="21"/>
          <w:szCs w:val="21"/>
          <w:highlight w:val="none"/>
        </w:rPr>
        <w:t>公 章：</w:t>
      </w:r>
      <w:r>
        <w:rPr>
          <w:rFonts w:hint="eastAsia" w:hAnsi="宋体" w:cs="宋体"/>
          <w:sz w:val="21"/>
          <w:szCs w:val="21"/>
          <w:highlight w:val="none"/>
          <w:u w:val="single"/>
        </w:rPr>
        <w:t xml:space="preserve"> </w:t>
      </w:r>
      <w:r>
        <w:rPr>
          <w:rFonts w:hAnsi="宋体" w:cs="宋体"/>
          <w:sz w:val="21"/>
          <w:szCs w:val="21"/>
          <w:highlight w:val="none"/>
          <w:u w:val="single"/>
        </w:rPr>
        <w:t xml:space="preserve">                  </w:t>
      </w:r>
    </w:p>
    <w:p w14:paraId="297F2BAC">
      <w:pPr>
        <w:spacing w:line="360" w:lineRule="auto"/>
        <w:ind w:firstLine="4800" w:firstLineChars="2000"/>
        <w:contextualSpacing/>
        <w:rPr>
          <w:rFonts w:ascii="宋体" w:hAnsi="宋体" w:cs="宋体"/>
          <w:sz w:val="24"/>
          <w:szCs w:val="20"/>
          <w:highlight w:val="none"/>
        </w:rPr>
      </w:pPr>
      <w:r>
        <w:rPr>
          <w:rFonts w:hint="eastAsia" w:hAnsi="宋体" w:cs="宋体"/>
          <w:sz w:val="24"/>
          <w:highlight w:val="none"/>
        </w:rPr>
        <w:t>日 期：</w:t>
      </w:r>
      <w:r>
        <w:rPr>
          <w:rFonts w:hint="eastAsia" w:ascii="黑体" w:hAnsi="黑体" w:eastAsia="黑体" w:cs="宋体"/>
          <w:b/>
          <w:spacing w:val="20"/>
          <w:sz w:val="24"/>
          <w:highlight w:val="none"/>
          <w:u w:val="single"/>
        </w:rPr>
        <w:t xml:space="preserve"> </w:t>
      </w:r>
      <w:r>
        <w:rPr>
          <w:rFonts w:ascii="黑体" w:hAnsi="黑体" w:eastAsia="黑体" w:cs="宋体"/>
          <w:b/>
          <w:spacing w:val="20"/>
          <w:sz w:val="24"/>
          <w:highlight w:val="none"/>
          <w:u w:val="single"/>
        </w:rPr>
        <w:t xml:space="preserve">  </w:t>
      </w:r>
      <w:r>
        <w:rPr>
          <w:rFonts w:hint="eastAsia" w:ascii="黑体" w:hAnsi="黑体" w:eastAsia="黑体" w:cs="宋体"/>
          <w:b/>
          <w:spacing w:val="20"/>
          <w:sz w:val="24"/>
          <w:highlight w:val="none"/>
          <w:u w:val="single"/>
        </w:rPr>
        <w:t xml:space="preserve">  </w:t>
      </w:r>
      <w:r>
        <w:rPr>
          <w:rFonts w:hint="eastAsia" w:ascii="黑体" w:hAnsi="黑体" w:eastAsia="黑体" w:cs="宋体"/>
          <w:spacing w:val="20"/>
          <w:sz w:val="24"/>
          <w:highlight w:val="none"/>
        </w:rPr>
        <w:t>年</w:t>
      </w:r>
      <w:r>
        <w:rPr>
          <w:rFonts w:ascii="黑体" w:hAnsi="黑体" w:eastAsia="黑体" w:cs="宋体"/>
          <w:spacing w:val="20"/>
          <w:sz w:val="24"/>
          <w:highlight w:val="none"/>
          <w:u w:val="single"/>
        </w:rPr>
        <w:t xml:space="preserve">  </w:t>
      </w:r>
      <w:r>
        <w:rPr>
          <w:rFonts w:hint="eastAsia" w:ascii="黑体" w:hAnsi="黑体" w:eastAsia="黑体" w:cs="宋体"/>
          <w:spacing w:val="20"/>
          <w:sz w:val="24"/>
          <w:highlight w:val="none"/>
        </w:rPr>
        <w:t>月</w:t>
      </w:r>
      <w:r>
        <w:rPr>
          <w:rFonts w:ascii="黑体" w:hAnsi="黑体" w:eastAsia="黑体" w:cs="宋体"/>
          <w:spacing w:val="20"/>
          <w:sz w:val="24"/>
          <w:highlight w:val="none"/>
          <w:u w:val="single"/>
        </w:rPr>
        <w:t xml:space="preserve">  </w:t>
      </w:r>
      <w:r>
        <w:rPr>
          <w:rFonts w:hint="eastAsia" w:cs="宋体" w:asciiTheme="minorEastAsia" w:hAnsiTheme="minorEastAsia" w:eastAsiaTheme="minorEastAsia"/>
          <w:spacing w:val="20"/>
          <w:sz w:val="24"/>
          <w:highlight w:val="none"/>
        </w:rPr>
        <w:t>日</w:t>
      </w:r>
    </w:p>
    <w:p w14:paraId="5279DB27">
      <w:pPr>
        <w:pStyle w:val="25"/>
        <w:snapToGrid w:val="0"/>
        <w:spacing w:line="360" w:lineRule="auto"/>
        <w:rPr>
          <w:rFonts w:hAnsi="宋体" w:cs="宋体"/>
          <w:b/>
          <w:sz w:val="24"/>
          <w:szCs w:val="24"/>
          <w:highlight w:val="none"/>
        </w:rPr>
      </w:pPr>
    </w:p>
    <w:p w14:paraId="27D950BE">
      <w:pPr>
        <w:pStyle w:val="25"/>
        <w:snapToGrid w:val="0"/>
        <w:spacing w:line="360" w:lineRule="auto"/>
        <w:rPr>
          <w:rFonts w:ascii="楷体" w:hAnsi="楷体" w:eastAsia="楷体" w:cs="宋体"/>
          <w:b/>
          <w:sz w:val="24"/>
          <w:szCs w:val="24"/>
          <w:highlight w:val="none"/>
        </w:rPr>
      </w:pPr>
      <w:r>
        <w:rPr>
          <w:rFonts w:hint="eastAsia" w:ascii="楷体" w:hAnsi="楷体" w:eastAsia="楷体" w:cs="宋体"/>
          <w:b/>
          <w:sz w:val="24"/>
          <w:szCs w:val="24"/>
          <w:highlight w:val="none"/>
        </w:rPr>
        <w:t>说明：</w:t>
      </w:r>
    </w:p>
    <w:p w14:paraId="56FB603D">
      <w:pPr>
        <w:pStyle w:val="25"/>
        <w:spacing w:line="360" w:lineRule="auto"/>
        <w:ind w:left="25" w:leftChars="12" w:firstLine="354" w:firstLineChars="147"/>
        <w:rPr>
          <w:rFonts w:ascii="楷体" w:hAnsi="楷体" w:eastAsia="楷体" w:cs="宋体"/>
          <w:b/>
          <w:bCs/>
          <w:sz w:val="24"/>
          <w:szCs w:val="24"/>
          <w:highlight w:val="none"/>
        </w:rPr>
      </w:pPr>
      <w:r>
        <w:rPr>
          <w:rFonts w:ascii="楷体" w:hAnsi="楷体" w:eastAsia="楷体" w:cs="宋体"/>
          <w:b/>
          <w:sz w:val="24"/>
          <w:szCs w:val="24"/>
          <w:highlight w:val="none"/>
        </w:rPr>
        <w:t>1.供应商提出质疑时，应提交质疑函和必要的证明材料</w:t>
      </w:r>
      <w:r>
        <w:rPr>
          <w:rFonts w:hint="eastAsia" w:ascii="楷体" w:hAnsi="楷体" w:eastAsia="楷体" w:cs="宋体"/>
          <w:b/>
          <w:bCs/>
          <w:sz w:val="24"/>
          <w:szCs w:val="24"/>
          <w:highlight w:val="none"/>
        </w:rPr>
        <w:t>。</w:t>
      </w:r>
    </w:p>
    <w:p w14:paraId="04A7EE7D">
      <w:pPr>
        <w:pStyle w:val="25"/>
        <w:spacing w:line="360" w:lineRule="auto"/>
        <w:ind w:left="25" w:leftChars="12" w:firstLine="354" w:firstLineChars="147"/>
        <w:rPr>
          <w:rFonts w:ascii="楷体" w:hAnsi="楷体" w:eastAsia="楷体" w:cs="宋体"/>
          <w:b/>
          <w:sz w:val="24"/>
          <w:szCs w:val="24"/>
          <w:highlight w:val="none"/>
        </w:rPr>
      </w:pPr>
      <w:r>
        <w:rPr>
          <w:rFonts w:ascii="楷体" w:hAnsi="楷体" w:eastAsia="楷体" w:cs="宋体"/>
          <w:b/>
          <w:sz w:val="24"/>
          <w:szCs w:val="24"/>
          <w:highlight w:val="none"/>
        </w:rPr>
        <w:t>2.质疑供应商若委托代理人进行质疑的，</w:t>
      </w:r>
      <w:r>
        <w:rPr>
          <w:rFonts w:hint="eastAsia" w:ascii="楷体" w:hAnsi="楷体" w:eastAsia="楷体" w:cs="宋体"/>
          <w:b/>
          <w:sz w:val="24"/>
          <w:szCs w:val="24"/>
          <w:highlight w:val="none"/>
        </w:rPr>
        <w:t>质疑函应按要求列明“授权代表”的有关内容，并在附件中提交由质疑供应商签署的授权委托书。授权委托书应载明代理人的姓名或者名称、代理事项、具体权限、期限和相关事项。</w:t>
      </w:r>
    </w:p>
    <w:p w14:paraId="3974DB39">
      <w:pPr>
        <w:pStyle w:val="25"/>
        <w:spacing w:line="360" w:lineRule="auto"/>
        <w:ind w:left="25" w:leftChars="12" w:firstLine="354" w:firstLineChars="147"/>
        <w:rPr>
          <w:rFonts w:ascii="楷体" w:hAnsi="楷体" w:eastAsia="楷体" w:cs="宋体"/>
          <w:b/>
          <w:sz w:val="24"/>
          <w:szCs w:val="24"/>
          <w:highlight w:val="none"/>
        </w:rPr>
      </w:pPr>
      <w:r>
        <w:rPr>
          <w:rFonts w:ascii="楷体" w:hAnsi="楷体" w:eastAsia="楷体" w:cs="宋体"/>
          <w:b/>
          <w:sz w:val="24"/>
          <w:szCs w:val="24"/>
          <w:highlight w:val="none"/>
        </w:rPr>
        <w:t>3.质疑函的质疑事项应具体、明确，并有必要的事实依据和法律依据。</w:t>
      </w:r>
    </w:p>
    <w:p w14:paraId="530ADAD2">
      <w:pPr>
        <w:pStyle w:val="25"/>
        <w:spacing w:line="360" w:lineRule="auto"/>
        <w:ind w:left="25" w:leftChars="12" w:firstLine="354" w:firstLineChars="147"/>
        <w:rPr>
          <w:rFonts w:ascii="楷体" w:hAnsi="楷体" w:eastAsia="楷体" w:cs="宋体"/>
          <w:b/>
          <w:sz w:val="24"/>
          <w:szCs w:val="24"/>
          <w:highlight w:val="none"/>
        </w:rPr>
      </w:pPr>
      <w:r>
        <w:rPr>
          <w:rFonts w:ascii="楷体" w:hAnsi="楷体" w:eastAsia="楷体" w:cs="宋体"/>
          <w:b/>
          <w:sz w:val="24"/>
          <w:szCs w:val="24"/>
          <w:highlight w:val="none"/>
        </w:rPr>
        <w:t>4.质疑函的质疑请求应与质疑事项相关。</w:t>
      </w:r>
    </w:p>
    <w:p w14:paraId="62797E35">
      <w:pPr>
        <w:pStyle w:val="25"/>
        <w:spacing w:line="360" w:lineRule="auto"/>
        <w:ind w:left="25" w:leftChars="12" w:firstLine="354" w:firstLineChars="147"/>
        <w:rPr>
          <w:rFonts w:ascii="楷体" w:hAnsi="楷体" w:eastAsia="楷体" w:cs="宋体"/>
          <w:b/>
          <w:highlight w:val="none"/>
        </w:rPr>
      </w:pPr>
      <w:r>
        <w:rPr>
          <w:rFonts w:ascii="楷体" w:hAnsi="楷体" w:eastAsia="楷体" w:cs="宋体"/>
          <w:b/>
          <w:sz w:val="24"/>
          <w:szCs w:val="24"/>
          <w:highlight w:val="none"/>
        </w:rPr>
        <w:t>5.质疑供应商为法人或者其他组织的，</w:t>
      </w:r>
      <w:r>
        <w:rPr>
          <w:rFonts w:hint="eastAsia" w:ascii="楷体" w:hAnsi="楷体" w:eastAsia="楷体" w:cs="宋体"/>
          <w:b/>
          <w:sz w:val="24"/>
          <w:szCs w:val="24"/>
          <w:highlight w:val="none"/>
        </w:rPr>
        <w:t>质疑函应由法定代表人、主要负责人，或者其授权代表签字或者盖章，并加盖公章。</w:t>
      </w:r>
    </w:p>
    <w:p w14:paraId="69EBA1E0">
      <w:pPr>
        <w:pStyle w:val="25"/>
        <w:snapToGrid w:val="0"/>
        <w:rPr>
          <w:rFonts w:hAnsi="宋体" w:cs="宋体"/>
          <w:b/>
          <w:sz w:val="24"/>
          <w:szCs w:val="24"/>
          <w:highlight w:val="none"/>
        </w:rPr>
      </w:pPr>
    </w:p>
    <w:p w14:paraId="0FADFA6D">
      <w:pPr>
        <w:spacing w:line="360" w:lineRule="auto"/>
        <w:jc w:val="left"/>
        <w:rPr>
          <w:rFonts w:ascii="宋体" w:hAnsi="宋体" w:cs="宋体"/>
          <w:b/>
          <w:bCs/>
          <w:sz w:val="32"/>
          <w:szCs w:val="32"/>
          <w:highlight w:val="none"/>
        </w:rPr>
      </w:pPr>
      <w:r>
        <w:rPr>
          <w:rFonts w:hint="eastAsia" w:ascii="宋体" w:hAnsi="宋体" w:cs="宋体"/>
          <w:sz w:val="44"/>
          <w:highlight w:val="none"/>
        </w:rPr>
        <w:br w:type="page"/>
      </w:r>
      <w:r>
        <w:rPr>
          <w:rFonts w:hint="eastAsia" w:ascii="宋体" w:hAnsi="宋体" w:cs="宋体"/>
          <w:b/>
          <w:sz w:val="24"/>
          <w:highlight w:val="none"/>
        </w:rPr>
        <w:t>5.投诉书格式</w:t>
      </w:r>
    </w:p>
    <w:p w14:paraId="206CD83A">
      <w:pPr>
        <w:jc w:val="center"/>
        <w:rPr>
          <w:rFonts w:ascii="宋体" w:hAnsi="宋体" w:cs="宋体"/>
          <w:sz w:val="44"/>
          <w:szCs w:val="44"/>
          <w:highlight w:val="none"/>
        </w:rPr>
      </w:pPr>
      <w:r>
        <w:rPr>
          <w:rFonts w:hint="eastAsia" w:ascii="宋体" w:hAnsi="宋体" w:cs="宋体"/>
          <w:sz w:val="44"/>
          <w:szCs w:val="44"/>
          <w:highlight w:val="none"/>
        </w:rPr>
        <w:t>投诉书</w:t>
      </w:r>
    </w:p>
    <w:p w14:paraId="0AAFFE7E">
      <w:pPr>
        <w:pStyle w:val="25"/>
        <w:snapToGrid w:val="0"/>
        <w:spacing w:line="440" w:lineRule="exact"/>
        <w:ind w:firstLine="482" w:firstLineChars="200"/>
        <w:rPr>
          <w:rFonts w:hAnsi="宋体" w:cs="宋体"/>
          <w:b/>
          <w:bCs/>
          <w:sz w:val="24"/>
          <w:szCs w:val="24"/>
          <w:highlight w:val="none"/>
        </w:rPr>
      </w:pPr>
    </w:p>
    <w:p w14:paraId="1CC2DDF3">
      <w:pPr>
        <w:pStyle w:val="25"/>
        <w:snapToGrid w:val="0"/>
        <w:spacing w:line="440" w:lineRule="exact"/>
        <w:ind w:firstLine="422" w:firstLineChars="200"/>
        <w:rPr>
          <w:rFonts w:hAnsi="宋体" w:cs="宋体"/>
          <w:b/>
          <w:bCs/>
          <w:sz w:val="21"/>
          <w:szCs w:val="21"/>
          <w:highlight w:val="none"/>
        </w:rPr>
      </w:pPr>
      <w:r>
        <w:rPr>
          <w:rFonts w:hint="eastAsia" w:hAnsi="宋体" w:cs="宋体"/>
          <w:b/>
          <w:bCs/>
          <w:sz w:val="21"/>
          <w:szCs w:val="21"/>
          <w:highlight w:val="none"/>
        </w:rPr>
        <w:t>一、投诉相关主体基本情况：</w:t>
      </w:r>
    </w:p>
    <w:p w14:paraId="7AC97343">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投标人：</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1D57D631">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r>
        <w:rPr>
          <w:rFonts w:hint="eastAsia" w:hAnsi="宋体" w:cs="宋体"/>
          <w:bCs/>
          <w:sz w:val="21"/>
          <w:szCs w:val="21"/>
          <w:highlight w:val="none"/>
        </w:rPr>
        <w:t>邮编：</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4DC0CB39">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法定代表人/主要负责人：</w:t>
      </w:r>
      <w:r>
        <w:rPr>
          <w:rFonts w:hint="eastAsia" w:hAnsi="宋体" w:cs="宋体"/>
          <w:bCs/>
          <w:sz w:val="21"/>
          <w:szCs w:val="21"/>
          <w:highlight w:val="none"/>
          <w:u w:val="single"/>
        </w:rPr>
        <w:t xml:space="preserve">                                                         </w:t>
      </w:r>
    </w:p>
    <w:p w14:paraId="78413719">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联系电话：</w:t>
      </w:r>
      <w:r>
        <w:rPr>
          <w:rFonts w:hint="eastAsia" w:hAnsi="宋体" w:cs="宋体"/>
          <w:bCs/>
          <w:sz w:val="21"/>
          <w:szCs w:val="21"/>
          <w:highlight w:val="none"/>
          <w:u w:val="single"/>
        </w:rPr>
        <w:t xml:space="preserve">                                                              </w:t>
      </w:r>
    </w:p>
    <w:p w14:paraId="78EBC1C6">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授权代表：</w:t>
      </w:r>
      <w:r>
        <w:rPr>
          <w:rFonts w:hint="eastAsia" w:hAnsi="宋体" w:cs="宋体"/>
          <w:bCs/>
          <w:sz w:val="21"/>
          <w:szCs w:val="21"/>
          <w:highlight w:val="none"/>
          <w:u w:val="single"/>
        </w:rPr>
        <w:t xml:space="preserve">                                         </w:t>
      </w:r>
      <w:r>
        <w:rPr>
          <w:rFonts w:hint="eastAsia" w:hAnsi="宋体" w:cs="宋体"/>
          <w:bCs/>
          <w:sz w:val="21"/>
          <w:szCs w:val="21"/>
          <w:highlight w:val="none"/>
        </w:rPr>
        <w:t>联系电话：</w:t>
      </w:r>
      <w:r>
        <w:rPr>
          <w:rFonts w:hint="eastAsia" w:hAnsi="宋体" w:cs="宋体"/>
          <w:bCs/>
          <w:sz w:val="21"/>
          <w:szCs w:val="21"/>
          <w:highlight w:val="none"/>
          <w:u w:val="single"/>
        </w:rPr>
        <w:t xml:space="preserve">                   </w:t>
      </w:r>
    </w:p>
    <w:p w14:paraId="0775C756">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p>
    <w:p w14:paraId="4C6CF234">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邮编：</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0A948511">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被投诉人1：</w:t>
      </w:r>
    </w:p>
    <w:p w14:paraId="7EC19E49">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p>
    <w:p w14:paraId="64E250CD">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邮编：</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5942B318">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联系人：</w:t>
      </w:r>
      <w:r>
        <w:rPr>
          <w:rFonts w:hint="eastAsia" w:hAnsi="宋体" w:cs="宋体"/>
          <w:bCs/>
          <w:sz w:val="21"/>
          <w:szCs w:val="21"/>
          <w:highlight w:val="none"/>
          <w:u w:val="single"/>
        </w:rPr>
        <w:t xml:space="preserve">                            </w:t>
      </w:r>
      <w:r>
        <w:rPr>
          <w:rFonts w:hint="eastAsia" w:hAnsi="宋体" w:cs="宋体"/>
          <w:bCs/>
          <w:sz w:val="21"/>
          <w:szCs w:val="21"/>
          <w:highlight w:val="none"/>
        </w:rPr>
        <w:t>联系电话：</w:t>
      </w:r>
      <w:r>
        <w:rPr>
          <w:rFonts w:hint="eastAsia" w:hAnsi="宋体" w:cs="宋体"/>
          <w:bCs/>
          <w:sz w:val="21"/>
          <w:szCs w:val="21"/>
          <w:highlight w:val="none"/>
          <w:u w:val="single"/>
        </w:rPr>
        <w:t xml:space="preserve">                          </w:t>
      </w:r>
    </w:p>
    <w:p w14:paraId="6EDD8BC3">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被投诉人2：</w:t>
      </w:r>
    </w:p>
    <w:p w14:paraId="4447B532">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w:t>
      </w:r>
    </w:p>
    <w:p w14:paraId="0DFF14A9">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相关供应商：</w:t>
      </w:r>
      <w:r>
        <w:rPr>
          <w:rFonts w:hint="eastAsia" w:hAnsi="宋体" w:cs="宋体"/>
          <w:bCs/>
          <w:sz w:val="21"/>
          <w:szCs w:val="21"/>
          <w:highlight w:val="none"/>
          <w:u w:val="single"/>
        </w:rPr>
        <w:t xml:space="preserve">                                                                       </w:t>
      </w:r>
    </w:p>
    <w:p w14:paraId="0DC8548A">
      <w:pPr>
        <w:pStyle w:val="25"/>
        <w:snapToGrid w:val="0"/>
        <w:spacing w:line="440" w:lineRule="exact"/>
        <w:ind w:firstLine="420" w:firstLineChars="200"/>
        <w:jc w:val="left"/>
        <w:rPr>
          <w:rFonts w:hAnsi="宋体" w:cs="宋体"/>
          <w:bCs/>
          <w:sz w:val="21"/>
          <w:szCs w:val="21"/>
          <w:highlight w:val="none"/>
          <w:u w:val="single"/>
        </w:rPr>
      </w:pPr>
      <w:r>
        <w:rPr>
          <w:rFonts w:hint="eastAsia" w:hAnsi="宋体" w:cs="宋体"/>
          <w:bCs/>
          <w:sz w:val="21"/>
          <w:szCs w:val="21"/>
          <w:highlight w:val="none"/>
        </w:rPr>
        <w:t>地址：</w:t>
      </w:r>
      <w:r>
        <w:rPr>
          <w:rFonts w:hint="eastAsia" w:hAnsi="宋体" w:cs="宋体"/>
          <w:bCs/>
          <w:sz w:val="21"/>
          <w:szCs w:val="21"/>
          <w:highlight w:val="none"/>
          <w:u w:val="single"/>
        </w:rPr>
        <w:t xml:space="preserve">                                              </w:t>
      </w:r>
      <w:r>
        <w:rPr>
          <w:rFonts w:hint="eastAsia" w:hAnsi="宋体" w:cs="宋体"/>
          <w:bCs/>
          <w:sz w:val="21"/>
          <w:szCs w:val="21"/>
          <w:highlight w:val="none"/>
        </w:rPr>
        <w:t>邮编：</w:t>
      </w:r>
      <w:r>
        <w:rPr>
          <w:rFonts w:hint="eastAsia" w:hAnsi="宋体" w:cs="宋体"/>
          <w:bCs/>
          <w:sz w:val="21"/>
          <w:szCs w:val="21"/>
          <w:highlight w:val="none"/>
          <w:u w:val="single"/>
        </w:rPr>
        <w:t xml:space="preserve">                         </w:t>
      </w:r>
    </w:p>
    <w:p w14:paraId="595FEE00">
      <w:pPr>
        <w:pStyle w:val="25"/>
        <w:snapToGrid w:val="0"/>
        <w:spacing w:line="440" w:lineRule="exact"/>
        <w:ind w:firstLine="420" w:firstLineChars="200"/>
        <w:jc w:val="left"/>
        <w:rPr>
          <w:rFonts w:hAnsi="宋体" w:cs="宋体"/>
          <w:bCs/>
          <w:sz w:val="21"/>
          <w:szCs w:val="21"/>
          <w:highlight w:val="none"/>
        </w:rPr>
      </w:pPr>
      <w:r>
        <w:rPr>
          <w:rFonts w:hint="eastAsia" w:hAnsi="宋体" w:cs="宋体"/>
          <w:bCs/>
          <w:sz w:val="21"/>
          <w:szCs w:val="21"/>
          <w:highlight w:val="none"/>
        </w:rPr>
        <w:t>联系人：</w:t>
      </w:r>
      <w:r>
        <w:rPr>
          <w:rFonts w:hint="eastAsia" w:hAnsi="宋体" w:cs="宋体"/>
          <w:bCs/>
          <w:sz w:val="21"/>
          <w:szCs w:val="21"/>
          <w:highlight w:val="none"/>
          <w:u w:val="single"/>
        </w:rPr>
        <w:t xml:space="preserve">                                            </w:t>
      </w:r>
      <w:r>
        <w:rPr>
          <w:rFonts w:hint="eastAsia" w:hAnsi="宋体" w:cs="宋体"/>
          <w:bCs/>
          <w:sz w:val="21"/>
          <w:szCs w:val="21"/>
          <w:highlight w:val="none"/>
        </w:rPr>
        <w:t>联系电话：</w:t>
      </w:r>
      <w:r>
        <w:rPr>
          <w:rFonts w:hint="eastAsia" w:hAnsi="宋体" w:cs="宋体"/>
          <w:bCs/>
          <w:sz w:val="21"/>
          <w:szCs w:val="21"/>
          <w:highlight w:val="none"/>
          <w:u w:val="single"/>
        </w:rPr>
        <w:t xml:space="preserve">                     </w:t>
      </w:r>
      <w:r>
        <w:rPr>
          <w:rFonts w:hint="eastAsia" w:hAnsi="宋体" w:cs="宋体"/>
          <w:bCs/>
          <w:sz w:val="21"/>
          <w:szCs w:val="21"/>
          <w:highlight w:val="none"/>
        </w:rPr>
        <w:t xml:space="preserve">                </w:t>
      </w:r>
    </w:p>
    <w:p w14:paraId="503A54DC">
      <w:pPr>
        <w:pStyle w:val="25"/>
        <w:snapToGrid w:val="0"/>
        <w:spacing w:line="440" w:lineRule="exact"/>
        <w:ind w:firstLine="422" w:firstLineChars="200"/>
        <w:rPr>
          <w:rFonts w:hAnsi="宋体" w:cs="宋体"/>
          <w:b/>
          <w:bCs/>
          <w:sz w:val="21"/>
          <w:szCs w:val="21"/>
          <w:highlight w:val="none"/>
        </w:rPr>
      </w:pPr>
      <w:r>
        <w:rPr>
          <w:rFonts w:hint="eastAsia" w:hAnsi="宋体" w:cs="宋体"/>
          <w:b/>
          <w:bCs/>
          <w:sz w:val="21"/>
          <w:szCs w:val="21"/>
          <w:highlight w:val="none"/>
        </w:rPr>
        <w:t>二、投诉项目基本情况：</w:t>
      </w:r>
    </w:p>
    <w:p w14:paraId="68D6541C">
      <w:pPr>
        <w:pStyle w:val="25"/>
        <w:spacing w:line="440" w:lineRule="exact"/>
        <w:ind w:left="25" w:leftChars="12" w:firstLine="413" w:firstLineChars="197"/>
        <w:rPr>
          <w:rFonts w:hAnsi="宋体" w:cs="宋体"/>
          <w:sz w:val="21"/>
          <w:szCs w:val="21"/>
          <w:highlight w:val="none"/>
        </w:rPr>
      </w:pPr>
      <w:r>
        <w:rPr>
          <w:rFonts w:hint="eastAsia" w:hAnsi="宋体" w:cs="宋体"/>
          <w:bCs/>
          <w:sz w:val="21"/>
          <w:szCs w:val="21"/>
          <w:highlight w:val="none"/>
        </w:rPr>
        <w:t>采购</w:t>
      </w:r>
      <w:r>
        <w:rPr>
          <w:rFonts w:hint="eastAsia" w:hAnsi="宋体" w:cs="宋体"/>
          <w:sz w:val="21"/>
          <w:szCs w:val="21"/>
          <w:highlight w:val="none"/>
        </w:rPr>
        <w:t>项目的名称：</w:t>
      </w:r>
      <w:r>
        <w:rPr>
          <w:rFonts w:hint="eastAsia" w:hAnsi="宋体" w:cs="宋体"/>
          <w:bCs/>
          <w:sz w:val="21"/>
          <w:szCs w:val="21"/>
          <w:highlight w:val="none"/>
          <w:u w:val="single"/>
        </w:rPr>
        <w:t xml:space="preserve">                                                                   </w:t>
      </w:r>
    </w:p>
    <w:p w14:paraId="0165AE5C">
      <w:pPr>
        <w:pStyle w:val="25"/>
        <w:spacing w:line="440" w:lineRule="exact"/>
        <w:ind w:left="25" w:leftChars="12" w:firstLine="413" w:firstLineChars="197"/>
        <w:rPr>
          <w:rFonts w:hAnsi="宋体" w:cs="宋体"/>
          <w:sz w:val="21"/>
          <w:szCs w:val="21"/>
          <w:highlight w:val="none"/>
        </w:rPr>
      </w:pPr>
      <w:r>
        <w:rPr>
          <w:rFonts w:hint="eastAsia" w:hAnsi="宋体" w:cs="宋体"/>
          <w:bCs/>
          <w:sz w:val="21"/>
          <w:szCs w:val="21"/>
          <w:highlight w:val="none"/>
        </w:rPr>
        <w:t>采购</w:t>
      </w:r>
      <w:r>
        <w:rPr>
          <w:rFonts w:hint="eastAsia" w:hAnsi="宋体" w:cs="宋体"/>
          <w:sz w:val="21"/>
          <w:szCs w:val="21"/>
          <w:highlight w:val="none"/>
        </w:rPr>
        <w:t>项目的编号：</w:t>
      </w:r>
      <w:r>
        <w:rPr>
          <w:rFonts w:hint="eastAsia" w:hAnsi="宋体" w:cs="宋体"/>
          <w:bCs/>
          <w:sz w:val="21"/>
          <w:szCs w:val="21"/>
          <w:highlight w:val="none"/>
          <w:u w:val="single"/>
        </w:rPr>
        <w:t xml:space="preserve">                                                        </w:t>
      </w:r>
    </w:p>
    <w:p w14:paraId="34DEC063">
      <w:pPr>
        <w:pStyle w:val="25"/>
        <w:spacing w:line="440" w:lineRule="exact"/>
        <w:ind w:left="25" w:leftChars="12" w:firstLine="413" w:firstLineChars="197"/>
        <w:rPr>
          <w:rFonts w:hAnsi="宋体" w:cs="宋体"/>
          <w:bCs/>
          <w:sz w:val="21"/>
          <w:szCs w:val="21"/>
          <w:highlight w:val="none"/>
          <w:u w:val="single"/>
        </w:rPr>
      </w:pPr>
      <w:r>
        <w:rPr>
          <w:rFonts w:hint="eastAsia" w:hAnsi="宋体" w:cs="宋体"/>
          <w:sz w:val="21"/>
          <w:szCs w:val="21"/>
          <w:highlight w:val="none"/>
        </w:rPr>
        <w:t>采购人名称：</w:t>
      </w:r>
      <w:r>
        <w:rPr>
          <w:rFonts w:hint="eastAsia" w:hAnsi="宋体" w:cs="宋体"/>
          <w:bCs/>
          <w:sz w:val="21"/>
          <w:szCs w:val="21"/>
          <w:highlight w:val="none"/>
          <w:u w:val="single"/>
        </w:rPr>
        <w:t xml:space="preserve">                                                                        </w:t>
      </w:r>
    </w:p>
    <w:p w14:paraId="60875BF3">
      <w:pPr>
        <w:pStyle w:val="25"/>
        <w:spacing w:line="440" w:lineRule="exact"/>
        <w:ind w:left="25" w:leftChars="12" w:firstLine="413" w:firstLineChars="197"/>
        <w:rPr>
          <w:rFonts w:hAnsi="宋体" w:cs="宋体"/>
          <w:bCs/>
          <w:sz w:val="21"/>
          <w:szCs w:val="21"/>
          <w:highlight w:val="none"/>
          <w:u w:val="single"/>
        </w:rPr>
      </w:pPr>
      <w:r>
        <w:rPr>
          <w:rFonts w:hint="eastAsia" w:hAnsi="宋体" w:cs="宋体"/>
          <w:sz w:val="21"/>
          <w:szCs w:val="21"/>
          <w:highlight w:val="none"/>
        </w:rPr>
        <w:t>代理机构名称：</w:t>
      </w:r>
      <w:r>
        <w:rPr>
          <w:rFonts w:hint="eastAsia" w:hAnsi="宋体" w:cs="宋体"/>
          <w:bCs/>
          <w:sz w:val="21"/>
          <w:szCs w:val="21"/>
          <w:highlight w:val="none"/>
          <w:u w:val="single"/>
        </w:rPr>
        <w:t xml:space="preserve">                                                                      </w:t>
      </w:r>
    </w:p>
    <w:p w14:paraId="43DF5148">
      <w:pPr>
        <w:pStyle w:val="25"/>
        <w:spacing w:line="440" w:lineRule="exact"/>
        <w:ind w:left="25" w:leftChars="12" w:firstLine="413" w:firstLineChars="197"/>
        <w:rPr>
          <w:rFonts w:hAnsi="宋体" w:cs="宋体"/>
          <w:bCs/>
          <w:sz w:val="21"/>
          <w:szCs w:val="21"/>
          <w:highlight w:val="none"/>
          <w:u w:val="single"/>
        </w:rPr>
      </w:pPr>
      <w:r>
        <w:rPr>
          <w:rFonts w:hint="eastAsia" w:hAnsi="宋体" w:cs="宋体"/>
          <w:bCs/>
          <w:sz w:val="21"/>
          <w:szCs w:val="21"/>
          <w:highlight w:val="none"/>
        </w:rPr>
        <w:t>招标文件公告：</w:t>
      </w:r>
      <w:r>
        <w:rPr>
          <w:rFonts w:hint="eastAsia" w:hAnsi="宋体" w:cs="宋体"/>
          <w:bCs/>
          <w:sz w:val="21"/>
          <w:szCs w:val="21"/>
          <w:highlight w:val="none"/>
          <w:u w:val="single"/>
        </w:rPr>
        <w:t>是/否</w:t>
      </w:r>
      <w:r>
        <w:rPr>
          <w:rFonts w:hint="eastAsia" w:hAnsi="宋体" w:cs="宋体"/>
          <w:bCs/>
          <w:sz w:val="21"/>
          <w:szCs w:val="21"/>
          <w:highlight w:val="none"/>
        </w:rPr>
        <w:t>公告期限：</w:t>
      </w:r>
      <w:r>
        <w:rPr>
          <w:rFonts w:hint="eastAsia" w:hAnsi="宋体" w:cs="宋体"/>
          <w:bCs/>
          <w:sz w:val="21"/>
          <w:szCs w:val="21"/>
          <w:highlight w:val="none"/>
          <w:u w:val="single"/>
        </w:rPr>
        <w:t xml:space="preserve">                                                       </w:t>
      </w:r>
    </w:p>
    <w:p w14:paraId="693E0AC6">
      <w:pPr>
        <w:pStyle w:val="25"/>
        <w:spacing w:line="440" w:lineRule="exact"/>
        <w:ind w:left="25" w:leftChars="12" w:firstLine="413" w:firstLineChars="197"/>
        <w:rPr>
          <w:rFonts w:hAnsi="宋体" w:cs="宋体"/>
          <w:b/>
          <w:sz w:val="21"/>
          <w:szCs w:val="21"/>
          <w:highlight w:val="none"/>
        </w:rPr>
      </w:pPr>
      <w:r>
        <w:rPr>
          <w:rFonts w:hint="eastAsia" w:hAnsi="宋体" w:cs="宋体"/>
          <w:bCs/>
          <w:sz w:val="21"/>
          <w:szCs w:val="21"/>
          <w:highlight w:val="none"/>
        </w:rPr>
        <w:t>采购结果公告：</w:t>
      </w:r>
      <w:r>
        <w:rPr>
          <w:rFonts w:hint="eastAsia" w:hAnsi="宋体" w:cs="宋体"/>
          <w:bCs/>
          <w:sz w:val="21"/>
          <w:szCs w:val="21"/>
          <w:highlight w:val="none"/>
          <w:u w:val="single"/>
        </w:rPr>
        <w:t>是/否</w:t>
      </w:r>
      <w:r>
        <w:rPr>
          <w:rFonts w:hint="eastAsia" w:hAnsi="宋体" w:cs="宋体"/>
          <w:bCs/>
          <w:sz w:val="21"/>
          <w:szCs w:val="21"/>
          <w:highlight w:val="none"/>
        </w:rPr>
        <w:t>公告期限：</w:t>
      </w:r>
      <w:r>
        <w:rPr>
          <w:rFonts w:hint="eastAsia" w:hAnsi="宋体" w:cs="宋体"/>
          <w:bCs/>
          <w:sz w:val="21"/>
          <w:szCs w:val="21"/>
          <w:highlight w:val="none"/>
          <w:u w:val="single"/>
        </w:rPr>
        <w:t xml:space="preserve">                                                       </w:t>
      </w:r>
    </w:p>
    <w:p w14:paraId="0C30430C">
      <w:pPr>
        <w:pStyle w:val="25"/>
        <w:spacing w:line="440" w:lineRule="exact"/>
        <w:ind w:left="25" w:leftChars="12" w:firstLine="413" w:firstLineChars="196"/>
        <w:rPr>
          <w:rFonts w:hAnsi="宋体" w:cs="宋体"/>
          <w:b/>
          <w:sz w:val="21"/>
          <w:szCs w:val="21"/>
          <w:highlight w:val="none"/>
        </w:rPr>
      </w:pPr>
      <w:r>
        <w:rPr>
          <w:rFonts w:hint="eastAsia" w:hAnsi="宋体" w:cs="宋体"/>
          <w:b/>
          <w:sz w:val="21"/>
          <w:szCs w:val="21"/>
          <w:highlight w:val="none"/>
        </w:rPr>
        <w:t>三、质疑基本情况</w:t>
      </w:r>
    </w:p>
    <w:p w14:paraId="3288D32A">
      <w:pPr>
        <w:pStyle w:val="25"/>
        <w:spacing w:line="440" w:lineRule="exact"/>
        <w:ind w:left="25" w:leftChars="12" w:firstLine="420" w:firstLineChars="200"/>
        <w:rPr>
          <w:rFonts w:hAnsi="宋体" w:cs="宋体"/>
          <w:bCs/>
          <w:sz w:val="21"/>
          <w:szCs w:val="21"/>
          <w:highlight w:val="none"/>
          <w:u w:val="single"/>
        </w:rPr>
      </w:pPr>
      <w:r>
        <w:rPr>
          <w:rFonts w:hint="eastAsia" w:hAnsi="宋体" w:cs="宋体"/>
          <w:sz w:val="21"/>
          <w:szCs w:val="21"/>
          <w:highlight w:val="none"/>
        </w:rPr>
        <w:t>投诉人于</w:t>
      </w:r>
      <w:r>
        <w:rPr>
          <w:rFonts w:hint="eastAsia" w:hAnsi="宋体" w:cs="宋体"/>
          <w:sz w:val="21"/>
          <w:szCs w:val="21"/>
          <w:highlight w:val="none"/>
          <w:u w:val="single"/>
        </w:rPr>
        <w:t xml:space="preserve">      </w:t>
      </w:r>
      <w:r>
        <w:rPr>
          <w:rFonts w:hint="eastAsia" w:hAnsi="宋体" w:cs="宋体"/>
          <w:sz w:val="21"/>
          <w:szCs w:val="21"/>
          <w:highlight w:val="none"/>
        </w:rPr>
        <w:t>年</w:t>
      </w:r>
      <w:r>
        <w:rPr>
          <w:rFonts w:hint="eastAsia" w:hAnsi="宋体" w:cs="宋体"/>
          <w:sz w:val="21"/>
          <w:szCs w:val="21"/>
          <w:highlight w:val="none"/>
          <w:u w:val="single"/>
        </w:rPr>
        <w:t xml:space="preserve">   </w:t>
      </w:r>
      <w:r>
        <w:rPr>
          <w:rFonts w:hint="eastAsia" w:hAnsi="宋体" w:cs="宋体"/>
          <w:sz w:val="21"/>
          <w:szCs w:val="21"/>
          <w:highlight w:val="none"/>
        </w:rPr>
        <w:t>月</w:t>
      </w:r>
      <w:r>
        <w:rPr>
          <w:rFonts w:hint="eastAsia" w:hAnsi="宋体" w:cs="宋体"/>
          <w:sz w:val="21"/>
          <w:szCs w:val="21"/>
          <w:highlight w:val="none"/>
          <w:u w:val="single"/>
        </w:rPr>
        <w:t xml:space="preserve">   </w:t>
      </w:r>
      <w:r>
        <w:rPr>
          <w:rFonts w:hint="eastAsia" w:hAnsi="宋体" w:cs="宋体"/>
          <w:sz w:val="21"/>
          <w:szCs w:val="21"/>
          <w:highlight w:val="none"/>
        </w:rPr>
        <w:t>日，向</w:t>
      </w:r>
      <w:r>
        <w:rPr>
          <w:rFonts w:hint="eastAsia" w:hAnsi="宋体" w:cs="宋体"/>
          <w:sz w:val="21"/>
          <w:szCs w:val="21"/>
          <w:highlight w:val="none"/>
          <w:u w:val="single"/>
        </w:rPr>
        <w:t xml:space="preserve">                                </w:t>
      </w:r>
      <w:r>
        <w:rPr>
          <w:rFonts w:hint="eastAsia" w:hAnsi="宋体" w:cs="宋体"/>
          <w:sz w:val="21"/>
          <w:szCs w:val="21"/>
          <w:highlight w:val="none"/>
        </w:rPr>
        <w:t>提出质疑，质疑事项为：</w:t>
      </w:r>
      <w:r>
        <w:rPr>
          <w:rFonts w:hint="eastAsia" w:hAnsi="宋体" w:cs="宋体"/>
          <w:bCs/>
          <w:sz w:val="21"/>
          <w:szCs w:val="21"/>
          <w:highlight w:val="none"/>
          <w:u w:val="single"/>
        </w:rPr>
        <w:t xml:space="preserve">                                                                                      </w:t>
      </w:r>
    </w:p>
    <w:p w14:paraId="4619C7C0">
      <w:pPr>
        <w:pStyle w:val="25"/>
        <w:spacing w:line="440" w:lineRule="exact"/>
        <w:rPr>
          <w:rFonts w:hAnsi="宋体" w:cs="宋体"/>
          <w:bCs/>
          <w:sz w:val="21"/>
          <w:szCs w:val="21"/>
          <w:highlight w:val="none"/>
          <w:u w:val="single"/>
        </w:rPr>
      </w:pPr>
      <w:r>
        <w:rPr>
          <w:rFonts w:hint="eastAsia" w:hAnsi="宋体" w:cs="宋体"/>
          <w:bCs/>
          <w:sz w:val="21"/>
          <w:szCs w:val="21"/>
          <w:highlight w:val="none"/>
          <w:u w:val="single"/>
        </w:rPr>
        <w:t xml:space="preserve">                                                                                      </w:t>
      </w:r>
    </w:p>
    <w:p w14:paraId="6610F441">
      <w:pPr>
        <w:pStyle w:val="25"/>
        <w:spacing w:line="440" w:lineRule="exact"/>
        <w:ind w:firstLine="420" w:firstLineChars="200"/>
        <w:rPr>
          <w:rFonts w:hAnsi="宋体" w:cs="宋体"/>
          <w:sz w:val="21"/>
          <w:szCs w:val="21"/>
          <w:highlight w:val="none"/>
        </w:rPr>
      </w:pPr>
      <w:r>
        <w:rPr>
          <w:rFonts w:hint="eastAsia" w:hAnsi="宋体" w:cs="宋体"/>
          <w:bCs/>
          <w:sz w:val="21"/>
          <w:szCs w:val="21"/>
          <w:highlight w:val="none"/>
          <w:u w:val="single"/>
        </w:rPr>
        <w:t>采购人/代理机构</w:t>
      </w:r>
      <w:r>
        <w:rPr>
          <w:rFonts w:hint="eastAsia" w:hAnsi="宋体" w:cs="宋体"/>
          <w:bCs/>
          <w:sz w:val="21"/>
          <w:szCs w:val="21"/>
          <w:highlight w:val="none"/>
        </w:rPr>
        <w:t>于</w:t>
      </w:r>
      <w:r>
        <w:rPr>
          <w:rFonts w:hint="eastAsia" w:hAnsi="宋体" w:cs="宋体"/>
          <w:sz w:val="21"/>
          <w:szCs w:val="21"/>
          <w:highlight w:val="none"/>
          <w:u w:val="single"/>
        </w:rPr>
        <w:t xml:space="preserve">      </w:t>
      </w:r>
      <w:r>
        <w:rPr>
          <w:rFonts w:hint="eastAsia" w:hAnsi="宋体" w:cs="宋体"/>
          <w:sz w:val="21"/>
          <w:szCs w:val="21"/>
          <w:highlight w:val="none"/>
        </w:rPr>
        <w:t>年</w:t>
      </w:r>
      <w:r>
        <w:rPr>
          <w:rFonts w:hint="eastAsia" w:hAnsi="宋体" w:cs="宋体"/>
          <w:sz w:val="21"/>
          <w:szCs w:val="21"/>
          <w:highlight w:val="none"/>
          <w:u w:val="single"/>
        </w:rPr>
        <w:t xml:space="preserve">   </w:t>
      </w:r>
      <w:r>
        <w:rPr>
          <w:rFonts w:hint="eastAsia" w:hAnsi="宋体" w:cs="宋体"/>
          <w:sz w:val="21"/>
          <w:szCs w:val="21"/>
          <w:highlight w:val="none"/>
        </w:rPr>
        <w:t>月</w:t>
      </w:r>
      <w:r>
        <w:rPr>
          <w:rFonts w:hint="eastAsia" w:hAnsi="宋体" w:cs="宋体"/>
          <w:sz w:val="21"/>
          <w:szCs w:val="21"/>
          <w:highlight w:val="none"/>
          <w:u w:val="single"/>
        </w:rPr>
        <w:t xml:space="preserve">   </w:t>
      </w:r>
      <w:r>
        <w:rPr>
          <w:rFonts w:hint="eastAsia" w:hAnsi="宋体" w:cs="宋体"/>
          <w:sz w:val="21"/>
          <w:szCs w:val="21"/>
          <w:highlight w:val="none"/>
        </w:rPr>
        <w:t>日，</w:t>
      </w:r>
      <w:r>
        <w:rPr>
          <w:rFonts w:hint="eastAsia" w:hAnsi="宋体" w:cs="宋体"/>
          <w:bCs/>
          <w:sz w:val="21"/>
          <w:szCs w:val="21"/>
          <w:highlight w:val="none"/>
        </w:rPr>
        <w:t xml:space="preserve">就质疑事项作出了答复/没有在法定期限内作出答复。                                                                                             </w:t>
      </w:r>
    </w:p>
    <w:p w14:paraId="337743D8">
      <w:pPr>
        <w:pStyle w:val="25"/>
        <w:spacing w:line="440" w:lineRule="exact"/>
        <w:ind w:left="25" w:leftChars="12" w:firstLine="413" w:firstLineChars="196"/>
        <w:rPr>
          <w:rFonts w:hAnsi="宋体" w:cs="宋体"/>
          <w:b/>
          <w:sz w:val="21"/>
          <w:szCs w:val="21"/>
          <w:highlight w:val="none"/>
        </w:rPr>
      </w:pPr>
      <w:r>
        <w:rPr>
          <w:rFonts w:hint="eastAsia" w:hAnsi="宋体" w:cs="宋体"/>
          <w:b/>
          <w:sz w:val="21"/>
          <w:szCs w:val="21"/>
          <w:highlight w:val="none"/>
        </w:rPr>
        <w:t>四、投诉事项具体内容</w:t>
      </w:r>
    </w:p>
    <w:p w14:paraId="01729455">
      <w:pPr>
        <w:pStyle w:val="25"/>
        <w:spacing w:line="440" w:lineRule="exact"/>
        <w:ind w:left="25" w:leftChars="12" w:firstLine="413" w:firstLineChars="197"/>
        <w:rPr>
          <w:rFonts w:hAnsi="宋体" w:cs="宋体"/>
          <w:bCs/>
          <w:sz w:val="21"/>
          <w:szCs w:val="21"/>
          <w:highlight w:val="none"/>
          <w:u w:val="single"/>
        </w:rPr>
      </w:pPr>
      <w:r>
        <w:rPr>
          <w:rFonts w:hint="eastAsia" w:hAnsi="宋体" w:cs="宋体"/>
          <w:sz w:val="21"/>
          <w:szCs w:val="21"/>
          <w:highlight w:val="none"/>
        </w:rPr>
        <w:t>投诉事项1：</w:t>
      </w:r>
      <w:r>
        <w:rPr>
          <w:rFonts w:hint="eastAsia" w:hAnsi="宋体" w:cs="宋体"/>
          <w:bCs/>
          <w:sz w:val="21"/>
          <w:szCs w:val="21"/>
          <w:highlight w:val="none"/>
          <w:u w:val="single"/>
        </w:rPr>
        <w:t xml:space="preserve">                                                                           </w:t>
      </w:r>
    </w:p>
    <w:p w14:paraId="23B132B5">
      <w:pPr>
        <w:pStyle w:val="25"/>
        <w:spacing w:line="440" w:lineRule="exact"/>
        <w:ind w:firstLine="420" w:firstLineChars="200"/>
        <w:rPr>
          <w:rFonts w:hAnsi="宋体" w:cs="宋体"/>
          <w:bCs/>
          <w:sz w:val="21"/>
          <w:szCs w:val="21"/>
          <w:highlight w:val="none"/>
          <w:u w:val="single"/>
        </w:rPr>
      </w:pPr>
      <w:r>
        <w:rPr>
          <w:rFonts w:hint="eastAsia" w:hAnsi="宋体" w:cs="宋体"/>
          <w:bCs/>
          <w:sz w:val="21"/>
          <w:szCs w:val="21"/>
          <w:highlight w:val="none"/>
        </w:rPr>
        <w:t>事实依据：</w:t>
      </w:r>
      <w:r>
        <w:rPr>
          <w:rFonts w:hint="eastAsia" w:hAnsi="宋体" w:cs="宋体"/>
          <w:sz w:val="21"/>
          <w:szCs w:val="21"/>
          <w:highlight w:val="none"/>
        </w:rPr>
        <w:t xml:space="preserve"> </w:t>
      </w:r>
      <w:r>
        <w:rPr>
          <w:rFonts w:hint="eastAsia" w:hAnsi="宋体" w:cs="宋体"/>
          <w:bCs/>
          <w:sz w:val="21"/>
          <w:szCs w:val="21"/>
          <w:highlight w:val="none"/>
          <w:u w:val="single"/>
        </w:rPr>
        <w:t xml:space="preserve">                                                                                      </w:t>
      </w:r>
    </w:p>
    <w:p w14:paraId="5FF31B93">
      <w:pPr>
        <w:pStyle w:val="25"/>
        <w:spacing w:line="440" w:lineRule="exact"/>
        <w:ind w:left="25" w:leftChars="12" w:firstLine="413" w:firstLineChars="197"/>
        <w:rPr>
          <w:rFonts w:hAnsi="宋体" w:cs="宋体"/>
          <w:sz w:val="21"/>
          <w:szCs w:val="21"/>
          <w:highlight w:val="none"/>
        </w:rPr>
      </w:pPr>
      <w:r>
        <w:rPr>
          <w:rFonts w:hint="eastAsia" w:hAnsi="宋体" w:cs="宋体"/>
          <w:bCs/>
          <w:sz w:val="21"/>
          <w:szCs w:val="21"/>
          <w:highlight w:val="none"/>
          <w:u w:val="single"/>
        </w:rPr>
        <w:t xml:space="preserve">                                                                                        </w:t>
      </w:r>
    </w:p>
    <w:p w14:paraId="0C75C93C">
      <w:pPr>
        <w:pStyle w:val="25"/>
        <w:spacing w:line="440" w:lineRule="exact"/>
        <w:ind w:firstLine="420" w:firstLineChars="200"/>
        <w:rPr>
          <w:rFonts w:hAnsi="宋体" w:cs="宋体"/>
          <w:bCs/>
          <w:sz w:val="21"/>
          <w:szCs w:val="21"/>
          <w:highlight w:val="none"/>
          <w:u w:val="single"/>
        </w:rPr>
      </w:pPr>
      <w:r>
        <w:rPr>
          <w:rFonts w:hint="eastAsia" w:hAnsi="宋体" w:cs="宋体"/>
          <w:bCs/>
          <w:sz w:val="21"/>
          <w:szCs w:val="21"/>
          <w:highlight w:val="none"/>
        </w:rPr>
        <w:t>法律依据：</w:t>
      </w:r>
      <w:r>
        <w:rPr>
          <w:rFonts w:hint="eastAsia" w:hAnsi="宋体" w:cs="宋体"/>
          <w:sz w:val="21"/>
          <w:szCs w:val="21"/>
          <w:highlight w:val="none"/>
        </w:rPr>
        <w:t xml:space="preserve"> </w:t>
      </w:r>
      <w:r>
        <w:rPr>
          <w:rFonts w:hint="eastAsia" w:hAnsi="宋体" w:cs="宋体"/>
          <w:bCs/>
          <w:sz w:val="21"/>
          <w:szCs w:val="21"/>
          <w:highlight w:val="none"/>
          <w:u w:val="single"/>
        </w:rPr>
        <w:t xml:space="preserve">                                                                                      </w:t>
      </w:r>
    </w:p>
    <w:p w14:paraId="1DB5B11B">
      <w:pPr>
        <w:pStyle w:val="25"/>
        <w:spacing w:line="440" w:lineRule="exact"/>
        <w:ind w:left="25" w:leftChars="12" w:firstLine="308" w:firstLineChars="147"/>
        <w:rPr>
          <w:rFonts w:hAnsi="宋体" w:cs="宋体"/>
          <w:bCs/>
          <w:sz w:val="21"/>
          <w:szCs w:val="21"/>
          <w:highlight w:val="none"/>
          <w:u w:val="single"/>
        </w:rPr>
      </w:pPr>
      <w:r>
        <w:rPr>
          <w:rFonts w:hint="eastAsia" w:hAnsi="宋体" w:cs="宋体"/>
          <w:bCs/>
          <w:sz w:val="21"/>
          <w:szCs w:val="21"/>
          <w:highlight w:val="none"/>
        </w:rPr>
        <w:t xml:space="preserve"> </w:t>
      </w:r>
      <w:r>
        <w:rPr>
          <w:rFonts w:hint="eastAsia" w:hAnsi="宋体" w:cs="宋体"/>
          <w:bCs/>
          <w:sz w:val="21"/>
          <w:szCs w:val="21"/>
          <w:highlight w:val="none"/>
          <w:u w:val="single"/>
        </w:rPr>
        <w:t xml:space="preserve">                                                                                        </w:t>
      </w:r>
    </w:p>
    <w:p w14:paraId="5E581606">
      <w:pPr>
        <w:pStyle w:val="25"/>
        <w:spacing w:line="440" w:lineRule="exact"/>
        <w:ind w:left="25" w:leftChars="12" w:firstLine="413" w:firstLineChars="197"/>
        <w:rPr>
          <w:rFonts w:hAnsi="宋体" w:cs="宋体"/>
          <w:bCs/>
          <w:sz w:val="21"/>
          <w:szCs w:val="21"/>
          <w:highlight w:val="none"/>
        </w:rPr>
      </w:pPr>
      <w:r>
        <w:rPr>
          <w:rFonts w:hint="eastAsia" w:hAnsi="宋体" w:cs="宋体"/>
          <w:sz w:val="21"/>
          <w:szCs w:val="21"/>
          <w:highlight w:val="none"/>
        </w:rPr>
        <w:t xml:space="preserve">投诉事项2  </w:t>
      </w:r>
      <w:r>
        <w:rPr>
          <w:rFonts w:hint="eastAsia" w:hAnsi="宋体" w:cs="宋体"/>
          <w:bCs/>
          <w:sz w:val="21"/>
          <w:szCs w:val="21"/>
          <w:highlight w:val="none"/>
        </w:rPr>
        <w:t xml:space="preserve">   </w:t>
      </w:r>
    </w:p>
    <w:p w14:paraId="7451CD60">
      <w:pPr>
        <w:pStyle w:val="25"/>
        <w:spacing w:line="440" w:lineRule="exact"/>
        <w:ind w:left="25" w:leftChars="12" w:firstLine="413" w:firstLineChars="197"/>
        <w:rPr>
          <w:rFonts w:hAnsi="宋体" w:cs="宋体"/>
          <w:bCs/>
          <w:sz w:val="21"/>
          <w:szCs w:val="21"/>
          <w:highlight w:val="none"/>
        </w:rPr>
      </w:pPr>
      <w:r>
        <w:rPr>
          <w:rFonts w:hint="eastAsia" w:hAnsi="宋体" w:cs="宋体"/>
          <w:bCs/>
          <w:sz w:val="21"/>
          <w:szCs w:val="21"/>
          <w:highlight w:val="none"/>
        </w:rPr>
        <w:t>……</w:t>
      </w:r>
    </w:p>
    <w:p w14:paraId="0140DCFB">
      <w:pPr>
        <w:pStyle w:val="25"/>
        <w:spacing w:line="440" w:lineRule="exact"/>
        <w:ind w:left="25" w:leftChars="12" w:firstLine="413" w:firstLineChars="196"/>
        <w:rPr>
          <w:rFonts w:hAnsi="宋体" w:cs="宋体"/>
          <w:b/>
          <w:sz w:val="21"/>
          <w:szCs w:val="21"/>
          <w:highlight w:val="none"/>
        </w:rPr>
      </w:pPr>
      <w:r>
        <w:rPr>
          <w:rFonts w:hint="eastAsia" w:hAnsi="宋体" w:cs="宋体"/>
          <w:b/>
          <w:sz w:val="21"/>
          <w:szCs w:val="21"/>
          <w:highlight w:val="none"/>
        </w:rPr>
        <w:t>五、与投诉事项相关的投诉请求：</w:t>
      </w:r>
    </w:p>
    <w:p w14:paraId="306A3B76">
      <w:pPr>
        <w:pStyle w:val="25"/>
        <w:spacing w:line="440" w:lineRule="exact"/>
        <w:ind w:left="25" w:leftChars="12" w:firstLine="413" w:firstLineChars="197"/>
        <w:rPr>
          <w:rFonts w:hAnsi="宋体" w:cs="宋体"/>
          <w:sz w:val="21"/>
          <w:szCs w:val="21"/>
          <w:highlight w:val="none"/>
        </w:rPr>
      </w:pPr>
      <w:r>
        <w:rPr>
          <w:rFonts w:hint="eastAsia" w:hAnsi="宋体" w:cs="宋体"/>
          <w:sz w:val="21"/>
          <w:szCs w:val="21"/>
          <w:highlight w:val="none"/>
        </w:rPr>
        <w:t>请求：</w:t>
      </w:r>
      <w:r>
        <w:rPr>
          <w:rFonts w:hint="eastAsia" w:hAnsi="宋体" w:cs="宋体"/>
          <w:bCs/>
          <w:sz w:val="21"/>
          <w:szCs w:val="21"/>
          <w:highlight w:val="none"/>
          <w:u w:val="single"/>
        </w:rPr>
        <w:t xml:space="preserve">                                                                                 </w:t>
      </w:r>
    </w:p>
    <w:p w14:paraId="7677F322">
      <w:pPr>
        <w:pStyle w:val="25"/>
        <w:spacing w:line="440" w:lineRule="exact"/>
        <w:ind w:left="25" w:leftChars="12" w:firstLine="308" w:firstLineChars="147"/>
        <w:rPr>
          <w:rFonts w:hAnsi="宋体" w:cs="宋体"/>
          <w:sz w:val="21"/>
          <w:szCs w:val="21"/>
          <w:highlight w:val="none"/>
        </w:rPr>
      </w:pPr>
    </w:p>
    <w:p w14:paraId="4BC5D02A">
      <w:pPr>
        <w:pStyle w:val="25"/>
        <w:spacing w:line="360" w:lineRule="auto"/>
        <w:ind w:left="25" w:leftChars="12" w:firstLine="4193" w:firstLineChars="1997"/>
        <w:rPr>
          <w:rFonts w:hAnsi="宋体" w:cs="宋体"/>
          <w:sz w:val="21"/>
          <w:szCs w:val="21"/>
          <w:highlight w:val="none"/>
        </w:rPr>
      </w:pPr>
      <w:r>
        <w:rPr>
          <w:rFonts w:hint="eastAsia" w:hAnsi="宋体" w:cs="宋体"/>
          <w:sz w:val="21"/>
          <w:szCs w:val="21"/>
          <w:highlight w:val="none"/>
        </w:rPr>
        <w:t>签 字（签章）：</w:t>
      </w:r>
      <w:r>
        <w:rPr>
          <w:rFonts w:hint="eastAsia" w:hAnsi="宋体" w:cs="宋体"/>
          <w:sz w:val="21"/>
          <w:szCs w:val="21"/>
          <w:highlight w:val="none"/>
          <w:u w:val="single"/>
        </w:rPr>
        <w:t xml:space="preserve"> </w:t>
      </w:r>
      <w:r>
        <w:rPr>
          <w:rFonts w:hAnsi="宋体" w:cs="宋体"/>
          <w:sz w:val="21"/>
          <w:szCs w:val="21"/>
          <w:highlight w:val="none"/>
          <w:u w:val="single"/>
        </w:rPr>
        <w:t xml:space="preserve">          </w:t>
      </w:r>
      <w:r>
        <w:rPr>
          <w:rFonts w:hint="eastAsia" w:hAnsi="宋体" w:cs="宋体"/>
          <w:sz w:val="21"/>
          <w:szCs w:val="21"/>
          <w:highlight w:val="none"/>
        </w:rPr>
        <w:t xml:space="preserve">                                 </w:t>
      </w:r>
    </w:p>
    <w:p w14:paraId="7ECFA5CF">
      <w:pPr>
        <w:pStyle w:val="25"/>
        <w:spacing w:line="360" w:lineRule="auto"/>
        <w:ind w:left="25" w:leftChars="12" w:firstLine="4193" w:firstLineChars="1997"/>
        <w:rPr>
          <w:rFonts w:hAnsi="宋体" w:cs="宋体"/>
          <w:sz w:val="21"/>
          <w:szCs w:val="21"/>
          <w:highlight w:val="none"/>
          <w:u w:val="single"/>
        </w:rPr>
      </w:pPr>
      <w:r>
        <w:rPr>
          <w:rFonts w:hint="eastAsia" w:hAnsi="宋体" w:cs="宋体"/>
          <w:sz w:val="21"/>
          <w:szCs w:val="21"/>
          <w:highlight w:val="none"/>
        </w:rPr>
        <w:t>公 章：</w:t>
      </w:r>
      <w:r>
        <w:rPr>
          <w:rFonts w:hint="eastAsia" w:hAnsi="宋体" w:cs="宋体"/>
          <w:sz w:val="21"/>
          <w:szCs w:val="21"/>
          <w:highlight w:val="none"/>
          <w:u w:val="single"/>
        </w:rPr>
        <w:t xml:space="preserve"> </w:t>
      </w:r>
      <w:r>
        <w:rPr>
          <w:rFonts w:hAnsi="宋体" w:cs="宋体"/>
          <w:sz w:val="21"/>
          <w:szCs w:val="21"/>
          <w:highlight w:val="none"/>
          <w:u w:val="single"/>
        </w:rPr>
        <w:t xml:space="preserve">               </w:t>
      </w:r>
    </w:p>
    <w:p w14:paraId="7F18EC22">
      <w:pPr>
        <w:spacing w:line="360" w:lineRule="auto"/>
        <w:ind w:firstLine="4200" w:firstLineChars="2000"/>
        <w:contextualSpacing/>
        <w:rPr>
          <w:rFonts w:ascii="宋体" w:hAnsi="宋体" w:cs="宋体"/>
          <w:sz w:val="21"/>
          <w:szCs w:val="21"/>
          <w:highlight w:val="none"/>
        </w:rPr>
      </w:pPr>
      <w:r>
        <w:rPr>
          <w:rFonts w:hint="eastAsia" w:hAnsi="宋体" w:cs="宋体"/>
          <w:sz w:val="21"/>
          <w:szCs w:val="21"/>
          <w:highlight w:val="none"/>
        </w:rPr>
        <w:t>日 期：</w:t>
      </w:r>
      <w:r>
        <w:rPr>
          <w:rFonts w:hint="eastAsia" w:ascii="黑体" w:hAnsi="黑体" w:eastAsia="黑体" w:cs="宋体"/>
          <w:b/>
          <w:spacing w:val="20"/>
          <w:sz w:val="21"/>
          <w:szCs w:val="21"/>
          <w:highlight w:val="none"/>
          <w:u w:val="single"/>
        </w:rPr>
        <w:t xml:space="preserve"> </w:t>
      </w:r>
      <w:r>
        <w:rPr>
          <w:rFonts w:ascii="黑体" w:hAnsi="黑体" w:eastAsia="黑体" w:cs="宋体"/>
          <w:b/>
          <w:spacing w:val="20"/>
          <w:sz w:val="21"/>
          <w:szCs w:val="21"/>
          <w:highlight w:val="none"/>
          <w:u w:val="single"/>
        </w:rPr>
        <w:t xml:space="preserve">  </w:t>
      </w:r>
      <w:r>
        <w:rPr>
          <w:rFonts w:hint="eastAsia" w:ascii="黑体" w:hAnsi="黑体" w:eastAsia="黑体" w:cs="宋体"/>
          <w:b/>
          <w:spacing w:val="20"/>
          <w:sz w:val="21"/>
          <w:szCs w:val="21"/>
          <w:highlight w:val="none"/>
          <w:u w:val="single"/>
        </w:rPr>
        <w:t xml:space="preserve">  </w:t>
      </w:r>
      <w:r>
        <w:rPr>
          <w:rFonts w:hint="eastAsia" w:ascii="黑体" w:hAnsi="黑体" w:eastAsia="黑体" w:cs="宋体"/>
          <w:spacing w:val="20"/>
          <w:sz w:val="21"/>
          <w:szCs w:val="21"/>
          <w:highlight w:val="none"/>
        </w:rPr>
        <w:t>年</w:t>
      </w:r>
      <w:r>
        <w:rPr>
          <w:rFonts w:ascii="黑体" w:hAnsi="黑体" w:eastAsia="黑体" w:cs="宋体"/>
          <w:spacing w:val="20"/>
          <w:sz w:val="21"/>
          <w:szCs w:val="21"/>
          <w:highlight w:val="none"/>
          <w:u w:val="single"/>
        </w:rPr>
        <w:t xml:space="preserve">  </w:t>
      </w:r>
      <w:r>
        <w:rPr>
          <w:rFonts w:hint="eastAsia" w:ascii="黑体" w:hAnsi="黑体" w:eastAsia="黑体" w:cs="宋体"/>
          <w:spacing w:val="20"/>
          <w:sz w:val="21"/>
          <w:szCs w:val="21"/>
          <w:highlight w:val="none"/>
        </w:rPr>
        <w:t>月</w:t>
      </w:r>
      <w:r>
        <w:rPr>
          <w:rFonts w:ascii="黑体" w:hAnsi="黑体" w:eastAsia="黑体" w:cs="宋体"/>
          <w:spacing w:val="20"/>
          <w:sz w:val="21"/>
          <w:szCs w:val="21"/>
          <w:highlight w:val="none"/>
          <w:u w:val="single"/>
        </w:rPr>
        <w:t xml:space="preserve">  </w:t>
      </w:r>
      <w:r>
        <w:rPr>
          <w:rFonts w:hint="eastAsia" w:cs="宋体" w:asciiTheme="minorEastAsia" w:hAnsiTheme="minorEastAsia" w:eastAsiaTheme="minorEastAsia"/>
          <w:spacing w:val="20"/>
          <w:sz w:val="21"/>
          <w:szCs w:val="21"/>
          <w:highlight w:val="none"/>
        </w:rPr>
        <w:t>日</w:t>
      </w:r>
    </w:p>
    <w:p w14:paraId="316AA0DE">
      <w:pPr>
        <w:pStyle w:val="25"/>
        <w:spacing w:line="440" w:lineRule="exact"/>
        <w:ind w:left="25" w:leftChars="12" w:firstLine="413" w:firstLineChars="197"/>
        <w:rPr>
          <w:rFonts w:hAnsi="宋体" w:cs="宋体"/>
          <w:sz w:val="21"/>
          <w:szCs w:val="21"/>
          <w:highlight w:val="none"/>
        </w:rPr>
      </w:pPr>
      <w:r>
        <w:rPr>
          <w:rFonts w:hint="eastAsia" w:hAnsi="宋体" w:cs="宋体"/>
          <w:bCs/>
          <w:sz w:val="21"/>
          <w:szCs w:val="21"/>
          <w:highlight w:val="none"/>
        </w:rPr>
        <w:t xml:space="preserve">                                                                              </w:t>
      </w:r>
    </w:p>
    <w:p w14:paraId="62AA277C">
      <w:pPr>
        <w:pStyle w:val="25"/>
        <w:snapToGrid w:val="0"/>
        <w:spacing w:line="440" w:lineRule="exact"/>
        <w:rPr>
          <w:rFonts w:ascii="楷体" w:hAnsi="楷体" w:eastAsia="楷体" w:cs="宋体"/>
          <w:b/>
          <w:sz w:val="21"/>
          <w:szCs w:val="21"/>
          <w:highlight w:val="none"/>
        </w:rPr>
      </w:pPr>
      <w:r>
        <w:rPr>
          <w:rFonts w:hint="eastAsia" w:ascii="楷体" w:hAnsi="楷体" w:eastAsia="楷体" w:cs="宋体"/>
          <w:b/>
          <w:sz w:val="21"/>
          <w:szCs w:val="21"/>
          <w:highlight w:val="none"/>
        </w:rPr>
        <w:t>说明：</w:t>
      </w:r>
    </w:p>
    <w:p w14:paraId="34B99AC9">
      <w:pPr>
        <w:pStyle w:val="25"/>
        <w:spacing w:line="440" w:lineRule="exact"/>
        <w:ind w:left="25" w:leftChars="12" w:firstLine="310" w:firstLineChars="147"/>
        <w:rPr>
          <w:rFonts w:ascii="楷体" w:hAnsi="楷体" w:eastAsia="楷体" w:cs="宋体"/>
          <w:b/>
          <w:bCs/>
          <w:sz w:val="21"/>
          <w:szCs w:val="21"/>
          <w:highlight w:val="none"/>
        </w:rPr>
      </w:pPr>
      <w:r>
        <w:rPr>
          <w:rFonts w:ascii="楷体" w:hAnsi="楷体" w:eastAsia="楷体" w:cs="宋体"/>
          <w:b/>
          <w:sz w:val="21"/>
          <w:szCs w:val="21"/>
          <w:highlight w:val="none"/>
        </w:rPr>
        <w:t>1.投诉人提起投诉时，应当提交投诉书和必要的证明材料，并按照被投诉人和与投诉事项有关的供应商数量提供投诉书副本</w:t>
      </w:r>
      <w:r>
        <w:rPr>
          <w:rFonts w:hint="eastAsia" w:ascii="楷体" w:hAnsi="楷体" w:eastAsia="楷体" w:cs="宋体"/>
          <w:b/>
          <w:bCs/>
          <w:sz w:val="21"/>
          <w:szCs w:val="21"/>
          <w:highlight w:val="none"/>
        </w:rPr>
        <w:t>。</w:t>
      </w:r>
    </w:p>
    <w:p w14:paraId="4F73E996">
      <w:pPr>
        <w:pStyle w:val="25"/>
        <w:spacing w:line="440" w:lineRule="exact"/>
        <w:ind w:left="25" w:leftChars="12" w:firstLine="310" w:firstLineChars="147"/>
        <w:rPr>
          <w:rFonts w:ascii="楷体" w:hAnsi="楷体" w:eastAsia="楷体" w:cs="宋体"/>
          <w:b/>
          <w:sz w:val="21"/>
          <w:szCs w:val="21"/>
          <w:highlight w:val="none"/>
        </w:rPr>
      </w:pPr>
      <w:r>
        <w:rPr>
          <w:rFonts w:ascii="楷体" w:hAnsi="楷体" w:eastAsia="楷体" w:cs="宋体"/>
          <w:b/>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CD4EDCB">
      <w:pPr>
        <w:pStyle w:val="25"/>
        <w:spacing w:line="440" w:lineRule="exact"/>
        <w:ind w:left="25" w:leftChars="12" w:firstLine="310" w:firstLineChars="147"/>
        <w:rPr>
          <w:rFonts w:ascii="楷体" w:hAnsi="楷体" w:eastAsia="楷体" w:cs="宋体"/>
          <w:b/>
          <w:sz w:val="21"/>
          <w:szCs w:val="21"/>
          <w:highlight w:val="none"/>
        </w:rPr>
      </w:pPr>
      <w:r>
        <w:rPr>
          <w:rFonts w:ascii="楷体" w:hAnsi="楷体" w:eastAsia="楷体" w:cs="宋体"/>
          <w:b/>
          <w:sz w:val="21"/>
          <w:szCs w:val="21"/>
          <w:highlight w:val="none"/>
        </w:rPr>
        <w:t>3.投诉书应简要列明质疑事项，质疑函、质疑答复等作为附件材料提供。</w:t>
      </w:r>
    </w:p>
    <w:p w14:paraId="7FB35777">
      <w:pPr>
        <w:pStyle w:val="25"/>
        <w:spacing w:line="440" w:lineRule="exact"/>
        <w:ind w:left="25" w:leftChars="12" w:firstLine="310" w:firstLineChars="147"/>
        <w:rPr>
          <w:rFonts w:ascii="楷体" w:hAnsi="楷体" w:eastAsia="楷体" w:cs="宋体"/>
          <w:b/>
          <w:sz w:val="21"/>
          <w:szCs w:val="21"/>
          <w:highlight w:val="none"/>
        </w:rPr>
      </w:pPr>
      <w:r>
        <w:rPr>
          <w:rFonts w:ascii="楷体" w:hAnsi="楷体" w:eastAsia="楷体" w:cs="宋体"/>
          <w:b/>
          <w:sz w:val="21"/>
          <w:szCs w:val="21"/>
          <w:highlight w:val="none"/>
        </w:rPr>
        <w:t>4.投诉书的投诉事项应具体、明确，并有必要的事实依据和法律依据。</w:t>
      </w:r>
    </w:p>
    <w:p w14:paraId="1E2F5E74">
      <w:pPr>
        <w:pStyle w:val="25"/>
        <w:spacing w:line="440" w:lineRule="exact"/>
        <w:ind w:left="25" w:leftChars="12" w:firstLine="310" w:firstLineChars="147"/>
        <w:rPr>
          <w:rFonts w:ascii="楷体" w:hAnsi="楷体" w:eastAsia="楷体" w:cs="宋体"/>
          <w:b/>
          <w:sz w:val="21"/>
          <w:szCs w:val="21"/>
          <w:highlight w:val="none"/>
        </w:rPr>
      </w:pPr>
      <w:r>
        <w:rPr>
          <w:rFonts w:ascii="楷体" w:hAnsi="楷体" w:eastAsia="楷体" w:cs="宋体"/>
          <w:b/>
          <w:sz w:val="21"/>
          <w:szCs w:val="21"/>
          <w:highlight w:val="none"/>
        </w:rPr>
        <w:t>5.投诉书的投诉请求应与投诉事项相关。</w:t>
      </w:r>
    </w:p>
    <w:p w14:paraId="21A15166">
      <w:pPr>
        <w:pStyle w:val="25"/>
        <w:spacing w:line="440" w:lineRule="exact"/>
        <w:ind w:left="25" w:leftChars="12" w:firstLine="310" w:firstLineChars="147"/>
        <w:rPr>
          <w:rFonts w:ascii="楷体" w:hAnsi="楷体" w:eastAsia="楷体" w:cs="宋体"/>
          <w:b/>
          <w:sz w:val="21"/>
          <w:highlight w:val="none"/>
        </w:rPr>
      </w:pPr>
      <w:r>
        <w:rPr>
          <w:rFonts w:ascii="楷体" w:hAnsi="楷体" w:eastAsia="楷体" w:cs="宋体"/>
          <w:b/>
          <w:sz w:val="21"/>
          <w:szCs w:val="21"/>
          <w:highlight w:val="none"/>
        </w:rPr>
        <w:t>6.投诉人为法人或者其他组织的，投诉书应由法定代表人、主要负责人，或者其授权代表签字或者盖章，并加盖公章。</w:t>
      </w:r>
    </w:p>
    <w:bookmarkEnd w:id="158"/>
    <w:sectPr>
      <w:footerReference r:id="rId12" w:type="first"/>
      <w:headerReference r:id="rId9" w:type="default"/>
      <w:footerReference r:id="rId10" w:type="default"/>
      <w:footerReference r:id="rId11" w:type="even"/>
      <w:pgSz w:w="11906" w:h="16838"/>
      <w:pgMar w:top="1417" w:right="1417" w:bottom="1417" w:left="1417" w:header="720" w:footer="720" w:gutter="0"/>
      <w:cols w:space="0" w:num="1"/>
      <w:rtlGutter w:val="0"/>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0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_x000B__x000C_">
    <w:altName w:val="Times New Roman"/>
    <w:panose1 w:val="00000000000000000000"/>
    <w:charset w:val="00"/>
    <w:family w:val="roman"/>
    <w:pitch w:val="default"/>
    <w:sig w:usb0="00000000" w:usb1="00000000" w:usb2="00000000" w:usb3="00000000" w:csb0="00040001" w:csb1="0000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1B719">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9C261">
    <w:pPr>
      <w:pStyle w:val="33"/>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EE2E4F">
                          <w:pPr>
                            <w:pStyle w:val="3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01EE2E4F">
                    <w:pPr>
                      <w:pStyle w:val="3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BEB0B">
    <w:pPr>
      <w:pStyle w:val="3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D2A25">
                          <w:pPr>
                            <w:pStyle w:val="33"/>
                            <w:jc w:val="center"/>
                          </w:pPr>
                          <w:r>
                            <w:fldChar w:fldCharType="begin"/>
                          </w:r>
                          <w:r>
                            <w:instrText xml:space="preserve"> PAGE   \* MERGEFORMAT </w:instrText>
                          </w:r>
                          <w:r>
                            <w:fldChar w:fldCharType="separate"/>
                          </w:r>
                          <w:r>
                            <w:rPr>
                              <w:lang w:val="zh-CN"/>
                            </w:rP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32D2A25">
                    <w:pPr>
                      <w:pStyle w:val="33"/>
                      <w:jc w:val="center"/>
                    </w:pPr>
                    <w:r>
                      <w:fldChar w:fldCharType="begin"/>
                    </w:r>
                    <w:r>
                      <w:instrText xml:space="preserve"> PAGE   \* MERGEFORMAT </w:instrText>
                    </w:r>
                    <w:r>
                      <w:fldChar w:fldCharType="separate"/>
                    </w:r>
                    <w:r>
                      <w:rPr>
                        <w:lang w:val="zh-CN"/>
                      </w:rPr>
                      <w:t>19</w:t>
                    </w:r>
                    <w:r>
                      <w:fldChar w:fldCharType="end"/>
                    </w:r>
                  </w:p>
                </w:txbxContent>
              </v:textbox>
            </v:shape>
          </w:pict>
        </mc:Fallback>
      </mc:AlternateContent>
    </w:r>
  </w:p>
  <w:p w14:paraId="0504B388">
    <w:pPr>
      <w:pStyle w:val="3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FE894">
    <w:pPr>
      <w:pStyle w:val="33"/>
      <w:framePr w:wrap="around" w:vAnchor="text" w:hAnchor="margin" w:xAlign="center" w:y="1"/>
      <w:rPr>
        <w:rStyle w:val="53"/>
      </w:rPr>
    </w:pPr>
    <w:r>
      <w:fldChar w:fldCharType="begin"/>
    </w:r>
    <w:r>
      <w:rPr>
        <w:rStyle w:val="53"/>
      </w:rPr>
      <w:instrText xml:space="preserve">PAGE  </w:instrText>
    </w:r>
    <w:r>
      <w:fldChar w:fldCharType="end"/>
    </w:r>
  </w:p>
  <w:p w14:paraId="699A67F4">
    <w:pPr>
      <w:pStyle w:val="3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A6C18">
    <w:pPr>
      <w:pStyle w:val="3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2D3D2">
                          <w:pPr>
                            <w:pStyle w:val="33"/>
                            <w:jc w:val="center"/>
                          </w:pPr>
                          <w:r>
                            <w:fldChar w:fldCharType="begin"/>
                          </w:r>
                          <w:r>
                            <w:instrText xml:space="preserve">PAGE   \* MERGEFORMAT</w:instrText>
                          </w:r>
                          <w:r>
                            <w:fldChar w:fldCharType="separate"/>
                          </w:r>
                          <w:r>
                            <w:rPr>
                              <w:lang w:val="zh-CN"/>
                            </w:rP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9E2D3D2">
                    <w:pPr>
                      <w:pStyle w:val="33"/>
                      <w:jc w:val="center"/>
                    </w:pPr>
                    <w:r>
                      <w:fldChar w:fldCharType="begin"/>
                    </w:r>
                    <w:r>
                      <w:instrText xml:space="preserve">PAGE   \* MERGEFORMAT</w:instrText>
                    </w:r>
                    <w:r>
                      <w:fldChar w:fldCharType="separate"/>
                    </w:r>
                    <w:r>
                      <w:rPr>
                        <w:lang w:val="zh-CN"/>
                      </w:rPr>
                      <w:t>17</w:t>
                    </w:r>
                    <w:r>
                      <w:fldChar w:fldCharType="end"/>
                    </w:r>
                  </w:p>
                </w:txbxContent>
              </v:textbox>
            </v:shape>
          </w:pict>
        </mc:Fallback>
      </mc:AlternateContent>
    </w:r>
  </w:p>
  <w:p w14:paraId="7D71B094">
    <w:pPr>
      <w:pStyle w:val="33"/>
      <w:ind w:right="360"/>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1FF8">
    <w:pPr>
      <w:pStyle w:val="33"/>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8CDD0">
                          <w:pPr>
                            <w:pStyle w:val="33"/>
                            <w:jc w:val="center"/>
                          </w:pPr>
                          <w:r>
                            <w:fldChar w:fldCharType="begin"/>
                          </w:r>
                          <w:r>
                            <w:instrText xml:space="preserve"> PAGE   \* MERGEFORMAT </w:instrText>
                          </w:r>
                          <w:r>
                            <w:fldChar w:fldCharType="separate"/>
                          </w:r>
                          <w:r>
                            <w:rPr>
                              <w:lang w:val="zh-CN"/>
                            </w:rP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3F98CDD0">
                    <w:pPr>
                      <w:pStyle w:val="33"/>
                      <w:jc w:val="center"/>
                    </w:pPr>
                    <w:r>
                      <w:fldChar w:fldCharType="begin"/>
                    </w:r>
                    <w:r>
                      <w:instrText xml:space="preserve"> PAGE   \* MERGEFORMAT </w:instrText>
                    </w:r>
                    <w:r>
                      <w:fldChar w:fldCharType="separate"/>
                    </w:r>
                    <w:r>
                      <w:rPr>
                        <w:lang w:val="zh-CN"/>
                      </w:rPr>
                      <w:t>96</w:t>
                    </w:r>
                    <w:r>
                      <w:fldChar w:fldCharType="end"/>
                    </w:r>
                  </w:p>
                </w:txbxContent>
              </v:textbox>
            </v:shape>
          </w:pict>
        </mc:Fallback>
      </mc:AlternateContent>
    </w:r>
  </w:p>
  <w:p w14:paraId="4B6A310E">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7B4C">
    <w:pPr>
      <w:pStyle w:val="33"/>
      <w:framePr w:wrap="around" w:vAnchor="text" w:hAnchor="margin" w:xAlign="center" w:y="1"/>
      <w:rPr>
        <w:rStyle w:val="53"/>
      </w:rPr>
    </w:pPr>
    <w:r>
      <w:fldChar w:fldCharType="begin"/>
    </w:r>
    <w:r>
      <w:rPr>
        <w:rStyle w:val="53"/>
      </w:rPr>
      <w:instrText xml:space="preserve">PAGE  </w:instrText>
    </w:r>
    <w:r>
      <w:fldChar w:fldCharType="end"/>
    </w:r>
  </w:p>
  <w:p w14:paraId="1612F212">
    <w:pPr>
      <w:pStyle w:val="3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4E974">
    <w:pPr>
      <w:pStyle w:val="33"/>
      <w:ind w:right="360"/>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F61DE9">
                          <w:pPr>
                            <w:pStyle w:val="33"/>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4F61DE9">
                    <w:pPr>
                      <w:pStyle w:val="33"/>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985C5">
    <w:pPr>
      <w:pStyle w:val="3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45946">
    <w:pPr>
      <w:pStyle w:val="3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6F764F"/>
    <w:multiLevelType w:val="singleLevel"/>
    <w:tmpl w:val="BE6F764F"/>
    <w:lvl w:ilvl="0" w:tentative="0">
      <w:start w:val="10"/>
      <w:numFmt w:val="chineseCounting"/>
      <w:suff w:val="nothing"/>
      <w:lvlText w:val="第%1条　"/>
      <w:lvlJc w:val="left"/>
      <w:rPr>
        <w:rFonts w:hint="eastAsia"/>
      </w:rPr>
    </w:lvl>
  </w:abstractNum>
  <w:abstractNum w:abstractNumId="1">
    <w:nsid w:val="FFFFFF7E"/>
    <w:multiLevelType w:val="singleLevel"/>
    <w:tmpl w:val="FFFFFF7E"/>
    <w:lvl w:ilvl="0" w:tentative="0">
      <w:start w:val="1"/>
      <w:numFmt w:val="decimal"/>
      <w:pStyle w:val="23"/>
      <w:lvlText w:val="%1."/>
      <w:lvlJc w:val="left"/>
      <w:pPr>
        <w:tabs>
          <w:tab w:val="left" w:pos="1200"/>
        </w:tabs>
        <w:ind w:left="1200" w:hanging="360"/>
      </w:pPr>
    </w:lvl>
  </w:abstractNum>
  <w:abstractNum w:abstractNumId="2">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12"/>
      <w:suff w:val="nothing"/>
      <w:lvlText w:val=""/>
      <w:lvlJc w:val="left"/>
      <w:pPr>
        <w:ind w:left="0" w:firstLine="0"/>
      </w:pPr>
      <w:rPr>
        <w:rFonts w:hint="eastAsia"/>
      </w:rPr>
    </w:lvl>
    <w:lvl w:ilvl="6" w:tentative="0">
      <w:start w:val="1"/>
      <w:numFmt w:val="none"/>
      <w:pStyle w:val="13"/>
      <w:suff w:val="nothing"/>
      <w:lvlText w:val=""/>
      <w:lvlJc w:val="left"/>
      <w:pPr>
        <w:ind w:left="0" w:firstLine="0"/>
      </w:pPr>
      <w:rPr>
        <w:rFonts w:hint="eastAsia"/>
      </w:rPr>
    </w:lvl>
    <w:lvl w:ilvl="7" w:tentative="0">
      <w:start w:val="1"/>
      <w:numFmt w:val="none"/>
      <w:pStyle w:val="14"/>
      <w:suff w:val="nothing"/>
      <w:lvlText w:val=""/>
      <w:lvlJc w:val="left"/>
      <w:pPr>
        <w:ind w:left="0" w:firstLine="0"/>
      </w:pPr>
      <w:rPr>
        <w:rFonts w:hint="eastAsia"/>
      </w:rPr>
    </w:lvl>
    <w:lvl w:ilvl="8" w:tentative="0">
      <w:start w:val="1"/>
      <w:numFmt w:val="none"/>
      <w:pStyle w:val="15"/>
      <w:suff w:val="nothing"/>
      <w:lvlText w:val=""/>
      <w:lvlJc w:val="left"/>
      <w:pPr>
        <w:ind w:left="0" w:firstLine="0"/>
      </w:pPr>
      <w:rPr>
        <w:rFonts w:hint="eastAsia"/>
      </w:rPr>
    </w:lvl>
  </w:abstractNum>
  <w:abstractNum w:abstractNumId="3">
    <w:nsid w:val="4C601917"/>
    <w:multiLevelType w:val="singleLevel"/>
    <w:tmpl w:val="4C601917"/>
    <w:lvl w:ilvl="0" w:tentative="0">
      <w:start w:val="1"/>
      <w:numFmt w:val="decimal"/>
      <w:suff w:val="nothing"/>
      <w:lvlText w:val="（%1）"/>
      <w:lvlJc w:val="left"/>
      <w:pPr>
        <w:ind w:left="-2"/>
      </w:pPr>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63060DB"/>
    <w:multiLevelType w:val="multilevel"/>
    <w:tmpl w:val="763060DB"/>
    <w:lvl w:ilvl="0" w:tentative="0">
      <w:start w:val="1"/>
      <w:numFmt w:val="japaneseCounting"/>
      <w:lvlText w:val="第%1章"/>
      <w:lvlJc w:val="left"/>
      <w:pPr>
        <w:tabs>
          <w:tab w:val="left" w:pos="1815"/>
        </w:tabs>
        <w:ind w:left="1815" w:hanging="1275"/>
      </w:pPr>
      <w:rPr>
        <w:rFonts w:hint="eastAsia"/>
        <w:lang w:val="en-US"/>
      </w:rPr>
    </w:lvl>
    <w:lvl w:ilvl="1" w:tentative="0">
      <w:start w:val="1"/>
      <w:numFmt w:val="japaneseCounting"/>
      <w:lvlText w:val="%2、"/>
      <w:lvlJc w:val="left"/>
      <w:pPr>
        <w:tabs>
          <w:tab w:val="left" w:pos="1680"/>
        </w:tabs>
        <w:ind w:left="1680" w:hanging="720"/>
      </w:pPr>
      <w:rPr>
        <w:rFonts w:hint="eastAsia"/>
      </w:rPr>
    </w:lvl>
    <w:lvl w:ilvl="2" w:tentative="0">
      <w:start w:val="1"/>
      <w:numFmt w:val="decimal"/>
      <w:lvlText w:val="%3."/>
      <w:lvlJc w:val="left"/>
      <w:pPr>
        <w:ind w:left="502" w:hanging="360"/>
      </w:pPr>
      <w:rPr>
        <w:rFonts w:hint="default"/>
        <w:sz w:val="24"/>
        <w:szCs w:val="24"/>
      </w:r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2"/>
  </w:num>
  <w:num w:numId="2">
    <w:abstractNumId w:val="1"/>
  </w:num>
  <w:num w:numId="3">
    <w:abstractNumId w:val="3"/>
  </w:num>
  <w:num w:numId="4">
    <w:abstractNumId w:val="4"/>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trackRevisions w:val="1"/>
  <w:documentProtection w:enforcement="0"/>
  <w:defaultTabStop w:val="420"/>
  <w:drawingGridHorizontalSpacing w:val="210"/>
  <w:drawingGridVerticalSpacing w:val="16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mYmNhODQxOWNkODc0ZjYxNTI4MThkY2UxMGM3NzYifQ=="/>
  </w:docVars>
  <w:rsids>
    <w:rsidRoot w:val="00F9008B"/>
    <w:rsid w:val="0000010C"/>
    <w:rsid w:val="000004FE"/>
    <w:rsid w:val="00000FE0"/>
    <w:rsid w:val="00001068"/>
    <w:rsid w:val="00001117"/>
    <w:rsid w:val="0000114A"/>
    <w:rsid w:val="00001731"/>
    <w:rsid w:val="00001C2D"/>
    <w:rsid w:val="00001C55"/>
    <w:rsid w:val="00001CA8"/>
    <w:rsid w:val="00001F78"/>
    <w:rsid w:val="00001FAE"/>
    <w:rsid w:val="00002291"/>
    <w:rsid w:val="000027A1"/>
    <w:rsid w:val="00002DBF"/>
    <w:rsid w:val="00002EC0"/>
    <w:rsid w:val="00003224"/>
    <w:rsid w:val="000033F5"/>
    <w:rsid w:val="0000358C"/>
    <w:rsid w:val="0000361D"/>
    <w:rsid w:val="00003BEF"/>
    <w:rsid w:val="00004130"/>
    <w:rsid w:val="0000431F"/>
    <w:rsid w:val="00004634"/>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17D5"/>
    <w:rsid w:val="00011842"/>
    <w:rsid w:val="00011B34"/>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271"/>
    <w:rsid w:val="0001635B"/>
    <w:rsid w:val="00016549"/>
    <w:rsid w:val="00016814"/>
    <w:rsid w:val="00016BF7"/>
    <w:rsid w:val="00016CD8"/>
    <w:rsid w:val="0001720C"/>
    <w:rsid w:val="0001767E"/>
    <w:rsid w:val="0001776D"/>
    <w:rsid w:val="00017F31"/>
    <w:rsid w:val="00020607"/>
    <w:rsid w:val="0002103A"/>
    <w:rsid w:val="000217E4"/>
    <w:rsid w:val="00021852"/>
    <w:rsid w:val="00021A12"/>
    <w:rsid w:val="000223BF"/>
    <w:rsid w:val="00022622"/>
    <w:rsid w:val="00023363"/>
    <w:rsid w:val="000235F3"/>
    <w:rsid w:val="00023644"/>
    <w:rsid w:val="00023712"/>
    <w:rsid w:val="00023921"/>
    <w:rsid w:val="00024291"/>
    <w:rsid w:val="00024A75"/>
    <w:rsid w:val="00024E3C"/>
    <w:rsid w:val="00024EB0"/>
    <w:rsid w:val="00025040"/>
    <w:rsid w:val="00025578"/>
    <w:rsid w:val="00025604"/>
    <w:rsid w:val="00025DAF"/>
    <w:rsid w:val="0002646A"/>
    <w:rsid w:val="0002651D"/>
    <w:rsid w:val="000267F1"/>
    <w:rsid w:val="00026CFD"/>
    <w:rsid w:val="00027C8B"/>
    <w:rsid w:val="00027CD9"/>
    <w:rsid w:val="00030242"/>
    <w:rsid w:val="00030B06"/>
    <w:rsid w:val="000314EA"/>
    <w:rsid w:val="0003183A"/>
    <w:rsid w:val="00031CDC"/>
    <w:rsid w:val="00032461"/>
    <w:rsid w:val="0003263B"/>
    <w:rsid w:val="0003282C"/>
    <w:rsid w:val="00032F6D"/>
    <w:rsid w:val="0003304A"/>
    <w:rsid w:val="0003317E"/>
    <w:rsid w:val="00033413"/>
    <w:rsid w:val="000337F3"/>
    <w:rsid w:val="00033DDB"/>
    <w:rsid w:val="00034B24"/>
    <w:rsid w:val="00034C27"/>
    <w:rsid w:val="00034E2A"/>
    <w:rsid w:val="0003577F"/>
    <w:rsid w:val="00035B29"/>
    <w:rsid w:val="00036466"/>
    <w:rsid w:val="0003675E"/>
    <w:rsid w:val="00037F87"/>
    <w:rsid w:val="00037FA2"/>
    <w:rsid w:val="000400D0"/>
    <w:rsid w:val="00040343"/>
    <w:rsid w:val="00041848"/>
    <w:rsid w:val="000425AC"/>
    <w:rsid w:val="000427B8"/>
    <w:rsid w:val="00042F4A"/>
    <w:rsid w:val="0004372B"/>
    <w:rsid w:val="00043AC8"/>
    <w:rsid w:val="00043BE5"/>
    <w:rsid w:val="00044003"/>
    <w:rsid w:val="00044411"/>
    <w:rsid w:val="00044527"/>
    <w:rsid w:val="000447E8"/>
    <w:rsid w:val="00044897"/>
    <w:rsid w:val="00044ACF"/>
    <w:rsid w:val="000454F4"/>
    <w:rsid w:val="00045D1E"/>
    <w:rsid w:val="00045E69"/>
    <w:rsid w:val="00045E97"/>
    <w:rsid w:val="00045EF4"/>
    <w:rsid w:val="00046547"/>
    <w:rsid w:val="000466D7"/>
    <w:rsid w:val="00046753"/>
    <w:rsid w:val="000468CD"/>
    <w:rsid w:val="00047254"/>
    <w:rsid w:val="00047E41"/>
    <w:rsid w:val="0005022B"/>
    <w:rsid w:val="00050450"/>
    <w:rsid w:val="00050771"/>
    <w:rsid w:val="000509B3"/>
    <w:rsid w:val="000509BA"/>
    <w:rsid w:val="000513F3"/>
    <w:rsid w:val="00051C73"/>
    <w:rsid w:val="00052287"/>
    <w:rsid w:val="000522E0"/>
    <w:rsid w:val="000532F4"/>
    <w:rsid w:val="000535A9"/>
    <w:rsid w:val="000536AE"/>
    <w:rsid w:val="00054C2F"/>
    <w:rsid w:val="00054CD5"/>
    <w:rsid w:val="00054D03"/>
    <w:rsid w:val="000550AC"/>
    <w:rsid w:val="0005584D"/>
    <w:rsid w:val="00055AA4"/>
    <w:rsid w:val="00055CC3"/>
    <w:rsid w:val="00055CEE"/>
    <w:rsid w:val="00055FB7"/>
    <w:rsid w:val="000566FA"/>
    <w:rsid w:val="00056A2B"/>
    <w:rsid w:val="00056DA8"/>
    <w:rsid w:val="00056E37"/>
    <w:rsid w:val="00056EE2"/>
    <w:rsid w:val="00056FE2"/>
    <w:rsid w:val="000570FB"/>
    <w:rsid w:val="0005750E"/>
    <w:rsid w:val="000575B8"/>
    <w:rsid w:val="00060131"/>
    <w:rsid w:val="0006026B"/>
    <w:rsid w:val="00060293"/>
    <w:rsid w:val="00060D40"/>
    <w:rsid w:val="00061341"/>
    <w:rsid w:val="000614F4"/>
    <w:rsid w:val="0006197E"/>
    <w:rsid w:val="00061AA1"/>
    <w:rsid w:val="00061BD3"/>
    <w:rsid w:val="00061BDA"/>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2D1F"/>
    <w:rsid w:val="0007315D"/>
    <w:rsid w:val="00073549"/>
    <w:rsid w:val="0007483E"/>
    <w:rsid w:val="000751DB"/>
    <w:rsid w:val="0007542D"/>
    <w:rsid w:val="0007578F"/>
    <w:rsid w:val="00075E43"/>
    <w:rsid w:val="00077706"/>
    <w:rsid w:val="00077878"/>
    <w:rsid w:val="00077C37"/>
    <w:rsid w:val="00077E81"/>
    <w:rsid w:val="000804EF"/>
    <w:rsid w:val="00080558"/>
    <w:rsid w:val="000809D9"/>
    <w:rsid w:val="00081230"/>
    <w:rsid w:val="000814E2"/>
    <w:rsid w:val="000818C9"/>
    <w:rsid w:val="00081CBB"/>
    <w:rsid w:val="00081D42"/>
    <w:rsid w:val="000822EF"/>
    <w:rsid w:val="0008241E"/>
    <w:rsid w:val="0008268D"/>
    <w:rsid w:val="000826F5"/>
    <w:rsid w:val="000829B1"/>
    <w:rsid w:val="00082AAB"/>
    <w:rsid w:val="0008307D"/>
    <w:rsid w:val="000831E9"/>
    <w:rsid w:val="000833BB"/>
    <w:rsid w:val="0008452D"/>
    <w:rsid w:val="0008467B"/>
    <w:rsid w:val="000850FA"/>
    <w:rsid w:val="0008568A"/>
    <w:rsid w:val="000857A6"/>
    <w:rsid w:val="000859B5"/>
    <w:rsid w:val="00085C12"/>
    <w:rsid w:val="00085DA0"/>
    <w:rsid w:val="00085F82"/>
    <w:rsid w:val="00086506"/>
    <w:rsid w:val="00086B6E"/>
    <w:rsid w:val="00086B90"/>
    <w:rsid w:val="00086C2F"/>
    <w:rsid w:val="00086C64"/>
    <w:rsid w:val="000874BB"/>
    <w:rsid w:val="0008781A"/>
    <w:rsid w:val="0008795D"/>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08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7A"/>
    <w:rsid w:val="000A5FE5"/>
    <w:rsid w:val="000A6684"/>
    <w:rsid w:val="000A6FDB"/>
    <w:rsid w:val="000A7194"/>
    <w:rsid w:val="000A7218"/>
    <w:rsid w:val="000A740A"/>
    <w:rsid w:val="000A7446"/>
    <w:rsid w:val="000A7E7F"/>
    <w:rsid w:val="000A7ECD"/>
    <w:rsid w:val="000B04DD"/>
    <w:rsid w:val="000B0BF3"/>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627"/>
    <w:rsid w:val="000B5671"/>
    <w:rsid w:val="000B6BF0"/>
    <w:rsid w:val="000B6CE8"/>
    <w:rsid w:val="000B7C94"/>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017"/>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442"/>
    <w:rsid w:val="000C755A"/>
    <w:rsid w:val="000C778C"/>
    <w:rsid w:val="000C7833"/>
    <w:rsid w:val="000C7E1B"/>
    <w:rsid w:val="000C7E73"/>
    <w:rsid w:val="000D001B"/>
    <w:rsid w:val="000D0A45"/>
    <w:rsid w:val="000D136E"/>
    <w:rsid w:val="000D1421"/>
    <w:rsid w:val="000D14AC"/>
    <w:rsid w:val="000D14EE"/>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825"/>
    <w:rsid w:val="000D6979"/>
    <w:rsid w:val="000D6CE7"/>
    <w:rsid w:val="000D6E38"/>
    <w:rsid w:val="000D6E63"/>
    <w:rsid w:val="000D711C"/>
    <w:rsid w:val="000D7B6E"/>
    <w:rsid w:val="000E01E4"/>
    <w:rsid w:val="000E0644"/>
    <w:rsid w:val="000E076D"/>
    <w:rsid w:val="000E087C"/>
    <w:rsid w:val="000E137E"/>
    <w:rsid w:val="000E187C"/>
    <w:rsid w:val="000E1B28"/>
    <w:rsid w:val="000E1E8D"/>
    <w:rsid w:val="000E1EBC"/>
    <w:rsid w:val="000E2173"/>
    <w:rsid w:val="000E220B"/>
    <w:rsid w:val="000E2266"/>
    <w:rsid w:val="000E2A50"/>
    <w:rsid w:val="000E30F2"/>
    <w:rsid w:val="000E316B"/>
    <w:rsid w:val="000E372D"/>
    <w:rsid w:val="000E3D08"/>
    <w:rsid w:val="000E40BB"/>
    <w:rsid w:val="000E45A5"/>
    <w:rsid w:val="000E4728"/>
    <w:rsid w:val="000E4D1F"/>
    <w:rsid w:val="000E5658"/>
    <w:rsid w:val="000E5698"/>
    <w:rsid w:val="000E5723"/>
    <w:rsid w:val="000E581B"/>
    <w:rsid w:val="000E64B2"/>
    <w:rsid w:val="000E65D2"/>
    <w:rsid w:val="000E6919"/>
    <w:rsid w:val="000E6B1B"/>
    <w:rsid w:val="000E6F0C"/>
    <w:rsid w:val="000E716F"/>
    <w:rsid w:val="000E732D"/>
    <w:rsid w:val="000F07ED"/>
    <w:rsid w:val="000F0CF2"/>
    <w:rsid w:val="000F1401"/>
    <w:rsid w:val="000F17E5"/>
    <w:rsid w:val="000F1A32"/>
    <w:rsid w:val="000F1CC2"/>
    <w:rsid w:val="000F1D15"/>
    <w:rsid w:val="000F270A"/>
    <w:rsid w:val="000F2FA3"/>
    <w:rsid w:val="000F34C8"/>
    <w:rsid w:val="000F38BC"/>
    <w:rsid w:val="000F3E2A"/>
    <w:rsid w:val="000F4D26"/>
    <w:rsid w:val="000F5639"/>
    <w:rsid w:val="000F58A4"/>
    <w:rsid w:val="000F5F99"/>
    <w:rsid w:val="000F6833"/>
    <w:rsid w:val="000F6A24"/>
    <w:rsid w:val="000F7294"/>
    <w:rsid w:val="000F7502"/>
    <w:rsid w:val="000F7616"/>
    <w:rsid w:val="000F7DE9"/>
    <w:rsid w:val="000F7F7A"/>
    <w:rsid w:val="001002F4"/>
    <w:rsid w:val="0010050C"/>
    <w:rsid w:val="001006CB"/>
    <w:rsid w:val="001007E5"/>
    <w:rsid w:val="001011FC"/>
    <w:rsid w:val="0010165F"/>
    <w:rsid w:val="00101E7C"/>
    <w:rsid w:val="001023DC"/>
    <w:rsid w:val="00102572"/>
    <w:rsid w:val="001025DD"/>
    <w:rsid w:val="00102946"/>
    <w:rsid w:val="00102FBF"/>
    <w:rsid w:val="0010333D"/>
    <w:rsid w:val="0010372A"/>
    <w:rsid w:val="00103F41"/>
    <w:rsid w:val="00104662"/>
    <w:rsid w:val="00104F34"/>
    <w:rsid w:val="001053C5"/>
    <w:rsid w:val="001055AD"/>
    <w:rsid w:val="00105C14"/>
    <w:rsid w:val="00105D9C"/>
    <w:rsid w:val="001065A3"/>
    <w:rsid w:val="00106610"/>
    <w:rsid w:val="00106831"/>
    <w:rsid w:val="0010683E"/>
    <w:rsid w:val="0010691D"/>
    <w:rsid w:val="00106B33"/>
    <w:rsid w:val="00106E69"/>
    <w:rsid w:val="001072FD"/>
    <w:rsid w:val="00110AC5"/>
    <w:rsid w:val="00110D4D"/>
    <w:rsid w:val="00110F0B"/>
    <w:rsid w:val="0011108B"/>
    <w:rsid w:val="00111136"/>
    <w:rsid w:val="00111164"/>
    <w:rsid w:val="00111761"/>
    <w:rsid w:val="001120C6"/>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EFC"/>
    <w:rsid w:val="001205A8"/>
    <w:rsid w:val="00121766"/>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784"/>
    <w:rsid w:val="00126AEC"/>
    <w:rsid w:val="00126DB5"/>
    <w:rsid w:val="0012711C"/>
    <w:rsid w:val="00127178"/>
    <w:rsid w:val="00127F09"/>
    <w:rsid w:val="0013002A"/>
    <w:rsid w:val="001306B6"/>
    <w:rsid w:val="0013085D"/>
    <w:rsid w:val="0013089C"/>
    <w:rsid w:val="00130909"/>
    <w:rsid w:val="00130A2D"/>
    <w:rsid w:val="00130F54"/>
    <w:rsid w:val="00131888"/>
    <w:rsid w:val="00131EE1"/>
    <w:rsid w:val="00131F17"/>
    <w:rsid w:val="00131FBC"/>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5E73"/>
    <w:rsid w:val="0013621D"/>
    <w:rsid w:val="00136354"/>
    <w:rsid w:val="00136674"/>
    <w:rsid w:val="00136B0E"/>
    <w:rsid w:val="00136C3B"/>
    <w:rsid w:val="001375EC"/>
    <w:rsid w:val="001376AB"/>
    <w:rsid w:val="0013777C"/>
    <w:rsid w:val="00137D5F"/>
    <w:rsid w:val="00137E0F"/>
    <w:rsid w:val="00140082"/>
    <w:rsid w:val="001400C5"/>
    <w:rsid w:val="00140175"/>
    <w:rsid w:val="00140757"/>
    <w:rsid w:val="00140D07"/>
    <w:rsid w:val="00140F6F"/>
    <w:rsid w:val="0014194E"/>
    <w:rsid w:val="00141A3A"/>
    <w:rsid w:val="00141FD4"/>
    <w:rsid w:val="001423FA"/>
    <w:rsid w:val="001427B5"/>
    <w:rsid w:val="001427CF"/>
    <w:rsid w:val="001428CF"/>
    <w:rsid w:val="00142D0C"/>
    <w:rsid w:val="00142E3C"/>
    <w:rsid w:val="00143387"/>
    <w:rsid w:val="001439BA"/>
    <w:rsid w:val="00144013"/>
    <w:rsid w:val="001455C3"/>
    <w:rsid w:val="00145764"/>
    <w:rsid w:val="00145A17"/>
    <w:rsid w:val="00145BBE"/>
    <w:rsid w:val="001460B5"/>
    <w:rsid w:val="0014641F"/>
    <w:rsid w:val="001464A8"/>
    <w:rsid w:val="001467BB"/>
    <w:rsid w:val="00146B1E"/>
    <w:rsid w:val="00146CA8"/>
    <w:rsid w:val="00147884"/>
    <w:rsid w:val="00150827"/>
    <w:rsid w:val="00150B0D"/>
    <w:rsid w:val="00150E10"/>
    <w:rsid w:val="00151A32"/>
    <w:rsid w:val="00151B2C"/>
    <w:rsid w:val="00151D0F"/>
    <w:rsid w:val="00151E31"/>
    <w:rsid w:val="00151F9B"/>
    <w:rsid w:val="00152289"/>
    <w:rsid w:val="00152425"/>
    <w:rsid w:val="00152BAD"/>
    <w:rsid w:val="00152CE3"/>
    <w:rsid w:val="00153652"/>
    <w:rsid w:val="00153697"/>
    <w:rsid w:val="0015374B"/>
    <w:rsid w:val="00153956"/>
    <w:rsid w:val="00153B95"/>
    <w:rsid w:val="00154146"/>
    <w:rsid w:val="00154190"/>
    <w:rsid w:val="001545EA"/>
    <w:rsid w:val="001549BA"/>
    <w:rsid w:val="00154BBF"/>
    <w:rsid w:val="00155099"/>
    <w:rsid w:val="00155C85"/>
    <w:rsid w:val="001560AD"/>
    <w:rsid w:val="00156592"/>
    <w:rsid w:val="00156A6C"/>
    <w:rsid w:val="00156B10"/>
    <w:rsid w:val="001576FE"/>
    <w:rsid w:val="00157823"/>
    <w:rsid w:val="0015790D"/>
    <w:rsid w:val="00157C5E"/>
    <w:rsid w:val="00157DD3"/>
    <w:rsid w:val="0016015A"/>
    <w:rsid w:val="001601E7"/>
    <w:rsid w:val="0016020E"/>
    <w:rsid w:val="00160503"/>
    <w:rsid w:val="00160BF6"/>
    <w:rsid w:val="00160D7C"/>
    <w:rsid w:val="00160E30"/>
    <w:rsid w:val="0016106D"/>
    <w:rsid w:val="001612E1"/>
    <w:rsid w:val="001614DB"/>
    <w:rsid w:val="0016194E"/>
    <w:rsid w:val="00161ADC"/>
    <w:rsid w:val="0016236C"/>
    <w:rsid w:val="00162625"/>
    <w:rsid w:val="00162707"/>
    <w:rsid w:val="001630A8"/>
    <w:rsid w:val="00163826"/>
    <w:rsid w:val="00163943"/>
    <w:rsid w:val="00163BA1"/>
    <w:rsid w:val="00163F22"/>
    <w:rsid w:val="0016417B"/>
    <w:rsid w:val="001643A6"/>
    <w:rsid w:val="0016470E"/>
    <w:rsid w:val="001649D3"/>
    <w:rsid w:val="00164E0A"/>
    <w:rsid w:val="001652D7"/>
    <w:rsid w:val="00165A5F"/>
    <w:rsid w:val="00166223"/>
    <w:rsid w:val="0016793E"/>
    <w:rsid w:val="00167D4D"/>
    <w:rsid w:val="0017054C"/>
    <w:rsid w:val="00170635"/>
    <w:rsid w:val="0017070D"/>
    <w:rsid w:val="00170837"/>
    <w:rsid w:val="00170F77"/>
    <w:rsid w:val="00171035"/>
    <w:rsid w:val="001713B7"/>
    <w:rsid w:val="00171ADB"/>
    <w:rsid w:val="00171E2C"/>
    <w:rsid w:val="00172029"/>
    <w:rsid w:val="001733A4"/>
    <w:rsid w:val="0017360E"/>
    <w:rsid w:val="00173AB9"/>
    <w:rsid w:val="00173EED"/>
    <w:rsid w:val="0017401D"/>
    <w:rsid w:val="00174368"/>
    <w:rsid w:val="001744EA"/>
    <w:rsid w:val="00174731"/>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1089"/>
    <w:rsid w:val="00181178"/>
    <w:rsid w:val="0018119E"/>
    <w:rsid w:val="0018152C"/>
    <w:rsid w:val="00181DBA"/>
    <w:rsid w:val="00181EEF"/>
    <w:rsid w:val="00181F3E"/>
    <w:rsid w:val="00182FE0"/>
    <w:rsid w:val="0018375D"/>
    <w:rsid w:val="00183911"/>
    <w:rsid w:val="00184418"/>
    <w:rsid w:val="001845FB"/>
    <w:rsid w:val="00184A86"/>
    <w:rsid w:val="001857FB"/>
    <w:rsid w:val="00185DA6"/>
    <w:rsid w:val="00185F64"/>
    <w:rsid w:val="00186096"/>
    <w:rsid w:val="00186278"/>
    <w:rsid w:val="001862FE"/>
    <w:rsid w:val="001864AC"/>
    <w:rsid w:val="00186A33"/>
    <w:rsid w:val="00187317"/>
    <w:rsid w:val="0018772E"/>
    <w:rsid w:val="00187A94"/>
    <w:rsid w:val="0019029E"/>
    <w:rsid w:val="00190804"/>
    <w:rsid w:val="0019088F"/>
    <w:rsid w:val="00190C51"/>
    <w:rsid w:val="00192F00"/>
    <w:rsid w:val="00193ACC"/>
    <w:rsid w:val="00193BFE"/>
    <w:rsid w:val="00193E72"/>
    <w:rsid w:val="00195322"/>
    <w:rsid w:val="0019560E"/>
    <w:rsid w:val="001958E3"/>
    <w:rsid w:val="00195FFA"/>
    <w:rsid w:val="0019601B"/>
    <w:rsid w:val="00196048"/>
    <w:rsid w:val="0019667F"/>
    <w:rsid w:val="00196966"/>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2A7"/>
    <w:rsid w:val="001A389C"/>
    <w:rsid w:val="001A3B75"/>
    <w:rsid w:val="001A42A3"/>
    <w:rsid w:val="001A46FB"/>
    <w:rsid w:val="001A4EC9"/>
    <w:rsid w:val="001A529F"/>
    <w:rsid w:val="001A5944"/>
    <w:rsid w:val="001A5FB1"/>
    <w:rsid w:val="001A618F"/>
    <w:rsid w:val="001A698A"/>
    <w:rsid w:val="001A6CCC"/>
    <w:rsid w:val="001A6E3B"/>
    <w:rsid w:val="001A70C8"/>
    <w:rsid w:val="001A71C9"/>
    <w:rsid w:val="001A72E1"/>
    <w:rsid w:val="001A7342"/>
    <w:rsid w:val="001A7429"/>
    <w:rsid w:val="001A760C"/>
    <w:rsid w:val="001A76F0"/>
    <w:rsid w:val="001A7977"/>
    <w:rsid w:val="001A799B"/>
    <w:rsid w:val="001A7AC7"/>
    <w:rsid w:val="001A7C38"/>
    <w:rsid w:val="001B02F8"/>
    <w:rsid w:val="001B2104"/>
    <w:rsid w:val="001B2263"/>
    <w:rsid w:val="001B2279"/>
    <w:rsid w:val="001B2729"/>
    <w:rsid w:val="001B2866"/>
    <w:rsid w:val="001B2881"/>
    <w:rsid w:val="001B2B73"/>
    <w:rsid w:val="001B3675"/>
    <w:rsid w:val="001B37C8"/>
    <w:rsid w:val="001B48BA"/>
    <w:rsid w:val="001B4B2C"/>
    <w:rsid w:val="001B4F10"/>
    <w:rsid w:val="001B5154"/>
    <w:rsid w:val="001B6E30"/>
    <w:rsid w:val="001B6E43"/>
    <w:rsid w:val="001B7C83"/>
    <w:rsid w:val="001B7CB3"/>
    <w:rsid w:val="001B7F9E"/>
    <w:rsid w:val="001C0206"/>
    <w:rsid w:val="001C0246"/>
    <w:rsid w:val="001C04D4"/>
    <w:rsid w:val="001C0B34"/>
    <w:rsid w:val="001C12A3"/>
    <w:rsid w:val="001C1419"/>
    <w:rsid w:val="001C15D8"/>
    <w:rsid w:val="001C17BB"/>
    <w:rsid w:val="001C187E"/>
    <w:rsid w:val="001C1A37"/>
    <w:rsid w:val="001C1C49"/>
    <w:rsid w:val="001C286F"/>
    <w:rsid w:val="001C2B86"/>
    <w:rsid w:val="001C2F02"/>
    <w:rsid w:val="001C2F54"/>
    <w:rsid w:val="001C3308"/>
    <w:rsid w:val="001C331D"/>
    <w:rsid w:val="001C3BBB"/>
    <w:rsid w:val="001C40D1"/>
    <w:rsid w:val="001C468A"/>
    <w:rsid w:val="001C4A38"/>
    <w:rsid w:val="001C4A9E"/>
    <w:rsid w:val="001C5001"/>
    <w:rsid w:val="001C504C"/>
    <w:rsid w:val="001C5103"/>
    <w:rsid w:val="001C52A8"/>
    <w:rsid w:val="001C5ADF"/>
    <w:rsid w:val="001C5E8E"/>
    <w:rsid w:val="001C6120"/>
    <w:rsid w:val="001C6516"/>
    <w:rsid w:val="001C6B5C"/>
    <w:rsid w:val="001C7155"/>
    <w:rsid w:val="001C7E48"/>
    <w:rsid w:val="001D0190"/>
    <w:rsid w:val="001D039B"/>
    <w:rsid w:val="001D0849"/>
    <w:rsid w:val="001D1258"/>
    <w:rsid w:val="001D1AB8"/>
    <w:rsid w:val="001D26F5"/>
    <w:rsid w:val="001D286F"/>
    <w:rsid w:val="001D2C94"/>
    <w:rsid w:val="001D33D9"/>
    <w:rsid w:val="001D34F6"/>
    <w:rsid w:val="001D36F6"/>
    <w:rsid w:val="001D3F6E"/>
    <w:rsid w:val="001D4303"/>
    <w:rsid w:val="001D45E5"/>
    <w:rsid w:val="001D461A"/>
    <w:rsid w:val="001D4A9D"/>
    <w:rsid w:val="001D4AAD"/>
    <w:rsid w:val="001D4E16"/>
    <w:rsid w:val="001D5AFA"/>
    <w:rsid w:val="001D6514"/>
    <w:rsid w:val="001D652D"/>
    <w:rsid w:val="001D6AE8"/>
    <w:rsid w:val="001D72D9"/>
    <w:rsid w:val="001D784A"/>
    <w:rsid w:val="001E04A4"/>
    <w:rsid w:val="001E07C5"/>
    <w:rsid w:val="001E0B45"/>
    <w:rsid w:val="001E176D"/>
    <w:rsid w:val="001E1BCE"/>
    <w:rsid w:val="001E1E05"/>
    <w:rsid w:val="001E2086"/>
    <w:rsid w:val="001E339F"/>
    <w:rsid w:val="001E3586"/>
    <w:rsid w:val="001E3629"/>
    <w:rsid w:val="001E3E7D"/>
    <w:rsid w:val="001E40F0"/>
    <w:rsid w:val="001E4172"/>
    <w:rsid w:val="001E4F08"/>
    <w:rsid w:val="001E5490"/>
    <w:rsid w:val="001E5730"/>
    <w:rsid w:val="001E58B1"/>
    <w:rsid w:val="001E5E2E"/>
    <w:rsid w:val="001E6352"/>
    <w:rsid w:val="001E700A"/>
    <w:rsid w:val="001E70AD"/>
    <w:rsid w:val="001E7237"/>
    <w:rsid w:val="001E73E0"/>
    <w:rsid w:val="001E75B9"/>
    <w:rsid w:val="001E7AF6"/>
    <w:rsid w:val="001F01B8"/>
    <w:rsid w:val="001F0FC3"/>
    <w:rsid w:val="001F1188"/>
    <w:rsid w:val="001F1B8D"/>
    <w:rsid w:val="001F1C50"/>
    <w:rsid w:val="001F274F"/>
    <w:rsid w:val="001F289C"/>
    <w:rsid w:val="001F2BF9"/>
    <w:rsid w:val="001F3AF2"/>
    <w:rsid w:val="001F4BFC"/>
    <w:rsid w:val="001F4DCD"/>
    <w:rsid w:val="001F6008"/>
    <w:rsid w:val="001F604B"/>
    <w:rsid w:val="001F6280"/>
    <w:rsid w:val="001F641B"/>
    <w:rsid w:val="001F6D4D"/>
    <w:rsid w:val="001F78EA"/>
    <w:rsid w:val="0020125C"/>
    <w:rsid w:val="0020130D"/>
    <w:rsid w:val="00201916"/>
    <w:rsid w:val="00201D06"/>
    <w:rsid w:val="00201E9F"/>
    <w:rsid w:val="00202A52"/>
    <w:rsid w:val="00202F25"/>
    <w:rsid w:val="002035B3"/>
    <w:rsid w:val="00203929"/>
    <w:rsid w:val="00203CD6"/>
    <w:rsid w:val="00203D01"/>
    <w:rsid w:val="00204460"/>
    <w:rsid w:val="002051EA"/>
    <w:rsid w:val="00205CBC"/>
    <w:rsid w:val="00205F99"/>
    <w:rsid w:val="00206259"/>
    <w:rsid w:val="002074B7"/>
    <w:rsid w:val="0020758D"/>
    <w:rsid w:val="00207C7B"/>
    <w:rsid w:val="00211470"/>
    <w:rsid w:val="00211922"/>
    <w:rsid w:val="00211B20"/>
    <w:rsid w:val="0021213A"/>
    <w:rsid w:val="0021265F"/>
    <w:rsid w:val="00212F0B"/>
    <w:rsid w:val="0021322F"/>
    <w:rsid w:val="00213232"/>
    <w:rsid w:val="00213817"/>
    <w:rsid w:val="00214428"/>
    <w:rsid w:val="002145EB"/>
    <w:rsid w:val="0021471A"/>
    <w:rsid w:val="00214F82"/>
    <w:rsid w:val="00214FE7"/>
    <w:rsid w:val="00215033"/>
    <w:rsid w:val="00215049"/>
    <w:rsid w:val="00215834"/>
    <w:rsid w:val="00215CC2"/>
    <w:rsid w:val="00215D95"/>
    <w:rsid w:val="00215ED8"/>
    <w:rsid w:val="00215FAF"/>
    <w:rsid w:val="00217417"/>
    <w:rsid w:val="00217700"/>
    <w:rsid w:val="002177E2"/>
    <w:rsid w:val="0021783B"/>
    <w:rsid w:val="00217AE0"/>
    <w:rsid w:val="00217B43"/>
    <w:rsid w:val="002205F3"/>
    <w:rsid w:val="0022085B"/>
    <w:rsid w:val="00220E53"/>
    <w:rsid w:val="0022176C"/>
    <w:rsid w:val="00221BD2"/>
    <w:rsid w:val="002225D1"/>
    <w:rsid w:val="002230FA"/>
    <w:rsid w:val="002232B9"/>
    <w:rsid w:val="00223DF2"/>
    <w:rsid w:val="00223E18"/>
    <w:rsid w:val="002249A2"/>
    <w:rsid w:val="00224C0C"/>
    <w:rsid w:val="0022510D"/>
    <w:rsid w:val="002256C2"/>
    <w:rsid w:val="002256D0"/>
    <w:rsid w:val="00225C8E"/>
    <w:rsid w:val="00226428"/>
    <w:rsid w:val="002265A9"/>
    <w:rsid w:val="002266CB"/>
    <w:rsid w:val="00227052"/>
    <w:rsid w:val="002272D5"/>
    <w:rsid w:val="0022738E"/>
    <w:rsid w:val="002277D6"/>
    <w:rsid w:val="00227906"/>
    <w:rsid w:val="00227934"/>
    <w:rsid w:val="00227E21"/>
    <w:rsid w:val="0023008A"/>
    <w:rsid w:val="0023179D"/>
    <w:rsid w:val="00231D05"/>
    <w:rsid w:val="0023241A"/>
    <w:rsid w:val="002324C4"/>
    <w:rsid w:val="00232EFA"/>
    <w:rsid w:val="002336E2"/>
    <w:rsid w:val="00233AC2"/>
    <w:rsid w:val="00233BAF"/>
    <w:rsid w:val="00233F80"/>
    <w:rsid w:val="0023423A"/>
    <w:rsid w:val="00234996"/>
    <w:rsid w:val="00235420"/>
    <w:rsid w:val="0023549A"/>
    <w:rsid w:val="00235700"/>
    <w:rsid w:val="0023788D"/>
    <w:rsid w:val="00240422"/>
    <w:rsid w:val="0024065B"/>
    <w:rsid w:val="002409A6"/>
    <w:rsid w:val="00240C63"/>
    <w:rsid w:val="00240D91"/>
    <w:rsid w:val="00240EA5"/>
    <w:rsid w:val="00241132"/>
    <w:rsid w:val="00241205"/>
    <w:rsid w:val="002418C5"/>
    <w:rsid w:val="0024261D"/>
    <w:rsid w:val="00242712"/>
    <w:rsid w:val="00242D37"/>
    <w:rsid w:val="00242DFB"/>
    <w:rsid w:val="00243807"/>
    <w:rsid w:val="002440AC"/>
    <w:rsid w:val="0024416E"/>
    <w:rsid w:val="00244365"/>
    <w:rsid w:val="0024459A"/>
    <w:rsid w:val="002446A3"/>
    <w:rsid w:val="00244771"/>
    <w:rsid w:val="00244903"/>
    <w:rsid w:val="00244AFB"/>
    <w:rsid w:val="00244B97"/>
    <w:rsid w:val="00244D0D"/>
    <w:rsid w:val="002453DF"/>
    <w:rsid w:val="00245A81"/>
    <w:rsid w:val="002462A5"/>
    <w:rsid w:val="00246753"/>
    <w:rsid w:val="00246B86"/>
    <w:rsid w:val="00247094"/>
    <w:rsid w:val="00247335"/>
    <w:rsid w:val="002473EF"/>
    <w:rsid w:val="002477B9"/>
    <w:rsid w:val="00247B69"/>
    <w:rsid w:val="00247CBE"/>
    <w:rsid w:val="00250A1F"/>
    <w:rsid w:val="00250ADA"/>
    <w:rsid w:val="00250F1D"/>
    <w:rsid w:val="00251FF1"/>
    <w:rsid w:val="002520BA"/>
    <w:rsid w:val="00252234"/>
    <w:rsid w:val="002524E5"/>
    <w:rsid w:val="002528E3"/>
    <w:rsid w:val="00252944"/>
    <w:rsid w:val="00252D55"/>
    <w:rsid w:val="00252D82"/>
    <w:rsid w:val="00253006"/>
    <w:rsid w:val="00253165"/>
    <w:rsid w:val="002531EA"/>
    <w:rsid w:val="002533F5"/>
    <w:rsid w:val="00253C60"/>
    <w:rsid w:val="00253F21"/>
    <w:rsid w:val="0025429D"/>
    <w:rsid w:val="002549E9"/>
    <w:rsid w:val="00254A09"/>
    <w:rsid w:val="00254FF6"/>
    <w:rsid w:val="00255099"/>
    <w:rsid w:val="002555C6"/>
    <w:rsid w:val="0025597E"/>
    <w:rsid w:val="00255E14"/>
    <w:rsid w:val="00255E45"/>
    <w:rsid w:val="00255FC3"/>
    <w:rsid w:val="00255FF9"/>
    <w:rsid w:val="00256AD7"/>
    <w:rsid w:val="00257059"/>
    <w:rsid w:val="0025712F"/>
    <w:rsid w:val="00257395"/>
    <w:rsid w:val="00257857"/>
    <w:rsid w:val="002578DA"/>
    <w:rsid w:val="00257CBC"/>
    <w:rsid w:val="002602C2"/>
    <w:rsid w:val="002602DA"/>
    <w:rsid w:val="0026040B"/>
    <w:rsid w:val="00260433"/>
    <w:rsid w:val="002604F2"/>
    <w:rsid w:val="00260802"/>
    <w:rsid w:val="002609E3"/>
    <w:rsid w:val="0026116D"/>
    <w:rsid w:val="00261223"/>
    <w:rsid w:val="00261467"/>
    <w:rsid w:val="002617AB"/>
    <w:rsid w:val="00261D08"/>
    <w:rsid w:val="00261DCC"/>
    <w:rsid w:val="002624D0"/>
    <w:rsid w:val="00263572"/>
    <w:rsid w:val="00263EC7"/>
    <w:rsid w:val="0026491B"/>
    <w:rsid w:val="00264A36"/>
    <w:rsid w:val="00264B06"/>
    <w:rsid w:val="00264C1B"/>
    <w:rsid w:val="002657FB"/>
    <w:rsid w:val="00265D10"/>
    <w:rsid w:val="00265E2E"/>
    <w:rsid w:val="00265EF0"/>
    <w:rsid w:val="002661AB"/>
    <w:rsid w:val="0026742B"/>
    <w:rsid w:val="002674FE"/>
    <w:rsid w:val="00267E59"/>
    <w:rsid w:val="002702F6"/>
    <w:rsid w:val="00270748"/>
    <w:rsid w:val="00270CAB"/>
    <w:rsid w:val="0027117F"/>
    <w:rsid w:val="002712DC"/>
    <w:rsid w:val="002716A4"/>
    <w:rsid w:val="00271875"/>
    <w:rsid w:val="002718FF"/>
    <w:rsid w:val="00271955"/>
    <w:rsid w:val="00272278"/>
    <w:rsid w:val="00272432"/>
    <w:rsid w:val="00272633"/>
    <w:rsid w:val="00272D36"/>
    <w:rsid w:val="00272E48"/>
    <w:rsid w:val="00272FBF"/>
    <w:rsid w:val="002734ED"/>
    <w:rsid w:val="00273A10"/>
    <w:rsid w:val="00273A58"/>
    <w:rsid w:val="00273B5F"/>
    <w:rsid w:val="00274C6E"/>
    <w:rsid w:val="00274CAB"/>
    <w:rsid w:val="00274E8A"/>
    <w:rsid w:val="002755A8"/>
    <w:rsid w:val="00275FCE"/>
    <w:rsid w:val="002766B8"/>
    <w:rsid w:val="0027680F"/>
    <w:rsid w:val="002777C0"/>
    <w:rsid w:val="0028051E"/>
    <w:rsid w:val="0028076D"/>
    <w:rsid w:val="00281006"/>
    <w:rsid w:val="002815B1"/>
    <w:rsid w:val="00281893"/>
    <w:rsid w:val="00281C1F"/>
    <w:rsid w:val="00281EEA"/>
    <w:rsid w:val="00281F88"/>
    <w:rsid w:val="0028240D"/>
    <w:rsid w:val="0028288D"/>
    <w:rsid w:val="002829B7"/>
    <w:rsid w:val="00282B82"/>
    <w:rsid w:val="00282C74"/>
    <w:rsid w:val="00282E5B"/>
    <w:rsid w:val="002837D1"/>
    <w:rsid w:val="00283995"/>
    <w:rsid w:val="00283B11"/>
    <w:rsid w:val="002841A9"/>
    <w:rsid w:val="00284313"/>
    <w:rsid w:val="00284554"/>
    <w:rsid w:val="002848AD"/>
    <w:rsid w:val="00284DE4"/>
    <w:rsid w:val="00285154"/>
    <w:rsid w:val="00285BF2"/>
    <w:rsid w:val="00285C78"/>
    <w:rsid w:val="002863CE"/>
    <w:rsid w:val="00287E20"/>
    <w:rsid w:val="00287EB5"/>
    <w:rsid w:val="0029110F"/>
    <w:rsid w:val="00291492"/>
    <w:rsid w:val="00291527"/>
    <w:rsid w:val="002916B4"/>
    <w:rsid w:val="0029199A"/>
    <w:rsid w:val="00291BBE"/>
    <w:rsid w:val="00291FEB"/>
    <w:rsid w:val="00292174"/>
    <w:rsid w:val="00292E99"/>
    <w:rsid w:val="00293146"/>
    <w:rsid w:val="0029361E"/>
    <w:rsid w:val="00293D68"/>
    <w:rsid w:val="0029408A"/>
    <w:rsid w:val="00294352"/>
    <w:rsid w:val="002944A0"/>
    <w:rsid w:val="002946E4"/>
    <w:rsid w:val="0029495C"/>
    <w:rsid w:val="00295212"/>
    <w:rsid w:val="002957D9"/>
    <w:rsid w:val="00295B52"/>
    <w:rsid w:val="00296024"/>
    <w:rsid w:val="00296293"/>
    <w:rsid w:val="002969C7"/>
    <w:rsid w:val="00296AF7"/>
    <w:rsid w:val="00297021"/>
    <w:rsid w:val="002972F9"/>
    <w:rsid w:val="00297612"/>
    <w:rsid w:val="002977CA"/>
    <w:rsid w:val="00297ED7"/>
    <w:rsid w:val="002A0007"/>
    <w:rsid w:val="002A03AA"/>
    <w:rsid w:val="002A056D"/>
    <w:rsid w:val="002A0742"/>
    <w:rsid w:val="002A07FE"/>
    <w:rsid w:val="002A094D"/>
    <w:rsid w:val="002A0CAF"/>
    <w:rsid w:val="002A0DDB"/>
    <w:rsid w:val="002A1565"/>
    <w:rsid w:val="002A16A9"/>
    <w:rsid w:val="002A1A2A"/>
    <w:rsid w:val="002A2941"/>
    <w:rsid w:val="002A2DC4"/>
    <w:rsid w:val="002A3E69"/>
    <w:rsid w:val="002A44F9"/>
    <w:rsid w:val="002A4946"/>
    <w:rsid w:val="002A49EF"/>
    <w:rsid w:val="002A4B8B"/>
    <w:rsid w:val="002A5107"/>
    <w:rsid w:val="002A5188"/>
    <w:rsid w:val="002A535E"/>
    <w:rsid w:val="002A5DBD"/>
    <w:rsid w:val="002A6406"/>
    <w:rsid w:val="002A6432"/>
    <w:rsid w:val="002A6CF0"/>
    <w:rsid w:val="002A6FFC"/>
    <w:rsid w:val="002A7010"/>
    <w:rsid w:val="002A70BA"/>
    <w:rsid w:val="002A7A57"/>
    <w:rsid w:val="002A7BB2"/>
    <w:rsid w:val="002A7CC1"/>
    <w:rsid w:val="002A7DCB"/>
    <w:rsid w:val="002B0685"/>
    <w:rsid w:val="002B0B53"/>
    <w:rsid w:val="002B0CF8"/>
    <w:rsid w:val="002B1617"/>
    <w:rsid w:val="002B1A90"/>
    <w:rsid w:val="002B1D11"/>
    <w:rsid w:val="002B273B"/>
    <w:rsid w:val="002B29AA"/>
    <w:rsid w:val="002B2A7E"/>
    <w:rsid w:val="002B2F1B"/>
    <w:rsid w:val="002B3332"/>
    <w:rsid w:val="002B34C7"/>
    <w:rsid w:val="002B3F25"/>
    <w:rsid w:val="002B5456"/>
    <w:rsid w:val="002B5AFB"/>
    <w:rsid w:val="002B6257"/>
    <w:rsid w:val="002B6272"/>
    <w:rsid w:val="002B6320"/>
    <w:rsid w:val="002B66AC"/>
    <w:rsid w:val="002B6852"/>
    <w:rsid w:val="002B74EF"/>
    <w:rsid w:val="002B77E1"/>
    <w:rsid w:val="002C0656"/>
    <w:rsid w:val="002C0714"/>
    <w:rsid w:val="002C0A96"/>
    <w:rsid w:val="002C13C6"/>
    <w:rsid w:val="002C1BF4"/>
    <w:rsid w:val="002C1E0D"/>
    <w:rsid w:val="002C2266"/>
    <w:rsid w:val="002C2356"/>
    <w:rsid w:val="002C238F"/>
    <w:rsid w:val="002C276F"/>
    <w:rsid w:val="002C28EB"/>
    <w:rsid w:val="002C2BE9"/>
    <w:rsid w:val="002C316C"/>
    <w:rsid w:val="002C3265"/>
    <w:rsid w:val="002C3AED"/>
    <w:rsid w:val="002C3E56"/>
    <w:rsid w:val="002C414C"/>
    <w:rsid w:val="002C4154"/>
    <w:rsid w:val="002C49F8"/>
    <w:rsid w:val="002C4C2F"/>
    <w:rsid w:val="002C5776"/>
    <w:rsid w:val="002C5EED"/>
    <w:rsid w:val="002C66DE"/>
    <w:rsid w:val="002C7193"/>
    <w:rsid w:val="002C7699"/>
    <w:rsid w:val="002C7A49"/>
    <w:rsid w:val="002D0128"/>
    <w:rsid w:val="002D02FB"/>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5181"/>
    <w:rsid w:val="002D6278"/>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E74"/>
    <w:rsid w:val="002E32D2"/>
    <w:rsid w:val="002E361B"/>
    <w:rsid w:val="002E37AB"/>
    <w:rsid w:val="002E3A80"/>
    <w:rsid w:val="002E41C7"/>
    <w:rsid w:val="002E4C1A"/>
    <w:rsid w:val="002E51DF"/>
    <w:rsid w:val="002E57B9"/>
    <w:rsid w:val="002E5C39"/>
    <w:rsid w:val="002E6127"/>
    <w:rsid w:val="002E6885"/>
    <w:rsid w:val="002E72E4"/>
    <w:rsid w:val="002E739D"/>
    <w:rsid w:val="002F0F36"/>
    <w:rsid w:val="002F1276"/>
    <w:rsid w:val="002F141C"/>
    <w:rsid w:val="002F1986"/>
    <w:rsid w:val="002F1E5F"/>
    <w:rsid w:val="002F2A49"/>
    <w:rsid w:val="002F3550"/>
    <w:rsid w:val="002F3B63"/>
    <w:rsid w:val="002F3C56"/>
    <w:rsid w:val="002F4156"/>
    <w:rsid w:val="002F4271"/>
    <w:rsid w:val="002F46B0"/>
    <w:rsid w:val="002F4B17"/>
    <w:rsid w:val="002F5150"/>
    <w:rsid w:val="002F5463"/>
    <w:rsid w:val="002F58C2"/>
    <w:rsid w:val="002F5932"/>
    <w:rsid w:val="002F5C85"/>
    <w:rsid w:val="002F603B"/>
    <w:rsid w:val="002F60AC"/>
    <w:rsid w:val="002F6201"/>
    <w:rsid w:val="002F6493"/>
    <w:rsid w:val="002F724B"/>
    <w:rsid w:val="002F72BA"/>
    <w:rsid w:val="002F7A72"/>
    <w:rsid w:val="00300267"/>
    <w:rsid w:val="003004D2"/>
    <w:rsid w:val="00300D6B"/>
    <w:rsid w:val="00301380"/>
    <w:rsid w:val="00301D6A"/>
    <w:rsid w:val="00301E89"/>
    <w:rsid w:val="00302052"/>
    <w:rsid w:val="00302142"/>
    <w:rsid w:val="00302169"/>
    <w:rsid w:val="00302612"/>
    <w:rsid w:val="00302963"/>
    <w:rsid w:val="00303254"/>
    <w:rsid w:val="003044D9"/>
    <w:rsid w:val="00304D8A"/>
    <w:rsid w:val="00305216"/>
    <w:rsid w:val="0030555B"/>
    <w:rsid w:val="003061F5"/>
    <w:rsid w:val="00306A49"/>
    <w:rsid w:val="00306CBF"/>
    <w:rsid w:val="00306D27"/>
    <w:rsid w:val="0030739C"/>
    <w:rsid w:val="00310ACB"/>
    <w:rsid w:val="00310D51"/>
    <w:rsid w:val="00311B36"/>
    <w:rsid w:val="00311C53"/>
    <w:rsid w:val="00311C92"/>
    <w:rsid w:val="0031252E"/>
    <w:rsid w:val="00313321"/>
    <w:rsid w:val="003133AE"/>
    <w:rsid w:val="0031371B"/>
    <w:rsid w:val="00314156"/>
    <w:rsid w:val="00314CF8"/>
    <w:rsid w:val="0031535B"/>
    <w:rsid w:val="003154DD"/>
    <w:rsid w:val="00315BD6"/>
    <w:rsid w:val="00316F76"/>
    <w:rsid w:val="003170F4"/>
    <w:rsid w:val="0032035D"/>
    <w:rsid w:val="0032056F"/>
    <w:rsid w:val="003205E9"/>
    <w:rsid w:val="00320B28"/>
    <w:rsid w:val="0032123E"/>
    <w:rsid w:val="003216D5"/>
    <w:rsid w:val="003216FF"/>
    <w:rsid w:val="00321866"/>
    <w:rsid w:val="00321A83"/>
    <w:rsid w:val="00321C1A"/>
    <w:rsid w:val="00321F6B"/>
    <w:rsid w:val="00322389"/>
    <w:rsid w:val="003223CA"/>
    <w:rsid w:val="00322BE5"/>
    <w:rsid w:val="00322E87"/>
    <w:rsid w:val="00322FEA"/>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10AB"/>
    <w:rsid w:val="003314D2"/>
    <w:rsid w:val="00331712"/>
    <w:rsid w:val="00331A3F"/>
    <w:rsid w:val="00332191"/>
    <w:rsid w:val="00332720"/>
    <w:rsid w:val="00332EED"/>
    <w:rsid w:val="003331E4"/>
    <w:rsid w:val="003334A7"/>
    <w:rsid w:val="003337E8"/>
    <w:rsid w:val="00333A14"/>
    <w:rsid w:val="00333B2A"/>
    <w:rsid w:val="00333FD5"/>
    <w:rsid w:val="00334649"/>
    <w:rsid w:val="003350E9"/>
    <w:rsid w:val="003351BA"/>
    <w:rsid w:val="0033520F"/>
    <w:rsid w:val="0033596B"/>
    <w:rsid w:val="00335A93"/>
    <w:rsid w:val="00335E6B"/>
    <w:rsid w:val="0033650E"/>
    <w:rsid w:val="00336907"/>
    <w:rsid w:val="003369DF"/>
    <w:rsid w:val="00336AD1"/>
    <w:rsid w:val="00336C71"/>
    <w:rsid w:val="00336D96"/>
    <w:rsid w:val="00336DFC"/>
    <w:rsid w:val="00337230"/>
    <w:rsid w:val="003377D0"/>
    <w:rsid w:val="00337BDC"/>
    <w:rsid w:val="00337D75"/>
    <w:rsid w:val="00340020"/>
    <w:rsid w:val="0034028D"/>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1D8"/>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0EF"/>
    <w:rsid w:val="0035636B"/>
    <w:rsid w:val="0035636C"/>
    <w:rsid w:val="003564CC"/>
    <w:rsid w:val="00357424"/>
    <w:rsid w:val="00357BE9"/>
    <w:rsid w:val="0036004C"/>
    <w:rsid w:val="003601A2"/>
    <w:rsid w:val="003613EE"/>
    <w:rsid w:val="0036174F"/>
    <w:rsid w:val="00361789"/>
    <w:rsid w:val="0036196D"/>
    <w:rsid w:val="00361A59"/>
    <w:rsid w:val="00361F9E"/>
    <w:rsid w:val="00362136"/>
    <w:rsid w:val="003626CF"/>
    <w:rsid w:val="003627BD"/>
    <w:rsid w:val="00362997"/>
    <w:rsid w:val="00362B7F"/>
    <w:rsid w:val="00362C59"/>
    <w:rsid w:val="00363040"/>
    <w:rsid w:val="003630B7"/>
    <w:rsid w:val="00363786"/>
    <w:rsid w:val="003638A4"/>
    <w:rsid w:val="003639BF"/>
    <w:rsid w:val="00363E41"/>
    <w:rsid w:val="00363FD2"/>
    <w:rsid w:val="00364653"/>
    <w:rsid w:val="0036572E"/>
    <w:rsid w:val="0036614A"/>
    <w:rsid w:val="00366168"/>
    <w:rsid w:val="003663D9"/>
    <w:rsid w:val="003666BF"/>
    <w:rsid w:val="00366707"/>
    <w:rsid w:val="00366B3B"/>
    <w:rsid w:val="00366FA9"/>
    <w:rsid w:val="00367B19"/>
    <w:rsid w:val="00367E49"/>
    <w:rsid w:val="003700E6"/>
    <w:rsid w:val="0037017C"/>
    <w:rsid w:val="00370490"/>
    <w:rsid w:val="00371C86"/>
    <w:rsid w:val="00371EB4"/>
    <w:rsid w:val="0037236C"/>
    <w:rsid w:val="003729DE"/>
    <w:rsid w:val="00372BBD"/>
    <w:rsid w:val="00372EA2"/>
    <w:rsid w:val="00373059"/>
    <w:rsid w:val="003735D3"/>
    <w:rsid w:val="0037386D"/>
    <w:rsid w:val="00373956"/>
    <w:rsid w:val="00374153"/>
    <w:rsid w:val="00374671"/>
    <w:rsid w:val="003750E0"/>
    <w:rsid w:val="00375AF1"/>
    <w:rsid w:val="00375C2F"/>
    <w:rsid w:val="00375FC5"/>
    <w:rsid w:val="003768DC"/>
    <w:rsid w:val="003769BA"/>
    <w:rsid w:val="00377871"/>
    <w:rsid w:val="003778B2"/>
    <w:rsid w:val="00377E58"/>
    <w:rsid w:val="003805E3"/>
    <w:rsid w:val="00380618"/>
    <w:rsid w:val="0038062E"/>
    <w:rsid w:val="003806D7"/>
    <w:rsid w:val="003807F7"/>
    <w:rsid w:val="00381610"/>
    <w:rsid w:val="0038166B"/>
    <w:rsid w:val="00381C9E"/>
    <w:rsid w:val="00381CA8"/>
    <w:rsid w:val="00382106"/>
    <w:rsid w:val="00382657"/>
    <w:rsid w:val="00382708"/>
    <w:rsid w:val="00382B82"/>
    <w:rsid w:val="003844BF"/>
    <w:rsid w:val="00384566"/>
    <w:rsid w:val="003854D5"/>
    <w:rsid w:val="0038552A"/>
    <w:rsid w:val="003859EA"/>
    <w:rsid w:val="0038709E"/>
    <w:rsid w:val="00387978"/>
    <w:rsid w:val="00387D30"/>
    <w:rsid w:val="0039168C"/>
    <w:rsid w:val="00391753"/>
    <w:rsid w:val="00391C7F"/>
    <w:rsid w:val="00392454"/>
    <w:rsid w:val="00392C85"/>
    <w:rsid w:val="00392FD8"/>
    <w:rsid w:val="00393E11"/>
    <w:rsid w:val="003942F4"/>
    <w:rsid w:val="00394475"/>
    <w:rsid w:val="0039517A"/>
    <w:rsid w:val="003951DB"/>
    <w:rsid w:val="003954FE"/>
    <w:rsid w:val="00395B51"/>
    <w:rsid w:val="00396796"/>
    <w:rsid w:val="00396D9B"/>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EE"/>
    <w:rsid w:val="003B15F8"/>
    <w:rsid w:val="003B166F"/>
    <w:rsid w:val="003B1B60"/>
    <w:rsid w:val="003B1F47"/>
    <w:rsid w:val="003B207E"/>
    <w:rsid w:val="003B230B"/>
    <w:rsid w:val="003B23BC"/>
    <w:rsid w:val="003B28BA"/>
    <w:rsid w:val="003B28F6"/>
    <w:rsid w:val="003B2DB5"/>
    <w:rsid w:val="003B2F05"/>
    <w:rsid w:val="003B3966"/>
    <w:rsid w:val="003B39B7"/>
    <w:rsid w:val="003B40E7"/>
    <w:rsid w:val="003B4754"/>
    <w:rsid w:val="003B4EB0"/>
    <w:rsid w:val="003B5094"/>
    <w:rsid w:val="003B5310"/>
    <w:rsid w:val="003B552F"/>
    <w:rsid w:val="003B5F6A"/>
    <w:rsid w:val="003B6B23"/>
    <w:rsid w:val="003B6B7F"/>
    <w:rsid w:val="003B7820"/>
    <w:rsid w:val="003C01A4"/>
    <w:rsid w:val="003C0219"/>
    <w:rsid w:val="003C0941"/>
    <w:rsid w:val="003C0C12"/>
    <w:rsid w:val="003C0E6B"/>
    <w:rsid w:val="003C149F"/>
    <w:rsid w:val="003C16EE"/>
    <w:rsid w:val="003C1C87"/>
    <w:rsid w:val="003C1D4D"/>
    <w:rsid w:val="003C2097"/>
    <w:rsid w:val="003C2401"/>
    <w:rsid w:val="003C2927"/>
    <w:rsid w:val="003C2C85"/>
    <w:rsid w:val="003C2F61"/>
    <w:rsid w:val="003C345E"/>
    <w:rsid w:val="003C4409"/>
    <w:rsid w:val="003C4594"/>
    <w:rsid w:val="003C4997"/>
    <w:rsid w:val="003C4DA5"/>
    <w:rsid w:val="003C502A"/>
    <w:rsid w:val="003C5206"/>
    <w:rsid w:val="003C5666"/>
    <w:rsid w:val="003C58BA"/>
    <w:rsid w:val="003C60CC"/>
    <w:rsid w:val="003C64F4"/>
    <w:rsid w:val="003C6D4E"/>
    <w:rsid w:val="003C724B"/>
    <w:rsid w:val="003C73DB"/>
    <w:rsid w:val="003C77F3"/>
    <w:rsid w:val="003D0185"/>
    <w:rsid w:val="003D02CB"/>
    <w:rsid w:val="003D0382"/>
    <w:rsid w:val="003D069C"/>
    <w:rsid w:val="003D0863"/>
    <w:rsid w:val="003D0AA6"/>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71"/>
    <w:rsid w:val="003D78CC"/>
    <w:rsid w:val="003D7D01"/>
    <w:rsid w:val="003D7ED8"/>
    <w:rsid w:val="003E0003"/>
    <w:rsid w:val="003E0099"/>
    <w:rsid w:val="003E08C7"/>
    <w:rsid w:val="003E122B"/>
    <w:rsid w:val="003E1427"/>
    <w:rsid w:val="003E162D"/>
    <w:rsid w:val="003E1A72"/>
    <w:rsid w:val="003E27B8"/>
    <w:rsid w:val="003E2880"/>
    <w:rsid w:val="003E28FB"/>
    <w:rsid w:val="003E2A00"/>
    <w:rsid w:val="003E312C"/>
    <w:rsid w:val="003E382C"/>
    <w:rsid w:val="003E3D00"/>
    <w:rsid w:val="003E4487"/>
    <w:rsid w:val="003E4531"/>
    <w:rsid w:val="003E4771"/>
    <w:rsid w:val="003E484E"/>
    <w:rsid w:val="003E52E3"/>
    <w:rsid w:val="003E541C"/>
    <w:rsid w:val="003E54A8"/>
    <w:rsid w:val="003E5833"/>
    <w:rsid w:val="003E5DA8"/>
    <w:rsid w:val="003E6E2C"/>
    <w:rsid w:val="003E7109"/>
    <w:rsid w:val="003E77DC"/>
    <w:rsid w:val="003E7BC1"/>
    <w:rsid w:val="003F0453"/>
    <w:rsid w:val="003F0C9F"/>
    <w:rsid w:val="003F144A"/>
    <w:rsid w:val="003F1B02"/>
    <w:rsid w:val="003F1EFE"/>
    <w:rsid w:val="003F2240"/>
    <w:rsid w:val="003F2460"/>
    <w:rsid w:val="003F2E7B"/>
    <w:rsid w:val="003F3CD5"/>
    <w:rsid w:val="003F4473"/>
    <w:rsid w:val="003F4CF5"/>
    <w:rsid w:val="003F4E31"/>
    <w:rsid w:val="003F4F09"/>
    <w:rsid w:val="003F51EE"/>
    <w:rsid w:val="003F574E"/>
    <w:rsid w:val="003F60D6"/>
    <w:rsid w:val="003F68E9"/>
    <w:rsid w:val="003F728C"/>
    <w:rsid w:val="003F7E15"/>
    <w:rsid w:val="003F7FDA"/>
    <w:rsid w:val="00400E65"/>
    <w:rsid w:val="004013AD"/>
    <w:rsid w:val="00401BCF"/>
    <w:rsid w:val="00401E20"/>
    <w:rsid w:val="004021C0"/>
    <w:rsid w:val="004024F9"/>
    <w:rsid w:val="0040268F"/>
    <w:rsid w:val="004028CE"/>
    <w:rsid w:val="0040313D"/>
    <w:rsid w:val="004043FA"/>
    <w:rsid w:val="00404970"/>
    <w:rsid w:val="00405181"/>
    <w:rsid w:val="0040567F"/>
    <w:rsid w:val="00405727"/>
    <w:rsid w:val="00405873"/>
    <w:rsid w:val="00405F09"/>
    <w:rsid w:val="004066F4"/>
    <w:rsid w:val="00406706"/>
    <w:rsid w:val="00406A32"/>
    <w:rsid w:val="0040760B"/>
    <w:rsid w:val="00407BCE"/>
    <w:rsid w:val="00410117"/>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03D"/>
    <w:rsid w:val="00415773"/>
    <w:rsid w:val="00415CAE"/>
    <w:rsid w:val="00415EE7"/>
    <w:rsid w:val="00415FD6"/>
    <w:rsid w:val="004160FA"/>
    <w:rsid w:val="0041669E"/>
    <w:rsid w:val="00416ACA"/>
    <w:rsid w:val="00416C56"/>
    <w:rsid w:val="00417294"/>
    <w:rsid w:val="00417416"/>
    <w:rsid w:val="00417419"/>
    <w:rsid w:val="004176B8"/>
    <w:rsid w:val="00417B99"/>
    <w:rsid w:val="00417CE0"/>
    <w:rsid w:val="00420474"/>
    <w:rsid w:val="004209D5"/>
    <w:rsid w:val="00420FAF"/>
    <w:rsid w:val="00421184"/>
    <w:rsid w:val="004212C1"/>
    <w:rsid w:val="004214B7"/>
    <w:rsid w:val="00421510"/>
    <w:rsid w:val="00421892"/>
    <w:rsid w:val="00421FB5"/>
    <w:rsid w:val="004226ED"/>
    <w:rsid w:val="00422775"/>
    <w:rsid w:val="00422AF4"/>
    <w:rsid w:val="004235F4"/>
    <w:rsid w:val="004236C9"/>
    <w:rsid w:val="00423CF3"/>
    <w:rsid w:val="00423E18"/>
    <w:rsid w:val="004245E4"/>
    <w:rsid w:val="00424B7C"/>
    <w:rsid w:val="00424BE4"/>
    <w:rsid w:val="0042500C"/>
    <w:rsid w:val="00425514"/>
    <w:rsid w:val="004256BD"/>
    <w:rsid w:val="00425863"/>
    <w:rsid w:val="00425D02"/>
    <w:rsid w:val="00425EDC"/>
    <w:rsid w:val="00426C3E"/>
    <w:rsid w:val="00426CF3"/>
    <w:rsid w:val="004275CD"/>
    <w:rsid w:val="00427E74"/>
    <w:rsid w:val="00427FEB"/>
    <w:rsid w:val="00427FF2"/>
    <w:rsid w:val="004305C0"/>
    <w:rsid w:val="00430B20"/>
    <w:rsid w:val="00430B6C"/>
    <w:rsid w:val="0043227C"/>
    <w:rsid w:val="004330B1"/>
    <w:rsid w:val="004335C0"/>
    <w:rsid w:val="00433B34"/>
    <w:rsid w:val="004340EC"/>
    <w:rsid w:val="00435121"/>
    <w:rsid w:val="00435715"/>
    <w:rsid w:val="0043571B"/>
    <w:rsid w:val="00435EE0"/>
    <w:rsid w:val="00435F29"/>
    <w:rsid w:val="0043610C"/>
    <w:rsid w:val="004366FF"/>
    <w:rsid w:val="004371D4"/>
    <w:rsid w:val="004373A3"/>
    <w:rsid w:val="00437D83"/>
    <w:rsid w:val="004401DD"/>
    <w:rsid w:val="00440344"/>
    <w:rsid w:val="00441264"/>
    <w:rsid w:val="00441B0F"/>
    <w:rsid w:val="00441F06"/>
    <w:rsid w:val="004422D5"/>
    <w:rsid w:val="004425C6"/>
    <w:rsid w:val="00443CC7"/>
    <w:rsid w:val="00443D5D"/>
    <w:rsid w:val="00445CBA"/>
    <w:rsid w:val="004463CB"/>
    <w:rsid w:val="004466F7"/>
    <w:rsid w:val="00446858"/>
    <w:rsid w:val="00447304"/>
    <w:rsid w:val="004476F6"/>
    <w:rsid w:val="00447CDD"/>
    <w:rsid w:val="00450127"/>
    <w:rsid w:val="0045075F"/>
    <w:rsid w:val="004516AD"/>
    <w:rsid w:val="00451BA6"/>
    <w:rsid w:val="00451E84"/>
    <w:rsid w:val="00451EA3"/>
    <w:rsid w:val="00451F01"/>
    <w:rsid w:val="00451F2B"/>
    <w:rsid w:val="00454660"/>
    <w:rsid w:val="004546A7"/>
    <w:rsid w:val="00454831"/>
    <w:rsid w:val="004548DF"/>
    <w:rsid w:val="00456889"/>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A4A"/>
    <w:rsid w:val="00466AFD"/>
    <w:rsid w:val="00470696"/>
    <w:rsid w:val="004713A5"/>
    <w:rsid w:val="0047162F"/>
    <w:rsid w:val="00472177"/>
    <w:rsid w:val="00472234"/>
    <w:rsid w:val="004724C9"/>
    <w:rsid w:val="00472585"/>
    <w:rsid w:val="00472EAC"/>
    <w:rsid w:val="0047413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870CE"/>
    <w:rsid w:val="00487D3A"/>
    <w:rsid w:val="00490954"/>
    <w:rsid w:val="0049102F"/>
    <w:rsid w:val="0049277A"/>
    <w:rsid w:val="00492B38"/>
    <w:rsid w:val="00492F73"/>
    <w:rsid w:val="00492FE4"/>
    <w:rsid w:val="00493035"/>
    <w:rsid w:val="0049330F"/>
    <w:rsid w:val="00493321"/>
    <w:rsid w:val="004936DE"/>
    <w:rsid w:val="004949B0"/>
    <w:rsid w:val="00494A50"/>
    <w:rsid w:val="0049544E"/>
    <w:rsid w:val="00495670"/>
    <w:rsid w:val="0049567B"/>
    <w:rsid w:val="0049604B"/>
    <w:rsid w:val="00496636"/>
    <w:rsid w:val="00496666"/>
    <w:rsid w:val="00496AC9"/>
    <w:rsid w:val="004A040E"/>
    <w:rsid w:val="004A042D"/>
    <w:rsid w:val="004A0831"/>
    <w:rsid w:val="004A11E0"/>
    <w:rsid w:val="004A1953"/>
    <w:rsid w:val="004A1FC5"/>
    <w:rsid w:val="004A2158"/>
    <w:rsid w:val="004A2639"/>
    <w:rsid w:val="004A29A5"/>
    <w:rsid w:val="004A3225"/>
    <w:rsid w:val="004A374A"/>
    <w:rsid w:val="004A395B"/>
    <w:rsid w:val="004A3C59"/>
    <w:rsid w:val="004A3FE2"/>
    <w:rsid w:val="004A4195"/>
    <w:rsid w:val="004A480D"/>
    <w:rsid w:val="004A4D76"/>
    <w:rsid w:val="004A53C2"/>
    <w:rsid w:val="004A5851"/>
    <w:rsid w:val="004A5A91"/>
    <w:rsid w:val="004A5B0F"/>
    <w:rsid w:val="004A5CF1"/>
    <w:rsid w:val="004A66E0"/>
    <w:rsid w:val="004A7450"/>
    <w:rsid w:val="004A7AAE"/>
    <w:rsid w:val="004A7D49"/>
    <w:rsid w:val="004A7E52"/>
    <w:rsid w:val="004A7F21"/>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640"/>
    <w:rsid w:val="004B6C77"/>
    <w:rsid w:val="004B6D0A"/>
    <w:rsid w:val="004B6DA4"/>
    <w:rsid w:val="004B794C"/>
    <w:rsid w:val="004B7995"/>
    <w:rsid w:val="004C02B3"/>
    <w:rsid w:val="004C098E"/>
    <w:rsid w:val="004C0BBE"/>
    <w:rsid w:val="004C0E2F"/>
    <w:rsid w:val="004C1705"/>
    <w:rsid w:val="004C19CF"/>
    <w:rsid w:val="004C1D72"/>
    <w:rsid w:val="004C222E"/>
    <w:rsid w:val="004C2561"/>
    <w:rsid w:val="004C25B4"/>
    <w:rsid w:val="004C2806"/>
    <w:rsid w:val="004C30E9"/>
    <w:rsid w:val="004C3A7A"/>
    <w:rsid w:val="004C3ADD"/>
    <w:rsid w:val="004C428E"/>
    <w:rsid w:val="004C441A"/>
    <w:rsid w:val="004C4775"/>
    <w:rsid w:val="004C483D"/>
    <w:rsid w:val="004C48A9"/>
    <w:rsid w:val="004C49B3"/>
    <w:rsid w:val="004C4D05"/>
    <w:rsid w:val="004C4FF6"/>
    <w:rsid w:val="004C56E1"/>
    <w:rsid w:val="004C590B"/>
    <w:rsid w:val="004C6017"/>
    <w:rsid w:val="004C63C7"/>
    <w:rsid w:val="004C6D39"/>
    <w:rsid w:val="004C6D98"/>
    <w:rsid w:val="004C7217"/>
    <w:rsid w:val="004C7743"/>
    <w:rsid w:val="004C77A7"/>
    <w:rsid w:val="004C7AEC"/>
    <w:rsid w:val="004D039E"/>
    <w:rsid w:val="004D04A3"/>
    <w:rsid w:val="004D0C9F"/>
    <w:rsid w:val="004D15FD"/>
    <w:rsid w:val="004D1856"/>
    <w:rsid w:val="004D1A0A"/>
    <w:rsid w:val="004D2369"/>
    <w:rsid w:val="004D2485"/>
    <w:rsid w:val="004D25D5"/>
    <w:rsid w:val="004D3A57"/>
    <w:rsid w:val="004D3FC8"/>
    <w:rsid w:val="004D47FF"/>
    <w:rsid w:val="004D4D35"/>
    <w:rsid w:val="004D518F"/>
    <w:rsid w:val="004D54D7"/>
    <w:rsid w:val="004D5BB7"/>
    <w:rsid w:val="004D6053"/>
    <w:rsid w:val="004D6FA4"/>
    <w:rsid w:val="004D7C23"/>
    <w:rsid w:val="004E01C6"/>
    <w:rsid w:val="004E0212"/>
    <w:rsid w:val="004E0ADC"/>
    <w:rsid w:val="004E0FB1"/>
    <w:rsid w:val="004E1043"/>
    <w:rsid w:val="004E1DCA"/>
    <w:rsid w:val="004E21B4"/>
    <w:rsid w:val="004E22F0"/>
    <w:rsid w:val="004E252B"/>
    <w:rsid w:val="004E2861"/>
    <w:rsid w:val="004E2A85"/>
    <w:rsid w:val="004E3F72"/>
    <w:rsid w:val="004E4A78"/>
    <w:rsid w:val="004E4CB2"/>
    <w:rsid w:val="004E551E"/>
    <w:rsid w:val="004E584D"/>
    <w:rsid w:val="004E58F6"/>
    <w:rsid w:val="004E5E37"/>
    <w:rsid w:val="004E5E4C"/>
    <w:rsid w:val="004E5F79"/>
    <w:rsid w:val="004E5F8E"/>
    <w:rsid w:val="004E623E"/>
    <w:rsid w:val="004E6589"/>
    <w:rsid w:val="004E6CF9"/>
    <w:rsid w:val="004E7152"/>
    <w:rsid w:val="004E734E"/>
    <w:rsid w:val="004E7B92"/>
    <w:rsid w:val="004E7EC0"/>
    <w:rsid w:val="004E7F48"/>
    <w:rsid w:val="004F014E"/>
    <w:rsid w:val="004F023B"/>
    <w:rsid w:val="004F0BC6"/>
    <w:rsid w:val="004F1123"/>
    <w:rsid w:val="004F12D3"/>
    <w:rsid w:val="004F1715"/>
    <w:rsid w:val="004F17DA"/>
    <w:rsid w:val="004F1ECD"/>
    <w:rsid w:val="004F355B"/>
    <w:rsid w:val="004F3A2F"/>
    <w:rsid w:val="004F3BD2"/>
    <w:rsid w:val="004F4372"/>
    <w:rsid w:val="004F43E0"/>
    <w:rsid w:val="004F45EB"/>
    <w:rsid w:val="004F5079"/>
    <w:rsid w:val="004F5132"/>
    <w:rsid w:val="004F521B"/>
    <w:rsid w:val="004F52BB"/>
    <w:rsid w:val="004F5582"/>
    <w:rsid w:val="004F56B1"/>
    <w:rsid w:val="004F59B8"/>
    <w:rsid w:val="004F62A7"/>
    <w:rsid w:val="004F62C7"/>
    <w:rsid w:val="004F62F9"/>
    <w:rsid w:val="004F66B3"/>
    <w:rsid w:val="004F6FA7"/>
    <w:rsid w:val="004F72DA"/>
    <w:rsid w:val="004F7352"/>
    <w:rsid w:val="004F7889"/>
    <w:rsid w:val="004F7E84"/>
    <w:rsid w:val="0050015C"/>
    <w:rsid w:val="00500418"/>
    <w:rsid w:val="00500CCF"/>
    <w:rsid w:val="00500E62"/>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395"/>
    <w:rsid w:val="005059B9"/>
    <w:rsid w:val="00505F64"/>
    <w:rsid w:val="005067F9"/>
    <w:rsid w:val="00506DCD"/>
    <w:rsid w:val="00507325"/>
    <w:rsid w:val="00507583"/>
    <w:rsid w:val="00507C56"/>
    <w:rsid w:val="00507F13"/>
    <w:rsid w:val="005109D4"/>
    <w:rsid w:val="00510C7B"/>
    <w:rsid w:val="00510CF4"/>
    <w:rsid w:val="0051160A"/>
    <w:rsid w:val="005118BA"/>
    <w:rsid w:val="00511B37"/>
    <w:rsid w:val="00511C56"/>
    <w:rsid w:val="00512385"/>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4EED"/>
    <w:rsid w:val="0052575D"/>
    <w:rsid w:val="005259FC"/>
    <w:rsid w:val="00525A53"/>
    <w:rsid w:val="005260F1"/>
    <w:rsid w:val="00526569"/>
    <w:rsid w:val="00526726"/>
    <w:rsid w:val="00526F91"/>
    <w:rsid w:val="00527256"/>
    <w:rsid w:val="00527934"/>
    <w:rsid w:val="00527B57"/>
    <w:rsid w:val="00527C8D"/>
    <w:rsid w:val="00527C9C"/>
    <w:rsid w:val="005308D1"/>
    <w:rsid w:val="00530AC4"/>
    <w:rsid w:val="00530CC6"/>
    <w:rsid w:val="00531F7B"/>
    <w:rsid w:val="00532064"/>
    <w:rsid w:val="00532451"/>
    <w:rsid w:val="0053268A"/>
    <w:rsid w:val="0053309E"/>
    <w:rsid w:val="00533169"/>
    <w:rsid w:val="00533194"/>
    <w:rsid w:val="005332C8"/>
    <w:rsid w:val="00534021"/>
    <w:rsid w:val="0053442D"/>
    <w:rsid w:val="0053464E"/>
    <w:rsid w:val="00534CBD"/>
    <w:rsid w:val="005352C8"/>
    <w:rsid w:val="005354C1"/>
    <w:rsid w:val="00535F99"/>
    <w:rsid w:val="005361DE"/>
    <w:rsid w:val="00536356"/>
    <w:rsid w:val="00536CBB"/>
    <w:rsid w:val="00536DDD"/>
    <w:rsid w:val="00537033"/>
    <w:rsid w:val="00537D97"/>
    <w:rsid w:val="00540A37"/>
    <w:rsid w:val="00540B49"/>
    <w:rsid w:val="005418DB"/>
    <w:rsid w:val="0054230B"/>
    <w:rsid w:val="00542967"/>
    <w:rsid w:val="005434EA"/>
    <w:rsid w:val="0054351E"/>
    <w:rsid w:val="00543A04"/>
    <w:rsid w:val="00544ABA"/>
    <w:rsid w:val="00545D55"/>
    <w:rsid w:val="005461AB"/>
    <w:rsid w:val="00546C6A"/>
    <w:rsid w:val="00546FBA"/>
    <w:rsid w:val="00547F04"/>
    <w:rsid w:val="00550924"/>
    <w:rsid w:val="00550D63"/>
    <w:rsid w:val="00550EF1"/>
    <w:rsid w:val="00551075"/>
    <w:rsid w:val="005513C8"/>
    <w:rsid w:val="0055236E"/>
    <w:rsid w:val="0055352C"/>
    <w:rsid w:val="005538A6"/>
    <w:rsid w:val="00554E09"/>
    <w:rsid w:val="00554F94"/>
    <w:rsid w:val="00555161"/>
    <w:rsid w:val="00555A59"/>
    <w:rsid w:val="00555DE6"/>
    <w:rsid w:val="00555EB3"/>
    <w:rsid w:val="005567F6"/>
    <w:rsid w:val="00556E29"/>
    <w:rsid w:val="00557474"/>
    <w:rsid w:val="00557DAA"/>
    <w:rsid w:val="00557DAD"/>
    <w:rsid w:val="00561138"/>
    <w:rsid w:val="00561699"/>
    <w:rsid w:val="0056187E"/>
    <w:rsid w:val="0056194F"/>
    <w:rsid w:val="005619E1"/>
    <w:rsid w:val="00562629"/>
    <w:rsid w:val="005628FE"/>
    <w:rsid w:val="0056364B"/>
    <w:rsid w:val="005637AE"/>
    <w:rsid w:val="00563D49"/>
    <w:rsid w:val="00564191"/>
    <w:rsid w:val="00564557"/>
    <w:rsid w:val="0056458C"/>
    <w:rsid w:val="00564628"/>
    <w:rsid w:val="005648B9"/>
    <w:rsid w:val="00564A3C"/>
    <w:rsid w:val="00564F82"/>
    <w:rsid w:val="00564FF6"/>
    <w:rsid w:val="005653AF"/>
    <w:rsid w:val="00565501"/>
    <w:rsid w:val="00565523"/>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6EE"/>
    <w:rsid w:val="00573B5B"/>
    <w:rsid w:val="00573F55"/>
    <w:rsid w:val="00574070"/>
    <w:rsid w:val="005743B5"/>
    <w:rsid w:val="00575148"/>
    <w:rsid w:val="0057540E"/>
    <w:rsid w:val="005757B6"/>
    <w:rsid w:val="005761E2"/>
    <w:rsid w:val="0058000F"/>
    <w:rsid w:val="00580557"/>
    <w:rsid w:val="0058074F"/>
    <w:rsid w:val="00580A76"/>
    <w:rsid w:val="00581042"/>
    <w:rsid w:val="00581703"/>
    <w:rsid w:val="00581B15"/>
    <w:rsid w:val="005821DD"/>
    <w:rsid w:val="005833B5"/>
    <w:rsid w:val="00583908"/>
    <w:rsid w:val="00583AB6"/>
    <w:rsid w:val="00583C9C"/>
    <w:rsid w:val="00584757"/>
    <w:rsid w:val="00584E21"/>
    <w:rsid w:val="00585194"/>
    <w:rsid w:val="0058608B"/>
    <w:rsid w:val="005863C1"/>
    <w:rsid w:val="0058654D"/>
    <w:rsid w:val="00586786"/>
    <w:rsid w:val="005875F2"/>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F17"/>
    <w:rsid w:val="00595F3D"/>
    <w:rsid w:val="00595F89"/>
    <w:rsid w:val="005960C7"/>
    <w:rsid w:val="005963FB"/>
    <w:rsid w:val="00596873"/>
    <w:rsid w:val="00596BB3"/>
    <w:rsid w:val="00596BD4"/>
    <w:rsid w:val="00596FA8"/>
    <w:rsid w:val="005971A7"/>
    <w:rsid w:val="00597310"/>
    <w:rsid w:val="005977AB"/>
    <w:rsid w:val="005A01C5"/>
    <w:rsid w:val="005A0532"/>
    <w:rsid w:val="005A071C"/>
    <w:rsid w:val="005A07E7"/>
    <w:rsid w:val="005A0A57"/>
    <w:rsid w:val="005A0B9F"/>
    <w:rsid w:val="005A0DBB"/>
    <w:rsid w:val="005A0EBD"/>
    <w:rsid w:val="005A1246"/>
    <w:rsid w:val="005A1270"/>
    <w:rsid w:val="005A1295"/>
    <w:rsid w:val="005A1FBF"/>
    <w:rsid w:val="005A1FD5"/>
    <w:rsid w:val="005A25CA"/>
    <w:rsid w:val="005A29B1"/>
    <w:rsid w:val="005A2EBF"/>
    <w:rsid w:val="005A3750"/>
    <w:rsid w:val="005A380B"/>
    <w:rsid w:val="005A4890"/>
    <w:rsid w:val="005A49D4"/>
    <w:rsid w:val="005A4D7C"/>
    <w:rsid w:val="005A51C9"/>
    <w:rsid w:val="005A59DA"/>
    <w:rsid w:val="005A5A96"/>
    <w:rsid w:val="005A5D7F"/>
    <w:rsid w:val="005A5DC0"/>
    <w:rsid w:val="005A65C3"/>
    <w:rsid w:val="005A6B6D"/>
    <w:rsid w:val="005A6ED5"/>
    <w:rsid w:val="005A6F0E"/>
    <w:rsid w:val="005A6F57"/>
    <w:rsid w:val="005A7235"/>
    <w:rsid w:val="005A795B"/>
    <w:rsid w:val="005A7BAF"/>
    <w:rsid w:val="005B00FD"/>
    <w:rsid w:val="005B05FA"/>
    <w:rsid w:val="005B0652"/>
    <w:rsid w:val="005B10AE"/>
    <w:rsid w:val="005B1213"/>
    <w:rsid w:val="005B1B55"/>
    <w:rsid w:val="005B1DBD"/>
    <w:rsid w:val="005B26B0"/>
    <w:rsid w:val="005B3EBD"/>
    <w:rsid w:val="005B3F0C"/>
    <w:rsid w:val="005B48E8"/>
    <w:rsid w:val="005B564F"/>
    <w:rsid w:val="005B56D9"/>
    <w:rsid w:val="005B5BA3"/>
    <w:rsid w:val="005B5E62"/>
    <w:rsid w:val="005B6908"/>
    <w:rsid w:val="005B6DBE"/>
    <w:rsid w:val="005B7668"/>
    <w:rsid w:val="005B7E97"/>
    <w:rsid w:val="005B7F46"/>
    <w:rsid w:val="005C059E"/>
    <w:rsid w:val="005C07D2"/>
    <w:rsid w:val="005C09A7"/>
    <w:rsid w:val="005C0EA8"/>
    <w:rsid w:val="005C102D"/>
    <w:rsid w:val="005C132C"/>
    <w:rsid w:val="005C1742"/>
    <w:rsid w:val="005C17FB"/>
    <w:rsid w:val="005C1833"/>
    <w:rsid w:val="005C1838"/>
    <w:rsid w:val="005C18C2"/>
    <w:rsid w:val="005C2063"/>
    <w:rsid w:val="005C22F5"/>
    <w:rsid w:val="005C244F"/>
    <w:rsid w:val="005C2767"/>
    <w:rsid w:val="005C2922"/>
    <w:rsid w:val="005C2C01"/>
    <w:rsid w:val="005C2F60"/>
    <w:rsid w:val="005C323D"/>
    <w:rsid w:val="005C33F1"/>
    <w:rsid w:val="005C3772"/>
    <w:rsid w:val="005C39C3"/>
    <w:rsid w:val="005C4229"/>
    <w:rsid w:val="005C4580"/>
    <w:rsid w:val="005C5065"/>
    <w:rsid w:val="005C52F3"/>
    <w:rsid w:val="005C564C"/>
    <w:rsid w:val="005C6234"/>
    <w:rsid w:val="005C636F"/>
    <w:rsid w:val="005C64DC"/>
    <w:rsid w:val="005C6605"/>
    <w:rsid w:val="005C6CCB"/>
    <w:rsid w:val="005C71A0"/>
    <w:rsid w:val="005C7802"/>
    <w:rsid w:val="005C7B50"/>
    <w:rsid w:val="005D029E"/>
    <w:rsid w:val="005D0427"/>
    <w:rsid w:val="005D0776"/>
    <w:rsid w:val="005D07AE"/>
    <w:rsid w:val="005D08FD"/>
    <w:rsid w:val="005D0AA2"/>
    <w:rsid w:val="005D0C83"/>
    <w:rsid w:val="005D113B"/>
    <w:rsid w:val="005D14CC"/>
    <w:rsid w:val="005D1732"/>
    <w:rsid w:val="005D2D9A"/>
    <w:rsid w:val="005D3A6E"/>
    <w:rsid w:val="005D3B21"/>
    <w:rsid w:val="005D4019"/>
    <w:rsid w:val="005D41DC"/>
    <w:rsid w:val="005D460F"/>
    <w:rsid w:val="005D4631"/>
    <w:rsid w:val="005D4DC5"/>
    <w:rsid w:val="005D5442"/>
    <w:rsid w:val="005D5B70"/>
    <w:rsid w:val="005D5C22"/>
    <w:rsid w:val="005D5E6C"/>
    <w:rsid w:val="005D63A9"/>
    <w:rsid w:val="005D65AF"/>
    <w:rsid w:val="005D65D5"/>
    <w:rsid w:val="005D6C56"/>
    <w:rsid w:val="005D6CED"/>
    <w:rsid w:val="005D6F49"/>
    <w:rsid w:val="005D7E8A"/>
    <w:rsid w:val="005E06FA"/>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979"/>
    <w:rsid w:val="005F0A62"/>
    <w:rsid w:val="005F0FA8"/>
    <w:rsid w:val="005F1282"/>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5D9"/>
    <w:rsid w:val="005F6768"/>
    <w:rsid w:val="005F69CF"/>
    <w:rsid w:val="005F6E39"/>
    <w:rsid w:val="005F6E58"/>
    <w:rsid w:val="005F7031"/>
    <w:rsid w:val="005F704C"/>
    <w:rsid w:val="005F7A22"/>
    <w:rsid w:val="005F7B9D"/>
    <w:rsid w:val="00600501"/>
    <w:rsid w:val="00600B0C"/>
    <w:rsid w:val="0060233D"/>
    <w:rsid w:val="00602DFA"/>
    <w:rsid w:val="006031D1"/>
    <w:rsid w:val="006033BF"/>
    <w:rsid w:val="00603702"/>
    <w:rsid w:val="00603B4B"/>
    <w:rsid w:val="00603F20"/>
    <w:rsid w:val="006046A9"/>
    <w:rsid w:val="0060471B"/>
    <w:rsid w:val="00604868"/>
    <w:rsid w:val="00604F37"/>
    <w:rsid w:val="0060508A"/>
    <w:rsid w:val="0060559A"/>
    <w:rsid w:val="006055AF"/>
    <w:rsid w:val="006056E2"/>
    <w:rsid w:val="00605942"/>
    <w:rsid w:val="00605C9F"/>
    <w:rsid w:val="006068E8"/>
    <w:rsid w:val="00606ADB"/>
    <w:rsid w:val="006072DE"/>
    <w:rsid w:val="006075F4"/>
    <w:rsid w:val="006078A8"/>
    <w:rsid w:val="00607BAD"/>
    <w:rsid w:val="00607EC7"/>
    <w:rsid w:val="006102BC"/>
    <w:rsid w:val="0061048A"/>
    <w:rsid w:val="00610AE7"/>
    <w:rsid w:val="00611178"/>
    <w:rsid w:val="0061148D"/>
    <w:rsid w:val="00611D01"/>
    <w:rsid w:val="006122EC"/>
    <w:rsid w:val="006124B3"/>
    <w:rsid w:val="00612611"/>
    <w:rsid w:val="0061279A"/>
    <w:rsid w:val="00612A10"/>
    <w:rsid w:val="00613009"/>
    <w:rsid w:val="006130D0"/>
    <w:rsid w:val="006132EA"/>
    <w:rsid w:val="00613481"/>
    <w:rsid w:val="00613CA5"/>
    <w:rsid w:val="0061401C"/>
    <w:rsid w:val="0061420B"/>
    <w:rsid w:val="00614518"/>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6F3"/>
    <w:rsid w:val="006207F4"/>
    <w:rsid w:val="00620C67"/>
    <w:rsid w:val="00621646"/>
    <w:rsid w:val="00621803"/>
    <w:rsid w:val="00621A34"/>
    <w:rsid w:val="006220F1"/>
    <w:rsid w:val="00622E22"/>
    <w:rsid w:val="00623E46"/>
    <w:rsid w:val="00624604"/>
    <w:rsid w:val="0062469C"/>
    <w:rsid w:val="00624D2C"/>
    <w:rsid w:val="00624F7F"/>
    <w:rsid w:val="00625142"/>
    <w:rsid w:val="00625145"/>
    <w:rsid w:val="00626768"/>
    <w:rsid w:val="00626F9D"/>
    <w:rsid w:val="00627402"/>
    <w:rsid w:val="00627403"/>
    <w:rsid w:val="00627474"/>
    <w:rsid w:val="00627A61"/>
    <w:rsid w:val="00627CEA"/>
    <w:rsid w:val="00627E37"/>
    <w:rsid w:val="00630480"/>
    <w:rsid w:val="0063058E"/>
    <w:rsid w:val="006305F8"/>
    <w:rsid w:val="00630B6F"/>
    <w:rsid w:val="0063197B"/>
    <w:rsid w:val="006319D0"/>
    <w:rsid w:val="00631DA7"/>
    <w:rsid w:val="006327BB"/>
    <w:rsid w:val="00632B9C"/>
    <w:rsid w:val="00632F18"/>
    <w:rsid w:val="006332D7"/>
    <w:rsid w:val="0063333D"/>
    <w:rsid w:val="00634225"/>
    <w:rsid w:val="00635003"/>
    <w:rsid w:val="006351CE"/>
    <w:rsid w:val="0063524A"/>
    <w:rsid w:val="006352FD"/>
    <w:rsid w:val="00635B15"/>
    <w:rsid w:val="00636037"/>
    <w:rsid w:val="006362E1"/>
    <w:rsid w:val="006367DA"/>
    <w:rsid w:val="00636F62"/>
    <w:rsid w:val="006370E1"/>
    <w:rsid w:val="00637382"/>
    <w:rsid w:val="006375B2"/>
    <w:rsid w:val="006375BB"/>
    <w:rsid w:val="0064025A"/>
    <w:rsid w:val="00640285"/>
    <w:rsid w:val="006409EE"/>
    <w:rsid w:val="00640BF7"/>
    <w:rsid w:val="00640F55"/>
    <w:rsid w:val="00640FFF"/>
    <w:rsid w:val="00641761"/>
    <w:rsid w:val="006419AF"/>
    <w:rsid w:val="006425FC"/>
    <w:rsid w:val="00642631"/>
    <w:rsid w:val="00642DF5"/>
    <w:rsid w:val="0064304A"/>
    <w:rsid w:val="006433B1"/>
    <w:rsid w:val="0064380B"/>
    <w:rsid w:val="00643A4F"/>
    <w:rsid w:val="00643FF5"/>
    <w:rsid w:val="006441FD"/>
    <w:rsid w:val="00644E5A"/>
    <w:rsid w:val="00644F2C"/>
    <w:rsid w:val="00645065"/>
    <w:rsid w:val="006450DD"/>
    <w:rsid w:val="00645141"/>
    <w:rsid w:val="0064552B"/>
    <w:rsid w:val="00645AEE"/>
    <w:rsid w:val="00646428"/>
    <w:rsid w:val="00646AFD"/>
    <w:rsid w:val="0064707F"/>
    <w:rsid w:val="006471E8"/>
    <w:rsid w:val="00647B6D"/>
    <w:rsid w:val="00647E90"/>
    <w:rsid w:val="00647FA3"/>
    <w:rsid w:val="006500F7"/>
    <w:rsid w:val="00650769"/>
    <w:rsid w:val="00650DB2"/>
    <w:rsid w:val="0065106D"/>
    <w:rsid w:val="006516B7"/>
    <w:rsid w:val="006518E4"/>
    <w:rsid w:val="006519F4"/>
    <w:rsid w:val="00651DB3"/>
    <w:rsid w:val="00651FB8"/>
    <w:rsid w:val="0065203F"/>
    <w:rsid w:val="006520D5"/>
    <w:rsid w:val="0065239B"/>
    <w:rsid w:val="00652BA0"/>
    <w:rsid w:val="00653045"/>
    <w:rsid w:val="0065349A"/>
    <w:rsid w:val="0065350E"/>
    <w:rsid w:val="00653A25"/>
    <w:rsid w:val="00653D81"/>
    <w:rsid w:val="00653D93"/>
    <w:rsid w:val="00653FDA"/>
    <w:rsid w:val="006541A0"/>
    <w:rsid w:val="00654E99"/>
    <w:rsid w:val="00655104"/>
    <w:rsid w:val="0065548F"/>
    <w:rsid w:val="00655633"/>
    <w:rsid w:val="006559BB"/>
    <w:rsid w:val="00655D93"/>
    <w:rsid w:val="00655E86"/>
    <w:rsid w:val="00656614"/>
    <w:rsid w:val="00656C4D"/>
    <w:rsid w:val="006573A9"/>
    <w:rsid w:val="006577CD"/>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C45"/>
    <w:rsid w:val="00663D0F"/>
    <w:rsid w:val="00664525"/>
    <w:rsid w:val="0066465B"/>
    <w:rsid w:val="00664C81"/>
    <w:rsid w:val="0066521A"/>
    <w:rsid w:val="0066540C"/>
    <w:rsid w:val="006656B3"/>
    <w:rsid w:val="00665EAE"/>
    <w:rsid w:val="006661EA"/>
    <w:rsid w:val="00666909"/>
    <w:rsid w:val="00666EBC"/>
    <w:rsid w:val="00667189"/>
    <w:rsid w:val="0066749E"/>
    <w:rsid w:val="00667CCB"/>
    <w:rsid w:val="00667EFD"/>
    <w:rsid w:val="00670475"/>
    <w:rsid w:val="00670B8C"/>
    <w:rsid w:val="00670C4A"/>
    <w:rsid w:val="00670C4E"/>
    <w:rsid w:val="006712FE"/>
    <w:rsid w:val="00671F3E"/>
    <w:rsid w:val="0067221D"/>
    <w:rsid w:val="00672482"/>
    <w:rsid w:val="00672A18"/>
    <w:rsid w:val="006735D0"/>
    <w:rsid w:val="00673753"/>
    <w:rsid w:val="006739E9"/>
    <w:rsid w:val="00674D52"/>
    <w:rsid w:val="00674F93"/>
    <w:rsid w:val="0067546F"/>
    <w:rsid w:val="00676287"/>
    <w:rsid w:val="0067669B"/>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476"/>
    <w:rsid w:val="0068379B"/>
    <w:rsid w:val="00683D98"/>
    <w:rsid w:val="00683D99"/>
    <w:rsid w:val="00684079"/>
    <w:rsid w:val="006848EE"/>
    <w:rsid w:val="0068629B"/>
    <w:rsid w:val="00686425"/>
    <w:rsid w:val="00686C12"/>
    <w:rsid w:val="00686C73"/>
    <w:rsid w:val="00686D19"/>
    <w:rsid w:val="00686D75"/>
    <w:rsid w:val="00686E51"/>
    <w:rsid w:val="0068736A"/>
    <w:rsid w:val="00687D17"/>
    <w:rsid w:val="00690024"/>
    <w:rsid w:val="006903A4"/>
    <w:rsid w:val="00690AD8"/>
    <w:rsid w:val="00690CAA"/>
    <w:rsid w:val="00690EFB"/>
    <w:rsid w:val="0069137B"/>
    <w:rsid w:val="006913EC"/>
    <w:rsid w:val="006914B7"/>
    <w:rsid w:val="00691742"/>
    <w:rsid w:val="00691DEE"/>
    <w:rsid w:val="00692242"/>
    <w:rsid w:val="0069236E"/>
    <w:rsid w:val="00692704"/>
    <w:rsid w:val="00692E67"/>
    <w:rsid w:val="00693194"/>
    <w:rsid w:val="00693ACF"/>
    <w:rsid w:val="00693EE5"/>
    <w:rsid w:val="00694487"/>
    <w:rsid w:val="006944C5"/>
    <w:rsid w:val="00694B8D"/>
    <w:rsid w:val="0069532F"/>
    <w:rsid w:val="0069561C"/>
    <w:rsid w:val="00695634"/>
    <w:rsid w:val="0069600D"/>
    <w:rsid w:val="006963AE"/>
    <w:rsid w:val="00697053"/>
    <w:rsid w:val="00697BBA"/>
    <w:rsid w:val="006A0320"/>
    <w:rsid w:val="006A066A"/>
    <w:rsid w:val="006A06CA"/>
    <w:rsid w:val="006A083E"/>
    <w:rsid w:val="006A0964"/>
    <w:rsid w:val="006A0FFD"/>
    <w:rsid w:val="006A1170"/>
    <w:rsid w:val="006A14A3"/>
    <w:rsid w:val="006A159D"/>
    <w:rsid w:val="006A18BF"/>
    <w:rsid w:val="006A1F58"/>
    <w:rsid w:val="006A242E"/>
    <w:rsid w:val="006A26AB"/>
    <w:rsid w:val="006A298D"/>
    <w:rsid w:val="006A2F80"/>
    <w:rsid w:val="006A3A48"/>
    <w:rsid w:val="006A3FD6"/>
    <w:rsid w:val="006A4076"/>
    <w:rsid w:val="006A436F"/>
    <w:rsid w:val="006A4ABF"/>
    <w:rsid w:val="006A4E5B"/>
    <w:rsid w:val="006A59D8"/>
    <w:rsid w:val="006A6B7B"/>
    <w:rsid w:val="006A78F8"/>
    <w:rsid w:val="006A7C26"/>
    <w:rsid w:val="006A7E27"/>
    <w:rsid w:val="006B010E"/>
    <w:rsid w:val="006B03CA"/>
    <w:rsid w:val="006B091F"/>
    <w:rsid w:val="006B0CAF"/>
    <w:rsid w:val="006B0ED0"/>
    <w:rsid w:val="006B0EED"/>
    <w:rsid w:val="006B147E"/>
    <w:rsid w:val="006B16F9"/>
    <w:rsid w:val="006B1B52"/>
    <w:rsid w:val="006B1DF6"/>
    <w:rsid w:val="006B233F"/>
    <w:rsid w:val="006B275E"/>
    <w:rsid w:val="006B28EA"/>
    <w:rsid w:val="006B2DA3"/>
    <w:rsid w:val="006B2FBB"/>
    <w:rsid w:val="006B378A"/>
    <w:rsid w:val="006B3BD5"/>
    <w:rsid w:val="006B40BE"/>
    <w:rsid w:val="006B4185"/>
    <w:rsid w:val="006B4224"/>
    <w:rsid w:val="006B4493"/>
    <w:rsid w:val="006B4B62"/>
    <w:rsid w:val="006B53DC"/>
    <w:rsid w:val="006B5423"/>
    <w:rsid w:val="006B5855"/>
    <w:rsid w:val="006B5AB2"/>
    <w:rsid w:val="006B5C67"/>
    <w:rsid w:val="006B6B5D"/>
    <w:rsid w:val="006B6BF6"/>
    <w:rsid w:val="006B6C0D"/>
    <w:rsid w:val="006B70CF"/>
    <w:rsid w:val="006B7657"/>
    <w:rsid w:val="006C10B3"/>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D0028"/>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7098"/>
    <w:rsid w:val="006D740E"/>
    <w:rsid w:val="006D7F72"/>
    <w:rsid w:val="006E00B7"/>
    <w:rsid w:val="006E0E5B"/>
    <w:rsid w:val="006E1241"/>
    <w:rsid w:val="006E2562"/>
    <w:rsid w:val="006E3023"/>
    <w:rsid w:val="006E3369"/>
    <w:rsid w:val="006E3435"/>
    <w:rsid w:val="006E3D12"/>
    <w:rsid w:val="006E449C"/>
    <w:rsid w:val="006E4726"/>
    <w:rsid w:val="006E4E72"/>
    <w:rsid w:val="006E50D0"/>
    <w:rsid w:val="006E663E"/>
    <w:rsid w:val="006E6EDF"/>
    <w:rsid w:val="006E7BA5"/>
    <w:rsid w:val="006F01E8"/>
    <w:rsid w:val="006F02D7"/>
    <w:rsid w:val="006F03EC"/>
    <w:rsid w:val="006F059F"/>
    <w:rsid w:val="006F0EBB"/>
    <w:rsid w:val="006F1E96"/>
    <w:rsid w:val="006F2D24"/>
    <w:rsid w:val="006F352A"/>
    <w:rsid w:val="006F35A1"/>
    <w:rsid w:val="006F37F7"/>
    <w:rsid w:val="006F3909"/>
    <w:rsid w:val="006F4036"/>
    <w:rsid w:val="006F428E"/>
    <w:rsid w:val="006F4605"/>
    <w:rsid w:val="006F48E1"/>
    <w:rsid w:val="006F4FA0"/>
    <w:rsid w:val="006F5096"/>
    <w:rsid w:val="006F5160"/>
    <w:rsid w:val="006F5374"/>
    <w:rsid w:val="006F57D7"/>
    <w:rsid w:val="006F5ABA"/>
    <w:rsid w:val="006F5C15"/>
    <w:rsid w:val="006F60DF"/>
    <w:rsid w:val="006F64DE"/>
    <w:rsid w:val="006F6766"/>
    <w:rsid w:val="006F68C1"/>
    <w:rsid w:val="006F6CE2"/>
    <w:rsid w:val="006F6E10"/>
    <w:rsid w:val="007009F9"/>
    <w:rsid w:val="007014F8"/>
    <w:rsid w:val="0070150D"/>
    <w:rsid w:val="007016D2"/>
    <w:rsid w:val="007018D8"/>
    <w:rsid w:val="00701979"/>
    <w:rsid w:val="00701C6E"/>
    <w:rsid w:val="007029E8"/>
    <w:rsid w:val="00703107"/>
    <w:rsid w:val="00703138"/>
    <w:rsid w:val="00703277"/>
    <w:rsid w:val="0070356D"/>
    <w:rsid w:val="00703981"/>
    <w:rsid w:val="00703CDF"/>
    <w:rsid w:val="00703D7E"/>
    <w:rsid w:val="00703F24"/>
    <w:rsid w:val="007045CB"/>
    <w:rsid w:val="0070495F"/>
    <w:rsid w:val="00704B6E"/>
    <w:rsid w:val="00704F73"/>
    <w:rsid w:val="0070508D"/>
    <w:rsid w:val="0070542E"/>
    <w:rsid w:val="0070604A"/>
    <w:rsid w:val="007060D4"/>
    <w:rsid w:val="0070624C"/>
    <w:rsid w:val="00706451"/>
    <w:rsid w:val="007076F6"/>
    <w:rsid w:val="00707B32"/>
    <w:rsid w:val="00707E0F"/>
    <w:rsid w:val="0071068A"/>
    <w:rsid w:val="00710E19"/>
    <w:rsid w:val="00710E52"/>
    <w:rsid w:val="007114C9"/>
    <w:rsid w:val="0071154B"/>
    <w:rsid w:val="0071174F"/>
    <w:rsid w:val="0071196A"/>
    <w:rsid w:val="00711B11"/>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3C3"/>
    <w:rsid w:val="00723C95"/>
    <w:rsid w:val="007244E7"/>
    <w:rsid w:val="0072505F"/>
    <w:rsid w:val="007251B4"/>
    <w:rsid w:val="00725B00"/>
    <w:rsid w:val="0072680C"/>
    <w:rsid w:val="00726B3D"/>
    <w:rsid w:val="00726C64"/>
    <w:rsid w:val="0072789E"/>
    <w:rsid w:val="00730DDD"/>
    <w:rsid w:val="007310B7"/>
    <w:rsid w:val="00731237"/>
    <w:rsid w:val="00731A22"/>
    <w:rsid w:val="0073207E"/>
    <w:rsid w:val="00732523"/>
    <w:rsid w:val="0073254B"/>
    <w:rsid w:val="00732664"/>
    <w:rsid w:val="00732BA7"/>
    <w:rsid w:val="007333EA"/>
    <w:rsid w:val="00733601"/>
    <w:rsid w:val="00733A57"/>
    <w:rsid w:val="00733F36"/>
    <w:rsid w:val="007340CE"/>
    <w:rsid w:val="00734781"/>
    <w:rsid w:val="007349FC"/>
    <w:rsid w:val="00734B6F"/>
    <w:rsid w:val="007351A5"/>
    <w:rsid w:val="00735293"/>
    <w:rsid w:val="00735376"/>
    <w:rsid w:val="007363EA"/>
    <w:rsid w:val="007365BF"/>
    <w:rsid w:val="00736A02"/>
    <w:rsid w:val="00736E06"/>
    <w:rsid w:val="00736E37"/>
    <w:rsid w:val="00737286"/>
    <w:rsid w:val="007373DB"/>
    <w:rsid w:val="00737847"/>
    <w:rsid w:val="00737F27"/>
    <w:rsid w:val="00737FD3"/>
    <w:rsid w:val="00740240"/>
    <w:rsid w:val="007407DB"/>
    <w:rsid w:val="00740BFC"/>
    <w:rsid w:val="00740F76"/>
    <w:rsid w:val="00741037"/>
    <w:rsid w:val="00741447"/>
    <w:rsid w:val="007422B3"/>
    <w:rsid w:val="007424BF"/>
    <w:rsid w:val="007435F1"/>
    <w:rsid w:val="00743BC1"/>
    <w:rsid w:val="00743DDD"/>
    <w:rsid w:val="00744625"/>
    <w:rsid w:val="007446BB"/>
    <w:rsid w:val="00744AF1"/>
    <w:rsid w:val="00744F11"/>
    <w:rsid w:val="00745156"/>
    <w:rsid w:val="00745882"/>
    <w:rsid w:val="00745A04"/>
    <w:rsid w:val="00745A0F"/>
    <w:rsid w:val="00745DA7"/>
    <w:rsid w:val="00745DFD"/>
    <w:rsid w:val="00746197"/>
    <w:rsid w:val="0074689C"/>
    <w:rsid w:val="00746B3F"/>
    <w:rsid w:val="00747117"/>
    <w:rsid w:val="007479C2"/>
    <w:rsid w:val="00747B0D"/>
    <w:rsid w:val="00751452"/>
    <w:rsid w:val="007521A5"/>
    <w:rsid w:val="00752D54"/>
    <w:rsid w:val="00752E99"/>
    <w:rsid w:val="00753959"/>
    <w:rsid w:val="00753DD6"/>
    <w:rsid w:val="00754A4A"/>
    <w:rsid w:val="00755F9F"/>
    <w:rsid w:val="0075617D"/>
    <w:rsid w:val="007566FB"/>
    <w:rsid w:val="007567A8"/>
    <w:rsid w:val="00756D6A"/>
    <w:rsid w:val="00757EE2"/>
    <w:rsid w:val="0076043F"/>
    <w:rsid w:val="00760F66"/>
    <w:rsid w:val="007611F8"/>
    <w:rsid w:val="00761200"/>
    <w:rsid w:val="00761931"/>
    <w:rsid w:val="00761BD1"/>
    <w:rsid w:val="007627BA"/>
    <w:rsid w:val="0076291E"/>
    <w:rsid w:val="00762B29"/>
    <w:rsid w:val="00762C76"/>
    <w:rsid w:val="00762D81"/>
    <w:rsid w:val="0076317B"/>
    <w:rsid w:val="007643D5"/>
    <w:rsid w:val="00765366"/>
    <w:rsid w:val="00765914"/>
    <w:rsid w:val="00765AC2"/>
    <w:rsid w:val="0076614D"/>
    <w:rsid w:val="0076624C"/>
    <w:rsid w:val="0076627D"/>
    <w:rsid w:val="00766304"/>
    <w:rsid w:val="00766C2C"/>
    <w:rsid w:val="00767A28"/>
    <w:rsid w:val="00767DD2"/>
    <w:rsid w:val="00770264"/>
    <w:rsid w:val="0077082B"/>
    <w:rsid w:val="00770E60"/>
    <w:rsid w:val="00771324"/>
    <w:rsid w:val="00771C8F"/>
    <w:rsid w:val="00771E1A"/>
    <w:rsid w:val="0077266E"/>
    <w:rsid w:val="0077292E"/>
    <w:rsid w:val="007737D4"/>
    <w:rsid w:val="007737D8"/>
    <w:rsid w:val="0077391C"/>
    <w:rsid w:val="00773D24"/>
    <w:rsid w:val="00773E40"/>
    <w:rsid w:val="00774576"/>
    <w:rsid w:val="007745DA"/>
    <w:rsid w:val="0077508A"/>
    <w:rsid w:val="00775475"/>
    <w:rsid w:val="00775567"/>
    <w:rsid w:val="00775B4E"/>
    <w:rsid w:val="00775DFA"/>
    <w:rsid w:val="00775E0D"/>
    <w:rsid w:val="00776343"/>
    <w:rsid w:val="00776416"/>
    <w:rsid w:val="0077673C"/>
    <w:rsid w:val="00776C7B"/>
    <w:rsid w:val="00776CEF"/>
    <w:rsid w:val="007774AE"/>
    <w:rsid w:val="00777E7E"/>
    <w:rsid w:val="00777EFA"/>
    <w:rsid w:val="007804DD"/>
    <w:rsid w:val="00780EBC"/>
    <w:rsid w:val="00780EC1"/>
    <w:rsid w:val="00780F3B"/>
    <w:rsid w:val="0078115B"/>
    <w:rsid w:val="007816EE"/>
    <w:rsid w:val="00781AE1"/>
    <w:rsid w:val="00782071"/>
    <w:rsid w:val="00782783"/>
    <w:rsid w:val="00782946"/>
    <w:rsid w:val="00782ECD"/>
    <w:rsid w:val="00782F44"/>
    <w:rsid w:val="0078363B"/>
    <w:rsid w:val="00783BD9"/>
    <w:rsid w:val="00783CCF"/>
    <w:rsid w:val="00783F5B"/>
    <w:rsid w:val="00784609"/>
    <w:rsid w:val="00784720"/>
    <w:rsid w:val="0078481D"/>
    <w:rsid w:val="00785476"/>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4EA"/>
    <w:rsid w:val="00794986"/>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38B"/>
    <w:rsid w:val="007A384E"/>
    <w:rsid w:val="007A41B5"/>
    <w:rsid w:val="007A4486"/>
    <w:rsid w:val="007A4682"/>
    <w:rsid w:val="007A5754"/>
    <w:rsid w:val="007A5879"/>
    <w:rsid w:val="007A58A8"/>
    <w:rsid w:val="007A5BDC"/>
    <w:rsid w:val="007A629D"/>
    <w:rsid w:val="007A6610"/>
    <w:rsid w:val="007A6AF0"/>
    <w:rsid w:val="007A6D51"/>
    <w:rsid w:val="007A6DD3"/>
    <w:rsid w:val="007A6FF3"/>
    <w:rsid w:val="007A7169"/>
    <w:rsid w:val="007A71DC"/>
    <w:rsid w:val="007A7A04"/>
    <w:rsid w:val="007B04FF"/>
    <w:rsid w:val="007B0976"/>
    <w:rsid w:val="007B0CAC"/>
    <w:rsid w:val="007B147C"/>
    <w:rsid w:val="007B15F3"/>
    <w:rsid w:val="007B1701"/>
    <w:rsid w:val="007B1738"/>
    <w:rsid w:val="007B1C32"/>
    <w:rsid w:val="007B1DBB"/>
    <w:rsid w:val="007B2319"/>
    <w:rsid w:val="007B2FBF"/>
    <w:rsid w:val="007B3E13"/>
    <w:rsid w:val="007B4044"/>
    <w:rsid w:val="007B4046"/>
    <w:rsid w:val="007B4300"/>
    <w:rsid w:val="007B542E"/>
    <w:rsid w:val="007B565C"/>
    <w:rsid w:val="007B595F"/>
    <w:rsid w:val="007B5B7E"/>
    <w:rsid w:val="007B5D75"/>
    <w:rsid w:val="007B6D5E"/>
    <w:rsid w:val="007B6FA1"/>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6EC"/>
    <w:rsid w:val="007C48DD"/>
    <w:rsid w:val="007C4A05"/>
    <w:rsid w:val="007C4F3C"/>
    <w:rsid w:val="007C5711"/>
    <w:rsid w:val="007C57B9"/>
    <w:rsid w:val="007C6325"/>
    <w:rsid w:val="007C6AE6"/>
    <w:rsid w:val="007C73A3"/>
    <w:rsid w:val="007C7975"/>
    <w:rsid w:val="007C7EF5"/>
    <w:rsid w:val="007D047C"/>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5FFD"/>
    <w:rsid w:val="007D6213"/>
    <w:rsid w:val="007D63B2"/>
    <w:rsid w:val="007D651D"/>
    <w:rsid w:val="007D71B7"/>
    <w:rsid w:val="007D7C66"/>
    <w:rsid w:val="007D7CF3"/>
    <w:rsid w:val="007E0274"/>
    <w:rsid w:val="007E02A7"/>
    <w:rsid w:val="007E0415"/>
    <w:rsid w:val="007E08D9"/>
    <w:rsid w:val="007E0991"/>
    <w:rsid w:val="007E0AFE"/>
    <w:rsid w:val="007E0B2C"/>
    <w:rsid w:val="007E0BD1"/>
    <w:rsid w:val="007E107F"/>
    <w:rsid w:val="007E2FD7"/>
    <w:rsid w:val="007E310B"/>
    <w:rsid w:val="007E38DA"/>
    <w:rsid w:val="007E3AE9"/>
    <w:rsid w:val="007E3D65"/>
    <w:rsid w:val="007E3EE2"/>
    <w:rsid w:val="007E3F29"/>
    <w:rsid w:val="007E4480"/>
    <w:rsid w:val="007E47E7"/>
    <w:rsid w:val="007E4A68"/>
    <w:rsid w:val="007E4A98"/>
    <w:rsid w:val="007E4EB6"/>
    <w:rsid w:val="007E571F"/>
    <w:rsid w:val="007E5844"/>
    <w:rsid w:val="007E5DD7"/>
    <w:rsid w:val="007E66CA"/>
    <w:rsid w:val="007E6B49"/>
    <w:rsid w:val="007E6FB9"/>
    <w:rsid w:val="007E7139"/>
    <w:rsid w:val="007E7366"/>
    <w:rsid w:val="007E7EA1"/>
    <w:rsid w:val="007E7EA4"/>
    <w:rsid w:val="007F03CE"/>
    <w:rsid w:val="007F04D3"/>
    <w:rsid w:val="007F096F"/>
    <w:rsid w:val="007F137D"/>
    <w:rsid w:val="007F17B5"/>
    <w:rsid w:val="007F245F"/>
    <w:rsid w:val="007F2D8D"/>
    <w:rsid w:val="007F2EBF"/>
    <w:rsid w:val="007F3044"/>
    <w:rsid w:val="007F3249"/>
    <w:rsid w:val="007F3704"/>
    <w:rsid w:val="007F4657"/>
    <w:rsid w:val="007F4F50"/>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4B3"/>
    <w:rsid w:val="0080153D"/>
    <w:rsid w:val="00801D7A"/>
    <w:rsid w:val="0080220F"/>
    <w:rsid w:val="00802597"/>
    <w:rsid w:val="008026A7"/>
    <w:rsid w:val="00802735"/>
    <w:rsid w:val="008028C2"/>
    <w:rsid w:val="00802DDB"/>
    <w:rsid w:val="0080379D"/>
    <w:rsid w:val="008037D8"/>
    <w:rsid w:val="00803B7E"/>
    <w:rsid w:val="00803DA6"/>
    <w:rsid w:val="00804073"/>
    <w:rsid w:val="008040D8"/>
    <w:rsid w:val="008040D9"/>
    <w:rsid w:val="0080436E"/>
    <w:rsid w:val="00804937"/>
    <w:rsid w:val="00804C5D"/>
    <w:rsid w:val="00804E1E"/>
    <w:rsid w:val="00804E43"/>
    <w:rsid w:val="008050F5"/>
    <w:rsid w:val="0080519C"/>
    <w:rsid w:val="0080553F"/>
    <w:rsid w:val="00805E48"/>
    <w:rsid w:val="00806336"/>
    <w:rsid w:val="00807ADD"/>
    <w:rsid w:val="00807C09"/>
    <w:rsid w:val="00810BC2"/>
    <w:rsid w:val="00811683"/>
    <w:rsid w:val="00811AFF"/>
    <w:rsid w:val="00812373"/>
    <w:rsid w:val="00812D30"/>
    <w:rsid w:val="00813B84"/>
    <w:rsid w:val="00813F3A"/>
    <w:rsid w:val="008140E8"/>
    <w:rsid w:val="008148D4"/>
    <w:rsid w:val="0081491F"/>
    <w:rsid w:val="00814941"/>
    <w:rsid w:val="00814A65"/>
    <w:rsid w:val="00814BD9"/>
    <w:rsid w:val="008158AC"/>
    <w:rsid w:val="00816605"/>
    <w:rsid w:val="00816805"/>
    <w:rsid w:val="00816BE8"/>
    <w:rsid w:val="00816CD5"/>
    <w:rsid w:val="00816DBD"/>
    <w:rsid w:val="00816FE2"/>
    <w:rsid w:val="00817062"/>
    <w:rsid w:val="00817991"/>
    <w:rsid w:val="00817F58"/>
    <w:rsid w:val="008203C5"/>
    <w:rsid w:val="0082046A"/>
    <w:rsid w:val="008204C7"/>
    <w:rsid w:val="00820B20"/>
    <w:rsid w:val="00820B84"/>
    <w:rsid w:val="0082199B"/>
    <w:rsid w:val="00821C2A"/>
    <w:rsid w:val="008226BF"/>
    <w:rsid w:val="008227B7"/>
    <w:rsid w:val="00823BA0"/>
    <w:rsid w:val="008243A8"/>
    <w:rsid w:val="00824925"/>
    <w:rsid w:val="00824C8B"/>
    <w:rsid w:val="008252E8"/>
    <w:rsid w:val="00825BA8"/>
    <w:rsid w:val="00825C14"/>
    <w:rsid w:val="0082641D"/>
    <w:rsid w:val="008267CA"/>
    <w:rsid w:val="00826A52"/>
    <w:rsid w:val="00826E45"/>
    <w:rsid w:val="008270EE"/>
    <w:rsid w:val="0082722B"/>
    <w:rsid w:val="0082745B"/>
    <w:rsid w:val="00827C1B"/>
    <w:rsid w:val="0083016B"/>
    <w:rsid w:val="008301F1"/>
    <w:rsid w:val="00830C0E"/>
    <w:rsid w:val="008313E0"/>
    <w:rsid w:val="008317EC"/>
    <w:rsid w:val="0083195D"/>
    <w:rsid w:val="00831B7B"/>
    <w:rsid w:val="00831D90"/>
    <w:rsid w:val="00832076"/>
    <w:rsid w:val="008324F3"/>
    <w:rsid w:val="00832691"/>
    <w:rsid w:val="0083296B"/>
    <w:rsid w:val="00832B8A"/>
    <w:rsid w:val="00833547"/>
    <w:rsid w:val="00833852"/>
    <w:rsid w:val="00833AB9"/>
    <w:rsid w:val="00833B62"/>
    <w:rsid w:val="00834820"/>
    <w:rsid w:val="00834C82"/>
    <w:rsid w:val="00834DB6"/>
    <w:rsid w:val="00834F93"/>
    <w:rsid w:val="00835F6D"/>
    <w:rsid w:val="008374F3"/>
    <w:rsid w:val="008375DA"/>
    <w:rsid w:val="00840C4A"/>
    <w:rsid w:val="008411B9"/>
    <w:rsid w:val="0084122F"/>
    <w:rsid w:val="00841573"/>
    <w:rsid w:val="00841D08"/>
    <w:rsid w:val="00842D43"/>
    <w:rsid w:val="00842F64"/>
    <w:rsid w:val="0084323E"/>
    <w:rsid w:val="0084361C"/>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4D5C"/>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0F7"/>
    <w:rsid w:val="00866388"/>
    <w:rsid w:val="0086644B"/>
    <w:rsid w:val="00866BAB"/>
    <w:rsid w:val="00866FE3"/>
    <w:rsid w:val="0086722D"/>
    <w:rsid w:val="00867AD8"/>
    <w:rsid w:val="00867D56"/>
    <w:rsid w:val="00867D70"/>
    <w:rsid w:val="00870646"/>
    <w:rsid w:val="008706C3"/>
    <w:rsid w:val="00870BAA"/>
    <w:rsid w:val="00870D91"/>
    <w:rsid w:val="008716D1"/>
    <w:rsid w:val="008716ED"/>
    <w:rsid w:val="008718AD"/>
    <w:rsid w:val="0087193F"/>
    <w:rsid w:val="008724E6"/>
    <w:rsid w:val="008728C8"/>
    <w:rsid w:val="00873205"/>
    <w:rsid w:val="008735E8"/>
    <w:rsid w:val="0087377E"/>
    <w:rsid w:val="00874594"/>
    <w:rsid w:val="00874776"/>
    <w:rsid w:val="0087487C"/>
    <w:rsid w:val="00874A07"/>
    <w:rsid w:val="00874B75"/>
    <w:rsid w:val="00875007"/>
    <w:rsid w:val="008750DB"/>
    <w:rsid w:val="008751B4"/>
    <w:rsid w:val="0087527F"/>
    <w:rsid w:val="008753D4"/>
    <w:rsid w:val="008754B5"/>
    <w:rsid w:val="00875837"/>
    <w:rsid w:val="00875AF3"/>
    <w:rsid w:val="008765E9"/>
    <w:rsid w:val="00876605"/>
    <w:rsid w:val="00876ABB"/>
    <w:rsid w:val="00876B13"/>
    <w:rsid w:val="00876D37"/>
    <w:rsid w:val="00880017"/>
    <w:rsid w:val="00880305"/>
    <w:rsid w:val="0088088A"/>
    <w:rsid w:val="00880A3F"/>
    <w:rsid w:val="00880EE2"/>
    <w:rsid w:val="008813BC"/>
    <w:rsid w:val="00881732"/>
    <w:rsid w:val="008818A2"/>
    <w:rsid w:val="00881FF9"/>
    <w:rsid w:val="0088213D"/>
    <w:rsid w:val="008821C6"/>
    <w:rsid w:val="0088243D"/>
    <w:rsid w:val="0088251A"/>
    <w:rsid w:val="00882D28"/>
    <w:rsid w:val="00883A67"/>
    <w:rsid w:val="008848E9"/>
    <w:rsid w:val="00884FD8"/>
    <w:rsid w:val="00885244"/>
    <w:rsid w:val="008857C7"/>
    <w:rsid w:val="008858B3"/>
    <w:rsid w:val="00885BF6"/>
    <w:rsid w:val="008866CF"/>
    <w:rsid w:val="00886782"/>
    <w:rsid w:val="00886834"/>
    <w:rsid w:val="008869A1"/>
    <w:rsid w:val="00886B3F"/>
    <w:rsid w:val="0088727A"/>
    <w:rsid w:val="0089015D"/>
    <w:rsid w:val="0089021A"/>
    <w:rsid w:val="0089022E"/>
    <w:rsid w:val="00890330"/>
    <w:rsid w:val="00890475"/>
    <w:rsid w:val="00890A7C"/>
    <w:rsid w:val="00890D11"/>
    <w:rsid w:val="008910EE"/>
    <w:rsid w:val="00891A26"/>
    <w:rsid w:val="008923F8"/>
    <w:rsid w:val="0089287A"/>
    <w:rsid w:val="008928F1"/>
    <w:rsid w:val="00892BBF"/>
    <w:rsid w:val="00892DB5"/>
    <w:rsid w:val="00893F27"/>
    <w:rsid w:val="008942BD"/>
    <w:rsid w:val="0089478A"/>
    <w:rsid w:val="0089480A"/>
    <w:rsid w:val="00894FE5"/>
    <w:rsid w:val="00895658"/>
    <w:rsid w:val="008956DA"/>
    <w:rsid w:val="00895BA9"/>
    <w:rsid w:val="00895D79"/>
    <w:rsid w:val="00895DA5"/>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779"/>
    <w:rsid w:val="008A2956"/>
    <w:rsid w:val="008A2EA1"/>
    <w:rsid w:val="008A2EF6"/>
    <w:rsid w:val="008A3480"/>
    <w:rsid w:val="008A3642"/>
    <w:rsid w:val="008A3875"/>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76"/>
    <w:rsid w:val="008B0F8D"/>
    <w:rsid w:val="008B198D"/>
    <w:rsid w:val="008B23A8"/>
    <w:rsid w:val="008B24E6"/>
    <w:rsid w:val="008B29A4"/>
    <w:rsid w:val="008B2BB4"/>
    <w:rsid w:val="008B2C30"/>
    <w:rsid w:val="008B2C99"/>
    <w:rsid w:val="008B3C2B"/>
    <w:rsid w:val="008B4679"/>
    <w:rsid w:val="008B4D00"/>
    <w:rsid w:val="008B4D13"/>
    <w:rsid w:val="008B4E78"/>
    <w:rsid w:val="008B4FE2"/>
    <w:rsid w:val="008B5C3D"/>
    <w:rsid w:val="008B61A1"/>
    <w:rsid w:val="008B66D8"/>
    <w:rsid w:val="008B66EE"/>
    <w:rsid w:val="008B6793"/>
    <w:rsid w:val="008B6E87"/>
    <w:rsid w:val="008B75C2"/>
    <w:rsid w:val="008B787A"/>
    <w:rsid w:val="008C0A89"/>
    <w:rsid w:val="008C0AA9"/>
    <w:rsid w:val="008C0E71"/>
    <w:rsid w:val="008C1852"/>
    <w:rsid w:val="008C1CD2"/>
    <w:rsid w:val="008C2CFF"/>
    <w:rsid w:val="008C2E1E"/>
    <w:rsid w:val="008C2E22"/>
    <w:rsid w:val="008C2ED2"/>
    <w:rsid w:val="008C3612"/>
    <w:rsid w:val="008C3D4D"/>
    <w:rsid w:val="008C4026"/>
    <w:rsid w:val="008C417E"/>
    <w:rsid w:val="008C4296"/>
    <w:rsid w:val="008C4E31"/>
    <w:rsid w:val="008C5B51"/>
    <w:rsid w:val="008C5F0A"/>
    <w:rsid w:val="008C6105"/>
    <w:rsid w:val="008C6124"/>
    <w:rsid w:val="008C6334"/>
    <w:rsid w:val="008C66BD"/>
    <w:rsid w:val="008C67C7"/>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61C"/>
    <w:rsid w:val="008D4C72"/>
    <w:rsid w:val="008D4CF8"/>
    <w:rsid w:val="008D5054"/>
    <w:rsid w:val="008D5246"/>
    <w:rsid w:val="008D5291"/>
    <w:rsid w:val="008D5368"/>
    <w:rsid w:val="008D561B"/>
    <w:rsid w:val="008D582B"/>
    <w:rsid w:val="008D5CF9"/>
    <w:rsid w:val="008D5D0A"/>
    <w:rsid w:val="008D6199"/>
    <w:rsid w:val="008D64B9"/>
    <w:rsid w:val="008D6794"/>
    <w:rsid w:val="008D7F05"/>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9EE"/>
    <w:rsid w:val="008E5ADB"/>
    <w:rsid w:val="008E5DC8"/>
    <w:rsid w:val="008E6465"/>
    <w:rsid w:val="008E6C57"/>
    <w:rsid w:val="008E7082"/>
    <w:rsid w:val="008E72AF"/>
    <w:rsid w:val="008F0952"/>
    <w:rsid w:val="008F1154"/>
    <w:rsid w:val="008F1B84"/>
    <w:rsid w:val="008F1B9D"/>
    <w:rsid w:val="008F1DB6"/>
    <w:rsid w:val="008F20DE"/>
    <w:rsid w:val="008F3151"/>
    <w:rsid w:val="008F337C"/>
    <w:rsid w:val="008F39C0"/>
    <w:rsid w:val="008F39E4"/>
    <w:rsid w:val="008F51F0"/>
    <w:rsid w:val="008F5633"/>
    <w:rsid w:val="008F57CD"/>
    <w:rsid w:val="008F5960"/>
    <w:rsid w:val="008F5CD0"/>
    <w:rsid w:val="008F629A"/>
    <w:rsid w:val="008F62B4"/>
    <w:rsid w:val="008F667F"/>
    <w:rsid w:val="008F6A9B"/>
    <w:rsid w:val="008F6F03"/>
    <w:rsid w:val="008F7603"/>
    <w:rsid w:val="008F769D"/>
    <w:rsid w:val="008F76B7"/>
    <w:rsid w:val="008F76DC"/>
    <w:rsid w:val="008F7D2F"/>
    <w:rsid w:val="008F7E68"/>
    <w:rsid w:val="009013C5"/>
    <w:rsid w:val="0090147B"/>
    <w:rsid w:val="00901649"/>
    <w:rsid w:val="00901CBA"/>
    <w:rsid w:val="00901DC6"/>
    <w:rsid w:val="009021DC"/>
    <w:rsid w:val="00902C23"/>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666"/>
    <w:rsid w:val="009108D2"/>
    <w:rsid w:val="00910C20"/>
    <w:rsid w:val="00910FE1"/>
    <w:rsid w:val="0091106A"/>
    <w:rsid w:val="00911C09"/>
    <w:rsid w:val="00911D1C"/>
    <w:rsid w:val="00912DA2"/>
    <w:rsid w:val="00912F0B"/>
    <w:rsid w:val="00912F38"/>
    <w:rsid w:val="0091340D"/>
    <w:rsid w:val="00913C58"/>
    <w:rsid w:val="009140B4"/>
    <w:rsid w:val="00914174"/>
    <w:rsid w:val="0091428A"/>
    <w:rsid w:val="00914733"/>
    <w:rsid w:val="0091495E"/>
    <w:rsid w:val="00914AA5"/>
    <w:rsid w:val="00914EAF"/>
    <w:rsid w:val="00915428"/>
    <w:rsid w:val="00915B3E"/>
    <w:rsid w:val="009162DD"/>
    <w:rsid w:val="009163E7"/>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72"/>
    <w:rsid w:val="009237D9"/>
    <w:rsid w:val="0092406C"/>
    <w:rsid w:val="00924096"/>
    <w:rsid w:val="0092411C"/>
    <w:rsid w:val="009243BC"/>
    <w:rsid w:val="009244D5"/>
    <w:rsid w:val="0092523A"/>
    <w:rsid w:val="009252F1"/>
    <w:rsid w:val="00925588"/>
    <w:rsid w:val="00925733"/>
    <w:rsid w:val="00925AF5"/>
    <w:rsid w:val="00926268"/>
    <w:rsid w:val="009264A2"/>
    <w:rsid w:val="00926F0A"/>
    <w:rsid w:val="0092715D"/>
    <w:rsid w:val="00927299"/>
    <w:rsid w:val="00930632"/>
    <w:rsid w:val="009310BC"/>
    <w:rsid w:val="00931D3F"/>
    <w:rsid w:val="00931E52"/>
    <w:rsid w:val="009324C4"/>
    <w:rsid w:val="00932671"/>
    <w:rsid w:val="00932A7A"/>
    <w:rsid w:val="00932D26"/>
    <w:rsid w:val="009330BF"/>
    <w:rsid w:val="00933817"/>
    <w:rsid w:val="009340EB"/>
    <w:rsid w:val="009344B8"/>
    <w:rsid w:val="00934510"/>
    <w:rsid w:val="0093476C"/>
    <w:rsid w:val="00935A1E"/>
    <w:rsid w:val="00935AA3"/>
    <w:rsid w:val="00935B7C"/>
    <w:rsid w:val="00935E3A"/>
    <w:rsid w:val="00936005"/>
    <w:rsid w:val="0093607C"/>
    <w:rsid w:val="00940008"/>
    <w:rsid w:val="00940FFA"/>
    <w:rsid w:val="00941010"/>
    <w:rsid w:val="009410E9"/>
    <w:rsid w:val="0094143B"/>
    <w:rsid w:val="00941503"/>
    <w:rsid w:val="0094187D"/>
    <w:rsid w:val="009423ED"/>
    <w:rsid w:val="00942C90"/>
    <w:rsid w:val="00942F29"/>
    <w:rsid w:val="00942FB6"/>
    <w:rsid w:val="009430E1"/>
    <w:rsid w:val="009433F9"/>
    <w:rsid w:val="009434EB"/>
    <w:rsid w:val="00943EA6"/>
    <w:rsid w:val="009443F2"/>
    <w:rsid w:val="0094477F"/>
    <w:rsid w:val="009448F2"/>
    <w:rsid w:val="009451E0"/>
    <w:rsid w:val="0094524B"/>
    <w:rsid w:val="00945591"/>
    <w:rsid w:val="009456E3"/>
    <w:rsid w:val="00945759"/>
    <w:rsid w:val="00945925"/>
    <w:rsid w:val="009466E9"/>
    <w:rsid w:val="009469DD"/>
    <w:rsid w:val="00946CB3"/>
    <w:rsid w:val="00946D20"/>
    <w:rsid w:val="00946E51"/>
    <w:rsid w:val="0094732E"/>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3161"/>
    <w:rsid w:val="009533BB"/>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0B95"/>
    <w:rsid w:val="00960EFE"/>
    <w:rsid w:val="00961154"/>
    <w:rsid w:val="009615DB"/>
    <w:rsid w:val="00962683"/>
    <w:rsid w:val="00962ADC"/>
    <w:rsid w:val="00962E23"/>
    <w:rsid w:val="0096487C"/>
    <w:rsid w:val="00964BC2"/>
    <w:rsid w:val="00964D4A"/>
    <w:rsid w:val="00964EAE"/>
    <w:rsid w:val="00965023"/>
    <w:rsid w:val="009650B7"/>
    <w:rsid w:val="0096515D"/>
    <w:rsid w:val="0096554B"/>
    <w:rsid w:val="00965841"/>
    <w:rsid w:val="00966623"/>
    <w:rsid w:val="00966FCD"/>
    <w:rsid w:val="009678DB"/>
    <w:rsid w:val="00970728"/>
    <w:rsid w:val="009707C9"/>
    <w:rsid w:val="009709F3"/>
    <w:rsid w:val="00971303"/>
    <w:rsid w:val="00971E0B"/>
    <w:rsid w:val="00972101"/>
    <w:rsid w:val="00972285"/>
    <w:rsid w:val="00972FB5"/>
    <w:rsid w:val="00973607"/>
    <w:rsid w:val="009736FE"/>
    <w:rsid w:val="00973B96"/>
    <w:rsid w:val="00973E3C"/>
    <w:rsid w:val="0097453A"/>
    <w:rsid w:val="00974763"/>
    <w:rsid w:val="00974766"/>
    <w:rsid w:val="009757CA"/>
    <w:rsid w:val="00976E76"/>
    <w:rsid w:val="00977A14"/>
    <w:rsid w:val="00977E9B"/>
    <w:rsid w:val="0098012C"/>
    <w:rsid w:val="009807BF"/>
    <w:rsid w:val="009809CE"/>
    <w:rsid w:val="0098131F"/>
    <w:rsid w:val="00981479"/>
    <w:rsid w:val="00981F74"/>
    <w:rsid w:val="0098237C"/>
    <w:rsid w:val="0098269D"/>
    <w:rsid w:val="009829B3"/>
    <w:rsid w:val="00982C31"/>
    <w:rsid w:val="00982D45"/>
    <w:rsid w:val="00983165"/>
    <w:rsid w:val="00983343"/>
    <w:rsid w:val="009833C4"/>
    <w:rsid w:val="0098347E"/>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387"/>
    <w:rsid w:val="00990B9B"/>
    <w:rsid w:val="0099177B"/>
    <w:rsid w:val="00991B8C"/>
    <w:rsid w:val="0099367E"/>
    <w:rsid w:val="00993FE4"/>
    <w:rsid w:val="0099425E"/>
    <w:rsid w:val="00994CDC"/>
    <w:rsid w:val="009969CD"/>
    <w:rsid w:val="009970CF"/>
    <w:rsid w:val="0099770A"/>
    <w:rsid w:val="00997769"/>
    <w:rsid w:val="00997A2E"/>
    <w:rsid w:val="009A0204"/>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438"/>
    <w:rsid w:val="009A5851"/>
    <w:rsid w:val="009A5A91"/>
    <w:rsid w:val="009A5C0C"/>
    <w:rsid w:val="009A5D40"/>
    <w:rsid w:val="009A5E10"/>
    <w:rsid w:val="009A6665"/>
    <w:rsid w:val="009A743F"/>
    <w:rsid w:val="009A74F7"/>
    <w:rsid w:val="009B00F2"/>
    <w:rsid w:val="009B0E67"/>
    <w:rsid w:val="009B0FB2"/>
    <w:rsid w:val="009B1113"/>
    <w:rsid w:val="009B1C34"/>
    <w:rsid w:val="009B1D22"/>
    <w:rsid w:val="009B1E86"/>
    <w:rsid w:val="009B1EB2"/>
    <w:rsid w:val="009B25FB"/>
    <w:rsid w:val="009B27C4"/>
    <w:rsid w:val="009B2BE6"/>
    <w:rsid w:val="009B2D92"/>
    <w:rsid w:val="009B31DE"/>
    <w:rsid w:val="009B3250"/>
    <w:rsid w:val="009B35A6"/>
    <w:rsid w:val="009B42A4"/>
    <w:rsid w:val="009B42D2"/>
    <w:rsid w:val="009B44D0"/>
    <w:rsid w:val="009B4A06"/>
    <w:rsid w:val="009B5970"/>
    <w:rsid w:val="009B5FD5"/>
    <w:rsid w:val="009B60EA"/>
    <w:rsid w:val="009B70C8"/>
    <w:rsid w:val="009B737C"/>
    <w:rsid w:val="009B742E"/>
    <w:rsid w:val="009C090B"/>
    <w:rsid w:val="009C0AC6"/>
    <w:rsid w:val="009C11B2"/>
    <w:rsid w:val="009C1456"/>
    <w:rsid w:val="009C164F"/>
    <w:rsid w:val="009C19C6"/>
    <w:rsid w:val="009C1C30"/>
    <w:rsid w:val="009C22DD"/>
    <w:rsid w:val="009C29D5"/>
    <w:rsid w:val="009C30A0"/>
    <w:rsid w:val="009C359E"/>
    <w:rsid w:val="009C37FE"/>
    <w:rsid w:val="009C4082"/>
    <w:rsid w:val="009C4A38"/>
    <w:rsid w:val="009C4A72"/>
    <w:rsid w:val="009C4AD8"/>
    <w:rsid w:val="009C4D3D"/>
    <w:rsid w:val="009C529D"/>
    <w:rsid w:val="009C55E2"/>
    <w:rsid w:val="009C5767"/>
    <w:rsid w:val="009C5A4E"/>
    <w:rsid w:val="009C5EE5"/>
    <w:rsid w:val="009C61E3"/>
    <w:rsid w:val="009C6B56"/>
    <w:rsid w:val="009C6C52"/>
    <w:rsid w:val="009C7DB8"/>
    <w:rsid w:val="009C7FF0"/>
    <w:rsid w:val="009D010D"/>
    <w:rsid w:val="009D0244"/>
    <w:rsid w:val="009D0F71"/>
    <w:rsid w:val="009D1039"/>
    <w:rsid w:val="009D111C"/>
    <w:rsid w:val="009D1189"/>
    <w:rsid w:val="009D1502"/>
    <w:rsid w:val="009D17A0"/>
    <w:rsid w:val="009D1F7A"/>
    <w:rsid w:val="009D226B"/>
    <w:rsid w:val="009D2873"/>
    <w:rsid w:val="009D2942"/>
    <w:rsid w:val="009D2BB8"/>
    <w:rsid w:val="009D3A1A"/>
    <w:rsid w:val="009D426A"/>
    <w:rsid w:val="009D4DDF"/>
    <w:rsid w:val="009D5BDB"/>
    <w:rsid w:val="009D6B03"/>
    <w:rsid w:val="009D6B3D"/>
    <w:rsid w:val="009D7422"/>
    <w:rsid w:val="009D78E7"/>
    <w:rsid w:val="009E0742"/>
    <w:rsid w:val="009E0B29"/>
    <w:rsid w:val="009E1291"/>
    <w:rsid w:val="009E12BC"/>
    <w:rsid w:val="009E139D"/>
    <w:rsid w:val="009E1EF5"/>
    <w:rsid w:val="009E224D"/>
    <w:rsid w:val="009E24EF"/>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427"/>
    <w:rsid w:val="009E57C1"/>
    <w:rsid w:val="009E624A"/>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0CA"/>
    <w:rsid w:val="009F6A91"/>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529"/>
    <w:rsid w:val="00A03E0E"/>
    <w:rsid w:val="00A03F6E"/>
    <w:rsid w:val="00A040D1"/>
    <w:rsid w:val="00A044B7"/>
    <w:rsid w:val="00A04A0A"/>
    <w:rsid w:val="00A04D4D"/>
    <w:rsid w:val="00A050A8"/>
    <w:rsid w:val="00A056A3"/>
    <w:rsid w:val="00A059AF"/>
    <w:rsid w:val="00A05B51"/>
    <w:rsid w:val="00A06286"/>
    <w:rsid w:val="00A06318"/>
    <w:rsid w:val="00A063BC"/>
    <w:rsid w:val="00A068E1"/>
    <w:rsid w:val="00A06A80"/>
    <w:rsid w:val="00A06CAC"/>
    <w:rsid w:val="00A06D8A"/>
    <w:rsid w:val="00A0711F"/>
    <w:rsid w:val="00A07B0B"/>
    <w:rsid w:val="00A102A0"/>
    <w:rsid w:val="00A10860"/>
    <w:rsid w:val="00A114FA"/>
    <w:rsid w:val="00A11AF3"/>
    <w:rsid w:val="00A12ACF"/>
    <w:rsid w:val="00A12B42"/>
    <w:rsid w:val="00A12BD4"/>
    <w:rsid w:val="00A12C09"/>
    <w:rsid w:val="00A13084"/>
    <w:rsid w:val="00A1327F"/>
    <w:rsid w:val="00A13817"/>
    <w:rsid w:val="00A138D3"/>
    <w:rsid w:val="00A13E0F"/>
    <w:rsid w:val="00A144B7"/>
    <w:rsid w:val="00A149B4"/>
    <w:rsid w:val="00A14BA0"/>
    <w:rsid w:val="00A14FF0"/>
    <w:rsid w:val="00A1504D"/>
    <w:rsid w:val="00A152D3"/>
    <w:rsid w:val="00A15F4F"/>
    <w:rsid w:val="00A160AB"/>
    <w:rsid w:val="00A16745"/>
    <w:rsid w:val="00A16747"/>
    <w:rsid w:val="00A17E93"/>
    <w:rsid w:val="00A17F7F"/>
    <w:rsid w:val="00A20013"/>
    <w:rsid w:val="00A2056F"/>
    <w:rsid w:val="00A20582"/>
    <w:rsid w:val="00A20C65"/>
    <w:rsid w:val="00A21767"/>
    <w:rsid w:val="00A21FD5"/>
    <w:rsid w:val="00A22751"/>
    <w:rsid w:val="00A22940"/>
    <w:rsid w:val="00A23102"/>
    <w:rsid w:val="00A233D8"/>
    <w:rsid w:val="00A2343F"/>
    <w:rsid w:val="00A23505"/>
    <w:rsid w:val="00A23A42"/>
    <w:rsid w:val="00A2428B"/>
    <w:rsid w:val="00A247E5"/>
    <w:rsid w:val="00A248BD"/>
    <w:rsid w:val="00A2493D"/>
    <w:rsid w:val="00A24D81"/>
    <w:rsid w:val="00A24EA5"/>
    <w:rsid w:val="00A25173"/>
    <w:rsid w:val="00A252F0"/>
    <w:rsid w:val="00A25588"/>
    <w:rsid w:val="00A259F2"/>
    <w:rsid w:val="00A26463"/>
    <w:rsid w:val="00A2660E"/>
    <w:rsid w:val="00A26916"/>
    <w:rsid w:val="00A26A73"/>
    <w:rsid w:val="00A26B47"/>
    <w:rsid w:val="00A26FF1"/>
    <w:rsid w:val="00A27547"/>
    <w:rsid w:val="00A2770B"/>
    <w:rsid w:val="00A27806"/>
    <w:rsid w:val="00A30181"/>
    <w:rsid w:val="00A305A3"/>
    <w:rsid w:val="00A3068C"/>
    <w:rsid w:val="00A3127F"/>
    <w:rsid w:val="00A31498"/>
    <w:rsid w:val="00A315BC"/>
    <w:rsid w:val="00A31922"/>
    <w:rsid w:val="00A31BCC"/>
    <w:rsid w:val="00A31C70"/>
    <w:rsid w:val="00A31C87"/>
    <w:rsid w:val="00A325BB"/>
    <w:rsid w:val="00A3297A"/>
    <w:rsid w:val="00A32A58"/>
    <w:rsid w:val="00A32EEC"/>
    <w:rsid w:val="00A336C5"/>
    <w:rsid w:val="00A33782"/>
    <w:rsid w:val="00A3391B"/>
    <w:rsid w:val="00A339D9"/>
    <w:rsid w:val="00A33BD6"/>
    <w:rsid w:val="00A34A06"/>
    <w:rsid w:val="00A3510A"/>
    <w:rsid w:val="00A3515F"/>
    <w:rsid w:val="00A35751"/>
    <w:rsid w:val="00A3577F"/>
    <w:rsid w:val="00A35BBC"/>
    <w:rsid w:val="00A35DAB"/>
    <w:rsid w:val="00A360E2"/>
    <w:rsid w:val="00A36724"/>
    <w:rsid w:val="00A367AF"/>
    <w:rsid w:val="00A36C13"/>
    <w:rsid w:val="00A36F0A"/>
    <w:rsid w:val="00A377C2"/>
    <w:rsid w:val="00A37A31"/>
    <w:rsid w:val="00A37C56"/>
    <w:rsid w:val="00A40B1F"/>
    <w:rsid w:val="00A40B4D"/>
    <w:rsid w:val="00A40C0C"/>
    <w:rsid w:val="00A40E2E"/>
    <w:rsid w:val="00A411E2"/>
    <w:rsid w:val="00A41373"/>
    <w:rsid w:val="00A41638"/>
    <w:rsid w:val="00A41B15"/>
    <w:rsid w:val="00A4224E"/>
    <w:rsid w:val="00A4229F"/>
    <w:rsid w:val="00A428A9"/>
    <w:rsid w:val="00A429B4"/>
    <w:rsid w:val="00A42ACA"/>
    <w:rsid w:val="00A4327C"/>
    <w:rsid w:val="00A43496"/>
    <w:rsid w:val="00A43665"/>
    <w:rsid w:val="00A4399A"/>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869"/>
    <w:rsid w:val="00A51946"/>
    <w:rsid w:val="00A51FF7"/>
    <w:rsid w:val="00A52079"/>
    <w:rsid w:val="00A52143"/>
    <w:rsid w:val="00A521E9"/>
    <w:rsid w:val="00A5298E"/>
    <w:rsid w:val="00A52B3E"/>
    <w:rsid w:val="00A5313B"/>
    <w:rsid w:val="00A5320E"/>
    <w:rsid w:val="00A537B5"/>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352"/>
    <w:rsid w:val="00A72740"/>
    <w:rsid w:val="00A72F97"/>
    <w:rsid w:val="00A73A64"/>
    <w:rsid w:val="00A742AD"/>
    <w:rsid w:val="00A746D7"/>
    <w:rsid w:val="00A74AB2"/>
    <w:rsid w:val="00A75A27"/>
    <w:rsid w:val="00A75A46"/>
    <w:rsid w:val="00A75B36"/>
    <w:rsid w:val="00A7623B"/>
    <w:rsid w:val="00A7660A"/>
    <w:rsid w:val="00A7663A"/>
    <w:rsid w:val="00A7696B"/>
    <w:rsid w:val="00A769D4"/>
    <w:rsid w:val="00A76A9C"/>
    <w:rsid w:val="00A777AE"/>
    <w:rsid w:val="00A8008F"/>
    <w:rsid w:val="00A804C7"/>
    <w:rsid w:val="00A80857"/>
    <w:rsid w:val="00A80A39"/>
    <w:rsid w:val="00A80DF0"/>
    <w:rsid w:val="00A80E64"/>
    <w:rsid w:val="00A8191A"/>
    <w:rsid w:val="00A81A16"/>
    <w:rsid w:val="00A823A7"/>
    <w:rsid w:val="00A824D4"/>
    <w:rsid w:val="00A825C8"/>
    <w:rsid w:val="00A82742"/>
    <w:rsid w:val="00A82A29"/>
    <w:rsid w:val="00A83984"/>
    <w:rsid w:val="00A83A1E"/>
    <w:rsid w:val="00A84198"/>
    <w:rsid w:val="00A841AB"/>
    <w:rsid w:val="00A84FFD"/>
    <w:rsid w:val="00A86104"/>
    <w:rsid w:val="00A8655A"/>
    <w:rsid w:val="00A86B5D"/>
    <w:rsid w:val="00A87203"/>
    <w:rsid w:val="00A87744"/>
    <w:rsid w:val="00A87AE6"/>
    <w:rsid w:val="00A87B03"/>
    <w:rsid w:val="00A87B09"/>
    <w:rsid w:val="00A87C22"/>
    <w:rsid w:val="00A90590"/>
    <w:rsid w:val="00A90A97"/>
    <w:rsid w:val="00A90CB4"/>
    <w:rsid w:val="00A910DA"/>
    <w:rsid w:val="00A920E1"/>
    <w:rsid w:val="00A92998"/>
    <w:rsid w:val="00A933AE"/>
    <w:rsid w:val="00A93863"/>
    <w:rsid w:val="00A93928"/>
    <w:rsid w:val="00A93F73"/>
    <w:rsid w:val="00A9415E"/>
    <w:rsid w:val="00A9423F"/>
    <w:rsid w:val="00A94EBD"/>
    <w:rsid w:val="00A9510D"/>
    <w:rsid w:val="00A95580"/>
    <w:rsid w:val="00A956AC"/>
    <w:rsid w:val="00A95D2A"/>
    <w:rsid w:val="00A961D6"/>
    <w:rsid w:val="00A96214"/>
    <w:rsid w:val="00A96653"/>
    <w:rsid w:val="00A967E8"/>
    <w:rsid w:val="00A97F4B"/>
    <w:rsid w:val="00AA04C5"/>
    <w:rsid w:val="00AA10B1"/>
    <w:rsid w:val="00AA2657"/>
    <w:rsid w:val="00AA2803"/>
    <w:rsid w:val="00AA2BF2"/>
    <w:rsid w:val="00AA2D68"/>
    <w:rsid w:val="00AA2D6F"/>
    <w:rsid w:val="00AA2E92"/>
    <w:rsid w:val="00AA3987"/>
    <w:rsid w:val="00AA3B68"/>
    <w:rsid w:val="00AA3E79"/>
    <w:rsid w:val="00AA4240"/>
    <w:rsid w:val="00AA4E59"/>
    <w:rsid w:val="00AA4FB4"/>
    <w:rsid w:val="00AA5C0B"/>
    <w:rsid w:val="00AA5E3B"/>
    <w:rsid w:val="00AA6225"/>
    <w:rsid w:val="00AA63AD"/>
    <w:rsid w:val="00AA65B4"/>
    <w:rsid w:val="00AA6A75"/>
    <w:rsid w:val="00AA745E"/>
    <w:rsid w:val="00AA7509"/>
    <w:rsid w:val="00AB04AB"/>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0FA5"/>
    <w:rsid w:val="00AC1231"/>
    <w:rsid w:val="00AC1346"/>
    <w:rsid w:val="00AC1992"/>
    <w:rsid w:val="00AC1E14"/>
    <w:rsid w:val="00AC2CFA"/>
    <w:rsid w:val="00AC3263"/>
    <w:rsid w:val="00AC337E"/>
    <w:rsid w:val="00AC3E12"/>
    <w:rsid w:val="00AC406E"/>
    <w:rsid w:val="00AC417C"/>
    <w:rsid w:val="00AC430C"/>
    <w:rsid w:val="00AC4951"/>
    <w:rsid w:val="00AC4985"/>
    <w:rsid w:val="00AC49C9"/>
    <w:rsid w:val="00AC4A6B"/>
    <w:rsid w:val="00AC5C19"/>
    <w:rsid w:val="00AC60F0"/>
    <w:rsid w:val="00AC63C7"/>
    <w:rsid w:val="00AC6657"/>
    <w:rsid w:val="00AC6B8D"/>
    <w:rsid w:val="00AC6D7A"/>
    <w:rsid w:val="00AC7363"/>
    <w:rsid w:val="00AC7401"/>
    <w:rsid w:val="00AC7901"/>
    <w:rsid w:val="00AC79F3"/>
    <w:rsid w:val="00AC7FDD"/>
    <w:rsid w:val="00AD0949"/>
    <w:rsid w:val="00AD0F1D"/>
    <w:rsid w:val="00AD1179"/>
    <w:rsid w:val="00AD1359"/>
    <w:rsid w:val="00AD1516"/>
    <w:rsid w:val="00AD19F0"/>
    <w:rsid w:val="00AD1FCE"/>
    <w:rsid w:val="00AD26E1"/>
    <w:rsid w:val="00AD29CC"/>
    <w:rsid w:val="00AD3268"/>
    <w:rsid w:val="00AD3652"/>
    <w:rsid w:val="00AD3DE2"/>
    <w:rsid w:val="00AD4261"/>
    <w:rsid w:val="00AD46F5"/>
    <w:rsid w:val="00AD51A3"/>
    <w:rsid w:val="00AD598B"/>
    <w:rsid w:val="00AD5AC5"/>
    <w:rsid w:val="00AD7154"/>
    <w:rsid w:val="00AD797D"/>
    <w:rsid w:val="00AD7E02"/>
    <w:rsid w:val="00AE0034"/>
    <w:rsid w:val="00AE02F4"/>
    <w:rsid w:val="00AE0483"/>
    <w:rsid w:val="00AE08DD"/>
    <w:rsid w:val="00AE09C2"/>
    <w:rsid w:val="00AE10B3"/>
    <w:rsid w:val="00AE124F"/>
    <w:rsid w:val="00AE13BD"/>
    <w:rsid w:val="00AE1ABF"/>
    <w:rsid w:val="00AE1AF9"/>
    <w:rsid w:val="00AE1D14"/>
    <w:rsid w:val="00AE1E60"/>
    <w:rsid w:val="00AE2068"/>
    <w:rsid w:val="00AE2258"/>
    <w:rsid w:val="00AE277E"/>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2F"/>
    <w:rsid w:val="00AF24E7"/>
    <w:rsid w:val="00AF272B"/>
    <w:rsid w:val="00AF2838"/>
    <w:rsid w:val="00AF291B"/>
    <w:rsid w:val="00AF2DAA"/>
    <w:rsid w:val="00AF2EBD"/>
    <w:rsid w:val="00AF33AE"/>
    <w:rsid w:val="00AF3CDC"/>
    <w:rsid w:val="00AF44B1"/>
    <w:rsid w:val="00AF5800"/>
    <w:rsid w:val="00AF6986"/>
    <w:rsid w:val="00AF69FE"/>
    <w:rsid w:val="00AF6A77"/>
    <w:rsid w:val="00AF6D1B"/>
    <w:rsid w:val="00AF73ED"/>
    <w:rsid w:val="00AF7D69"/>
    <w:rsid w:val="00AF7ED2"/>
    <w:rsid w:val="00B004D8"/>
    <w:rsid w:val="00B007D8"/>
    <w:rsid w:val="00B00830"/>
    <w:rsid w:val="00B00CC5"/>
    <w:rsid w:val="00B016D2"/>
    <w:rsid w:val="00B02091"/>
    <w:rsid w:val="00B0250E"/>
    <w:rsid w:val="00B02B43"/>
    <w:rsid w:val="00B03697"/>
    <w:rsid w:val="00B03D36"/>
    <w:rsid w:val="00B03DAE"/>
    <w:rsid w:val="00B04540"/>
    <w:rsid w:val="00B046F1"/>
    <w:rsid w:val="00B05116"/>
    <w:rsid w:val="00B051A7"/>
    <w:rsid w:val="00B051FA"/>
    <w:rsid w:val="00B05F1A"/>
    <w:rsid w:val="00B07B33"/>
    <w:rsid w:val="00B07BB0"/>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13C"/>
    <w:rsid w:val="00B135AB"/>
    <w:rsid w:val="00B13797"/>
    <w:rsid w:val="00B137BF"/>
    <w:rsid w:val="00B13A1B"/>
    <w:rsid w:val="00B13A76"/>
    <w:rsid w:val="00B142D9"/>
    <w:rsid w:val="00B145D5"/>
    <w:rsid w:val="00B14BC4"/>
    <w:rsid w:val="00B158A3"/>
    <w:rsid w:val="00B15B25"/>
    <w:rsid w:val="00B15C36"/>
    <w:rsid w:val="00B15EA0"/>
    <w:rsid w:val="00B16069"/>
    <w:rsid w:val="00B16940"/>
    <w:rsid w:val="00B1745A"/>
    <w:rsid w:val="00B17785"/>
    <w:rsid w:val="00B17A4E"/>
    <w:rsid w:val="00B17B30"/>
    <w:rsid w:val="00B17C2F"/>
    <w:rsid w:val="00B2153E"/>
    <w:rsid w:val="00B218CB"/>
    <w:rsid w:val="00B21FA7"/>
    <w:rsid w:val="00B22022"/>
    <w:rsid w:val="00B225E4"/>
    <w:rsid w:val="00B23223"/>
    <w:rsid w:val="00B2335B"/>
    <w:rsid w:val="00B23F7A"/>
    <w:rsid w:val="00B240B1"/>
    <w:rsid w:val="00B241FE"/>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5D2"/>
    <w:rsid w:val="00B31B4B"/>
    <w:rsid w:val="00B31E36"/>
    <w:rsid w:val="00B3258F"/>
    <w:rsid w:val="00B32E26"/>
    <w:rsid w:val="00B338B7"/>
    <w:rsid w:val="00B33E98"/>
    <w:rsid w:val="00B34061"/>
    <w:rsid w:val="00B34376"/>
    <w:rsid w:val="00B3440A"/>
    <w:rsid w:val="00B34441"/>
    <w:rsid w:val="00B35533"/>
    <w:rsid w:val="00B35534"/>
    <w:rsid w:val="00B35A87"/>
    <w:rsid w:val="00B35AFD"/>
    <w:rsid w:val="00B35F9A"/>
    <w:rsid w:val="00B3609C"/>
    <w:rsid w:val="00B36236"/>
    <w:rsid w:val="00B3662E"/>
    <w:rsid w:val="00B36645"/>
    <w:rsid w:val="00B366D2"/>
    <w:rsid w:val="00B366FA"/>
    <w:rsid w:val="00B36E86"/>
    <w:rsid w:val="00B379BA"/>
    <w:rsid w:val="00B408FC"/>
    <w:rsid w:val="00B40B30"/>
    <w:rsid w:val="00B40E47"/>
    <w:rsid w:val="00B412FD"/>
    <w:rsid w:val="00B41E1C"/>
    <w:rsid w:val="00B422BE"/>
    <w:rsid w:val="00B4241D"/>
    <w:rsid w:val="00B426BB"/>
    <w:rsid w:val="00B42EB9"/>
    <w:rsid w:val="00B436F0"/>
    <w:rsid w:val="00B441FE"/>
    <w:rsid w:val="00B44821"/>
    <w:rsid w:val="00B44AD3"/>
    <w:rsid w:val="00B44B82"/>
    <w:rsid w:val="00B450EB"/>
    <w:rsid w:val="00B45152"/>
    <w:rsid w:val="00B454DD"/>
    <w:rsid w:val="00B45E54"/>
    <w:rsid w:val="00B460B8"/>
    <w:rsid w:val="00B464E4"/>
    <w:rsid w:val="00B4689A"/>
    <w:rsid w:val="00B46D5F"/>
    <w:rsid w:val="00B46E7B"/>
    <w:rsid w:val="00B47006"/>
    <w:rsid w:val="00B47DC5"/>
    <w:rsid w:val="00B50395"/>
    <w:rsid w:val="00B505B3"/>
    <w:rsid w:val="00B50882"/>
    <w:rsid w:val="00B50A74"/>
    <w:rsid w:val="00B5199C"/>
    <w:rsid w:val="00B520A0"/>
    <w:rsid w:val="00B5257E"/>
    <w:rsid w:val="00B525CE"/>
    <w:rsid w:val="00B52CFD"/>
    <w:rsid w:val="00B545A8"/>
    <w:rsid w:val="00B54CAE"/>
    <w:rsid w:val="00B55782"/>
    <w:rsid w:val="00B55AD4"/>
    <w:rsid w:val="00B56527"/>
    <w:rsid w:val="00B56706"/>
    <w:rsid w:val="00B57019"/>
    <w:rsid w:val="00B576DA"/>
    <w:rsid w:val="00B57710"/>
    <w:rsid w:val="00B57B84"/>
    <w:rsid w:val="00B601C9"/>
    <w:rsid w:val="00B60D04"/>
    <w:rsid w:val="00B6158F"/>
    <w:rsid w:val="00B61EE8"/>
    <w:rsid w:val="00B633A3"/>
    <w:rsid w:val="00B63533"/>
    <w:rsid w:val="00B63BDB"/>
    <w:rsid w:val="00B64A0E"/>
    <w:rsid w:val="00B64DDF"/>
    <w:rsid w:val="00B6601E"/>
    <w:rsid w:val="00B663AA"/>
    <w:rsid w:val="00B66DD5"/>
    <w:rsid w:val="00B67722"/>
    <w:rsid w:val="00B67B97"/>
    <w:rsid w:val="00B67F01"/>
    <w:rsid w:val="00B70329"/>
    <w:rsid w:val="00B7089B"/>
    <w:rsid w:val="00B70AF1"/>
    <w:rsid w:val="00B711AB"/>
    <w:rsid w:val="00B714F0"/>
    <w:rsid w:val="00B71A40"/>
    <w:rsid w:val="00B71C8C"/>
    <w:rsid w:val="00B71CB4"/>
    <w:rsid w:val="00B71FD7"/>
    <w:rsid w:val="00B725E7"/>
    <w:rsid w:val="00B72C07"/>
    <w:rsid w:val="00B72DF7"/>
    <w:rsid w:val="00B72F42"/>
    <w:rsid w:val="00B72F96"/>
    <w:rsid w:val="00B732C9"/>
    <w:rsid w:val="00B73E44"/>
    <w:rsid w:val="00B74290"/>
    <w:rsid w:val="00B74510"/>
    <w:rsid w:val="00B74BD4"/>
    <w:rsid w:val="00B74BF7"/>
    <w:rsid w:val="00B760FD"/>
    <w:rsid w:val="00B76185"/>
    <w:rsid w:val="00B7674F"/>
    <w:rsid w:val="00B76BCD"/>
    <w:rsid w:val="00B779E6"/>
    <w:rsid w:val="00B804E2"/>
    <w:rsid w:val="00B811B2"/>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A3"/>
    <w:rsid w:val="00B874B4"/>
    <w:rsid w:val="00B8787A"/>
    <w:rsid w:val="00B87887"/>
    <w:rsid w:val="00B90123"/>
    <w:rsid w:val="00B90196"/>
    <w:rsid w:val="00B911C1"/>
    <w:rsid w:val="00B91374"/>
    <w:rsid w:val="00B91E2F"/>
    <w:rsid w:val="00B9216A"/>
    <w:rsid w:val="00B922C3"/>
    <w:rsid w:val="00B9272E"/>
    <w:rsid w:val="00B927A7"/>
    <w:rsid w:val="00B92B9E"/>
    <w:rsid w:val="00B93315"/>
    <w:rsid w:val="00B93519"/>
    <w:rsid w:val="00B9372A"/>
    <w:rsid w:val="00B9425C"/>
    <w:rsid w:val="00B94AAF"/>
    <w:rsid w:val="00B953FF"/>
    <w:rsid w:val="00B95804"/>
    <w:rsid w:val="00B9622D"/>
    <w:rsid w:val="00B96263"/>
    <w:rsid w:val="00B968A5"/>
    <w:rsid w:val="00B972CD"/>
    <w:rsid w:val="00B97D02"/>
    <w:rsid w:val="00BA0304"/>
    <w:rsid w:val="00BA0557"/>
    <w:rsid w:val="00BA19C4"/>
    <w:rsid w:val="00BA26B6"/>
    <w:rsid w:val="00BA3038"/>
    <w:rsid w:val="00BA370A"/>
    <w:rsid w:val="00BA4278"/>
    <w:rsid w:val="00BA48BC"/>
    <w:rsid w:val="00BA4A29"/>
    <w:rsid w:val="00BA4BE7"/>
    <w:rsid w:val="00BA5F20"/>
    <w:rsid w:val="00BA5F44"/>
    <w:rsid w:val="00BA6018"/>
    <w:rsid w:val="00BA68D9"/>
    <w:rsid w:val="00BA695F"/>
    <w:rsid w:val="00BA6FD8"/>
    <w:rsid w:val="00BA7172"/>
    <w:rsid w:val="00BA7B01"/>
    <w:rsid w:val="00BB02D7"/>
    <w:rsid w:val="00BB0D9F"/>
    <w:rsid w:val="00BB0DEE"/>
    <w:rsid w:val="00BB0F93"/>
    <w:rsid w:val="00BB1031"/>
    <w:rsid w:val="00BB1805"/>
    <w:rsid w:val="00BB1B33"/>
    <w:rsid w:val="00BB2480"/>
    <w:rsid w:val="00BB27FD"/>
    <w:rsid w:val="00BB2C4E"/>
    <w:rsid w:val="00BB2E29"/>
    <w:rsid w:val="00BB2F74"/>
    <w:rsid w:val="00BB3206"/>
    <w:rsid w:val="00BB3277"/>
    <w:rsid w:val="00BB32C2"/>
    <w:rsid w:val="00BB39BF"/>
    <w:rsid w:val="00BB3B0D"/>
    <w:rsid w:val="00BB4A38"/>
    <w:rsid w:val="00BB524C"/>
    <w:rsid w:val="00BB5DAB"/>
    <w:rsid w:val="00BB5F45"/>
    <w:rsid w:val="00BB6006"/>
    <w:rsid w:val="00BB6195"/>
    <w:rsid w:val="00BB61A3"/>
    <w:rsid w:val="00BB67EA"/>
    <w:rsid w:val="00BB707E"/>
    <w:rsid w:val="00BB7568"/>
    <w:rsid w:val="00BC007C"/>
    <w:rsid w:val="00BC0986"/>
    <w:rsid w:val="00BC0A66"/>
    <w:rsid w:val="00BC0AB2"/>
    <w:rsid w:val="00BC1308"/>
    <w:rsid w:val="00BC1A83"/>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3B7"/>
    <w:rsid w:val="00BC69A2"/>
    <w:rsid w:val="00BC6ED6"/>
    <w:rsid w:val="00BC6F03"/>
    <w:rsid w:val="00BC6FA1"/>
    <w:rsid w:val="00BC72DC"/>
    <w:rsid w:val="00BC7487"/>
    <w:rsid w:val="00BD0570"/>
    <w:rsid w:val="00BD0853"/>
    <w:rsid w:val="00BD112D"/>
    <w:rsid w:val="00BD214E"/>
    <w:rsid w:val="00BD2395"/>
    <w:rsid w:val="00BD25B8"/>
    <w:rsid w:val="00BD26ED"/>
    <w:rsid w:val="00BD2842"/>
    <w:rsid w:val="00BD3120"/>
    <w:rsid w:val="00BD3354"/>
    <w:rsid w:val="00BD384E"/>
    <w:rsid w:val="00BD3E76"/>
    <w:rsid w:val="00BD3EE2"/>
    <w:rsid w:val="00BD3FCF"/>
    <w:rsid w:val="00BD42D2"/>
    <w:rsid w:val="00BD4718"/>
    <w:rsid w:val="00BD47D7"/>
    <w:rsid w:val="00BD4EFB"/>
    <w:rsid w:val="00BD5076"/>
    <w:rsid w:val="00BD5551"/>
    <w:rsid w:val="00BD5EF8"/>
    <w:rsid w:val="00BD5F6D"/>
    <w:rsid w:val="00BD6C5E"/>
    <w:rsid w:val="00BD6D43"/>
    <w:rsid w:val="00BD7090"/>
    <w:rsid w:val="00BD7490"/>
    <w:rsid w:val="00BD767F"/>
    <w:rsid w:val="00BD7DA0"/>
    <w:rsid w:val="00BE08E6"/>
    <w:rsid w:val="00BE096B"/>
    <w:rsid w:val="00BE09C3"/>
    <w:rsid w:val="00BE0C27"/>
    <w:rsid w:val="00BE0F9B"/>
    <w:rsid w:val="00BE15BB"/>
    <w:rsid w:val="00BE198F"/>
    <w:rsid w:val="00BE3225"/>
    <w:rsid w:val="00BE4875"/>
    <w:rsid w:val="00BE4CCF"/>
    <w:rsid w:val="00BE5964"/>
    <w:rsid w:val="00BE660B"/>
    <w:rsid w:val="00BE6AFE"/>
    <w:rsid w:val="00BE6BBE"/>
    <w:rsid w:val="00BE7021"/>
    <w:rsid w:val="00BE7300"/>
    <w:rsid w:val="00BE76F7"/>
    <w:rsid w:val="00BE784F"/>
    <w:rsid w:val="00BE79C6"/>
    <w:rsid w:val="00BF0238"/>
    <w:rsid w:val="00BF0717"/>
    <w:rsid w:val="00BF0F79"/>
    <w:rsid w:val="00BF1750"/>
    <w:rsid w:val="00BF178E"/>
    <w:rsid w:val="00BF189F"/>
    <w:rsid w:val="00BF1910"/>
    <w:rsid w:val="00BF1B44"/>
    <w:rsid w:val="00BF1D88"/>
    <w:rsid w:val="00BF1F01"/>
    <w:rsid w:val="00BF1FC2"/>
    <w:rsid w:val="00BF23CC"/>
    <w:rsid w:val="00BF243F"/>
    <w:rsid w:val="00BF2708"/>
    <w:rsid w:val="00BF3284"/>
    <w:rsid w:val="00BF4C2B"/>
    <w:rsid w:val="00BF507A"/>
    <w:rsid w:val="00BF507C"/>
    <w:rsid w:val="00BF53F1"/>
    <w:rsid w:val="00BF5717"/>
    <w:rsid w:val="00BF5B9D"/>
    <w:rsid w:val="00BF5C45"/>
    <w:rsid w:val="00BF5FA3"/>
    <w:rsid w:val="00BF62F2"/>
    <w:rsid w:val="00BF6317"/>
    <w:rsid w:val="00BF63A5"/>
    <w:rsid w:val="00BF72A7"/>
    <w:rsid w:val="00BF7558"/>
    <w:rsid w:val="00BF7DD2"/>
    <w:rsid w:val="00C0111E"/>
    <w:rsid w:val="00C01B67"/>
    <w:rsid w:val="00C02676"/>
    <w:rsid w:val="00C029AB"/>
    <w:rsid w:val="00C02D74"/>
    <w:rsid w:val="00C03BD5"/>
    <w:rsid w:val="00C03C8B"/>
    <w:rsid w:val="00C03F3C"/>
    <w:rsid w:val="00C0425C"/>
    <w:rsid w:val="00C049BE"/>
    <w:rsid w:val="00C04A71"/>
    <w:rsid w:val="00C04DF0"/>
    <w:rsid w:val="00C05A4C"/>
    <w:rsid w:val="00C05A67"/>
    <w:rsid w:val="00C05D54"/>
    <w:rsid w:val="00C05DD2"/>
    <w:rsid w:val="00C0632D"/>
    <w:rsid w:val="00C0641F"/>
    <w:rsid w:val="00C06C9A"/>
    <w:rsid w:val="00C06E6F"/>
    <w:rsid w:val="00C075DB"/>
    <w:rsid w:val="00C07EBA"/>
    <w:rsid w:val="00C07FBC"/>
    <w:rsid w:val="00C100E2"/>
    <w:rsid w:val="00C100E7"/>
    <w:rsid w:val="00C11113"/>
    <w:rsid w:val="00C11687"/>
    <w:rsid w:val="00C11697"/>
    <w:rsid w:val="00C11E28"/>
    <w:rsid w:val="00C11F66"/>
    <w:rsid w:val="00C1200C"/>
    <w:rsid w:val="00C12120"/>
    <w:rsid w:val="00C1225B"/>
    <w:rsid w:val="00C122F9"/>
    <w:rsid w:val="00C1253A"/>
    <w:rsid w:val="00C128C9"/>
    <w:rsid w:val="00C12CF3"/>
    <w:rsid w:val="00C12F88"/>
    <w:rsid w:val="00C131A8"/>
    <w:rsid w:val="00C1322D"/>
    <w:rsid w:val="00C135A3"/>
    <w:rsid w:val="00C1477A"/>
    <w:rsid w:val="00C14A62"/>
    <w:rsid w:val="00C158EB"/>
    <w:rsid w:val="00C159B1"/>
    <w:rsid w:val="00C15D51"/>
    <w:rsid w:val="00C161F5"/>
    <w:rsid w:val="00C16B90"/>
    <w:rsid w:val="00C16C92"/>
    <w:rsid w:val="00C16ED6"/>
    <w:rsid w:val="00C1706B"/>
    <w:rsid w:val="00C17DB7"/>
    <w:rsid w:val="00C17E48"/>
    <w:rsid w:val="00C17F0B"/>
    <w:rsid w:val="00C2016A"/>
    <w:rsid w:val="00C201E7"/>
    <w:rsid w:val="00C20506"/>
    <w:rsid w:val="00C20AA2"/>
    <w:rsid w:val="00C20B2D"/>
    <w:rsid w:val="00C20B91"/>
    <w:rsid w:val="00C21155"/>
    <w:rsid w:val="00C2146C"/>
    <w:rsid w:val="00C214D7"/>
    <w:rsid w:val="00C21561"/>
    <w:rsid w:val="00C21576"/>
    <w:rsid w:val="00C217EE"/>
    <w:rsid w:val="00C22784"/>
    <w:rsid w:val="00C22FAA"/>
    <w:rsid w:val="00C23A4C"/>
    <w:rsid w:val="00C2419D"/>
    <w:rsid w:val="00C243A4"/>
    <w:rsid w:val="00C24416"/>
    <w:rsid w:val="00C248DB"/>
    <w:rsid w:val="00C26170"/>
    <w:rsid w:val="00C26B5A"/>
    <w:rsid w:val="00C26BB1"/>
    <w:rsid w:val="00C26D52"/>
    <w:rsid w:val="00C303E4"/>
    <w:rsid w:val="00C30775"/>
    <w:rsid w:val="00C30B8D"/>
    <w:rsid w:val="00C30DBE"/>
    <w:rsid w:val="00C3134E"/>
    <w:rsid w:val="00C315D8"/>
    <w:rsid w:val="00C31C4A"/>
    <w:rsid w:val="00C31D2D"/>
    <w:rsid w:val="00C32079"/>
    <w:rsid w:val="00C3209A"/>
    <w:rsid w:val="00C32639"/>
    <w:rsid w:val="00C32808"/>
    <w:rsid w:val="00C32AD2"/>
    <w:rsid w:val="00C33114"/>
    <w:rsid w:val="00C3415E"/>
    <w:rsid w:val="00C34193"/>
    <w:rsid w:val="00C347FD"/>
    <w:rsid w:val="00C34DAE"/>
    <w:rsid w:val="00C34E1E"/>
    <w:rsid w:val="00C34E5A"/>
    <w:rsid w:val="00C3510D"/>
    <w:rsid w:val="00C35553"/>
    <w:rsid w:val="00C35D9C"/>
    <w:rsid w:val="00C36219"/>
    <w:rsid w:val="00C36656"/>
    <w:rsid w:val="00C3698E"/>
    <w:rsid w:val="00C36CCA"/>
    <w:rsid w:val="00C36E1C"/>
    <w:rsid w:val="00C36F42"/>
    <w:rsid w:val="00C3718A"/>
    <w:rsid w:val="00C379C5"/>
    <w:rsid w:val="00C37EEE"/>
    <w:rsid w:val="00C40453"/>
    <w:rsid w:val="00C404A7"/>
    <w:rsid w:val="00C40E71"/>
    <w:rsid w:val="00C41879"/>
    <w:rsid w:val="00C41A7C"/>
    <w:rsid w:val="00C42CC0"/>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5FC"/>
    <w:rsid w:val="00C54929"/>
    <w:rsid w:val="00C550B6"/>
    <w:rsid w:val="00C556B1"/>
    <w:rsid w:val="00C55A05"/>
    <w:rsid w:val="00C55F8D"/>
    <w:rsid w:val="00C56101"/>
    <w:rsid w:val="00C565F2"/>
    <w:rsid w:val="00C567E3"/>
    <w:rsid w:val="00C56C45"/>
    <w:rsid w:val="00C56CD8"/>
    <w:rsid w:val="00C573CC"/>
    <w:rsid w:val="00C57B81"/>
    <w:rsid w:val="00C57FB9"/>
    <w:rsid w:val="00C6077B"/>
    <w:rsid w:val="00C60950"/>
    <w:rsid w:val="00C60DD1"/>
    <w:rsid w:val="00C61565"/>
    <w:rsid w:val="00C61574"/>
    <w:rsid w:val="00C615B4"/>
    <w:rsid w:val="00C6184A"/>
    <w:rsid w:val="00C618B6"/>
    <w:rsid w:val="00C61AC6"/>
    <w:rsid w:val="00C61ACF"/>
    <w:rsid w:val="00C6211D"/>
    <w:rsid w:val="00C62B32"/>
    <w:rsid w:val="00C63DED"/>
    <w:rsid w:val="00C63E88"/>
    <w:rsid w:val="00C6436D"/>
    <w:rsid w:val="00C64F97"/>
    <w:rsid w:val="00C65585"/>
    <w:rsid w:val="00C656EB"/>
    <w:rsid w:val="00C65DF4"/>
    <w:rsid w:val="00C667F0"/>
    <w:rsid w:val="00C66AC8"/>
    <w:rsid w:val="00C675A7"/>
    <w:rsid w:val="00C679FE"/>
    <w:rsid w:val="00C67B49"/>
    <w:rsid w:val="00C67D20"/>
    <w:rsid w:val="00C711F5"/>
    <w:rsid w:val="00C713A1"/>
    <w:rsid w:val="00C71828"/>
    <w:rsid w:val="00C72105"/>
    <w:rsid w:val="00C74520"/>
    <w:rsid w:val="00C74954"/>
    <w:rsid w:val="00C7557A"/>
    <w:rsid w:val="00C75765"/>
    <w:rsid w:val="00C76028"/>
    <w:rsid w:val="00C76184"/>
    <w:rsid w:val="00C76462"/>
    <w:rsid w:val="00C7673D"/>
    <w:rsid w:val="00C76A80"/>
    <w:rsid w:val="00C76C27"/>
    <w:rsid w:val="00C76E09"/>
    <w:rsid w:val="00C76F07"/>
    <w:rsid w:val="00C77EF6"/>
    <w:rsid w:val="00C80A5B"/>
    <w:rsid w:val="00C80B4B"/>
    <w:rsid w:val="00C80D63"/>
    <w:rsid w:val="00C80E85"/>
    <w:rsid w:val="00C8129D"/>
    <w:rsid w:val="00C812D5"/>
    <w:rsid w:val="00C81536"/>
    <w:rsid w:val="00C81BEA"/>
    <w:rsid w:val="00C81DF5"/>
    <w:rsid w:val="00C82188"/>
    <w:rsid w:val="00C8242B"/>
    <w:rsid w:val="00C829D9"/>
    <w:rsid w:val="00C82A50"/>
    <w:rsid w:val="00C82EF3"/>
    <w:rsid w:val="00C8322A"/>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38E"/>
    <w:rsid w:val="00C874C8"/>
    <w:rsid w:val="00C90165"/>
    <w:rsid w:val="00C902DA"/>
    <w:rsid w:val="00C9063C"/>
    <w:rsid w:val="00C90733"/>
    <w:rsid w:val="00C9103C"/>
    <w:rsid w:val="00C921C4"/>
    <w:rsid w:val="00C9235F"/>
    <w:rsid w:val="00C9257F"/>
    <w:rsid w:val="00C9319C"/>
    <w:rsid w:val="00C9330C"/>
    <w:rsid w:val="00C934F6"/>
    <w:rsid w:val="00C93874"/>
    <w:rsid w:val="00C93A4C"/>
    <w:rsid w:val="00C944EB"/>
    <w:rsid w:val="00C94FD2"/>
    <w:rsid w:val="00C95341"/>
    <w:rsid w:val="00C95B76"/>
    <w:rsid w:val="00C964C3"/>
    <w:rsid w:val="00C964D6"/>
    <w:rsid w:val="00C96635"/>
    <w:rsid w:val="00C966B7"/>
    <w:rsid w:val="00C969DB"/>
    <w:rsid w:val="00C96A6E"/>
    <w:rsid w:val="00C97A4A"/>
    <w:rsid w:val="00C97DC9"/>
    <w:rsid w:val="00C97EE3"/>
    <w:rsid w:val="00CA042A"/>
    <w:rsid w:val="00CA1033"/>
    <w:rsid w:val="00CA12BA"/>
    <w:rsid w:val="00CA165C"/>
    <w:rsid w:val="00CA193C"/>
    <w:rsid w:val="00CA1C0D"/>
    <w:rsid w:val="00CA1DAE"/>
    <w:rsid w:val="00CA1E62"/>
    <w:rsid w:val="00CA2267"/>
    <w:rsid w:val="00CA38AD"/>
    <w:rsid w:val="00CA3EEE"/>
    <w:rsid w:val="00CA4403"/>
    <w:rsid w:val="00CA5098"/>
    <w:rsid w:val="00CA5503"/>
    <w:rsid w:val="00CA612D"/>
    <w:rsid w:val="00CA651B"/>
    <w:rsid w:val="00CA66C3"/>
    <w:rsid w:val="00CA6CAD"/>
    <w:rsid w:val="00CA70A8"/>
    <w:rsid w:val="00CA70D0"/>
    <w:rsid w:val="00CA74A4"/>
    <w:rsid w:val="00CA75FD"/>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FE0"/>
    <w:rsid w:val="00CB4728"/>
    <w:rsid w:val="00CB59E7"/>
    <w:rsid w:val="00CB5D27"/>
    <w:rsid w:val="00CB5E4A"/>
    <w:rsid w:val="00CB6B57"/>
    <w:rsid w:val="00CB6FCA"/>
    <w:rsid w:val="00CB724D"/>
    <w:rsid w:val="00CB73EA"/>
    <w:rsid w:val="00CB76E3"/>
    <w:rsid w:val="00CB7D4E"/>
    <w:rsid w:val="00CB7F1F"/>
    <w:rsid w:val="00CC002B"/>
    <w:rsid w:val="00CC07E5"/>
    <w:rsid w:val="00CC09F0"/>
    <w:rsid w:val="00CC0C11"/>
    <w:rsid w:val="00CC1F52"/>
    <w:rsid w:val="00CC233F"/>
    <w:rsid w:val="00CC27FD"/>
    <w:rsid w:val="00CC2920"/>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C7D5E"/>
    <w:rsid w:val="00CD00DB"/>
    <w:rsid w:val="00CD0119"/>
    <w:rsid w:val="00CD07FD"/>
    <w:rsid w:val="00CD0866"/>
    <w:rsid w:val="00CD0B6B"/>
    <w:rsid w:val="00CD1169"/>
    <w:rsid w:val="00CD15F1"/>
    <w:rsid w:val="00CD16C7"/>
    <w:rsid w:val="00CD1A40"/>
    <w:rsid w:val="00CD1B33"/>
    <w:rsid w:val="00CD25F3"/>
    <w:rsid w:val="00CD27FF"/>
    <w:rsid w:val="00CD2875"/>
    <w:rsid w:val="00CD2DF3"/>
    <w:rsid w:val="00CD305C"/>
    <w:rsid w:val="00CD3A6D"/>
    <w:rsid w:val="00CD3E5A"/>
    <w:rsid w:val="00CD3E63"/>
    <w:rsid w:val="00CD40A3"/>
    <w:rsid w:val="00CD4353"/>
    <w:rsid w:val="00CD457E"/>
    <w:rsid w:val="00CD4CD3"/>
    <w:rsid w:val="00CD589F"/>
    <w:rsid w:val="00CD60C9"/>
    <w:rsid w:val="00CD6345"/>
    <w:rsid w:val="00CD6835"/>
    <w:rsid w:val="00CD6BBB"/>
    <w:rsid w:val="00CD706C"/>
    <w:rsid w:val="00CD7482"/>
    <w:rsid w:val="00CD7C66"/>
    <w:rsid w:val="00CE05BD"/>
    <w:rsid w:val="00CE07C1"/>
    <w:rsid w:val="00CE1567"/>
    <w:rsid w:val="00CE1859"/>
    <w:rsid w:val="00CE186F"/>
    <w:rsid w:val="00CE20E3"/>
    <w:rsid w:val="00CE273A"/>
    <w:rsid w:val="00CE321C"/>
    <w:rsid w:val="00CE32D4"/>
    <w:rsid w:val="00CE32E8"/>
    <w:rsid w:val="00CE3502"/>
    <w:rsid w:val="00CE353C"/>
    <w:rsid w:val="00CE3700"/>
    <w:rsid w:val="00CE3B69"/>
    <w:rsid w:val="00CE4559"/>
    <w:rsid w:val="00CE4B49"/>
    <w:rsid w:val="00CE5118"/>
    <w:rsid w:val="00CE5487"/>
    <w:rsid w:val="00CE59B5"/>
    <w:rsid w:val="00CE59DB"/>
    <w:rsid w:val="00CE5D3A"/>
    <w:rsid w:val="00CE67D8"/>
    <w:rsid w:val="00CE68EA"/>
    <w:rsid w:val="00CE7381"/>
    <w:rsid w:val="00CE7447"/>
    <w:rsid w:val="00CE74CE"/>
    <w:rsid w:val="00CE7510"/>
    <w:rsid w:val="00CF0829"/>
    <w:rsid w:val="00CF0E74"/>
    <w:rsid w:val="00CF15E3"/>
    <w:rsid w:val="00CF1833"/>
    <w:rsid w:val="00CF1AEA"/>
    <w:rsid w:val="00CF2091"/>
    <w:rsid w:val="00CF21F6"/>
    <w:rsid w:val="00CF2278"/>
    <w:rsid w:val="00CF2C62"/>
    <w:rsid w:val="00CF2F66"/>
    <w:rsid w:val="00CF337B"/>
    <w:rsid w:val="00CF3FE7"/>
    <w:rsid w:val="00CF420F"/>
    <w:rsid w:val="00CF4416"/>
    <w:rsid w:val="00CF5762"/>
    <w:rsid w:val="00CF64F6"/>
    <w:rsid w:val="00CF65B4"/>
    <w:rsid w:val="00CF6806"/>
    <w:rsid w:val="00CF69B0"/>
    <w:rsid w:val="00CF6C05"/>
    <w:rsid w:val="00CF709F"/>
    <w:rsid w:val="00CF7485"/>
    <w:rsid w:val="00CF7E56"/>
    <w:rsid w:val="00D01744"/>
    <w:rsid w:val="00D01C03"/>
    <w:rsid w:val="00D01F71"/>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33B"/>
    <w:rsid w:val="00D10477"/>
    <w:rsid w:val="00D107E2"/>
    <w:rsid w:val="00D11D76"/>
    <w:rsid w:val="00D121F5"/>
    <w:rsid w:val="00D126E4"/>
    <w:rsid w:val="00D131BF"/>
    <w:rsid w:val="00D13A90"/>
    <w:rsid w:val="00D140E6"/>
    <w:rsid w:val="00D14C7E"/>
    <w:rsid w:val="00D158EF"/>
    <w:rsid w:val="00D15B5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49E1"/>
    <w:rsid w:val="00D251AB"/>
    <w:rsid w:val="00D25240"/>
    <w:rsid w:val="00D25AC6"/>
    <w:rsid w:val="00D25BF1"/>
    <w:rsid w:val="00D25FAD"/>
    <w:rsid w:val="00D261D3"/>
    <w:rsid w:val="00D27086"/>
    <w:rsid w:val="00D2775C"/>
    <w:rsid w:val="00D27A4C"/>
    <w:rsid w:val="00D3140A"/>
    <w:rsid w:val="00D319DF"/>
    <w:rsid w:val="00D31C02"/>
    <w:rsid w:val="00D3225E"/>
    <w:rsid w:val="00D324BC"/>
    <w:rsid w:val="00D32B9F"/>
    <w:rsid w:val="00D331A5"/>
    <w:rsid w:val="00D33565"/>
    <w:rsid w:val="00D33761"/>
    <w:rsid w:val="00D33762"/>
    <w:rsid w:val="00D343A4"/>
    <w:rsid w:val="00D34BD1"/>
    <w:rsid w:val="00D35177"/>
    <w:rsid w:val="00D35340"/>
    <w:rsid w:val="00D3538E"/>
    <w:rsid w:val="00D356E1"/>
    <w:rsid w:val="00D361A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628C"/>
    <w:rsid w:val="00D47178"/>
    <w:rsid w:val="00D4752E"/>
    <w:rsid w:val="00D47842"/>
    <w:rsid w:val="00D47BEF"/>
    <w:rsid w:val="00D50826"/>
    <w:rsid w:val="00D51675"/>
    <w:rsid w:val="00D51F73"/>
    <w:rsid w:val="00D52827"/>
    <w:rsid w:val="00D529BE"/>
    <w:rsid w:val="00D52CF6"/>
    <w:rsid w:val="00D53D3E"/>
    <w:rsid w:val="00D547E0"/>
    <w:rsid w:val="00D548B1"/>
    <w:rsid w:val="00D54992"/>
    <w:rsid w:val="00D55291"/>
    <w:rsid w:val="00D55829"/>
    <w:rsid w:val="00D55C48"/>
    <w:rsid w:val="00D55E47"/>
    <w:rsid w:val="00D56392"/>
    <w:rsid w:val="00D56997"/>
    <w:rsid w:val="00D56BF7"/>
    <w:rsid w:val="00D570E6"/>
    <w:rsid w:val="00D5730F"/>
    <w:rsid w:val="00D5774F"/>
    <w:rsid w:val="00D6006A"/>
    <w:rsid w:val="00D60809"/>
    <w:rsid w:val="00D60D7F"/>
    <w:rsid w:val="00D61066"/>
    <w:rsid w:val="00D61C9C"/>
    <w:rsid w:val="00D61E7B"/>
    <w:rsid w:val="00D62111"/>
    <w:rsid w:val="00D62229"/>
    <w:rsid w:val="00D625B8"/>
    <w:rsid w:val="00D626F8"/>
    <w:rsid w:val="00D636DC"/>
    <w:rsid w:val="00D6370C"/>
    <w:rsid w:val="00D63F4C"/>
    <w:rsid w:val="00D64613"/>
    <w:rsid w:val="00D64702"/>
    <w:rsid w:val="00D6474A"/>
    <w:rsid w:val="00D649DC"/>
    <w:rsid w:val="00D65A6A"/>
    <w:rsid w:val="00D66008"/>
    <w:rsid w:val="00D66BFD"/>
    <w:rsid w:val="00D66C91"/>
    <w:rsid w:val="00D674EE"/>
    <w:rsid w:val="00D67535"/>
    <w:rsid w:val="00D67BC9"/>
    <w:rsid w:val="00D67DBC"/>
    <w:rsid w:val="00D704D9"/>
    <w:rsid w:val="00D70612"/>
    <w:rsid w:val="00D70934"/>
    <w:rsid w:val="00D70BD2"/>
    <w:rsid w:val="00D70C54"/>
    <w:rsid w:val="00D713F2"/>
    <w:rsid w:val="00D721B1"/>
    <w:rsid w:val="00D72705"/>
    <w:rsid w:val="00D7317B"/>
    <w:rsid w:val="00D7382F"/>
    <w:rsid w:val="00D738BF"/>
    <w:rsid w:val="00D73B93"/>
    <w:rsid w:val="00D73C52"/>
    <w:rsid w:val="00D73C95"/>
    <w:rsid w:val="00D73D17"/>
    <w:rsid w:val="00D7400F"/>
    <w:rsid w:val="00D745C1"/>
    <w:rsid w:val="00D74784"/>
    <w:rsid w:val="00D756F6"/>
    <w:rsid w:val="00D75731"/>
    <w:rsid w:val="00D75B45"/>
    <w:rsid w:val="00D75B5C"/>
    <w:rsid w:val="00D75F8C"/>
    <w:rsid w:val="00D76050"/>
    <w:rsid w:val="00D76210"/>
    <w:rsid w:val="00D76309"/>
    <w:rsid w:val="00D76423"/>
    <w:rsid w:val="00D767BF"/>
    <w:rsid w:val="00D77278"/>
    <w:rsid w:val="00D775B5"/>
    <w:rsid w:val="00D77961"/>
    <w:rsid w:val="00D77A47"/>
    <w:rsid w:val="00D77B20"/>
    <w:rsid w:val="00D77B3B"/>
    <w:rsid w:val="00D8007C"/>
    <w:rsid w:val="00D8031E"/>
    <w:rsid w:val="00D8079F"/>
    <w:rsid w:val="00D81036"/>
    <w:rsid w:val="00D8103B"/>
    <w:rsid w:val="00D8111B"/>
    <w:rsid w:val="00D81242"/>
    <w:rsid w:val="00D812D2"/>
    <w:rsid w:val="00D81C87"/>
    <w:rsid w:val="00D81CC2"/>
    <w:rsid w:val="00D82C80"/>
    <w:rsid w:val="00D82D02"/>
    <w:rsid w:val="00D82D0F"/>
    <w:rsid w:val="00D834A5"/>
    <w:rsid w:val="00D8353C"/>
    <w:rsid w:val="00D83A5A"/>
    <w:rsid w:val="00D84157"/>
    <w:rsid w:val="00D84AB8"/>
    <w:rsid w:val="00D84BD7"/>
    <w:rsid w:val="00D84DCA"/>
    <w:rsid w:val="00D85114"/>
    <w:rsid w:val="00D857BC"/>
    <w:rsid w:val="00D85CC6"/>
    <w:rsid w:val="00D86A92"/>
    <w:rsid w:val="00D871B6"/>
    <w:rsid w:val="00D873F3"/>
    <w:rsid w:val="00D875E1"/>
    <w:rsid w:val="00D90275"/>
    <w:rsid w:val="00D902F5"/>
    <w:rsid w:val="00D9037F"/>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5AC"/>
    <w:rsid w:val="00DA15EB"/>
    <w:rsid w:val="00DA18DA"/>
    <w:rsid w:val="00DA1F0C"/>
    <w:rsid w:val="00DA2A10"/>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8"/>
    <w:rsid w:val="00DA7029"/>
    <w:rsid w:val="00DA77A0"/>
    <w:rsid w:val="00DB09A2"/>
    <w:rsid w:val="00DB103D"/>
    <w:rsid w:val="00DB1448"/>
    <w:rsid w:val="00DB1907"/>
    <w:rsid w:val="00DB1998"/>
    <w:rsid w:val="00DB1FC4"/>
    <w:rsid w:val="00DB21F0"/>
    <w:rsid w:val="00DB2C5F"/>
    <w:rsid w:val="00DB3A58"/>
    <w:rsid w:val="00DB3BDF"/>
    <w:rsid w:val="00DB3C58"/>
    <w:rsid w:val="00DB3C72"/>
    <w:rsid w:val="00DB3D46"/>
    <w:rsid w:val="00DB401C"/>
    <w:rsid w:val="00DB46C8"/>
    <w:rsid w:val="00DB52F0"/>
    <w:rsid w:val="00DB540E"/>
    <w:rsid w:val="00DB5899"/>
    <w:rsid w:val="00DB5A63"/>
    <w:rsid w:val="00DB6166"/>
    <w:rsid w:val="00DB6520"/>
    <w:rsid w:val="00DB656B"/>
    <w:rsid w:val="00DB6803"/>
    <w:rsid w:val="00DB691E"/>
    <w:rsid w:val="00DB6C64"/>
    <w:rsid w:val="00DB6C99"/>
    <w:rsid w:val="00DB75A3"/>
    <w:rsid w:val="00DC02F5"/>
    <w:rsid w:val="00DC0574"/>
    <w:rsid w:val="00DC0C65"/>
    <w:rsid w:val="00DC10E5"/>
    <w:rsid w:val="00DC16BF"/>
    <w:rsid w:val="00DC16E1"/>
    <w:rsid w:val="00DC16FC"/>
    <w:rsid w:val="00DC1881"/>
    <w:rsid w:val="00DC1ED7"/>
    <w:rsid w:val="00DC294E"/>
    <w:rsid w:val="00DC3921"/>
    <w:rsid w:val="00DC3A6F"/>
    <w:rsid w:val="00DC3D1C"/>
    <w:rsid w:val="00DC42FE"/>
    <w:rsid w:val="00DC43E1"/>
    <w:rsid w:val="00DC48A4"/>
    <w:rsid w:val="00DC5199"/>
    <w:rsid w:val="00DC5A32"/>
    <w:rsid w:val="00DC5E4E"/>
    <w:rsid w:val="00DC651B"/>
    <w:rsid w:val="00DC662F"/>
    <w:rsid w:val="00DC6961"/>
    <w:rsid w:val="00DC6E78"/>
    <w:rsid w:val="00DC707F"/>
    <w:rsid w:val="00DC729A"/>
    <w:rsid w:val="00DC73B1"/>
    <w:rsid w:val="00DC7519"/>
    <w:rsid w:val="00DC7630"/>
    <w:rsid w:val="00DC7708"/>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0C"/>
    <w:rsid w:val="00DD4B12"/>
    <w:rsid w:val="00DD4BFA"/>
    <w:rsid w:val="00DD51F8"/>
    <w:rsid w:val="00DD5829"/>
    <w:rsid w:val="00DD6388"/>
    <w:rsid w:val="00DD6C53"/>
    <w:rsid w:val="00DD7082"/>
    <w:rsid w:val="00DD7198"/>
    <w:rsid w:val="00DD7752"/>
    <w:rsid w:val="00DD7CB6"/>
    <w:rsid w:val="00DE0077"/>
    <w:rsid w:val="00DE0137"/>
    <w:rsid w:val="00DE01BA"/>
    <w:rsid w:val="00DE061F"/>
    <w:rsid w:val="00DE0DCF"/>
    <w:rsid w:val="00DE137B"/>
    <w:rsid w:val="00DE19D9"/>
    <w:rsid w:val="00DE1DC6"/>
    <w:rsid w:val="00DE1F77"/>
    <w:rsid w:val="00DE21C6"/>
    <w:rsid w:val="00DE21E0"/>
    <w:rsid w:val="00DE22AA"/>
    <w:rsid w:val="00DE288F"/>
    <w:rsid w:val="00DE2C45"/>
    <w:rsid w:val="00DE2D49"/>
    <w:rsid w:val="00DE2ED5"/>
    <w:rsid w:val="00DE2F4E"/>
    <w:rsid w:val="00DE3E66"/>
    <w:rsid w:val="00DE3F75"/>
    <w:rsid w:val="00DE41FC"/>
    <w:rsid w:val="00DE45F5"/>
    <w:rsid w:val="00DE4AAD"/>
    <w:rsid w:val="00DE4C0C"/>
    <w:rsid w:val="00DE4FC8"/>
    <w:rsid w:val="00DE53B5"/>
    <w:rsid w:val="00DE5A50"/>
    <w:rsid w:val="00DE60C5"/>
    <w:rsid w:val="00DE6A8A"/>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44F4"/>
    <w:rsid w:val="00DF5F13"/>
    <w:rsid w:val="00DF63DD"/>
    <w:rsid w:val="00DF6544"/>
    <w:rsid w:val="00DF6B62"/>
    <w:rsid w:val="00DF7BD0"/>
    <w:rsid w:val="00DF7BDF"/>
    <w:rsid w:val="00E00303"/>
    <w:rsid w:val="00E005D1"/>
    <w:rsid w:val="00E00A62"/>
    <w:rsid w:val="00E010A0"/>
    <w:rsid w:val="00E0125E"/>
    <w:rsid w:val="00E01668"/>
    <w:rsid w:val="00E0173A"/>
    <w:rsid w:val="00E01849"/>
    <w:rsid w:val="00E020D1"/>
    <w:rsid w:val="00E02B4E"/>
    <w:rsid w:val="00E02B64"/>
    <w:rsid w:val="00E02EAD"/>
    <w:rsid w:val="00E03453"/>
    <w:rsid w:val="00E03D3F"/>
    <w:rsid w:val="00E03DED"/>
    <w:rsid w:val="00E0437C"/>
    <w:rsid w:val="00E0452C"/>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EFA"/>
    <w:rsid w:val="00E151B9"/>
    <w:rsid w:val="00E158C4"/>
    <w:rsid w:val="00E15CC4"/>
    <w:rsid w:val="00E15DA3"/>
    <w:rsid w:val="00E161E6"/>
    <w:rsid w:val="00E167C9"/>
    <w:rsid w:val="00E1698C"/>
    <w:rsid w:val="00E16BDB"/>
    <w:rsid w:val="00E172BE"/>
    <w:rsid w:val="00E17CF7"/>
    <w:rsid w:val="00E205D6"/>
    <w:rsid w:val="00E209AB"/>
    <w:rsid w:val="00E21060"/>
    <w:rsid w:val="00E216EC"/>
    <w:rsid w:val="00E2189A"/>
    <w:rsid w:val="00E21A60"/>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6E4F"/>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69D4"/>
    <w:rsid w:val="00E370F8"/>
    <w:rsid w:val="00E3713C"/>
    <w:rsid w:val="00E37362"/>
    <w:rsid w:val="00E3767B"/>
    <w:rsid w:val="00E37E1C"/>
    <w:rsid w:val="00E40079"/>
    <w:rsid w:val="00E40126"/>
    <w:rsid w:val="00E4013B"/>
    <w:rsid w:val="00E40C85"/>
    <w:rsid w:val="00E40CBF"/>
    <w:rsid w:val="00E40E7D"/>
    <w:rsid w:val="00E40EE4"/>
    <w:rsid w:val="00E413C6"/>
    <w:rsid w:val="00E41F9E"/>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6889"/>
    <w:rsid w:val="00E479FD"/>
    <w:rsid w:val="00E47A76"/>
    <w:rsid w:val="00E504D6"/>
    <w:rsid w:val="00E50B6F"/>
    <w:rsid w:val="00E50EBE"/>
    <w:rsid w:val="00E50F69"/>
    <w:rsid w:val="00E50FC6"/>
    <w:rsid w:val="00E52372"/>
    <w:rsid w:val="00E5272D"/>
    <w:rsid w:val="00E52786"/>
    <w:rsid w:val="00E52F05"/>
    <w:rsid w:val="00E540CA"/>
    <w:rsid w:val="00E54C83"/>
    <w:rsid w:val="00E54CF5"/>
    <w:rsid w:val="00E55460"/>
    <w:rsid w:val="00E55B28"/>
    <w:rsid w:val="00E56020"/>
    <w:rsid w:val="00E56D4A"/>
    <w:rsid w:val="00E57119"/>
    <w:rsid w:val="00E5719E"/>
    <w:rsid w:val="00E57D7B"/>
    <w:rsid w:val="00E57F4B"/>
    <w:rsid w:val="00E600A6"/>
    <w:rsid w:val="00E602E5"/>
    <w:rsid w:val="00E602F8"/>
    <w:rsid w:val="00E6085B"/>
    <w:rsid w:val="00E60FBA"/>
    <w:rsid w:val="00E60FBF"/>
    <w:rsid w:val="00E611AE"/>
    <w:rsid w:val="00E616F9"/>
    <w:rsid w:val="00E61852"/>
    <w:rsid w:val="00E61A0C"/>
    <w:rsid w:val="00E61D22"/>
    <w:rsid w:val="00E61D96"/>
    <w:rsid w:val="00E61E4B"/>
    <w:rsid w:val="00E61E57"/>
    <w:rsid w:val="00E62F6E"/>
    <w:rsid w:val="00E63B3C"/>
    <w:rsid w:val="00E63DA2"/>
    <w:rsid w:val="00E641E8"/>
    <w:rsid w:val="00E642AF"/>
    <w:rsid w:val="00E644C6"/>
    <w:rsid w:val="00E64555"/>
    <w:rsid w:val="00E64595"/>
    <w:rsid w:val="00E646BB"/>
    <w:rsid w:val="00E64B83"/>
    <w:rsid w:val="00E64D24"/>
    <w:rsid w:val="00E64FAF"/>
    <w:rsid w:val="00E653A6"/>
    <w:rsid w:val="00E6549C"/>
    <w:rsid w:val="00E654B9"/>
    <w:rsid w:val="00E6589D"/>
    <w:rsid w:val="00E65E8C"/>
    <w:rsid w:val="00E665E7"/>
    <w:rsid w:val="00E6661C"/>
    <w:rsid w:val="00E66C96"/>
    <w:rsid w:val="00E70130"/>
    <w:rsid w:val="00E706DE"/>
    <w:rsid w:val="00E71063"/>
    <w:rsid w:val="00E715FC"/>
    <w:rsid w:val="00E7199E"/>
    <w:rsid w:val="00E71A45"/>
    <w:rsid w:val="00E71C21"/>
    <w:rsid w:val="00E727A4"/>
    <w:rsid w:val="00E72F23"/>
    <w:rsid w:val="00E730FC"/>
    <w:rsid w:val="00E73481"/>
    <w:rsid w:val="00E7385A"/>
    <w:rsid w:val="00E7391F"/>
    <w:rsid w:val="00E73CE6"/>
    <w:rsid w:val="00E74780"/>
    <w:rsid w:val="00E74956"/>
    <w:rsid w:val="00E74F7C"/>
    <w:rsid w:val="00E75061"/>
    <w:rsid w:val="00E752F7"/>
    <w:rsid w:val="00E75848"/>
    <w:rsid w:val="00E759D4"/>
    <w:rsid w:val="00E76A3C"/>
    <w:rsid w:val="00E76F9B"/>
    <w:rsid w:val="00E771FC"/>
    <w:rsid w:val="00E773E5"/>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218"/>
    <w:rsid w:val="00E844AB"/>
    <w:rsid w:val="00E84C97"/>
    <w:rsid w:val="00E85005"/>
    <w:rsid w:val="00E85296"/>
    <w:rsid w:val="00E8533B"/>
    <w:rsid w:val="00E85E4E"/>
    <w:rsid w:val="00E86327"/>
    <w:rsid w:val="00E86DF0"/>
    <w:rsid w:val="00E87BD2"/>
    <w:rsid w:val="00E87CDC"/>
    <w:rsid w:val="00E90B33"/>
    <w:rsid w:val="00E910E4"/>
    <w:rsid w:val="00E911E0"/>
    <w:rsid w:val="00E9163E"/>
    <w:rsid w:val="00E92115"/>
    <w:rsid w:val="00E93407"/>
    <w:rsid w:val="00E940A8"/>
    <w:rsid w:val="00E94307"/>
    <w:rsid w:val="00E947E8"/>
    <w:rsid w:val="00E94B0F"/>
    <w:rsid w:val="00E9503F"/>
    <w:rsid w:val="00E956F3"/>
    <w:rsid w:val="00E95AA7"/>
    <w:rsid w:val="00E9662E"/>
    <w:rsid w:val="00E96E68"/>
    <w:rsid w:val="00E97013"/>
    <w:rsid w:val="00E97EA1"/>
    <w:rsid w:val="00EA0BBE"/>
    <w:rsid w:val="00EA137C"/>
    <w:rsid w:val="00EA18B9"/>
    <w:rsid w:val="00EA1FBC"/>
    <w:rsid w:val="00EA20A1"/>
    <w:rsid w:val="00EA212B"/>
    <w:rsid w:val="00EA24B5"/>
    <w:rsid w:val="00EA2AAA"/>
    <w:rsid w:val="00EA2D44"/>
    <w:rsid w:val="00EA3A1D"/>
    <w:rsid w:val="00EA3CD7"/>
    <w:rsid w:val="00EA3D04"/>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321"/>
    <w:rsid w:val="00EA75BD"/>
    <w:rsid w:val="00EA7786"/>
    <w:rsid w:val="00EA7C47"/>
    <w:rsid w:val="00EB0F0F"/>
    <w:rsid w:val="00EB12A5"/>
    <w:rsid w:val="00EB1587"/>
    <w:rsid w:val="00EB24D8"/>
    <w:rsid w:val="00EB277B"/>
    <w:rsid w:val="00EB2F20"/>
    <w:rsid w:val="00EB2F35"/>
    <w:rsid w:val="00EB31DB"/>
    <w:rsid w:val="00EB3422"/>
    <w:rsid w:val="00EB3A31"/>
    <w:rsid w:val="00EB4EAF"/>
    <w:rsid w:val="00EB4EE8"/>
    <w:rsid w:val="00EB548E"/>
    <w:rsid w:val="00EB5C41"/>
    <w:rsid w:val="00EB5F5A"/>
    <w:rsid w:val="00EB656C"/>
    <w:rsid w:val="00EB657E"/>
    <w:rsid w:val="00EB695E"/>
    <w:rsid w:val="00EB69D1"/>
    <w:rsid w:val="00EB69D4"/>
    <w:rsid w:val="00EB6FE9"/>
    <w:rsid w:val="00EB72FF"/>
    <w:rsid w:val="00EB753E"/>
    <w:rsid w:val="00EB756F"/>
    <w:rsid w:val="00EB79C8"/>
    <w:rsid w:val="00EB7E3F"/>
    <w:rsid w:val="00EB7E78"/>
    <w:rsid w:val="00EC0301"/>
    <w:rsid w:val="00EC08B5"/>
    <w:rsid w:val="00EC09C6"/>
    <w:rsid w:val="00EC0EA5"/>
    <w:rsid w:val="00EC1056"/>
    <w:rsid w:val="00EC1470"/>
    <w:rsid w:val="00EC222E"/>
    <w:rsid w:val="00EC252B"/>
    <w:rsid w:val="00EC2716"/>
    <w:rsid w:val="00EC2DBB"/>
    <w:rsid w:val="00EC358E"/>
    <w:rsid w:val="00EC3940"/>
    <w:rsid w:val="00EC3FD2"/>
    <w:rsid w:val="00EC4095"/>
    <w:rsid w:val="00EC43B5"/>
    <w:rsid w:val="00EC4537"/>
    <w:rsid w:val="00EC472C"/>
    <w:rsid w:val="00EC4960"/>
    <w:rsid w:val="00EC4AE3"/>
    <w:rsid w:val="00EC5414"/>
    <w:rsid w:val="00EC54EE"/>
    <w:rsid w:val="00EC59B2"/>
    <w:rsid w:val="00EC5A3B"/>
    <w:rsid w:val="00EC6424"/>
    <w:rsid w:val="00EC786C"/>
    <w:rsid w:val="00EC7ADD"/>
    <w:rsid w:val="00EC7C26"/>
    <w:rsid w:val="00ED015C"/>
    <w:rsid w:val="00ED04FE"/>
    <w:rsid w:val="00ED0DD0"/>
    <w:rsid w:val="00ED1122"/>
    <w:rsid w:val="00ED15A5"/>
    <w:rsid w:val="00ED1989"/>
    <w:rsid w:val="00ED28F2"/>
    <w:rsid w:val="00ED2F3E"/>
    <w:rsid w:val="00ED3145"/>
    <w:rsid w:val="00ED3309"/>
    <w:rsid w:val="00ED356E"/>
    <w:rsid w:val="00ED3792"/>
    <w:rsid w:val="00ED3BDA"/>
    <w:rsid w:val="00ED5A3B"/>
    <w:rsid w:val="00ED5C30"/>
    <w:rsid w:val="00ED5E02"/>
    <w:rsid w:val="00ED5E19"/>
    <w:rsid w:val="00ED5EED"/>
    <w:rsid w:val="00ED612A"/>
    <w:rsid w:val="00ED6B1C"/>
    <w:rsid w:val="00ED6CF7"/>
    <w:rsid w:val="00ED6DC6"/>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11"/>
    <w:rsid w:val="00EE4B75"/>
    <w:rsid w:val="00EE4D34"/>
    <w:rsid w:val="00EE4DBD"/>
    <w:rsid w:val="00EE6AC6"/>
    <w:rsid w:val="00EE6E26"/>
    <w:rsid w:val="00EE784F"/>
    <w:rsid w:val="00EE7A1D"/>
    <w:rsid w:val="00EE7BA1"/>
    <w:rsid w:val="00EE7DBD"/>
    <w:rsid w:val="00EF0500"/>
    <w:rsid w:val="00EF0808"/>
    <w:rsid w:val="00EF0AAE"/>
    <w:rsid w:val="00EF1002"/>
    <w:rsid w:val="00EF143F"/>
    <w:rsid w:val="00EF1986"/>
    <w:rsid w:val="00EF1D3B"/>
    <w:rsid w:val="00EF23D8"/>
    <w:rsid w:val="00EF2A5A"/>
    <w:rsid w:val="00EF2A87"/>
    <w:rsid w:val="00EF388E"/>
    <w:rsid w:val="00EF3A74"/>
    <w:rsid w:val="00EF3AE9"/>
    <w:rsid w:val="00EF3EA5"/>
    <w:rsid w:val="00EF49FB"/>
    <w:rsid w:val="00EF4EDE"/>
    <w:rsid w:val="00EF55D6"/>
    <w:rsid w:val="00EF644D"/>
    <w:rsid w:val="00EF6BAD"/>
    <w:rsid w:val="00EF6D29"/>
    <w:rsid w:val="00EF6E79"/>
    <w:rsid w:val="00EF7138"/>
    <w:rsid w:val="00EF7E0B"/>
    <w:rsid w:val="00F006AD"/>
    <w:rsid w:val="00F00881"/>
    <w:rsid w:val="00F00917"/>
    <w:rsid w:val="00F00B65"/>
    <w:rsid w:val="00F010BB"/>
    <w:rsid w:val="00F012C1"/>
    <w:rsid w:val="00F0175F"/>
    <w:rsid w:val="00F01A41"/>
    <w:rsid w:val="00F03280"/>
    <w:rsid w:val="00F0362A"/>
    <w:rsid w:val="00F0385C"/>
    <w:rsid w:val="00F03ABE"/>
    <w:rsid w:val="00F03B69"/>
    <w:rsid w:val="00F04345"/>
    <w:rsid w:val="00F047A4"/>
    <w:rsid w:val="00F04F52"/>
    <w:rsid w:val="00F0502D"/>
    <w:rsid w:val="00F0510F"/>
    <w:rsid w:val="00F0563F"/>
    <w:rsid w:val="00F05973"/>
    <w:rsid w:val="00F064D5"/>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858"/>
    <w:rsid w:val="00F13AA1"/>
    <w:rsid w:val="00F13F2A"/>
    <w:rsid w:val="00F14D9E"/>
    <w:rsid w:val="00F15097"/>
    <w:rsid w:val="00F153F8"/>
    <w:rsid w:val="00F15671"/>
    <w:rsid w:val="00F1643E"/>
    <w:rsid w:val="00F16506"/>
    <w:rsid w:val="00F16695"/>
    <w:rsid w:val="00F17159"/>
    <w:rsid w:val="00F1733F"/>
    <w:rsid w:val="00F202E3"/>
    <w:rsid w:val="00F20C6E"/>
    <w:rsid w:val="00F20D6C"/>
    <w:rsid w:val="00F20F03"/>
    <w:rsid w:val="00F211AF"/>
    <w:rsid w:val="00F2255F"/>
    <w:rsid w:val="00F225CF"/>
    <w:rsid w:val="00F22712"/>
    <w:rsid w:val="00F2279B"/>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B04"/>
    <w:rsid w:val="00F27E3D"/>
    <w:rsid w:val="00F27EB2"/>
    <w:rsid w:val="00F301D0"/>
    <w:rsid w:val="00F3069F"/>
    <w:rsid w:val="00F30A02"/>
    <w:rsid w:val="00F30C3F"/>
    <w:rsid w:val="00F30C60"/>
    <w:rsid w:val="00F30F38"/>
    <w:rsid w:val="00F311D1"/>
    <w:rsid w:val="00F3158A"/>
    <w:rsid w:val="00F318DB"/>
    <w:rsid w:val="00F3199C"/>
    <w:rsid w:val="00F31F7D"/>
    <w:rsid w:val="00F31FB9"/>
    <w:rsid w:val="00F325E1"/>
    <w:rsid w:val="00F326F6"/>
    <w:rsid w:val="00F32AFF"/>
    <w:rsid w:val="00F33550"/>
    <w:rsid w:val="00F33825"/>
    <w:rsid w:val="00F33968"/>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9BF"/>
    <w:rsid w:val="00F37EA7"/>
    <w:rsid w:val="00F405C7"/>
    <w:rsid w:val="00F40805"/>
    <w:rsid w:val="00F40B93"/>
    <w:rsid w:val="00F40C5E"/>
    <w:rsid w:val="00F40E3E"/>
    <w:rsid w:val="00F4163A"/>
    <w:rsid w:val="00F41873"/>
    <w:rsid w:val="00F419C3"/>
    <w:rsid w:val="00F41D91"/>
    <w:rsid w:val="00F41E2B"/>
    <w:rsid w:val="00F421DA"/>
    <w:rsid w:val="00F423BE"/>
    <w:rsid w:val="00F424A5"/>
    <w:rsid w:val="00F425EF"/>
    <w:rsid w:val="00F428AC"/>
    <w:rsid w:val="00F42AAD"/>
    <w:rsid w:val="00F42EE3"/>
    <w:rsid w:val="00F43149"/>
    <w:rsid w:val="00F43660"/>
    <w:rsid w:val="00F43B91"/>
    <w:rsid w:val="00F44542"/>
    <w:rsid w:val="00F4482A"/>
    <w:rsid w:val="00F448DD"/>
    <w:rsid w:val="00F44D6A"/>
    <w:rsid w:val="00F44DB8"/>
    <w:rsid w:val="00F455C0"/>
    <w:rsid w:val="00F45760"/>
    <w:rsid w:val="00F45925"/>
    <w:rsid w:val="00F46BA6"/>
    <w:rsid w:val="00F46C97"/>
    <w:rsid w:val="00F4703E"/>
    <w:rsid w:val="00F4775F"/>
    <w:rsid w:val="00F47824"/>
    <w:rsid w:val="00F503E6"/>
    <w:rsid w:val="00F50427"/>
    <w:rsid w:val="00F50781"/>
    <w:rsid w:val="00F50CA3"/>
    <w:rsid w:val="00F517ED"/>
    <w:rsid w:val="00F51F3F"/>
    <w:rsid w:val="00F528B5"/>
    <w:rsid w:val="00F528E7"/>
    <w:rsid w:val="00F52C8A"/>
    <w:rsid w:val="00F5352D"/>
    <w:rsid w:val="00F53615"/>
    <w:rsid w:val="00F53A91"/>
    <w:rsid w:val="00F5441F"/>
    <w:rsid w:val="00F54466"/>
    <w:rsid w:val="00F54783"/>
    <w:rsid w:val="00F547E9"/>
    <w:rsid w:val="00F5494E"/>
    <w:rsid w:val="00F54ABE"/>
    <w:rsid w:val="00F55385"/>
    <w:rsid w:val="00F55804"/>
    <w:rsid w:val="00F55F1A"/>
    <w:rsid w:val="00F56310"/>
    <w:rsid w:val="00F5684C"/>
    <w:rsid w:val="00F570D4"/>
    <w:rsid w:val="00F57210"/>
    <w:rsid w:val="00F577FC"/>
    <w:rsid w:val="00F602F0"/>
    <w:rsid w:val="00F60C90"/>
    <w:rsid w:val="00F619EE"/>
    <w:rsid w:val="00F61CF5"/>
    <w:rsid w:val="00F61FF9"/>
    <w:rsid w:val="00F62069"/>
    <w:rsid w:val="00F620E0"/>
    <w:rsid w:val="00F62159"/>
    <w:rsid w:val="00F62A7C"/>
    <w:rsid w:val="00F62A7D"/>
    <w:rsid w:val="00F62B93"/>
    <w:rsid w:val="00F633CC"/>
    <w:rsid w:val="00F633E5"/>
    <w:rsid w:val="00F63C89"/>
    <w:rsid w:val="00F647EC"/>
    <w:rsid w:val="00F64FAB"/>
    <w:rsid w:val="00F65AC8"/>
    <w:rsid w:val="00F65CEA"/>
    <w:rsid w:val="00F65DE8"/>
    <w:rsid w:val="00F65F15"/>
    <w:rsid w:val="00F66443"/>
    <w:rsid w:val="00F675EA"/>
    <w:rsid w:val="00F7073B"/>
    <w:rsid w:val="00F7074A"/>
    <w:rsid w:val="00F70809"/>
    <w:rsid w:val="00F70AD6"/>
    <w:rsid w:val="00F71687"/>
    <w:rsid w:val="00F71708"/>
    <w:rsid w:val="00F717C1"/>
    <w:rsid w:val="00F71AAE"/>
    <w:rsid w:val="00F71CDB"/>
    <w:rsid w:val="00F725D3"/>
    <w:rsid w:val="00F7281E"/>
    <w:rsid w:val="00F72C1A"/>
    <w:rsid w:val="00F72C3D"/>
    <w:rsid w:val="00F737AB"/>
    <w:rsid w:val="00F74216"/>
    <w:rsid w:val="00F749A8"/>
    <w:rsid w:val="00F74F0F"/>
    <w:rsid w:val="00F75731"/>
    <w:rsid w:val="00F75841"/>
    <w:rsid w:val="00F76333"/>
    <w:rsid w:val="00F770C6"/>
    <w:rsid w:val="00F77100"/>
    <w:rsid w:val="00F77843"/>
    <w:rsid w:val="00F8031F"/>
    <w:rsid w:val="00F80550"/>
    <w:rsid w:val="00F8090F"/>
    <w:rsid w:val="00F80A8A"/>
    <w:rsid w:val="00F8119A"/>
    <w:rsid w:val="00F8139A"/>
    <w:rsid w:val="00F82AAE"/>
    <w:rsid w:val="00F834B9"/>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55D"/>
    <w:rsid w:val="00F91669"/>
    <w:rsid w:val="00F916DE"/>
    <w:rsid w:val="00F9184F"/>
    <w:rsid w:val="00F91943"/>
    <w:rsid w:val="00F9231D"/>
    <w:rsid w:val="00F9261F"/>
    <w:rsid w:val="00F92A66"/>
    <w:rsid w:val="00F931CF"/>
    <w:rsid w:val="00F93A31"/>
    <w:rsid w:val="00F93D6E"/>
    <w:rsid w:val="00F9423D"/>
    <w:rsid w:val="00F942C2"/>
    <w:rsid w:val="00F9449D"/>
    <w:rsid w:val="00F94609"/>
    <w:rsid w:val="00F94F16"/>
    <w:rsid w:val="00F95182"/>
    <w:rsid w:val="00F957D2"/>
    <w:rsid w:val="00F95D94"/>
    <w:rsid w:val="00F95E86"/>
    <w:rsid w:val="00F96F86"/>
    <w:rsid w:val="00FA02B8"/>
    <w:rsid w:val="00FA07CB"/>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6A25"/>
    <w:rsid w:val="00FA7157"/>
    <w:rsid w:val="00FA73A6"/>
    <w:rsid w:val="00FA7698"/>
    <w:rsid w:val="00FA78C2"/>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4CEE"/>
    <w:rsid w:val="00FB59D4"/>
    <w:rsid w:val="00FB5E81"/>
    <w:rsid w:val="00FB6E6C"/>
    <w:rsid w:val="00FB714B"/>
    <w:rsid w:val="00FB71B0"/>
    <w:rsid w:val="00FB7ABA"/>
    <w:rsid w:val="00FB7C21"/>
    <w:rsid w:val="00FB7C46"/>
    <w:rsid w:val="00FC02D1"/>
    <w:rsid w:val="00FC04E0"/>
    <w:rsid w:val="00FC06CE"/>
    <w:rsid w:val="00FC0D98"/>
    <w:rsid w:val="00FC0E2F"/>
    <w:rsid w:val="00FC1042"/>
    <w:rsid w:val="00FC11C6"/>
    <w:rsid w:val="00FC17D8"/>
    <w:rsid w:val="00FC2144"/>
    <w:rsid w:val="00FC279A"/>
    <w:rsid w:val="00FC324D"/>
    <w:rsid w:val="00FC39A1"/>
    <w:rsid w:val="00FC3BC3"/>
    <w:rsid w:val="00FC3E47"/>
    <w:rsid w:val="00FC4B53"/>
    <w:rsid w:val="00FC4BAE"/>
    <w:rsid w:val="00FC4F75"/>
    <w:rsid w:val="00FC5160"/>
    <w:rsid w:val="00FC5A36"/>
    <w:rsid w:val="00FC6353"/>
    <w:rsid w:val="00FC6638"/>
    <w:rsid w:val="00FC69CF"/>
    <w:rsid w:val="00FC6B0B"/>
    <w:rsid w:val="00FC713B"/>
    <w:rsid w:val="00FC7862"/>
    <w:rsid w:val="00FC79D5"/>
    <w:rsid w:val="00FC7B35"/>
    <w:rsid w:val="00FC7B53"/>
    <w:rsid w:val="00FC7BD8"/>
    <w:rsid w:val="00FD0177"/>
    <w:rsid w:val="00FD0AE7"/>
    <w:rsid w:val="00FD0B44"/>
    <w:rsid w:val="00FD0F70"/>
    <w:rsid w:val="00FD2315"/>
    <w:rsid w:val="00FD29A7"/>
    <w:rsid w:val="00FD2B15"/>
    <w:rsid w:val="00FD3092"/>
    <w:rsid w:val="00FD3D48"/>
    <w:rsid w:val="00FD3FAB"/>
    <w:rsid w:val="00FD412E"/>
    <w:rsid w:val="00FD41CD"/>
    <w:rsid w:val="00FD420F"/>
    <w:rsid w:val="00FD4339"/>
    <w:rsid w:val="00FD4B0C"/>
    <w:rsid w:val="00FD4E61"/>
    <w:rsid w:val="00FD4F2F"/>
    <w:rsid w:val="00FD51F7"/>
    <w:rsid w:val="00FD5258"/>
    <w:rsid w:val="00FD52E0"/>
    <w:rsid w:val="00FD5602"/>
    <w:rsid w:val="00FD5661"/>
    <w:rsid w:val="00FD5A2A"/>
    <w:rsid w:val="00FD5AE2"/>
    <w:rsid w:val="00FD5F79"/>
    <w:rsid w:val="00FD6163"/>
    <w:rsid w:val="00FD62B4"/>
    <w:rsid w:val="00FD69BB"/>
    <w:rsid w:val="00FD7142"/>
    <w:rsid w:val="00FD750F"/>
    <w:rsid w:val="00FE011C"/>
    <w:rsid w:val="00FE0458"/>
    <w:rsid w:val="00FE07DC"/>
    <w:rsid w:val="00FE08C7"/>
    <w:rsid w:val="00FE08FB"/>
    <w:rsid w:val="00FE1116"/>
    <w:rsid w:val="00FE2075"/>
    <w:rsid w:val="00FE2080"/>
    <w:rsid w:val="00FE2112"/>
    <w:rsid w:val="00FE27B9"/>
    <w:rsid w:val="00FE2E37"/>
    <w:rsid w:val="00FE30EF"/>
    <w:rsid w:val="00FE3640"/>
    <w:rsid w:val="00FE36B6"/>
    <w:rsid w:val="00FE3780"/>
    <w:rsid w:val="00FE3954"/>
    <w:rsid w:val="00FE3AE5"/>
    <w:rsid w:val="00FE3CF7"/>
    <w:rsid w:val="00FE4071"/>
    <w:rsid w:val="00FE42E3"/>
    <w:rsid w:val="00FE4ECD"/>
    <w:rsid w:val="00FE528C"/>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78B"/>
    <w:rsid w:val="00FF6B6C"/>
    <w:rsid w:val="00FF6DD4"/>
    <w:rsid w:val="015E0F15"/>
    <w:rsid w:val="01663906"/>
    <w:rsid w:val="01714ECB"/>
    <w:rsid w:val="01901FEF"/>
    <w:rsid w:val="01AA2C10"/>
    <w:rsid w:val="026B2F2E"/>
    <w:rsid w:val="029A778E"/>
    <w:rsid w:val="02C4023F"/>
    <w:rsid w:val="02D432A2"/>
    <w:rsid w:val="037738D8"/>
    <w:rsid w:val="03AE265E"/>
    <w:rsid w:val="03DF0F19"/>
    <w:rsid w:val="04272850"/>
    <w:rsid w:val="04432D62"/>
    <w:rsid w:val="047B2AA8"/>
    <w:rsid w:val="04B54C82"/>
    <w:rsid w:val="04C64E6C"/>
    <w:rsid w:val="04C70D83"/>
    <w:rsid w:val="06197F7E"/>
    <w:rsid w:val="062804A3"/>
    <w:rsid w:val="068955F4"/>
    <w:rsid w:val="06AB22F3"/>
    <w:rsid w:val="06D45900"/>
    <w:rsid w:val="075A5BC6"/>
    <w:rsid w:val="075F0692"/>
    <w:rsid w:val="07857B54"/>
    <w:rsid w:val="07935DE5"/>
    <w:rsid w:val="07C622E9"/>
    <w:rsid w:val="07DB054A"/>
    <w:rsid w:val="081172DC"/>
    <w:rsid w:val="083D2AF4"/>
    <w:rsid w:val="08836A2A"/>
    <w:rsid w:val="08A031B2"/>
    <w:rsid w:val="08F53B23"/>
    <w:rsid w:val="08F824B9"/>
    <w:rsid w:val="08FD2E27"/>
    <w:rsid w:val="099A1CEE"/>
    <w:rsid w:val="0A053C89"/>
    <w:rsid w:val="0A070656"/>
    <w:rsid w:val="0A5A4E67"/>
    <w:rsid w:val="0A913ED8"/>
    <w:rsid w:val="0B1D5DDF"/>
    <w:rsid w:val="0B2034AD"/>
    <w:rsid w:val="0B24171E"/>
    <w:rsid w:val="0B3E3494"/>
    <w:rsid w:val="0B5C3243"/>
    <w:rsid w:val="0B5E59FA"/>
    <w:rsid w:val="0B6A7FD4"/>
    <w:rsid w:val="0B7A359A"/>
    <w:rsid w:val="0BAD59A4"/>
    <w:rsid w:val="0BF47870"/>
    <w:rsid w:val="0C274EF7"/>
    <w:rsid w:val="0C2769AC"/>
    <w:rsid w:val="0C357211"/>
    <w:rsid w:val="0C466B45"/>
    <w:rsid w:val="0CCF18F7"/>
    <w:rsid w:val="0CF0279B"/>
    <w:rsid w:val="0D584403"/>
    <w:rsid w:val="0D6652D0"/>
    <w:rsid w:val="0DE30DD2"/>
    <w:rsid w:val="0DEE7765"/>
    <w:rsid w:val="0E652045"/>
    <w:rsid w:val="0F204221"/>
    <w:rsid w:val="0F2459D1"/>
    <w:rsid w:val="0F27709E"/>
    <w:rsid w:val="0F2B5D1F"/>
    <w:rsid w:val="0F33564C"/>
    <w:rsid w:val="0F423341"/>
    <w:rsid w:val="0F6053AB"/>
    <w:rsid w:val="0FD22848"/>
    <w:rsid w:val="0FE4691A"/>
    <w:rsid w:val="0FE8213B"/>
    <w:rsid w:val="10050347"/>
    <w:rsid w:val="101C0A97"/>
    <w:rsid w:val="103C508A"/>
    <w:rsid w:val="10505595"/>
    <w:rsid w:val="10674DD9"/>
    <w:rsid w:val="109B79FF"/>
    <w:rsid w:val="10F67974"/>
    <w:rsid w:val="114C0920"/>
    <w:rsid w:val="11515ABE"/>
    <w:rsid w:val="12046FD4"/>
    <w:rsid w:val="12685FCD"/>
    <w:rsid w:val="127F417B"/>
    <w:rsid w:val="128D191E"/>
    <w:rsid w:val="13810255"/>
    <w:rsid w:val="13E92D79"/>
    <w:rsid w:val="13EF0479"/>
    <w:rsid w:val="13FF6346"/>
    <w:rsid w:val="141554C8"/>
    <w:rsid w:val="141F0C56"/>
    <w:rsid w:val="1439464A"/>
    <w:rsid w:val="145324A8"/>
    <w:rsid w:val="14695EAA"/>
    <w:rsid w:val="146F2C7A"/>
    <w:rsid w:val="149E4992"/>
    <w:rsid w:val="15AD60CD"/>
    <w:rsid w:val="15B50326"/>
    <w:rsid w:val="16170BEA"/>
    <w:rsid w:val="163A6938"/>
    <w:rsid w:val="16962C7A"/>
    <w:rsid w:val="16A3101D"/>
    <w:rsid w:val="16CC05DF"/>
    <w:rsid w:val="170E5D26"/>
    <w:rsid w:val="17694B12"/>
    <w:rsid w:val="17BE59A2"/>
    <w:rsid w:val="17EE3251"/>
    <w:rsid w:val="17F47370"/>
    <w:rsid w:val="18185849"/>
    <w:rsid w:val="187C781B"/>
    <w:rsid w:val="18897EA7"/>
    <w:rsid w:val="19175BA5"/>
    <w:rsid w:val="19884813"/>
    <w:rsid w:val="199B6134"/>
    <w:rsid w:val="19DC60C6"/>
    <w:rsid w:val="1A442DE9"/>
    <w:rsid w:val="1AFB2E83"/>
    <w:rsid w:val="1B3121E7"/>
    <w:rsid w:val="1B59521E"/>
    <w:rsid w:val="1B6C5520"/>
    <w:rsid w:val="1BC305D3"/>
    <w:rsid w:val="1BE644A3"/>
    <w:rsid w:val="1BF679EE"/>
    <w:rsid w:val="1C8D1979"/>
    <w:rsid w:val="1CB533A4"/>
    <w:rsid w:val="1CD13F51"/>
    <w:rsid w:val="1CD55680"/>
    <w:rsid w:val="1D15446A"/>
    <w:rsid w:val="1D321E13"/>
    <w:rsid w:val="1D5100BA"/>
    <w:rsid w:val="1D790876"/>
    <w:rsid w:val="1DA717A4"/>
    <w:rsid w:val="1DA94382"/>
    <w:rsid w:val="1DBC044E"/>
    <w:rsid w:val="1DBF59FD"/>
    <w:rsid w:val="1DE70498"/>
    <w:rsid w:val="1E000FA6"/>
    <w:rsid w:val="1EDF295B"/>
    <w:rsid w:val="1F066139"/>
    <w:rsid w:val="1F4849CA"/>
    <w:rsid w:val="1F4A101C"/>
    <w:rsid w:val="1F873477"/>
    <w:rsid w:val="1FE25B40"/>
    <w:rsid w:val="20511755"/>
    <w:rsid w:val="20A9456C"/>
    <w:rsid w:val="20B00655"/>
    <w:rsid w:val="20F52921"/>
    <w:rsid w:val="21455F84"/>
    <w:rsid w:val="217D4EBE"/>
    <w:rsid w:val="21B10E65"/>
    <w:rsid w:val="21B34857"/>
    <w:rsid w:val="21BC0EB5"/>
    <w:rsid w:val="21FC6283"/>
    <w:rsid w:val="22447D7B"/>
    <w:rsid w:val="22552F34"/>
    <w:rsid w:val="22AF3975"/>
    <w:rsid w:val="22C179E6"/>
    <w:rsid w:val="237C595F"/>
    <w:rsid w:val="24131ED5"/>
    <w:rsid w:val="24977600"/>
    <w:rsid w:val="24A04A1C"/>
    <w:rsid w:val="24B831E2"/>
    <w:rsid w:val="24D74796"/>
    <w:rsid w:val="250B120F"/>
    <w:rsid w:val="25114D14"/>
    <w:rsid w:val="252C7220"/>
    <w:rsid w:val="25390204"/>
    <w:rsid w:val="256C2A6E"/>
    <w:rsid w:val="25B95C6E"/>
    <w:rsid w:val="25DA3E7C"/>
    <w:rsid w:val="25F67E5A"/>
    <w:rsid w:val="26152EB1"/>
    <w:rsid w:val="26304F83"/>
    <w:rsid w:val="26813D30"/>
    <w:rsid w:val="26A50560"/>
    <w:rsid w:val="270F55EE"/>
    <w:rsid w:val="272F1A96"/>
    <w:rsid w:val="27366201"/>
    <w:rsid w:val="276E48E5"/>
    <w:rsid w:val="27D153A1"/>
    <w:rsid w:val="27E6663B"/>
    <w:rsid w:val="27F52753"/>
    <w:rsid w:val="283F446A"/>
    <w:rsid w:val="284035F2"/>
    <w:rsid w:val="28553930"/>
    <w:rsid w:val="287F364F"/>
    <w:rsid w:val="28C76A63"/>
    <w:rsid w:val="292F5620"/>
    <w:rsid w:val="29362DA8"/>
    <w:rsid w:val="297B0CF7"/>
    <w:rsid w:val="29AF7D99"/>
    <w:rsid w:val="2AEF3F25"/>
    <w:rsid w:val="2B050B4A"/>
    <w:rsid w:val="2B1B3318"/>
    <w:rsid w:val="2B3E30FF"/>
    <w:rsid w:val="2B822DA1"/>
    <w:rsid w:val="2BE13903"/>
    <w:rsid w:val="2C3D6859"/>
    <w:rsid w:val="2C6E08C2"/>
    <w:rsid w:val="2CA23219"/>
    <w:rsid w:val="2E606C4B"/>
    <w:rsid w:val="2E7A774E"/>
    <w:rsid w:val="2E821FBB"/>
    <w:rsid w:val="2E862DF3"/>
    <w:rsid w:val="2EA133AF"/>
    <w:rsid w:val="2ED54CB8"/>
    <w:rsid w:val="2EDD2DD9"/>
    <w:rsid w:val="2F016BB0"/>
    <w:rsid w:val="2F285C58"/>
    <w:rsid w:val="2F571933"/>
    <w:rsid w:val="2F723467"/>
    <w:rsid w:val="2F922149"/>
    <w:rsid w:val="2FC418D8"/>
    <w:rsid w:val="30002B75"/>
    <w:rsid w:val="30201103"/>
    <w:rsid w:val="30314552"/>
    <w:rsid w:val="303F1C14"/>
    <w:rsid w:val="30405CA0"/>
    <w:rsid w:val="304142B2"/>
    <w:rsid w:val="305900E4"/>
    <w:rsid w:val="30597402"/>
    <w:rsid w:val="306835D0"/>
    <w:rsid w:val="30F62005"/>
    <w:rsid w:val="313E0DD8"/>
    <w:rsid w:val="31920EFC"/>
    <w:rsid w:val="31C93659"/>
    <w:rsid w:val="31FE4BED"/>
    <w:rsid w:val="32153FA4"/>
    <w:rsid w:val="32A0292F"/>
    <w:rsid w:val="32A02B99"/>
    <w:rsid w:val="32A95302"/>
    <w:rsid w:val="330F2BAA"/>
    <w:rsid w:val="331D4DE9"/>
    <w:rsid w:val="332B5D17"/>
    <w:rsid w:val="335450AB"/>
    <w:rsid w:val="336D1D58"/>
    <w:rsid w:val="337D5F7B"/>
    <w:rsid w:val="33D414D0"/>
    <w:rsid w:val="33DA5945"/>
    <w:rsid w:val="34100FFA"/>
    <w:rsid w:val="3411197D"/>
    <w:rsid w:val="343565B7"/>
    <w:rsid w:val="34603E67"/>
    <w:rsid w:val="34AD26E7"/>
    <w:rsid w:val="34BE398A"/>
    <w:rsid w:val="35585FE3"/>
    <w:rsid w:val="355D23D3"/>
    <w:rsid w:val="35CD358A"/>
    <w:rsid w:val="35E23642"/>
    <w:rsid w:val="36232DB0"/>
    <w:rsid w:val="362C0BAC"/>
    <w:rsid w:val="365256CD"/>
    <w:rsid w:val="371F01BC"/>
    <w:rsid w:val="37457E46"/>
    <w:rsid w:val="37C06287"/>
    <w:rsid w:val="3800212F"/>
    <w:rsid w:val="383E029A"/>
    <w:rsid w:val="385F359C"/>
    <w:rsid w:val="388123BB"/>
    <w:rsid w:val="396C2BD4"/>
    <w:rsid w:val="399135F9"/>
    <w:rsid w:val="39DA52AF"/>
    <w:rsid w:val="3AAE1A26"/>
    <w:rsid w:val="3AF410E4"/>
    <w:rsid w:val="3B221A02"/>
    <w:rsid w:val="3B223262"/>
    <w:rsid w:val="3B266C42"/>
    <w:rsid w:val="3B461A5B"/>
    <w:rsid w:val="3B6E2210"/>
    <w:rsid w:val="3BA80B19"/>
    <w:rsid w:val="3BB6114C"/>
    <w:rsid w:val="3BB949C2"/>
    <w:rsid w:val="3BE848C4"/>
    <w:rsid w:val="3C0C4260"/>
    <w:rsid w:val="3C3B15E2"/>
    <w:rsid w:val="3C4240EC"/>
    <w:rsid w:val="3CFA1BCE"/>
    <w:rsid w:val="3D711B40"/>
    <w:rsid w:val="3DC348D3"/>
    <w:rsid w:val="3DF0138D"/>
    <w:rsid w:val="3E3B17BE"/>
    <w:rsid w:val="3E6D7B2B"/>
    <w:rsid w:val="3E800AA6"/>
    <w:rsid w:val="3E8B7FB1"/>
    <w:rsid w:val="3EC85BF0"/>
    <w:rsid w:val="3EF4725F"/>
    <w:rsid w:val="3F3917BB"/>
    <w:rsid w:val="3F3A1FEB"/>
    <w:rsid w:val="3F6A726A"/>
    <w:rsid w:val="402B18A0"/>
    <w:rsid w:val="40A67243"/>
    <w:rsid w:val="41A53056"/>
    <w:rsid w:val="41F11750"/>
    <w:rsid w:val="42253D73"/>
    <w:rsid w:val="422C7D41"/>
    <w:rsid w:val="42A037E5"/>
    <w:rsid w:val="42B66F36"/>
    <w:rsid w:val="42F827BF"/>
    <w:rsid w:val="437B6846"/>
    <w:rsid w:val="43BD647C"/>
    <w:rsid w:val="43E148AB"/>
    <w:rsid w:val="445A645C"/>
    <w:rsid w:val="44753296"/>
    <w:rsid w:val="44A33FBE"/>
    <w:rsid w:val="44C93E4F"/>
    <w:rsid w:val="44E4602A"/>
    <w:rsid w:val="45247770"/>
    <w:rsid w:val="45356766"/>
    <w:rsid w:val="45B80788"/>
    <w:rsid w:val="45B933A3"/>
    <w:rsid w:val="46181376"/>
    <w:rsid w:val="466359D7"/>
    <w:rsid w:val="467D1647"/>
    <w:rsid w:val="46DC3AA0"/>
    <w:rsid w:val="477115AD"/>
    <w:rsid w:val="47D400B1"/>
    <w:rsid w:val="47E9061B"/>
    <w:rsid w:val="47F22E4F"/>
    <w:rsid w:val="47F23719"/>
    <w:rsid w:val="483D32FF"/>
    <w:rsid w:val="484245C7"/>
    <w:rsid w:val="48883BF9"/>
    <w:rsid w:val="488D7CFE"/>
    <w:rsid w:val="491133E8"/>
    <w:rsid w:val="49323FD7"/>
    <w:rsid w:val="493E7E1D"/>
    <w:rsid w:val="495B5688"/>
    <w:rsid w:val="49CD5922"/>
    <w:rsid w:val="49ED2797"/>
    <w:rsid w:val="4A503956"/>
    <w:rsid w:val="4AD04C95"/>
    <w:rsid w:val="4B5C05B0"/>
    <w:rsid w:val="4B8F3EAC"/>
    <w:rsid w:val="4BDD4417"/>
    <w:rsid w:val="4BE21410"/>
    <w:rsid w:val="4C12409B"/>
    <w:rsid w:val="4C211192"/>
    <w:rsid w:val="4C7D53DD"/>
    <w:rsid w:val="4D0D2554"/>
    <w:rsid w:val="4D5601C7"/>
    <w:rsid w:val="4D774028"/>
    <w:rsid w:val="4D84279B"/>
    <w:rsid w:val="4D931F0B"/>
    <w:rsid w:val="4E34228F"/>
    <w:rsid w:val="4EAC5711"/>
    <w:rsid w:val="4EBA57DB"/>
    <w:rsid w:val="4F3F3ABF"/>
    <w:rsid w:val="4F4E6379"/>
    <w:rsid w:val="4F6939F7"/>
    <w:rsid w:val="4FA87897"/>
    <w:rsid w:val="4FC24FED"/>
    <w:rsid w:val="506C74F2"/>
    <w:rsid w:val="50AC1958"/>
    <w:rsid w:val="50C15902"/>
    <w:rsid w:val="51B2004B"/>
    <w:rsid w:val="51BD7D15"/>
    <w:rsid w:val="52021EE1"/>
    <w:rsid w:val="52110A6A"/>
    <w:rsid w:val="523F582A"/>
    <w:rsid w:val="524676E3"/>
    <w:rsid w:val="52BF6E89"/>
    <w:rsid w:val="52DF0DE1"/>
    <w:rsid w:val="539834E7"/>
    <w:rsid w:val="53B80B00"/>
    <w:rsid w:val="53C14D3A"/>
    <w:rsid w:val="53D67233"/>
    <w:rsid w:val="540C73F1"/>
    <w:rsid w:val="54556AEA"/>
    <w:rsid w:val="55131A57"/>
    <w:rsid w:val="55160F28"/>
    <w:rsid w:val="55194A4A"/>
    <w:rsid w:val="55622629"/>
    <w:rsid w:val="557958E4"/>
    <w:rsid w:val="55CE626F"/>
    <w:rsid w:val="563B4C0B"/>
    <w:rsid w:val="567C3952"/>
    <w:rsid w:val="568E4DA2"/>
    <w:rsid w:val="56B9244F"/>
    <w:rsid w:val="56F92F21"/>
    <w:rsid w:val="57340D8E"/>
    <w:rsid w:val="57593CE3"/>
    <w:rsid w:val="57783371"/>
    <w:rsid w:val="577D71D5"/>
    <w:rsid w:val="57E44E66"/>
    <w:rsid w:val="581B33A3"/>
    <w:rsid w:val="583850B6"/>
    <w:rsid w:val="59751BCC"/>
    <w:rsid w:val="59897EBB"/>
    <w:rsid w:val="59D73E45"/>
    <w:rsid w:val="5A3A2DDD"/>
    <w:rsid w:val="5A8A233D"/>
    <w:rsid w:val="5ABB7A77"/>
    <w:rsid w:val="5B3031CA"/>
    <w:rsid w:val="5B7F05AD"/>
    <w:rsid w:val="5BD3526B"/>
    <w:rsid w:val="5BE62B50"/>
    <w:rsid w:val="5BF918A2"/>
    <w:rsid w:val="5C1D74DD"/>
    <w:rsid w:val="5C37020C"/>
    <w:rsid w:val="5C9155E0"/>
    <w:rsid w:val="5D4452E4"/>
    <w:rsid w:val="5D692DC1"/>
    <w:rsid w:val="5DA25CF6"/>
    <w:rsid w:val="5DE10EE3"/>
    <w:rsid w:val="5E176F0D"/>
    <w:rsid w:val="5EA16FBB"/>
    <w:rsid w:val="5EAC049C"/>
    <w:rsid w:val="5F8D7B19"/>
    <w:rsid w:val="5FC131EA"/>
    <w:rsid w:val="5FCB7293"/>
    <w:rsid w:val="600452D7"/>
    <w:rsid w:val="60113A80"/>
    <w:rsid w:val="602D5FCA"/>
    <w:rsid w:val="606478FC"/>
    <w:rsid w:val="60AB5DFE"/>
    <w:rsid w:val="60FC6105"/>
    <w:rsid w:val="61507793"/>
    <w:rsid w:val="617A4D49"/>
    <w:rsid w:val="617B2CF6"/>
    <w:rsid w:val="619F22FA"/>
    <w:rsid w:val="61FD5876"/>
    <w:rsid w:val="61FE6552"/>
    <w:rsid w:val="62093465"/>
    <w:rsid w:val="62315204"/>
    <w:rsid w:val="62593D9F"/>
    <w:rsid w:val="627A682F"/>
    <w:rsid w:val="62920206"/>
    <w:rsid w:val="62A91BDB"/>
    <w:rsid w:val="62B8336A"/>
    <w:rsid w:val="63492040"/>
    <w:rsid w:val="63BD2EF1"/>
    <w:rsid w:val="64337579"/>
    <w:rsid w:val="64341D70"/>
    <w:rsid w:val="643A6F91"/>
    <w:rsid w:val="64441196"/>
    <w:rsid w:val="64D766B5"/>
    <w:rsid w:val="64DB0A9B"/>
    <w:rsid w:val="64FA4513"/>
    <w:rsid w:val="65077E41"/>
    <w:rsid w:val="65091B75"/>
    <w:rsid w:val="652A1A23"/>
    <w:rsid w:val="657F25CC"/>
    <w:rsid w:val="65A657A4"/>
    <w:rsid w:val="65A67D23"/>
    <w:rsid w:val="65BC6440"/>
    <w:rsid w:val="65C36E7F"/>
    <w:rsid w:val="65D21A26"/>
    <w:rsid w:val="66247356"/>
    <w:rsid w:val="663033C6"/>
    <w:rsid w:val="663B7430"/>
    <w:rsid w:val="665533E3"/>
    <w:rsid w:val="6691124C"/>
    <w:rsid w:val="67187226"/>
    <w:rsid w:val="672136C2"/>
    <w:rsid w:val="672A0BC3"/>
    <w:rsid w:val="67AF7FBD"/>
    <w:rsid w:val="67B339ED"/>
    <w:rsid w:val="687775B2"/>
    <w:rsid w:val="691415D1"/>
    <w:rsid w:val="69392B0D"/>
    <w:rsid w:val="697A2199"/>
    <w:rsid w:val="69FD0EE6"/>
    <w:rsid w:val="6A1B14A7"/>
    <w:rsid w:val="6A794FDE"/>
    <w:rsid w:val="6AC83BEB"/>
    <w:rsid w:val="6AD32BB4"/>
    <w:rsid w:val="6AE143A8"/>
    <w:rsid w:val="6AE5012B"/>
    <w:rsid w:val="6AF40D47"/>
    <w:rsid w:val="6B241A17"/>
    <w:rsid w:val="6B7636D8"/>
    <w:rsid w:val="6BAF1D47"/>
    <w:rsid w:val="6C1D4E83"/>
    <w:rsid w:val="6D16450C"/>
    <w:rsid w:val="6D7460AF"/>
    <w:rsid w:val="6DF30B28"/>
    <w:rsid w:val="6E1148C4"/>
    <w:rsid w:val="6E473A02"/>
    <w:rsid w:val="6E713CCA"/>
    <w:rsid w:val="6E81596A"/>
    <w:rsid w:val="6E914282"/>
    <w:rsid w:val="6E9C0F6F"/>
    <w:rsid w:val="6F0E4EC3"/>
    <w:rsid w:val="6F491EC8"/>
    <w:rsid w:val="6FCB013A"/>
    <w:rsid w:val="6FF24B04"/>
    <w:rsid w:val="703C5A28"/>
    <w:rsid w:val="70557737"/>
    <w:rsid w:val="70A62A46"/>
    <w:rsid w:val="71AD7318"/>
    <w:rsid w:val="71B95A25"/>
    <w:rsid w:val="71C05796"/>
    <w:rsid w:val="71C37A53"/>
    <w:rsid w:val="71EA5EF0"/>
    <w:rsid w:val="71F9581F"/>
    <w:rsid w:val="72290019"/>
    <w:rsid w:val="72553376"/>
    <w:rsid w:val="72685C6A"/>
    <w:rsid w:val="726D70E7"/>
    <w:rsid w:val="72A63D8F"/>
    <w:rsid w:val="72BC394B"/>
    <w:rsid w:val="72C911AE"/>
    <w:rsid w:val="72D134E1"/>
    <w:rsid w:val="72E32735"/>
    <w:rsid w:val="731B5A49"/>
    <w:rsid w:val="732D5122"/>
    <w:rsid w:val="7427011F"/>
    <w:rsid w:val="747B287D"/>
    <w:rsid w:val="747D74F0"/>
    <w:rsid w:val="74837D23"/>
    <w:rsid w:val="74C31ECB"/>
    <w:rsid w:val="74E134D0"/>
    <w:rsid w:val="74F72F88"/>
    <w:rsid w:val="75942919"/>
    <w:rsid w:val="75A24683"/>
    <w:rsid w:val="75DE10F7"/>
    <w:rsid w:val="75E55000"/>
    <w:rsid w:val="76507837"/>
    <w:rsid w:val="76F10656"/>
    <w:rsid w:val="772207AC"/>
    <w:rsid w:val="77540081"/>
    <w:rsid w:val="77613029"/>
    <w:rsid w:val="77AA57AB"/>
    <w:rsid w:val="781A799C"/>
    <w:rsid w:val="784B4C85"/>
    <w:rsid w:val="793623C2"/>
    <w:rsid w:val="794C5470"/>
    <w:rsid w:val="79723BD2"/>
    <w:rsid w:val="79E537AF"/>
    <w:rsid w:val="7A6B4218"/>
    <w:rsid w:val="7AAA36FF"/>
    <w:rsid w:val="7ACA74B4"/>
    <w:rsid w:val="7AD46261"/>
    <w:rsid w:val="7AE87E01"/>
    <w:rsid w:val="7B1538AF"/>
    <w:rsid w:val="7B7D652C"/>
    <w:rsid w:val="7C1A3C1E"/>
    <w:rsid w:val="7C643497"/>
    <w:rsid w:val="7C9C4E59"/>
    <w:rsid w:val="7CF16C56"/>
    <w:rsid w:val="7D1A5E32"/>
    <w:rsid w:val="7D327E74"/>
    <w:rsid w:val="7D391B9A"/>
    <w:rsid w:val="7D5E522E"/>
    <w:rsid w:val="7DFA765C"/>
    <w:rsid w:val="7E2F1D63"/>
    <w:rsid w:val="7EAA6314"/>
    <w:rsid w:val="7F0F3F82"/>
    <w:rsid w:val="7FEA5838"/>
    <w:rsid w:val="FD36D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9"/>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80"/>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81"/>
    <w:qFormat/>
    <w:uiPriority w:val="0"/>
    <w:pPr>
      <w:keepNext/>
      <w:keepLines/>
      <w:numPr>
        <w:ilvl w:val="4"/>
        <w:numId w:val="1"/>
      </w:numPr>
      <w:spacing w:before="280" w:after="290" w:line="376" w:lineRule="auto"/>
      <w:outlineLvl w:val="4"/>
    </w:pPr>
    <w:rPr>
      <w:b/>
      <w:sz w:val="28"/>
    </w:rPr>
  </w:style>
  <w:style w:type="paragraph" w:styleId="12">
    <w:name w:val="heading 6"/>
    <w:basedOn w:val="1"/>
    <w:next w:val="7"/>
    <w:link w:val="82"/>
    <w:qFormat/>
    <w:uiPriority w:val="0"/>
    <w:pPr>
      <w:keepNext/>
      <w:keepLines/>
      <w:numPr>
        <w:ilvl w:val="5"/>
        <w:numId w:val="1"/>
      </w:numPr>
      <w:spacing w:before="240" w:after="64" w:line="320" w:lineRule="auto"/>
      <w:outlineLvl w:val="5"/>
    </w:pPr>
    <w:rPr>
      <w:rFonts w:ascii="Arial" w:hAnsi="Arial" w:eastAsia="黑体"/>
      <w:b/>
      <w:sz w:val="24"/>
    </w:rPr>
  </w:style>
  <w:style w:type="paragraph" w:styleId="13">
    <w:name w:val="heading 7"/>
    <w:basedOn w:val="1"/>
    <w:next w:val="7"/>
    <w:link w:val="83"/>
    <w:qFormat/>
    <w:uiPriority w:val="0"/>
    <w:pPr>
      <w:keepNext/>
      <w:keepLines/>
      <w:numPr>
        <w:ilvl w:val="6"/>
        <w:numId w:val="1"/>
      </w:numPr>
      <w:spacing w:before="240" w:after="64" w:line="320" w:lineRule="auto"/>
      <w:outlineLvl w:val="6"/>
    </w:pPr>
    <w:rPr>
      <w:b/>
      <w:sz w:val="24"/>
    </w:rPr>
  </w:style>
  <w:style w:type="paragraph" w:styleId="14">
    <w:name w:val="heading 8"/>
    <w:basedOn w:val="1"/>
    <w:next w:val="7"/>
    <w:link w:val="84"/>
    <w:qFormat/>
    <w:uiPriority w:val="0"/>
    <w:pPr>
      <w:keepNext/>
      <w:keepLines/>
      <w:numPr>
        <w:ilvl w:val="7"/>
        <w:numId w:val="1"/>
      </w:numPr>
      <w:spacing w:before="240" w:after="64" w:line="320" w:lineRule="auto"/>
      <w:outlineLvl w:val="7"/>
    </w:pPr>
    <w:rPr>
      <w:rFonts w:ascii="Arial" w:hAnsi="Arial" w:eastAsia="黑体"/>
      <w:sz w:val="24"/>
    </w:rPr>
  </w:style>
  <w:style w:type="paragraph" w:styleId="15">
    <w:name w:val="heading 9"/>
    <w:basedOn w:val="1"/>
    <w:next w:val="7"/>
    <w:link w:val="85"/>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8"/>
    <w:qFormat/>
    <w:uiPriority w:val="0"/>
    <w:pPr>
      <w:ind w:firstLine="420"/>
    </w:pPr>
    <w:rPr>
      <w:szCs w:val="20"/>
    </w:rPr>
  </w:style>
  <w:style w:type="paragraph" w:styleId="8">
    <w:name w:val="annotation subject"/>
    <w:basedOn w:val="9"/>
    <w:next w:val="10"/>
    <w:link w:val="102"/>
    <w:unhideWhenUsed/>
    <w:qFormat/>
    <w:uiPriority w:val="99"/>
    <w:rPr>
      <w:b/>
      <w:bCs/>
    </w:rPr>
  </w:style>
  <w:style w:type="paragraph" w:styleId="9">
    <w:name w:val="annotation text"/>
    <w:basedOn w:val="1"/>
    <w:link w:val="87"/>
    <w:unhideWhenUsed/>
    <w:qFormat/>
    <w:uiPriority w:val="0"/>
    <w:pPr>
      <w:jc w:val="left"/>
    </w:pPr>
  </w:style>
  <w:style w:type="paragraph" w:styleId="10">
    <w:name w:val="Body Text Indent"/>
    <w:basedOn w:val="1"/>
    <w:next w:val="11"/>
    <w:link w:val="90"/>
    <w:qFormat/>
    <w:uiPriority w:val="0"/>
    <w:pPr>
      <w:ind w:firstLine="830" w:firstLineChars="352"/>
    </w:pPr>
    <w:rPr>
      <w:rFonts w:ascii="仿宋_GB2312" w:eastAsia="仿宋_GB2312"/>
      <w:kern w:val="0"/>
      <w:sz w:val="32"/>
      <w:szCs w:val="20"/>
    </w:rPr>
  </w:style>
  <w:style w:type="paragraph" w:styleId="11">
    <w:name w:val="envelope return"/>
    <w:basedOn w:val="1"/>
    <w:qFormat/>
    <w:uiPriority w:val="0"/>
    <w:pPr>
      <w:snapToGrid w:val="0"/>
    </w:pPr>
    <w:rPr>
      <w:rFonts w:ascii="Arial" w:hAnsi="Arial"/>
    </w:rPr>
  </w:style>
  <w:style w:type="paragraph" w:styleId="16">
    <w:name w:val="toc 7"/>
    <w:basedOn w:val="1"/>
    <w:next w:val="1"/>
    <w:unhideWhenUsed/>
    <w:qFormat/>
    <w:uiPriority w:val="39"/>
    <w:pPr>
      <w:ind w:left="2520" w:leftChars="1200"/>
    </w:pPr>
    <w:rPr>
      <w:rFonts w:ascii="Calibri" w:hAnsi="Calibri"/>
      <w:szCs w:val="22"/>
    </w:rPr>
  </w:style>
  <w:style w:type="paragraph" w:styleId="17">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8">
    <w:name w:val="caption"/>
    <w:basedOn w:val="1"/>
    <w:next w:val="1"/>
    <w:qFormat/>
    <w:uiPriority w:val="0"/>
    <w:pPr>
      <w:spacing w:before="152" w:after="160"/>
    </w:pPr>
    <w:rPr>
      <w:rFonts w:ascii="Arial" w:hAnsi="Arial" w:eastAsia="黑体" w:cs="Arial"/>
      <w:sz w:val="20"/>
      <w:szCs w:val="20"/>
    </w:rPr>
  </w:style>
  <w:style w:type="paragraph" w:styleId="19">
    <w:name w:val="Document Map"/>
    <w:basedOn w:val="1"/>
    <w:link w:val="86"/>
    <w:unhideWhenUsed/>
    <w:qFormat/>
    <w:uiPriority w:val="0"/>
    <w:pPr>
      <w:shd w:val="clear" w:color="auto" w:fill="000080"/>
    </w:pPr>
    <w:rPr>
      <w:rFonts w:hint="eastAsia" w:ascii="宋体" w:hAnsi="宋体"/>
      <w:kern w:val="0"/>
      <w:sz w:val="20"/>
      <w:szCs w:val="20"/>
    </w:rPr>
  </w:style>
  <w:style w:type="paragraph" w:styleId="20">
    <w:name w:val="Body Text 3"/>
    <w:basedOn w:val="1"/>
    <w:link w:val="88"/>
    <w:qFormat/>
    <w:uiPriority w:val="0"/>
    <w:pPr>
      <w:spacing w:line="500" w:lineRule="exact"/>
    </w:pPr>
    <w:rPr>
      <w:b/>
      <w:bCs/>
      <w:kern w:val="0"/>
      <w:sz w:val="24"/>
    </w:rPr>
  </w:style>
  <w:style w:type="paragraph" w:styleId="21">
    <w:name w:val="Body Text"/>
    <w:basedOn w:val="1"/>
    <w:next w:val="22"/>
    <w:link w:val="89"/>
    <w:qFormat/>
    <w:uiPriority w:val="99"/>
    <w:pPr>
      <w:spacing w:line="380" w:lineRule="exact"/>
    </w:pPr>
    <w:rPr>
      <w:kern w:val="0"/>
      <w:sz w:val="24"/>
    </w:rPr>
  </w:style>
  <w:style w:type="paragraph" w:styleId="22">
    <w:name w:val="Body Text First Indent 2"/>
    <w:basedOn w:val="10"/>
    <w:qFormat/>
    <w:uiPriority w:val="0"/>
    <w:pPr>
      <w:spacing w:after="120"/>
      <w:ind w:left="420" w:leftChars="200" w:firstLine="420" w:firstLineChars="200"/>
    </w:pPr>
    <w:rPr>
      <w:szCs w:val="24"/>
    </w:rPr>
  </w:style>
  <w:style w:type="paragraph" w:styleId="23">
    <w:name w:val="List Number 3"/>
    <w:basedOn w:val="1"/>
    <w:qFormat/>
    <w:uiPriority w:val="0"/>
    <w:pPr>
      <w:numPr>
        <w:ilvl w:val="0"/>
        <w:numId w:val="2"/>
      </w:numPr>
    </w:pPr>
  </w:style>
  <w:style w:type="paragraph" w:styleId="24">
    <w:name w:val="List 2"/>
    <w:basedOn w:val="1"/>
    <w:next w:val="25"/>
    <w:qFormat/>
    <w:uiPriority w:val="0"/>
    <w:pPr>
      <w:ind w:left="100" w:leftChars="200" w:hanging="200" w:hangingChars="200"/>
    </w:pPr>
    <w:rPr>
      <w:sz w:val="28"/>
    </w:rPr>
  </w:style>
  <w:style w:type="paragraph" w:styleId="25">
    <w:name w:val="Plain Text"/>
    <w:basedOn w:val="1"/>
    <w:link w:val="91"/>
    <w:qFormat/>
    <w:uiPriority w:val="0"/>
    <w:rPr>
      <w:rFonts w:ascii="宋体" w:hAnsi="Courier New"/>
      <w:kern w:val="0"/>
      <w:sz w:val="20"/>
      <w:szCs w:val="21"/>
    </w:rPr>
  </w:style>
  <w:style w:type="paragraph" w:styleId="26">
    <w:name w:val="toc 5"/>
    <w:basedOn w:val="1"/>
    <w:next w:val="1"/>
    <w:unhideWhenUsed/>
    <w:qFormat/>
    <w:uiPriority w:val="39"/>
    <w:pPr>
      <w:ind w:left="1680" w:leftChars="800"/>
    </w:pPr>
    <w:rPr>
      <w:rFonts w:ascii="Calibri" w:hAnsi="Calibri"/>
      <w:szCs w:val="22"/>
    </w:rPr>
  </w:style>
  <w:style w:type="paragraph" w:styleId="27">
    <w:name w:val="toc 3"/>
    <w:basedOn w:val="1"/>
    <w:next w:val="1"/>
    <w:unhideWhenUsed/>
    <w:qFormat/>
    <w:uiPriority w:val="39"/>
    <w:pPr>
      <w:ind w:left="840" w:leftChars="400"/>
    </w:pPr>
    <w:rPr>
      <w:rFonts w:ascii="Calibri" w:hAnsi="Calibri"/>
      <w:szCs w:val="22"/>
    </w:rPr>
  </w:style>
  <w:style w:type="paragraph" w:styleId="28">
    <w:name w:val="toc 8"/>
    <w:basedOn w:val="1"/>
    <w:next w:val="1"/>
    <w:unhideWhenUsed/>
    <w:qFormat/>
    <w:uiPriority w:val="39"/>
    <w:pPr>
      <w:ind w:left="2940" w:leftChars="1400"/>
    </w:pPr>
    <w:rPr>
      <w:rFonts w:ascii="Calibri" w:hAnsi="Calibri"/>
      <w:szCs w:val="22"/>
    </w:rPr>
  </w:style>
  <w:style w:type="paragraph" w:styleId="29">
    <w:name w:val="Date"/>
    <w:basedOn w:val="1"/>
    <w:next w:val="1"/>
    <w:link w:val="92"/>
    <w:qFormat/>
    <w:uiPriority w:val="0"/>
    <w:pPr>
      <w:ind w:left="100" w:leftChars="2500"/>
    </w:pPr>
    <w:rPr>
      <w:rFonts w:ascii="宋体" w:hAnsi="Courier New"/>
      <w:kern w:val="0"/>
      <w:sz w:val="20"/>
      <w:szCs w:val="21"/>
    </w:rPr>
  </w:style>
  <w:style w:type="paragraph" w:styleId="30">
    <w:name w:val="Body Text Indent 2"/>
    <w:basedOn w:val="1"/>
    <w:link w:val="93"/>
    <w:qFormat/>
    <w:uiPriority w:val="0"/>
    <w:pPr>
      <w:ind w:firstLine="630"/>
    </w:pPr>
    <w:rPr>
      <w:kern w:val="0"/>
      <w:sz w:val="32"/>
      <w:szCs w:val="20"/>
    </w:rPr>
  </w:style>
  <w:style w:type="paragraph" w:styleId="31">
    <w:name w:val="endnote text"/>
    <w:basedOn w:val="1"/>
    <w:link w:val="94"/>
    <w:unhideWhenUsed/>
    <w:qFormat/>
    <w:uiPriority w:val="99"/>
    <w:pPr>
      <w:snapToGrid w:val="0"/>
      <w:jc w:val="left"/>
    </w:pPr>
  </w:style>
  <w:style w:type="paragraph" w:styleId="32">
    <w:name w:val="Balloon Text"/>
    <w:basedOn w:val="1"/>
    <w:link w:val="95"/>
    <w:semiHidden/>
    <w:qFormat/>
    <w:uiPriority w:val="0"/>
    <w:rPr>
      <w:kern w:val="0"/>
      <w:sz w:val="18"/>
      <w:szCs w:val="18"/>
    </w:rPr>
  </w:style>
  <w:style w:type="paragraph" w:styleId="33">
    <w:name w:val="footer"/>
    <w:basedOn w:val="1"/>
    <w:link w:val="96"/>
    <w:unhideWhenUsed/>
    <w:qFormat/>
    <w:uiPriority w:val="99"/>
    <w:pPr>
      <w:tabs>
        <w:tab w:val="center" w:pos="4153"/>
        <w:tab w:val="right" w:pos="8306"/>
      </w:tabs>
      <w:snapToGrid w:val="0"/>
      <w:jc w:val="left"/>
    </w:pPr>
    <w:rPr>
      <w:kern w:val="0"/>
      <w:sz w:val="18"/>
      <w:szCs w:val="18"/>
    </w:rPr>
  </w:style>
  <w:style w:type="paragraph" w:styleId="34">
    <w:name w:val="header"/>
    <w:basedOn w:val="1"/>
    <w:link w:val="97"/>
    <w:unhideWhenUsed/>
    <w:qFormat/>
    <w:uiPriority w:val="99"/>
    <w:pPr>
      <w:pBdr>
        <w:bottom w:val="single" w:color="auto" w:sz="6" w:space="1"/>
      </w:pBdr>
      <w:tabs>
        <w:tab w:val="center" w:pos="0"/>
        <w:tab w:val="left" w:pos="8306"/>
      </w:tabs>
      <w:snapToGrid w:val="0"/>
      <w:jc w:val="center"/>
    </w:pPr>
    <w:rPr>
      <w:sz w:val="18"/>
      <w:szCs w:val="18"/>
    </w:rPr>
  </w:style>
  <w:style w:type="paragraph" w:styleId="35">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6">
    <w:name w:val="toc 4"/>
    <w:basedOn w:val="1"/>
    <w:next w:val="1"/>
    <w:unhideWhenUsed/>
    <w:qFormat/>
    <w:uiPriority w:val="39"/>
    <w:pPr>
      <w:ind w:left="1260" w:leftChars="600"/>
    </w:pPr>
    <w:rPr>
      <w:rFonts w:ascii="Calibri" w:hAnsi="Calibri"/>
      <w:szCs w:val="22"/>
    </w:rPr>
  </w:style>
  <w:style w:type="paragraph" w:styleId="37">
    <w:name w:val="List"/>
    <w:basedOn w:val="1"/>
    <w:qFormat/>
    <w:uiPriority w:val="0"/>
    <w:pPr>
      <w:ind w:left="200" w:hanging="200" w:hangingChars="200"/>
    </w:pPr>
    <w:rPr>
      <w:sz w:val="28"/>
    </w:rPr>
  </w:style>
  <w:style w:type="paragraph" w:styleId="38">
    <w:name w:val="footnote text"/>
    <w:basedOn w:val="1"/>
    <w:link w:val="98"/>
    <w:unhideWhenUsed/>
    <w:qFormat/>
    <w:uiPriority w:val="99"/>
    <w:pPr>
      <w:snapToGrid w:val="0"/>
      <w:jc w:val="left"/>
    </w:pPr>
    <w:rPr>
      <w:sz w:val="18"/>
      <w:szCs w:val="18"/>
    </w:rPr>
  </w:style>
  <w:style w:type="paragraph" w:styleId="39">
    <w:name w:val="toc 6"/>
    <w:basedOn w:val="1"/>
    <w:next w:val="1"/>
    <w:unhideWhenUsed/>
    <w:qFormat/>
    <w:uiPriority w:val="39"/>
    <w:pPr>
      <w:ind w:left="2100" w:leftChars="1000"/>
    </w:pPr>
    <w:rPr>
      <w:rFonts w:ascii="Calibri" w:hAnsi="Calibri"/>
      <w:szCs w:val="22"/>
    </w:rPr>
  </w:style>
  <w:style w:type="paragraph" w:styleId="40">
    <w:name w:val="Body Text Indent 3"/>
    <w:basedOn w:val="1"/>
    <w:link w:val="99"/>
    <w:qFormat/>
    <w:uiPriority w:val="0"/>
    <w:pPr>
      <w:spacing w:after="120"/>
      <w:ind w:left="420" w:leftChars="200"/>
    </w:pPr>
    <w:rPr>
      <w:kern w:val="0"/>
      <w:sz w:val="16"/>
      <w:szCs w:val="16"/>
    </w:rPr>
  </w:style>
  <w:style w:type="paragraph" w:styleId="41">
    <w:name w:val="toc 2"/>
    <w:basedOn w:val="1"/>
    <w:next w:val="1"/>
    <w:unhideWhenUsed/>
    <w:qFormat/>
    <w:uiPriority w:val="39"/>
    <w:pPr>
      <w:ind w:left="420" w:leftChars="200"/>
    </w:pPr>
  </w:style>
  <w:style w:type="paragraph" w:styleId="42">
    <w:name w:val="toc 9"/>
    <w:basedOn w:val="1"/>
    <w:next w:val="1"/>
    <w:unhideWhenUsed/>
    <w:qFormat/>
    <w:uiPriority w:val="39"/>
    <w:pPr>
      <w:ind w:left="3360" w:leftChars="1600"/>
    </w:pPr>
    <w:rPr>
      <w:rFonts w:ascii="Calibri" w:hAnsi="Calibri"/>
      <w:szCs w:val="22"/>
    </w:rPr>
  </w:style>
  <w:style w:type="paragraph" w:styleId="43">
    <w:name w:val="Body Text 2"/>
    <w:basedOn w:val="1"/>
    <w:link w:val="100"/>
    <w:qFormat/>
    <w:uiPriority w:val="0"/>
    <w:pPr>
      <w:spacing w:after="120" w:line="480" w:lineRule="auto"/>
    </w:pPr>
    <w:rPr>
      <w:kern w:val="0"/>
      <w:sz w:val="20"/>
    </w:rPr>
  </w:style>
  <w:style w:type="paragraph" w:styleId="44">
    <w:name w:val="Normal (Web)"/>
    <w:basedOn w:val="1"/>
    <w:qFormat/>
    <w:uiPriority w:val="99"/>
    <w:pPr>
      <w:widowControl/>
      <w:spacing w:before="100" w:beforeAutospacing="1" w:after="100" w:afterAutospacing="1"/>
      <w:jc w:val="left"/>
    </w:pPr>
    <w:rPr>
      <w:rFonts w:ascii="宋体" w:hAnsi="宋体"/>
      <w:kern w:val="0"/>
      <w:sz w:val="24"/>
    </w:rPr>
  </w:style>
  <w:style w:type="paragraph" w:styleId="45">
    <w:name w:val="index 1"/>
    <w:basedOn w:val="1"/>
    <w:next w:val="1"/>
    <w:semiHidden/>
    <w:qFormat/>
    <w:uiPriority w:val="0"/>
    <w:pPr>
      <w:spacing w:line="400" w:lineRule="exact"/>
      <w:ind w:firstLine="420" w:firstLineChars="200"/>
    </w:pPr>
    <w:rPr>
      <w:rFonts w:ascii="宋体" w:hAnsi="Courier New"/>
      <w:b/>
      <w:szCs w:val="20"/>
    </w:rPr>
  </w:style>
  <w:style w:type="paragraph" w:styleId="46">
    <w:name w:val="Title"/>
    <w:basedOn w:val="1"/>
    <w:next w:val="1"/>
    <w:link w:val="101"/>
    <w:qFormat/>
    <w:uiPriority w:val="10"/>
    <w:pPr>
      <w:spacing w:before="240" w:after="60"/>
      <w:jc w:val="center"/>
      <w:outlineLvl w:val="0"/>
    </w:pPr>
    <w:rPr>
      <w:rFonts w:ascii="Cambria" w:hAnsi="Cambria"/>
      <w:b/>
      <w:bCs/>
      <w:sz w:val="32"/>
      <w:szCs w:val="32"/>
    </w:rPr>
  </w:style>
  <w:style w:type="paragraph" w:styleId="47">
    <w:name w:val="Body Text First Indent"/>
    <w:basedOn w:val="21"/>
    <w:next w:val="1"/>
    <w:qFormat/>
    <w:uiPriority w:val="0"/>
    <w:pPr>
      <w:spacing w:after="120" w:line="240" w:lineRule="auto"/>
      <w:ind w:firstLine="420" w:firstLineChars="100"/>
    </w:pPr>
    <w:rPr>
      <w:sz w:val="21"/>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qFormat/>
    <w:uiPriority w:val="22"/>
    <w:rPr>
      <w:b/>
    </w:rPr>
  </w:style>
  <w:style w:type="character" w:styleId="52">
    <w:name w:val="endnote reference"/>
    <w:unhideWhenUsed/>
    <w:qFormat/>
    <w:uiPriority w:val="99"/>
    <w:rPr>
      <w:vertAlign w:val="superscript"/>
    </w:rPr>
  </w:style>
  <w:style w:type="character" w:styleId="53">
    <w:name w:val="page number"/>
    <w:qFormat/>
    <w:uiPriority w:val="0"/>
  </w:style>
  <w:style w:type="character" w:styleId="54">
    <w:name w:val="FollowedHyperlink"/>
    <w:qFormat/>
    <w:uiPriority w:val="0"/>
    <w:rPr>
      <w:color w:val="000000"/>
      <w:u w:val="none"/>
    </w:rPr>
  </w:style>
  <w:style w:type="character" w:styleId="55">
    <w:name w:val="Hyperlink"/>
    <w:qFormat/>
    <w:uiPriority w:val="99"/>
    <w:rPr>
      <w:color w:val="000000"/>
      <w:u w:val="none"/>
    </w:rPr>
  </w:style>
  <w:style w:type="character" w:styleId="56">
    <w:name w:val="annotation reference"/>
    <w:unhideWhenUsed/>
    <w:qFormat/>
    <w:uiPriority w:val="0"/>
    <w:rPr>
      <w:sz w:val="21"/>
      <w:szCs w:val="21"/>
    </w:rPr>
  </w:style>
  <w:style w:type="character" w:styleId="57">
    <w:name w:val="footnote reference"/>
    <w:unhideWhenUsed/>
    <w:qFormat/>
    <w:uiPriority w:val="99"/>
    <w:rPr>
      <w:vertAlign w:val="superscript"/>
    </w:rPr>
  </w:style>
  <w:style w:type="character" w:styleId="58">
    <w:name w:val="HTML Sample"/>
    <w:basedOn w:val="50"/>
    <w:semiHidden/>
    <w:unhideWhenUsed/>
    <w:qFormat/>
    <w:uiPriority w:val="99"/>
    <w:rPr>
      <w:rFonts w:ascii="Courier New" w:hAnsi="Courier New"/>
    </w:rPr>
  </w:style>
  <w:style w:type="character" w:customStyle="1" w:styleId="59">
    <w:name w:val="标题 1 Char"/>
    <w:qFormat/>
    <w:uiPriority w:val="0"/>
    <w:rPr>
      <w:rFonts w:ascii="Times New Roman" w:hAnsi="Times New Roman" w:eastAsia="宋体" w:cs="Times New Roman"/>
      <w:b/>
      <w:bCs/>
      <w:kern w:val="44"/>
      <w:sz w:val="44"/>
      <w:szCs w:val="44"/>
    </w:rPr>
  </w:style>
  <w:style w:type="paragraph" w:customStyle="1" w:styleId="60">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Title1"/>
    <w:basedOn w:val="1"/>
    <w:next w:val="1"/>
    <w:qFormat/>
    <w:uiPriority w:val="0"/>
    <w:pPr>
      <w:jc w:val="center"/>
      <w:outlineLvl w:val="0"/>
    </w:pPr>
    <w:rPr>
      <w:rFonts w:ascii="Calibri Light" w:hAnsi="Calibri Light" w:eastAsia="Arial Unicode MS"/>
      <w:b/>
    </w:rPr>
  </w:style>
  <w:style w:type="paragraph" w:customStyle="1" w:styleId="62">
    <w:name w:val="Char1"/>
    <w:basedOn w:val="1"/>
    <w:qFormat/>
    <w:uiPriority w:val="0"/>
    <w:rPr>
      <w:szCs w:val="21"/>
    </w:rPr>
  </w:style>
  <w:style w:type="paragraph" w:customStyle="1" w:styleId="63">
    <w:name w:val="_Style 56"/>
    <w:basedOn w:val="1"/>
    <w:qFormat/>
    <w:uiPriority w:val="34"/>
    <w:pPr>
      <w:ind w:firstLine="420" w:firstLineChars="200"/>
    </w:pPr>
  </w:style>
  <w:style w:type="paragraph" w:customStyle="1" w:styleId="64">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5">
    <w:name w:val="默认段落字体 Para Char Char Char Char Char Char Char Char Char1 Char Char Char Char"/>
    <w:basedOn w:val="1"/>
    <w:qFormat/>
    <w:uiPriority w:val="0"/>
    <w:rPr>
      <w:rFonts w:ascii="Tahoma" w:hAnsi="Tahoma"/>
      <w:sz w:val="24"/>
      <w:szCs w:val="20"/>
    </w:rPr>
  </w:style>
  <w:style w:type="paragraph" w:customStyle="1" w:styleId="66">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67">
    <w:name w:val="纯文本1"/>
    <w:basedOn w:val="1"/>
    <w:qFormat/>
    <w:uiPriority w:val="0"/>
    <w:rPr>
      <w:rFonts w:ascii="宋体" w:hAnsi="Courier New" w:cs="Century"/>
      <w:szCs w:val="21"/>
    </w:rPr>
  </w:style>
  <w:style w:type="paragraph" w:customStyle="1" w:styleId="68">
    <w:name w:val="Table Paragraph"/>
    <w:basedOn w:val="1"/>
    <w:qFormat/>
    <w:uiPriority w:val="1"/>
    <w:pPr>
      <w:jc w:val="left"/>
    </w:pPr>
    <w:rPr>
      <w:rFonts w:ascii="Calibri" w:hAnsi="Calibri"/>
      <w:kern w:val="0"/>
      <w:sz w:val="22"/>
      <w:szCs w:val="22"/>
      <w:lang w:eastAsia="en-US"/>
    </w:rPr>
  </w:style>
  <w:style w:type="paragraph" w:customStyle="1" w:styleId="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0">
    <w:name w:val="表格"/>
    <w:basedOn w:val="1"/>
    <w:qFormat/>
    <w:uiPriority w:val="0"/>
    <w:pPr>
      <w:spacing w:line="400" w:lineRule="exact"/>
    </w:pPr>
    <w:rPr>
      <w:sz w:val="24"/>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73">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74">
    <w:name w:val="正文首行缩进两字符"/>
    <w:basedOn w:val="1"/>
    <w:qFormat/>
    <w:uiPriority w:val="0"/>
    <w:pPr>
      <w:spacing w:line="360" w:lineRule="auto"/>
      <w:ind w:firstLine="200" w:firstLineChars="200"/>
    </w:pPr>
  </w:style>
  <w:style w:type="paragraph" w:customStyle="1" w:styleId="75">
    <w:name w:val="正文段"/>
    <w:basedOn w:val="1"/>
    <w:qFormat/>
    <w:uiPriority w:val="0"/>
    <w:pPr>
      <w:widowControl/>
      <w:snapToGrid w:val="0"/>
      <w:spacing w:after="50" w:afterLines="50"/>
      <w:ind w:firstLine="200" w:firstLineChars="200"/>
    </w:pPr>
    <w:rPr>
      <w:kern w:val="0"/>
      <w:sz w:val="24"/>
      <w:szCs w:val="20"/>
    </w:rPr>
  </w:style>
  <w:style w:type="paragraph" w:customStyle="1" w:styleId="76">
    <w:name w:val="列表段落1"/>
    <w:basedOn w:val="1"/>
    <w:qFormat/>
    <w:uiPriority w:val="34"/>
    <w:pPr>
      <w:ind w:firstLine="420" w:firstLineChars="200"/>
    </w:pPr>
  </w:style>
  <w:style w:type="paragraph" w:customStyle="1" w:styleId="7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78">
    <w:name w:val="标题 1 字符1"/>
    <w:link w:val="2"/>
    <w:qFormat/>
    <w:uiPriority w:val="0"/>
    <w:rPr>
      <w:rFonts w:ascii="Times New Roman" w:hAnsi="Times New Roman" w:eastAsia="宋体" w:cs="Times New Roman"/>
      <w:b/>
      <w:bCs/>
      <w:kern w:val="44"/>
      <w:sz w:val="44"/>
      <w:szCs w:val="44"/>
    </w:rPr>
  </w:style>
  <w:style w:type="character" w:customStyle="1" w:styleId="79">
    <w:name w:val="标题 2 字符"/>
    <w:link w:val="3"/>
    <w:qFormat/>
    <w:uiPriority w:val="0"/>
    <w:rPr>
      <w:rFonts w:ascii="Arial" w:hAnsi="Arial" w:eastAsia="黑体" w:cs="Times New Roman"/>
      <w:b/>
      <w:bCs/>
      <w:sz w:val="32"/>
      <w:szCs w:val="32"/>
    </w:rPr>
  </w:style>
  <w:style w:type="character" w:customStyle="1" w:styleId="80">
    <w:name w:val="标题 3 字符"/>
    <w:link w:val="4"/>
    <w:qFormat/>
    <w:uiPriority w:val="0"/>
    <w:rPr>
      <w:rFonts w:ascii="Times New Roman" w:hAnsi="Times New Roman" w:eastAsia="宋体" w:cs="Times New Roman"/>
      <w:b/>
      <w:bCs/>
      <w:sz w:val="32"/>
      <w:szCs w:val="32"/>
    </w:rPr>
  </w:style>
  <w:style w:type="character" w:customStyle="1" w:styleId="81">
    <w:name w:val="标题 5 字符"/>
    <w:link w:val="6"/>
    <w:qFormat/>
    <w:uiPriority w:val="0"/>
    <w:rPr>
      <w:b/>
      <w:kern w:val="2"/>
      <w:sz w:val="28"/>
      <w:szCs w:val="24"/>
    </w:rPr>
  </w:style>
  <w:style w:type="character" w:customStyle="1" w:styleId="82">
    <w:name w:val="标题 6 字符"/>
    <w:link w:val="12"/>
    <w:qFormat/>
    <w:uiPriority w:val="0"/>
    <w:rPr>
      <w:rFonts w:ascii="Arial" w:hAnsi="Arial" w:eastAsia="黑体"/>
      <w:b/>
      <w:kern w:val="2"/>
      <w:sz w:val="24"/>
      <w:szCs w:val="24"/>
    </w:rPr>
  </w:style>
  <w:style w:type="character" w:customStyle="1" w:styleId="83">
    <w:name w:val="标题 7 字符"/>
    <w:link w:val="13"/>
    <w:qFormat/>
    <w:uiPriority w:val="0"/>
    <w:rPr>
      <w:rFonts w:ascii="Times New Roman" w:hAnsi="Times New Roman"/>
      <w:b/>
      <w:kern w:val="2"/>
      <w:sz w:val="24"/>
      <w:szCs w:val="24"/>
    </w:rPr>
  </w:style>
  <w:style w:type="character" w:customStyle="1" w:styleId="84">
    <w:name w:val="标题 8 字符"/>
    <w:link w:val="14"/>
    <w:qFormat/>
    <w:uiPriority w:val="0"/>
    <w:rPr>
      <w:rFonts w:ascii="Arial" w:hAnsi="Arial" w:eastAsia="黑体"/>
      <w:kern w:val="2"/>
      <w:sz w:val="24"/>
      <w:szCs w:val="24"/>
    </w:rPr>
  </w:style>
  <w:style w:type="character" w:customStyle="1" w:styleId="85">
    <w:name w:val="标题 9 字符"/>
    <w:link w:val="15"/>
    <w:qFormat/>
    <w:uiPriority w:val="0"/>
    <w:rPr>
      <w:rFonts w:ascii="Arial" w:hAnsi="Arial" w:eastAsia="黑体"/>
      <w:kern w:val="2"/>
      <w:sz w:val="21"/>
      <w:szCs w:val="24"/>
    </w:rPr>
  </w:style>
  <w:style w:type="character" w:customStyle="1" w:styleId="86">
    <w:name w:val="文档结构图 字符"/>
    <w:link w:val="19"/>
    <w:qFormat/>
    <w:uiPriority w:val="0"/>
    <w:rPr>
      <w:rFonts w:hint="eastAsia" w:ascii="宋体" w:hAnsi="宋体" w:eastAsia="宋体" w:cs="宋体"/>
    </w:rPr>
  </w:style>
  <w:style w:type="character" w:customStyle="1" w:styleId="87">
    <w:name w:val="批注文字 字符2"/>
    <w:link w:val="9"/>
    <w:qFormat/>
    <w:uiPriority w:val="0"/>
    <w:rPr>
      <w:rFonts w:ascii="Times New Roman" w:hAnsi="Times New Roman"/>
      <w:kern w:val="2"/>
      <w:sz w:val="21"/>
      <w:szCs w:val="24"/>
    </w:rPr>
  </w:style>
  <w:style w:type="character" w:customStyle="1" w:styleId="88">
    <w:name w:val="正文文本 3 字符"/>
    <w:link w:val="20"/>
    <w:qFormat/>
    <w:uiPriority w:val="0"/>
    <w:rPr>
      <w:rFonts w:ascii="Times New Roman" w:hAnsi="Times New Roman" w:eastAsia="宋体" w:cs="Times New Roman"/>
      <w:b/>
      <w:bCs/>
      <w:sz w:val="24"/>
      <w:szCs w:val="24"/>
    </w:rPr>
  </w:style>
  <w:style w:type="character" w:customStyle="1" w:styleId="89">
    <w:name w:val="正文文本 字符"/>
    <w:link w:val="21"/>
    <w:qFormat/>
    <w:uiPriority w:val="99"/>
    <w:rPr>
      <w:rFonts w:ascii="Times New Roman" w:hAnsi="Times New Roman" w:eastAsia="宋体" w:cs="Times New Roman"/>
      <w:sz w:val="24"/>
      <w:szCs w:val="24"/>
    </w:rPr>
  </w:style>
  <w:style w:type="character" w:customStyle="1" w:styleId="90">
    <w:name w:val="正文文本缩进 字符1"/>
    <w:link w:val="10"/>
    <w:qFormat/>
    <w:uiPriority w:val="0"/>
    <w:rPr>
      <w:rFonts w:ascii="仿宋_GB2312" w:hAnsi="Times New Roman" w:eastAsia="仿宋_GB2312" w:cs="Times New Roman"/>
      <w:sz w:val="32"/>
      <w:szCs w:val="20"/>
    </w:rPr>
  </w:style>
  <w:style w:type="character" w:customStyle="1" w:styleId="91">
    <w:name w:val="纯文本 字符2"/>
    <w:link w:val="25"/>
    <w:qFormat/>
    <w:uiPriority w:val="0"/>
    <w:rPr>
      <w:rFonts w:ascii="宋体" w:hAnsi="Courier New" w:eastAsia="宋体" w:cs="Courier New"/>
      <w:szCs w:val="21"/>
    </w:rPr>
  </w:style>
  <w:style w:type="character" w:customStyle="1" w:styleId="92">
    <w:name w:val="日期 字符"/>
    <w:link w:val="29"/>
    <w:qFormat/>
    <w:uiPriority w:val="0"/>
    <w:rPr>
      <w:rFonts w:ascii="宋体" w:hAnsi="Courier New" w:eastAsia="宋体" w:cs="Courier New"/>
      <w:szCs w:val="21"/>
    </w:rPr>
  </w:style>
  <w:style w:type="character" w:customStyle="1" w:styleId="93">
    <w:name w:val="正文文本缩进 2 字符"/>
    <w:link w:val="30"/>
    <w:qFormat/>
    <w:uiPriority w:val="0"/>
    <w:rPr>
      <w:rFonts w:ascii="Times New Roman" w:hAnsi="Times New Roman" w:eastAsia="宋体" w:cs="Times New Roman"/>
      <w:sz w:val="32"/>
      <w:szCs w:val="20"/>
    </w:rPr>
  </w:style>
  <w:style w:type="character" w:customStyle="1" w:styleId="94">
    <w:name w:val="尾注文本 字符"/>
    <w:link w:val="31"/>
    <w:semiHidden/>
    <w:qFormat/>
    <w:uiPriority w:val="99"/>
    <w:rPr>
      <w:rFonts w:ascii="Times New Roman" w:hAnsi="Times New Roman"/>
      <w:kern w:val="2"/>
      <w:sz w:val="21"/>
      <w:szCs w:val="24"/>
    </w:rPr>
  </w:style>
  <w:style w:type="character" w:customStyle="1" w:styleId="95">
    <w:name w:val="批注框文本 字符"/>
    <w:link w:val="32"/>
    <w:semiHidden/>
    <w:qFormat/>
    <w:uiPriority w:val="0"/>
    <w:rPr>
      <w:rFonts w:ascii="Times New Roman" w:hAnsi="Times New Roman" w:eastAsia="宋体" w:cs="Times New Roman"/>
      <w:sz w:val="18"/>
      <w:szCs w:val="18"/>
    </w:rPr>
  </w:style>
  <w:style w:type="character" w:customStyle="1" w:styleId="96">
    <w:name w:val="页脚 字符1"/>
    <w:link w:val="33"/>
    <w:qFormat/>
    <w:uiPriority w:val="99"/>
    <w:rPr>
      <w:sz w:val="18"/>
      <w:szCs w:val="18"/>
    </w:rPr>
  </w:style>
  <w:style w:type="character" w:customStyle="1" w:styleId="97">
    <w:name w:val="页眉 字符"/>
    <w:link w:val="34"/>
    <w:qFormat/>
    <w:uiPriority w:val="99"/>
    <w:rPr>
      <w:rFonts w:ascii="Times New Roman" w:hAnsi="Times New Roman"/>
      <w:kern w:val="2"/>
      <w:sz w:val="18"/>
      <w:szCs w:val="18"/>
    </w:rPr>
  </w:style>
  <w:style w:type="character" w:customStyle="1" w:styleId="98">
    <w:name w:val="脚注文本 字符"/>
    <w:link w:val="38"/>
    <w:semiHidden/>
    <w:qFormat/>
    <w:uiPriority w:val="99"/>
    <w:rPr>
      <w:rFonts w:ascii="Times New Roman" w:hAnsi="Times New Roman"/>
      <w:kern w:val="2"/>
      <w:sz w:val="18"/>
      <w:szCs w:val="18"/>
    </w:rPr>
  </w:style>
  <w:style w:type="character" w:customStyle="1" w:styleId="99">
    <w:name w:val="正文文本缩进 3 字符"/>
    <w:link w:val="40"/>
    <w:qFormat/>
    <w:uiPriority w:val="0"/>
    <w:rPr>
      <w:rFonts w:ascii="Times New Roman" w:hAnsi="Times New Roman" w:eastAsia="宋体" w:cs="Times New Roman"/>
      <w:sz w:val="16"/>
      <w:szCs w:val="16"/>
    </w:rPr>
  </w:style>
  <w:style w:type="character" w:customStyle="1" w:styleId="100">
    <w:name w:val="正文文本 2 字符"/>
    <w:link w:val="43"/>
    <w:qFormat/>
    <w:uiPriority w:val="0"/>
    <w:rPr>
      <w:rFonts w:ascii="Times New Roman" w:hAnsi="Times New Roman" w:eastAsia="宋体" w:cs="Times New Roman"/>
      <w:szCs w:val="24"/>
    </w:rPr>
  </w:style>
  <w:style w:type="character" w:customStyle="1" w:styleId="101">
    <w:name w:val="标题 字符"/>
    <w:link w:val="46"/>
    <w:qFormat/>
    <w:uiPriority w:val="10"/>
    <w:rPr>
      <w:rFonts w:ascii="Cambria" w:hAnsi="Cambria" w:cs="Times New Roman"/>
      <w:b/>
      <w:bCs/>
      <w:kern w:val="2"/>
      <w:sz w:val="32"/>
      <w:szCs w:val="32"/>
    </w:rPr>
  </w:style>
  <w:style w:type="character" w:customStyle="1" w:styleId="102">
    <w:name w:val="批注主题 字符"/>
    <w:link w:val="8"/>
    <w:semiHidden/>
    <w:qFormat/>
    <w:uiPriority w:val="99"/>
    <w:rPr>
      <w:rFonts w:ascii="Times New Roman" w:hAnsi="Times New Roman"/>
      <w:b/>
      <w:bCs/>
      <w:kern w:val="2"/>
      <w:sz w:val="21"/>
      <w:szCs w:val="24"/>
    </w:rPr>
  </w:style>
  <w:style w:type="character" w:customStyle="1" w:styleId="103">
    <w:name w:val="批注文字 Char1"/>
    <w:qFormat/>
    <w:locked/>
    <w:uiPriority w:val="0"/>
    <w:rPr>
      <w:rFonts w:ascii="Times New Roman" w:hAnsi="Times New Roman"/>
      <w:kern w:val="2"/>
      <w:sz w:val="21"/>
      <w:szCs w:val="24"/>
    </w:rPr>
  </w:style>
  <w:style w:type="character" w:customStyle="1" w:styleId="104">
    <w:name w:val="case31"/>
    <w:qFormat/>
    <w:uiPriority w:val="0"/>
    <w:rPr>
      <w:rFonts w:hint="default" w:ascii="_x000B__x000C_" w:hAnsi="_x000B__x000C_"/>
      <w:sz w:val="21"/>
      <w:szCs w:val="21"/>
    </w:rPr>
  </w:style>
  <w:style w:type="character" w:customStyle="1" w:styleId="105">
    <w:name w:val="批注文字 Char"/>
    <w:qFormat/>
    <w:uiPriority w:val="0"/>
    <w:rPr>
      <w:rFonts w:ascii="Times New Roman" w:hAnsi="Times New Roman"/>
      <w:kern w:val="2"/>
      <w:sz w:val="21"/>
      <w:szCs w:val="24"/>
    </w:rPr>
  </w:style>
  <w:style w:type="character" w:customStyle="1" w:styleId="106">
    <w:name w:val="纯文本 Char"/>
    <w:qFormat/>
    <w:uiPriority w:val="0"/>
    <w:rPr>
      <w:rFonts w:ascii="宋体" w:hAnsi="Courier New" w:eastAsia="宋体"/>
      <w:kern w:val="2"/>
      <w:sz w:val="21"/>
      <w:lang w:val="en-US" w:eastAsia="zh-CN" w:bidi="ar-SA"/>
    </w:rPr>
  </w:style>
  <w:style w:type="character" w:customStyle="1" w:styleId="107">
    <w:name w:val="纯文本 字符1"/>
    <w:qFormat/>
    <w:uiPriority w:val="0"/>
    <w:rPr>
      <w:rFonts w:ascii="宋体" w:hAnsi="Courier New"/>
    </w:rPr>
  </w:style>
  <w:style w:type="character" w:customStyle="1" w:styleId="108">
    <w:name w:val="批注文字 字符1"/>
    <w:qFormat/>
    <w:uiPriority w:val="0"/>
    <w:rPr>
      <w:rFonts w:ascii="Times New Roman" w:hAnsi="Times New Roman"/>
      <w:kern w:val="2"/>
      <w:sz w:val="21"/>
      <w:szCs w:val="24"/>
    </w:rPr>
  </w:style>
  <w:style w:type="character" w:customStyle="1" w:styleId="109">
    <w:name w:val="正文文本 Char1"/>
    <w:semiHidden/>
    <w:qFormat/>
    <w:locked/>
    <w:uiPriority w:val="99"/>
    <w:rPr>
      <w:sz w:val="24"/>
      <w:szCs w:val="24"/>
    </w:rPr>
  </w:style>
  <w:style w:type="character" w:customStyle="1" w:styleId="110">
    <w:name w:val="apple-style-span"/>
    <w:qFormat/>
    <w:uiPriority w:val="0"/>
  </w:style>
  <w:style w:type="character" w:customStyle="1" w:styleId="111">
    <w:name w:val="textcontents"/>
    <w:qFormat/>
    <w:uiPriority w:val="0"/>
  </w:style>
  <w:style w:type="character" w:customStyle="1" w:styleId="112">
    <w:name w:val="普通文字 Char Char2"/>
    <w:qFormat/>
    <w:uiPriority w:val="0"/>
    <w:rPr>
      <w:rFonts w:ascii="宋体" w:hAnsi="Courier New" w:eastAsia="宋体"/>
      <w:kern w:val="2"/>
      <w:sz w:val="21"/>
      <w:lang w:val="en-US" w:eastAsia="zh-CN" w:bidi="ar-SA"/>
    </w:rPr>
  </w:style>
  <w:style w:type="character" w:customStyle="1" w:styleId="113">
    <w:name w:val="标题 5 Char"/>
    <w:qFormat/>
    <w:uiPriority w:val="9"/>
    <w:rPr>
      <w:b/>
      <w:kern w:val="2"/>
      <w:sz w:val="28"/>
      <w:szCs w:val="24"/>
    </w:rPr>
  </w:style>
  <w:style w:type="character" w:customStyle="1" w:styleId="114">
    <w:name w:val="批注文字 字符"/>
    <w:qFormat/>
    <w:uiPriority w:val="0"/>
    <w:rPr>
      <w:rFonts w:ascii="Times New Roman" w:hAnsi="Times New Roman"/>
      <w:kern w:val="2"/>
      <w:sz w:val="21"/>
      <w:szCs w:val="24"/>
    </w:rPr>
  </w:style>
  <w:style w:type="character" w:customStyle="1" w:styleId="115">
    <w:name w:val="标题 1 字符"/>
    <w:qFormat/>
    <w:uiPriority w:val="9"/>
    <w:rPr>
      <w:rFonts w:ascii="Times New Roman" w:hAnsi="Times New Roman" w:eastAsia="宋体" w:cs="Times New Roman"/>
      <w:b/>
      <w:bCs/>
      <w:kern w:val="44"/>
      <w:sz w:val="44"/>
      <w:szCs w:val="44"/>
    </w:rPr>
  </w:style>
  <w:style w:type="character" w:customStyle="1" w:styleId="116">
    <w:name w:val="纯文本 字符"/>
    <w:qFormat/>
    <w:uiPriority w:val="0"/>
    <w:rPr>
      <w:rFonts w:ascii="宋体" w:hAnsi="Courier New" w:eastAsia="宋体" w:cs="Courier New"/>
      <w:szCs w:val="21"/>
    </w:rPr>
  </w:style>
  <w:style w:type="character" w:customStyle="1" w:styleId="117">
    <w:name w:val="headline-content4"/>
    <w:qFormat/>
    <w:uiPriority w:val="0"/>
  </w:style>
  <w:style w:type="character" w:customStyle="1" w:styleId="118">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19">
    <w:name w:val="正文文本缩进 字符"/>
    <w:qFormat/>
    <w:uiPriority w:val="0"/>
    <w:rPr>
      <w:rFonts w:ascii="仿宋_GB2312" w:hAnsi="Times New Roman" w:eastAsia="仿宋_GB2312" w:cs="Times New Roman"/>
      <w:sz w:val="32"/>
      <w:szCs w:val="20"/>
    </w:rPr>
  </w:style>
  <w:style w:type="character" w:customStyle="1" w:styleId="120">
    <w:name w:val="页脚 字符"/>
    <w:qFormat/>
    <w:uiPriority w:val="99"/>
  </w:style>
  <w:style w:type="character" w:customStyle="1" w:styleId="121">
    <w:name w:val="标题 1 Char1"/>
    <w:qFormat/>
    <w:uiPriority w:val="0"/>
    <w:rPr>
      <w:rFonts w:eastAsia="宋体"/>
      <w:b/>
      <w:bCs/>
      <w:kern w:val="44"/>
      <w:sz w:val="44"/>
      <w:szCs w:val="44"/>
      <w:lang w:val="en-US" w:eastAsia="zh-CN" w:bidi="ar-SA"/>
    </w:rPr>
  </w:style>
  <w:style w:type="character" w:customStyle="1" w:styleId="122">
    <w:name w:val="font31"/>
    <w:qFormat/>
    <w:uiPriority w:val="0"/>
    <w:rPr>
      <w:rFonts w:ascii="方正书宋_GBK" w:hAnsi="方正书宋_GBK" w:eastAsia="方正书宋_GBK" w:cs="方正书宋_GBK"/>
      <w:color w:val="000000"/>
      <w:sz w:val="21"/>
      <w:szCs w:val="21"/>
      <w:u w:val="none"/>
    </w:rPr>
  </w:style>
  <w:style w:type="character" w:customStyle="1" w:styleId="123">
    <w:name w:val="font61"/>
    <w:qFormat/>
    <w:uiPriority w:val="0"/>
    <w:rPr>
      <w:rFonts w:hint="default" w:ascii="Times New Roman" w:hAnsi="Times New Roman" w:cs="Times New Roman"/>
      <w:color w:val="000000"/>
      <w:sz w:val="21"/>
      <w:szCs w:val="21"/>
      <w:u w:val="none"/>
    </w:rPr>
  </w:style>
  <w:style w:type="character" w:customStyle="1" w:styleId="124">
    <w:name w:val="font11"/>
    <w:qFormat/>
    <w:uiPriority w:val="0"/>
    <w:rPr>
      <w:rFonts w:hint="eastAsia" w:ascii="宋体" w:hAnsi="宋体" w:eastAsia="宋体" w:cs="宋体"/>
      <w:color w:val="000000"/>
      <w:sz w:val="21"/>
      <w:szCs w:val="21"/>
      <w:u w:val="none"/>
    </w:rPr>
  </w:style>
  <w:style w:type="table" w:customStyle="1" w:styleId="125">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paragraph" w:styleId="126">
    <w:name w:val="List Paragraph"/>
    <w:basedOn w:val="1"/>
    <w:qFormat/>
    <w:uiPriority w:val="34"/>
    <w:pPr>
      <w:ind w:firstLine="420" w:firstLineChars="200"/>
    </w:pPr>
    <w:rPr>
      <w:szCs w:val="22"/>
    </w:rPr>
  </w:style>
  <w:style w:type="character" w:customStyle="1" w:styleId="127">
    <w:name w:val="font51"/>
    <w:qFormat/>
    <w:uiPriority w:val="0"/>
    <w:rPr>
      <w:rFonts w:hint="default" w:ascii="Times New Roman" w:hAnsi="Times New Roman" w:cs="Times New Roman"/>
      <w:b/>
      <w:color w:val="000000"/>
      <w:sz w:val="18"/>
      <w:szCs w:val="18"/>
      <w:u w:val="none"/>
    </w:rPr>
  </w:style>
  <w:style w:type="paragraph" w:customStyle="1" w:styleId="128">
    <w:name w:val="列表段落2"/>
    <w:basedOn w:val="1"/>
    <w:qFormat/>
    <w:uiPriority w:val="0"/>
    <w:pPr>
      <w:ind w:firstLine="420" w:firstLineChars="200"/>
    </w:pPr>
    <w:rPr>
      <w:rFonts w:ascii="Calibri" w:hAnsi="Calibri"/>
      <w:szCs w:val="22"/>
    </w:rPr>
  </w:style>
  <w:style w:type="character" w:customStyle="1" w:styleId="129">
    <w:name w:val="font21"/>
    <w:qFormat/>
    <w:uiPriority w:val="0"/>
    <w:rPr>
      <w:rFonts w:hint="eastAsia" w:ascii="Courier New" w:hAnsi="Courier New" w:eastAsia="Courier New" w:cs="Courier New"/>
      <w:color w:val="000000"/>
      <w:sz w:val="28"/>
      <w:szCs w:val="28"/>
      <w:u w:val="none"/>
    </w:rPr>
  </w:style>
  <w:style w:type="character" w:customStyle="1" w:styleId="130">
    <w:name w:val="font41"/>
    <w:qFormat/>
    <w:uiPriority w:val="0"/>
    <w:rPr>
      <w:rFonts w:hint="eastAsia" w:ascii="黑体" w:hAnsi="宋体" w:eastAsia="黑体" w:cs="黑体"/>
      <w:color w:val="000000"/>
      <w:sz w:val="18"/>
      <w:szCs w:val="18"/>
      <w:u w:val="none"/>
    </w:rPr>
  </w:style>
  <w:style w:type="paragraph" w:customStyle="1" w:styleId="13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32">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33">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134">
    <w:name w:val="纯文本 Char2"/>
    <w:qFormat/>
    <w:uiPriority w:val="0"/>
    <w:rPr>
      <w:rFonts w:ascii="宋体" w:hAnsi="Courier New" w:eastAsia="宋体" w:cs="Courier New"/>
      <w:szCs w:val="21"/>
    </w:rPr>
  </w:style>
  <w:style w:type="character" w:customStyle="1" w:styleId="135">
    <w:name w:val="未处理的提及1"/>
    <w:basedOn w:val="50"/>
    <w:semiHidden/>
    <w:unhideWhenUsed/>
    <w:qFormat/>
    <w:uiPriority w:val="99"/>
    <w:rPr>
      <w:color w:val="605E5C"/>
      <w:shd w:val="clear" w:color="auto" w:fill="E1DFDD"/>
    </w:rPr>
  </w:style>
  <w:style w:type="paragraph" w:customStyle="1" w:styleId="136">
    <w:name w:val="**正文"/>
    <w:basedOn w:val="1"/>
    <w:qFormat/>
    <w:uiPriority w:val="0"/>
    <w:pPr>
      <w:ind w:firstLine="482"/>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00e99c6d-1161-4e76-880b-26fe28521676</errorID>
      <errorWord>上午00:00</errorWord>
      <group>L1_Knowledge</group>
      <groupName>知识性问题</groupName>
      <ability>L2_Time</ability>
      <abilityName>日期时间</abilityName>
      <candidateList/>
      <explain>时间与前缀不匹配，可能的时间前缀有“下午、晚上、凌晨、午夜”。</explain>
      <paraID>68B89FA3</paraID>
      <start>33</start>
      <end>40</end>
      <status>unmodified</status>
      <modifiedWord/>
      <trackRevisions>false</trackRevisions>
    </reviewItem>
    <reviewItem>
      <errorID>be24f029-0137-426a-bde8-a6dcb2163dc7</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51FD4E29</paraID>
      <start>127</start>
      <end>139</end>
      <status>unmodified</status>
      <modifiedWord/>
      <trackRevisions>false</trackRevisions>
    </reviewItem>
    <reviewItem>
      <errorID>158a9ae1-3cff-43b5-a011-fb8539050fff</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389AAF15</paraID>
      <start>127</start>
      <end>139</end>
      <status>unmodified</status>
      <modifiedWord/>
      <trackRevisions>false</trackRevisions>
    </reviewItem>
    <reviewItem>
      <errorID>989e70eb-ee94-44b1-af76-ecebff9a864a</errorID>
      <errorWord>远程通讯</errorWord>
      <group>L1_Knowledge</group>
      <groupName>知识性问题</groupName>
      <ability>L2_Term</ability>
      <abilityName>专业术语</abilityName>
      <candidateList>
        <item>远程通信</item>
      </candidateList>
      <explain/>
      <paraID>6E326AAE</paraID>
      <start>22</start>
      <end>26</end>
      <status>unmodified</status>
      <modifiedWord/>
      <trackRevisions>false</trackRevisions>
    </reviewItem>
    <reviewItem>
      <errorID>12ff1911-4ce8-474f-b6a6-30dc95cbb967</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1BB6B72E</paraID>
      <start>14</start>
      <end>17</end>
      <status>unmodified</status>
      <modifiedWord/>
      <trackRevisions>false</trackRevisions>
    </reviewItem>
    <reviewItem>
      <errorID>d0db6364-5f49-40bf-86e2-f8b5f6eb5afe</errorID>
      <errorWord>200—500万</errorWord>
      <group>L1_Knowledge</group>
      <groupName>知识性问题</groupName>
      <ability>L2_Knowledge</ability>
      <abilityName>其他知识</abilityName>
      <candidateList>
        <item>200万—500万</item>
      </candidateList>
      <explain>1. “200—500万”中的单位“万”仅出现在后一个数字上，容易引起歧义；根据《现代汉语标点符号数字用法规范手册》，数字表示范围两边需要使用统一的格式。2.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6066EA8A</paraID>
      <start>4</start>
      <end>12</end>
      <status>unmodified</status>
      <modifiedWord/>
      <trackRevisions>false</trackRevisions>
    </reviewItem>
    <reviewItem>
      <errorID>36f16a59-7a67-4be0-8df1-0d3cb2e8f832</errorID>
      <errorWord>[2011]300号</errorWord>
      <group>L1_Knowledge</group>
      <groupName>知识性问题</groupName>
      <ability>L2_Knowledge</ability>
      <abilityName>其他知识</abilityName>
      <candidateList>
        <item>〔2011〕300号</item>
      </candidateList>
      <explain>发文字号格式错误。</explain>
      <paraID>16D63689</paraID>
      <start>35</start>
      <end>45</end>
      <status>unmodified</status>
      <modifiedWord/>
      <trackRevisions>false</trackRevisions>
    </reviewItem>
    <reviewItem>
      <errorID>e345c7c1-84c5-401f-a501-1a302447bb42</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4BAE1BCB</paraID>
      <start>244</start>
      <end>249</end>
      <status>unmodified</status>
      <modifiedWord/>
      <trackRevisions>false</trackRevisions>
    </reviewItem>
    <reviewItem>
      <errorID>7decf3ca-bd95-49ac-b9bf-3c084e0187f6</errorID>
      <errorWord>[2002]1980号</errorWord>
      <group>L1_Knowledge</group>
      <groupName>知识性问题</groupName>
      <ability>L2_Knowledge</ability>
      <abilityName>其他知识</abilityName>
      <candidateList>
        <item>〔2002〕1980号</item>
      </candidateList>
      <explain>发文字号格式错误。</explain>
      <paraID>  2D3A29</paraID>
      <start>14</start>
      <end>25</end>
      <status>unmodified</status>
      <modifiedWord/>
      <trackRevisions>false</trackRevisions>
    </reviewItem>
    <reviewItem>
      <errorID>0e27db47-41dd-4341-aea1-fff38342a285</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6C8C6FCD</paraID>
      <start>0</start>
      <end>8</end>
      <status>unmodified</status>
      <modifiedWord/>
      <trackRevisions>false</trackRevisions>
    </reviewItem>
    <reviewItem>
      <errorID>e1b37abc-6a7e-4c93-a77b-534b22cc66f8</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159E3A10</paraID>
      <start>0</start>
      <end>9</end>
      <status>unmodified</status>
      <modifiedWord/>
      <trackRevisions>false</trackRevisions>
    </reviewItem>
    <reviewItem>
      <errorID>5486b663-633f-4163-a1f5-8d06dddd6ae5</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28CB91BE</paraID>
      <start>0</start>
      <end>10</end>
      <status>unmodified</status>
      <modifiedWord/>
      <trackRevisions>false</trackRevisions>
    </reviewItem>
    <reviewItem>
      <errorID>80f0f34d-4c78-4204-b397-72f9ed433f03</errorID>
      <errorWord>1～5亿</errorWord>
      <group>L1_Knowledge</group>
      <groupName>知识性问题</groupName>
      <ability>L2_Knowledge</ability>
      <abilityName>其他知识</abilityName>
      <candidateList>
        <item>1亿～5亿</item>
      </candidateList>
      <explain>1. “1～5亿”中的单位“亿”仅出现在后一个数字上，容易引起歧义；根据《现代汉语标点符号数字用法规范手册》，数字表示范围两边需要使用统一的格式。2.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59DA4ED0</paraID>
      <start>0</start>
      <end>4</end>
      <status>unmodified</status>
      <modifiedWord/>
      <trackRevisions>false</trackRevisions>
    </reviewItem>
    <reviewItem>
      <errorID>08cee391-7aed-49ec-a93b-865dc4637725</errorID>
      <errorWord>5～10亿</errorWord>
      <group>L1_Knowledge</group>
      <groupName>知识性问题</groupName>
      <ability>L2_Knowledge</ability>
      <abilityName>其他知识</abilityName>
      <candidateList>
        <item>5亿～10亿</item>
      </candidateList>
      <explain>1. “5～10亿”中的单位“亿”仅出现在后一个数字上，容易引起歧义；根据《现代汉语标点符号数字用法规范手册》，数字表示范围两边需要使用统一的格式。2.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3BBE787B</paraID>
      <start>0</start>
      <end>5</end>
      <status>unmodified</status>
      <modifiedWord/>
      <trackRevisions>false</trackRevisions>
    </reviewItem>
    <reviewItem>
      <errorID>732148a1-da54-4850-b310-8a7d78d577e8</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17FF76D</paraID>
      <start>0</start>
      <end>6</end>
      <status>unmodified</status>
      <modifiedWord/>
      <trackRevisions>false</trackRevisions>
    </reviewItem>
    <reviewItem>
      <errorID>8a839b0d-1c49-47ee-ab12-3d3fa7b30efd</errorID>
      <errorWord>50～100亿</errorWord>
      <group>L1_Knowledge</group>
      <groupName>知识性问题</groupName>
      <ability>L2_Knowledge</ability>
      <abilityName>其他知识</abilityName>
      <candidateList>
        <item>50亿～100亿</item>
      </candidateList>
      <explain>1. “50～100亿”中的单位“亿”仅出现在后一个数字上，容易引起歧义；根据《现代汉语标点符号数字用法规范手册》，数字表示范围两边需要使用统一的格式。2.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 28988F7</paraID>
      <start>0</start>
      <end>7</end>
      <status>unmodified</status>
      <modifiedWord/>
      <trackRevisions>false</trackRevisions>
    </reviewItem>
    <reviewItem>
      <errorID>c8093d6b-192e-43cb-b126-304bc1c44360</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70967C64</paraID>
      <start>14</start>
      <end>17</end>
      <status>unmodified</status>
      <modifiedWord/>
      <trackRevisions>false</trackRevisions>
    </reviewItem>
    <reviewItem>
      <errorID>2f0bd4a6-93f7-4565-9572-48bb175ad67d</errorID>
      <errorWord>其它</errorWord>
      <group>L1_Word</group>
      <groupName>字词问题</groupName>
      <ability>L2_Alias</ability>
      <abilityName>也作/曾用词</abilityName>
      <candidateList>
        <item>其他</item>
      </candidateList>
      <explain>词汇[其它]为不规范表述或旧称，其规范书面表述为[其他]。</explain>
      <paraID>2EDBCE04</paraID>
      <start>32</start>
      <end>34</end>
      <status>unmodified</status>
      <modifiedWord/>
      <trackRevisions>false</trackRevisions>
    </reviewItem>
    <reviewItem>
      <errorID>b645e221-4961-448f-807e-9e9fdf082450</errorID>
      <errorWord>股东大会</errorWord>
      <group>L1_Knowledge</group>
      <groupName>知识性问题</groupName>
      <ability>L2_Knowledge</ability>
      <abilityName>其他知识</abilityName>
      <candidateList>
        <item>股东会</item>
      </candidateList>
      <explain/>
      <paraID>3937F0B6</paraID>
      <start>113</start>
      <end>117</end>
      <status>unmodified</status>
      <modifiedWord/>
      <trackRevisions>false</trackRevisions>
    </reviewItem>
    <reviewItem>
      <errorID>13fe8305-17a3-40d2-a9bf-ab53ba22d390</errorID>
      <errorWord>〔2017〕 141号</errorWord>
      <group>L1_Knowledge</group>
      <groupName>知识性问题</groupName>
      <ability>L2_Knowledge</ability>
      <abilityName>其他知识</abilityName>
      <candidateList>
        <item>〔2017〕141号</item>
      </candidateList>
      <explain>发文字号格式错误。</explain>
      <paraID>4EEF4928</paraID>
      <start>49</start>
      <end>60</end>
      <status>unmodified</status>
      <modifiedWord/>
      <trackRevisions>false</trackRevisions>
    </reviewItem>
    <reviewItem>
      <errorID>247a4e2e-cc26-400f-b7fd-e39b31b5eda6</errorID>
      <errorWord>提出质疑</errorWord>
      <group>L1_Grammar</group>
      <groupName>语法问题</groupName>
      <ability>L2_Grammar</ability>
      <abilityName>语法错误</abilityName>
      <candidateList>
        <item>质疑</item>
      </candidateList>
      <explain>〈动〉提出疑问：～问难。</explain>
      <paraID>3288D32A</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cf246b-17d3-40cd-a53f-de59149c6dc8}">
  <ds:schemaRefs/>
</ds:datastoreItem>
</file>

<file path=docProps/app.xml><?xml version="1.0" encoding="utf-8"?>
<Properties xmlns="http://schemas.openxmlformats.org/officeDocument/2006/extended-properties" xmlns:vt="http://schemas.openxmlformats.org/officeDocument/2006/docPropsVTypes">
  <Template>Normal</Template>
  <Company>KWZB;</Company>
  <Pages>149</Pages>
  <Words>9117</Words>
  <Characters>10649</Characters>
  <Lines>462</Lines>
  <Paragraphs>130</Paragraphs>
  <TotalTime>96</TotalTime>
  <ScaleCrop>false</ScaleCrop>
  <LinksUpToDate>false</LinksUpToDate>
  <CharactersWithSpaces>10763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2025-04-07T01:03:00Z</dcterms:created>
  <dc:creator>KWZB</dc:creator>
  <cp:lastModifiedBy>WPS_1744206875</cp:lastModifiedBy>
  <cp:lastPrinted>2022-09-05T02:15:00Z</cp:lastPrinted>
  <dcterms:modified xsi:type="dcterms:W3CDTF">2026-07-16T02:43:34Z</dcterms:modified>
  <dc:title>公开招标采购文件范本</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9E26B2B0364242B4B5942B900C02CC17_13</vt:lpwstr>
  </property>
  <property fmtid="{D5CDD505-2E9C-101B-9397-08002B2CF9AE}" pid="4" name="commondata">
    <vt:lpwstr>eyJoZGlkIjoiZDBiOGZhYWQ5NWI3MDgyYTM5NWU2ZGE3NmNjNDlmOGQifQ==</vt:lpwstr>
  </property>
  <property fmtid="{D5CDD505-2E9C-101B-9397-08002B2CF9AE}" pid="5" name="KSOTemplateDocerSaveRecord">
    <vt:lpwstr>eyJoZGlkIjoiN2M5YzhlODljYzhhYWI4NWQzYWM5NDY0NzdjYzA4ZTIiLCJ1c2VySWQiOiIxNjkwOTIxODE2In0=</vt:lpwstr>
  </property>
</Properties>
</file>