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541DCA21">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龙州县城北安置点公共场地硬化项目（易安后扶）</w:t>
      </w:r>
    </w:p>
    <w:p w14:paraId="0A5127FE">
      <w:pPr>
        <w:pStyle w:val="25"/>
        <w:snapToGrid w:val="0"/>
        <w:spacing w:line="360" w:lineRule="auto"/>
        <w:ind w:left="1077" w:leftChars="513" w:firstLine="0" w:firstLineChars="0"/>
        <w:rPr>
          <w:rFonts w:hint="eastAsia" w:ascii="仿宋_GB2312" w:hAnsi="宋体" w:eastAsia="仿宋_GB2312"/>
          <w:b/>
          <w:bCs/>
          <w:color w:val="auto"/>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CZZC2026-C2-230022-KZJS</w:t>
      </w:r>
    </w:p>
    <w:p w14:paraId="3EFC4AC0">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采购人：</w:t>
      </w:r>
      <w:r>
        <w:rPr>
          <w:rFonts w:hint="eastAsia" w:ascii="仿宋_GB2312" w:hAnsi="宋体" w:eastAsia="仿宋_GB2312"/>
          <w:b/>
          <w:bCs/>
          <w:color w:val="auto"/>
          <w:w w:val="95"/>
          <w:sz w:val="36"/>
          <w:szCs w:val="36"/>
          <w:lang w:eastAsia="zh-CN"/>
        </w:rPr>
        <w:t>龙州县生态移民发展中心</w:t>
      </w:r>
      <w:r>
        <w:rPr>
          <w:rFonts w:hint="eastAsia" w:ascii="仿宋_GB2312" w:hAnsi="宋体" w:eastAsia="仿宋_GB2312"/>
          <w:b/>
          <w:bCs/>
          <w:color w:val="auto"/>
          <w:w w:val="95"/>
          <w:sz w:val="36"/>
          <w:szCs w:val="36"/>
        </w:rPr>
        <w:t> </w:t>
      </w:r>
    </w:p>
    <w:p w14:paraId="580B953F">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采购代理机构：</w:t>
      </w:r>
      <w:r>
        <w:rPr>
          <w:rFonts w:hint="eastAsia" w:ascii="仿宋_GB2312" w:hAnsi="宋体" w:eastAsia="仿宋_GB2312"/>
          <w:b/>
          <w:bCs/>
          <w:color w:val="auto"/>
          <w:w w:val="95"/>
          <w:sz w:val="36"/>
          <w:szCs w:val="36"/>
          <w:lang w:eastAsia="zh-CN"/>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auto"/>
          <w:w w:val="95"/>
          <w:sz w:val="30"/>
          <w:szCs w:val="30"/>
        </w:rPr>
      </w:pPr>
    </w:p>
    <w:p w14:paraId="4FF2A386">
      <w:pPr>
        <w:pStyle w:val="25"/>
        <w:snapToGrid w:val="0"/>
        <w:spacing w:line="360" w:lineRule="auto"/>
        <w:ind w:firstLine="1125" w:firstLineChars="393"/>
        <w:rPr>
          <w:rFonts w:ascii="仿宋_GB2312" w:hAnsi="宋体" w:eastAsia="仿宋_GB2312"/>
          <w:b/>
          <w:bCs/>
          <w:color w:val="auto"/>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auto"/>
          <w:w w:val="95"/>
          <w:sz w:val="36"/>
          <w:szCs w:val="36"/>
        </w:rPr>
        <w:t>年</w:t>
      </w:r>
      <w:r>
        <w:rPr>
          <w:rFonts w:hint="eastAsia" w:ascii="仿宋_GB2312" w:hAnsi="宋体" w:eastAsia="仿宋_GB2312"/>
          <w:b/>
          <w:bCs/>
          <w:color w:val="auto"/>
          <w:w w:val="95"/>
          <w:sz w:val="36"/>
          <w:szCs w:val="36"/>
          <w:lang w:val="en-US" w:eastAsia="zh-CN"/>
        </w:rPr>
        <w:t xml:space="preserve"> 4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 xml:space="preserve"> 21</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rPr>
          <w:color w:val="auto"/>
        </w:rPr>
      </w:pPr>
    </w:p>
    <w:p w14:paraId="4852A9A5">
      <w:pPr>
        <w:spacing w:line="360" w:lineRule="auto"/>
        <w:jc w:val="center"/>
        <w:rPr>
          <w:rFonts w:ascii="宋体" w:hAnsi="宋体"/>
          <w:b/>
          <w:color w:val="auto"/>
          <w:sz w:val="44"/>
          <w:szCs w:val="44"/>
        </w:rPr>
      </w:pPr>
    </w:p>
    <w:p w14:paraId="3EAA5138">
      <w:pPr>
        <w:spacing w:line="360" w:lineRule="auto"/>
        <w:jc w:val="center"/>
        <w:rPr>
          <w:rFonts w:ascii="宋体"/>
          <w:b/>
          <w:color w:val="auto"/>
          <w:sz w:val="44"/>
          <w:szCs w:val="44"/>
        </w:rPr>
      </w:pPr>
      <w:r>
        <w:rPr>
          <w:rFonts w:hint="eastAsia" w:ascii="宋体" w:hAnsi="宋体"/>
          <w:b/>
          <w:color w:val="auto"/>
          <w:sz w:val="44"/>
          <w:szCs w:val="44"/>
        </w:rPr>
        <w:t>目 录</w:t>
      </w:r>
    </w:p>
    <w:p w14:paraId="285BCA8B">
      <w:pPr>
        <w:spacing w:line="400" w:lineRule="exact"/>
        <w:jc w:val="center"/>
        <w:rPr>
          <w:rFonts w:ascii="宋体"/>
          <w:b/>
          <w:color w:val="auto"/>
          <w:sz w:val="44"/>
          <w:szCs w:val="44"/>
        </w:rPr>
      </w:pPr>
    </w:p>
    <w:p w14:paraId="0D221341">
      <w:pPr>
        <w:pStyle w:val="32"/>
        <w:tabs>
          <w:tab w:val="right" w:leader="dot" w:pos="8869"/>
        </w:tabs>
        <w:snapToGrid w:val="0"/>
        <w:spacing w:line="500" w:lineRule="atLeast"/>
        <w:rPr>
          <w:rFonts w:ascii="宋体"/>
          <w:b/>
          <w:color w:val="auto"/>
          <w:sz w:val="24"/>
        </w:rPr>
      </w:pPr>
      <w:r>
        <w:rPr>
          <w:rFonts w:ascii="宋体" w:hAnsi="宋体"/>
          <w:b/>
          <w:color w:val="auto"/>
          <w:sz w:val="24"/>
        </w:rPr>
        <w:fldChar w:fldCharType="begin"/>
      </w:r>
      <w:r>
        <w:rPr>
          <w:rFonts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54"/>
          <w:rFonts w:hint="eastAsia" w:ascii="宋体" w:hAnsi="宋体"/>
          <w:b/>
          <w:color w:val="auto"/>
          <w:sz w:val="24"/>
        </w:rPr>
        <w:t>第一章竞争性磋商公告</w:t>
      </w:r>
      <w:r>
        <w:rPr>
          <w:rFonts w:ascii="宋体"/>
          <w:b/>
          <w:color w:val="auto"/>
          <w:sz w:val="24"/>
        </w:rPr>
        <w:tab/>
      </w:r>
      <w:r>
        <w:rPr>
          <w:rFonts w:hint="eastAsia" w:ascii="宋体" w:hAnsi="宋体"/>
          <w:b/>
          <w:color w:val="auto"/>
          <w:sz w:val="24"/>
          <w:lang w:val="en-US" w:eastAsia="zh-CN"/>
        </w:rPr>
        <w:t>1</w:t>
      </w:r>
      <w:r>
        <w:rPr>
          <w:rFonts w:ascii="宋体" w:hAnsi="宋体"/>
          <w:b/>
          <w:color w:val="auto"/>
          <w:sz w:val="24"/>
        </w:rPr>
        <w:fldChar w:fldCharType="end"/>
      </w:r>
    </w:p>
    <w:p w14:paraId="048F35E9">
      <w:pPr>
        <w:pStyle w:val="32"/>
        <w:tabs>
          <w:tab w:val="right" w:leader="dot" w:pos="8869"/>
        </w:tabs>
        <w:snapToGrid w:val="0"/>
        <w:spacing w:line="500" w:lineRule="atLeast"/>
        <w:rPr>
          <w:rFonts w:asci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54"/>
          <w:rFonts w:hint="eastAsia" w:ascii="宋体" w:hAnsi="宋体"/>
          <w:b/>
          <w:color w:val="auto"/>
          <w:sz w:val="24"/>
        </w:rPr>
        <w:t>第二章供应</w:t>
      </w:r>
      <w:bookmarkStart w:id="0" w:name="_Hlt82161237"/>
      <w:r>
        <w:rPr>
          <w:rStyle w:val="54"/>
          <w:rFonts w:hint="eastAsia" w:ascii="宋体" w:hAnsi="宋体"/>
          <w:b/>
          <w:color w:val="auto"/>
          <w:sz w:val="24"/>
        </w:rPr>
        <w:t>商</w:t>
      </w:r>
      <w:bookmarkEnd w:id="0"/>
      <w:r>
        <w:rPr>
          <w:rStyle w:val="54"/>
          <w:rFonts w:hint="eastAsia" w:ascii="宋体" w:hAnsi="宋体"/>
          <w:b/>
          <w:color w:val="auto"/>
          <w:sz w:val="24"/>
        </w:rPr>
        <w:t>须</w:t>
      </w:r>
      <w:bookmarkStart w:id="1" w:name="_Hlt123912042"/>
      <w:r>
        <w:rPr>
          <w:rStyle w:val="54"/>
          <w:rFonts w:hint="eastAsia" w:ascii="宋体" w:hAnsi="宋体"/>
          <w:b/>
          <w:color w:val="auto"/>
          <w:sz w:val="24"/>
        </w:rPr>
        <w:t>知</w:t>
      </w:r>
      <w:bookmarkEnd w:id="1"/>
      <w:r>
        <w:rPr>
          <w:rFonts w:ascii="宋体"/>
          <w:b/>
          <w:color w:val="auto"/>
          <w:sz w:val="24"/>
        </w:rPr>
        <w:tab/>
      </w:r>
      <w:r>
        <w:rPr>
          <w:rFonts w:hint="eastAsia" w:ascii="宋体" w:hAnsi="宋体"/>
          <w:b/>
          <w:color w:val="auto"/>
          <w:sz w:val="24"/>
          <w:lang w:val="en-US" w:eastAsia="zh-CN"/>
        </w:rPr>
        <w:t>5</w:t>
      </w:r>
      <w:r>
        <w:rPr>
          <w:rFonts w:ascii="宋体" w:hAnsi="宋体"/>
          <w:b/>
          <w:color w:val="auto"/>
          <w:sz w:val="24"/>
        </w:rPr>
        <w:fldChar w:fldCharType="end"/>
      </w:r>
    </w:p>
    <w:p w14:paraId="37E2473B">
      <w:pPr>
        <w:pStyle w:val="32"/>
        <w:tabs>
          <w:tab w:val="right" w:leader="dot" w:pos="8869"/>
        </w:tabs>
        <w:snapToGrid w:val="0"/>
        <w:spacing w:line="500" w:lineRule="atLeast"/>
        <w:rPr>
          <w:rFonts w:hint="eastAsia" w:ascii="宋体" w:eastAsia="宋体"/>
          <w:b/>
          <w:color w:val="auto"/>
          <w:sz w:val="24"/>
          <w:lang w:val="en-US" w:eastAsia="zh-CN"/>
        </w:rPr>
      </w:pPr>
      <w:r>
        <w:rPr>
          <w:color w:val="auto"/>
        </w:rPr>
        <w:fldChar w:fldCharType="begin"/>
      </w:r>
      <w:r>
        <w:rPr>
          <w:color w:val="auto"/>
        </w:rPr>
        <w:instrText xml:space="preserve"> HYPERLINK \l "_Toc74323458" </w:instrText>
      </w:r>
      <w:r>
        <w:rPr>
          <w:color w:val="auto"/>
        </w:rPr>
        <w:fldChar w:fldCharType="separate"/>
      </w:r>
      <w:r>
        <w:rPr>
          <w:rStyle w:val="54"/>
          <w:rFonts w:hint="eastAsia" w:ascii="宋体" w:hAnsi="宋体"/>
          <w:b/>
          <w:color w:val="auto"/>
          <w:sz w:val="24"/>
        </w:rPr>
        <w:t>第三章采</w:t>
      </w:r>
      <w:bookmarkStart w:id="2" w:name="_Hlt123913427"/>
      <w:bookmarkStart w:id="3" w:name="_Hlt123903950"/>
      <w:bookmarkStart w:id="4" w:name="_Hlt123905034"/>
      <w:r>
        <w:rPr>
          <w:rStyle w:val="54"/>
          <w:rFonts w:hint="eastAsia" w:ascii="宋体" w:hAnsi="宋体"/>
          <w:b/>
          <w:color w:val="auto"/>
          <w:sz w:val="24"/>
        </w:rPr>
        <w:t>购</w:t>
      </w:r>
      <w:bookmarkEnd w:id="2"/>
      <w:bookmarkEnd w:id="3"/>
      <w:bookmarkEnd w:id="4"/>
      <w:bookmarkStart w:id="5" w:name="_Hlt123913500"/>
      <w:r>
        <w:rPr>
          <w:rStyle w:val="54"/>
          <w:rFonts w:hint="eastAsia" w:ascii="宋体" w:hAnsi="宋体"/>
          <w:b/>
          <w:color w:val="auto"/>
          <w:sz w:val="24"/>
        </w:rPr>
        <w:t>需</w:t>
      </w:r>
      <w:bookmarkEnd w:id="5"/>
      <w:bookmarkStart w:id="6" w:name="_Hlt82166940"/>
      <w:r>
        <w:rPr>
          <w:rStyle w:val="54"/>
          <w:rFonts w:hint="eastAsia" w:ascii="宋体" w:hAnsi="宋体"/>
          <w:b/>
          <w:color w:val="auto"/>
          <w:sz w:val="24"/>
        </w:rPr>
        <w:t>求</w:t>
      </w:r>
      <w:bookmarkEnd w:id="6"/>
      <w:r>
        <w:rPr>
          <w:rFonts w:ascii="宋体"/>
          <w:b/>
          <w:color w:val="auto"/>
          <w:sz w:val="24"/>
        </w:rPr>
        <w:tab/>
      </w:r>
      <w:r>
        <w:rPr>
          <w:rFonts w:hint="eastAsia" w:ascii="宋体" w:hAnsi="宋体"/>
          <w:b/>
          <w:color w:val="auto"/>
          <w:sz w:val="24"/>
          <w:lang w:val="en-US" w:eastAsia="zh-CN"/>
        </w:rPr>
        <w:t>3</w:t>
      </w:r>
      <w:r>
        <w:rPr>
          <w:rFonts w:ascii="宋体" w:hAnsi="宋体"/>
          <w:b/>
          <w:color w:val="auto"/>
          <w:sz w:val="24"/>
        </w:rPr>
        <w:fldChar w:fldCharType="end"/>
      </w:r>
      <w:r>
        <w:rPr>
          <w:rFonts w:hint="eastAsia" w:ascii="宋体" w:hAnsi="宋体"/>
          <w:b/>
          <w:color w:val="auto"/>
          <w:sz w:val="24"/>
          <w:lang w:val="en-US" w:eastAsia="zh-CN"/>
        </w:rPr>
        <w:t>0</w:t>
      </w:r>
    </w:p>
    <w:p w14:paraId="7B3B184F">
      <w:pPr>
        <w:pStyle w:val="32"/>
        <w:tabs>
          <w:tab w:val="right" w:leader="dot" w:pos="8869"/>
        </w:tabs>
        <w:snapToGrid w:val="0"/>
        <w:spacing w:line="500" w:lineRule="atLeast"/>
        <w:rPr>
          <w:rFonts w:hint="eastAsia" w:ascii="宋体" w:eastAsia="宋体"/>
          <w:b/>
          <w:color w:val="auto"/>
          <w:sz w:val="24"/>
          <w:lang w:val="en-US" w:eastAsia="zh-CN"/>
        </w:rPr>
      </w:pPr>
      <w:r>
        <w:rPr>
          <w:color w:val="auto"/>
        </w:rPr>
        <w:fldChar w:fldCharType="begin"/>
      </w:r>
      <w:r>
        <w:rPr>
          <w:color w:val="auto"/>
        </w:rPr>
        <w:instrText xml:space="preserve"> HYPERLINK \l "_Toc74323459" </w:instrText>
      </w:r>
      <w:r>
        <w:rPr>
          <w:color w:val="auto"/>
        </w:rPr>
        <w:fldChar w:fldCharType="separate"/>
      </w:r>
      <w:r>
        <w:rPr>
          <w:rStyle w:val="54"/>
          <w:rFonts w:hint="eastAsia" w:ascii="宋体" w:hAnsi="宋体"/>
          <w:b/>
          <w:color w:val="auto"/>
          <w:sz w:val="24"/>
        </w:rPr>
        <w:t>第四章评审</w:t>
      </w:r>
      <w:bookmarkStart w:id="7" w:name="_Hlt124354839"/>
      <w:r>
        <w:rPr>
          <w:rStyle w:val="54"/>
          <w:rFonts w:hint="eastAsia" w:ascii="宋体" w:hAnsi="宋体"/>
          <w:b/>
          <w:color w:val="auto"/>
          <w:sz w:val="24"/>
        </w:rPr>
        <w:t>程</w:t>
      </w:r>
      <w:bookmarkEnd w:id="7"/>
      <w:r>
        <w:rPr>
          <w:rStyle w:val="54"/>
          <w:rFonts w:hint="eastAsia" w:ascii="宋体" w:hAnsi="宋体"/>
          <w:b/>
          <w:color w:val="auto"/>
          <w:sz w:val="24"/>
        </w:rPr>
        <w:t>序、</w:t>
      </w:r>
      <w:bookmarkStart w:id="8" w:name="_Hlt82166000"/>
      <w:r>
        <w:rPr>
          <w:rStyle w:val="54"/>
          <w:rFonts w:hint="eastAsia" w:ascii="宋体" w:hAnsi="宋体"/>
          <w:b/>
          <w:color w:val="auto"/>
          <w:sz w:val="24"/>
        </w:rPr>
        <w:t>评</w:t>
      </w:r>
      <w:bookmarkEnd w:id="8"/>
      <w:r>
        <w:rPr>
          <w:rStyle w:val="54"/>
          <w:rFonts w:hint="eastAsia" w:ascii="宋体" w:hAnsi="宋体"/>
          <w:b/>
          <w:color w:val="auto"/>
          <w:sz w:val="24"/>
        </w:rPr>
        <w:t>审方法和评审标准</w:t>
      </w:r>
      <w:r>
        <w:rPr>
          <w:rFonts w:ascii="宋体"/>
          <w:b/>
          <w:color w:val="auto"/>
          <w:sz w:val="24"/>
        </w:rPr>
        <w:tab/>
      </w:r>
      <w:r>
        <w:rPr>
          <w:rFonts w:hint="eastAsia" w:ascii="宋体" w:hAnsi="宋体"/>
          <w:b/>
          <w:color w:val="auto"/>
          <w:sz w:val="24"/>
          <w:lang w:val="en-US" w:eastAsia="zh-CN"/>
        </w:rPr>
        <w:t>3</w:t>
      </w:r>
      <w:r>
        <w:rPr>
          <w:rFonts w:ascii="宋体" w:hAnsi="宋体"/>
          <w:b/>
          <w:color w:val="auto"/>
          <w:sz w:val="24"/>
        </w:rPr>
        <w:fldChar w:fldCharType="end"/>
      </w:r>
      <w:r>
        <w:rPr>
          <w:rFonts w:hint="eastAsia" w:ascii="宋体" w:hAnsi="宋体"/>
          <w:b/>
          <w:color w:val="auto"/>
          <w:sz w:val="24"/>
          <w:lang w:val="en-US" w:eastAsia="zh-CN"/>
        </w:rPr>
        <w:t>1</w:t>
      </w:r>
    </w:p>
    <w:p w14:paraId="2DD794CB">
      <w:pPr>
        <w:pStyle w:val="32"/>
        <w:tabs>
          <w:tab w:val="right" w:leader="dot" w:pos="8869"/>
        </w:tabs>
        <w:snapToGrid w:val="0"/>
        <w:spacing w:line="500" w:lineRule="atLeast"/>
        <w:rPr>
          <w:rFonts w:hint="eastAsia" w:ascii="宋体" w:eastAsia="宋体"/>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Style w:val="54"/>
          <w:rFonts w:hint="eastAsia" w:ascii="宋体" w:hAnsi="宋体"/>
          <w:b/>
          <w:color w:val="auto"/>
          <w:sz w:val="24"/>
        </w:rPr>
        <w:t>第五章</w:t>
      </w:r>
      <w:r>
        <w:rPr>
          <w:rStyle w:val="54"/>
          <w:rFonts w:hint="eastAsia" w:ascii="宋体" w:hAnsi="宋体"/>
          <w:b/>
          <w:color w:val="auto"/>
          <w:sz w:val="24"/>
          <w:lang w:eastAsia="zh-CN"/>
        </w:rPr>
        <w:t>工程量清单及图纸</w:t>
      </w:r>
      <w:r>
        <w:rPr>
          <w:rFonts w:ascii="宋体"/>
          <w:b/>
          <w:color w:val="auto"/>
          <w:sz w:val="24"/>
        </w:rPr>
        <w:tab/>
      </w:r>
      <w:r>
        <w:rPr>
          <w:rFonts w:hint="eastAsia" w:ascii="宋体" w:hAnsi="宋体"/>
          <w:b/>
          <w:color w:val="auto"/>
          <w:sz w:val="24"/>
          <w:lang w:val="en-US" w:eastAsia="zh-CN"/>
        </w:rPr>
        <w:t>4</w:t>
      </w:r>
      <w:r>
        <w:rPr>
          <w:rFonts w:ascii="宋体" w:hAnsi="宋体"/>
          <w:b/>
          <w:color w:val="auto"/>
          <w:sz w:val="24"/>
        </w:rPr>
        <w:fldChar w:fldCharType="end"/>
      </w:r>
      <w:r>
        <w:rPr>
          <w:rFonts w:hint="eastAsia" w:ascii="宋体" w:hAnsi="宋体"/>
          <w:b/>
          <w:color w:val="auto"/>
          <w:sz w:val="24"/>
          <w:lang w:val="en-US" w:eastAsia="zh-CN"/>
        </w:rPr>
        <w:t>4</w:t>
      </w:r>
    </w:p>
    <w:p w14:paraId="17920135">
      <w:pPr>
        <w:pStyle w:val="32"/>
        <w:tabs>
          <w:tab w:val="right" w:leader="dot" w:pos="8869"/>
        </w:tabs>
        <w:snapToGrid w:val="0"/>
        <w:spacing w:line="500" w:lineRule="atLeast"/>
        <w:rPr>
          <w:rFonts w:hint="eastAsia" w:ascii="宋体" w:eastAsia="宋体"/>
          <w:color w:val="auto"/>
          <w:sz w:val="24"/>
          <w:lang w:val="en-US" w:eastAsia="zh-CN"/>
        </w:rPr>
      </w:pPr>
      <w:r>
        <w:rPr>
          <w:color w:val="auto"/>
        </w:rPr>
        <w:fldChar w:fldCharType="begin"/>
      </w:r>
      <w:r>
        <w:rPr>
          <w:color w:val="auto"/>
        </w:rPr>
        <w:instrText xml:space="preserve"> HYPERLINK \l "_Toc74323461" </w:instrText>
      </w:r>
      <w:r>
        <w:rPr>
          <w:color w:val="auto"/>
        </w:rPr>
        <w:fldChar w:fldCharType="separate"/>
      </w:r>
      <w:r>
        <w:rPr>
          <w:rStyle w:val="54"/>
          <w:rFonts w:hint="eastAsia" w:ascii="宋体" w:hAnsi="宋体"/>
          <w:b/>
          <w:color w:val="auto"/>
          <w:sz w:val="24"/>
        </w:rPr>
        <w:t>第六章</w:t>
      </w:r>
      <w:r>
        <w:rPr>
          <w:rStyle w:val="54"/>
          <w:rFonts w:hint="eastAsia" w:ascii="宋体" w:hAnsi="宋体"/>
          <w:b/>
          <w:color w:val="auto"/>
          <w:sz w:val="24"/>
          <w:lang w:eastAsia="zh-CN"/>
        </w:rPr>
        <w:t>响应文件格式</w:t>
      </w:r>
      <w:r>
        <w:rPr>
          <w:rFonts w:ascii="宋体"/>
          <w:b/>
          <w:color w:val="auto"/>
          <w:sz w:val="24"/>
        </w:rPr>
        <w:tab/>
      </w:r>
      <w:r>
        <w:rPr>
          <w:rFonts w:hint="eastAsia" w:ascii="宋体" w:hAnsi="宋体"/>
          <w:b/>
          <w:color w:val="auto"/>
          <w:sz w:val="24"/>
          <w:lang w:val="en-US" w:eastAsia="zh-CN"/>
        </w:rPr>
        <w:t>4</w:t>
      </w:r>
      <w:r>
        <w:rPr>
          <w:rFonts w:ascii="宋体" w:hAnsi="宋体"/>
          <w:b/>
          <w:color w:val="auto"/>
          <w:sz w:val="24"/>
        </w:rPr>
        <w:fldChar w:fldCharType="end"/>
      </w:r>
      <w:r>
        <w:rPr>
          <w:rFonts w:hint="eastAsia" w:ascii="宋体" w:hAnsi="宋体"/>
          <w:b/>
          <w:color w:val="auto"/>
          <w:sz w:val="24"/>
          <w:lang w:val="en-US" w:eastAsia="zh-CN"/>
        </w:rPr>
        <w:t>5</w:t>
      </w:r>
    </w:p>
    <w:p w14:paraId="37307C5A">
      <w:pPr>
        <w:pStyle w:val="37"/>
        <w:tabs>
          <w:tab w:val="right" w:leader="dot" w:pos="8931"/>
          <w:tab w:val="clear" w:pos="8296"/>
        </w:tabs>
        <w:snapToGrid w:val="0"/>
        <w:spacing w:line="500" w:lineRule="atLeast"/>
        <w:ind w:left="0" w:leftChars="0"/>
        <w:rPr>
          <w:rFonts w:hint="eastAsia" w:ascii="宋体" w:eastAsia="宋体"/>
          <w:color w:val="auto"/>
          <w:sz w:val="24"/>
          <w:lang w:val="en-US" w:eastAsia="zh-CN"/>
        </w:rPr>
      </w:pPr>
      <w:r>
        <w:rPr>
          <w:rFonts w:ascii="宋体" w:hAnsi="宋体"/>
          <w:b/>
          <w:color w:val="auto"/>
          <w:sz w:val="24"/>
        </w:rPr>
        <w:fldChar w:fldCharType="end"/>
      </w:r>
      <w:r>
        <w:rPr>
          <w:color w:val="auto"/>
          <w:u w:val="none"/>
        </w:rPr>
        <w:fldChar w:fldCharType="begin"/>
      </w:r>
      <w:r>
        <w:rPr>
          <w:color w:val="auto"/>
          <w:u w:val="none"/>
        </w:rPr>
        <w:instrText xml:space="preserve"> HYPERLINK \l "_Toc74323461" </w:instrText>
      </w:r>
      <w:r>
        <w:rPr>
          <w:color w:val="auto"/>
          <w:u w:val="none"/>
        </w:rPr>
        <w:fldChar w:fldCharType="separate"/>
      </w:r>
      <w:r>
        <w:rPr>
          <w:rStyle w:val="54"/>
          <w:rFonts w:hint="eastAsia" w:ascii="宋体" w:hAnsi="宋体"/>
          <w:b/>
          <w:color w:val="auto"/>
          <w:sz w:val="24"/>
          <w:u w:val="none"/>
        </w:rPr>
        <w:t>第</w:t>
      </w:r>
      <w:r>
        <w:rPr>
          <w:rStyle w:val="54"/>
          <w:rFonts w:hint="eastAsia" w:ascii="宋体" w:hAnsi="宋体"/>
          <w:b/>
          <w:color w:val="auto"/>
          <w:sz w:val="24"/>
          <w:u w:val="none"/>
          <w:lang w:eastAsia="zh-CN"/>
        </w:rPr>
        <w:t>七</w:t>
      </w:r>
      <w:r>
        <w:rPr>
          <w:rStyle w:val="54"/>
          <w:rFonts w:hint="eastAsia" w:ascii="宋体" w:hAnsi="宋体"/>
          <w:b/>
          <w:color w:val="auto"/>
          <w:sz w:val="24"/>
          <w:u w:val="none"/>
        </w:rPr>
        <w:t>章合同文本</w:t>
      </w:r>
      <w:r>
        <w:rPr>
          <w:rFonts w:ascii="宋体"/>
          <w:b/>
          <w:color w:val="auto"/>
          <w:sz w:val="24"/>
          <w:u w:val="none"/>
        </w:rPr>
        <w:tab/>
      </w:r>
      <w:r>
        <w:rPr>
          <w:rFonts w:hint="eastAsia" w:ascii="宋体"/>
          <w:b/>
          <w:color w:val="auto"/>
          <w:sz w:val="24"/>
          <w:u w:val="none"/>
          <w:lang w:val="en-US" w:eastAsia="zh-CN"/>
        </w:rPr>
        <w:t>8</w:t>
      </w:r>
      <w:r>
        <w:rPr>
          <w:rFonts w:hint="eastAsia" w:ascii="宋体" w:hAnsi="宋体"/>
          <w:b/>
          <w:color w:val="auto"/>
          <w:sz w:val="24"/>
          <w:u w:val="none"/>
          <w:lang w:val="en-US" w:eastAsia="zh-CN"/>
        </w:rPr>
        <w:t>0</w:t>
      </w:r>
      <w:r>
        <w:rPr>
          <w:rFonts w:ascii="宋体" w:hAnsi="宋体"/>
          <w:b/>
          <w:color w:val="auto"/>
          <w:sz w:val="24"/>
          <w:u w:val="none"/>
        </w:rPr>
        <w:fldChar w:fldCharType="end"/>
      </w:r>
    </w:p>
    <w:p w14:paraId="33E64F55">
      <w:pPr>
        <w:spacing w:line="400" w:lineRule="exact"/>
        <w:rPr>
          <w:rFonts w:ascii="宋体"/>
          <w:b/>
          <w:color w:val="auto"/>
          <w:sz w:val="32"/>
          <w:szCs w:val="32"/>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auto"/>
        </w:rPr>
      </w:pPr>
      <w:bookmarkStart w:id="9" w:name="_Toc74323456"/>
      <w:r>
        <w:rPr>
          <w:rFonts w:hint="eastAsia"/>
          <w:color w:val="auto"/>
        </w:rPr>
        <w:t>第一章竞争性磋商公告</w:t>
      </w:r>
      <w:bookmarkEnd w:id="9"/>
    </w:p>
    <w:p w14:paraId="12D6C511">
      <w:pPr>
        <w:spacing w:line="400" w:lineRule="exact"/>
        <w:jc w:val="center"/>
        <w:rPr>
          <w:rFonts w:hint="eastAsia" w:ascii="宋体" w:eastAsia="宋体"/>
          <w:b/>
          <w:bCs/>
          <w:color w:val="auto"/>
          <w:sz w:val="28"/>
          <w:szCs w:val="28"/>
          <w:lang w:val="en-US" w:eastAsia="zh-CN"/>
        </w:rPr>
      </w:pPr>
      <w:r>
        <w:rPr>
          <w:rFonts w:hint="eastAsia" w:ascii="宋体" w:hAnsi="宋体"/>
          <w:b/>
          <w:bCs/>
          <w:color w:val="auto"/>
          <w:sz w:val="28"/>
          <w:szCs w:val="28"/>
          <w:lang w:eastAsia="zh-CN"/>
        </w:rPr>
        <w:t>广西坤珍建设项目管理咨询有限公司关于龙州县城北安置点公共场地硬化项目（易安后扶）的</w:t>
      </w:r>
      <w:r>
        <w:rPr>
          <w:rFonts w:hint="eastAsia" w:ascii="宋体" w:hAnsi="宋体"/>
          <w:b/>
          <w:bCs/>
          <w:color w:val="auto"/>
          <w:sz w:val="28"/>
          <w:szCs w:val="28"/>
        </w:rPr>
        <w:t>竞争性磋商公告</w:t>
      </w:r>
      <w:r>
        <w:rPr>
          <w:rFonts w:hint="eastAsia" w:ascii="宋体" w:hAnsi="宋体"/>
          <w:b/>
          <w:bCs/>
          <w:color w:val="auto"/>
          <w:sz w:val="28"/>
          <w:szCs w:val="28"/>
          <w:lang w:val="en-US" w:eastAsia="zh-CN"/>
        </w:rPr>
        <w:t>(远程异地评标）</w:t>
      </w:r>
    </w:p>
    <w:p w14:paraId="53DC180F">
      <w:pPr>
        <w:spacing w:line="360" w:lineRule="auto"/>
        <w:rPr>
          <w:rFonts w:ascii="宋体"/>
          <w:color w:val="auto"/>
          <w:szCs w:val="21"/>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bookmarkStart w:id="10" w:name="_Hlk37430271"/>
      <w:r>
        <w:rPr>
          <w:rFonts w:hint="eastAsia" w:ascii="宋体" w:hAnsi="宋体"/>
          <w:color w:val="auto"/>
          <w:szCs w:val="21"/>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auto"/>
          <w:szCs w:val="21"/>
          <w:lang w:eastAsia="zh-CN"/>
        </w:rPr>
        <w:t>龙州县城北安置点公共场地硬化项目（易安后扶）</w:t>
      </w:r>
      <w:r>
        <w:rPr>
          <w:rFonts w:hint="eastAsia" w:ascii="宋体" w:hAnsi="宋体"/>
          <w:color w:val="auto"/>
          <w:szCs w:val="21"/>
        </w:rPr>
        <w:t>采购项目的潜在供应商应在广西政府采购云平台获取（下载）竞争性磋商文件，并于202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5  </w:t>
      </w:r>
      <w:r>
        <w:rPr>
          <w:rFonts w:hint="eastAsia" w:ascii="宋体" w:hAnsi="宋体"/>
          <w:color w:val="auto"/>
          <w:szCs w:val="21"/>
        </w:rPr>
        <w:t>月</w:t>
      </w:r>
      <w:r>
        <w:rPr>
          <w:rFonts w:hint="eastAsia" w:ascii="宋体" w:hAnsi="宋体"/>
          <w:color w:val="auto"/>
          <w:szCs w:val="21"/>
          <w:lang w:val="en-US" w:eastAsia="zh-CN"/>
        </w:rPr>
        <w:t xml:space="preserve"> 6  </w:t>
      </w:r>
      <w:r>
        <w:rPr>
          <w:rFonts w:hint="eastAsia" w:ascii="宋体" w:hAnsi="宋体"/>
          <w:color w:val="auto"/>
          <w:szCs w:val="21"/>
        </w:rPr>
        <w:t xml:space="preserve">日 </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28359089"/>
      <w:bookmarkStart w:id="12" w:name="_Toc71365905"/>
      <w:bookmarkStart w:id="13" w:name="_Toc28359012"/>
      <w:bookmarkStart w:id="14" w:name="_Toc44229878"/>
      <w:bookmarkStart w:id="15" w:name="_Toc35393629"/>
      <w:bookmarkStart w:id="16" w:name="_Toc35393798"/>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CZZC2026-C2-230022-KZJS</w:t>
      </w:r>
    </w:p>
    <w:p w14:paraId="4A462E5C">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龙州县城北安置点公共场地硬化项目（易安后扶）</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lang w:val="en-US" w:eastAsia="zh-CN"/>
        </w:rPr>
        <w:t>674664.00</w:t>
      </w:r>
      <w:r>
        <w:rPr>
          <w:rFonts w:hint="eastAsia" w:ascii="宋体" w:hAnsi="宋体"/>
          <w:color w:val="auto"/>
          <w:szCs w:val="21"/>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6E66C079">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龙州县城北安置点公共场地硬化项目（易安后扶）</w:t>
      </w:r>
    </w:p>
    <w:p w14:paraId="67C71698">
      <w:pPr>
        <w:spacing w:line="360" w:lineRule="auto"/>
        <w:ind w:firstLine="420" w:firstLineChars="200"/>
        <w:rPr>
          <w:rFonts w:ascii="宋体" w:hAnsi="宋体"/>
          <w:color w:val="auto"/>
          <w:szCs w:val="21"/>
        </w:rPr>
      </w:pP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674664.00</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龙州县城北安置点公共场地硬化项目（易安后扶）</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lang w:eastAsia="zh-CN"/>
        </w:rPr>
        <w:t>工期</w:t>
      </w:r>
      <w:r>
        <w:rPr>
          <w:rFonts w:hint="eastAsia" w:ascii="宋体" w:hAnsi="宋体"/>
          <w:color w:val="auto"/>
          <w:szCs w:val="21"/>
          <w:lang w:val="en-US" w:eastAsia="zh-CN"/>
        </w:rPr>
        <w:t>60</w:t>
      </w:r>
      <w:r>
        <w:rPr>
          <w:rFonts w:hint="eastAsia" w:ascii="宋体" w:hAnsi="宋体"/>
          <w:color w:val="auto"/>
          <w:szCs w:val="21"/>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71365906"/>
      <w:bookmarkStart w:id="18" w:name="_Toc28359013"/>
      <w:bookmarkStart w:id="19" w:name="_Toc44229879"/>
      <w:bookmarkStart w:id="20" w:name="_Toc28359090"/>
      <w:bookmarkStart w:id="21" w:name="_Toc35393630"/>
      <w:bookmarkStart w:id="22" w:name="_Toc35393799"/>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35393800"/>
      <w:bookmarkStart w:id="24" w:name="_Toc35393631"/>
      <w:bookmarkStart w:id="25" w:name="_Toc28359014"/>
      <w:bookmarkStart w:id="26" w:name="_Toc44229880"/>
      <w:bookmarkStart w:id="27" w:name="_Toc28359091"/>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备市政公用工程施工总承包三级（含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35393632"/>
      <w:bookmarkStart w:id="30" w:name="_Toc28359015"/>
      <w:bookmarkStart w:id="31" w:name="_Toc44229881"/>
      <w:bookmarkStart w:id="32" w:name="_Toc28359092"/>
      <w:bookmarkStart w:id="33" w:name="_Toc35393801"/>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4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 28 </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802"/>
      <w:bookmarkStart w:id="36" w:name="_Toc28359093"/>
      <w:bookmarkStart w:id="37" w:name="_Toc35393633"/>
      <w:bookmarkStart w:id="38" w:name="_Toc28359016"/>
      <w:bookmarkStart w:id="39" w:name="_Toc44229882"/>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 xml:space="preserve">  6  </w:t>
      </w:r>
      <w:r>
        <w:rPr>
          <w:rFonts w:hint="eastAsia" w:ascii="宋体" w:hAnsi="宋体"/>
          <w:color w:val="auto"/>
          <w:szCs w:val="21"/>
          <w:lang w:eastAsia="zh-CN"/>
        </w:rPr>
        <w:t xml:space="preserve">日 </w:t>
      </w:r>
      <w:r>
        <w:rPr>
          <w:rFonts w:hint="eastAsia" w:ascii="宋体" w:hAnsi="宋体"/>
          <w:color w:val="auto"/>
          <w:szCs w:val="21"/>
          <w:lang w:val="en-US" w:eastAsia="zh-CN"/>
        </w:rPr>
        <w:t>10</w:t>
      </w:r>
      <w:r>
        <w:rPr>
          <w:rFonts w:hint="eastAsia" w:ascii="宋体" w:hAnsi="宋体"/>
          <w:color w:val="auto"/>
          <w:szCs w:val="21"/>
          <w:lang w:eastAsia="zh-CN"/>
        </w:rPr>
        <w:t>:</w:t>
      </w:r>
      <w:r>
        <w:rPr>
          <w:rFonts w:hint="eastAsia" w:ascii="宋体" w:hAnsi="宋体"/>
          <w:color w:val="auto"/>
          <w:szCs w:val="21"/>
          <w:lang w:val="en-US" w:eastAsia="zh-CN"/>
        </w:rPr>
        <w:t>0</w:t>
      </w:r>
      <w:r>
        <w:rPr>
          <w:rFonts w:hint="eastAsia" w:ascii="宋体" w:hAnsi="宋体"/>
          <w:color w:val="auto"/>
          <w:szCs w:val="21"/>
          <w:lang w:eastAsia="zh-CN"/>
        </w:rPr>
        <w:t>0</w:t>
      </w:r>
      <w:r>
        <w:rPr>
          <w:rFonts w:hint="eastAsia" w:ascii="宋体" w:hAnsi="宋体"/>
          <w:color w:val="auto"/>
          <w:szCs w:val="21"/>
        </w:rPr>
        <w:t>（北京时间）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 xml:space="preserve"> 6  </w:t>
      </w:r>
      <w:r>
        <w:rPr>
          <w:rFonts w:hint="eastAsia" w:ascii="宋体" w:hAnsi="宋体"/>
          <w:color w:val="auto"/>
          <w:szCs w:val="21"/>
          <w:lang w:eastAsia="zh-CN"/>
        </w:rPr>
        <w:t>日</w:t>
      </w:r>
      <w:r>
        <w:rPr>
          <w:rFonts w:hint="eastAsia" w:ascii="宋体" w:hAnsi="宋体"/>
          <w:color w:val="auto"/>
          <w:szCs w:val="21"/>
          <w:lang w:val="en-US" w:eastAsia="zh-CN"/>
        </w:rPr>
        <w:t>10</w:t>
      </w:r>
      <w:r>
        <w:rPr>
          <w:rFonts w:hint="eastAsia" w:ascii="宋体" w:hAnsi="宋体"/>
          <w:color w:val="auto"/>
          <w:szCs w:val="21"/>
          <w:lang w:eastAsia="zh-CN"/>
        </w:rPr>
        <w:t>:</w:t>
      </w:r>
      <w:r>
        <w:rPr>
          <w:rFonts w:hint="eastAsia" w:ascii="宋体" w:hAnsi="宋体"/>
          <w:color w:val="auto"/>
          <w:szCs w:val="21"/>
          <w:lang w:val="en-US" w:eastAsia="zh-CN"/>
        </w:rPr>
        <w:t>0</w:t>
      </w:r>
      <w:r>
        <w:rPr>
          <w:rFonts w:hint="eastAsia" w:ascii="宋体" w:hAnsi="宋体"/>
          <w:color w:val="auto"/>
          <w:szCs w:val="21"/>
          <w:lang w:eastAsia="zh-CN"/>
        </w:rPr>
        <w:t xml:space="preserve">0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44229883"/>
      <w:bookmarkStart w:id="42" w:name="_Toc71365910"/>
      <w:bookmarkStart w:id="43" w:name="_Toc35393634"/>
      <w:bookmarkStart w:id="44" w:name="_Toc28359017"/>
      <w:bookmarkStart w:id="45" w:name="_Toc35393803"/>
      <w:bookmarkStart w:id="46" w:name="_Toc28359094"/>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个工作日。</w:t>
      </w:r>
    </w:p>
    <w:p w14:paraId="1BB749A8">
      <w:pPr>
        <w:spacing w:line="360" w:lineRule="auto"/>
        <w:ind w:firstLine="354" w:firstLineChars="147"/>
        <w:rPr>
          <w:rFonts w:ascii="黑体" w:hAnsi="黑体" w:eastAsia="黑体"/>
          <w:b/>
          <w:color w:val="000000" w:themeColor="text1"/>
          <w:sz w:val="24"/>
          <w14:textFill>
            <w14:solidFill>
              <w14:schemeClr w14:val="tx1"/>
            </w14:solidFill>
          </w14:textFill>
        </w:rPr>
      </w:pPr>
      <w:bookmarkStart w:id="47" w:name="_Toc71365911"/>
      <w:bookmarkStart w:id="48" w:name="_Toc35393635"/>
      <w:bookmarkStart w:id="49" w:name="_Toc44229884"/>
      <w:bookmarkStart w:id="50" w:name="_Toc35393804"/>
      <w:r>
        <w:rPr>
          <w:rFonts w:hint="eastAsia" w:ascii="黑体" w:hAnsi="黑体" w:eastAsia="黑体"/>
          <w:b/>
          <w:color w:val="000000" w:themeColor="text1"/>
          <w:sz w:val="24"/>
          <w14:textFill>
            <w14:solidFill>
              <w14:schemeClr w14:val="tx1"/>
            </w14:solidFill>
          </w14:textFill>
        </w:rPr>
        <w:t>七、其他补充事宜</w:t>
      </w:r>
      <w:bookmarkEnd w:id="47"/>
      <w:bookmarkEnd w:id="48"/>
      <w:bookmarkEnd w:id="49"/>
      <w:bookmarkEnd w:id="50"/>
    </w:p>
    <w:p w14:paraId="1328E022">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asci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0DABAAD5">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www.ccgp.gov.cn</w:t>
      </w:r>
      <w:r>
        <w:rPr>
          <w:rFonts w:hint="eastAsia" w:ascii="宋体" w:hAnsi="宋体" w:cs="宋体"/>
          <w:color w:val="000000" w:themeColor="text1"/>
          <w:kern w:val="0"/>
          <w:szCs w:val="21"/>
          <w14:textFill>
            <w14:solidFill>
              <w14:schemeClr w14:val="tx1"/>
            </w14:solidFill>
          </w14:textFill>
        </w:rPr>
        <w:t>（中国政府采购网）、</w:t>
      </w:r>
      <w:r>
        <w:rPr>
          <w:rFonts w:ascii="宋体" w:hAnsi="宋体" w:cs="宋体"/>
          <w:color w:val="000000" w:themeColor="text1"/>
          <w:kern w:val="0"/>
          <w:szCs w:val="21"/>
          <w14:textFill>
            <w14:solidFill>
              <w14:schemeClr w14:val="tx1"/>
            </w14:solidFill>
          </w14:textFill>
        </w:rPr>
        <w:t>zfcg.gxzf.gov.cn</w:t>
      </w:r>
      <w:r>
        <w:rPr>
          <w:rFonts w:hint="eastAsia" w:ascii="宋体" w:hAnsi="宋体" w:cs="宋体"/>
          <w:color w:val="000000" w:themeColor="text1"/>
          <w:kern w:val="0"/>
          <w:szCs w:val="21"/>
          <w14:textFill>
            <w14:solidFill>
              <w14:schemeClr w14:val="tx1"/>
            </w14:solidFill>
          </w14:textFill>
        </w:rPr>
        <w:t>（广西壮族自治区政府采购网）</w:t>
      </w:r>
      <w:r>
        <w:rPr>
          <w:rFonts w:hint="eastAsia" w:ascii="宋体" w:hAnsi="宋体" w:cs="宋体"/>
          <w:i/>
          <w:color w:val="000000" w:themeColor="text1"/>
          <w:kern w:val="0"/>
          <w:szCs w:val="21"/>
          <w14:textFill>
            <w14:solidFill>
              <w14:schemeClr w14:val="tx1"/>
            </w14:solidFill>
          </w14:textFill>
        </w:rPr>
        <w:t>。</w:t>
      </w:r>
    </w:p>
    <w:p w14:paraId="25EDCA00">
      <w:pPr>
        <w:spacing w:line="360" w:lineRule="auto"/>
        <w:ind w:firstLine="424" w:firstLineChars="202"/>
        <w:rPr>
          <w:rFonts w:ascii="宋体" w:cs="宋体"/>
          <w:color w:val="000000" w:themeColor="text1"/>
          <w:kern w:val="0"/>
          <w:szCs w:val="21"/>
          <w14:textFill>
            <w14:solidFill>
              <w14:schemeClr w14:val="tx1"/>
            </w14:solidFill>
          </w14:textFill>
        </w:rPr>
      </w:pPr>
      <w:bookmarkStart w:id="51" w:name="_Hlk37429674"/>
      <w:bookmarkStart w:id="52" w:name="_Toc35393636"/>
      <w:bookmarkStart w:id="53" w:name="_Toc28359018"/>
      <w:bookmarkStart w:id="54" w:name="_Toc35393805"/>
      <w:bookmarkStart w:id="55" w:name="_Toc28359095"/>
      <w:bookmarkStart w:id="56" w:name="_Toc44229885"/>
      <w:r>
        <w:rPr>
          <w:rFonts w:ascii="宋体" w:hAns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41FE7702">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75394826">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5854671A">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0A6909F">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2ED96485">
      <w:pPr>
        <w:spacing w:line="360" w:lineRule="auto"/>
        <w:ind w:firstLine="424" w:firstLineChars="20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竞标注意事项</w:t>
      </w:r>
    </w:p>
    <w:p w14:paraId="0601169B">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）未进行网上注册并办理数字证书（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认证）的供应商将无法参与本项目政府采购活动，供应商应当在提交响应文件截止时间前，完成电子交易平台上的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数字证书办理及响应文件的提交（供应商可登录“广西政府采购网”，依次进入“办事服务</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下载专区”或者登录</w:t>
      </w:r>
      <w:r>
        <w:rPr>
          <w:rFonts w:hint="eastAsia" w:ascii="宋体" w:hAnsi="宋体" w:cs="宋体"/>
          <w:color w:val="000000" w:themeColor="text1"/>
          <w:kern w:val="0"/>
          <w:szCs w:val="21"/>
          <w14:textFill>
            <w14:solidFill>
              <w14:schemeClr w14:val="tx1"/>
            </w14:solidFill>
          </w14:textFill>
        </w:rPr>
        <w:t>“政采云”平台，</w:t>
      </w:r>
      <w:r>
        <w:rPr>
          <w:rFonts w:hint="eastAsia" w:ascii="宋体" w:hAnsi="宋体"/>
          <w:color w:val="000000" w:themeColor="text1"/>
          <w:szCs w:val="21"/>
          <w14:textFill>
            <w14:solidFill>
              <w14:schemeClr w14:val="tx1"/>
            </w14:solidFill>
          </w14:textFill>
        </w:rPr>
        <w:t>依次进入“服务中心</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入驻与配置”中查看</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数字证书办理操作流程。如在操作过程中遇到问题或者需要技术支持，请致电政采云客服热线：</w:t>
      </w:r>
      <w:r>
        <w:rPr>
          <w:rFonts w:ascii="宋体" w:hAnsi="宋体"/>
          <w:color w:val="000000" w:themeColor="text1"/>
          <w:szCs w:val="21"/>
          <w14:textFill>
            <w14:solidFill>
              <w14:schemeClr w14:val="tx1"/>
            </w14:solidFill>
          </w14:textFill>
        </w:rPr>
        <w:t>95763</w:t>
      </w:r>
      <w:r>
        <w:rPr>
          <w:rFonts w:hint="eastAsia" w:ascii="宋体" w:hAnsi="宋体"/>
          <w:color w:val="000000" w:themeColor="text1"/>
          <w:szCs w:val="21"/>
          <w14:textFill>
            <w14:solidFill>
              <w14:schemeClr w14:val="tx1"/>
            </w14:solidFill>
          </w14:textFill>
        </w:rPr>
        <w:t>）。</w:t>
      </w:r>
    </w:p>
    <w:p w14:paraId="34A889C7">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证书在线解密：首次响应文件开启时，需携带制作响应文件时用来加密的有效数字证书（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认证）登录“政采云</w:t>
      </w:r>
      <w:r>
        <w:rPr>
          <w:rFonts w:hint="eastAsia" w:ascii="宋体" w:hAnsi="宋体" w:cs="宋体"/>
          <w:color w:val="000000" w:themeColor="text1"/>
          <w:kern w:val="0"/>
          <w:szCs w:val="21"/>
          <w14:textFill>
            <w14:solidFill>
              <w14:schemeClr w14:val="tx1"/>
            </w14:solidFill>
          </w14:textFill>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）为确保网上操作合法、有效和安全，请供应商确保在电子竞标过程中能够对相关数据电文进行加密和使用电子签章，妥善保管</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数字证书并使用有效的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数字证书参与整个采购活动。</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w:t>
      </w:r>
      <w:r>
        <w:rPr>
          <w:rFonts w:hint="eastAsia" w:ascii="宋体" w:hAnsi="宋体"/>
          <w:b/>
          <w:bCs/>
          <w:color w:val="000000" w:themeColor="text1"/>
          <w:szCs w:val="21"/>
          <w14:textFill>
            <w14:solidFill>
              <w14:schemeClr w14:val="tx1"/>
            </w14:solidFill>
          </w14:textFill>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000000" w:themeColor="text1"/>
          <w:szCs w:val="21"/>
          <w:lang w:val="en-US"/>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cs="宋体"/>
          <w:color w:val="auto"/>
          <w:szCs w:val="21"/>
          <w:lang w:val="en-US" w:eastAsia="zh-CN"/>
        </w:rPr>
        <w:t>政府采购监督管理部门：龙州县财政局政府采购监督管理股   联系方式：</w:t>
      </w:r>
      <w:r>
        <w:rPr>
          <w:rFonts w:hint="eastAsia" w:ascii="宋体" w:hAnsi="宋体" w:cs="宋体"/>
          <w:color w:val="000000" w:themeColor="text1"/>
          <w:szCs w:val="21"/>
          <w:lang w:val="en-US" w:eastAsia="zh-CN"/>
          <w14:textFill>
            <w14:solidFill>
              <w14:schemeClr w14:val="tx1"/>
            </w14:solidFill>
          </w14:textFill>
        </w:rPr>
        <w:t>0771-8812665</w:t>
      </w:r>
    </w:p>
    <w:p w14:paraId="51E19BC5">
      <w:pPr>
        <w:spacing w:line="360" w:lineRule="auto"/>
        <w:ind w:firstLine="354" w:firstLineChars="147"/>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1.采购人信息</w:t>
      </w:r>
    </w:p>
    <w:p w14:paraId="4A5A7D67">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lang w:eastAsia="zh-CN"/>
          <w14:textFill>
            <w14:solidFill>
              <w14:schemeClr w14:val="tx1"/>
            </w14:solidFill>
          </w14:textFill>
        </w:rPr>
        <w:t>龙州县生态移民发展中心</w:t>
      </w:r>
    </w:p>
    <w:p w14:paraId="1471916A">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地址：广西崇左市龙州县独山路独山脚加油站旁办公楼2楼203室 </w:t>
      </w:r>
    </w:p>
    <w:p w14:paraId="41C9FE86">
      <w:pPr>
        <w:spacing w:line="360" w:lineRule="auto"/>
        <w:ind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lang w:eastAsia="zh-CN"/>
          <w14:textFill>
            <w14:solidFill>
              <w14:schemeClr w14:val="tx1"/>
            </w14:solidFill>
          </w14:textFill>
        </w:rPr>
        <w:t>蒙主任</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项目联系方式：17776555168</w:t>
      </w:r>
    </w:p>
    <w:bookmarkEnd w:id="10"/>
    <w:p w14:paraId="2B8239E0">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FF0000"/>
          <w:kern w:val="0"/>
          <w:szCs w:val="21"/>
          <w:lang w:val="en-US" w:eastAsia="zh-CN"/>
        </w:rPr>
        <w:t xml:space="preserve">   </w:t>
      </w:r>
      <w:r>
        <w:rPr>
          <w:rFonts w:hint="eastAsia" w:ascii="宋体" w:hAnsi="宋体" w:cs="宋体"/>
          <w:color w:val="auto"/>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4  </w:t>
      </w:r>
      <w:r>
        <w:rPr>
          <w:rFonts w:hint="eastAsia" w:hAnsi="Courier New"/>
          <w:color w:val="auto"/>
        </w:rPr>
        <w:t>月</w:t>
      </w:r>
      <w:r>
        <w:rPr>
          <w:rFonts w:hint="eastAsia" w:hAnsi="Courier New"/>
          <w:color w:val="auto"/>
          <w:lang w:val="en-US" w:eastAsia="zh-CN"/>
        </w:rPr>
        <w:t xml:space="preserve"> 21 </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000000" w:themeColor="text1"/>
          <w:szCs w:val="21"/>
          <w14:textFill>
            <w14:solidFill>
              <w14:schemeClr w14:val="tx1"/>
            </w14:solidFill>
          </w14:textFill>
        </w:rPr>
        <w:br w:type="page"/>
      </w:r>
    </w:p>
    <w:p w14:paraId="06D5978A">
      <w:pPr>
        <w:pStyle w:val="2"/>
        <w:spacing w:before="300" w:after="300" w:line="360" w:lineRule="auto"/>
        <w:jc w:val="center"/>
        <w:rPr>
          <w:color w:val="000000" w:themeColor="text1"/>
          <w14:textFill>
            <w14:solidFill>
              <w14:schemeClr w14:val="tx1"/>
            </w14:solidFill>
          </w14:textFill>
        </w:rPr>
      </w:pPr>
      <w:bookmarkStart w:id="57" w:name="_Toc74323457"/>
      <w:r>
        <w:rPr>
          <w:rFonts w:hint="eastAsia"/>
          <w:color w:val="000000" w:themeColor="text1"/>
          <w14:textFill>
            <w14:solidFill>
              <w14:schemeClr w14:val="tx1"/>
            </w14:solidFill>
          </w14:textFill>
        </w:rPr>
        <w:t>第二章供应商须知</w:t>
      </w:r>
      <w:bookmarkEnd w:id="57"/>
    </w:p>
    <w:p w14:paraId="7DF56929">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04380864">
      <w:pPr>
        <w:spacing w:line="400" w:lineRule="exact"/>
        <w:jc w:val="center"/>
        <w:rPr>
          <w:rFonts w:ascii="宋体"/>
          <w:b/>
          <w:color w:val="000000" w:themeColor="text1"/>
          <w:sz w:val="32"/>
          <w:szCs w:val="32"/>
          <w14:textFill>
            <w14:solidFill>
              <w14:schemeClr w14:val="tx1"/>
            </w14:solidFill>
          </w14:textFill>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Pr>
          <w:p w14:paraId="204A66A8">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912" w:type="dxa"/>
            <w:vAlign w:val="center"/>
          </w:tcPr>
          <w:p w14:paraId="2A9C95D9">
            <w:pPr>
              <w:spacing w:line="360" w:lineRule="auto"/>
              <w:rPr>
                <w:rFonts w:ascii="宋体"/>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供应商的资格条件</w:t>
            </w:r>
            <w:r>
              <w:rPr>
                <w:rFonts w:hint="eastAsia" w:ascii="宋体" w:hAnsi="宋体" w:cs="宋体"/>
                <w:color w:val="000000" w:themeColor="text1"/>
                <w:szCs w:val="21"/>
                <w14:textFill>
                  <w14:solidFill>
                    <w14:schemeClr w14:val="tx1"/>
                  </w14:solidFill>
                </w14:textFill>
              </w:rPr>
              <w:t>：详见竞争性磋商公告</w:t>
            </w:r>
            <w:r>
              <w:rPr>
                <w:rFonts w:hint="eastAsia" w:ascii="宋体" w:hAnsi="宋体"/>
                <w:color w:val="000000" w:themeColor="text1"/>
                <w:szCs w:val="21"/>
                <w14:textFill>
                  <w14:solidFill>
                    <w14:schemeClr w14:val="tx1"/>
                  </w14:solidFill>
                </w14:textFill>
              </w:rPr>
              <w:t>或者邀请函</w:t>
            </w:r>
          </w:p>
          <w:p w14:paraId="25CC01B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出现下列情形之一的，不得参加政府采购活动：</w:t>
            </w:r>
          </w:p>
          <w:p w14:paraId="4B33F0E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p>
        </w:tc>
        <w:tc>
          <w:tcPr>
            <w:tcW w:w="7912" w:type="dxa"/>
            <w:vAlign w:val="center"/>
          </w:tcPr>
          <w:p w14:paraId="2F9C5E05">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p>
        </w:tc>
        <w:tc>
          <w:tcPr>
            <w:tcW w:w="7912" w:type="dxa"/>
            <w:vAlign w:val="center"/>
          </w:tcPr>
          <w:p w14:paraId="43370D4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如接受联合体竞标，联合体竞标要求如下：</w:t>
            </w:r>
          </w:p>
          <w:p w14:paraId="6B136D4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14:textFill>
                  <w14:solidFill>
                    <w14:schemeClr w14:val="tx1"/>
                  </w14:solidFill>
                </w14:textFill>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联合体中有同类资质的供应商按照联合体分工承担相同工作的，应当按照资质等级较低的供应商确定资质等级。</w:t>
            </w:r>
          </w:p>
          <w:p w14:paraId="3823842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联合体竞标业绩、履约能力按照联合体各方中较高的一方认定并计算（磋商文件另有规定的除外）。</w:t>
            </w:r>
          </w:p>
          <w:p w14:paraId="203E6DD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259DF7E">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6.2</w:t>
            </w:r>
          </w:p>
        </w:tc>
        <w:tc>
          <w:tcPr>
            <w:tcW w:w="7912" w:type="dxa"/>
            <w:vAlign w:val="center"/>
          </w:tcPr>
          <w:p w14:paraId="4306D019">
            <w:pPr>
              <w:pStyle w:val="16"/>
              <w:spacing w:line="360" w:lineRule="auto"/>
              <w:rPr>
                <w:rFonts w:ascii="宋体"/>
                <w:color w:val="000000" w:themeColor="text1"/>
                <w:sz w:val="21"/>
                <w:szCs w:val="21"/>
                <w14:textFill>
                  <w14:solidFill>
                    <w14:schemeClr w14:val="tx1"/>
                  </w14:solidFill>
                </w14:textFill>
              </w:rPr>
            </w:pPr>
            <w:r>
              <w:rPr>
                <w:rFonts w:hint="eastAsia" w:ascii="仿宋_GB2312" w:hAnsi="Wingdings 2" w:eastAsia="仿宋_GB2312"/>
                <w:color w:val="000000" w:themeColor="text1"/>
                <w:sz w:val="21"/>
                <w14:textFill>
                  <w14:solidFill>
                    <w14:schemeClr w14:val="tx1"/>
                  </w14:solidFill>
                </w14:textFill>
              </w:rPr>
              <w:sym w:font="Wingdings 2" w:char="F052"/>
            </w:r>
            <w:r>
              <w:rPr>
                <w:rFonts w:hint="eastAsia" w:ascii="宋体" w:hAnsi="宋体"/>
                <w:color w:val="000000" w:themeColor="text1"/>
                <w:sz w:val="21"/>
                <w:szCs w:val="21"/>
                <w14:textFill>
                  <w14:solidFill>
                    <w14:schemeClr w14:val="tx1"/>
                  </w14:solidFill>
                </w14:textFill>
              </w:rPr>
              <w:t>不允许分包</w:t>
            </w:r>
          </w:p>
          <w:p w14:paraId="636722A3">
            <w:pPr>
              <w:pStyle w:val="16"/>
              <w:spacing w:line="360" w:lineRule="auto"/>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□允许分包</w:t>
            </w:r>
          </w:p>
          <w:p w14:paraId="4321F646">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分包内容：</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5FCD3CCB">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分包金额或者比例：</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7C8C0D03">
            <w:pPr>
              <w:pStyle w:val="16"/>
              <w:spacing w:line="360" w:lineRule="auto"/>
              <w:rPr>
                <w:rFonts w:asci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分包供应商必须具备的资质：</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p>
        </w:tc>
        <w:tc>
          <w:tcPr>
            <w:tcW w:w="7912" w:type="dxa"/>
            <w:vAlign w:val="center"/>
          </w:tcPr>
          <w:p w14:paraId="6999068B">
            <w:pPr>
              <w:snapToGrid w:val="0"/>
              <w:spacing w:line="360" w:lineRule="auto"/>
              <w:jc w:val="left"/>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崇左</w:t>
            </w:r>
            <w:r>
              <w:rPr>
                <w:rFonts w:ascii="宋体" w:hAnsi="宋体" w:cs="宋体"/>
                <w:color w:val="000000" w:themeColor="text1"/>
                <w:szCs w:val="21"/>
                <w:lang w:val="en-US" w:eastAsia="zh-CN"/>
                <w14:textFill>
                  <w14:solidFill>
                    <w14:schemeClr w14:val="tx1"/>
                  </w14:solidFill>
                </w14:textFill>
              </w:rPr>
              <w:t>市政府采购供应商信用承诺函</w:t>
            </w:r>
            <w:r>
              <w:rPr>
                <w:rFonts w:hint="eastAsia" w:ascii="宋体" w:hAnsi="宋体" w:cs="宋体"/>
                <w:color w:val="000000" w:themeColor="text1"/>
                <w:szCs w:val="21"/>
                <w:lang w:val="en-US" w:eastAsia="zh-CN"/>
                <w14:textFill>
                  <w14:solidFill>
                    <w14:schemeClr w14:val="tx1"/>
                  </w14:solidFill>
                </w14:textFill>
              </w:rPr>
              <w:t>（格式后附）；</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供应商直接控股、管理关系信息表（格式后附）；（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竞标声明（格式后附）；（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000000" w:themeColor="text1"/>
                <w:szCs w:val="21"/>
                <w14:textFill>
                  <w14:solidFill>
                    <w14:schemeClr w14:val="tx1"/>
                  </w14:solidFill>
                </w14:textFill>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5</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特定资格要求：</w:t>
            </w:r>
            <w:r>
              <w:rPr>
                <w:rFonts w:hint="eastAsia" w:ascii="宋体" w:hAnsi="宋体"/>
                <w:b/>
                <w:color w:val="000000" w:themeColor="text1"/>
                <w:szCs w:val="21"/>
                <w14:textFill>
                  <w14:solidFill>
                    <w14:schemeClr w14:val="tx1"/>
                  </w14:solidFill>
                </w14:textFill>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olor w:val="auto"/>
                <w:szCs w:val="21"/>
              </w:rPr>
              <w:t>具</w:t>
            </w:r>
            <w:r>
              <w:rPr>
                <w:rFonts w:hint="eastAsia" w:ascii="宋体" w:hAnsi="宋体"/>
                <w:color w:val="000000" w:themeColor="text1"/>
                <w:szCs w:val="21"/>
                <w:highlight w:val="none"/>
                <w14:textFill>
                  <w14:solidFill>
                    <w14:schemeClr w14:val="tx1"/>
                  </w14:solidFill>
                </w14:textFill>
              </w:rPr>
              <w:t>备市政公用工程施工总承包三级（含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000000" w:themeColor="text1"/>
                <w:szCs w:val="21"/>
                <w:highlight w:val="none"/>
                <w14:textFill>
                  <w14:solidFill>
                    <w14:schemeClr w14:val="tx1"/>
                  </w14:solidFill>
                </w14:textFill>
              </w:rPr>
              <w:t>备</w:t>
            </w:r>
            <w:r>
              <w:rPr>
                <w:rFonts w:hint="eastAsia" w:ascii="宋体" w:hAnsi="宋体"/>
                <w:color w:val="auto"/>
                <w:szCs w:val="21"/>
                <w:lang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以上标明“必须提供”的材料属于复印件的，必须加盖供应商</w:t>
            </w:r>
            <w:r>
              <w:rPr>
                <w:rFonts w:hint="eastAsia"/>
                <w:b/>
                <w:color w:val="000000" w:themeColor="text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2.</w:t>
            </w:r>
            <w:r>
              <w:rPr>
                <w:rFonts w:hint="eastAsia" w:ascii="宋体" w:hAnsi="宋体" w:cs="宋体"/>
                <w:b/>
                <w:color w:val="000000" w:themeColor="text1"/>
                <w:sz w:val="21"/>
                <w:szCs w:val="21"/>
                <w14:textFill>
                  <w14:solidFill>
                    <w14:schemeClr w14:val="tx1"/>
                  </w14:solidFill>
                </w14:textFill>
              </w:rPr>
              <w:t>联合体竞标时，第</w:t>
            </w:r>
            <w:r>
              <w:rPr>
                <w:rFonts w:ascii="宋体" w:hAnsi="宋体" w:cs="宋体"/>
                <w:b/>
                <w:color w:val="000000" w:themeColor="text1"/>
                <w:sz w:val="21"/>
                <w:szCs w:val="21"/>
                <w14:textFill>
                  <w14:solidFill>
                    <w14:schemeClr w14:val="tx1"/>
                  </w14:solidFill>
                </w14:textFill>
              </w:rPr>
              <w:t>1-5</w:t>
            </w:r>
            <w:r>
              <w:rPr>
                <w:rFonts w:hint="eastAsia" w:ascii="宋体" w:hAnsi="宋体" w:cs="宋体"/>
                <w:b/>
                <w:color w:val="000000" w:themeColor="text1"/>
                <w:sz w:val="21"/>
                <w:szCs w:val="21"/>
                <w14:textFill>
                  <w14:solidFill>
                    <w14:schemeClr w14:val="tx1"/>
                  </w14:solidFill>
                </w14:textFill>
              </w:rPr>
              <w:t>项资格证明文件联合体各方均必须分别提供，</w:t>
            </w:r>
            <w:r>
              <w:rPr>
                <w:rFonts w:hint="eastAsia"/>
                <w:b/>
                <w:color w:val="000000" w:themeColor="text1"/>
                <w:sz w:val="21"/>
                <w:szCs w:val="24"/>
                <w14:textFill>
                  <w14:solidFill>
                    <w14:schemeClr w14:val="tx1"/>
                  </w14:solidFill>
                </w14:textFill>
              </w:rPr>
              <w:t>并由</w:t>
            </w:r>
            <w:r>
              <w:rPr>
                <w:rFonts w:hint="eastAsia" w:ascii="宋体" w:hAnsi="宋体" w:cs="宋体"/>
                <w:b/>
                <w:color w:val="000000" w:themeColor="text1"/>
                <w:sz w:val="21"/>
                <w:szCs w:val="21"/>
                <w14:textFill>
                  <w14:solidFill>
                    <w14:schemeClr w14:val="tx1"/>
                  </w14:solidFill>
                </w14:textFill>
              </w:rPr>
              <w:t>联合体</w:t>
            </w:r>
            <w:r>
              <w:rPr>
                <w:rFonts w:hint="eastAsia"/>
                <w:b/>
                <w:color w:val="000000" w:themeColor="text1"/>
                <w:sz w:val="21"/>
                <w:szCs w:val="24"/>
                <w14:textFill>
                  <w14:solidFill>
                    <w14:schemeClr w14:val="tx1"/>
                  </w14:solidFill>
                </w14:textFill>
              </w:rPr>
              <w:t>牵头人加盖电子签章</w:t>
            </w:r>
            <w:r>
              <w:rPr>
                <w:rFonts w:hint="eastAsia" w:ascii="宋体" w:hAnsi="宋体" w:cs="宋体"/>
                <w:b/>
                <w:color w:val="000000" w:themeColor="text1"/>
                <w:sz w:val="21"/>
                <w:szCs w:val="21"/>
                <w14:textFill>
                  <w14:solidFill>
                    <w14:schemeClr w14:val="tx1"/>
                  </w14:solidFill>
                </w14:textFill>
              </w:rPr>
              <w:t>，</w:t>
            </w:r>
            <w:r>
              <w:rPr>
                <w:rFonts w:hint="eastAsia"/>
                <w:b/>
                <w:color w:val="000000" w:themeColor="text1"/>
                <w:sz w:val="21"/>
                <w:szCs w:val="24"/>
                <w14:textFill>
                  <w14:solidFill>
                    <w14:schemeClr w14:val="tx1"/>
                  </w14:solidFill>
                </w14:textFill>
              </w:rPr>
              <w:t>规定签字</w:t>
            </w:r>
            <w:r>
              <w:rPr>
                <w:rFonts w:hint="eastAsia" w:ascii="宋体" w:hAnsi="宋体" w:cs="宋体"/>
                <w:b/>
                <w:color w:val="000000" w:themeColor="text1"/>
                <w:sz w:val="21"/>
                <w:szCs w:val="21"/>
                <w14:textFill>
                  <w14:solidFill>
                    <w14:schemeClr w14:val="tx1"/>
                  </w14:solidFill>
                </w14:textFill>
              </w:rPr>
              <w:t>处签字</w:t>
            </w:r>
            <w:r>
              <w:rPr>
                <w:rFonts w:hint="eastAsia" w:ascii="宋体" w:hAnsi="宋体"/>
                <w:b/>
                <w:bCs/>
                <w:color w:val="000000" w:themeColor="text1"/>
                <w:sz w:val="21"/>
                <w:szCs w:val="21"/>
                <w14:textFill>
                  <w14:solidFill>
                    <w14:schemeClr w14:val="tx1"/>
                  </w14:solidFill>
                </w14:textFill>
              </w:rPr>
              <w:t>（或者电子签名）</w:t>
            </w:r>
            <w:r>
              <w:rPr>
                <w:rFonts w:hint="eastAsia" w:ascii="宋体" w:hAnsi="宋体" w:cs="宋体"/>
                <w:b/>
                <w:color w:val="000000" w:themeColor="text1"/>
                <w:sz w:val="21"/>
                <w:szCs w:val="21"/>
                <w14:textFill>
                  <w14:solidFill>
                    <w14:schemeClr w14:val="tx1"/>
                  </w14:solidFill>
                </w14:textFill>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p>
        </w:tc>
        <w:tc>
          <w:tcPr>
            <w:tcW w:w="7912" w:type="dxa"/>
            <w:vAlign w:val="center"/>
          </w:tcPr>
          <w:p w14:paraId="11B69417">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报价文件</w:t>
            </w:r>
          </w:p>
          <w:p w14:paraId="7D9809B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竞标函及竞标函附录（格式后附）；（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8D4154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F09AA4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14EE14E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p>
        </w:tc>
        <w:tc>
          <w:tcPr>
            <w:tcW w:w="7912" w:type="dxa"/>
            <w:vAlign w:val="center"/>
          </w:tcPr>
          <w:p w14:paraId="43AC8109">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57C71384">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111C739">
            <w:pPr>
              <w:snapToGrid w:val="0"/>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法定代表人身份证明书及法定代表人有效身份证正反面复印件（格式后附）；（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9893FE0">
            <w:pPr>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委托时必须提供，否则响应文件按无效处理</w:t>
            </w:r>
            <w:r>
              <w:rPr>
                <w:rFonts w:hint="eastAsia" w:ascii="宋体" w:hAnsi="宋体" w:cs="宋体"/>
                <w:color w:val="000000" w:themeColor="text1"/>
                <w:szCs w:val="21"/>
                <w14:textFill>
                  <w14:solidFill>
                    <w14:schemeClr w14:val="tx1"/>
                  </w14:solidFill>
                </w14:textFill>
              </w:rPr>
              <w:t>）</w:t>
            </w:r>
          </w:p>
          <w:p w14:paraId="4F01543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磋商保证金提交凭证；（</w:t>
            </w:r>
            <w:r>
              <w:rPr>
                <w:rFonts w:hint="eastAsia"/>
                <w:b/>
                <w:bCs/>
                <w:color w:val="000000" w:themeColor="text1"/>
                <w14:textFill>
                  <w14:solidFill>
                    <w14:schemeClr w14:val="tx1"/>
                  </w14:solidFill>
                </w14:textFill>
              </w:rPr>
              <w:t>如要求提交磋商保证金的则必须提供</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0D2C696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施工组织设计（格式自拟）；（</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825CD4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项目管理机构配备情况表及主要人员简历表（格式后附）；（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ECB01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拟分包项目情况表（格式后附）；（如有）</w:t>
            </w:r>
          </w:p>
          <w:p w14:paraId="3EC024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供应商认为需要提供的其他有关资料。</w:t>
            </w:r>
          </w:p>
          <w:p w14:paraId="37B2C2F8">
            <w:pPr>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p>
        </w:tc>
        <w:tc>
          <w:tcPr>
            <w:tcW w:w="7912" w:type="dxa"/>
            <w:vAlign w:val="center"/>
          </w:tcPr>
          <w:p w14:paraId="2F4874F0">
            <w:pPr>
              <w:spacing w:line="360" w:lineRule="auto"/>
              <w:contextualSpacing/>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p>
        </w:tc>
        <w:tc>
          <w:tcPr>
            <w:tcW w:w="7912" w:type="dxa"/>
            <w:vAlign w:val="center"/>
          </w:tcPr>
          <w:p w14:paraId="47F286A4">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竞标报价是履行合同的最终价格，包括了</w:t>
            </w:r>
            <w:r>
              <w:rPr>
                <w:rFonts w:hint="eastAsia" w:ascii="宋体" w:hAnsi="宋体" w:cs="宋体"/>
                <w:color w:val="000000" w:themeColor="text1"/>
                <w:szCs w:val="21"/>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p>
        </w:tc>
        <w:tc>
          <w:tcPr>
            <w:tcW w:w="7912" w:type="dxa"/>
            <w:vAlign w:val="center"/>
          </w:tcPr>
          <w:p w14:paraId="0D0F8F95">
            <w:pPr>
              <w:spacing w:line="360" w:lineRule="auto"/>
              <w:contextualSpacing/>
              <w:jc w:val="left"/>
              <w:rPr>
                <w:rFonts w:ascii="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本工程增值税计税方法：</w:t>
            </w: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cs="宋体"/>
                <w:color w:val="000000" w:themeColor="text1"/>
                <w14:textFill>
                  <w14:solidFill>
                    <w14:schemeClr w14:val="tx1"/>
                  </w14:solidFill>
                </w14:textFill>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竞标有效期：自首次响应文件提交截止之日起</w:t>
            </w:r>
            <w:r>
              <w:rPr>
                <w:rFonts w:ascii="宋体" w:hAnsi="宋体" w:cs="宋体"/>
                <w:color w:val="000000" w:themeColor="text1"/>
                <w:kern w:val="2"/>
                <w:sz w:val="21"/>
                <w:szCs w:val="21"/>
                <w:u w:val="single"/>
                <w14:textFill>
                  <w14:solidFill>
                    <w14:schemeClr w14:val="tx1"/>
                  </w14:solidFill>
                </w14:textFill>
              </w:rPr>
              <w:t>60</w:t>
            </w:r>
            <w:r>
              <w:rPr>
                <w:rFonts w:hint="eastAsia" w:ascii="宋体" w:hAnsi="宋体" w:cs="宋体"/>
                <w:color w:val="000000" w:themeColor="text1"/>
                <w:kern w:val="2"/>
                <w:sz w:val="21"/>
                <w:szCs w:val="21"/>
                <w14:textFill>
                  <w14:solidFill>
                    <w14:schemeClr w14:val="tx1"/>
                  </w14:solidFill>
                </w14:textFill>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p>
        </w:tc>
        <w:tc>
          <w:tcPr>
            <w:tcW w:w="7912" w:type="dxa"/>
            <w:vAlign w:val="center"/>
          </w:tcPr>
          <w:p w14:paraId="35C65F0A">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本项目不收取磋商保证金。</w:t>
            </w:r>
          </w:p>
          <w:p w14:paraId="3DBEDF5D">
            <w:pPr>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□本项目收取磋商保证金，具体规定如下：</w:t>
            </w:r>
          </w:p>
          <w:p w14:paraId="256CC1E2">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磋商保证金人民币</w:t>
            </w:r>
            <w:r>
              <w:rPr>
                <w:rFonts w:ascii="宋体" w:cs="宋体"/>
                <w:color w:val="000000" w:themeColor="text1"/>
                <w:kern w:val="0"/>
                <w:szCs w:val="21"/>
                <w:u w:val="single"/>
                <w14:textFill>
                  <w14:solidFill>
                    <w14:schemeClr w14:val="tx1"/>
                  </w14:solidFill>
                </w14:textFill>
              </w:rPr>
              <w:t>0.00</w:t>
            </w:r>
            <w:r>
              <w:rPr>
                <w:rFonts w:hint="eastAsia" w:ascii="宋体" w:hAnsi="宋体" w:cs="宋体"/>
                <w:color w:val="000000" w:themeColor="text1"/>
                <w:kern w:val="0"/>
                <w:szCs w:val="21"/>
                <w14:textFill>
                  <w14:solidFill>
                    <w14:schemeClr w14:val="tx1"/>
                  </w14:solidFill>
                </w14:textFill>
              </w:rPr>
              <w:t>元。</w:t>
            </w:r>
          </w:p>
          <w:p w14:paraId="4178557E">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000000" w:themeColor="text1"/>
                <w:kern w:val="0"/>
                <w:szCs w:val="21"/>
                <w14:textFill>
                  <w14:solidFill>
                    <w14:schemeClr w14:val="tx1"/>
                  </w14:solidFill>
                </w14:textFill>
              </w:rPr>
              <w:t>账户名称：广西坤珍建设项目管理咨询有限公司南宁分公司</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开户银行：招商银行股份有限公司广西自由贸易试验区南宁片区平乐大道支行</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账户号码：771903206410808</w:t>
            </w:r>
            <w:r>
              <w:rPr>
                <w:rFonts w:hint="eastAsia" w:ascii="宋体" w:hAnsi="宋体" w:cs="宋体"/>
                <w:color w:val="000000" w:themeColor="text1"/>
                <w:kern w:val="0"/>
                <w:szCs w:val="21"/>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b/>
                <w:color w:val="000000" w:themeColor="text1"/>
                <w:kern w:val="0"/>
                <w:szCs w:val="21"/>
                <w14:textFill>
                  <w14:solidFill>
                    <w14:schemeClr w14:val="tx1"/>
                  </w14:solidFill>
                </w14:textFill>
              </w:rPr>
              <w:t>否则视为无效磋商保证金。</w:t>
            </w:r>
          </w:p>
          <w:p w14:paraId="65BDD631">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w:t>
            </w:r>
          </w:p>
          <w:p w14:paraId="0868B75F">
            <w:pPr>
              <w:snapToGrid w:val="0"/>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11576457">
            <w:pPr>
              <w:snapToGrid w:val="0"/>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磋商保证金采用支票、汇票、本票或者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交纳方式的，供应商应将支票、汇票、本票或者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w:t>
            </w:r>
            <w:r>
              <w:rPr>
                <w:rFonts w:hint="eastAsia"/>
                <w:color w:val="auto"/>
              </w:rPr>
              <w:t>（现场提交地址：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kern w:val="0"/>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5E262561">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供应商采用现钞方式或者从个人账户转出的磋商保证金，视为无效磋商保证金。</w:t>
            </w:r>
          </w:p>
          <w:p w14:paraId="6065B708">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支票、汇票或者本票出现无效或者背书情形的，视为无效磋商保证金。</w:t>
            </w:r>
          </w:p>
          <w:p w14:paraId="0DFA8895">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保函有效期低于竞标有效期的，视为无效磋商保证金。</w:t>
            </w:r>
          </w:p>
          <w:p w14:paraId="3D0884C3">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采用金融机构、担保机构出具的保函的，必须为无条件保函，否则视为无效磋商保证金。</w:t>
            </w:r>
          </w:p>
          <w:p w14:paraId="3AE93537">
            <w:pPr>
              <w:snapToGrid w:val="0"/>
              <w:spacing w:line="360" w:lineRule="auto"/>
              <w:rPr>
                <w:rFonts w:ascii="宋体" w:cs="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w:t>
            </w:r>
            <w:r>
              <w:rPr>
                <w:rFonts w:asci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B480500">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55782EE9">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5BB439BD">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FF"/>
          <w:szCs w:val="21"/>
          <w:lang w:val="en-US" w:eastAsia="zh-CN"/>
        </w:rPr>
        <w:t>674664.00</w:t>
      </w:r>
      <w:r>
        <w:rPr>
          <w:rFonts w:hint="eastAsia" w:ascii="宋体" w:hAnsi="宋体"/>
          <w:b/>
          <w:bCs w:val="0"/>
          <w:color w:val="0000FF"/>
          <w:szCs w:val="21"/>
        </w:rPr>
        <w:t>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cs="Arial"/>
          <w:b/>
          <w:bCs/>
          <w:color w:val="000000" w:themeColor="text1"/>
          <w:szCs w:val="21"/>
          <w:lang w:val="en-US" w:eastAsia="zh-CN"/>
          <w14:textFill>
            <w14:solidFill>
              <w14:schemeClr w14:val="tx1"/>
            </w14:solidFill>
          </w14:textFill>
        </w:rPr>
        <w:t>5.</w:t>
      </w:r>
      <w:r>
        <w:rPr>
          <w:rFonts w:hint="eastAsia" w:ascii="宋体" w:hAnsi="宋体" w:cs="Arial"/>
          <w:b/>
          <w:bCs/>
          <w:color w:val="000000" w:themeColor="text1"/>
          <w:szCs w:val="21"/>
          <w14:textFill>
            <w14:solidFill>
              <w14:schemeClr w14:val="tx1"/>
            </w14:solidFill>
          </w14:textFill>
        </w:rPr>
        <w:t>最高限价</w:t>
      </w:r>
      <w:r>
        <w:rPr>
          <w:rFonts w:hint="eastAsia" w:ascii="宋体" w:hAnsi="宋体" w:cs="Arial"/>
          <w:bCs/>
          <w:color w:val="000000" w:themeColor="text1"/>
          <w:szCs w:val="21"/>
          <w14:textFill>
            <w14:solidFill>
              <w14:schemeClr w14:val="tx1"/>
            </w14:solidFill>
          </w14:textFill>
        </w:rPr>
        <w:t>：</w:t>
      </w:r>
      <w:r>
        <w:rPr>
          <w:rFonts w:hint="eastAsia" w:ascii="宋体" w:hAnsi="宋体" w:cs="Arial"/>
          <w:b/>
          <w:bCs w:val="0"/>
          <w:color w:val="0000FF"/>
          <w:szCs w:val="21"/>
          <w:lang w:val="en-US" w:eastAsia="zh-CN"/>
        </w:rPr>
        <w:t>674664.00</w:t>
      </w:r>
      <w:r>
        <w:rPr>
          <w:rFonts w:hint="eastAsia" w:ascii="宋体" w:hAnsi="宋体"/>
          <w:b/>
          <w:bCs w:val="0"/>
          <w:color w:val="0000FF"/>
          <w:szCs w:val="21"/>
        </w:rPr>
        <w:t>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728" w:type="dxa"/>
            <w:vAlign w:val="center"/>
          </w:tcPr>
          <w:p w14:paraId="293A4228">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992" w:type="dxa"/>
            <w:vAlign w:val="center"/>
          </w:tcPr>
          <w:p w14:paraId="2F4A8BF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709" w:type="dxa"/>
            <w:vAlign w:val="center"/>
          </w:tcPr>
          <w:p w14:paraId="43398EC3">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c>
          <w:tcPr>
            <w:tcW w:w="4721" w:type="dxa"/>
            <w:vAlign w:val="center"/>
          </w:tcPr>
          <w:p w14:paraId="78246F1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龙州县城北安置点公共场地硬化项目（易安后扶）</w:t>
            </w:r>
          </w:p>
        </w:tc>
        <w:tc>
          <w:tcPr>
            <w:tcW w:w="992" w:type="dxa"/>
            <w:vAlign w:val="center"/>
          </w:tcPr>
          <w:p w14:paraId="0568CEC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p>
        </w:tc>
        <w:tc>
          <w:tcPr>
            <w:tcW w:w="709" w:type="dxa"/>
            <w:vAlign w:val="center"/>
          </w:tcPr>
          <w:p w14:paraId="49CF879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项目概况：</w:t>
            </w:r>
            <w:r>
              <w:rPr>
                <w:rFonts w:hint="eastAsia" w:ascii="宋体" w:hAnsi="宋体"/>
                <w:color w:val="000000" w:themeColor="text1"/>
                <w:szCs w:val="21"/>
                <w:lang w:eastAsia="zh-CN"/>
                <w14:textFill>
                  <w14:solidFill>
                    <w14:schemeClr w14:val="tx1"/>
                  </w14:solidFill>
                </w14:textFill>
              </w:rPr>
              <w:t>龙州县城北安置点公共场地硬化项目（易安后扶）</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1"/>
                <w:szCs w:val="24"/>
                <w14:textFill>
                  <w14:solidFill>
                    <w14:schemeClr w14:val="tx1"/>
                  </w14:solidFill>
                </w14:textFill>
              </w:rPr>
            </w:pPr>
            <w:r>
              <w:rPr>
                <w:rFonts w:ascii="宋体" w:hAnsi="宋体" w:cs="宋体"/>
                <w:color w:val="000000" w:themeColor="text1"/>
                <w:sz w:val="21"/>
                <w:szCs w:val="21"/>
                <w14:textFill>
                  <w14:solidFill>
                    <w14:schemeClr w14:val="tx1"/>
                  </w14:solidFill>
                </w14:textFill>
              </w:rPr>
              <w:t>6</w:t>
            </w:r>
            <w:r>
              <w:rPr>
                <w:rFonts w:ascii="宋体" w:cs="宋体"/>
                <w:color w:val="000000" w:themeColor="text1"/>
                <w:sz w:val="21"/>
                <w:szCs w:val="21"/>
                <w14:textFill>
                  <w14:solidFill>
                    <w14:schemeClr w14:val="tx1"/>
                  </w14:solidFill>
                </w14:textFill>
              </w:rPr>
              <w:t>.</w:t>
            </w:r>
            <w:r>
              <w:rPr>
                <w:rFonts w:hint="eastAsia"/>
                <w:color w:val="000000" w:themeColor="text1"/>
                <w:sz w:val="21"/>
                <w:szCs w:val="24"/>
                <w14:textFill>
                  <w14:solidFill>
                    <w14:schemeClr w14:val="tx1"/>
                  </w14:solidFill>
                </w14:textFill>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w:t>
            </w:r>
            <w:r>
              <w:rPr>
                <w:rFonts w:hint="eastAsia" w:ascii="宋体" w:hAnsi="宋体" w:cs="宋体"/>
                <w:color w:val="000000" w:themeColor="text1"/>
                <w:szCs w:val="21"/>
                <w14:textFill>
                  <w14:solidFill>
                    <w14:schemeClr w14:val="tx1"/>
                  </w14:solidFill>
                </w14:textFill>
              </w:rPr>
              <w:t>工期：</w:t>
            </w:r>
            <w:r>
              <w:rPr>
                <w:rFonts w:hint="eastAsia" w:ascii="宋体" w:hAnsi="宋体"/>
                <w:color w:val="0000FF"/>
                <w:szCs w:val="21"/>
                <w:lang w:val="en-US" w:eastAsia="zh-CN"/>
              </w:rPr>
              <w:t>60</w:t>
            </w:r>
            <w:r>
              <w:rPr>
                <w:rFonts w:hint="eastAsia" w:ascii="宋体" w:hAnsi="宋体"/>
                <w:color w:val="0000FF"/>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eastAsia="zh-CN"/>
              </w:rPr>
              <w:t>龙州县</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同类的市政公用</w:t>
            </w:r>
            <w:r>
              <w:rPr>
                <w:rFonts w:hint="eastAsia" w:ascii="宋体" w:hAnsi="宋体"/>
                <w:color w:val="000000" w:themeColor="text1"/>
                <w:szCs w:val="21"/>
                <w:highlight w:val="none"/>
                <w14:textFill>
                  <w14:solidFill>
                    <w14:schemeClr w14:val="tx1"/>
                  </w14:solidFill>
                </w14:textFill>
              </w:rPr>
              <w:t>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5611516"/>
      <w:bookmarkStart w:id="82" w:name="_Toc71366186"/>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auto"/>
                <w:lang w:val="en-US" w:eastAsia="zh-CN"/>
              </w:rPr>
              <w:t>24</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4C74C5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50FB500">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）主要施工方法；</w:t>
      </w:r>
    </w:p>
    <w:p w14:paraId="62A2779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）拟投入的主要物资计划</w:t>
      </w:r>
    </w:p>
    <w:p w14:paraId="586B4BC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）劳动力安排计划；</w:t>
      </w:r>
    </w:p>
    <w:p w14:paraId="7F504B4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）确保工程质量的技术组织措施；</w:t>
      </w:r>
    </w:p>
    <w:p w14:paraId="33BFD71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）确保安全生产的技术组织措施；</w:t>
      </w:r>
    </w:p>
    <w:p w14:paraId="708DAA8E">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）确保工期的技术组织措施；</w:t>
      </w:r>
    </w:p>
    <w:p w14:paraId="178B273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）确保文明施工的技术组织措施；</w:t>
      </w:r>
    </w:p>
    <w:p w14:paraId="3280D89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）工程施工的重点和难点及保证措施；</w:t>
      </w:r>
    </w:p>
    <w:p w14:paraId="3CAE651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）施工总平面布置图；</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2868ADD6">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r>
        <w:rPr>
          <w:rFonts w:ascii="宋体" w:hAnsi="宋体"/>
          <w:color w:val="000000"/>
          <w:sz w:val="24"/>
        </w:rPr>
        <w:br w:type="page"/>
      </w: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bookmarkStart w:id="97" w:name="_GoBack"/>
      <w:bookmarkEnd w:id="97"/>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预付款支付比例或金额</w:t>
      </w:r>
      <w:r>
        <w:rPr>
          <w:rFonts w:hint="eastAsia"/>
          <w:bCs/>
          <w:color w:val="auto"/>
          <w:highlight w:val="none"/>
        </w:rPr>
        <w:t>：</w:t>
      </w:r>
      <w:r>
        <w:rPr>
          <w:rFonts w:hint="eastAsia"/>
          <w:bCs/>
          <w:color w:val="auto"/>
          <w:highlight w:val="none"/>
          <w:u w:val="single"/>
        </w:rPr>
        <w:t>合同价（扣除暂列金额）的30%作为预付款；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sz w:val="24"/>
          <w:szCs w:val="24"/>
        </w:rPr>
        <w:t>工程缺陷责任期</w:t>
      </w:r>
      <w:r>
        <w:rPr>
          <w:rFonts w:hint="eastAsia"/>
          <w:color w:val="auto"/>
          <w:sz w:val="24"/>
          <w:szCs w:val="24"/>
        </w:rPr>
        <w:t>为</w:t>
      </w:r>
      <w:r>
        <w:rPr>
          <w:color w:val="0000FF"/>
          <w:sz w:val="24"/>
          <w:szCs w:val="24"/>
          <w:u w:val="single"/>
        </w:rPr>
        <w:t xml:space="preserve">    </w:t>
      </w:r>
      <w:r>
        <w:rPr>
          <w:rFonts w:hint="eastAsia"/>
          <w:color w:val="0000FF"/>
          <w:sz w:val="24"/>
          <w:szCs w:val="24"/>
          <w:u w:val="single"/>
          <w:lang w:val="en-US" w:eastAsia="zh-CN"/>
        </w:rPr>
        <w:t>24</w:t>
      </w:r>
      <w:r>
        <w:rPr>
          <w:color w:val="0000FF"/>
          <w:sz w:val="24"/>
          <w:szCs w:val="24"/>
          <w:u w:val="single"/>
        </w:rPr>
        <w:t xml:space="preserve">  </w:t>
      </w:r>
      <w:r>
        <w:rPr>
          <w:rFonts w:hint="eastAsia"/>
          <w:color w:val="0000FF"/>
          <w:sz w:val="24"/>
          <w:szCs w:val="24"/>
        </w:rPr>
        <w:t>个月</w:t>
      </w:r>
      <w:r>
        <w:rPr>
          <w:rFonts w:hint="eastAsia"/>
          <w:color w:val="auto"/>
          <w:sz w:val="24"/>
          <w:szCs w:val="24"/>
        </w:rPr>
        <w:t>（</w:t>
      </w:r>
      <w:r>
        <w:rPr>
          <w:rFonts w:hint="eastAsia"/>
          <w:sz w:val="24"/>
          <w:szCs w:val="24"/>
        </w:rPr>
        <w:t>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BF2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7BF2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8120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8120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D37272"/>
    <w:rsid w:val="01E90844"/>
    <w:rsid w:val="02493090"/>
    <w:rsid w:val="02502671"/>
    <w:rsid w:val="02511F9D"/>
    <w:rsid w:val="02AB400C"/>
    <w:rsid w:val="02C1531D"/>
    <w:rsid w:val="02E42DB9"/>
    <w:rsid w:val="02E659B2"/>
    <w:rsid w:val="032633D2"/>
    <w:rsid w:val="033B6E7D"/>
    <w:rsid w:val="03572507"/>
    <w:rsid w:val="037B54CB"/>
    <w:rsid w:val="03800D34"/>
    <w:rsid w:val="039842CF"/>
    <w:rsid w:val="03A314B8"/>
    <w:rsid w:val="03D42E2E"/>
    <w:rsid w:val="03D8291E"/>
    <w:rsid w:val="03D82B98"/>
    <w:rsid w:val="03F83E8B"/>
    <w:rsid w:val="04174FEC"/>
    <w:rsid w:val="0422003D"/>
    <w:rsid w:val="04402271"/>
    <w:rsid w:val="048E7480"/>
    <w:rsid w:val="049727D9"/>
    <w:rsid w:val="049D5915"/>
    <w:rsid w:val="049F51EA"/>
    <w:rsid w:val="04B769D7"/>
    <w:rsid w:val="04BC08B4"/>
    <w:rsid w:val="04DA4474"/>
    <w:rsid w:val="0523406D"/>
    <w:rsid w:val="0532605E"/>
    <w:rsid w:val="053C7408"/>
    <w:rsid w:val="0553089C"/>
    <w:rsid w:val="05654685"/>
    <w:rsid w:val="05A0746B"/>
    <w:rsid w:val="05B51082"/>
    <w:rsid w:val="05C3315A"/>
    <w:rsid w:val="05C56868"/>
    <w:rsid w:val="06033F82"/>
    <w:rsid w:val="061A5470"/>
    <w:rsid w:val="0620235A"/>
    <w:rsid w:val="06345E06"/>
    <w:rsid w:val="06426774"/>
    <w:rsid w:val="065D35AE"/>
    <w:rsid w:val="066761DB"/>
    <w:rsid w:val="066D2907"/>
    <w:rsid w:val="06F53E3D"/>
    <w:rsid w:val="074B3407"/>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CC2AAC"/>
    <w:rsid w:val="09DD13F2"/>
    <w:rsid w:val="0A287A2F"/>
    <w:rsid w:val="0A3208AE"/>
    <w:rsid w:val="0A4800D1"/>
    <w:rsid w:val="0A652D3E"/>
    <w:rsid w:val="0A6E5D8A"/>
    <w:rsid w:val="0A7F2398"/>
    <w:rsid w:val="0AA01CBB"/>
    <w:rsid w:val="0AC97464"/>
    <w:rsid w:val="0B24469B"/>
    <w:rsid w:val="0B326F2A"/>
    <w:rsid w:val="0B5D7BAD"/>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187EE2"/>
    <w:rsid w:val="0D1E1A81"/>
    <w:rsid w:val="0D3818EF"/>
    <w:rsid w:val="0D7F5CC2"/>
    <w:rsid w:val="0D84032B"/>
    <w:rsid w:val="0D907DC5"/>
    <w:rsid w:val="0D9C30EB"/>
    <w:rsid w:val="0DA6583B"/>
    <w:rsid w:val="0DC67D96"/>
    <w:rsid w:val="0DCA353D"/>
    <w:rsid w:val="0DEE2D3E"/>
    <w:rsid w:val="0E1409F6"/>
    <w:rsid w:val="0E230C39"/>
    <w:rsid w:val="0E2C3DC4"/>
    <w:rsid w:val="0E4017EB"/>
    <w:rsid w:val="0E4532A6"/>
    <w:rsid w:val="0E7E40C2"/>
    <w:rsid w:val="0EA31D7A"/>
    <w:rsid w:val="0EB83A78"/>
    <w:rsid w:val="0ECD6DF7"/>
    <w:rsid w:val="0ED97690"/>
    <w:rsid w:val="0F1F58A5"/>
    <w:rsid w:val="0F2A74C4"/>
    <w:rsid w:val="0F3375A2"/>
    <w:rsid w:val="0F4075C9"/>
    <w:rsid w:val="0F4672D5"/>
    <w:rsid w:val="0F751969"/>
    <w:rsid w:val="0F8F00B0"/>
    <w:rsid w:val="0F955B67"/>
    <w:rsid w:val="0F9C1270"/>
    <w:rsid w:val="0FA30B04"/>
    <w:rsid w:val="0FDA5C70"/>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927058"/>
    <w:rsid w:val="11B5429E"/>
    <w:rsid w:val="11BA3663"/>
    <w:rsid w:val="11BF336F"/>
    <w:rsid w:val="11C64F77"/>
    <w:rsid w:val="120E171E"/>
    <w:rsid w:val="12283BA0"/>
    <w:rsid w:val="12384497"/>
    <w:rsid w:val="123A2F08"/>
    <w:rsid w:val="12635AA8"/>
    <w:rsid w:val="12977E48"/>
    <w:rsid w:val="129B7938"/>
    <w:rsid w:val="12B565C6"/>
    <w:rsid w:val="12BB3514"/>
    <w:rsid w:val="12C80001"/>
    <w:rsid w:val="12D13D49"/>
    <w:rsid w:val="12F157AA"/>
    <w:rsid w:val="131E40C5"/>
    <w:rsid w:val="13405DEA"/>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77504"/>
    <w:rsid w:val="1738724B"/>
    <w:rsid w:val="1750136A"/>
    <w:rsid w:val="1752433D"/>
    <w:rsid w:val="175E59AD"/>
    <w:rsid w:val="177644D0"/>
    <w:rsid w:val="177C01F0"/>
    <w:rsid w:val="179E3EFA"/>
    <w:rsid w:val="17C34B7C"/>
    <w:rsid w:val="17CE6630"/>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72C7B"/>
    <w:rsid w:val="1A7A6085"/>
    <w:rsid w:val="1A8150C9"/>
    <w:rsid w:val="1AB31597"/>
    <w:rsid w:val="1ADF72F8"/>
    <w:rsid w:val="1AE300CE"/>
    <w:rsid w:val="1AFF0AFE"/>
    <w:rsid w:val="1B23671D"/>
    <w:rsid w:val="1B2A7AAB"/>
    <w:rsid w:val="1B3B1CB8"/>
    <w:rsid w:val="1B4F19F8"/>
    <w:rsid w:val="1B5E7755"/>
    <w:rsid w:val="1B7B0307"/>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5140AA"/>
    <w:rsid w:val="1E8C45D9"/>
    <w:rsid w:val="1E94348E"/>
    <w:rsid w:val="1EC21DA9"/>
    <w:rsid w:val="1ECA4BA0"/>
    <w:rsid w:val="1ECC44FA"/>
    <w:rsid w:val="1EF65EF6"/>
    <w:rsid w:val="1F063325"/>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8B7398"/>
    <w:rsid w:val="25A42208"/>
    <w:rsid w:val="25AE6518"/>
    <w:rsid w:val="25C60ECD"/>
    <w:rsid w:val="25D868E2"/>
    <w:rsid w:val="25E76EA7"/>
    <w:rsid w:val="25F901AD"/>
    <w:rsid w:val="25FD5DBC"/>
    <w:rsid w:val="260929B3"/>
    <w:rsid w:val="26105AEF"/>
    <w:rsid w:val="26151358"/>
    <w:rsid w:val="261F3F85"/>
    <w:rsid w:val="26415CA9"/>
    <w:rsid w:val="26446DE3"/>
    <w:rsid w:val="2670658E"/>
    <w:rsid w:val="26877DFE"/>
    <w:rsid w:val="269669E7"/>
    <w:rsid w:val="26A270C1"/>
    <w:rsid w:val="26A7481C"/>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74624"/>
    <w:rsid w:val="2B7D203A"/>
    <w:rsid w:val="2B801021"/>
    <w:rsid w:val="2B98685A"/>
    <w:rsid w:val="2BA97097"/>
    <w:rsid w:val="2BB67139"/>
    <w:rsid w:val="2C016606"/>
    <w:rsid w:val="2C3818FC"/>
    <w:rsid w:val="2C570F10"/>
    <w:rsid w:val="2C646B95"/>
    <w:rsid w:val="2C7A72BE"/>
    <w:rsid w:val="2C9A7D75"/>
    <w:rsid w:val="2C9B57FA"/>
    <w:rsid w:val="2CA20917"/>
    <w:rsid w:val="2CC17412"/>
    <w:rsid w:val="2CCB09C2"/>
    <w:rsid w:val="2CED72D0"/>
    <w:rsid w:val="2D1063D5"/>
    <w:rsid w:val="2D12214D"/>
    <w:rsid w:val="2D1E1DBD"/>
    <w:rsid w:val="2D4A7B39"/>
    <w:rsid w:val="2D760759"/>
    <w:rsid w:val="2D7C1E99"/>
    <w:rsid w:val="2DB640F0"/>
    <w:rsid w:val="2DBB27E5"/>
    <w:rsid w:val="2E0917A2"/>
    <w:rsid w:val="2E0C4DEE"/>
    <w:rsid w:val="2E261C16"/>
    <w:rsid w:val="2E2B796A"/>
    <w:rsid w:val="2E9976CE"/>
    <w:rsid w:val="2EA8527E"/>
    <w:rsid w:val="2EB07E70"/>
    <w:rsid w:val="2EF01DEE"/>
    <w:rsid w:val="2F0700AB"/>
    <w:rsid w:val="2F0D2273"/>
    <w:rsid w:val="2F1877C3"/>
    <w:rsid w:val="2F30259E"/>
    <w:rsid w:val="2F3E7229"/>
    <w:rsid w:val="2F401D3C"/>
    <w:rsid w:val="2F5B24E1"/>
    <w:rsid w:val="2F860BD0"/>
    <w:rsid w:val="2F9E416C"/>
    <w:rsid w:val="2FA95C88"/>
    <w:rsid w:val="2FC82F97"/>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C0B7F"/>
    <w:rsid w:val="31AB03AE"/>
    <w:rsid w:val="31EA0A18"/>
    <w:rsid w:val="320209E2"/>
    <w:rsid w:val="32406EF5"/>
    <w:rsid w:val="324234D5"/>
    <w:rsid w:val="32453A27"/>
    <w:rsid w:val="324E1E79"/>
    <w:rsid w:val="3263064A"/>
    <w:rsid w:val="32A23F73"/>
    <w:rsid w:val="32A43132"/>
    <w:rsid w:val="32AC0C06"/>
    <w:rsid w:val="32BD0DAD"/>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4B444E"/>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E2D8D"/>
    <w:rsid w:val="389A33CF"/>
    <w:rsid w:val="38AC3431"/>
    <w:rsid w:val="38AF50D0"/>
    <w:rsid w:val="38B4055C"/>
    <w:rsid w:val="38B95B73"/>
    <w:rsid w:val="39085692"/>
    <w:rsid w:val="392C04C3"/>
    <w:rsid w:val="392F2E16"/>
    <w:rsid w:val="394C4C39"/>
    <w:rsid w:val="396957EB"/>
    <w:rsid w:val="39870E1D"/>
    <w:rsid w:val="399321EE"/>
    <w:rsid w:val="39A31D4E"/>
    <w:rsid w:val="39B50A30"/>
    <w:rsid w:val="39C24EFB"/>
    <w:rsid w:val="39E00529"/>
    <w:rsid w:val="39EC3D26"/>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C233A"/>
    <w:rsid w:val="3C134E78"/>
    <w:rsid w:val="3C335C3C"/>
    <w:rsid w:val="3C634773"/>
    <w:rsid w:val="3C853D67"/>
    <w:rsid w:val="3C8769C5"/>
    <w:rsid w:val="3C8A61A4"/>
    <w:rsid w:val="3C9B0683"/>
    <w:rsid w:val="3CE55188"/>
    <w:rsid w:val="3D132865"/>
    <w:rsid w:val="3D271C45"/>
    <w:rsid w:val="3D583BAC"/>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93711E"/>
    <w:rsid w:val="3FC419CD"/>
    <w:rsid w:val="3FCC262F"/>
    <w:rsid w:val="4004626D"/>
    <w:rsid w:val="40192BA6"/>
    <w:rsid w:val="402915B2"/>
    <w:rsid w:val="40880C4C"/>
    <w:rsid w:val="40907B01"/>
    <w:rsid w:val="40C33A32"/>
    <w:rsid w:val="40FB141E"/>
    <w:rsid w:val="412B15D8"/>
    <w:rsid w:val="41436921"/>
    <w:rsid w:val="414C1C7A"/>
    <w:rsid w:val="4162149D"/>
    <w:rsid w:val="41766EA9"/>
    <w:rsid w:val="41870F04"/>
    <w:rsid w:val="419A2DBD"/>
    <w:rsid w:val="419E3C7A"/>
    <w:rsid w:val="41D103D1"/>
    <w:rsid w:val="41EF2605"/>
    <w:rsid w:val="4201063F"/>
    <w:rsid w:val="42010CB6"/>
    <w:rsid w:val="420A5094"/>
    <w:rsid w:val="422229DB"/>
    <w:rsid w:val="42295B17"/>
    <w:rsid w:val="42550A18"/>
    <w:rsid w:val="42571F3E"/>
    <w:rsid w:val="42642FF3"/>
    <w:rsid w:val="42861B49"/>
    <w:rsid w:val="429D496A"/>
    <w:rsid w:val="42BF46CD"/>
    <w:rsid w:val="42F02E93"/>
    <w:rsid w:val="42F473A1"/>
    <w:rsid w:val="42F8373B"/>
    <w:rsid w:val="43244531"/>
    <w:rsid w:val="433A3D54"/>
    <w:rsid w:val="434946D8"/>
    <w:rsid w:val="435B2648"/>
    <w:rsid w:val="436037BB"/>
    <w:rsid w:val="437217EA"/>
    <w:rsid w:val="437E6337"/>
    <w:rsid w:val="43AB7156"/>
    <w:rsid w:val="43C33D49"/>
    <w:rsid w:val="43D83C99"/>
    <w:rsid w:val="43FF60DE"/>
    <w:rsid w:val="44055F4E"/>
    <w:rsid w:val="441E62C0"/>
    <w:rsid w:val="4420119C"/>
    <w:rsid w:val="4440539A"/>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D83FB0"/>
    <w:rsid w:val="46DA7FD3"/>
    <w:rsid w:val="46DF6973"/>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E079C"/>
    <w:rsid w:val="497A68D1"/>
    <w:rsid w:val="499441BE"/>
    <w:rsid w:val="499B5738"/>
    <w:rsid w:val="499F244D"/>
    <w:rsid w:val="49C83E68"/>
    <w:rsid w:val="49DE368B"/>
    <w:rsid w:val="4A003601"/>
    <w:rsid w:val="4A050C18"/>
    <w:rsid w:val="4A58343D"/>
    <w:rsid w:val="4A971AD0"/>
    <w:rsid w:val="4A973F3F"/>
    <w:rsid w:val="4AD66A58"/>
    <w:rsid w:val="4AF33166"/>
    <w:rsid w:val="4AF96BC7"/>
    <w:rsid w:val="4B0C247A"/>
    <w:rsid w:val="4B16190E"/>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E03BBE"/>
    <w:rsid w:val="4CEF36E2"/>
    <w:rsid w:val="4CEF4DC5"/>
    <w:rsid w:val="4CFD207A"/>
    <w:rsid w:val="4D0D773E"/>
    <w:rsid w:val="4D4554E5"/>
    <w:rsid w:val="4D471926"/>
    <w:rsid w:val="4D662315"/>
    <w:rsid w:val="4D6F6A96"/>
    <w:rsid w:val="4D797640"/>
    <w:rsid w:val="4D9E5C73"/>
    <w:rsid w:val="4DBD0F93"/>
    <w:rsid w:val="4DCE3A17"/>
    <w:rsid w:val="4DDC6134"/>
    <w:rsid w:val="4DEB281B"/>
    <w:rsid w:val="4E255D2C"/>
    <w:rsid w:val="4E257655"/>
    <w:rsid w:val="4E265601"/>
    <w:rsid w:val="4E45017D"/>
    <w:rsid w:val="4E577EB0"/>
    <w:rsid w:val="4EE009A4"/>
    <w:rsid w:val="4F0C5D1C"/>
    <w:rsid w:val="4F372380"/>
    <w:rsid w:val="4F372FFB"/>
    <w:rsid w:val="4F3E697A"/>
    <w:rsid w:val="4F626B0C"/>
    <w:rsid w:val="4F766114"/>
    <w:rsid w:val="4F844CD5"/>
    <w:rsid w:val="4F87408B"/>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8263A7"/>
    <w:rsid w:val="52A31394"/>
    <w:rsid w:val="52AF3E17"/>
    <w:rsid w:val="52B753C1"/>
    <w:rsid w:val="52BB0A0D"/>
    <w:rsid w:val="52C10D75"/>
    <w:rsid w:val="52D715BF"/>
    <w:rsid w:val="52F932E4"/>
    <w:rsid w:val="53000B16"/>
    <w:rsid w:val="5338205E"/>
    <w:rsid w:val="534A3FB3"/>
    <w:rsid w:val="53543D1F"/>
    <w:rsid w:val="53732ACE"/>
    <w:rsid w:val="53973C1A"/>
    <w:rsid w:val="53C27FF8"/>
    <w:rsid w:val="53DF072C"/>
    <w:rsid w:val="53E126F6"/>
    <w:rsid w:val="53EF6F5B"/>
    <w:rsid w:val="53F02939"/>
    <w:rsid w:val="53FF0DCE"/>
    <w:rsid w:val="540006A2"/>
    <w:rsid w:val="54063F0A"/>
    <w:rsid w:val="545F361A"/>
    <w:rsid w:val="54806794"/>
    <w:rsid w:val="54813591"/>
    <w:rsid w:val="5492579E"/>
    <w:rsid w:val="54926564"/>
    <w:rsid w:val="549E1A80"/>
    <w:rsid w:val="54B020C8"/>
    <w:rsid w:val="54C658F4"/>
    <w:rsid w:val="54D45DB6"/>
    <w:rsid w:val="54FD2A1F"/>
    <w:rsid w:val="54FE7838"/>
    <w:rsid w:val="54FF095A"/>
    <w:rsid w:val="550C4BD7"/>
    <w:rsid w:val="551255ED"/>
    <w:rsid w:val="5531419E"/>
    <w:rsid w:val="553700F3"/>
    <w:rsid w:val="55486A04"/>
    <w:rsid w:val="554C1D56"/>
    <w:rsid w:val="555626B8"/>
    <w:rsid w:val="55572986"/>
    <w:rsid w:val="555B2034"/>
    <w:rsid w:val="559429DE"/>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1701DC"/>
    <w:rsid w:val="573878F3"/>
    <w:rsid w:val="573E766F"/>
    <w:rsid w:val="574014E1"/>
    <w:rsid w:val="578810DA"/>
    <w:rsid w:val="57A06A52"/>
    <w:rsid w:val="57B12A52"/>
    <w:rsid w:val="57C57C38"/>
    <w:rsid w:val="57DB745C"/>
    <w:rsid w:val="57DC0D06"/>
    <w:rsid w:val="57E44562"/>
    <w:rsid w:val="580544D9"/>
    <w:rsid w:val="58296419"/>
    <w:rsid w:val="583E1DE6"/>
    <w:rsid w:val="584349CD"/>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9102A6"/>
    <w:rsid w:val="5AB53F94"/>
    <w:rsid w:val="5AF820D3"/>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BC3D00"/>
    <w:rsid w:val="5D144BCD"/>
    <w:rsid w:val="5D1458EA"/>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96036"/>
    <w:rsid w:val="5EBC03F9"/>
    <w:rsid w:val="5EC24ED2"/>
    <w:rsid w:val="5EDA66BF"/>
    <w:rsid w:val="5EDB41E5"/>
    <w:rsid w:val="5F4104EC"/>
    <w:rsid w:val="5F561B72"/>
    <w:rsid w:val="5F7C6431"/>
    <w:rsid w:val="5F9A7BFD"/>
    <w:rsid w:val="5FA34D03"/>
    <w:rsid w:val="606007BB"/>
    <w:rsid w:val="606E7F86"/>
    <w:rsid w:val="6082700E"/>
    <w:rsid w:val="60AC7F66"/>
    <w:rsid w:val="60B60A66"/>
    <w:rsid w:val="60F13CE9"/>
    <w:rsid w:val="610C0686"/>
    <w:rsid w:val="611F03B9"/>
    <w:rsid w:val="614147D4"/>
    <w:rsid w:val="6151078F"/>
    <w:rsid w:val="615D17EC"/>
    <w:rsid w:val="615D4D5C"/>
    <w:rsid w:val="61646DF3"/>
    <w:rsid w:val="61831EE9"/>
    <w:rsid w:val="61BF10D9"/>
    <w:rsid w:val="61F45FE9"/>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B5D35"/>
    <w:rsid w:val="633B34A5"/>
    <w:rsid w:val="63413FAE"/>
    <w:rsid w:val="634560D1"/>
    <w:rsid w:val="63464323"/>
    <w:rsid w:val="634A36E8"/>
    <w:rsid w:val="63636DBE"/>
    <w:rsid w:val="637644DD"/>
    <w:rsid w:val="639E2C90"/>
    <w:rsid w:val="63A22BFD"/>
    <w:rsid w:val="63A454EE"/>
    <w:rsid w:val="63AE011A"/>
    <w:rsid w:val="63AF19A1"/>
    <w:rsid w:val="63B15515"/>
    <w:rsid w:val="63CB2A7A"/>
    <w:rsid w:val="63DA3299"/>
    <w:rsid w:val="64361383"/>
    <w:rsid w:val="64596999"/>
    <w:rsid w:val="648669A1"/>
    <w:rsid w:val="648A6492"/>
    <w:rsid w:val="648B0FD2"/>
    <w:rsid w:val="649410BE"/>
    <w:rsid w:val="64AC465A"/>
    <w:rsid w:val="64AD03D2"/>
    <w:rsid w:val="64D911C7"/>
    <w:rsid w:val="64DD1E43"/>
    <w:rsid w:val="64E45EF7"/>
    <w:rsid w:val="64F25DE5"/>
    <w:rsid w:val="65102E3B"/>
    <w:rsid w:val="65312DB1"/>
    <w:rsid w:val="65722F75"/>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372C18"/>
    <w:rsid w:val="6A495A99"/>
    <w:rsid w:val="6A633A0D"/>
    <w:rsid w:val="6A6634FD"/>
    <w:rsid w:val="6A694D9B"/>
    <w:rsid w:val="6A8E28BB"/>
    <w:rsid w:val="6ACB7804"/>
    <w:rsid w:val="6AE663EC"/>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E210EC"/>
    <w:rsid w:val="6DE76850"/>
    <w:rsid w:val="6DF210A0"/>
    <w:rsid w:val="6DF50874"/>
    <w:rsid w:val="6DFD1A82"/>
    <w:rsid w:val="6E4E22DE"/>
    <w:rsid w:val="6E557B10"/>
    <w:rsid w:val="6E930639"/>
    <w:rsid w:val="6EA14B04"/>
    <w:rsid w:val="6EAE7221"/>
    <w:rsid w:val="6EB57159"/>
    <w:rsid w:val="6ECF78C3"/>
    <w:rsid w:val="6ED44ED9"/>
    <w:rsid w:val="6EF52990"/>
    <w:rsid w:val="6EFC4430"/>
    <w:rsid w:val="6F152DFC"/>
    <w:rsid w:val="6F173018"/>
    <w:rsid w:val="6F3B4F58"/>
    <w:rsid w:val="6F51652A"/>
    <w:rsid w:val="6FB20BD4"/>
    <w:rsid w:val="6FBA59BE"/>
    <w:rsid w:val="6FE26134"/>
    <w:rsid w:val="6FE3569E"/>
    <w:rsid w:val="6FF11ABB"/>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D57472"/>
    <w:rsid w:val="72DF5BFA"/>
    <w:rsid w:val="72E871A5"/>
    <w:rsid w:val="72F1592E"/>
    <w:rsid w:val="73013DC3"/>
    <w:rsid w:val="734C5749"/>
    <w:rsid w:val="736600CA"/>
    <w:rsid w:val="739534EB"/>
    <w:rsid w:val="7399049F"/>
    <w:rsid w:val="739F35DC"/>
    <w:rsid w:val="73EF4563"/>
    <w:rsid w:val="74040BE9"/>
    <w:rsid w:val="74161AF0"/>
    <w:rsid w:val="74277859"/>
    <w:rsid w:val="74351F3A"/>
    <w:rsid w:val="744E4DF4"/>
    <w:rsid w:val="74546174"/>
    <w:rsid w:val="745F3497"/>
    <w:rsid w:val="74626AE3"/>
    <w:rsid w:val="749E50E9"/>
    <w:rsid w:val="74A964C0"/>
    <w:rsid w:val="74C80112"/>
    <w:rsid w:val="74D13AD5"/>
    <w:rsid w:val="74DF6386"/>
    <w:rsid w:val="74F82FA3"/>
    <w:rsid w:val="74FA2C30"/>
    <w:rsid w:val="750D133A"/>
    <w:rsid w:val="751A116C"/>
    <w:rsid w:val="75466405"/>
    <w:rsid w:val="754D5C4B"/>
    <w:rsid w:val="756B19C7"/>
    <w:rsid w:val="758331B5"/>
    <w:rsid w:val="75AD3D8E"/>
    <w:rsid w:val="75E2743D"/>
    <w:rsid w:val="760F67F7"/>
    <w:rsid w:val="76324AE9"/>
    <w:rsid w:val="763E0E8A"/>
    <w:rsid w:val="7645046A"/>
    <w:rsid w:val="765C7562"/>
    <w:rsid w:val="7662101C"/>
    <w:rsid w:val="76816FC9"/>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73E57"/>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17378"/>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5635</Words>
  <Characters>6068</Characters>
  <Lines>2041</Lines>
  <Paragraphs>2451</Paragraphs>
  <TotalTime>2</TotalTime>
  <ScaleCrop>false</ScaleCrop>
  <LinksUpToDate>false</LinksUpToDate>
  <CharactersWithSpaces>6172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2026-04-21T08:20:39Z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