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F3633">
      <w:pPr>
        <w:rPr>
          <w:rFonts w:hint="eastAsia" w:ascii="宋体" w:hAnsi="宋体" w:eastAsia="宋体" w:cs="宋体"/>
          <w:color w:val="auto"/>
          <w:sz w:val="52"/>
          <w:szCs w:val="52"/>
          <w:highlight w:val="none"/>
          <w:lang w:eastAsia="zh-CN" w:bidi="ar"/>
        </w:rPr>
      </w:pPr>
      <w:r>
        <w:rPr>
          <w:rFonts w:hint="eastAsia" w:ascii="宋体" w:hAnsi="宋体" w:eastAsia="宋体" w:cs="宋体"/>
          <w:color w:val="auto"/>
          <w:sz w:val="52"/>
          <w:szCs w:val="52"/>
          <w:highlight w:val="none"/>
          <w:lang w:eastAsia="zh-CN" w:bidi="ar"/>
        </w:rPr>
        <w:drawing>
          <wp:inline distT="0" distB="0" distL="114300" distR="114300">
            <wp:extent cx="6106795" cy="8637270"/>
            <wp:effectExtent l="0" t="0" r="8255" b="11430"/>
            <wp:docPr id="3" name="图片 3" descr="doc08026320260608155639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oc08026320260608155639_01"/>
                    <pic:cNvPicPr>
                      <a:picLocks noChangeAspect="1"/>
                    </pic:cNvPicPr>
                  </pic:nvPicPr>
                  <pic:blipFill>
                    <a:blip r:embed="rId16"/>
                    <a:stretch>
                      <a:fillRect/>
                    </a:stretch>
                  </pic:blipFill>
                  <pic:spPr>
                    <a:xfrm>
                      <a:off x="0" y="0"/>
                      <a:ext cx="6106795" cy="8637270"/>
                    </a:xfrm>
                    <a:prstGeom prst="rect">
                      <a:avLst/>
                    </a:prstGeom>
                  </pic:spPr>
                </pic:pic>
              </a:graphicData>
            </a:graphic>
          </wp:inline>
        </w:drawing>
      </w:r>
    </w:p>
    <w:p w14:paraId="788B4985">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lang w:bidi="ar"/>
        </w:rPr>
        <w:t>南宁市政府采购</w:t>
      </w:r>
    </w:p>
    <w:p w14:paraId="7C49363D">
      <w:pPr>
        <w:spacing w:before="165" w:beforeLines="50" w:line="360" w:lineRule="auto"/>
        <w:jc w:val="center"/>
        <w:rPr>
          <w:rFonts w:hint="eastAsia" w:ascii="宋体" w:hAnsi="宋体" w:eastAsia="宋体" w:cs="宋体"/>
          <w:color w:val="auto"/>
          <w:sz w:val="36"/>
          <w:szCs w:val="36"/>
          <w:highlight w:val="none"/>
        </w:rPr>
      </w:pPr>
    </w:p>
    <w:p w14:paraId="72757C1E">
      <w:pPr>
        <w:snapToGrid w:val="0"/>
        <w:spacing w:before="165"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s="华文新魏"/>
          <w:color w:val="auto"/>
          <w:sz w:val="72"/>
          <w:szCs w:val="72"/>
          <w:highlight w:val="none"/>
          <w:lang w:bidi="ar"/>
        </w:rPr>
        <w:t>竞争性磋商文件</w:t>
      </w:r>
    </w:p>
    <w:p w14:paraId="40FC665F">
      <w:pP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（全流程电子化评标）</w:t>
      </w:r>
    </w:p>
    <w:p w14:paraId="78387EAD">
      <w:pPr>
        <w:spacing w:line="360" w:lineRule="auto"/>
        <w:rPr>
          <w:rFonts w:hint="eastAsia" w:ascii="宋体" w:hAnsi="宋体" w:eastAsia="宋体" w:cs="宋体"/>
          <w:b/>
          <w:color w:val="auto"/>
          <w:sz w:val="32"/>
          <w:szCs w:val="32"/>
          <w:highlight w:val="none"/>
        </w:rPr>
      </w:pPr>
    </w:p>
    <w:p w14:paraId="11557951">
      <w:pPr>
        <w:spacing w:line="360" w:lineRule="auto"/>
        <w:jc w:val="center"/>
        <w:rPr>
          <w:rFonts w:hint="eastAsia" w:ascii="宋体" w:hAnsi="宋体" w:eastAsia="宋体" w:cs="宋体"/>
          <w:b/>
          <w:color w:val="auto"/>
          <w:sz w:val="32"/>
          <w:szCs w:val="32"/>
          <w:highlight w:val="none"/>
        </w:rPr>
      </w:pPr>
    </w:p>
    <w:p w14:paraId="4FE66563">
      <w:pPr>
        <w:pStyle w:val="18"/>
        <w:snapToGrid w:val="0"/>
        <w:spacing w:before="50" w:after="120" w:line="360" w:lineRule="auto"/>
        <w:ind w:left="2702" w:leftChars="568" w:hanging="1509" w:hangingChars="501"/>
        <w:rPr>
          <w:rFonts w:hint="eastAsia" w:ascii="仿宋_GB2312" w:hAnsi="宋体" w:eastAsia="仿宋_GB2312"/>
          <w:b/>
          <w:bCs/>
          <w:color w:val="auto"/>
          <w:sz w:val="30"/>
          <w:szCs w:val="30"/>
          <w:highlight w:val="none"/>
          <w:lang w:eastAsia="zh-CN"/>
        </w:rPr>
      </w:pPr>
      <w:r>
        <w:rPr>
          <w:rFonts w:ascii="仿宋_GB2312" w:hAnsi="宋体" w:eastAsia="仿宋_GB2312" w:cs="仿宋_GB2312"/>
          <w:b/>
          <w:bCs/>
          <w:color w:val="auto"/>
          <w:sz w:val="30"/>
          <w:szCs w:val="30"/>
          <w:highlight w:val="none"/>
        </w:rPr>
        <w:t>项目</w:t>
      </w:r>
      <w:r>
        <w:rPr>
          <w:rFonts w:ascii="仿宋_GB2312" w:hAnsi="宋体" w:eastAsia="仿宋_GB2312" w:cs="Courier New"/>
          <w:b/>
          <w:bCs/>
          <w:color w:val="auto"/>
          <w:w w:val="95"/>
          <w:sz w:val="30"/>
          <w:szCs w:val="30"/>
          <w:highlight w:val="none"/>
        </w:rPr>
        <w:t>名称</w:t>
      </w:r>
      <w:r>
        <w:rPr>
          <w:rFonts w:ascii="仿宋_GB2312" w:hAnsi="宋体" w:eastAsia="仿宋_GB2312" w:cs="仿宋_GB2312"/>
          <w:b/>
          <w:bCs/>
          <w:color w:val="auto"/>
          <w:sz w:val="30"/>
          <w:szCs w:val="30"/>
          <w:highlight w:val="none"/>
        </w:rPr>
        <w:t>：</w:t>
      </w:r>
      <w:r>
        <w:rPr>
          <w:rFonts w:hint="eastAsia" w:ascii="仿宋_GB2312" w:hAnsi="宋体" w:eastAsia="仿宋_GB2312"/>
          <w:b/>
          <w:bCs/>
          <w:color w:val="auto"/>
          <w:sz w:val="30"/>
          <w:szCs w:val="30"/>
          <w:highlight w:val="none"/>
          <w:lang w:eastAsia="zh-CN"/>
        </w:rPr>
        <w:t>昆仑镇九塘社区大塘坡水稻灌溉工程</w:t>
      </w:r>
    </w:p>
    <w:p w14:paraId="6A7DFCD9">
      <w:pPr>
        <w:pStyle w:val="18"/>
        <w:snapToGrid w:val="0"/>
        <w:spacing w:before="50" w:after="120" w:line="360" w:lineRule="auto"/>
        <w:ind w:firstLine="1193" w:firstLineChars="396"/>
        <w:rPr>
          <w:rFonts w:ascii="仿宋_GB2312" w:hAnsi="宋体" w:eastAsia="仿宋_GB2312" w:cs="仿宋_GB2312"/>
          <w:b/>
          <w:color w:val="auto"/>
          <w:kern w:val="2"/>
          <w:sz w:val="30"/>
          <w:szCs w:val="48"/>
          <w:highlight w:val="none"/>
          <w:lang w:bidi="ar"/>
        </w:rPr>
      </w:pPr>
      <w:r>
        <w:rPr>
          <w:rFonts w:ascii="仿宋_GB2312" w:hAnsi="宋体" w:eastAsia="仿宋_GB2312" w:cs="仿宋_GB2312"/>
          <w:b/>
          <w:color w:val="auto"/>
          <w:kern w:val="2"/>
          <w:sz w:val="30"/>
          <w:szCs w:val="48"/>
          <w:highlight w:val="none"/>
          <w:lang w:bidi="ar"/>
        </w:rPr>
        <w:t>项目编号：NNZC2026-C2-020038-GXXZ</w:t>
      </w:r>
    </w:p>
    <w:p w14:paraId="19FCDA21">
      <w:pPr>
        <w:pStyle w:val="18"/>
        <w:snapToGrid w:val="0"/>
        <w:spacing w:before="50" w:after="120" w:line="360" w:lineRule="auto"/>
        <w:ind w:firstLine="1193" w:firstLineChars="396"/>
        <w:rPr>
          <w:rFonts w:hint="eastAsia" w:ascii="仿宋_GB2312" w:hAnsi="宋体" w:eastAsia="仿宋_GB2312"/>
          <w:b/>
          <w:bCs/>
          <w:color w:val="auto"/>
          <w:sz w:val="30"/>
          <w:szCs w:val="30"/>
          <w:highlight w:val="none"/>
          <w:lang w:val="en-US" w:eastAsia="zh-CN"/>
        </w:rPr>
      </w:pPr>
      <w:r>
        <w:rPr>
          <w:rFonts w:ascii="仿宋_GB2312" w:hAnsi="宋体" w:eastAsia="仿宋_GB2312" w:cs="仿宋_GB2312"/>
          <w:b/>
          <w:color w:val="auto"/>
          <w:kern w:val="2"/>
          <w:sz w:val="30"/>
          <w:szCs w:val="48"/>
          <w:highlight w:val="none"/>
          <w:lang w:bidi="ar"/>
        </w:rPr>
        <w:t>项目所属区划：</w:t>
      </w:r>
      <w:r>
        <w:rPr>
          <w:rFonts w:ascii="仿宋_GB2312" w:hAnsi="宋体" w:eastAsia="仿宋_GB2312"/>
          <w:b/>
          <w:bCs/>
          <w:color w:val="auto"/>
          <w:sz w:val="30"/>
          <w:szCs w:val="30"/>
          <w:highlight w:val="none"/>
        </w:rPr>
        <w:t>南宁市</w:t>
      </w:r>
      <w:r>
        <w:rPr>
          <w:rFonts w:hint="eastAsia" w:ascii="仿宋_GB2312" w:hAnsi="宋体" w:eastAsia="仿宋_GB2312"/>
          <w:b/>
          <w:bCs/>
          <w:color w:val="auto"/>
          <w:sz w:val="30"/>
          <w:szCs w:val="30"/>
          <w:highlight w:val="none"/>
          <w:lang w:eastAsia="zh-CN"/>
        </w:rPr>
        <w:t>兴宁区</w:t>
      </w:r>
    </w:p>
    <w:p w14:paraId="3EC6B525">
      <w:pPr>
        <w:snapToGrid w:val="0"/>
        <w:spacing w:before="165" w:beforeLines="50" w:line="360" w:lineRule="auto"/>
        <w:ind w:firstLine="1205" w:firstLineChars="400"/>
        <w:rPr>
          <w:rFonts w:hint="eastAsia" w:ascii="仿宋_GB2312" w:hAnsi="宋体" w:eastAsia="仿宋_GB2312" w:cs="仿宋_GB2312"/>
          <w:b/>
          <w:color w:val="auto"/>
          <w:sz w:val="30"/>
          <w:szCs w:val="48"/>
          <w:highlight w:val="none"/>
        </w:rPr>
      </w:pPr>
    </w:p>
    <w:p w14:paraId="4F5DB0FB">
      <w:pPr>
        <w:pStyle w:val="18"/>
        <w:widowControl/>
        <w:snapToGrid w:val="0"/>
        <w:spacing w:before="50" w:after="120" w:line="360" w:lineRule="auto"/>
        <w:ind w:firstLine="1125" w:firstLineChars="393"/>
        <w:rPr>
          <w:rFonts w:hint="eastAsia" w:ascii="仿宋_GB2312" w:hAnsi="宋体" w:eastAsia="仿宋_GB2312"/>
          <w:b/>
          <w:bCs/>
          <w:color w:val="auto"/>
          <w:sz w:val="30"/>
          <w:szCs w:val="30"/>
          <w:highlight w:val="none"/>
          <w:lang w:eastAsia="zh-CN"/>
        </w:rPr>
      </w:pPr>
      <w:r>
        <w:rPr>
          <w:rFonts w:ascii="仿宋_GB2312" w:hAnsi="宋体" w:eastAsia="仿宋_GB2312" w:cs="仿宋_GB2312"/>
          <w:b/>
          <w:bCs/>
          <w:color w:val="auto"/>
          <w:w w:val="95"/>
          <w:sz w:val="30"/>
          <w:szCs w:val="30"/>
          <w:highlight w:val="none"/>
        </w:rPr>
        <w:t>采 购 人：</w:t>
      </w:r>
      <w:r>
        <w:rPr>
          <w:rFonts w:hint="eastAsia" w:ascii="仿宋_GB2312" w:hAnsi="宋体" w:eastAsia="仿宋_GB2312"/>
          <w:b/>
          <w:bCs/>
          <w:color w:val="auto"/>
          <w:sz w:val="30"/>
          <w:szCs w:val="30"/>
          <w:highlight w:val="none"/>
          <w:lang w:eastAsia="zh-CN"/>
        </w:rPr>
        <w:t>南宁市兴宁区昆仑镇人民政府</w:t>
      </w:r>
    </w:p>
    <w:p w14:paraId="62F48B4D">
      <w:pPr>
        <w:pStyle w:val="18"/>
        <w:widowControl/>
        <w:snapToGrid w:val="0"/>
        <w:spacing w:before="50" w:after="120" w:line="360" w:lineRule="auto"/>
        <w:ind w:firstLine="841" w:firstLineChars="294"/>
        <w:rPr>
          <w:rFonts w:ascii="仿宋_GB2312" w:hAnsi="宋体" w:eastAsia="仿宋_GB2312" w:cs="仿宋_GB2312"/>
          <w:b/>
          <w:bCs/>
          <w:color w:val="auto"/>
          <w:w w:val="95"/>
          <w:sz w:val="30"/>
          <w:szCs w:val="30"/>
          <w:highlight w:val="none"/>
        </w:rPr>
      </w:pPr>
      <w:r>
        <w:rPr>
          <w:rFonts w:ascii="仿宋_GB2312" w:hAnsi="宋体" w:eastAsia="仿宋_GB2312" w:cs="仿宋_GB2312"/>
          <w:b/>
          <w:bCs/>
          <w:color w:val="auto"/>
          <w:w w:val="95"/>
          <w:sz w:val="30"/>
          <w:szCs w:val="30"/>
          <w:highlight w:val="none"/>
        </w:rPr>
        <w:t>采购代理机构：</w:t>
      </w:r>
      <w:bookmarkStart w:id="0" w:name="PO_3000001866_PM031"/>
      <w:r>
        <w:rPr>
          <w:rFonts w:ascii="仿宋_GB2312" w:hAnsi="宋体" w:eastAsia="仿宋_GB2312" w:cs="仿宋_GB2312"/>
          <w:b/>
          <w:bCs/>
          <w:color w:val="auto"/>
          <w:w w:val="95"/>
          <w:sz w:val="30"/>
          <w:szCs w:val="30"/>
          <w:highlight w:val="none"/>
        </w:rPr>
        <w:t>广西翔正项目管理有限公司</w:t>
      </w:r>
      <w:bookmarkEnd w:id="0"/>
    </w:p>
    <w:p w14:paraId="45708B09">
      <w:pPr>
        <w:pStyle w:val="18"/>
        <w:widowControl/>
        <w:snapToGrid w:val="0"/>
        <w:spacing w:before="50" w:after="120" w:line="360" w:lineRule="auto"/>
        <w:ind w:firstLine="841" w:firstLineChars="294"/>
        <w:rPr>
          <w:rFonts w:ascii="仿宋_GB2312" w:hAnsi="宋体" w:eastAsia="仿宋_GB2312" w:cs="仿宋_GB2312"/>
          <w:b/>
          <w:bCs/>
          <w:color w:val="auto"/>
          <w:w w:val="95"/>
          <w:sz w:val="30"/>
          <w:szCs w:val="30"/>
          <w:highlight w:val="none"/>
        </w:rPr>
      </w:pPr>
      <w:r>
        <w:rPr>
          <w:rFonts w:ascii="仿宋_GB2312" w:hAnsi="宋体" w:eastAsia="仿宋_GB2312" w:cs="仿宋_GB2312"/>
          <w:b/>
          <w:bCs/>
          <w:color w:val="auto"/>
          <w:w w:val="95"/>
          <w:sz w:val="30"/>
          <w:szCs w:val="30"/>
          <w:highlight w:val="none"/>
        </w:rPr>
        <w:t xml:space="preserve">                   202</w:t>
      </w:r>
      <w:r>
        <w:rPr>
          <w:rFonts w:hint="eastAsia" w:ascii="仿宋_GB2312" w:hAnsi="宋体" w:eastAsia="仿宋_GB2312" w:cs="仿宋_GB2312"/>
          <w:b/>
          <w:bCs/>
          <w:color w:val="auto"/>
          <w:w w:val="95"/>
          <w:sz w:val="30"/>
          <w:szCs w:val="30"/>
          <w:highlight w:val="none"/>
          <w:lang w:val="en-US" w:eastAsia="zh-CN"/>
        </w:rPr>
        <w:t>6</w:t>
      </w:r>
      <w:r>
        <w:rPr>
          <w:rFonts w:ascii="仿宋_GB2312" w:hAnsi="宋体" w:eastAsia="仿宋_GB2312" w:cs="仿宋_GB2312"/>
          <w:b/>
          <w:bCs/>
          <w:color w:val="auto"/>
          <w:w w:val="95"/>
          <w:sz w:val="30"/>
          <w:szCs w:val="30"/>
          <w:highlight w:val="none"/>
        </w:rPr>
        <w:t xml:space="preserve"> 年</w:t>
      </w:r>
      <w:r>
        <w:rPr>
          <w:rFonts w:hint="eastAsia" w:ascii="仿宋_GB2312" w:hAnsi="宋体" w:eastAsia="仿宋_GB2312" w:cs="仿宋_GB2312"/>
          <w:b/>
          <w:bCs/>
          <w:color w:val="auto"/>
          <w:w w:val="95"/>
          <w:sz w:val="30"/>
          <w:szCs w:val="30"/>
          <w:highlight w:val="none"/>
          <w:lang w:val="en-US" w:eastAsia="zh-CN"/>
        </w:rPr>
        <w:t>6</w:t>
      </w:r>
      <w:r>
        <w:rPr>
          <w:rFonts w:ascii="仿宋_GB2312" w:hAnsi="宋体" w:eastAsia="仿宋_GB2312" w:cs="仿宋_GB2312"/>
          <w:b/>
          <w:bCs/>
          <w:color w:val="auto"/>
          <w:w w:val="95"/>
          <w:sz w:val="30"/>
          <w:szCs w:val="30"/>
          <w:highlight w:val="none"/>
        </w:rPr>
        <w:t>月</w:t>
      </w:r>
      <w:r>
        <w:rPr>
          <w:rFonts w:hint="eastAsia" w:ascii="仿宋_GB2312" w:hAnsi="宋体" w:eastAsia="仿宋_GB2312" w:cs="仿宋_GB2312"/>
          <w:b/>
          <w:bCs/>
          <w:color w:val="auto"/>
          <w:w w:val="95"/>
          <w:sz w:val="30"/>
          <w:szCs w:val="30"/>
          <w:highlight w:val="none"/>
          <w:lang w:val="en-US" w:eastAsia="zh-CN"/>
        </w:rPr>
        <w:t>8</w:t>
      </w:r>
      <w:r>
        <w:rPr>
          <w:rFonts w:ascii="仿宋_GB2312" w:hAnsi="宋体" w:eastAsia="仿宋_GB2312" w:cs="仿宋_GB2312"/>
          <w:b/>
          <w:bCs/>
          <w:color w:val="auto"/>
          <w:w w:val="95"/>
          <w:sz w:val="30"/>
          <w:szCs w:val="30"/>
          <w:highlight w:val="none"/>
        </w:rPr>
        <w:t>日</w:t>
      </w:r>
    </w:p>
    <w:p w14:paraId="0AFB2BEE">
      <w:pPr>
        <w:spacing w:line="360" w:lineRule="auto"/>
        <w:rPr>
          <w:rFonts w:hint="eastAsia" w:ascii="仿宋_GB2312" w:hAnsi="宋体" w:eastAsia="仿宋_GB2312" w:cs="Times New Roman"/>
          <w:b/>
          <w:bCs/>
          <w:color w:val="auto"/>
          <w:w w:val="95"/>
          <w:sz w:val="30"/>
          <w:szCs w:val="30"/>
          <w:highlight w:val="none"/>
          <w:lang w:bidi="ar"/>
        </w:rPr>
        <w:sectPr>
          <w:pgSz w:w="11906" w:h="16838"/>
          <w:pgMar w:top="1135" w:right="1135" w:bottom="1135" w:left="1135" w:header="720" w:footer="720" w:gutter="0"/>
          <w:pgNumType w:start="1"/>
          <w:cols w:space="425" w:num="1"/>
          <w:docGrid w:type="lines" w:linePitch="331" w:charSpace="0"/>
        </w:sectPr>
      </w:pPr>
    </w:p>
    <w:p w14:paraId="295359E3">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lang w:bidi="ar"/>
        </w:rPr>
        <w:t>目   录</w:t>
      </w:r>
    </w:p>
    <w:p w14:paraId="44747B00">
      <w:pPr>
        <w:spacing w:line="400" w:lineRule="exact"/>
        <w:jc w:val="center"/>
        <w:rPr>
          <w:rFonts w:hint="eastAsia" w:ascii="宋体" w:hAnsi="宋体" w:eastAsia="宋体" w:cs="宋体"/>
          <w:b/>
          <w:color w:val="auto"/>
          <w:sz w:val="44"/>
          <w:szCs w:val="44"/>
          <w:highlight w:val="none"/>
        </w:rPr>
      </w:pPr>
    </w:p>
    <w:p w14:paraId="2A11FBA4">
      <w:pPr>
        <w:pStyle w:val="23"/>
        <w:tabs>
          <w:tab w:val="right" w:leader="dot" w:pos="8879"/>
        </w:tabs>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_Toc15746 </w:instrText>
      </w:r>
      <w:r>
        <w:rPr>
          <w:rFonts w:hint="eastAsia" w:ascii="宋体" w:hAnsi="宋体" w:cs="宋体"/>
          <w:szCs w:val="30"/>
          <w:highlight w:val="none"/>
        </w:rPr>
        <w:fldChar w:fldCharType="separate"/>
      </w:r>
      <w:r>
        <w:rPr>
          <w:rFonts w:hint="eastAsia" w:cs="宋体"/>
          <w:highlight w:val="none"/>
        </w:rPr>
        <w:t>第一章</w:t>
      </w:r>
      <w:r>
        <w:rPr>
          <w:highlight w:val="none"/>
        </w:rPr>
        <w:t xml:space="preserve"> </w:t>
      </w:r>
      <w:r>
        <w:rPr>
          <w:rFonts w:hint="eastAsia" w:cs="宋体"/>
          <w:highlight w:val="none"/>
        </w:rPr>
        <w:t>竞争性磋商公告</w:t>
      </w:r>
      <w:r>
        <w:tab/>
      </w:r>
      <w:r>
        <w:fldChar w:fldCharType="begin"/>
      </w:r>
      <w:r>
        <w:instrText xml:space="preserve"> PAGEREF _Toc15746 \h </w:instrText>
      </w:r>
      <w:r>
        <w:fldChar w:fldCharType="separate"/>
      </w:r>
      <w:r>
        <w:t>1</w:t>
      </w:r>
      <w:r>
        <w:fldChar w:fldCharType="end"/>
      </w:r>
      <w:r>
        <w:rPr>
          <w:rFonts w:hint="eastAsia" w:ascii="宋体" w:hAnsi="宋体" w:cs="宋体"/>
          <w:color w:val="auto"/>
          <w:szCs w:val="30"/>
          <w:highlight w:val="none"/>
        </w:rPr>
        <w:fldChar w:fldCharType="end"/>
      </w:r>
    </w:p>
    <w:p w14:paraId="593BAA40">
      <w:pPr>
        <w:pStyle w:val="23"/>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_Toc26396 </w:instrText>
      </w:r>
      <w:r>
        <w:rPr>
          <w:rFonts w:hint="eastAsia" w:ascii="宋体" w:hAnsi="宋体" w:cs="宋体"/>
          <w:szCs w:val="30"/>
          <w:highlight w:val="none"/>
        </w:rPr>
        <w:fldChar w:fldCharType="separate"/>
      </w:r>
      <w:r>
        <w:rPr>
          <w:rFonts w:hint="eastAsia" w:ascii="Times New Roman" w:hAnsi="Times New Roman" w:eastAsia="宋体" w:cs="Times New Roman"/>
          <w:bCs/>
          <w:kern w:val="44"/>
          <w:szCs w:val="44"/>
          <w:highlight w:val="none"/>
          <w:lang w:val="en-US" w:eastAsia="zh-CN" w:bidi="ar-SA"/>
        </w:rPr>
        <w:t>第二章</w:t>
      </w:r>
      <w:r>
        <w:rPr>
          <w:rFonts w:hint="eastAsia" w:cs="Times New Roman"/>
          <w:bCs/>
          <w:kern w:val="44"/>
          <w:szCs w:val="44"/>
          <w:highlight w:val="none"/>
          <w:lang w:val="en-US" w:eastAsia="zh-CN" w:bidi="ar-SA"/>
        </w:rPr>
        <w:t xml:space="preserve"> </w:t>
      </w:r>
      <w:r>
        <w:rPr>
          <w:rFonts w:hint="eastAsia" w:ascii="Times New Roman" w:hAnsi="Times New Roman" w:eastAsia="宋体" w:cs="Times New Roman"/>
          <w:bCs/>
          <w:kern w:val="44"/>
          <w:szCs w:val="44"/>
          <w:highlight w:val="none"/>
          <w:lang w:val="en-US" w:eastAsia="zh-CN" w:bidi="ar-SA"/>
        </w:rPr>
        <w:t>采购需求</w:t>
      </w:r>
      <w:r>
        <w:tab/>
      </w:r>
      <w:r>
        <w:fldChar w:fldCharType="begin"/>
      </w:r>
      <w:r>
        <w:instrText xml:space="preserve"> PAGEREF _Toc26396 \h </w:instrText>
      </w:r>
      <w:r>
        <w:fldChar w:fldCharType="separate"/>
      </w:r>
      <w:r>
        <w:t>5</w:t>
      </w:r>
      <w:r>
        <w:fldChar w:fldCharType="end"/>
      </w:r>
      <w:r>
        <w:rPr>
          <w:rFonts w:hint="eastAsia" w:ascii="宋体" w:hAnsi="宋体" w:cs="宋体"/>
          <w:color w:val="auto"/>
          <w:szCs w:val="30"/>
          <w:highlight w:val="none"/>
        </w:rPr>
        <w:fldChar w:fldCharType="end"/>
      </w:r>
    </w:p>
    <w:p w14:paraId="71C5F1AC">
      <w:pPr>
        <w:pStyle w:val="23"/>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_Toc18108 </w:instrText>
      </w:r>
      <w:r>
        <w:rPr>
          <w:rFonts w:hint="eastAsia" w:ascii="宋体" w:hAnsi="宋体" w:cs="宋体"/>
          <w:szCs w:val="30"/>
          <w:highlight w:val="none"/>
        </w:rPr>
        <w:fldChar w:fldCharType="separate"/>
      </w:r>
      <w:r>
        <w:rPr>
          <w:rFonts w:hint="eastAsia" w:ascii="Cambria" w:hAnsi="Cambria" w:cs="宋体"/>
          <w:bCs w:val="0"/>
          <w:szCs w:val="32"/>
          <w:highlight w:val="none"/>
        </w:rPr>
        <w:t>第三章</w:t>
      </w:r>
      <w:r>
        <w:rPr>
          <w:rFonts w:ascii="Cambria" w:hAnsi="Cambria" w:eastAsia="Cambria" w:cs="Cambria"/>
          <w:bCs w:val="0"/>
          <w:szCs w:val="32"/>
          <w:highlight w:val="none"/>
        </w:rPr>
        <w:t xml:space="preserve"> </w:t>
      </w:r>
      <w:r>
        <w:rPr>
          <w:rFonts w:hint="eastAsia" w:ascii="Cambria" w:hAnsi="Cambria" w:cs="宋体"/>
          <w:bCs w:val="0"/>
          <w:szCs w:val="32"/>
          <w:highlight w:val="none"/>
        </w:rPr>
        <w:t>供应商须知</w:t>
      </w:r>
      <w:r>
        <w:tab/>
      </w:r>
      <w:r>
        <w:fldChar w:fldCharType="begin"/>
      </w:r>
      <w:r>
        <w:instrText xml:space="preserve"> PAGEREF _Toc18108 \h </w:instrText>
      </w:r>
      <w:r>
        <w:fldChar w:fldCharType="separate"/>
      </w:r>
      <w:r>
        <w:t>8</w:t>
      </w:r>
      <w:r>
        <w:fldChar w:fldCharType="end"/>
      </w:r>
      <w:r>
        <w:rPr>
          <w:rFonts w:hint="eastAsia" w:ascii="宋体" w:hAnsi="宋体" w:cs="宋体"/>
          <w:color w:val="auto"/>
          <w:szCs w:val="30"/>
          <w:highlight w:val="none"/>
        </w:rPr>
        <w:fldChar w:fldCharType="end"/>
      </w:r>
    </w:p>
    <w:p w14:paraId="05A5307A">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_Toc19719 </w:instrText>
      </w:r>
      <w:r>
        <w:rPr>
          <w:rFonts w:hint="eastAsia" w:ascii="宋体" w:hAnsi="宋体" w:cs="宋体"/>
          <w:szCs w:val="30"/>
          <w:highlight w:val="none"/>
        </w:rPr>
        <w:fldChar w:fldCharType="separate"/>
      </w:r>
      <w:r>
        <w:rPr>
          <w:rFonts w:hint="eastAsia" w:ascii="宋体" w:hAnsi="宋体" w:eastAsia="宋体" w:cs="宋体"/>
          <w:highlight w:val="none"/>
        </w:rPr>
        <w:t>第一节 供应商须知前附表</w:t>
      </w:r>
      <w:r>
        <w:tab/>
      </w:r>
      <w:r>
        <w:fldChar w:fldCharType="begin"/>
      </w:r>
      <w:r>
        <w:instrText xml:space="preserve"> PAGEREF _Toc19719 \h </w:instrText>
      </w:r>
      <w:r>
        <w:fldChar w:fldCharType="separate"/>
      </w:r>
      <w:r>
        <w:t>8</w:t>
      </w:r>
      <w:r>
        <w:fldChar w:fldCharType="end"/>
      </w:r>
      <w:r>
        <w:rPr>
          <w:rFonts w:hint="eastAsia" w:ascii="宋体" w:hAnsi="宋体" w:cs="宋体"/>
          <w:color w:val="auto"/>
          <w:szCs w:val="30"/>
          <w:highlight w:val="none"/>
        </w:rPr>
        <w:fldChar w:fldCharType="end"/>
      </w:r>
    </w:p>
    <w:p w14:paraId="211FF997">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_Toc23378 </w:instrText>
      </w:r>
      <w:r>
        <w:rPr>
          <w:rFonts w:hint="eastAsia" w:ascii="宋体" w:hAnsi="宋体" w:cs="宋体"/>
          <w:szCs w:val="30"/>
          <w:highlight w:val="none"/>
        </w:rPr>
        <w:fldChar w:fldCharType="separate"/>
      </w:r>
      <w:r>
        <w:rPr>
          <w:rFonts w:hint="eastAsia" w:ascii="宋体" w:hAnsi="宋体" w:eastAsia="宋体" w:cs="宋体"/>
          <w:highlight w:val="none"/>
        </w:rPr>
        <w:t>第二节 供应商须知正文</w:t>
      </w:r>
      <w:r>
        <w:tab/>
      </w:r>
      <w:r>
        <w:fldChar w:fldCharType="begin"/>
      </w:r>
      <w:r>
        <w:instrText xml:space="preserve"> PAGEREF _Toc23378 \h </w:instrText>
      </w:r>
      <w:r>
        <w:fldChar w:fldCharType="separate"/>
      </w:r>
      <w:r>
        <w:t>14</w:t>
      </w:r>
      <w:r>
        <w:fldChar w:fldCharType="end"/>
      </w:r>
      <w:r>
        <w:rPr>
          <w:rFonts w:hint="eastAsia" w:ascii="宋体" w:hAnsi="宋体" w:cs="宋体"/>
          <w:color w:val="auto"/>
          <w:szCs w:val="30"/>
          <w:highlight w:val="none"/>
        </w:rPr>
        <w:fldChar w:fldCharType="end"/>
      </w:r>
    </w:p>
    <w:p w14:paraId="1A077CA0">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_Toc23264 </w:instrText>
      </w:r>
      <w:r>
        <w:rPr>
          <w:rFonts w:hint="eastAsia" w:ascii="宋体" w:hAnsi="宋体" w:cs="宋体"/>
          <w:szCs w:val="30"/>
          <w:highlight w:val="none"/>
        </w:rPr>
        <w:fldChar w:fldCharType="separate"/>
      </w:r>
      <w:r>
        <w:rPr>
          <w:rFonts w:hint="eastAsia" w:ascii="宋体" w:hAnsi="宋体" w:cs="宋体"/>
          <w:highlight w:val="none"/>
        </w:rPr>
        <w:t>一、总则</w:t>
      </w:r>
      <w:r>
        <w:tab/>
      </w:r>
      <w:r>
        <w:fldChar w:fldCharType="begin"/>
      </w:r>
      <w:r>
        <w:instrText xml:space="preserve"> PAGEREF _Toc23264 \h </w:instrText>
      </w:r>
      <w:r>
        <w:fldChar w:fldCharType="separate"/>
      </w:r>
      <w:r>
        <w:t>14</w:t>
      </w:r>
      <w:r>
        <w:fldChar w:fldCharType="end"/>
      </w:r>
      <w:r>
        <w:rPr>
          <w:rFonts w:hint="eastAsia" w:ascii="宋体" w:hAnsi="宋体" w:cs="宋体"/>
          <w:color w:val="auto"/>
          <w:szCs w:val="30"/>
          <w:highlight w:val="none"/>
        </w:rPr>
        <w:fldChar w:fldCharType="end"/>
      </w:r>
    </w:p>
    <w:p w14:paraId="00716F65">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_Toc29463 </w:instrText>
      </w:r>
      <w:r>
        <w:rPr>
          <w:rFonts w:hint="eastAsia" w:ascii="宋体" w:hAnsi="宋体" w:cs="宋体"/>
          <w:szCs w:val="30"/>
          <w:highlight w:val="none"/>
        </w:rPr>
        <w:fldChar w:fldCharType="separate"/>
      </w:r>
      <w:r>
        <w:rPr>
          <w:rFonts w:hint="eastAsia" w:ascii="宋体" w:hAnsi="宋体" w:cs="宋体"/>
          <w:bCs w:val="0"/>
          <w:highlight w:val="none"/>
        </w:rPr>
        <w:t>二、磋商文件</w:t>
      </w:r>
      <w:r>
        <w:tab/>
      </w:r>
      <w:r>
        <w:fldChar w:fldCharType="begin"/>
      </w:r>
      <w:r>
        <w:instrText xml:space="preserve"> PAGEREF _Toc29463 \h </w:instrText>
      </w:r>
      <w:r>
        <w:fldChar w:fldCharType="separate"/>
      </w:r>
      <w:r>
        <w:t>17</w:t>
      </w:r>
      <w:r>
        <w:fldChar w:fldCharType="end"/>
      </w:r>
      <w:r>
        <w:rPr>
          <w:rFonts w:hint="eastAsia" w:ascii="宋体" w:hAnsi="宋体" w:cs="宋体"/>
          <w:color w:val="auto"/>
          <w:szCs w:val="30"/>
          <w:highlight w:val="none"/>
        </w:rPr>
        <w:fldChar w:fldCharType="end"/>
      </w:r>
    </w:p>
    <w:p w14:paraId="7A334F74">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_Toc25407 </w:instrText>
      </w:r>
      <w:r>
        <w:rPr>
          <w:rFonts w:hint="eastAsia" w:ascii="宋体" w:hAnsi="宋体" w:cs="宋体"/>
          <w:szCs w:val="30"/>
          <w:highlight w:val="none"/>
        </w:rPr>
        <w:fldChar w:fldCharType="separate"/>
      </w:r>
      <w:r>
        <w:rPr>
          <w:rFonts w:hint="eastAsia" w:ascii="宋体" w:hAnsi="宋体" w:cs="宋体"/>
          <w:bCs w:val="0"/>
          <w:highlight w:val="none"/>
        </w:rPr>
        <w:t>三、响应文件的编制</w:t>
      </w:r>
      <w:r>
        <w:tab/>
      </w:r>
      <w:r>
        <w:fldChar w:fldCharType="begin"/>
      </w:r>
      <w:r>
        <w:instrText xml:space="preserve"> PAGEREF _Toc25407 \h </w:instrText>
      </w:r>
      <w:r>
        <w:fldChar w:fldCharType="separate"/>
      </w:r>
      <w:r>
        <w:t>18</w:t>
      </w:r>
      <w:r>
        <w:fldChar w:fldCharType="end"/>
      </w:r>
      <w:r>
        <w:rPr>
          <w:rFonts w:hint="eastAsia" w:ascii="宋体" w:hAnsi="宋体" w:cs="宋体"/>
          <w:color w:val="auto"/>
          <w:szCs w:val="30"/>
          <w:highlight w:val="none"/>
        </w:rPr>
        <w:fldChar w:fldCharType="end"/>
      </w:r>
    </w:p>
    <w:p w14:paraId="42A77D2C">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_Toc12302 </w:instrText>
      </w:r>
      <w:r>
        <w:rPr>
          <w:rFonts w:hint="eastAsia" w:ascii="宋体" w:hAnsi="宋体" w:cs="宋体"/>
          <w:szCs w:val="30"/>
          <w:highlight w:val="none"/>
        </w:rPr>
        <w:fldChar w:fldCharType="separate"/>
      </w:r>
      <w:r>
        <w:rPr>
          <w:rFonts w:hint="eastAsia" w:ascii="宋体" w:hAnsi="宋体" w:cs="宋体"/>
          <w:bCs w:val="0"/>
          <w:highlight w:val="none"/>
        </w:rPr>
        <w:t>四、评审及磋商</w:t>
      </w:r>
      <w:r>
        <w:tab/>
      </w:r>
      <w:r>
        <w:fldChar w:fldCharType="begin"/>
      </w:r>
      <w:r>
        <w:instrText xml:space="preserve"> PAGEREF _Toc12302 \h </w:instrText>
      </w:r>
      <w:r>
        <w:fldChar w:fldCharType="separate"/>
      </w:r>
      <w:r>
        <w:t>20</w:t>
      </w:r>
      <w:r>
        <w:fldChar w:fldCharType="end"/>
      </w:r>
      <w:r>
        <w:rPr>
          <w:rFonts w:hint="eastAsia" w:ascii="宋体" w:hAnsi="宋体" w:cs="宋体"/>
          <w:color w:val="auto"/>
          <w:szCs w:val="30"/>
          <w:highlight w:val="none"/>
        </w:rPr>
        <w:fldChar w:fldCharType="end"/>
      </w:r>
    </w:p>
    <w:p w14:paraId="1820900A">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_Toc23231 </w:instrText>
      </w:r>
      <w:r>
        <w:rPr>
          <w:rFonts w:hint="eastAsia" w:ascii="宋体" w:hAnsi="宋体" w:cs="宋体"/>
          <w:szCs w:val="30"/>
          <w:highlight w:val="none"/>
        </w:rPr>
        <w:fldChar w:fldCharType="separate"/>
      </w:r>
      <w:r>
        <w:rPr>
          <w:rFonts w:hint="eastAsia" w:ascii="宋体" w:hAnsi="宋体" w:cs="宋体"/>
          <w:bCs w:val="0"/>
          <w:highlight w:val="none"/>
        </w:rPr>
        <w:t>五、成交及合同</w:t>
      </w:r>
      <w:r>
        <w:tab/>
      </w:r>
      <w:r>
        <w:fldChar w:fldCharType="begin"/>
      </w:r>
      <w:r>
        <w:instrText xml:space="preserve"> PAGEREF _Toc23231 \h </w:instrText>
      </w:r>
      <w:r>
        <w:fldChar w:fldCharType="separate"/>
      </w:r>
      <w:r>
        <w:t>21</w:t>
      </w:r>
      <w:r>
        <w:fldChar w:fldCharType="end"/>
      </w:r>
      <w:r>
        <w:rPr>
          <w:rFonts w:hint="eastAsia" w:ascii="宋体" w:hAnsi="宋体" w:cs="宋体"/>
          <w:color w:val="auto"/>
          <w:szCs w:val="30"/>
          <w:highlight w:val="none"/>
        </w:rPr>
        <w:fldChar w:fldCharType="end"/>
      </w:r>
    </w:p>
    <w:p w14:paraId="0497F410">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_Toc11391 </w:instrText>
      </w:r>
      <w:r>
        <w:rPr>
          <w:rFonts w:hint="eastAsia" w:ascii="宋体" w:hAnsi="宋体" w:cs="宋体"/>
          <w:szCs w:val="30"/>
          <w:highlight w:val="none"/>
        </w:rPr>
        <w:fldChar w:fldCharType="separate"/>
      </w:r>
      <w:r>
        <w:rPr>
          <w:rFonts w:hint="eastAsia" w:ascii="宋体" w:hAnsi="宋体" w:cs="宋体"/>
          <w:highlight w:val="none"/>
        </w:rPr>
        <w:t>六、验收</w:t>
      </w:r>
      <w:r>
        <w:tab/>
      </w:r>
      <w:r>
        <w:fldChar w:fldCharType="begin"/>
      </w:r>
      <w:r>
        <w:instrText xml:space="preserve"> PAGEREF _Toc11391 \h </w:instrText>
      </w:r>
      <w:r>
        <w:fldChar w:fldCharType="separate"/>
      </w:r>
      <w:r>
        <w:t>24</w:t>
      </w:r>
      <w:r>
        <w:fldChar w:fldCharType="end"/>
      </w:r>
      <w:r>
        <w:rPr>
          <w:rFonts w:hint="eastAsia" w:ascii="宋体" w:hAnsi="宋体" w:cs="宋体"/>
          <w:color w:val="auto"/>
          <w:szCs w:val="30"/>
          <w:highlight w:val="none"/>
        </w:rPr>
        <w:fldChar w:fldCharType="end"/>
      </w:r>
    </w:p>
    <w:p w14:paraId="4E3E8862">
      <w:pPr>
        <w:pStyle w:val="17"/>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_Toc29241 </w:instrText>
      </w:r>
      <w:r>
        <w:rPr>
          <w:rFonts w:hint="eastAsia" w:ascii="宋体" w:hAnsi="宋体" w:cs="宋体"/>
          <w:szCs w:val="30"/>
          <w:highlight w:val="none"/>
        </w:rPr>
        <w:fldChar w:fldCharType="separate"/>
      </w:r>
      <w:r>
        <w:rPr>
          <w:rFonts w:hint="eastAsia" w:ascii="宋体" w:hAnsi="宋体" w:cs="宋体"/>
          <w:bCs w:val="0"/>
          <w:highlight w:val="none"/>
        </w:rPr>
        <w:t>七、其他事项</w:t>
      </w:r>
      <w:r>
        <w:tab/>
      </w:r>
      <w:r>
        <w:fldChar w:fldCharType="begin"/>
      </w:r>
      <w:r>
        <w:instrText xml:space="preserve"> PAGEREF _Toc29241 \h </w:instrText>
      </w:r>
      <w:r>
        <w:fldChar w:fldCharType="separate"/>
      </w:r>
      <w:r>
        <w:t>25</w:t>
      </w:r>
      <w:r>
        <w:fldChar w:fldCharType="end"/>
      </w:r>
      <w:r>
        <w:rPr>
          <w:rFonts w:hint="eastAsia" w:ascii="宋体" w:hAnsi="宋体" w:cs="宋体"/>
          <w:color w:val="auto"/>
          <w:szCs w:val="30"/>
          <w:highlight w:val="none"/>
        </w:rPr>
        <w:fldChar w:fldCharType="end"/>
      </w:r>
    </w:p>
    <w:p w14:paraId="48829287">
      <w:pPr>
        <w:pStyle w:val="23"/>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_Toc7881 </w:instrText>
      </w:r>
      <w:r>
        <w:rPr>
          <w:rFonts w:hint="eastAsia" w:ascii="宋体" w:hAnsi="宋体" w:cs="宋体"/>
          <w:szCs w:val="30"/>
          <w:highlight w:val="none"/>
        </w:rPr>
        <w:fldChar w:fldCharType="separate"/>
      </w:r>
      <w:r>
        <w:rPr>
          <w:rFonts w:hint="eastAsia" w:cs="宋体"/>
          <w:highlight w:val="none"/>
        </w:rPr>
        <w:t>第四章</w:t>
      </w:r>
      <w:r>
        <w:rPr>
          <w:highlight w:val="none"/>
        </w:rPr>
        <w:t xml:space="preserve">  </w:t>
      </w:r>
      <w:r>
        <w:rPr>
          <w:rFonts w:hint="eastAsia" w:cs="宋体"/>
          <w:highlight w:val="none"/>
        </w:rPr>
        <w:t>评审程序、评审方法和评审标准</w:t>
      </w:r>
      <w:r>
        <w:tab/>
      </w:r>
      <w:r>
        <w:fldChar w:fldCharType="begin"/>
      </w:r>
      <w:r>
        <w:instrText xml:space="preserve"> PAGEREF _Toc7881 \h </w:instrText>
      </w:r>
      <w:r>
        <w:fldChar w:fldCharType="separate"/>
      </w:r>
      <w:r>
        <w:t>27</w:t>
      </w:r>
      <w:r>
        <w:fldChar w:fldCharType="end"/>
      </w:r>
      <w:r>
        <w:rPr>
          <w:rFonts w:hint="eastAsia" w:ascii="宋体" w:hAnsi="宋体" w:cs="宋体"/>
          <w:color w:val="auto"/>
          <w:szCs w:val="30"/>
          <w:highlight w:val="none"/>
        </w:rPr>
        <w:fldChar w:fldCharType="end"/>
      </w:r>
    </w:p>
    <w:p w14:paraId="44F87C03">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_Toc21460 </w:instrText>
      </w:r>
      <w:r>
        <w:rPr>
          <w:rFonts w:hint="eastAsia" w:ascii="宋体" w:hAnsi="宋体" w:cs="宋体"/>
          <w:szCs w:val="30"/>
          <w:highlight w:val="none"/>
        </w:rPr>
        <w:fldChar w:fldCharType="separate"/>
      </w:r>
      <w:r>
        <w:rPr>
          <w:rFonts w:hint="eastAsia" w:ascii="宋体" w:hAnsi="宋体" w:eastAsia="宋体" w:cs="宋体"/>
          <w:highlight w:val="none"/>
        </w:rPr>
        <w:t>第一节 评审程序和评审方法</w:t>
      </w:r>
      <w:r>
        <w:tab/>
      </w:r>
      <w:r>
        <w:fldChar w:fldCharType="begin"/>
      </w:r>
      <w:r>
        <w:instrText xml:space="preserve"> PAGEREF _Toc21460 \h </w:instrText>
      </w:r>
      <w:r>
        <w:fldChar w:fldCharType="separate"/>
      </w:r>
      <w:r>
        <w:t>27</w:t>
      </w:r>
      <w:r>
        <w:fldChar w:fldCharType="end"/>
      </w:r>
      <w:r>
        <w:rPr>
          <w:rFonts w:hint="eastAsia" w:ascii="宋体" w:hAnsi="宋体" w:cs="宋体"/>
          <w:color w:val="auto"/>
          <w:szCs w:val="30"/>
          <w:highlight w:val="none"/>
        </w:rPr>
        <w:fldChar w:fldCharType="end"/>
      </w:r>
    </w:p>
    <w:p w14:paraId="7D06B76B">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_Toc10416 </w:instrText>
      </w:r>
      <w:r>
        <w:rPr>
          <w:rFonts w:hint="eastAsia" w:ascii="宋体" w:hAnsi="宋体" w:cs="宋体"/>
          <w:szCs w:val="30"/>
          <w:highlight w:val="none"/>
        </w:rPr>
        <w:fldChar w:fldCharType="separate"/>
      </w:r>
      <w:r>
        <w:rPr>
          <w:rFonts w:hint="eastAsia" w:ascii="宋体" w:hAnsi="宋体" w:eastAsia="宋体" w:cs="宋体"/>
          <w:highlight w:val="none"/>
        </w:rPr>
        <w:t>第二节 评标报告</w:t>
      </w:r>
      <w:r>
        <w:tab/>
      </w:r>
      <w:r>
        <w:fldChar w:fldCharType="begin"/>
      </w:r>
      <w:r>
        <w:instrText xml:space="preserve"> PAGEREF _Toc10416 \h </w:instrText>
      </w:r>
      <w:r>
        <w:fldChar w:fldCharType="separate"/>
      </w:r>
      <w:r>
        <w:t>37</w:t>
      </w:r>
      <w:r>
        <w:fldChar w:fldCharType="end"/>
      </w:r>
      <w:r>
        <w:rPr>
          <w:rFonts w:hint="eastAsia" w:ascii="宋体" w:hAnsi="宋体" w:cs="宋体"/>
          <w:color w:val="auto"/>
          <w:szCs w:val="30"/>
          <w:highlight w:val="none"/>
        </w:rPr>
        <w:fldChar w:fldCharType="end"/>
      </w:r>
    </w:p>
    <w:p w14:paraId="3619CE23">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_Toc8593 </w:instrText>
      </w:r>
      <w:r>
        <w:rPr>
          <w:rFonts w:hint="eastAsia" w:ascii="宋体" w:hAnsi="宋体" w:cs="宋体"/>
          <w:szCs w:val="30"/>
          <w:highlight w:val="none"/>
        </w:rPr>
        <w:fldChar w:fldCharType="separate"/>
      </w:r>
      <w:r>
        <w:rPr>
          <w:rFonts w:hint="eastAsia" w:ascii="宋体" w:hAnsi="宋体" w:eastAsia="宋体" w:cs="宋体"/>
          <w:highlight w:val="none"/>
        </w:rPr>
        <w:t>第三节 评审过程的保密与录像</w:t>
      </w:r>
      <w:r>
        <w:tab/>
      </w:r>
      <w:r>
        <w:fldChar w:fldCharType="begin"/>
      </w:r>
      <w:r>
        <w:instrText xml:space="preserve"> PAGEREF _Toc8593 \h </w:instrText>
      </w:r>
      <w:r>
        <w:fldChar w:fldCharType="separate"/>
      </w:r>
      <w:r>
        <w:t>37</w:t>
      </w:r>
      <w:r>
        <w:fldChar w:fldCharType="end"/>
      </w:r>
      <w:r>
        <w:rPr>
          <w:rFonts w:hint="eastAsia" w:ascii="宋体" w:hAnsi="宋体" w:cs="宋体"/>
          <w:color w:val="auto"/>
          <w:szCs w:val="30"/>
          <w:highlight w:val="none"/>
        </w:rPr>
        <w:fldChar w:fldCharType="end"/>
      </w:r>
    </w:p>
    <w:p w14:paraId="629F191C">
      <w:pPr>
        <w:pStyle w:val="23"/>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_Toc5693 </w:instrText>
      </w:r>
      <w:r>
        <w:rPr>
          <w:rFonts w:hint="eastAsia" w:ascii="宋体" w:hAnsi="宋体" w:cs="宋体"/>
          <w:szCs w:val="30"/>
          <w:highlight w:val="none"/>
        </w:rPr>
        <w:fldChar w:fldCharType="separate"/>
      </w:r>
      <w:r>
        <w:rPr>
          <w:rFonts w:hint="eastAsia" w:cs="宋体"/>
          <w:highlight w:val="none"/>
        </w:rPr>
        <w:t>第五章</w:t>
      </w:r>
      <w:r>
        <w:rPr>
          <w:highlight w:val="none"/>
        </w:rPr>
        <w:t xml:space="preserve"> </w:t>
      </w:r>
      <w:r>
        <w:rPr>
          <w:rFonts w:hint="eastAsia" w:cs="宋体"/>
          <w:highlight w:val="none"/>
        </w:rPr>
        <w:t>响应文件格式</w:t>
      </w:r>
      <w:r>
        <w:tab/>
      </w:r>
      <w:r>
        <w:fldChar w:fldCharType="begin"/>
      </w:r>
      <w:r>
        <w:instrText xml:space="preserve"> PAGEREF _Toc5693 \h </w:instrText>
      </w:r>
      <w:r>
        <w:fldChar w:fldCharType="separate"/>
      </w:r>
      <w:r>
        <w:t>39</w:t>
      </w:r>
      <w:r>
        <w:fldChar w:fldCharType="end"/>
      </w:r>
      <w:r>
        <w:rPr>
          <w:rFonts w:hint="eastAsia" w:ascii="宋体" w:hAnsi="宋体" w:cs="宋体"/>
          <w:color w:val="auto"/>
          <w:szCs w:val="30"/>
          <w:highlight w:val="none"/>
        </w:rPr>
        <w:fldChar w:fldCharType="end"/>
      </w:r>
    </w:p>
    <w:p w14:paraId="3F9FFB3E">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_Toc2366 </w:instrText>
      </w:r>
      <w:r>
        <w:rPr>
          <w:rFonts w:hint="eastAsia" w:ascii="宋体" w:hAnsi="宋体" w:cs="宋体"/>
          <w:szCs w:val="30"/>
          <w:highlight w:val="none"/>
        </w:rPr>
        <w:fldChar w:fldCharType="separate"/>
      </w:r>
      <w:r>
        <w:rPr>
          <w:rFonts w:hint="eastAsia" w:ascii="宋体" w:hAnsi="宋体" w:eastAsia="宋体" w:cs="宋体"/>
          <w:highlight w:val="none"/>
        </w:rPr>
        <w:t>第一节 封面格式</w:t>
      </w:r>
      <w:r>
        <w:tab/>
      </w:r>
      <w:r>
        <w:fldChar w:fldCharType="begin"/>
      </w:r>
      <w:r>
        <w:instrText xml:space="preserve"> PAGEREF _Toc2366 \h </w:instrText>
      </w:r>
      <w:r>
        <w:fldChar w:fldCharType="separate"/>
      </w:r>
      <w:r>
        <w:t>40</w:t>
      </w:r>
      <w:r>
        <w:fldChar w:fldCharType="end"/>
      </w:r>
      <w:r>
        <w:rPr>
          <w:rFonts w:hint="eastAsia" w:ascii="宋体" w:hAnsi="宋体" w:cs="宋体"/>
          <w:color w:val="auto"/>
          <w:szCs w:val="30"/>
          <w:highlight w:val="none"/>
        </w:rPr>
        <w:fldChar w:fldCharType="end"/>
      </w:r>
    </w:p>
    <w:p w14:paraId="72BC06E4">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_Toc12386 </w:instrText>
      </w:r>
      <w:r>
        <w:rPr>
          <w:rFonts w:hint="eastAsia" w:ascii="宋体" w:hAnsi="宋体" w:cs="宋体"/>
          <w:szCs w:val="30"/>
          <w:highlight w:val="none"/>
        </w:rPr>
        <w:fldChar w:fldCharType="separate"/>
      </w:r>
      <w:r>
        <w:rPr>
          <w:rFonts w:hint="eastAsia" w:ascii="宋体" w:hAnsi="宋体" w:eastAsia="宋体" w:cs="宋体"/>
          <w:bCs w:val="0"/>
          <w:highlight w:val="none"/>
        </w:rPr>
        <w:t>第二节 资格证明文件格式</w:t>
      </w:r>
      <w:r>
        <w:tab/>
      </w:r>
      <w:r>
        <w:fldChar w:fldCharType="begin"/>
      </w:r>
      <w:r>
        <w:instrText xml:space="preserve"> PAGEREF _Toc12386 \h </w:instrText>
      </w:r>
      <w:r>
        <w:fldChar w:fldCharType="separate"/>
      </w:r>
      <w:r>
        <w:t>41</w:t>
      </w:r>
      <w:r>
        <w:fldChar w:fldCharType="end"/>
      </w:r>
      <w:r>
        <w:rPr>
          <w:rFonts w:hint="eastAsia" w:ascii="宋体" w:hAnsi="宋体" w:cs="宋体"/>
          <w:color w:val="auto"/>
          <w:szCs w:val="30"/>
          <w:highlight w:val="none"/>
        </w:rPr>
        <w:fldChar w:fldCharType="end"/>
      </w:r>
    </w:p>
    <w:p w14:paraId="331DA0E8">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_Toc8432 </w:instrText>
      </w:r>
      <w:r>
        <w:rPr>
          <w:rFonts w:hint="eastAsia" w:ascii="宋体" w:hAnsi="宋体" w:cs="宋体"/>
          <w:szCs w:val="30"/>
          <w:highlight w:val="none"/>
        </w:rPr>
        <w:fldChar w:fldCharType="separate"/>
      </w:r>
      <w:r>
        <w:rPr>
          <w:rFonts w:hint="eastAsia" w:ascii="宋体" w:hAnsi="宋体" w:eastAsia="宋体" w:cs="宋体"/>
          <w:bCs w:val="0"/>
          <w:highlight w:val="none"/>
        </w:rPr>
        <w:t xml:space="preserve">第三节 </w:t>
      </w:r>
      <w:r>
        <w:rPr>
          <w:rFonts w:hint="eastAsia" w:ascii="宋体" w:hAnsi="宋体" w:eastAsia="宋体" w:cs="宋体"/>
          <w:highlight w:val="none"/>
        </w:rPr>
        <w:t>商务技术文件格式</w:t>
      </w:r>
      <w:r>
        <w:tab/>
      </w:r>
      <w:r>
        <w:fldChar w:fldCharType="begin"/>
      </w:r>
      <w:r>
        <w:instrText xml:space="preserve"> PAGEREF _Toc8432 \h </w:instrText>
      </w:r>
      <w:r>
        <w:fldChar w:fldCharType="separate"/>
      </w:r>
      <w:r>
        <w:t>51</w:t>
      </w:r>
      <w:r>
        <w:fldChar w:fldCharType="end"/>
      </w:r>
      <w:r>
        <w:rPr>
          <w:rFonts w:hint="eastAsia" w:ascii="宋体" w:hAnsi="宋体" w:cs="宋体"/>
          <w:color w:val="auto"/>
          <w:szCs w:val="30"/>
          <w:highlight w:val="none"/>
        </w:rPr>
        <w:fldChar w:fldCharType="end"/>
      </w:r>
    </w:p>
    <w:p w14:paraId="7D661D73">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_Toc10756 </w:instrText>
      </w:r>
      <w:r>
        <w:rPr>
          <w:rFonts w:hint="eastAsia" w:ascii="宋体" w:hAnsi="宋体" w:cs="宋体"/>
          <w:szCs w:val="30"/>
          <w:highlight w:val="none"/>
        </w:rPr>
        <w:fldChar w:fldCharType="separate"/>
      </w:r>
      <w:r>
        <w:rPr>
          <w:rFonts w:hint="eastAsia" w:ascii="宋体" w:hAnsi="宋体" w:eastAsia="宋体" w:cs="宋体"/>
          <w:highlight w:val="none"/>
        </w:rPr>
        <w:t>第四节 报价文件格式</w:t>
      </w:r>
      <w:r>
        <w:tab/>
      </w:r>
      <w:r>
        <w:fldChar w:fldCharType="begin"/>
      </w:r>
      <w:r>
        <w:instrText xml:space="preserve"> PAGEREF _Toc10756 \h </w:instrText>
      </w:r>
      <w:r>
        <w:fldChar w:fldCharType="separate"/>
      </w:r>
      <w:r>
        <w:t>79</w:t>
      </w:r>
      <w:r>
        <w:fldChar w:fldCharType="end"/>
      </w:r>
      <w:r>
        <w:rPr>
          <w:rFonts w:hint="eastAsia" w:ascii="宋体" w:hAnsi="宋体" w:cs="宋体"/>
          <w:color w:val="auto"/>
          <w:szCs w:val="30"/>
          <w:highlight w:val="none"/>
        </w:rPr>
        <w:fldChar w:fldCharType="end"/>
      </w:r>
    </w:p>
    <w:p w14:paraId="4DF691AB">
      <w:pPr>
        <w:pStyle w:val="27"/>
        <w:tabs>
          <w:tab w:val="right" w:leader="dot" w:pos="8879"/>
          <w:tab w:val="clear" w:pos="8296"/>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_Toc6270 </w:instrText>
      </w:r>
      <w:r>
        <w:rPr>
          <w:rFonts w:hint="eastAsia" w:ascii="宋体" w:hAnsi="宋体" w:cs="宋体"/>
          <w:szCs w:val="30"/>
          <w:highlight w:val="none"/>
        </w:rPr>
        <w:fldChar w:fldCharType="separate"/>
      </w:r>
      <w:r>
        <w:rPr>
          <w:rFonts w:hint="eastAsia" w:ascii="宋体" w:hAnsi="宋体" w:eastAsia="宋体" w:cs="宋体"/>
          <w:highlight w:val="none"/>
        </w:rPr>
        <w:t>第五节 其他文书、文件格式</w:t>
      </w:r>
      <w:r>
        <w:tab/>
      </w:r>
      <w:r>
        <w:fldChar w:fldCharType="begin"/>
      </w:r>
      <w:r>
        <w:instrText xml:space="preserve"> PAGEREF _Toc6270 \h </w:instrText>
      </w:r>
      <w:r>
        <w:fldChar w:fldCharType="separate"/>
      </w:r>
      <w:r>
        <w:t>86</w:t>
      </w:r>
      <w:r>
        <w:fldChar w:fldCharType="end"/>
      </w:r>
      <w:r>
        <w:rPr>
          <w:rFonts w:hint="eastAsia" w:ascii="宋体" w:hAnsi="宋体" w:cs="宋体"/>
          <w:color w:val="auto"/>
          <w:szCs w:val="30"/>
          <w:highlight w:val="none"/>
        </w:rPr>
        <w:fldChar w:fldCharType="end"/>
      </w:r>
    </w:p>
    <w:p w14:paraId="65532365">
      <w:pPr>
        <w:pStyle w:val="23"/>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_Toc8734 </w:instrText>
      </w:r>
      <w:r>
        <w:rPr>
          <w:rFonts w:hint="eastAsia" w:ascii="宋体" w:hAnsi="宋体" w:cs="宋体"/>
          <w:szCs w:val="30"/>
          <w:highlight w:val="none"/>
        </w:rPr>
        <w:fldChar w:fldCharType="separate"/>
      </w:r>
      <w:r>
        <w:rPr>
          <w:rFonts w:hint="eastAsia" w:ascii="宋体" w:hAnsi="宋体" w:cs="宋体"/>
          <w:bCs w:val="0"/>
          <w:highlight w:val="none"/>
        </w:rPr>
        <w:t>第六章  合同文本</w:t>
      </w:r>
      <w:r>
        <w:tab/>
      </w:r>
      <w:r>
        <w:fldChar w:fldCharType="begin"/>
      </w:r>
      <w:r>
        <w:instrText xml:space="preserve"> PAGEREF _Toc8734 \h </w:instrText>
      </w:r>
      <w:r>
        <w:fldChar w:fldCharType="separate"/>
      </w:r>
      <w:r>
        <w:t>87</w:t>
      </w:r>
      <w:r>
        <w:fldChar w:fldCharType="end"/>
      </w:r>
      <w:r>
        <w:rPr>
          <w:rFonts w:hint="eastAsia" w:ascii="宋体" w:hAnsi="宋体" w:cs="宋体"/>
          <w:color w:val="auto"/>
          <w:szCs w:val="30"/>
          <w:highlight w:val="none"/>
        </w:rPr>
        <w:fldChar w:fldCharType="end"/>
      </w:r>
    </w:p>
    <w:p w14:paraId="0622247B">
      <w:pPr>
        <w:pStyle w:val="23"/>
        <w:tabs>
          <w:tab w:val="right" w:leader="dot" w:pos="8879"/>
        </w:tabs>
      </w:pPr>
      <w:r>
        <w:rPr>
          <w:rFonts w:hint="eastAsia" w:ascii="宋体" w:hAnsi="宋体" w:cs="宋体"/>
          <w:color w:val="auto"/>
          <w:szCs w:val="30"/>
          <w:highlight w:val="none"/>
        </w:rPr>
        <w:fldChar w:fldCharType="begin"/>
      </w:r>
      <w:r>
        <w:rPr>
          <w:rFonts w:hint="eastAsia" w:ascii="宋体" w:hAnsi="宋体" w:cs="宋体"/>
          <w:szCs w:val="30"/>
          <w:highlight w:val="none"/>
        </w:rPr>
        <w:instrText xml:space="preserve"> HYPERLINK \l _Toc28555 </w:instrText>
      </w:r>
      <w:r>
        <w:rPr>
          <w:rFonts w:hint="eastAsia" w:ascii="宋体" w:hAnsi="宋体" w:cs="宋体"/>
          <w:szCs w:val="30"/>
          <w:highlight w:val="none"/>
        </w:rPr>
        <w:fldChar w:fldCharType="separate"/>
      </w:r>
      <w:r>
        <w:rPr>
          <w:rFonts w:hint="eastAsia" w:ascii="宋体" w:hAnsi="宋体" w:cs="仿宋_GB2312"/>
          <w:highlight w:val="none"/>
        </w:rPr>
        <w:t>第七章 质疑、投诉材料格式</w:t>
      </w:r>
      <w:r>
        <w:tab/>
      </w:r>
      <w:r>
        <w:fldChar w:fldCharType="begin"/>
      </w:r>
      <w:r>
        <w:instrText xml:space="preserve"> PAGEREF _Toc28555 \h </w:instrText>
      </w:r>
      <w:r>
        <w:fldChar w:fldCharType="separate"/>
      </w:r>
      <w:r>
        <w:t>150</w:t>
      </w:r>
      <w:r>
        <w:fldChar w:fldCharType="end"/>
      </w:r>
      <w:r>
        <w:rPr>
          <w:rFonts w:hint="eastAsia" w:ascii="宋体" w:hAnsi="宋体" w:cs="宋体"/>
          <w:color w:val="auto"/>
          <w:szCs w:val="30"/>
          <w:highlight w:val="none"/>
        </w:rPr>
        <w:fldChar w:fldCharType="end"/>
      </w:r>
    </w:p>
    <w:p w14:paraId="7A30F695">
      <w:pPr>
        <w:pStyle w:val="27"/>
        <w:widowControl/>
        <w:rPr>
          <w:color w:val="auto"/>
          <w:sz w:val="28"/>
          <w:szCs w:val="28"/>
          <w:highlight w:val="none"/>
        </w:rPr>
      </w:pPr>
      <w:r>
        <w:rPr>
          <w:rFonts w:hint="eastAsia" w:ascii="宋体" w:hAnsi="宋体" w:cs="宋体"/>
          <w:color w:val="auto"/>
          <w:szCs w:val="30"/>
          <w:highlight w:val="none"/>
        </w:rPr>
        <w:fldChar w:fldCharType="end"/>
      </w:r>
    </w:p>
    <w:p w14:paraId="45AF19CB">
      <w:pPr>
        <w:tabs>
          <w:tab w:val="left" w:pos="7470"/>
        </w:tabs>
        <w:spacing w:line="400" w:lineRule="exact"/>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bidi="ar"/>
        </w:rPr>
        <w:tab/>
      </w:r>
    </w:p>
    <w:p w14:paraId="25FEF6BB">
      <w:pPr>
        <w:rPr>
          <w:rFonts w:hint="eastAsia" w:ascii="宋体" w:hAnsi="宋体" w:eastAsia="宋体" w:cs="Times New Roman"/>
          <w:b/>
          <w:color w:val="auto"/>
          <w:sz w:val="32"/>
          <w:szCs w:val="32"/>
          <w:highlight w:val="none"/>
          <w:lang w:bidi="ar"/>
        </w:rPr>
        <w:sectPr>
          <w:pgSz w:w="11906" w:h="16838"/>
          <w:pgMar w:top="1440" w:right="1440" w:bottom="1440" w:left="1587" w:header="851" w:footer="992" w:gutter="0"/>
          <w:pgNumType w:start="0"/>
          <w:cols w:space="425" w:num="1"/>
          <w:docGrid w:type="lines" w:linePitch="312" w:charSpace="0"/>
        </w:sectPr>
      </w:pPr>
    </w:p>
    <w:p w14:paraId="143F7B24">
      <w:pPr>
        <w:pStyle w:val="2"/>
        <w:keepNext/>
        <w:keepLines/>
        <w:pageBreakBefore w:val="0"/>
        <w:widowControl/>
        <w:kinsoku/>
        <w:wordWrap/>
        <w:overflowPunct/>
        <w:topLinePunct w:val="0"/>
        <w:autoSpaceDE/>
        <w:autoSpaceDN/>
        <w:bidi w:val="0"/>
        <w:adjustRightInd/>
        <w:snapToGrid/>
        <w:spacing w:before="0" w:after="0" w:line="360" w:lineRule="auto"/>
        <w:jc w:val="center"/>
        <w:textAlignment w:val="auto"/>
        <w:rPr>
          <w:color w:val="auto"/>
          <w:highlight w:val="none"/>
        </w:rPr>
      </w:pPr>
      <w:bookmarkStart w:id="1" w:name="_Toc15746"/>
      <w:r>
        <w:rPr>
          <w:rFonts w:hint="eastAsia" w:cs="宋体"/>
          <w:color w:val="auto"/>
          <w:highlight w:val="none"/>
        </w:rPr>
        <w:t>第一章</w:t>
      </w:r>
      <w:r>
        <w:rPr>
          <w:color w:val="auto"/>
          <w:highlight w:val="none"/>
        </w:rPr>
        <w:t xml:space="preserve"> </w:t>
      </w:r>
      <w:r>
        <w:rPr>
          <w:rFonts w:hint="eastAsia" w:cs="宋体"/>
          <w:color w:val="auto"/>
          <w:highlight w:val="none"/>
        </w:rPr>
        <w:t>竞争性磋商公告</w:t>
      </w:r>
      <w:bookmarkEnd w:id="1"/>
      <w:bookmarkStart w:id="2" w:name="_Toc44229878"/>
      <w:bookmarkStart w:id="3" w:name="_Toc28359089"/>
      <w:bookmarkStart w:id="4" w:name="_Toc35393798"/>
      <w:bookmarkStart w:id="5" w:name="_Toc35393629"/>
      <w:bookmarkStart w:id="6" w:name="_Toc28359012"/>
      <w:bookmarkStart w:id="7" w:name="_Toc35393623"/>
      <w:bookmarkStart w:id="8" w:name="_Toc28359004"/>
      <w:bookmarkStart w:id="9" w:name="_Toc28359081"/>
      <w:bookmarkStart w:id="10" w:name="_Toc35393792"/>
    </w:p>
    <w:p w14:paraId="69873B1F">
      <w:pPr>
        <w:spacing w:line="360" w:lineRule="auto"/>
        <w:ind w:firstLine="480" w:firstLineChars="200"/>
        <w:rPr>
          <w:rFonts w:hint="eastAsia" w:ascii="黑体" w:hAnsi="宋体" w:eastAsia="黑体" w:cs="宋体"/>
          <w:bCs/>
          <w:color w:val="auto"/>
          <w:sz w:val="24"/>
          <w:highlight w:val="none"/>
          <w:lang w:bidi="ar"/>
        </w:rPr>
      </w:pPr>
    </w:p>
    <w:bookmarkEnd w:id="2"/>
    <w:bookmarkEnd w:id="3"/>
    <w:bookmarkEnd w:id="4"/>
    <w:bookmarkEnd w:id="5"/>
    <w:bookmarkEnd w:id="6"/>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5"/>
      </w:tblGrid>
      <w:tr w14:paraId="49DD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5" w:type="dxa"/>
          </w:tcPr>
          <w:p w14:paraId="7AF96CBD">
            <w:pPr>
              <w:pStyle w:val="28"/>
              <w:widowControl/>
              <w:rPr>
                <w:rFonts w:hint="eastAsia" w:ascii="宋体" w:hAnsi="宋体" w:cs="宋体"/>
                <w:color w:val="auto"/>
                <w:kern w:val="2"/>
                <w:sz w:val="21"/>
                <w:szCs w:val="21"/>
                <w:highlight w:val="none"/>
                <w:lang w:bidi="ar"/>
              </w:rPr>
            </w:pPr>
            <w:r>
              <w:rPr>
                <w:rFonts w:hint="eastAsia" w:ascii="宋体" w:hAnsi="宋体" w:cs="宋体"/>
                <w:color w:val="auto"/>
                <w:kern w:val="2"/>
                <w:sz w:val="21"/>
                <w:szCs w:val="21"/>
                <w:highlight w:val="none"/>
                <w:lang w:bidi="ar"/>
              </w:rPr>
              <w:t xml:space="preserve">项目概况 </w:t>
            </w:r>
          </w:p>
          <w:p w14:paraId="3A03FF3B">
            <w:pPr>
              <w:spacing w:line="360" w:lineRule="auto"/>
              <w:ind w:firstLine="420" w:firstLineChars="200"/>
              <w:rPr>
                <w:rFonts w:hint="eastAsia" w:ascii="黑体" w:hAnsi="宋体" w:eastAsia="黑体" w:cs="宋体"/>
                <w:b/>
                <w:color w:val="auto"/>
                <w:kern w:val="44"/>
                <w:sz w:val="24"/>
                <w:highlight w:val="none"/>
                <w:vertAlign w:val="baseline"/>
                <w:lang w:val="en-US" w:eastAsia="zh-CN" w:bidi="ar"/>
              </w:rPr>
            </w:pPr>
            <w:r>
              <w:rPr>
                <w:rFonts w:hint="eastAsia" w:ascii="宋体" w:hAnsi="宋体" w:eastAsia="宋体" w:cs="宋体"/>
                <w:color w:val="auto"/>
                <w:szCs w:val="21"/>
                <w:highlight w:val="none"/>
                <w:u w:val="single"/>
                <w:lang w:eastAsia="zh-CN" w:bidi="ar"/>
              </w:rPr>
              <w:t>昆仑镇九塘社区大塘坡水稻灌溉工程</w:t>
            </w:r>
            <w:r>
              <w:rPr>
                <w:rFonts w:hint="eastAsia" w:ascii="宋体" w:hAnsi="宋体" w:eastAsia="宋体" w:cs="宋体"/>
                <w:color w:val="auto"/>
                <w:szCs w:val="21"/>
                <w:highlight w:val="none"/>
                <w:u w:val="single"/>
                <w:lang w:bidi="ar"/>
              </w:rPr>
              <w:t>采购项目</w:t>
            </w:r>
            <w:r>
              <w:rPr>
                <w:rFonts w:hint="eastAsia" w:ascii="宋体" w:hAnsi="宋体" w:eastAsia="宋体" w:cs="宋体"/>
                <w:color w:val="auto"/>
                <w:szCs w:val="21"/>
                <w:highlight w:val="none"/>
                <w:lang w:bidi="ar"/>
              </w:rPr>
              <w:t>的潜在供应商应在广西政府采购云平台线上获取获取采购文件，并于</w:t>
            </w:r>
            <w:r>
              <w:rPr>
                <w:rFonts w:hint="eastAsia" w:ascii="宋体" w:hAnsi="宋体" w:eastAsia="宋体" w:cs="宋体"/>
                <w:color w:val="auto"/>
                <w:szCs w:val="21"/>
                <w:highlight w:val="none"/>
                <w:u w:val="single"/>
                <w:lang w:bidi="ar"/>
              </w:rPr>
              <w:t>202</w:t>
            </w:r>
            <w:r>
              <w:rPr>
                <w:rFonts w:hint="eastAsia" w:ascii="宋体" w:hAnsi="宋体" w:eastAsia="宋体" w:cs="宋体"/>
                <w:color w:val="auto"/>
                <w:szCs w:val="21"/>
                <w:highlight w:val="none"/>
                <w:u w:val="single"/>
                <w:lang w:val="en-US" w:eastAsia="zh-CN" w:bidi="ar"/>
              </w:rPr>
              <w:t>6</w:t>
            </w:r>
            <w:r>
              <w:rPr>
                <w:rFonts w:hint="eastAsia" w:ascii="宋体" w:hAnsi="宋体" w:eastAsia="宋体" w:cs="宋体"/>
                <w:color w:val="auto"/>
                <w:szCs w:val="21"/>
                <w:highlight w:val="none"/>
                <w:u w:val="single"/>
                <w:lang w:bidi="ar"/>
              </w:rPr>
              <w:t>年</w:t>
            </w:r>
            <w:r>
              <w:rPr>
                <w:rFonts w:hint="eastAsia" w:ascii="宋体" w:hAnsi="宋体" w:eastAsia="宋体" w:cs="宋体"/>
                <w:color w:val="auto"/>
                <w:szCs w:val="21"/>
                <w:highlight w:val="none"/>
                <w:u w:val="single"/>
                <w:lang w:val="en-US" w:eastAsia="zh-CN" w:bidi="ar"/>
              </w:rPr>
              <w:t xml:space="preserve"> 6</w:t>
            </w:r>
            <w:r>
              <w:rPr>
                <w:rFonts w:hint="eastAsia" w:ascii="宋体" w:hAnsi="宋体" w:eastAsia="宋体" w:cs="宋体"/>
                <w:color w:val="auto"/>
                <w:szCs w:val="21"/>
                <w:highlight w:val="none"/>
                <w:u w:val="single"/>
                <w:lang w:bidi="ar"/>
              </w:rPr>
              <w:t>月</w:t>
            </w:r>
            <w:r>
              <w:rPr>
                <w:rFonts w:hint="eastAsia" w:ascii="宋体" w:hAnsi="宋体" w:eastAsia="宋体" w:cs="宋体"/>
                <w:color w:val="auto"/>
                <w:szCs w:val="21"/>
                <w:highlight w:val="none"/>
                <w:u w:val="single"/>
                <w:lang w:val="en-US" w:eastAsia="zh-CN" w:bidi="ar"/>
              </w:rPr>
              <w:t>22</w:t>
            </w:r>
            <w:r>
              <w:rPr>
                <w:rFonts w:hint="eastAsia" w:ascii="宋体" w:hAnsi="宋体" w:eastAsia="宋体" w:cs="宋体"/>
                <w:color w:val="auto"/>
                <w:szCs w:val="21"/>
                <w:highlight w:val="none"/>
                <w:u w:val="single"/>
                <w:lang w:bidi="ar"/>
              </w:rPr>
              <w:t>日 09:30</w:t>
            </w:r>
            <w:r>
              <w:rPr>
                <w:rFonts w:hint="eastAsia" w:ascii="宋体" w:hAnsi="宋体" w:eastAsia="宋体" w:cs="宋体"/>
                <w:color w:val="auto"/>
                <w:szCs w:val="21"/>
                <w:highlight w:val="none"/>
                <w:lang w:bidi="ar"/>
              </w:rPr>
              <w:t>（北京时间）前提交响应文件。</w:t>
            </w:r>
          </w:p>
        </w:tc>
      </w:tr>
    </w:tbl>
    <w:p w14:paraId="0D4EA84F">
      <w:pPr>
        <w:spacing w:line="360" w:lineRule="auto"/>
        <w:rPr>
          <w:rFonts w:hint="eastAsia" w:ascii="黑体" w:hAnsi="宋体" w:eastAsia="黑体" w:cs="宋体"/>
          <w:b/>
          <w:color w:val="auto"/>
          <w:kern w:val="44"/>
          <w:sz w:val="24"/>
          <w:highlight w:val="none"/>
          <w:lang w:val="en-US" w:eastAsia="zh-CN" w:bidi="ar"/>
        </w:rPr>
      </w:pPr>
      <w:r>
        <w:rPr>
          <w:rFonts w:hint="eastAsia" w:ascii="黑体" w:hAnsi="宋体" w:eastAsia="黑体" w:cs="宋体"/>
          <w:b/>
          <w:color w:val="auto"/>
          <w:kern w:val="44"/>
          <w:sz w:val="24"/>
          <w:highlight w:val="none"/>
          <w:lang w:val="en-US" w:eastAsia="zh-CN" w:bidi="ar"/>
        </w:rPr>
        <w:t>一、基本情况</w:t>
      </w:r>
    </w:p>
    <w:p w14:paraId="305B4AA9">
      <w:pPr>
        <w:spacing w:line="360" w:lineRule="auto"/>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1、项目编号：</w:t>
      </w:r>
      <w:r>
        <w:rPr>
          <w:rFonts w:ascii="宋体" w:hAnsi="宋体" w:eastAsia="宋体" w:cs="宋体"/>
          <w:color w:val="auto"/>
          <w:sz w:val="24"/>
          <w:szCs w:val="24"/>
          <w:highlight w:val="none"/>
        </w:rPr>
        <w:t>NNZC2026-C2-020038-GXXZ</w:t>
      </w:r>
    </w:p>
    <w:p w14:paraId="167F2EF1">
      <w:pPr>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bidi="ar"/>
        </w:rPr>
        <w:t>2.项目名称：</w:t>
      </w:r>
      <w:r>
        <w:rPr>
          <w:rFonts w:hint="eastAsia" w:ascii="宋体" w:hAnsi="宋体" w:eastAsia="宋体" w:cs="宋体"/>
          <w:color w:val="auto"/>
          <w:szCs w:val="21"/>
          <w:highlight w:val="none"/>
          <w:lang w:eastAsia="zh-CN" w:bidi="ar"/>
        </w:rPr>
        <w:t>昆仑镇九塘社区大塘坡水稻灌溉工程</w:t>
      </w:r>
    </w:p>
    <w:p w14:paraId="5D258535">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3.采购方式：竞争性磋商</w:t>
      </w:r>
    </w:p>
    <w:p w14:paraId="1B6BBED6">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4.预算金额：</w:t>
      </w:r>
      <w:r>
        <w:rPr>
          <w:rFonts w:hint="eastAsia" w:ascii="宋体" w:hAnsi="宋体" w:eastAsia="宋体" w:cs="宋体"/>
          <w:color w:val="auto"/>
          <w:szCs w:val="21"/>
          <w:highlight w:val="none"/>
          <w:lang w:val="en-US" w:eastAsia="zh-CN" w:bidi="ar"/>
        </w:rPr>
        <w:t>800867.00</w:t>
      </w:r>
      <w:r>
        <w:rPr>
          <w:rFonts w:hint="eastAsia" w:ascii="宋体" w:hAnsi="宋体" w:eastAsia="宋体" w:cs="宋体"/>
          <w:color w:val="auto"/>
          <w:szCs w:val="21"/>
          <w:highlight w:val="none"/>
          <w:lang w:bidi="ar"/>
        </w:rPr>
        <w:t>元</w:t>
      </w:r>
    </w:p>
    <w:p w14:paraId="5F46C049">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5.最高限价</w:t>
      </w:r>
      <w:bookmarkStart w:id="11" w:name="_Hlk66782034"/>
      <w:r>
        <w:rPr>
          <w:rFonts w:hint="eastAsia" w:ascii="宋体" w:hAnsi="宋体" w:eastAsia="宋体" w:cs="宋体"/>
          <w:color w:val="auto"/>
          <w:szCs w:val="21"/>
          <w:highlight w:val="none"/>
          <w:lang w:bidi="ar"/>
        </w:rPr>
        <w:t>（如有）</w:t>
      </w:r>
      <w:bookmarkEnd w:id="11"/>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val="en-US" w:eastAsia="zh-CN" w:bidi="ar"/>
        </w:rPr>
        <w:t>800867.00</w:t>
      </w:r>
      <w:r>
        <w:rPr>
          <w:rFonts w:hint="eastAsia" w:ascii="宋体" w:hAnsi="宋体" w:eastAsia="宋体" w:cs="宋体"/>
          <w:color w:val="auto"/>
          <w:szCs w:val="21"/>
          <w:highlight w:val="none"/>
          <w:lang w:bidi="ar"/>
        </w:rPr>
        <w:t>元</w:t>
      </w:r>
    </w:p>
    <w:p w14:paraId="51B5A5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6.采购需求： </w:t>
      </w:r>
    </w:p>
    <w:tbl>
      <w:tblPr>
        <w:tblStyle w:val="30"/>
        <w:tblW w:w="9314" w:type="dxa"/>
        <w:tblInd w:w="113"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61"/>
        <w:gridCol w:w="1537"/>
        <w:gridCol w:w="829"/>
        <w:gridCol w:w="857"/>
        <w:gridCol w:w="5330"/>
      </w:tblGrid>
      <w:tr w14:paraId="376E63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4084230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537" w:type="dxa"/>
            <w:tcBorders>
              <w:top w:val="single" w:color="auto" w:sz="4" w:space="0"/>
              <w:left w:val="single" w:color="auto" w:sz="4" w:space="0"/>
              <w:bottom w:val="single" w:color="auto" w:sz="4" w:space="0"/>
              <w:right w:val="single" w:color="auto" w:sz="4" w:space="0"/>
            </w:tcBorders>
            <w:shd w:val="clear" w:color="auto" w:fill="auto"/>
            <w:vAlign w:val="center"/>
          </w:tcPr>
          <w:p w14:paraId="5F45E6B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454D29CB">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72F3B3A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5330" w:type="dxa"/>
            <w:tcBorders>
              <w:top w:val="single" w:color="auto" w:sz="4" w:space="0"/>
              <w:left w:val="single" w:color="auto" w:sz="4" w:space="0"/>
              <w:bottom w:val="single" w:color="auto" w:sz="4" w:space="0"/>
              <w:right w:val="single" w:color="auto" w:sz="4" w:space="0"/>
            </w:tcBorders>
            <w:shd w:val="clear" w:color="auto" w:fill="auto"/>
            <w:vAlign w:val="center"/>
          </w:tcPr>
          <w:p w14:paraId="34F176F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简要技术需求或者服务要求</w:t>
            </w:r>
          </w:p>
        </w:tc>
      </w:tr>
      <w:tr w14:paraId="314F072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4CFD3474">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37" w:type="dxa"/>
            <w:tcBorders>
              <w:top w:val="single" w:color="auto" w:sz="4" w:space="0"/>
              <w:left w:val="single" w:color="auto" w:sz="4" w:space="0"/>
              <w:bottom w:val="single" w:color="auto" w:sz="4" w:space="0"/>
              <w:right w:val="single" w:color="auto" w:sz="4" w:space="0"/>
            </w:tcBorders>
            <w:shd w:val="clear" w:color="auto" w:fill="auto"/>
            <w:vAlign w:val="center"/>
          </w:tcPr>
          <w:p w14:paraId="3F078CD2">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olor w:val="auto"/>
                <w:szCs w:val="21"/>
                <w:highlight w:val="none"/>
                <w:lang w:eastAsia="zh-CN"/>
              </w:rPr>
              <w:t>昆仑镇九塘社区大塘坡水稻灌溉工程</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2B75CDE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w:t>
            </w: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4426CD2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330" w:type="dxa"/>
            <w:tcBorders>
              <w:top w:val="single" w:color="auto" w:sz="4" w:space="0"/>
              <w:left w:val="single" w:color="auto" w:sz="4" w:space="0"/>
              <w:bottom w:val="single" w:color="auto" w:sz="4" w:space="0"/>
              <w:right w:val="single" w:color="auto" w:sz="4" w:space="0"/>
            </w:tcBorders>
            <w:shd w:val="clear" w:color="auto" w:fill="auto"/>
            <w:vAlign w:val="center"/>
          </w:tcPr>
          <w:p w14:paraId="703DE8F2">
            <w:pPr>
              <w:snapToGrid w:val="0"/>
              <w:spacing w:line="360" w:lineRule="auto"/>
              <w:rPr>
                <w:rFonts w:hint="eastAsia" w:ascii="宋体" w:hAnsi="宋体" w:eastAsia="宋体" w:cs="宋体"/>
                <w:color w:val="auto"/>
                <w:szCs w:val="21"/>
                <w:highlight w:val="none"/>
              </w:rPr>
            </w:pPr>
            <w:r>
              <w:rPr>
                <w:rFonts w:hint="eastAsia" w:ascii="宋体" w:hAnsi="宋体" w:eastAsia="宋体"/>
                <w:color w:val="auto"/>
                <w:szCs w:val="21"/>
                <w:highlight w:val="none"/>
                <w:lang w:eastAsia="zh-CN"/>
              </w:rPr>
              <w:t>新建总长</w:t>
            </w:r>
            <w:r>
              <w:rPr>
                <w:rFonts w:hint="eastAsia" w:ascii="宋体" w:hAnsi="宋体" w:eastAsia="宋体"/>
                <w:color w:val="auto"/>
                <w:szCs w:val="21"/>
                <w:highlight w:val="none"/>
                <w:lang w:val="en-US" w:eastAsia="zh-CN"/>
              </w:rPr>
              <w:t>1.08公里三面光渠道，分三段建设，895米段断面尺寸1m</w:t>
            </w:r>
            <w:r>
              <w:rPr>
                <w:rFonts w:hint="default" w:ascii="Arial" w:hAnsi="Arial" w:eastAsia="宋体" w:cs="Arial"/>
                <w:color w:val="auto"/>
                <w:szCs w:val="21"/>
                <w:highlight w:val="none"/>
                <w:lang w:val="en-US" w:eastAsia="zh-CN"/>
              </w:rPr>
              <w:t>×</w:t>
            </w:r>
            <w:r>
              <w:rPr>
                <w:rFonts w:hint="eastAsia" w:ascii="宋体" w:hAnsi="宋体" w:eastAsia="宋体"/>
                <w:color w:val="auto"/>
                <w:szCs w:val="21"/>
                <w:highlight w:val="none"/>
                <w:lang w:val="en-US" w:eastAsia="zh-CN"/>
              </w:rPr>
              <w:t>0.8m、95米段断面尺寸0.5m</w:t>
            </w:r>
            <w:r>
              <w:rPr>
                <w:rFonts w:hint="default" w:ascii="Arial" w:hAnsi="Arial" w:eastAsia="宋体" w:cs="Arial"/>
                <w:color w:val="auto"/>
                <w:szCs w:val="21"/>
                <w:highlight w:val="none"/>
                <w:lang w:val="en-US" w:eastAsia="zh-CN"/>
              </w:rPr>
              <w:t>×</w:t>
            </w:r>
            <w:r>
              <w:rPr>
                <w:rFonts w:hint="eastAsia" w:ascii="宋体" w:hAnsi="宋体" w:eastAsia="宋体"/>
                <w:color w:val="auto"/>
                <w:szCs w:val="21"/>
                <w:highlight w:val="none"/>
                <w:lang w:val="en-US" w:eastAsia="zh-CN"/>
              </w:rPr>
              <w:t>0.8m、90米段断面尺寸 0.3m</w:t>
            </w:r>
            <w:r>
              <w:rPr>
                <w:rFonts w:hint="default" w:ascii="Arial" w:hAnsi="Arial" w:eastAsia="宋体" w:cs="Arial"/>
                <w:color w:val="auto"/>
                <w:szCs w:val="21"/>
                <w:highlight w:val="none"/>
                <w:lang w:val="en-US" w:eastAsia="zh-CN"/>
              </w:rPr>
              <w:t>×</w:t>
            </w:r>
            <w:r>
              <w:rPr>
                <w:rFonts w:hint="eastAsia" w:ascii="宋体" w:hAnsi="宋体" w:eastAsia="宋体"/>
                <w:color w:val="auto"/>
                <w:szCs w:val="21"/>
                <w:highlight w:val="none"/>
                <w:lang w:val="en-US" w:eastAsia="zh-CN"/>
              </w:rPr>
              <w:t>0.3m；同步配套建设管涵、渡槽、机械下田口、分水口、放水口等附属设施施工，</w:t>
            </w:r>
            <w:r>
              <w:rPr>
                <w:rFonts w:hint="eastAsia" w:ascii="宋体" w:hAnsi="宋体" w:eastAsia="宋体" w:cs="宋体"/>
                <w:color w:val="auto"/>
                <w:szCs w:val="21"/>
                <w:highlight w:val="none"/>
              </w:rPr>
              <w:t>具体内容详见施工图纸及工程量清单。</w:t>
            </w:r>
          </w:p>
        </w:tc>
      </w:tr>
    </w:tbl>
    <w:p w14:paraId="3B2F6499">
      <w:pPr>
        <w:pStyle w:val="14"/>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default" w:ascii="宋体" w:hAnsi="宋体" w:eastAsia="宋体" w:cs="宋体"/>
          <w:color w:val="auto"/>
          <w:sz w:val="20"/>
          <w:szCs w:val="20"/>
          <w:highlight w:val="none"/>
          <w:lang w:val="en-US" w:eastAsia="zh-CN"/>
        </w:rPr>
      </w:pPr>
      <w:r>
        <w:rPr>
          <w:rFonts w:hint="eastAsia" w:ascii="宋体" w:hAnsi="宋体" w:cs="宋体"/>
          <w:color w:val="auto"/>
          <w:szCs w:val="21"/>
          <w:highlight w:val="none"/>
          <w:lang w:val="en-US" w:eastAsia="zh-CN" w:bidi="ar"/>
        </w:rPr>
        <w:t xml:space="preserve">   </w:t>
      </w:r>
      <w:bookmarkStart w:id="1926" w:name="_GoBack"/>
      <w:bookmarkEnd w:id="1926"/>
      <w:r>
        <w:rPr>
          <w:rFonts w:hint="eastAsia" w:ascii="宋体" w:hAnsi="宋体" w:cs="宋体"/>
          <w:color w:val="auto"/>
          <w:szCs w:val="21"/>
          <w:highlight w:val="none"/>
          <w:lang w:bidi="ar"/>
        </w:rPr>
        <w:t>7.</w:t>
      </w:r>
      <w:r>
        <w:rPr>
          <w:rFonts w:ascii="宋体" w:hAnsi="宋体" w:eastAsia="宋体" w:cs="宋体"/>
          <w:color w:val="auto"/>
          <w:spacing w:val="3"/>
          <w:sz w:val="20"/>
          <w:szCs w:val="20"/>
          <w:highlight w:val="none"/>
        </w:rPr>
        <w:t>合同履行期限</w:t>
      </w:r>
      <w:r>
        <w:rPr>
          <w:rFonts w:hint="eastAsia" w:ascii="宋体" w:hAnsi="宋体" w:cs="宋体"/>
          <w:color w:val="auto"/>
          <w:spacing w:val="3"/>
          <w:sz w:val="20"/>
          <w:szCs w:val="20"/>
          <w:highlight w:val="none"/>
          <w:lang w:eastAsia="zh-CN"/>
        </w:rPr>
        <w:t>（工期）</w:t>
      </w:r>
      <w:r>
        <w:rPr>
          <w:rFonts w:hint="eastAsia" w:ascii="宋体" w:hAnsi="宋体" w:cs="宋体"/>
          <w:color w:val="auto"/>
          <w:szCs w:val="21"/>
          <w:highlight w:val="none"/>
          <w:lang w:bidi="ar"/>
        </w:rPr>
        <w:t>：</w:t>
      </w:r>
      <w:r>
        <w:rPr>
          <w:rFonts w:hint="eastAsia" w:ascii="宋体" w:hAnsi="宋体" w:cs="宋体"/>
          <w:color w:val="auto"/>
          <w:spacing w:val="8"/>
          <w:sz w:val="20"/>
          <w:szCs w:val="20"/>
          <w:highlight w:val="none"/>
          <w:lang w:val="en-US" w:eastAsia="zh-CN"/>
        </w:rPr>
        <w:t>100日历天</w:t>
      </w:r>
    </w:p>
    <w:p w14:paraId="5435560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8.本项目是否接受联合体：□是，</w:t>
      </w:r>
      <w:r>
        <w:rPr>
          <w:rFonts w:hint="eastAsia" w:ascii="宋体" w:hAnsi="宋体" w:eastAsia="宋体" w:cs="宋体"/>
          <w:color w:val="auto"/>
          <w:szCs w:val="21"/>
          <w:highlight w:val="none"/>
          <w:lang w:bidi="ar"/>
        </w:rPr>
        <w:sym w:font="Wingdings 2" w:char="0052"/>
      </w:r>
      <w:r>
        <w:rPr>
          <w:rFonts w:hint="eastAsia" w:ascii="宋体" w:hAnsi="宋体" w:eastAsia="宋体" w:cs="宋体"/>
          <w:color w:val="auto"/>
          <w:szCs w:val="21"/>
          <w:highlight w:val="none"/>
          <w:lang w:bidi="ar"/>
        </w:rPr>
        <w:t>否</w:t>
      </w:r>
    </w:p>
    <w:p w14:paraId="5D04E776">
      <w:pPr>
        <w:spacing w:line="360" w:lineRule="auto"/>
        <w:ind w:firstLine="482" w:firstLineChars="200"/>
        <w:rPr>
          <w:rFonts w:hint="eastAsia" w:ascii="黑体" w:hAnsi="宋体" w:eastAsia="黑体" w:cs="宋体"/>
          <w:bCs/>
          <w:color w:val="auto"/>
          <w:sz w:val="24"/>
          <w:highlight w:val="none"/>
        </w:rPr>
      </w:pPr>
      <w:bookmarkStart w:id="12" w:name="_Toc28359013"/>
      <w:bookmarkStart w:id="13" w:name="_Toc35393630"/>
      <w:bookmarkStart w:id="14" w:name="_Toc44229879"/>
      <w:bookmarkStart w:id="15" w:name="_Toc28359090"/>
      <w:bookmarkStart w:id="16" w:name="_Toc35393799"/>
      <w:r>
        <w:rPr>
          <w:rFonts w:hint="eastAsia" w:ascii="黑体" w:hAnsi="宋体" w:eastAsia="黑体" w:cs="宋体"/>
          <w:b/>
          <w:color w:val="auto"/>
          <w:kern w:val="44"/>
          <w:sz w:val="24"/>
          <w:highlight w:val="none"/>
          <w:lang w:bidi="ar"/>
        </w:rPr>
        <w:t>二、供应商的资格条件</w:t>
      </w:r>
      <w:bookmarkEnd w:id="12"/>
      <w:bookmarkEnd w:id="13"/>
      <w:bookmarkEnd w:id="14"/>
      <w:bookmarkEnd w:id="15"/>
      <w:bookmarkEnd w:id="16"/>
    </w:p>
    <w:p w14:paraId="6AD113E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1.满足《中华人民共和国政府采购法》第二十二条规定；</w:t>
      </w:r>
    </w:p>
    <w:p w14:paraId="35D1A37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2.落实政府采购政策需满足的资格要求：</w:t>
      </w:r>
    </w:p>
    <w:p w14:paraId="20AC0CAF">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专门面向中小企业采购的项目（供应商应为中小微企业、监狱企业、残疾人福利性单位)</w:t>
      </w:r>
    </w:p>
    <w:p w14:paraId="1FD13E0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sym w:font="Wingdings 2" w:char="00A3"/>
      </w:r>
      <w:r>
        <w:rPr>
          <w:rFonts w:hint="eastAsia" w:ascii="宋体" w:hAnsi="宋体" w:eastAsia="宋体" w:cs="宋体"/>
          <w:color w:val="auto"/>
          <w:sz w:val="21"/>
          <w:szCs w:val="21"/>
          <w:highlight w:val="none"/>
          <w:lang w:bidi="ar"/>
        </w:rPr>
        <w:t>非专门面向中小企业采购的项目</w:t>
      </w:r>
    </w:p>
    <w:p w14:paraId="6BE855F0">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bookmarkStart w:id="17" w:name="PO_3000001868_PM005"/>
      <w:r>
        <w:rPr>
          <w:rFonts w:hint="eastAsia" w:ascii="宋体" w:hAnsi="宋体" w:eastAsia="宋体" w:cs="宋体"/>
          <w:color w:val="auto"/>
          <w:sz w:val="21"/>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35F345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bookmarkEnd w:id="17"/>
    </w:p>
    <w:p w14:paraId="501D024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5.本项目的特定资格要求：</w:t>
      </w:r>
    </w:p>
    <w:p w14:paraId="31BB0955">
      <w:pPr>
        <w:keepNext w:val="0"/>
        <w:keepLines w:val="0"/>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（1）具有水利水电工程施工总承包叁级以上（含叁级）资质，在人员、设备、资金等方面具有相应的施工能力，并具有省级(或以上级)建设行政主管部门颁发的建筑施工安全生产许可证； （2）拟派项目经理具备水利水电工程专业贰级以上(含贰级)注册建造师资格，具备有效的安全生产考核合格证书（B 类）。</w:t>
      </w:r>
      <w:r>
        <w:rPr>
          <w:rFonts w:hint="eastAsia" w:ascii="宋体" w:hAnsi="宋体" w:eastAsia="宋体" w:cs="宋体"/>
          <w:b/>
          <w:bCs/>
          <w:color w:val="auto"/>
          <w:sz w:val="21"/>
          <w:szCs w:val="21"/>
          <w:highlight w:val="none"/>
        </w:rPr>
        <w:t>本项目不接受有在建、已中标未开工或已列为其他项目中标候选人第一名的建造师作为项目经理。</w:t>
      </w:r>
    </w:p>
    <w:p w14:paraId="56355EDD">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三、获取竞争性磋商文件</w:t>
      </w:r>
      <w:bookmarkEnd w:id="7"/>
      <w:bookmarkEnd w:id="8"/>
      <w:bookmarkEnd w:id="9"/>
      <w:bookmarkEnd w:id="10"/>
    </w:p>
    <w:p w14:paraId="3C5495E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bookmarkStart w:id="18" w:name="_Toc28359005"/>
      <w:bookmarkStart w:id="19" w:name="_Toc28359082"/>
      <w:bookmarkStart w:id="20" w:name="_Toc35393793"/>
      <w:bookmarkStart w:id="21" w:name="_Toc35393624"/>
      <w:r>
        <w:rPr>
          <w:rFonts w:hint="eastAsia" w:ascii="宋体" w:hAnsi="宋体" w:eastAsia="宋体" w:cs="宋体"/>
          <w:color w:val="auto"/>
          <w:sz w:val="21"/>
          <w:szCs w:val="21"/>
          <w:highlight w:val="none"/>
          <w:lang w:bidi="ar"/>
        </w:rPr>
        <w:t>时间：自公告发布之日起。</w:t>
      </w:r>
    </w:p>
    <w:p w14:paraId="5BB10EA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bidi="ar"/>
        </w:rPr>
        <w:t>获取方式:网上下载。本项目不发放纸质采购文件，供应商可自行在</w:t>
      </w:r>
      <w:r>
        <w:rPr>
          <w:rFonts w:hint="eastAsia" w:ascii="宋体" w:hAnsi="宋体" w:eastAsia="宋体" w:cs="宋体"/>
          <w:color w:val="auto"/>
          <w:sz w:val="21"/>
          <w:szCs w:val="21"/>
          <w:highlight w:val="none"/>
          <w:lang w:bidi="ar"/>
        </w:rPr>
        <w:fldChar w:fldCharType="begin"/>
      </w:r>
      <w:r>
        <w:rPr>
          <w:rFonts w:hint="eastAsia" w:ascii="宋体" w:hAnsi="宋体" w:eastAsia="宋体" w:cs="宋体"/>
          <w:color w:val="auto"/>
          <w:sz w:val="21"/>
          <w:szCs w:val="21"/>
          <w:highlight w:val="none"/>
          <w:lang w:bidi="ar"/>
        </w:rPr>
        <w:instrText xml:space="preserve"> HYPERLINK "" </w:instrText>
      </w:r>
      <w:r>
        <w:rPr>
          <w:rFonts w:hint="eastAsia" w:ascii="宋体" w:hAnsi="宋体" w:eastAsia="宋体" w:cs="宋体"/>
          <w:color w:val="auto"/>
          <w:sz w:val="21"/>
          <w:szCs w:val="21"/>
          <w:highlight w:val="none"/>
          <w:lang w:bidi="ar"/>
        </w:rPr>
        <w:fldChar w:fldCharType="separate"/>
      </w:r>
      <w:r>
        <w:rPr>
          <w:rFonts w:hint="eastAsia" w:ascii="宋体" w:hAnsi="宋体" w:eastAsia="宋体" w:cs="宋体"/>
          <w:color w:val="auto"/>
          <w:sz w:val="21"/>
          <w:szCs w:val="21"/>
          <w:highlight w:val="none"/>
          <w:lang w:bidi="ar"/>
        </w:rPr>
        <w:fldChar w:fldCharType="end"/>
      </w:r>
      <w:r>
        <w:rPr>
          <w:rFonts w:hint="eastAsia" w:ascii="宋体" w:hAnsi="宋体" w:eastAsia="宋体" w:cs="宋体"/>
          <w:color w:val="auto"/>
          <w:sz w:val="21"/>
          <w:szCs w:val="21"/>
          <w:highlight w:val="none"/>
          <w:lang w:bidi="ar"/>
        </w:rPr>
        <w:t>“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42DD69D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售价：0元。</w:t>
      </w:r>
    </w:p>
    <w:p w14:paraId="1D2EC08F">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四、</w:t>
      </w:r>
      <w:bookmarkEnd w:id="18"/>
      <w:bookmarkEnd w:id="19"/>
      <w:bookmarkEnd w:id="20"/>
      <w:bookmarkEnd w:id="21"/>
      <w:r>
        <w:rPr>
          <w:rFonts w:hint="eastAsia" w:ascii="宋体" w:hAnsi="宋体" w:eastAsia="宋体" w:cs="宋体"/>
          <w:b/>
          <w:bCs/>
          <w:color w:val="auto"/>
          <w:sz w:val="21"/>
          <w:szCs w:val="21"/>
          <w:highlight w:val="none"/>
          <w:lang w:bidi="ar"/>
        </w:rPr>
        <w:t>响应文件提交</w:t>
      </w:r>
    </w:p>
    <w:p w14:paraId="47117D69">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1、首次响应文件提交截止时间</w:t>
      </w:r>
      <w:r>
        <w:rPr>
          <w:rFonts w:hint="eastAsia" w:ascii="宋体" w:hAnsi="宋体" w:eastAsia="宋体" w:cs="宋体"/>
          <w:bCs/>
          <w:color w:val="auto"/>
          <w:sz w:val="21"/>
          <w:szCs w:val="21"/>
          <w:highlight w:val="none"/>
          <w:lang w:bidi="ar"/>
        </w:rPr>
        <w:t>（北京时间）：</w:t>
      </w:r>
      <w:bookmarkStart w:id="22" w:name="PO_3000001868_PM015"/>
      <w:r>
        <w:rPr>
          <w:rFonts w:hint="eastAsia" w:ascii="宋体" w:hAnsi="宋体" w:eastAsia="宋体" w:cs="宋体"/>
          <w:bCs/>
          <w:color w:val="auto"/>
          <w:sz w:val="21"/>
          <w:szCs w:val="21"/>
          <w:highlight w:val="none"/>
          <w:u w:val="single"/>
        </w:rPr>
        <w:t>202</w:t>
      </w:r>
      <w:r>
        <w:rPr>
          <w:rFonts w:hint="eastAsia" w:ascii="宋体" w:hAnsi="宋体" w:eastAsia="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u w:val="single"/>
          <w:lang w:val="en-US" w:eastAsia="zh-CN"/>
        </w:rPr>
        <w:t xml:space="preserve"> 6 </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u w:val="single"/>
          <w:lang w:val="en-US" w:eastAsia="zh-CN"/>
        </w:rPr>
        <w:t>22</w:t>
      </w:r>
      <w:r>
        <w:rPr>
          <w:rFonts w:hint="eastAsia" w:ascii="宋体" w:hAnsi="宋体" w:eastAsia="宋体" w:cs="宋体"/>
          <w:bCs/>
          <w:color w:val="auto"/>
          <w:sz w:val="21"/>
          <w:szCs w:val="21"/>
          <w:highlight w:val="none"/>
          <w:u w:val="single"/>
        </w:rPr>
        <w:t xml:space="preserve">  09:30:00</w:t>
      </w:r>
      <w:bookmarkEnd w:id="22"/>
      <w:r>
        <w:rPr>
          <w:rFonts w:hint="eastAsia" w:ascii="宋体" w:hAnsi="宋体" w:eastAsia="宋体" w:cs="宋体"/>
          <w:color w:val="auto"/>
          <w:sz w:val="21"/>
          <w:szCs w:val="21"/>
          <w:highlight w:val="none"/>
          <w:u w:val="single"/>
        </w:rPr>
        <w:t>（从磋商文件开始发出之日起至供应商提交首次响应文件截止之日止不得少于10日）</w:t>
      </w:r>
    </w:p>
    <w:p w14:paraId="00635D30">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2、首次响应文件提交地点：</w:t>
      </w:r>
    </w:p>
    <w:p w14:paraId="0C216842">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响应文件提交方式：本项目为南宁市全流程电子化项目，通过“广西政府采购云”平台（https://www.gcy.zfcg.gxzf.gov.cn/）实行在线电子响应，供应商应先安装“广西政府采购云电子交易客户端”（请自行前往“广西政府采购云”平台进行下载），并按照本项目采购文件和“广西政府采购云”平台的要求编制、加密后在投标截止时间前通过网络上传至南宁市“广西政府采购云”平台，</w:t>
      </w:r>
      <w:r>
        <w:rPr>
          <w:rFonts w:hint="eastAsia" w:ascii="宋体" w:hAnsi="宋体" w:eastAsia="宋体" w:cs="宋体"/>
          <w:b/>
          <w:color w:val="auto"/>
          <w:sz w:val="21"/>
          <w:szCs w:val="21"/>
          <w:highlight w:val="none"/>
          <w:lang w:bidi="ar"/>
        </w:rPr>
        <w:t>供应商在“广西政府采购云”平台提交电子版响应文件时，请填写参加远程采购活动经办人联系方式，</w:t>
      </w:r>
      <w:r>
        <w:rPr>
          <w:rFonts w:hint="eastAsia" w:ascii="宋体" w:hAnsi="宋体" w:eastAsia="宋体" w:cs="宋体"/>
          <w:color w:val="auto"/>
          <w:sz w:val="21"/>
          <w:szCs w:val="21"/>
          <w:highlight w:val="none"/>
          <w:lang w:bidi="ar"/>
        </w:rPr>
        <w:t>电子响应文件具体操作流程详见本公告附件3。</w:t>
      </w:r>
    </w:p>
    <w:p w14:paraId="23EAA889">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38A27AB6">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（3）为确保网上操作合法、有效和安全，请供应商确保在电子响应过程中能够对相关数据电文进行加密和使用电子签章，妥善保管CA数字证书并使用有效的CA数字证书参与整个采购活动。</w:t>
      </w:r>
    </w:p>
    <w:p w14:paraId="742CB30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u w:val="single"/>
          <w:lang w:bidi="ar"/>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9678398">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3、CA证书在线解密：首次响应文件开启时，</w:t>
      </w:r>
      <w:r>
        <w:rPr>
          <w:rFonts w:hint="eastAsia" w:ascii="宋体" w:hAnsi="宋体" w:eastAsia="宋体" w:cs="宋体"/>
          <w:b/>
          <w:color w:val="auto"/>
          <w:kern w:val="0"/>
          <w:sz w:val="21"/>
          <w:szCs w:val="21"/>
          <w:highlight w:val="none"/>
          <w:lang w:bidi="ar"/>
        </w:rPr>
        <w:t>须要供应商携带制作响应文件时用来加密的有效数字证书（CA认证）</w:t>
      </w:r>
      <w:r>
        <w:rPr>
          <w:rFonts w:hint="eastAsia" w:ascii="宋体" w:hAnsi="宋体" w:eastAsia="宋体" w:cs="宋体"/>
          <w:color w:val="auto"/>
          <w:kern w:val="0"/>
          <w:sz w:val="21"/>
          <w:szCs w:val="21"/>
          <w:highlight w:val="none"/>
          <w:lang w:bidi="ar"/>
        </w:rPr>
        <w:t>登录“广西政府采购云”平台电子开标大厅现场按规定时间对加密的响应文件进行解密，未能按要求进行解密的，由此产生的后果由投标人自行承担。</w:t>
      </w:r>
    </w:p>
    <w:p w14:paraId="55206B5A">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4、供应商需要在具备有摄像头及语音功能且互联网网络状况良好的电脑登录“广西政府采购云”平台远程开标大厅参与本次磋商，否则后果自负。</w:t>
      </w:r>
    </w:p>
    <w:p w14:paraId="0E55734B">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五、开启（首次响应文件开启时间）</w:t>
      </w:r>
    </w:p>
    <w:p w14:paraId="4836E99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bidi="ar"/>
        </w:rPr>
        <w:t>1.时间</w:t>
      </w:r>
      <w:r>
        <w:rPr>
          <w:rFonts w:hint="eastAsia" w:ascii="宋体" w:hAnsi="宋体" w:eastAsia="宋体" w:cs="宋体"/>
          <w:bCs/>
          <w:color w:val="auto"/>
          <w:sz w:val="21"/>
          <w:szCs w:val="21"/>
          <w:highlight w:val="none"/>
          <w:lang w:bidi="ar"/>
        </w:rPr>
        <w:t>（北京时间）</w:t>
      </w:r>
      <w:r>
        <w:rPr>
          <w:rFonts w:hint="eastAsia" w:ascii="宋体" w:hAnsi="宋体" w:eastAsia="宋体" w:cs="宋体"/>
          <w:color w:val="auto"/>
          <w:sz w:val="21"/>
          <w:szCs w:val="21"/>
          <w:highlight w:val="none"/>
          <w:lang w:bidi="ar"/>
        </w:rPr>
        <w:t>：</w:t>
      </w:r>
      <w:r>
        <w:rPr>
          <w:rFonts w:hint="eastAsia" w:ascii="宋体" w:hAnsi="宋体" w:eastAsia="宋体" w:cs="宋体"/>
          <w:bCs/>
          <w:color w:val="auto"/>
          <w:sz w:val="21"/>
          <w:szCs w:val="21"/>
          <w:highlight w:val="none"/>
          <w:u w:val="single"/>
        </w:rPr>
        <w:t>202</w:t>
      </w:r>
      <w:r>
        <w:rPr>
          <w:rFonts w:hint="eastAsia" w:ascii="宋体" w:hAnsi="宋体" w:eastAsia="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u w:val="single"/>
          <w:lang w:val="en-US" w:eastAsia="zh-CN"/>
        </w:rPr>
        <w:t xml:space="preserve">22  </w:t>
      </w:r>
      <w:r>
        <w:rPr>
          <w:rFonts w:hint="eastAsia" w:ascii="宋体" w:hAnsi="宋体" w:eastAsia="宋体" w:cs="宋体"/>
          <w:bCs/>
          <w:color w:val="auto"/>
          <w:sz w:val="21"/>
          <w:szCs w:val="21"/>
          <w:highlight w:val="none"/>
          <w:u w:val="single"/>
        </w:rPr>
        <w:t xml:space="preserve"> 09:30:00</w:t>
      </w:r>
      <w:r>
        <w:rPr>
          <w:rFonts w:hint="eastAsia" w:ascii="宋体" w:hAnsi="宋体" w:eastAsia="宋体" w:cs="宋体"/>
          <w:color w:val="auto"/>
          <w:sz w:val="21"/>
          <w:szCs w:val="21"/>
          <w:highlight w:val="none"/>
        </w:rPr>
        <w:t>后</w:t>
      </w:r>
    </w:p>
    <w:p w14:paraId="56EDA8BF">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bidi="ar"/>
        </w:rPr>
        <w:t>2.地点：</w:t>
      </w:r>
      <w:r>
        <w:rPr>
          <w:rFonts w:hint="eastAsia" w:ascii="宋体" w:hAnsi="宋体" w:eastAsia="宋体" w:cs="宋体"/>
          <w:color w:val="auto"/>
          <w:sz w:val="21"/>
          <w:szCs w:val="21"/>
          <w:highlight w:val="none"/>
          <w:u w:val="single"/>
          <w:lang w:eastAsia="zh-CN" w:bidi="ar"/>
        </w:rPr>
        <w:t>广西</w:t>
      </w:r>
      <w:r>
        <w:rPr>
          <w:rFonts w:hint="eastAsia" w:ascii="宋体" w:hAnsi="宋体" w:eastAsia="宋体" w:cs="宋体"/>
          <w:color w:val="auto"/>
          <w:sz w:val="21"/>
          <w:szCs w:val="21"/>
          <w:highlight w:val="none"/>
          <w:u w:val="single"/>
          <w:lang w:bidi="ar"/>
        </w:rPr>
        <w:t xml:space="preserve">政府采购云平台远程开标大厅 </w:t>
      </w:r>
    </w:p>
    <w:p w14:paraId="3731E5F8">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bookmarkStart w:id="23" w:name="_Toc28359007"/>
      <w:bookmarkStart w:id="24" w:name="_Toc28359084"/>
      <w:bookmarkStart w:id="25" w:name="_Toc35393794"/>
      <w:bookmarkStart w:id="26" w:name="_Toc35393625"/>
      <w:r>
        <w:rPr>
          <w:rFonts w:hint="eastAsia" w:ascii="宋体" w:hAnsi="宋体" w:eastAsia="宋体" w:cs="宋体"/>
          <w:b/>
          <w:bCs/>
          <w:color w:val="auto"/>
          <w:sz w:val="21"/>
          <w:szCs w:val="21"/>
          <w:highlight w:val="none"/>
          <w:lang w:bidi="ar"/>
        </w:rPr>
        <w:t>六、公告期限</w:t>
      </w:r>
      <w:bookmarkEnd w:id="23"/>
      <w:bookmarkEnd w:id="24"/>
      <w:bookmarkEnd w:id="25"/>
      <w:bookmarkEnd w:id="26"/>
    </w:p>
    <w:p w14:paraId="40FC81D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自本公告发布之日起5个工作日。</w:t>
      </w:r>
    </w:p>
    <w:p w14:paraId="7ED83BC9">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bookmarkStart w:id="27" w:name="_Toc35393626"/>
      <w:bookmarkStart w:id="28" w:name="_Toc35393795"/>
      <w:r>
        <w:rPr>
          <w:rFonts w:hint="eastAsia" w:ascii="宋体" w:hAnsi="宋体" w:eastAsia="宋体" w:cs="宋体"/>
          <w:b/>
          <w:bCs/>
          <w:color w:val="auto"/>
          <w:sz w:val="21"/>
          <w:szCs w:val="21"/>
          <w:highlight w:val="none"/>
          <w:lang w:bidi="ar"/>
        </w:rPr>
        <w:t>七、其他补充事宜</w:t>
      </w:r>
      <w:bookmarkEnd w:id="27"/>
      <w:bookmarkEnd w:id="28"/>
    </w:p>
    <w:p w14:paraId="0183890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1.磋商保证金：本项目不收取磋商保证金</w:t>
      </w:r>
    </w:p>
    <w:p w14:paraId="3E45FC6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2.采购意向公开链接：</w:t>
      </w:r>
      <w:bookmarkStart w:id="29" w:name="_Hlk37429585"/>
      <w:r>
        <w:rPr>
          <w:rFonts w:hint="eastAsia" w:ascii="宋体" w:hAnsi="宋体" w:eastAsia="宋体" w:cs="宋体"/>
          <w:color w:val="auto"/>
          <w:kern w:val="0"/>
          <w:sz w:val="21"/>
          <w:szCs w:val="21"/>
          <w:highlight w:val="none"/>
          <w:lang w:bidi="ar"/>
        </w:rPr>
        <w:fldChar w:fldCharType="begin"/>
      </w:r>
      <w:r>
        <w:rPr>
          <w:rFonts w:hint="eastAsia" w:ascii="宋体" w:hAnsi="宋体" w:eastAsia="宋体" w:cs="宋体"/>
          <w:color w:val="auto"/>
          <w:kern w:val="0"/>
          <w:sz w:val="21"/>
          <w:szCs w:val="21"/>
          <w:highlight w:val="none"/>
          <w:lang w:bidi="ar"/>
        </w:rPr>
        <w:instrText xml:space="preserve"> HYPERLINK "http://www.ccgp-guangxi.gov.cn/site/detail?categoryCode=ZcyAnnouncement&amp;parentId=66485&amp;articleId=9RLtgOMuiaBeSK5NATul4A==" </w:instrText>
      </w:r>
      <w:r>
        <w:rPr>
          <w:rFonts w:hint="eastAsia" w:ascii="宋体" w:hAnsi="宋体" w:eastAsia="宋体" w:cs="宋体"/>
          <w:color w:val="auto"/>
          <w:kern w:val="0"/>
          <w:sz w:val="21"/>
          <w:szCs w:val="21"/>
          <w:highlight w:val="none"/>
          <w:lang w:bidi="ar"/>
        </w:rPr>
        <w:fldChar w:fldCharType="separate"/>
      </w:r>
      <w:r>
        <w:rPr>
          <w:rStyle w:val="35"/>
          <w:rFonts w:hint="eastAsia" w:ascii="宋体" w:hAnsi="宋体" w:eastAsia="宋体" w:cs="宋体"/>
          <w:color w:val="auto"/>
          <w:kern w:val="0"/>
          <w:sz w:val="21"/>
          <w:szCs w:val="21"/>
          <w:highlight w:val="none"/>
          <w:lang w:bidi="ar"/>
        </w:rPr>
        <w:t>http://www.ccgp-guangxi.gov.cn/site/detail?categoryCode=ZcyAnnouncement&amp;parentId=66485&amp;articleId=9RLtgOMuiaBeSK5NATul4A==</w:t>
      </w:r>
      <w:r>
        <w:rPr>
          <w:rFonts w:hint="eastAsia" w:ascii="宋体" w:hAnsi="宋体" w:eastAsia="宋体" w:cs="宋体"/>
          <w:color w:val="auto"/>
          <w:kern w:val="0"/>
          <w:sz w:val="21"/>
          <w:szCs w:val="21"/>
          <w:highlight w:val="none"/>
          <w:lang w:bidi="ar"/>
        </w:rPr>
        <w:fldChar w:fldCharType="end"/>
      </w:r>
    </w:p>
    <w:p w14:paraId="0CB8CF5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3.</w:t>
      </w:r>
      <w:bookmarkStart w:id="30" w:name="_Hlk37429595"/>
      <w:r>
        <w:rPr>
          <w:rFonts w:hint="eastAsia" w:ascii="宋体" w:hAnsi="宋体" w:eastAsia="宋体" w:cs="宋体"/>
          <w:color w:val="auto"/>
          <w:kern w:val="0"/>
          <w:sz w:val="21"/>
          <w:szCs w:val="21"/>
          <w:highlight w:val="none"/>
          <w:lang w:bidi="ar"/>
        </w:rPr>
        <w:t>网上查询地址</w:t>
      </w:r>
    </w:p>
    <w:bookmarkEnd w:id="29"/>
    <w:bookmarkEnd w:id="30"/>
    <w:p w14:paraId="5FC24839">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bookmarkStart w:id="31" w:name="_Hlk37429674"/>
      <w:r>
        <w:rPr>
          <w:rFonts w:hint="eastAsia" w:ascii="宋体" w:hAnsi="宋体" w:eastAsia="宋体" w:cs="宋体"/>
          <w:color w:val="auto"/>
          <w:kern w:val="0"/>
          <w:sz w:val="21"/>
          <w:szCs w:val="21"/>
          <w:highlight w:val="none"/>
        </w:rPr>
        <w:t>http://zfcg.gxzf.gov.cn (广西政府采购网)、http://ggzy.jgswj.gxzf.gov.cn/nnggzy/（全国公共资源交易平台（广西•南宁））、http://www.ccgp.gov.cn/（中国政府采购网）。</w:t>
      </w:r>
    </w:p>
    <w:p w14:paraId="7CB1FD7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4</w:t>
      </w:r>
      <w:r>
        <w:rPr>
          <w:rFonts w:hint="eastAsia" w:ascii="宋体" w:hAnsi="宋体" w:eastAsia="宋体" w:cs="宋体"/>
          <w:color w:val="auto"/>
          <w:sz w:val="21"/>
          <w:szCs w:val="21"/>
          <w:highlight w:val="none"/>
          <w:lang w:bidi="ar"/>
        </w:rPr>
        <w:t xml:space="preserve">. </w:t>
      </w:r>
      <w:r>
        <w:rPr>
          <w:rFonts w:hint="eastAsia" w:ascii="宋体" w:hAnsi="宋体" w:eastAsia="宋体" w:cs="宋体"/>
          <w:color w:val="auto"/>
          <w:kern w:val="0"/>
          <w:sz w:val="21"/>
          <w:szCs w:val="21"/>
          <w:highlight w:val="none"/>
          <w:lang w:bidi="ar"/>
        </w:rPr>
        <w:t>本项目需要落实的政府采购政策</w:t>
      </w:r>
    </w:p>
    <w:bookmarkEnd w:id="31"/>
    <w:p w14:paraId="744DFB1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（1）政府采购促进中小企业发展。</w:t>
      </w:r>
    </w:p>
    <w:p w14:paraId="705ADDAF">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（2）政府采购促进残疾人就业政策。</w:t>
      </w:r>
    </w:p>
    <w:p w14:paraId="1DA56B6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（3）政府采购支持监狱企业发展。</w:t>
      </w:r>
    </w:p>
    <w:p w14:paraId="6802010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7E41442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 xml:space="preserve">6.若对项目采购电子交易系统操作有疑问，可登录“广西政府采购云”平台（https://www.zcygov.cn/），点击右侧咨询小采，获取采小蜜智能服务管家帮助，或拨打广西政府采购云服务热线400-881-7190获取热线服务帮助。 </w:t>
      </w:r>
    </w:p>
    <w:p w14:paraId="7559BA37">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kern w:val="44"/>
          <w:sz w:val="21"/>
          <w:szCs w:val="21"/>
          <w:highlight w:val="none"/>
          <w:lang w:bidi="ar"/>
        </w:rPr>
        <w:t>八、凡对本次采购提出询问，请按以下方式联系</w:t>
      </w:r>
    </w:p>
    <w:p w14:paraId="4F1071FD">
      <w:pPr>
        <w:keepNext w:val="0"/>
        <w:keepLines w:val="0"/>
        <w:pageBreakBefore w:val="0"/>
        <w:kinsoku/>
        <w:wordWrap/>
        <w:overflowPunct/>
        <w:topLinePunct w:val="0"/>
        <w:autoSpaceDE/>
        <w:autoSpaceDN/>
        <w:bidi w:val="0"/>
        <w:adjustRightInd/>
        <w:spacing w:line="360" w:lineRule="auto"/>
        <w:ind w:firstLine="735" w:firstLineChars="3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1.采购人信息</w:t>
      </w:r>
    </w:p>
    <w:p w14:paraId="33CEC662">
      <w:pPr>
        <w:keepNext w:val="0"/>
        <w:keepLines w:val="0"/>
        <w:pageBreakBefore w:val="0"/>
        <w:kinsoku/>
        <w:wordWrap/>
        <w:overflowPunct/>
        <w:topLinePunct w:val="0"/>
        <w:autoSpaceDE/>
        <w:autoSpaceDN/>
        <w:bidi w:val="0"/>
        <w:adjustRightInd/>
        <w:spacing w:line="360" w:lineRule="auto"/>
        <w:ind w:left="1041" w:leftChars="371" w:hanging="262" w:hangingChars="125"/>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lang w:eastAsia="zh-CN"/>
        </w:rPr>
        <w:t>南宁市兴宁区昆仑镇人民政府</w:t>
      </w:r>
    </w:p>
    <w:p w14:paraId="1F22B0A5">
      <w:pPr>
        <w:keepNext w:val="0"/>
        <w:keepLines w:val="0"/>
        <w:pageBreakBefore w:val="0"/>
        <w:widowControl w:val="0"/>
        <w:kinsoku/>
        <w:wordWrap/>
        <w:overflowPunct/>
        <w:topLinePunct w:val="0"/>
        <w:autoSpaceDE/>
        <w:autoSpaceDN/>
        <w:bidi w:val="0"/>
        <w:adjustRightInd/>
        <w:snapToGrid/>
        <w:spacing w:line="360" w:lineRule="auto"/>
        <w:ind w:firstLine="840" w:firstLineChars="400"/>
        <w:jc w:val="both"/>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lang w:val="en-US" w:eastAsia="zh-CN"/>
        </w:rPr>
        <w:t>南宁市兴宁区昆仑镇九塘街2号</w:t>
      </w:r>
    </w:p>
    <w:p w14:paraId="1F3A390C">
      <w:pPr>
        <w:pStyle w:val="18"/>
        <w:keepNext w:val="0"/>
        <w:keepLines w:val="0"/>
        <w:pageBreakBefore w:val="0"/>
        <w:kinsoku/>
        <w:wordWrap/>
        <w:overflowPunct/>
        <w:topLinePunct w:val="0"/>
        <w:autoSpaceDE/>
        <w:autoSpaceDN/>
        <w:bidi w:val="0"/>
        <w:adjustRightInd/>
        <w:spacing w:line="360" w:lineRule="auto"/>
        <w:ind w:firstLine="840" w:firstLineChars="4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eastAsia="zh-CN"/>
        </w:rPr>
        <w:t>李生任</w:t>
      </w:r>
    </w:p>
    <w:p w14:paraId="09F0839D">
      <w:pPr>
        <w:keepNext w:val="0"/>
        <w:keepLines w:val="0"/>
        <w:pageBreakBefore w:val="0"/>
        <w:kinsoku/>
        <w:wordWrap/>
        <w:overflowPunct/>
        <w:topLinePunct w:val="0"/>
        <w:autoSpaceDE/>
        <w:autoSpaceDN/>
        <w:bidi w:val="0"/>
        <w:adjustRightInd/>
        <w:spacing w:line="360" w:lineRule="auto"/>
        <w:ind w:firstLine="840" w:firstLineChars="400"/>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0771-</w:t>
      </w:r>
      <w:r>
        <w:rPr>
          <w:rFonts w:hint="eastAsia" w:ascii="宋体" w:hAnsi="宋体" w:eastAsia="宋体" w:cs="宋体"/>
          <w:color w:val="auto"/>
          <w:sz w:val="21"/>
          <w:szCs w:val="21"/>
          <w:highlight w:val="none"/>
          <w:lang w:val="en-US" w:eastAsia="zh-CN"/>
        </w:rPr>
        <w:t>4257510</w:t>
      </w:r>
    </w:p>
    <w:p w14:paraId="04C2AE81">
      <w:pPr>
        <w:keepNext w:val="0"/>
        <w:keepLines w:val="0"/>
        <w:pageBreakBefore w:val="0"/>
        <w:kinsoku/>
        <w:wordWrap/>
        <w:overflowPunct/>
        <w:topLinePunct w:val="0"/>
        <w:autoSpaceDE/>
        <w:autoSpaceDN/>
        <w:bidi w:val="0"/>
        <w:adjustRightInd/>
        <w:spacing w:line="360" w:lineRule="auto"/>
        <w:ind w:left="1041" w:leftChars="371" w:hanging="262" w:hangingChars="125"/>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2.采购代理机构信息</w:t>
      </w:r>
    </w:p>
    <w:p w14:paraId="36AF519F">
      <w:pPr>
        <w:keepNext w:val="0"/>
        <w:keepLines w:val="0"/>
        <w:pageBreakBefore w:val="0"/>
        <w:kinsoku/>
        <w:wordWrap/>
        <w:overflowPunct/>
        <w:topLinePunct w:val="0"/>
        <w:autoSpaceDE/>
        <w:autoSpaceDN/>
        <w:bidi w:val="0"/>
        <w:adjustRightInd/>
        <w:spacing w:line="360" w:lineRule="auto"/>
        <w:ind w:firstLine="735" w:firstLineChars="35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广西翔正项目管理有限公司</w:t>
      </w:r>
    </w:p>
    <w:p w14:paraId="1822FEDB">
      <w:pPr>
        <w:keepNext w:val="0"/>
        <w:keepLines w:val="0"/>
        <w:pageBreakBefore w:val="0"/>
        <w:kinsoku/>
        <w:wordWrap/>
        <w:overflowPunct/>
        <w:topLinePunct w:val="0"/>
        <w:autoSpaceDE/>
        <w:autoSpaceDN/>
        <w:bidi w:val="0"/>
        <w:adjustRightInd/>
        <w:spacing w:line="360" w:lineRule="auto"/>
        <w:ind w:firstLine="735" w:firstLineChars="3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南宁市秀厢大道199号金源城（建兴路）金源CBD东城25楼　</w:t>
      </w:r>
    </w:p>
    <w:p w14:paraId="079E348A">
      <w:pPr>
        <w:keepNext w:val="0"/>
        <w:keepLines w:val="0"/>
        <w:pageBreakBefore w:val="0"/>
        <w:kinsoku/>
        <w:wordWrap/>
        <w:overflowPunct/>
        <w:topLinePunct w:val="0"/>
        <w:autoSpaceDE/>
        <w:autoSpaceDN/>
        <w:bidi w:val="0"/>
        <w:adjustRightInd/>
        <w:spacing w:line="360" w:lineRule="auto"/>
        <w:ind w:firstLine="735" w:firstLineChars="35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0771-3925351</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5660405</w:t>
      </w:r>
    </w:p>
    <w:p w14:paraId="5774909A">
      <w:pPr>
        <w:keepNext w:val="0"/>
        <w:keepLines w:val="0"/>
        <w:pageBreakBefore w:val="0"/>
        <w:kinsoku/>
        <w:wordWrap/>
        <w:overflowPunct/>
        <w:topLinePunct w:val="0"/>
        <w:autoSpaceDE/>
        <w:autoSpaceDN/>
        <w:bidi w:val="0"/>
        <w:adjustRightInd/>
        <w:spacing w:line="360" w:lineRule="auto"/>
        <w:ind w:firstLine="735" w:firstLineChars="3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3.项目联系方式</w:t>
      </w:r>
    </w:p>
    <w:p w14:paraId="2D66838A">
      <w:pPr>
        <w:keepNext w:val="0"/>
        <w:keepLines w:val="0"/>
        <w:pageBreakBefore w:val="0"/>
        <w:kinsoku/>
        <w:wordWrap/>
        <w:overflowPunct/>
        <w:topLinePunct w:val="0"/>
        <w:autoSpaceDE/>
        <w:autoSpaceDN/>
        <w:bidi w:val="0"/>
        <w:adjustRightInd/>
        <w:spacing w:line="360" w:lineRule="auto"/>
        <w:ind w:firstLine="735" w:firstLineChars="35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u w:val="single"/>
          <w:lang w:eastAsia="zh-CN"/>
        </w:rPr>
        <w:t>蒋萍萍、黄翠丽</w:t>
      </w:r>
    </w:p>
    <w:p w14:paraId="6D607856">
      <w:pPr>
        <w:keepNext w:val="0"/>
        <w:keepLines w:val="0"/>
        <w:pageBreakBefore w:val="0"/>
        <w:kinsoku/>
        <w:wordWrap/>
        <w:overflowPunct/>
        <w:topLinePunct w:val="0"/>
        <w:autoSpaceDE/>
        <w:autoSpaceDN/>
        <w:bidi w:val="0"/>
        <w:adjustRightInd/>
        <w:spacing w:line="360" w:lineRule="auto"/>
        <w:ind w:firstLine="735" w:firstLineChars="35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0771-3925351</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5660405</w:t>
      </w:r>
    </w:p>
    <w:p w14:paraId="4BF45F29">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p>
    <w:p w14:paraId="1CCA710A">
      <w:pPr>
        <w:pStyle w:val="12"/>
        <w:keepNext w:val="0"/>
        <w:keepLines w:val="0"/>
        <w:pageBreakBefore w:val="0"/>
        <w:widowControl/>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 1.CA证书申请方式及操作指南下载地址（登陆</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"http://nncz.nanning.gov.cn/" </w:instrText>
      </w:r>
      <w:r>
        <w:rPr>
          <w:rFonts w:hint="eastAsia" w:ascii="宋体" w:hAnsi="宋体" w:eastAsia="宋体" w:cs="宋体"/>
          <w:color w:val="auto"/>
          <w:sz w:val="21"/>
          <w:szCs w:val="21"/>
          <w:highlight w:val="none"/>
        </w:rPr>
        <w:fldChar w:fldCharType="separate"/>
      </w:r>
      <w:r>
        <w:rPr>
          <w:rStyle w:val="35"/>
          <w:rFonts w:hint="eastAsia" w:ascii="宋体" w:hAnsi="宋体" w:eastAsia="宋体" w:cs="宋体"/>
          <w:color w:val="auto"/>
          <w:sz w:val="21"/>
          <w:szCs w:val="21"/>
          <w:highlight w:val="none"/>
        </w:rPr>
        <w:t>http://nncz.nanning.gov.cn/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（南宁市财政局官网）-业务专题-政府采购监督管理-资料下载-“广西广西政府采购云西部CA办理方式”或“南宁市广西政府采购云CA证书办理操作指南”）</w:t>
      </w:r>
    </w:p>
    <w:p w14:paraId="4122C5D0">
      <w:pPr>
        <w:pStyle w:val="12"/>
        <w:keepNext w:val="0"/>
        <w:keepLines w:val="0"/>
        <w:pageBreakBefore w:val="0"/>
        <w:widowControl/>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2.电子投标文件制作与投送教程（在此网址下载：</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"http://nncz.nanning.gov.cn/" </w:instrText>
      </w:r>
      <w:r>
        <w:rPr>
          <w:rFonts w:hint="eastAsia" w:ascii="宋体" w:hAnsi="宋体" w:eastAsia="宋体" w:cs="宋体"/>
          <w:color w:val="auto"/>
          <w:sz w:val="21"/>
          <w:szCs w:val="21"/>
          <w:highlight w:val="none"/>
        </w:rPr>
        <w:fldChar w:fldCharType="separate"/>
      </w:r>
      <w:r>
        <w:rPr>
          <w:rStyle w:val="35"/>
          <w:rFonts w:hint="eastAsia" w:ascii="宋体" w:hAnsi="宋体" w:eastAsia="宋体" w:cs="宋体"/>
          <w:color w:val="auto"/>
          <w:sz w:val="21"/>
          <w:szCs w:val="21"/>
          <w:highlight w:val="none"/>
        </w:rPr>
        <w:t>http://nncz.nanning.gov.cn/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（南宁市财政局官网）-业务专题-政府采购监督管理-资料下载-南宁市政府采购项目全流程电子化交易操作指南）</w:t>
      </w:r>
    </w:p>
    <w:p w14:paraId="25872D52">
      <w:pPr>
        <w:pStyle w:val="12"/>
        <w:keepNext w:val="0"/>
        <w:keepLines w:val="0"/>
        <w:pageBreakBefore w:val="0"/>
        <w:kinsoku/>
        <w:wordWrap/>
        <w:overflowPunct/>
        <w:topLinePunct w:val="0"/>
        <w:autoSpaceDE/>
        <w:autoSpaceDN/>
        <w:bidi w:val="0"/>
        <w:adjustRightInd/>
        <w:spacing w:line="360" w:lineRule="auto"/>
        <w:ind w:firstLine="420" w:firstLineChars="200"/>
        <w:jc w:val="right"/>
        <w:textAlignment w:val="auto"/>
        <w:rPr>
          <w:rFonts w:hint="eastAsia" w:ascii="宋体" w:hAnsi="宋体" w:eastAsia="宋体" w:cs="宋体"/>
          <w:color w:val="auto"/>
          <w:sz w:val="21"/>
          <w:szCs w:val="21"/>
          <w:highlight w:val="none"/>
          <w:u w:val="single"/>
        </w:rPr>
      </w:pPr>
    </w:p>
    <w:p w14:paraId="2BCEDC34">
      <w:pPr>
        <w:pStyle w:val="12"/>
        <w:keepNext w:val="0"/>
        <w:keepLines w:val="0"/>
        <w:pageBreakBefore w:val="0"/>
        <w:kinsoku/>
        <w:wordWrap/>
        <w:overflowPunct/>
        <w:topLinePunct w:val="0"/>
        <w:autoSpaceDE/>
        <w:autoSpaceDN/>
        <w:bidi w:val="0"/>
        <w:adjustRightInd/>
        <w:spacing w:line="360" w:lineRule="auto"/>
        <w:ind w:firstLine="420" w:firstLineChars="2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广西翔正项目管理有限公司</w:t>
      </w:r>
    </w:p>
    <w:p w14:paraId="219D017D">
      <w:pPr>
        <w:keepNext w:val="0"/>
        <w:keepLines w:val="0"/>
        <w:pageBreakBefore w:val="0"/>
        <w:kinsoku/>
        <w:wordWrap/>
        <w:overflowPunct/>
        <w:topLinePunct w:val="0"/>
        <w:autoSpaceDE/>
        <w:autoSpaceDN/>
        <w:bidi w:val="0"/>
        <w:adjustRightInd/>
        <w:spacing w:line="360" w:lineRule="auto"/>
        <w:ind w:firstLine="420" w:firstLineChars="2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BCAF87B">
      <w:pPr>
        <w:rPr>
          <w:rFonts w:hint="eastAsia" w:ascii="Cambria" w:hAnsi="Cambria" w:cs="宋体"/>
          <w:bCs w:val="0"/>
          <w:color w:val="auto"/>
          <w:sz w:val="32"/>
          <w:szCs w:val="32"/>
          <w:highlight w:val="none"/>
        </w:rPr>
      </w:pPr>
      <w:r>
        <w:rPr>
          <w:rFonts w:hint="eastAsia" w:ascii="Cambria" w:hAnsi="Cambria" w:cs="宋体"/>
          <w:bCs w:val="0"/>
          <w:color w:val="auto"/>
          <w:sz w:val="32"/>
          <w:szCs w:val="32"/>
          <w:highlight w:val="none"/>
        </w:rPr>
        <w:br w:type="page"/>
      </w:r>
    </w:p>
    <w:p w14:paraId="6F894737">
      <w:pPr>
        <w:pStyle w:val="2"/>
        <w:widowControl/>
        <w:numPr>
          <w:ilvl w:val="0"/>
          <w:numId w:val="0"/>
        </w:numPr>
        <w:jc w:val="center"/>
        <w:rPr>
          <w:color w:val="auto"/>
          <w:highlight w:val="none"/>
        </w:rPr>
      </w:pPr>
      <w:bookmarkStart w:id="32" w:name="_Toc26396"/>
      <w:r>
        <w:rPr>
          <w:rFonts w:hint="eastAsia" w:ascii="Times New Roman" w:hAnsi="Times New Roman" w:eastAsia="宋体" w:cs="Times New Roman"/>
          <w:b/>
          <w:bCs/>
          <w:color w:val="auto"/>
          <w:kern w:val="44"/>
          <w:sz w:val="44"/>
          <w:szCs w:val="44"/>
          <w:highlight w:val="none"/>
          <w:lang w:val="en-US" w:eastAsia="zh-CN" w:bidi="ar-SA"/>
        </w:rPr>
        <w:t>第二章</w:t>
      </w:r>
      <w:r>
        <w:rPr>
          <w:rFonts w:hint="eastAsia" w:cs="Times New Roman"/>
          <w:b/>
          <w:bCs/>
          <w:color w:val="auto"/>
          <w:kern w:val="44"/>
          <w:sz w:val="44"/>
          <w:szCs w:val="44"/>
          <w:highlight w:val="none"/>
          <w:lang w:val="en-US" w:eastAsia="zh-CN" w:bidi="ar-SA"/>
        </w:rPr>
        <w:t xml:space="preserve"> </w:t>
      </w:r>
      <w:r>
        <w:rPr>
          <w:rFonts w:hint="eastAsia" w:ascii="Times New Roman" w:hAnsi="Times New Roman" w:eastAsia="宋体" w:cs="Times New Roman"/>
          <w:b/>
          <w:bCs/>
          <w:color w:val="auto"/>
          <w:kern w:val="44"/>
          <w:sz w:val="44"/>
          <w:szCs w:val="44"/>
          <w:highlight w:val="none"/>
          <w:lang w:val="en-US" w:eastAsia="zh-CN" w:bidi="ar-SA"/>
        </w:rPr>
        <w:t>采购需求</w:t>
      </w:r>
      <w:bookmarkEnd w:id="32"/>
    </w:p>
    <w:p w14:paraId="086EBBE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4C0CFC3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1.为落实政府采购政策需满足的要求：本竞争性磋商文件所称中小企业必须符合《政府采购促进中小企业发展管理办法》（财库〔2020〕46号）的规定。</w:t>
      </w:r>
    </w:p>
    <w:p w14:paraId="093E095E">
      <w:pPr>
        <w:spacing w:line="360" w:lineRule="auto"/>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2.“实质性要求”是指采购需求中带“▲”的条款或者不能负偏离的条款或者已经指明不满足按响应文件作无效处理的条款。</w:t>
      </w:r>
    </w:p>
    <w:p w14:paraId="1456C7C1">
      <w:pPr>
        <w:pStyle w:val="12"/>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.本项目中小企业划分标准所属行业名称（行业名称及划分见本章附件2）：</w:t>
      </w:r>
      <w:r>
        <w:rPr>
          <w:rFonts w:hint="eastAsia" w:ascii="宋体" w:hAnsi="宋体" w:cs="宋体"/>
          <w:b/>
          <w:bCs/>
          <w:color w:val="auto"/>
          <w:szCs w:val="21"/>
          <w:highlight w:val="none"/>
          <w:u w:val="single"/>
        </w:rPr>
        <w:t>建筑业</w:t>
      </w:r>
      <w:r>
        <w:rPr>
          <w:rFonts w:hint="eastAsia" w:ascii="宋体" w:hAnsi="宋体" w:cs="宋体"/>
          <w:color w:val="auto"/>
          <w:szCs w:val="21"/>
          <w:highlight w:val="none"/>
        </w:rPr>
        <w:t>。</w:t>
      </w:r>
    </w:p>
    <w:tbl>
      <w:tblPr>
        <w:tblStyle w:val="30"/>
        <w:tblpPr w:leftFromText="180" w:rightFromText="180" w:vertAnchor="text" w:horzAnchor="page" w:tblpX="1138" w:tblpY="477"/>
        <w:tblOverlap w:val="never"/>
        <w:tblW w:w="9458" w:type="dxa"/>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545"/>
        <w:gridCol w:w="1454"/>
        <w:gridCol w:w="675"/>
        <w:gridCol w:w="772"/>
        <w:gridCol w:w="3772"/>
        <w:gridCol w:w="1021"/>
        <w:gridCol w:w="1219"/>
      </w:tblGrid>
      <w:tr w14:paraId="56F514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trPr>
        <w:tc>
          <w:tcPr>
            <w:tcW w:w="54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48814C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序号</w:t>
            </w:r>
          </w:p>
        </w:tc>
        <w:tc>
          <w:tcPr>
            <w:tcW w:w="1454" w:type="dxa"/>
            <w:tcBorders>
              <w:top w:val="single" w:color="auto" w:sz="4" w:space="0"/>
              <w:left w:val="single" w:color="auto" w:sz="4" w:space="0"/>
              <w:bottom w:val="single" w:color="auto" w:sz="4" w:space="0"/>
              <w:right w:val="single" w:color="auto" w:sz="4" w:space="0"/>
            </w:tcBorders>
            <w:vAlign w:val="center"/>
          </w:tcPr>
          <w:p w14:paraId="4EDDC3B4">
            <w:pPr>
              <w:jc w:val="center"/>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lang w:eastAsia="zh-CN" w:bidi="ar"/>
              </w:rPr>
              <w:t>标的名称</w:t>
            </w:r>
          </w:p>
        </w:tc>
        <w:tc>
          <w:tcPr>
            <w:tcW w:w="675" w:type="dxa"/>
            <w:tcBorders>
              <w:top w:val="single" w:color="auto" w:sz="4" w:space="0"/>
              <w:left w:val="single" w:color="auto" w:sz="4" w:space="0"/>
              <w:bottom w:val="single" w:color="auto" w:sz="4" w:space="0"/>
              <w:right w:val="single" w:color="auto" w:sz="4" w:space="0"/>
            </w:tcBorders>
            <w:vAlign w:val="center"/>
          </w:tcPr>
          <w:p w14:paraId="0A2AD5EA">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单位</w:t>
            </w:r>
          </w:p>
        </w:tc>
        <w:tc>
          <w:tcPr>
            <w:tcW w:w="772" w:type="dxa"/>
            <w:tcBorders>
              <w:top w:val="single" w:color="auto" w:sz="4" w:space="0"/>
              <w:left w:val="single" w:color="auto" w:sz="4" w:space="0"/>
              <w:bottom w:val="single" w:color="auto" w:sz="4" w:space="0"/>
              <w:right w:val="single" w:color="auto" w:sz="4" w:space="0"/>
            </w:tcBorders>
            <w:vAlign w:val="center"/>
          </w:tcPr>
          <w:p w14:paraId="13B040B4">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数量</w:t>
            </w:r>
          </w:p>
        </w:tc>
        <w:tc>
          <w:tcPr>
            <w:tcW w:w="3772" w:type="dxa"/>
            <w:tcBorders>
              <w:top w:val="single" w:color="auto" w:sz="4" w:space="0"/>
              <w:left w:val="single" w:color="auto" w:sz="4" w:space="0"/>
              <w:bottom w:val="single" w:color="auto" w:sz="4" w:space="0"/>
              <w:right w:val="single" w:color="auto" w:sz="4" w:space="0"/>
            </w:tcBorders>
            <w:vAlign w:val="center"/>
          </w:tcPr>
          <w:p w14:paraId="39D40761">
            <w:pPr>
              <w:jc w:val="center"/>
              <w:rPr>
                <w:rFonts w:hint="eastAsia" w:ascii="宋体" w:hAnsi="宋体" w:cs="宋体"/>
                <w:color w:val="auto"/>
                <w:szCs w:val="21"/>
                <w:highlight w:val="none"/>
              </w:rPr>
            </w:pPr>
            <w:r>
              <w:rPr>
                <w:color w:val="auto"/>
                <w:spacing w:val="8"/>
                <w:highlight w:val="none"/>
              </w:rPr>
              <w:t>工程概况及采购范围</w:t>
            </w:r>
          </w:p>
        </w:tc>
        <w:tc>
          <w:tcPr>
            <w:tcW w:w="1021" w:type="dxa"/>
            <w:tcBorders>
              <w:top w:val="single" w:color="auto" w:sz="4" w:space="0"/>
              <w:left w:val="single" w:color="auto" w:sz="4" w:space="0"/>
              <w:bottom w:val="single" w:color="auto" w:sz="4" w:space="0"/>
              <w:right w:val="single" w:color="auto" w:sz="4" w:space="0"/>
            </w:tcBorders>
            <w:vAlign w:val="center"/>
          </w:tcPr>
          <w:p w14:paraId="4C4B98EC">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分项预算合计（元）</w:t>
            </w:r>
          </w:p>
        </w:tc>
        <w:tc>
          <w:tcPr>
            <w:tcW w:w="1219" w:type="dxa"/>
            <w:tcBorders>
              <w:top w:val="single" w:color="auto" w:sz="4" w:space="0"/>
              <w:left w:val="single" w:color="auto" w:sz="4" w:space="0"/>
              <w:bottom w:val="single" w:color="auto" w:sz="4" w:space="0"/>
              <w:right w:val="single" w:color="auto" w:sz="4" w:space="0"/>
            </w:tcBorders>
            <w:vAlign w:val="center"/>
          </w:tcPr>
          <w:p w14:paraId="4B13CA6E">
            <w:pPr>
              <w:jc w:val="center"/>
              <w:rPr>
                <w:rFonts w:hint="eastAsia" w:ascii="宋体" w:hAnsi="宋体" w:cs="宋体"/>
                <w:color w:val="auto"/>
                <w:sz w:val="24"/>
                <w:highlight w:val="none"/>
              </w:rPr>
            </w:pPr>
            <w:r>
              <w:rPr>
                <w:rFonts w:hint="eastAsia" w:ascii="Calibri" w:hAnsi="Calibri" w:cs="宋体"/>
                <w:color w:val="auto"/>
                <w:highlight w:val="none"/>
                <w:lang w:bidi="ar"/>
              </w:rPr>
              <w:t>中小企业划分标准所属行业名称（行业名称及划分见本章附件</w:t>
            </w:r>
            <w:r>
              <w:rPr>
                <w:rFonts w:hint="eastAsia" w:ascii="Calibri" w:hAnsi="Calibri" w:cs="Calibri"/>
                <w:color w:val="auto"/>
                <w:highlight w:val="none"/>
                <w:lang w:val="en-US" w:eastAsia="zh-CN" w:bidi="ar"/>
              </w:rPr>
              <w:t>1</w:t>
            </w:r>
            <w:r>
              <w:rPr>
                <w:rFonts w:hint="eastAsia" w:ascii="Calibri" w:hAnsi="Calibri" w:cs="宋体"/>
                <w:color w:val="auto"/>
                <w:highlight w:val="none"/>
                <w:lang w:bidi="ar"/>
              </w:rPr>
              <w:t>）</w:t>
            </w:r>
          </w:p>
        </w:tc>
      </w:tr>
      <w:tr w14:paraId="3CFDD8D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545" w:type="dxa"/>
            <w:tcBorders>
              <w:top w:val="single" w:color="auto" w:sz="4" w:space="0"/>
              <w:left w:val="single" w:color="auto" w:sz="4" w:space="0"/>
              <w:bottom w:val="single" w:color="auto" w:sz="4" w:space="0"/>
              <w:right w:val="single" w:color="auto" w:sz="4" w:space="0"/>
            </w:tcBorders>
            <w:vAlign w:val="center"/>
          </w:tcPr>
          <w:p w14:paraId="021AB949">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1</w:t>
            </w:r>
          </w:p>
        </w:tc>
        <w:tc>
          <w:tcPr>
            <w:tcW w:w="1454" w:type="dxa"/>
            <w:tcBorders>
              <w:top w:val="single" w:color="auto" w:sz="4" w:space="0"/>
              <w:left w:val="single" w:color="auto" w:sz="4" w:space="0"/>
              <w:bottom w:val="single" w:color="auto" w:sz="4" w:space="0"/>
              <w:right w:val="single" w:color="auto" w:sz="4" w:space="0"/>
            </w:tcBorders>
            <w:vAlign w:val="center"/>
          </w:tcPr>
          <w:p w14:paraId="39F85DC9">
            <w:pPr>
              <w:autoSpaceDE w:val="0"/>
              <w:autoSpaceDN w:val="0"/>
              <w:adjustRightInd w:val="0"/>
              <w:spacing w:line="380" w:lineRule="exact"/>
              <w:jc w:val="center"/>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昆仑镇九塘社区大塘坡水稻灌溉工程</w:t>
            </w:r>
          </w:p>
        </w:tc>
        <w:tc>
          <w:tcPr>
            <w:tcW w:w="675" w:type="dxa"/>
            <w:tcBorders>
              <w:top w:val="single" w:color="auto" w:sz="4" w:space="0"/>
              <w:left w:val="single" w:color="auto" w:sz="4" w:space="0"/>
              <w:bottom w:val="single" w:color="auto" w:sz="4" w:space="0"/>
              <w:right w:val="single" w:color="auto" w:sz="4" w:space="0"/>
            </w:tcBorders>
            <w:vAlign w:val="center"/>
          </w:tcPr>
          <w:p w14:paraId="6290A1FE">
            <w:pPr>
              <w:autoSpaceDE w:val="0"/>
              <w:autoSpaceDN w:val="0"/>
              <w:adjustRightInd w:val="0"/>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772" w:type="dxa"/>
            <w:tcBorders>
              <w:top w:val="single" w:color="auto" w:sz="4" w:space="0"/>
              <w:left w:val="single" w:color="auto" w:sz="4" w:space="0"/>
              <w:bottom w:val="single" w:color="auto" w:sz="4" w:space="0"/>
              <w:right w:val="single" w:color="auto" w:sz="4" w:space="0"/>
            </w:tcBorders>
            <w:vAlign w:val="center"/>
          </w:tcPr>
          <w:p w14:paraId="5E720177">
            <w:pPr>
              <w:autoSpaceDE w:val="0"/>
              <w:autoSpaceDN w:val="0"/>
              <w:adjustRightInd w:val="0"/>
              <w:spacing w:line="380" w:lineRule="exact"/>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p>
        </w:tc>
        <w:tc>
          <w:tcPr>
            <w:tcW w:w="3772" w:type="dxa"/>
            <w:tcBorders>
              <w:top w:val="single" w:color="auto" w:sz="4" w:space="0"/>
              <w:left w:val="single" w:color="auto" w:sz="4" w:space="0"/>
              <w:bottom w:val="single" w:color="auto" w:sz="4" w:space="0"/>
              <w:right w:val="single" w:color="auto" w:sz="4" w:space="0"/>
            </w:tcBorders>
          </w:tcPr>
          <w:p w14:paraId="42F7E8E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b/>
                <w:bCs/>
                <w:color w:val="auto"/>
                <w:kern w:val="0"/>
                <w:szCs w:val="21"/>
                <w:highlight w:val="none"/>
                <w:lang w:val="zh-CN" w:eastAsia="zh-CN"/>
              </w:rPr>
            </w:pPr>
            <w:r>
              <w:rPr>
                <w:rFonts w:hint="eastAsia" w:ascii="宋体" w:hAnsi="宋体" w:cs="宋体"/>
                <w:b/>
                <w:bCs/>
                <w:color w:val="auto"/>
                <w:kern w:val="0"/>
                <w:szCs w:val="21"/>
                <w:highlight w:val="none"/>
                <w:lang w:val="en-US" w:eastAsia="zh-CN"/>
              </w:rPr>
              <w:t>1</w:t>
            </w:r>
            <w:r>
              <w:rPr>
                <w:rFonts w:hint="eastAsia" w:ascii="宋体" w:hAnsi="宋体" w:cs="宋体"/>
                <w:b/>
                <w:bCs/>
                <w:color w:val="auto"/>
                <w:kern w:val="0"/>
                <w:szCs w:val="21"/>
                <w:highlight w:val="none"/>
                <w:lang w:val="zh-CN" w:eastAsia="zh-CN"/>
              </w:rPr>
              <w:t>、项目概况</w:t>
            </w:r>
          </w:p>
          <w:p w14:paraId="61409C3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eastAsia="zh-CN"/>
              </w:rPr>
              <w:t>新建总长</w:t>
            </w:r>
            <w:r>
              <w:rPr>
                <w:rFonts w:hint="eastAsia" w:ascii="宋体" w:hAnsi="宋体" w:cs="宋体"/>
                <w:color w:val="auto"/>
                <w:kern w:val="0"/>
                <w:szCs w:val="21"/>
                <w:highlight w:val="none"/>
                <w:lang w:val="en-US" w:eastAsia="zh-CN"/>
              </w:rPr>
              <w:t>1.08公里三面光渠道，分三段建设，895米段断面尺寸1m</w:t>
            </w:r>
            <w:r>
              <w:rPr>
                <w:rFonts w:hint="default" w:ascii="宋体" w:hAnsi="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0.8m、95米段断面尺寸0.5m</w:t>
            </w:r>
            <w:r>
              <w:rPr>
                <w:rFonts w:hint="default" w:ascii="宋体" w:hAnsi="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0.8m、90米段断面尺寸 0.3m</w:t>
            </w:r>
            <w:r>
              <w:rPr>
                <w:rFonts w:hint="default" w:ascii="宋体" w:hAnsi="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0.3m；同步配套建设管涵、渡槽、机械下田口、分水口、放水口等附属设施施工，</w:t>
            </w:r>
            <w:r>
              <w:rPr>
                <w:rFonts w:hint="eastAsia" w:ascii="宋体" w:hAnsi="宋体" w:cs="宋体"/>
                <w:color w:val="auto"/>
                <w:kern w:val="0"/>
                <w:szCs w:val="21"/>
                <w:highlight w:val="none"/>
                <w:lang w:val="zh-CN"/>
              </w:rPr>
              <w:t>具体内容详见施工图纸及工程量清单。</w:t>
            </w:r>
          </w:p>
          <w:p w14:paraId="1271B789">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lang w:val="zh-CN"/>
              </w:rPr>
            </w:pPr>
            <w:r>
              <w:rPr>
                <w:rFonts w:hint="eastAsia" w:ascii="宋体" w:hAnsi="宋体" w:cs="宋体"/>
                <w:b/>
                <w:bCs/>
                <w:color w:val="auto"/>
                <w:kern w:val="0"/>
                <w:szCs w:val="21"/>
                <w:highlight w:val="none"/>
                <w:lang w:val="en-US" w:eastAsia="zh-CN"/>
              </w:rPr>
              <w:t>2.</w:t>
            </w:r>
            <w:r>
              <w:rPr>
                <w:rFonts w:hint="eastAsia" w:ascii="宋体" w:hAnsi="宋体" w:cs="宋体"/>
                <w:b/>
                <w:bCs/>
                <w:color w:val="auto"/>
                <w:kern w:val="0"/>
                <w:szCs w:val="21"/>
                <w:highlight w:val="none"/>
                <w:lang w:val="zh-CN"/>
              </w:rPr>
              <w:t>施工工期:</w:t>
            </w:r>
            <w:r>
              <w:rPr>
                <w:rFonts w:hint="eastAsia" w:ascii="宋体" w:hAnsi="宋体" w:cs="宋体"/>
                <w:color w:val="auto"/>
                <w:kern w:val="0"/>
                <w:szCs w:val="21"/>
                <w:highlight w:val="none"/>
                <w:lang w:val="en-US" w:eastAsia="zh-CN"/>
              </w:rPr>
              <w:t>100</w:t>
            </w:r>
            <w:r>
              <w:rPr>
                <w:rFonts w:hint="eastAsia" w:ascii="宋体" w:hAnsi="宋体" w:cs="宋体"/>
                <w:color w:val="auto"/>
                <w:kern w:val="0"/>
                <w:szCs w:val="21"/>
                <w:highlight w:val="none"/>
                <w:lang w:val="zh-CN"/>
              </w:rPr>
              <w:t xml:space="preserve"> 日历天。</w:t>
            </w:r>
          </w:p>
          <w:p w14:paraId="1C98700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lang w:val="zh-CN"/>
              </w:rPr>
            </w:pPr>
            <w:r>
              <w:rPr>
                <w:rFonts w:hint="eastAsia" w:ascii="宋体" w:hAnsi="宋体" w:cs="宋体"/>
                <w:b/>
                <w:bCs/>
                <w:color w:val="auto"/>
                <w:kern w:val="0"/>
                <w:szCs w:val="21"/>
                <w:highlight w:val="none"/>
                <w:lang w:val="zh-CN"/>
              </w:rPr>
              <w:t>3.技术标准和要求：</w:t>
            </w:r>
            <w:r>
              <w:rPr>
                <w:rFonts w:hint="eastAsia" w:ascii="宋体" w:hAnsi="宋体" w:cs="宋体"/>
                <w:color w:val="auto"/>
                <w:kern w:val="0"/>
                <w:szCs w:val="21"/>
                <w:highlight w:val="none"/>
                <w:lang w:val="zh-CN"/>
              </w:rPr>
              <w:t>符合国家现行的工程建设标准、技术规范及强制性标准条文以及施工图纸载明的其他有关规范标准。</w:t>
            </w:r>
          </w:p>
          <w:p w14:paraId="2658BB7E">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lang w:val="zh-CN"/>
              </w:rPr>
            </w:pPr>
            <w:r>
              <w:rPr>
                <w:rFonts w:hint="eastAsia" w:ascii="宋体" w:hAnsi="宋体" w:cs="宋体"/>
                <w:b/>
                <w:bCs/>
                <w:color w:val="auto"/>
                <w:kern w:val="0"/>
                <w:szCs w:val="21"/>
                <w:highlight w:val="none"/>
                <w:lang w:val="zh-CN"/>
              </w:rPr>
              <w:t>4.质量标准：</w:t>
            </w:r>
            <w:r>
              <w:rPr>
                <w:rFonts w:hint="eastAsia" w:ascii="宋体" w:hAnsi="宋体" w:cs="宋体"/>
                <w:color w:val="auto"/>
                <w:kern w:val="0"/>
                <w:szCs w:val="21"/>
                <w:highlight w:val="none"/>
                <w:lang w:val="zh-CN"/>
              </w:rPr>
              <w:t>合格。</w:t>
            </w:r>
          </w:p>
          <w:p w14:paraId="422C6CE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lang w:val="zh-CN"/>
              </w:rPr>
            </w:pPr>
            <w:r>
              <w:rPr>
                <w:rFonts w:hint="eastAsia" w:ascii="宋体" w:hAnsi="宋体" w:cs="宋体"/>
                <w:b/>
                <w:bCs/>
                <w:color w:val="auto"/>
                <w:kern w:val="0"/>
                <w:szCs w:val="21"/>
                <w:highlight w:val="none"/>
                <w:lang w:val="zh-CN"/>
              </w:rPr>
              <w:t>5.报价方式：</w:t>
            </w:r>
            <w:r>
              <w:rPr>
                <w:rFonts w:hint="eastAsia" w:ascii="宋体" w:hAnsi="宋体" w:cs="宋体"/>
                <w:color w:val="auto"/>
                <w:kern w:val="0"/>
                <w:szCs w:val="21"/>
                <w:highlight w:val="none"/>
                <w:lang w:val="zh-CN"/>
              </w:rPr>
              <w:t>工程量清单报价。</w:t>
            </w:r>
          </w:p>
          <w:p w14:paraId="40D7C1D3">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宋体" w:hAnsi="宋体" w:cs="宋体"/>
                <w:color w:val="auto"/>
                <w:kern w:val="0"/>
                <w:szCs w:val="21"/>
                <w:highlight w:val="none"/>
                <w:lang w:val="en-US" w:eastAsia="zh-CN"/>
              </w:rPr>
            </w:pPr>
            <w:r>
              <w:rPr>
                <w:rFonts w:hint="eastAsia" w:ascii="宋体" w:hAnsi="宋体" w:cs="宋体"/>
                <w:b/>
                <w:bCs/>
                <w:color w:val="auto"/>
                <w:kern w:val="0"/>
                <w:szCs w:val="21"/>
                <w:highlight w:val="none"/>
                <w:lang w:val="zh-CN"/>
              </w:rPr>
              <w:t>6.开工日期：</w:t>
            </w:r>
            <w:r>
              <w:rPr>
                <w:rFonts w:hint="eastAsia" w:ascii="宋体" w:hAnsi="宋体" w:cs="宋体"/>
                <w:color w:val="auto"/>
                <w:kern w:val="0"/>
                <w:szCs w:val="21"/>
                <w:highlight w:val="none"/>
                <w:lang w:val="zh-CN"/>
              </w:rPr>
              <w:t>以签订合同后采购人通知为准。</w:t>
            </w:r>
          </w:p>
        </w:tc>
        <w:tc>
          <w:tcPr>
            <w:tcW w:w="1021" w:type="dxa"/>
            <w:tcBorders>
              <w:top w:val="single" w:color="auto" w:sz="4" w:space="0"/>
              <w:left w:val="single" w:color="auto" w:sz="4" w:space="0"/>
              <w:bottom w:val="single" w:color="auto" w:sz="4" w:space="0"/>
              <w:right w:val="single" w:color="auto" w:sz="4" w:space="0"/>
            </w:tcBorders>
            <w:vAlign w:val="center"/>
          </w:tcPr>
          <w:p w14:paraId="5B55DCE4">
            <w:pPr>
              <w:spacing w:line="2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bidi="ar"/>
              </w:rPr>
              <w:t>800867.00</w:t>
            </w:r>
          </w:p>
        </w:tc>
        <w:tc>
          <w:tcPr>
            <w:tcW w:w="1219" w:type="dxa"/>
            <w:tcBorders>
              <w:top w:val="single" w:color="auto" w:sz="4" w:space="0"/>
              <w:left w:val="single" w:color="auto" w:sz="4" w:space="0"/>
              <w:bottom w:val="single" w:color="auto" w:sz="4" w:space="0"/>
              <w:right w:val="single" w:color="auto" w:sz="4" w:space="0"/>
            </w:tcBorders>
            <w:vAlign w:val="center"/>
          </w:tcPr>
          <w:p w14:paraId="4574C08B">
            <w:pPr>
              <w:spacing w:line="260" w:lineRule="exact"/>
              <w:jc w:val="center"/>
              <w:rPr>
                <w:rFonts w:hint="eastAsia" w:ascii="宋体" w:hAnsi="宋体" w:cs="宋体"/>
                <w:color w:val="auto"/>
                <w:szCs w:val="21"/>
                <w:highlight w:val="none"/>
              </w:rPr>
            </w:pPr>
            <w:r>
              <w:rPr>
                <w:rFonts w:hint="eastAsia" w:ascii="宋体" w:hAnsi="宋体" w:cs="宋体"/>
                <w:b/>
                <w:bCs/>
                <w:color w:val="auto"/>
                <w:szCs w:val="21"/>
                <w:highlight w:val="none"/>
                <w:u w:val="single"/>
              </w:rPr>
              <w:t>建筑业</w:t>
            </w:r>
          </w:p>
        </w:tc>
      </w:tr>
      <w:tr w14:paraId="14CCD98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545" w:type="dxa"/>
            <w:tcBorders>
              <w:top w:val="single" w:color="auto" w:sz="4" w:space="0"/>
              <w:left w:val="single" w:color="auto" w:sz="4" w:space="0"/>
              <w:bottom w:val="single" w:color="auto" w:sz="4" w:space="0"/>
              <w:right w:val="single" w:color="auto" w:sz="4" w:space="0"/>
            </w:tcBorders>
            <w:vAlign w:val="center"/>
          </w:tcPr>
          <w:p w14:paraId="7024F144">
            <w:pPr>
              <w:jc w:val="center"/>
              <w:rPr>
                <w:rFonts w:hint="eastAsia" w:ascii="宋体" w:hAnsi="宋体" w:cs="宋体"/>
                <w:color w:val="auto"/>
                <w:highlight w:val="none"/>
              </w:rPr>
            </w:pPr>
          </w:p>
          <w:p w14:paraId="14719844">
            <w:pPr>
              <w:spacing w:line="240" w:lineRule="exact"/>
              <w:jc w:val="center"/>
              <w:rPr>
                <w:rFonts w:hint="eastAsia" w:ascii="宋体" w:hAnsi="宋体" w:cs="宋体"/>
                <w:color w:val="auto"/>
                <w:szCs w:val="21"/>
                <w:highlight w:val="none"/>
                <w:lang w:bidi="ar"/>
              </w:rPr>
            </w:pPr>
            <w:r>
              <w:rPr>
                <w:rFonts w:hint="eastAsia" w:ascii="宋体" w:hAnsi="宋体" w:cs="宋体"/>
                <w:color w:val="auto"/>
                <w:highlight w:val="none"/>
                <w:lang w:bidi="ar"/>
              </w:rPr>
              <w:t>商务条款</w:t>
            </w:r>
          </w:p>
        </w:tc>
        <w:tc>
          <w:tcPr>
            <w:tcW w:w="8913" w:type="dxa"/>
            <w:gridSpan w:val="6"/>
            <w:tcBorders>
              <w:top w:val="single" w:color="auto" w:sz="4" w:space="0"/>
              <w:left w:val="single" w:color="auto" w:sz="4" w:space="0"/>
              <w:bottom w:val="single" w:color="auto" w:sz="4" w:space="0"/>
              <w:right w:val="single" w:color="auto" w:sz="4" w:space="0"/>
            </w:tcBorders>
            <w:vAlign w:val="center"/>
          </w:tcPr>
          <w:p w14:paraId="4E0FD7B4">
            <w:pPr>
              <w:pStyle w:val="14"/>
              <w:keepNext w:val="0"/>
              <w:keepLines w:val="0"/>
              <w:pageBreakBefore w:val="0"/>
              <w:widowControl w:val="0"/>
              <w:kinsoku/>
              <w:wordWrap/>
              <w:overflowPunct/>
              <w:topLinePunct w:val="0"/>
              <w:autoSpaceDE w:val="0"/>
              <w:autoSpaceDN w:val="0"/>
              <w:bidi w:val="0"/>
              <w:adjustRightInd w:val="0"/>
              <w:snapToGrid/>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bidi="ar"/>
              </w:rPr>
              <w:t>▲一、合同签订期</w:t>
            </w:r>
            <w:r>
              <w:rPr>
                <w:rFonts w:hint="eastAsia" w:ascii="宋体" w:hAnsi="宋体" w:eastAsia="宋体" w:cs="宋体"/>
                <w:color w:val="auto"/>
                <w:sz w:val="21"/>
                <w:szCs w:val="21"/>
                <w:highlight w:val="none"/>
                <w:lang w:bidi="ar"/>
              </w:rPr>
              <w:t>：自中标通知书发出之日起</w:t>
            </w:r>
            <w:r>
              <w:rPr>
                <w:rFonts w:hint="eastAsia" w:ascii="宋体" w:hAnsi="宋体" w:eastAsia="宋体" w:cs="宋体"/>
                <w:color w:val="auto"/>
                <w:sz w:val="21"/>
                <w:szCs w:val="21"/>
                <w:highlight w:val="none"/>
                <w:u w:val="single"/>
                <w:lang w:bidi="ar"/>
              </w:rPr>
              <w:t xml:space="preserve"> 25 </w:t>
            </w:r>
            <w:r>
              <w:rPr>
                <w:rFonts w:hint="eastAsia" w:ascii="宋体" w:hAnsi="宋体" w:eastAsia="宋体" w:cs="宋体"/>
                <w:color w:val="auto"/>
                <w:sz w:val="21"/>
                <w:szCs w:val="21"/>
                <w:highlight w:val="none"/>
                <w:lang w:bidi="ar"/>
              </w:rPr>
              <w:t>日内。</w:t>
            </w:r>
          </w:p>
          <w:p w14:paraId="53600C10">
            <w:pPr>
              <w:pStyle w:val="14"/>
              <w:keepNext w:val="0"/>
              <w:keepLines w:val="0"/>
              <w:pageBreakBefore w:val="0"/>
              <w:widowControl w:val="0"/>
              <w:kinsoku/>
              <w:wordWrap/>
              <w:overflowPunct/>
              <w:topLinePunct w:val="0"/>
              <w:bidi w:val="0"/>
              <w:snapToGrid/>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Cs/>
                <w:color w:val="auto"/>
                <w:kern w:val="0"/>
                <w:sz w:val="21"/>
                <w:szCs w:val="21"/>
                <w:highlight w:val="none"/>
              </w:rPr>
              <w:t>二、</w:t>
            </w:r>
            <w:r>
              <w:rPr>
                <w:rFonts w:hint="eastAsia" w:ascii="宋体" w:hAnsi="宋体" w:eastAsia="宋体" w:cs="宋体"/>
                <w:b/>
                <w:bCs/>
                <w:color w:val="auto"/>
                <w:sz w:val="21"/>
                <w:szCs w:val="21"/>
                <w:highlight w:val="none"/>
              </w:rPr>
              <w:t>合同履行期限（工期）</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lang w:val="en-US" w:eastAsia="zh-CN"/>
              </w:rPr>
              <w:t>日历天</w:t>
            </w:r>
            <w:r>
              <w:rPr>
                <w:rFonts w:hint="eastAsia" w:ascii="宋体" w:hAnsi="宋体" w:eastAsia="宋体" w:cs="宋体"/>
                <w:color w:val="auto"/>
                <w:sz w:val="21"/>
                <w:szCs w:val="21"/>
                <w:highlight w:val="none"/>
              </w:rPr>
              <w:t>。</w:t>
            </w:r>
          </w:p>
          <w:p w14:paraId="452E1574">
            <w:pPr>
              <w:spacing w:line="420" w:lineRule="exact"/>
              <w:rPr>
                <w:rFonts w:hint="eastAsia" w:ascii="宋体" w:hAnsi="宋体" w:cs="宋体"/>
                <w:color w:val="auto"/>
                <w:szCs w:val="21"/>
                <w:highlight w:val="none"/>
              </w:rPr>
            </w:pPr>
            <w:r>
              <w:rPr>
                <w:rFonts w:hint="eastAsia" w:ascii="宋体" w:hAnsi="宋体" w:eastAsia="宋体" w:cs="宋体"/>
                <w:b/>
                <w:color w:val="auto"/>
                <w:sz w:val="21"/>
                <w:szCs w:val="21"/>
                <w:highlight w:val="none"/>
                <w:lang w:eastAsia="zh-CN" w:bidi="ar"/>
              </w:rPr>
              <w:t>三</w:t>
            </w:r>
            <w:r>
              <w:rPr>
                <w:rFonts w:hint="eastAsia" w:ascii="宋体" w:hAnsi="宋体" w:eastAsia="宋体" w:cs="宋体"/>
                <w:b/>
                <w:color w:val="auto"/>
                <w:sz w:val="21"/>
                <w:szCs w:val="21"/>
                <w:highlight w:val="none"/>
                <w:lang w:bidi="ar"/>
              </w:rPr>
              <w:t>、</w:t>
            </w:r>
            <w:r>
              <w:rPr>
                <w:rFonts w:hint="eastAsia" w:ascii="宋体" w:hAnsi="宋体" w:eastAsia="宋体" w:cs="宋体"/>
                <w:b/>
                <w:bCs/>
                <w:color w:val="auto"/>
                <w:sz w:val="21"/>
                <w:szCs w:val="21"/>
                <w:highlight w:val="none"/>
              </w:rPr>
              <w:t>工程质量保修期：</w:t>
            </w:r>
            <w:r>
              <w:rPr>
                <w:rFonts w:hint="eastAsia" w:ascii="宋体" w:hAnsi="宋体" w:cs="宋体"/>
                <w:color w:val="auto"/>
                <w:szCs w:val="21"/>
                <w:highlight w:val="none"/>
              </w:rPr>
              <w:t>工程完工验收合格之日起1年。</w:t>
            </w:r>
          </w:p>
          <w:p w14:paraId="3E09881C">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kern w:val="0"/>
                <w:sz w:val="21"/>
                <w:szCs w:val="21"/>
                <w:highlight w:val="none"/>
                <w:lang w:val="zh-CN" w:bidi="ar"/>
              </w:rPr>
              <w:t>▲四、</w:t>
            </w:r>
            <w:r>
              <w:rPr>
                <w:rFonts w:hint="eastAsia" w:ascii="宋体" w:hAnsi="宋体" w:eastAsia="宋体" w:cs="宋体"/>
                <w:b/>
                <w:bCs/>
                <w:color w:val="auto"/>
                <w:sz w:val="21"/>
                <w:szCs w:val="21"/>
                <w:highlight w:val="none"/>
              </w:rPr>
              <w:t>其他要求：</w:t>
            </w:r>
          </w:p>
          <w:p w14:paraId="5673483F">
            <w:pPr>
              <w:keepNext w:val="0"/>
              <w:keepLines w:val="0"/>
              <w:pageBreakBefore w:val="0"/>
              <w:widowControl w:val="0"/>
              <w:kinsoku/>
              <w:wordWrap/>
              <w:overflowPunct/>
              <w:topLinePunct w:val="0"/>
              <w:bidi w:val="0"/>
              <w:snapToGrid/>
              <w:spacing w:line="36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本项目采用工程量清单报价方式，发包方式：固定综合单价，包工包料。工程结算价款以南宁市</w:t>
            </w:r>
            <w:r>
              <w:rPr>
                <w:rFonts w:hint="eastAsia" w:ascii="宋体" w:hAnsi="宋体" w:eastAsia="宋体" w:cs="宋体"/>
                <w:color w:val="auto"/>
                <w:sz w:val="21"/>
                <w:szCs w:val="21"/>
                <w:highlight w:val="none"/>
                <w:lang w:eastAsia="zh-CN"/>
              </w:rPr>
              <w:t>兴宁</w:t>
            </w:r>
            <w:r>
              <w:rPr>
                <w:rFonts w:hint="eastAsia" w:ascii="宋体" w:hAnsi="宋体" w:eastAsia="宋体" w:cs="宋体"/>
                <w:color w:val="auto"/>
                <w:sz w:val="21"/>
                <w:szCs w:val="21"/>
                <w:highlight w:val="none"/>
              </w:rPr>
              <w:t>区财政投资项目评审中心核定的造价为准。报价必须包含以下部分，包括：</w:t>
            </w:r>
          </w:p>
          <w:p w14:paraId="6F329DBB">
            <w:pPr>
              <w:keepNext w:val="0"/>
              <w:keepLines w:val="0"/>
              <w:pageBreakBefore w:val="0"/>
              <w:widowControl w:val="0"/>
              <w:kinsoku/>
              <w:wordWrap/>
              <w:overflowPunct/>
              <w:topLinePunct w:val="0"/>
              <w:bidi w:val="0"/>
              <w:snapToGrid/>
              <w:spacing w:line="36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（1）满足本次竞标全部采购需求工程的成本、调试、检验、技术服务、培训、税费等所有费用。</w:t>
            </w:r>
          </w:p>
          <w:p w14:paraId="166A14F6">
            <w:pPr>
              <w:keepNext w:val="0"/>
              <w:keepLines w:val="0"/>
              <w:pageBreakBefore w:val="0"/>
              <w:widowControl w:val="0"/>
              <w:kinsoku/>
              <w:wordWrap/>
              <w:overflowPunct/>
              <w:topLinePunct w:val="0"/>
              <w:bidi w:val="0"/>
              <w:snapToGrid/>
              <w:spacing w:line="36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（2）必要的保险费和各项税金（成交供应商需为该工程购买工程一切险）。</w:t>
            </w:r>
          </w:p>
          <w:p w14:paraId="6527E207">
            <w:pPr>
              <w:keepNext w:val="0"/>
              <w:keepLines w:val="0"/>
              <w:pageBreakBefore w:val="0"/>
              <w:widowControl w:val="0"/>
              <w:kinsoku/>
              <w:wordWrap/>
              <w:overflowPunct/>
              <w:topLinePunct w:val="0"/>
              <w:bidi w:val="0"/>
              <w:snapToGrid/>
              <w:spacing w:line="360" w:lineRule="auto"/>
              <w:ind w:firstLine="210"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竞标人已标价工程量清单（包含首次报价、最后报价）的子目号、子目名称及子目特征描述、计量单位、工程量须与招标工程量清单一致的，否则竞标无效；竞标报价不得高于采购最高限价。本项目采用二次报价方式，竞标人的最终报价如有变动，则必须以工程量清单报价表的格式编制提交，竞标人须提前做好相关准备并按时递交最终报价文件，否则报价无效。</w:t>
            </w:r>
          </w:p>
          <w:p w14:paraId="3F01D10A">
            <w:pPr>
              <w:keepNext w:val="0"/>
              <w:keepLines w:val="0"/>
              <w:pageBreakBefore w:val="0"/>
              <w:widowControl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付款方式：</w:t>
            </w:r>
          </w:p>
          <w:p w14:paraId="0F6F507C">
            <w:pPr>
              <w:keepNext w:val="0"/>
              <w:keepLines w:val="0"/>
              <w:pageBreakBefore w:val="0"/>
              <w:widowControl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为合同价款的30%，在开工前7日内支付。根据工程按进度每月支付，按照规范的工程价款支付程序支付资金。工程建设期间，发包人支付承包人合同内工程款为已完成工程量的80%，合同外工程款(含变更)为已完成工程量的60%。待通过竣工验收后并完成结算审定后可拨付至结算审定金额的97%，工程价款结算总额的3%作为工程质量保修金。待工程质量缺陷期期满、承包人修复质量缺陷后支付（不计利息）。</w:t>
            </w:r>
          </w:p>
          <w:p w14:paraId="71FB60CD">
            <w:pPr>
              <w:keepNext w:val="0"/>
              <w:keepLines w:val="0"/>
              <w:pageBreakBefore w:val="0"/>
              <w:widowControl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供应商每次申请工程款之前必须按要求提供所计量工程量的质保资料，并同时向</w:t>
            </w:r>
            <w:r>
              <w:rPr>
                <w:rFonts w:hint="eastAsia" w:ascii="宋体" w:hAnsi="宋体"/>
                <w:color w:val="auto"/>
                <w:szCs w:val="21"/>
                <w:highlight w:val="none"/>
              </w:rPr>
              <w:t>采购人开具增值税发票后采购人才进行工程款的拨付。</w:t>
            </w:r>
          </w:p>
          <w:p w14:paraId="3890C273">
            <w:pPr>
              <w:keepNext w:val="0"/>
              <w:keepLines w:val="0"/>
              <w:pageBreakBefore w:val="0"/>
              <w:widowControl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4.在未交付使用前，成交供应商应采取一切合理的预防措施，防止人员伤亡，财产损失，费用由成交供应商自行承担。</w:t>
            </w:r>
          </w:p>
        </w:tc>
      </w:tr>
      <w:tr w14:paraId="1BE566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545" w:type="dxa"/>
            <w:tcBorders>
              <w:top w:val="single" w:color="auto" w:sz="4" w:space="0"/>
              <w:left w:val="single" w:color="auto" w:sz="4" w:space="0"/>
              <w:bottom w:val="single" w:color="auto" w:sz="4" w:space="0"/>
              <w:right w:val="single" w:color="auto" w:sz="4" w:space="0"/>
            </w:tcBorders>
            <w:vAlign w:val="center"/>
          </w:tcPr>
          <w:p w14:paraId="373C2E8B">
            <w:pPr>
              <w:spacing w:line="240" w:lineRule="exact"/>
              <w:jc w:val="center"/>
              <w:rPr>
                <w:rFonts w:hint="eastAsia" w:ascii="宋体" w:hAnsi="宋体" w:cs="宋体"/>
                <w:color w:val="auto"/>
                <w:szCs w:val="21"/>
                <w:highlight w:val="none"/>
                <w:lang w:bidi="ar"/>
              </w:rPr>
            </w:pPr>
            <w:r>
              <w:rPr>
                <w:rFonts w:hint="eastAsia" w:ascii="宋体" w:hAnsi="宋体" w:cs="宋体"/>
                <w:color w:val="auto"/>
                <w:highlight w:val="none"/>
                <w:lang w:bidi="ar"/>
              </w:rPr>
              <w:t>其他说明</w:t>
            </w:r>
          </w:p>
        </w:tc>
        <w:tc>
          <w:tcPr>
            <w:tcW w:w="8913" w:type="dxa"/>
            <w:gridSpan w:val="6"/>
            <w:tcBorders>
              <w:top w:val="single" w:color="auto" w:sz="4" w:space="0"/>
              <w:left w:val="single" w:color="auto" w:sz="4" w:space="0"/>
              <w:bottom w:val="single" w:color="auto" w:sz="4" w:space="0"/>
              <w:right w:val="single" w:color="auto" w:sz="4" w:space="0"/>
            </w:tcBorders>
            <w:vAlign w:val="center"/>
          </w:tcPr>
          <w:p w14:paraId="7DA066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一、</w:t>
            </w:r>
            <w:r>
              <w:rPr>
                <w:rFonts w:hint="eastAsia" w:ascii="宋体" w:hAnsi="宋体" w:cs="宋体"/>
                <w:color w:val="auto"/>
                <w:szCs w:val="21"/>
                <w:highlight w:val="none"/>
              </w:rPr>
              <w:t>其他：供应商自行到项目所在地进行现场勘察，否则由于对现场情况不了解或了解不透彻导致响应失误的后果由磋商供应商自行承担。</w:t>
            </w:r>
          </w:p>
          <w:p w14:paraId="74556B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二</w:t>
            </w:r>
            <w:r>
              <w:rPr>
                <w:rFonts w:hint="eastAsia" w:ascii="宋体" w:hAnsi="宋体" w:cs="宋体"/>
                <w:b/>
                <w:bCs/>
                <w:color w:val="auto"/>
                <w:szCs w:val="21"/>
                <w:highlight w:val="none"/>
              </w:rPr>
              <w:t>、与本工程有关的图纸、工程量清单及其获取方式</w:t>
            </w:r>
          </w:p>
          <w:p w14:paraId="090D23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资料名称：1、工程量清单；2、图纸。</w:t>
            </w:r>
          </w:p>
          <w:p w14:paraId="62BE754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Cs w:val="21"/>
                <w:highlight w:val="none"/>
              </w:rPr>
            </w:pPr>
            <w:r>
              <w:rPr>
                <w:rFonts w:hint="eastAsia" w:ascii="宋体" w:hAnsi="宋体" w:cs="宋体"/>
                <w:b/>
                <w:bCs/>
                <w:color w:val="auto"/>
                <w:szCs w:val="21"/>
                <w:highlight w:val="none"/>
              </w:rPr>
              <w:t>获取方式：网上下载，供应商可自行在“广西政采云”平台（https://www.gcy.zfcg.gxzf.gov.cn/）下载相关资料，方式同采购文件获取方式。</w:t>
            </w:r>
          </w:p>
        </w:tc>
      </w:tr>
    </w:tbl>
    <w:p w14:paraId="28F1D539">
      <w:pPr>
        <w:spacing w:line="320" w:lineRule="exact"/>
        <w:rPr>
          <w:rFonts w:hint="eastAsia" w:ascii="宋体" w:hAnsi="宋体" w:eastAsia="宋体" w:cs="宋体"/>
          <w:color w:val="auto"/>
          <w:highlight w:val="none"/>
        </w:rPr>
      </w:pPr>
    </w:p>
    <w:p w14:paraId="019665C8">
      <w:pPr>
        <w:spacing w:line="360" w:lineRule="auto"/>
        <w:rPr>
          <w:rFonts w:hint="eastAsia" w:ascii="宋体" w:hAnsi="宋体" w:eastAsia="宋体" w:cs="宋体"/>
          <w:b/>
          <w:bCs/>
          <w:color w:val="auto"/>
          <w:szCs w:val="21"/>
          <w:highlight w:val="none"/>
          <w:lang w:bidi="ar"/>
        </w:rPr>
        <w:sectPr>
          <w:footerReference r:id="rId3" w:type="default"/>
          <w:pgSz w:w="11910" w:h="16840"/>
          <w:pgMar w:top="1304" w:right="1474" w:bottom="1134" w:left="1587" w:header="720" w:footer="720" w:gutter="0"/>
          <w:pgNumType w:fmt="decimal" w:start="1"/>
          <w:cols w:space="425" w:num="1"/>
          <w:docGrid w:type="lines" w:linePitch="312" w:charSpace="0"/>
        </w:sectPr>
      </w:pPr>
    </w:p>
    <w:p w14:paraId="6978F438">
      <w:pPr>
        <w:pStyle w:val="18"/>
        <w:widowControl/>
        <w:jc w:val="left"/>
        <w:rPr>
          <w:rFonts w:hint="eastAsia" w:ascii="Arial Unicode MS" w:hAnsi="Arial Unicode MS" w:eastAsia="微软雅黑" w:cs="Arial Unicode MS"/>
          <w:color w:val="auto"/>
          <w:sz w:val="32"/>
          <w:szCs w:val="32"/>
          <w:highlight w:val="none"/>
          <w:lang w:val="en-US" w:eastAsia="zh-CN"/>
        </w:rPr>
      </w:pPr>
      <w:r>
        <w:rPr>
          <w:rFonts w:ascii="微软雅黑" w:hAnsi="微软雅黑" w:eastAsia="微软雅黑" w:cs="微软雅黑"/>
          <w:color w:val="auto"/>
          <w:sz w:val="32"/>
          <w:szCs w:val="32"/>
          <w:highlight w:val="none"/>
        </w:rPr>
        <w:t>附件</w:t>
      </w:r>
      <w:r>
        <w:rPr>
          <w:rFonts w:hint="eastAsia" w:ascii="微软雅黑" w:hAnsi="微软雅黑" w:eastAsia="微软雅黑" w:cs="微软雅黑"/>
          <w:color w:val="auto"/>
          <w:sz w:val="32"/>
          <w:szCs w:val="32"/>
          <w:highlight w:val="none"/>
          <w:lang w:val="en-US" w:eastAsia="zh-CN"/>
        </w:rPr>
        <w:t>1</w:t>
      </w:r>
      <w:r>
        <w:rPr>
          <w:rFonts w:ascii="微软雅黑" w:hAnsi="微软雅黑" w:eastAsia="微软雅黑" w:cs="微软雅黑"/>
          <w:color w:val="auto"/>
          <w:sz w:val="32"/>
          <w:szCs w:val="32"/>
          <w:highlight w:val="none"/>
        </w:rPr>
        <w:t>：</w:t>
      </w:r>
    </w:p>
    <w:p w14:paraId="09416F3A">
      <w:pPr>
        <w:spacing w:line="528" w:lineRule="exact"/>
        <w:ind w:left="1871"/>
        <w:rPr>
          <w:rFonts w:hint="eastAsia"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lang w:bidi="ar"/>
        </w:rPr>
        <w:t>中小微企业划型标准</w:t>
      </w:r>
    </w:p>
    <w:tbl>
      <w:tblPr>
        <w:tblStyle w:val="30"/>
        <w:tblW w:w="9495" w:type="dxa"/>
        <w:tblInd w:w="250" w:type="dxa"/>
        <w:tblLayout w:type="fixed"/>
        <w:tblCellMar>
          <w:top w:w="0" w:type="dxa"/>
          <w:left w:w="108" w:type="dxa"/>
          <w:bottom w:w="0" w:type="dxa"/>
          <w:right w:w="108" w:type="dxa"/>
        </w:tblCellMar>
      </w:tblPr>
      <w:tblGrid>
        <w:gridCol w:w="1984"/>
        <w:gridCol w:w="1983"/>
        <w:gridCol w:w="851"/>
        <w:gridCol w:w="1841"/>
        <w:gridCol w:w="1701"/>
        <w:gridCol w:w="1135"/>
      </w:tblGrid>
      <w:tr w14:paraId="6A43CD70">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444B6E9C">
            <w:pPr>
              <w:widowControl/>
              <w:jc w:val="left"/>
              <w:rPr>
                <w:rFonts w:hint="eastAsia" w:ascii="仿宋_GB2312" w:hAnsi="仿宋" w:eastAsia="仿宋_GB2312" w:cs="宋体"/>
                <w:b/>
                <w:color w:val="auto"/>
                <w:kern w:val="0"/>
                <w:szCs w:val="21"/>
                <w:highlight w:val="none"/>
              </w:rPr>
            </w:pPr>
            <w:r>
              <w:rPr>
                <w:rFonts w:hint="eastAsia" w:ascii="仿宋_GB2312" w:hAnsi="仿宋" w:eastAsia="仿宋_GB2312" w:cs="宋体"/>
                <w:b/>
                <w:color w:val="auto"/>
                <w:kern w:val="0"/>
                <w:szCs w:val="21"/>
                <w:highlight w:val="none"/>
                <w:lang w:bidi="ar"/>
              </w:rPr>
              <w:t>行业名称</w:t>
            </w:r>
          </w:p>
        </w:tc>
        <w:tc>
          <w:tcPr>
            <w:tcW w:w="1984" w:type="dxa"/>
            <w:tcBorders>
              <w:top w:val="single" w:color="auto" w:sz="4" w:space="0"/>
              <w:left w:val="nil"/>
              <w:bottom w:val="single" w:color="auto" w:sz="4" w:space="0"/>
              <w:right w:val="single" w:color="auto" w:sz="4" w:space="0"/>
            </w:tcBorders>
            <w:shd w:val="clear" w:color="auto" w:fill="auto"/>
            <w:vAlign w:val="center"/>
          </w:tcPr>
          <w:p w14:paraId="611ECB5D">
            <w:pPr>
              <w:widowControl/>
              <w:jc w:val="left"/>
              <w:rPr>
                <w:rFonts w:hint="eastAsia" w:ascii="仿宋_GB2312" w:hAnsi="仿宋" w:eastAsia="仿宋_GB2312" w:cs="宋体"/>
                <w:b/>
                <w:color w:val="auto"/>
                <w:kern w:val="0"/>
                <w:szCs w:val="21"/>
                <w:highlight w:val="none"/>
              </w:rPr>
            </w:pPr>
            <w:r>
              <w:rPr>
                <w:rFonts w:hint="eastAsia" w:ascii="仿宋_GB2312" w:hAnsi="仿宋" w:eastAsia="仿宋_GB2312" w:cs="宋体"/>
                <w:b/>
                <w:color w:val="auto"/>
                <w:kern w:val="0"/>
                <w:szCs w:val="21"/>
                <w:highlight w:val="none"/>
                <w:lang w:bidi="ar"/>
              </w:rPr>
              <w:t>指标名称</w:t>
            </w:r>
          </w:p>
        </w:tc>
        <w:tc>
          <w:tcPr>
            <w:tcW w:w="851" w:type="dxa"/>
            <w:tcBorders>
              <w:top w:val="single" w:color="auto" w:sz="4" w:space="0"/>
              <w:left w:val="nil"/>
              <w:bottom w:val="single" w:color="auto" w:sz="4" w:space="0"/>
              <w:right w:val="single" w:color="auto" w:sz="4" w:space="0"/>
            </w:tcBorders>
            <w:shd w:val="clear" w:color="auto" w:fill="auto"/>
            <w:vAlign w:val="center"/>
          </w:tcPr>
          <w:p w14:paraId="0BB94F38">
            <w:pPr>
              <w:widowControl/>
              <w:jc w:val="left"/>
              <w:rPr>
                <w:rFonts w:hint="eastAsia" w:ascii="仿宋_GB2312" w:hAnsi="仿宋" w:eastAsia="仿宋_GB2312" w:cs="宋体"/>
                <w:b/>
                <w:color w:val="auto"/>
                <w:kern w:val="0"/>
                <w:szCs w:val="21"/>
                <w:highlight w:val="none"/>
              </w:rPr>
            </w:pPr>
            <w:r>
              <w:rPr>
                <w:rFonts w:hint="eastAsia" w:ascii="仿宋_GB2312" w:hAnsi="仿宋" w:eastAsia="仿宋_GB2312" w:cs="宋体"/>
                <w:b/>
                <w:color w:val="auto"/>
                <w:kern w:val="0"/>
                <w:szCs w:val="21"/>
                <w:highlight w:val="none"/>
                <w:lang w:bidi="ar"/>
              </w:rPr>
              <w:t>计量单位</w:t>
            </w:r>
          </w:p>
        </w:tc>
        <w:tc>
          <w:tcPr>
            <w:tcW w:w="1842" w:type="dxa"/>
            <w:tcBorders>
              <w:top w:val="single" w:color="auto" w:sz="4" w:space="0"/>
              <w:left w:val="nil"/>
              <w:bottom w:val="single" w:color="auto" w:sz="4" w:space="0"/>
              <w:right w:val="single" w:color="auto" w:sz="4" w:space="0"/>
            </w:tcBorders>
            <w:shd w:val="clear" w:color="auto" w:fill="auto"/>
            <w:vAlign w:val="center"/>
          </w:tcPr>
          <w:p w14:paraId="006A5AC8">
            <w:pPr>
              <w:widowControl/>
              <w:jc w:val="left"/>
              <w:rPr>
                <w:rFonts w:hint="eastAsia" w:ascii="仿宋_GB2312" w:hAnsi="仿宋" w:eastAsia="仿宋_GB2312" w:cs="宋体"/>
                <w:b/>
                <w:color w:val="auto"/>
                <w:kern w:val="0"/>
                <w:szCs w:val="21"/>
                <w:highlight w:val="none"/>
              </w:rPr>
            </w:pPr>
            <w:r>
              <w:rPr>
                <w:rFonts w:hint="eastAsia" w:ascii="仿宋_GB2312" w:hAnsi="仿宋" w:eastAsia="仿宋_GB2312" w:cs="宋体"/>
                <w:b/>
                <w:color w:val="auto"/>
                <w:kern w:val="0"/>
                <w:szCs w:val="21"/>
                <w:highlight w:val="none"/>
                <w:lang w:bidi="ar"/>
              </w:rPr>
              <w:t>中型</w:t>
            </w:r>
          </w:p>
        </w:tc>
        <w:tc>
          <w:tcPr>
            <w:tcW w:w="1702" w:type="dxa"/>
            <w:tcBorders>
              <w:top w:val="single" w:color="auto" w:sz="4" w:space="0"/>
              <w:left w:val="nil"/>
              <w:bottom w:val="single" w:color="auto" w:sz="4" w:space="0"/>
              <w:right w:val="single" w:color="auto" w:sz="4" w:space="0"/>
            </w:tcBorders>
            <w:shd w:val="clear" w:color="auto" w:fill="auto"/>
            <w:vAlign w:val="center"/>
          </w:tcPr>
          <w:p w14:paraId="6AA2CE6B">
            <w:pPr>
              <w:widowControl/>
              <w:jc w:val="left"/>
              <w:rPr>
                <w:rFonts w:hint="eastAsia" w:ascii="仿宋_GB2312" w:hAnsi="仿宋" w:eastAsia="仿宋_GB2312" w:cs="宋体"/>
                <w:b/>
                <w:color w:val="auto"/>
                <w:kern w:val="0"/>
                <w:szCs w:val="21"/>
                <w:highlight w:val="none"/>
              </w:rPr>
            </w:pPr>
            <w:r>
              <w:rPr>
                <w:rFonts w:hint="eastAsia" w:ascii="仿宋_GB2312" w:hAnsi="仿宋" w:eastAsia="仿宋_GB2312" w:cs="宋体"/>
                <w:b/>
                <w:color w:val="auto"/>
                <w:kern w:val="0"/>
                <w:szCs w:val="21"/>
                <w:highlight w:val="none"/>
                <w:lang w:bidi="ar"/>
              </w:rPr>
              <w:t>小型</w:t>
            </w:r>
          </w:p>
        </w:tc>
        <w:tc>
          <w:tcPr>
            <w:tcW w:w="1135" w:type="dxa"/>
            <w:tcBorders>
              <w:top w:val="single" w:color="auto" w:sz="4" w:space="0"/>
              <w:left w:val="nil"/>
              <w:bottom w:val="single" w:color="auto" w:sz="4" w:space="0"/>
              <w:right w:val="single" w:color="auto" w:sz="4" w:space="0"/>
            </w:tcBorders>
            <w:shd w:val="clear" w:color="auto" w:fill="auto"/>
            <w:vAlign w:val="center"/>
          </w:tcPr>
          <w:p w14:paraId="1304DCA2">
            <w:pPr>
              <w:widowControl/>
              <w:jc w:val="left"/>
              <w:rPr>
                <w:rFonts w:hint="eastAsia" w:ascii="仿宋_GB2312" w:hAnsi="仿宋" w:eastAsia="仿宋_GB2312" w:cs="宋体"/>
                <w:b/>
                <w:color w:val="auto"/>
                <w:kern w:val="0"/>
                <w:szCs w:val="21"/>
                <w:highlight w:val="none"/>
              </w:rPr>
            </w:pPr>
            <w:r>
              <w:rPr>
                <w:rFonts w:hint="eastAsia" w:ascii="仿宋_GB2312" w:hAnsi="仿宋" w:eastAsia="仿宋_GB2312" w:cs="宋体"/>
                <w:b/>
                <w:color w:val="auto"/>
                <w:kern w:val="0"/>
                <w:szCs w:val="21"/>
                <w:highlight w:val="none"/>
                <w:lang w:bidi="ar"/>
              </w:rPr>
              <w:t>微型</w:t>
            </w:r>
          </w:p>
        </w:tc>
      </w:tr>
      <w:tr w14:paraId="336A04C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shd w:val="clear" w:color="auto" w:fill="auto"/>
            <w:vAlign w:val="bottom"/>
          </w:tcPr>
          <w:p w14:paraId="6EF095EB">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农、林、牧、渔</w:t>
            </w:r>
          </w:p>
        </w:tc>
        <w:tc>
          <w:tcPr>
            <w:tcW w:w="1984" w:type="dxa"/>
            <w:tcBorders>
              <w:top w:val="nil"/>
              <w:left w:val="nil"/>
              <w:bottom w:val="single" w:color="auto" w:sz="4" w:space="0"/>
              <w:right w:val="single" w:color="auto" w:sz="4" w:space="0"/>
            </w:tcBorders>
            <w:shd w:val="clear" w:color="auto" w:fill="auto"/>
            <w:vAlign w:val="center"/>
          </w:tcPr>
          <w:p w14:paraId="75317D4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2563436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0A342CC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500≤Y＜20000</w:t>
            </w:r>
          </w:p>
        </w:tc>
        <w:tc>
          <w:tcPr>
            <w:tcW w:w="1702" w:type="dxa"/>
            <w:tcBorders>
              <w:top w:val="nil"/>
              <w:left w:val="nil"/>
              <w:bottom w:val="single" w:color="auto" w:sz="4" w:space="0"/>
              <w:right w:val="single" w:color="auto" w:sz="4" w:space="0"/>
            </w:tcBorders>
            <w:shd w:val="clear" w:color="auto" w:fill="auto"/>
            <w:vAlign w:val="center"/>
          </w:tcPr>
          <w:p w14:paraId="6FBE311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50≤Y＜500</w:t>
            </w:r>
          </w:p>
        </w:tc>
        <w:tc>
          <w:tcPr>
            <w:tcW w:w="1135" w:type="dxa"/>
            <w:tcBorders>
              <w:top w:val="nil"/>
              <w:left w:val="nil"/>
              <w:bottom w:val="single" w:color="auto" w:sz="4" w:space="0"/>
              <w:right w:val="single" w:color="auto" w:sz="4" w:space="0"/>
            </w:tcBorders>
            <w:shd w:val="clear" w:color="auto" w:fill="auto"/>
            <w:vAlign w:val="center"/>
          </w:tcPr>
          <w:p w14:paraId="7D87FAF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Y＜50</w:t>
            </w:r>
          </w:p>
        </w:tc>
      </w:tr>
      <w:tr w14:paraId="45CBAE3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5BB46453">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工业</w:t>
            </w:r>
          </w:p>
        </w:tc>
        <w:tc>
          <w:tcPr>
            <w:tcW w:w="1984" w:type="dxa"/>
            <w:tcBorders>
              <w:top w:val="nil"/>
              <w:left w:val="nil"/>
              <w:bottom w:val="single" w:color="auto" w:sz="4" w:space="0"/>
              <w:right w:val="single" w:color="auto" w:sz="4" w:space="0"/>
            </w:tcBorders>
            <w:shd w:val="clear" w:color="auto" w:fill="auto"/>
            <w:vAlign w:val="center"/>
          </w:tcPr>
          <w:p w14:paraId="1012F92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523FB38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7F80C3CD">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300≤X＜1000</w:t>
            </w:r>
          </w:p>
        </w:tc>
        <w:tc>
          <w:tcPr>
            <w:tcW w:w="1702" w:type="dxa"/>
            <w:tcBorders>
              <w:top w:val="nil"/>
              <w:left w:val="nil"/>
              <w:bottom w:val="single" w:color="auto" w:sz="4" w:space="0"/>
              <w:right w:val="single" w:color="auto" w:sz="4" w:space="0"/>
            </w:tcBorders>
            <w:shd w:val="clear" w:color="auto" w:fill="auto"/>
            <w:vAlign w:val="center"/>
          </w:tcPr>
          <w:p w14:paraId="4526EE1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20≤X＜300</w:t>
            </w:r>
          </w:p>
        </w:tc>
        <w:tc>
          <w:tcPr>
            <w:tcW w:w="1135" w:type="dxa"/>
            <w:tcBorders>
              <w:top w:val="nil"/>
              <w:left w:val="nil"/>
              <w:bottom w:val="single" w:color="auto" w:sz="4" w:space="0"/>
              <w:right w:val="single" w:color="auto" w:sz="4" w:space="0"/>
            </w:tcBorders>
            <w:shd w:val="clear" w:color="auto" w:fill="auto"/>
            <w:vAlign w:val="center"/>
          </w:tcPr>
          <w:p w14:paraId="2ABB71C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X＜20</w:t>
            </w:r>
          </w:p>
        </w:tc>
      </w:tr>
      <w:tr w14:paraId="27A3F4B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00355093">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510BE4A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2C70DC2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1F228600">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2000≤Y＜40000</w:t>
            </w:r>
          </w:p>
        </w:tc>
        <w:tc>
          <w:tcPr>
            <w:tcW w:w="1702" w:type="dxa"/>
            <w:tcBorders>
              <w:top w:val="nil"/>
              <w:left w:val="nil"/>
              <w:bottom w:val="single" w:color="auto" w:sz="4" w:space="0"/>
              <w:right w:val="single" w:color="auto" w:sz="4" w:space="0"/>
            </w:tcBorders>
            <w:shd w:val="clear" w:color="auto" w:fill="auto"/>
            <w:vAlign w:val="center"/>
          </w:tcPr>
          <w:p w14:paraId="3012FB7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300≤Y＜2000</w:t>
            </w:r>
          </w:p>
        </w:tc>
        <w:tc>
          <w:tcPr>
            <w:tcW w:w="1135" w:type="dxa"/>
            <w:tcBorders>
              <w:top w:val="nil"/>
              <w:left w:val="nil"/>
              <w:bottom w:val="single" w:color="auto" w:sz="4" w:space="0"/>
              <w:right w:val="single" w:color="auto" w:sz="4" w:space="0"/>
            </w:tcBorders>
            <w:shd w:val="clear" w:color="auto" w:fill="auto"/>
            <w:vAlign w:val="center"/>
          </w:tcPr>
          <w:p w14:paraId="689E63E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Y＜300</w:t>
            </w:r>
          </w:p>
        </w:tc>
      </w:tr>
      <w:tr w14:paraId="2D3F366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115D7D0C">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建筑业</w:t>
            </w:r>
          </w:p>
        </w:tc>
        <w:tc>
          <w:tcPr>
            <w:tcW w:w="1984" w:type="dxa"/>
            <w:tcBorders>
              <w:top w:val="nil"/>
              <w:left w:val="nil"/>
              <w:bottom w:val="single" w:color="auto" w:sz="4" w:space="0"/>
              <w:right w:val="single" w:color="auto" w:sz="4" w:space="0"/>
            </w:tcBorders>
            <w:shd w:val="clear" w:color="auto" w:fill="auto"/>
            <w:vAlign w:val="center"/>
          </w:tcPr>
          <w:p w14:paraId="4B6DE02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08E932A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131D442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6000≤Y＜80000</w:t>
            </w:r>
          </w:p>
        </w:tc>
        <w:tc>
          <w:tcPr>
            <w:tcW w:w="1702" w:type="dxa"/>
            <w:tcBorders>
              <w:top w:val="nil"/>
              <w:left w:val="nil"/>
              <w:bottom w:val="single" w:color="auto" w:sz="4" w:space="0"/>
              <w:right w:val="single" w:color="auto" w:sz="4" w:space="0"/>
            </w:tcBorders>
            <w:shd w:val="clear" w:color="auto" w:fill="auto"/>
            <w:vAlign w:val="center"/>
          </w:tcPr>
          <w:p w14:paraId="12A8529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300≤Y＜6000</w:t>
            </w:r>
          </w:p>
        </w:tc>
        <w:tc>
          <w:tcPr>
            <w:tcW w:w="1135" w:type="dxa"/>
            <w:tcBorders>
              <w:top w:val="nil"/>
              <w:left w:val="nil"/>
              <w:bottom w:val="single" w:color="auto" w:sz="4" w:space="0"/>
              <w:right w:val="single" w:color="auto" w:sz="4" w:space="0"/>
            </w:tcBorders>
            <w:shd w:val="clear" w:color="auto" w:fill="auto"/>
            <w:vAlign w:val="center"/>
          </w:tcPr>
          <w:p w14:paraId="2593221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Y＜300</w:t>
            </w:r>
          </w:p>
        </w:tc>
      </w:tr>
      <w:tr w14:paraId="74AD395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3201C0B1">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1B68F5D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资产总额（Z）</w:t>
            </w:r>
          </w:p>
        </w:tc>
        <w:tc>
          <w:tcPr>
            <w:tcW w:w="851" w:type="dxa"/>
            <w:tcBorders>
              <w:top w:val="nil"/>
              <w:left w:val="nil"/>
              <w:bottom w:val="single" w:color="auto" w:sz="4" w:space="0"/>
              <w:right w:val="single" w:color="auto" w:sz="4" w:space="0"/>
            </w:tcBorders>
            <w:shd w:val="clear" w:color="auto" w:fill="auto"/>
            <w:vAlign w:val="center"/>
          </w:tcPr>
          <w:p w14:paraId="60C1451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67DE15E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5000≤Z＜80000</w:t>
            </w:r>
          </w:p>
        </w:tc>
        <w:tc>
          <w:tcPr>
            <w:tcW w:w="1702" w:type="dxa"/>
            <w:tcBorders>
              <w:top w:val="nil"/>
              <w:left w:val="nil"/>
              <w:bottom w:val="single" w:color="auto" w:sz="4" w:space="0"/>
              <w:right w:val="single" w:color="auto" w:sz="4" w:space="0"/>
            </w:tcBorders>
            <w:shd w:val="clear" w:color="auto" w:fill="auto"/>
            <w:vAlign w:val="center"/>
          </w:tcPr>
          <w:p w14:paraId="6749451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300≤Z＜5000</w:t>
            </w:r>
          </w:p>
        </w:tc>
        <w:tc>
          <w:tcPr>
            <w:tcW w:w="1135" w:type="dxa"/>
            <w:tcBorders>
              <w:top w:val="nil"/>
              <w:left w:val="nil"/>
              <w:bottom w:val="single" w:color="auto" w:sz="4" w:space="0"/>
              <w:right w:val="single" w:color="auto" w:sz="4" w:space="0"/>
            </w:tcBorders>
            <w:shd w:val="clear" w:color="auto" w:fill="auto"/>
            <w:vAlign w:val="center"/>
          </w:tcPr>
          <w:p w14:paraId="0D3AF42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Z＜300</w:t>
            </w:r>
          </w:p>
        </w:tc>
      </w:tr>
      <w:tr w14:paraId="0FE9A10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65214732">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批发业</w:t>
            </w:r>
          </w:p>
        </w:tc>
        <w:tc>
          <w:tcPr>
            <w:tcW w:w="1984" w:type="dxa"/>
            <w:tcBorders>
              <w:top w:val="nil"/>
              <w:left w:val="nil"/>
              <w:bottom w:val="single" w:color="auto" w:sz="4" w:space="0"/>
              <w:right w:val="single" w:color="auto" w:sz="4" w:space="0"/>
            </w:tcBorders>
            <w:shd w:val="clear" w:color="auto" w:fill="auto"/>
            <w:vAlign w:val="center"/>
          </w:tcPr>
          <w:p w14:paraId="170D8A1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4AEDA5F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73792D3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20≤X＜200</w:t>
            </w:r>
          </w:p>
        </w:tc>
        <w:tc>
          <w:tcPr>
            <w:tcW w:w="1702" w:type="dxa"/>
            <w:tcBorders>
              <w:top w:val="nil"/>
              <w:left w:val="nil"/>
              <w:bottom w:val="single" w:color="auto" w:sz="4" w:space="0"/>
              <w:right w:val="single" w:color="auto" w:sz="4" w:space="0"/>
            </w:tcBorders>
            <w:shd w:val="clear" w:color="auto" w:fill="auto"/>
            <w:vAlign w:val="center"/>
          </w:tcPr>
          <w:p w14:paraId="3FC776D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5≤X＜20</w:t>
            </w:r>
          </w:p>
        </w:tc>
        <w:tc>
          <w:tcPr>
            <w:tcW w:w="1135" w:type="dxa"/>
            <w:tcBorders>
              <w:top w:val="nil"/>
              <w:left w:val="nil"/>
              <w:bottom w:val="single" w:color="auto" w:sz="4" w:space="0"/>
              <w:right w:val="single" w:color="auto" w:sz="4" w:space="0"/>
            </w:tcBorders>
            <w:shd w:val="clear" w:color="auto" w:fill="auto"/>
            <w:vAlign w:val="center"/>
          </w:tcPr>
          <w:p w14:paraId="2D12E0E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X＜5</w:t>
            </w:r>
          </w:p>
        </w:tc>
      </w:tr>
      <w:tr w14:paraId="5BB9E64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6C98EA41">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5133909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7E4805D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5DC3CDD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5000≤Y＜40000</w:t>
            </w:r>
          </w:p>
        </w:tc>
        <w:tc>
          <w:tcPr>
            <w:tcW w:w="1702" w:type="dxa"/>
            <w:tcBorders>
              <w:top w:val="nil"/>
              <w:left w:val="nil"/>
              <w:bottom w:val="single" w:color="auto" w:sz="4" w:space="0"/>
              <w:right w:val="single" w:color="auto" w:sz="4" w:space="0"/>
            </w:tcBorders>
            <w:shd w:val="clear" w:color="auto" w:fill="auto"/>
            <w:vAlign w:val="center"/>
          </w:tcPr>
          <w:p w14:paraId="40868B4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1000≤Y＜5000</w:t>
            </w:r>
          </w:p>
        </w:tc>
        <w:tc>
          <w:tcPr>
            <w:tcW w:w="1135" w:type="dxa"/>
            <w:tcBorders>
              <w:top w:val="nil"/>
              <w:left w:val="nil"/>
              <w:bottom w:val="single" w:color="auto" w:sz="4" w:space="0"/>
              <w:right w:val="single" w:color="auto" w:sz="4" w:space="0"/>
            </w:tcBorders>
            <w:shd w:val="clear" w:color="auto" w:fill="auto"/>
            <w:vAlign w:val="center"/>
          </w:tcPr>
          <w:p w14:paraId="6E5985B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Y＜1000</w:t>
            </w:r>
          </w:p>
        </w:tc>
      </w:tr>
      <w:tr w14:paraId="34E5782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4DA7EFA9">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零售业</w:t>
            </w:r>
          </w:p>
        </w:tc>
        <w:tc>
          <w:tcPr>
            <w:tcW w:w="1984" w:type="dxa"/>
            <w:tcBorders>
              <w:top w:val="nil"/>
              <w:left w:val="nil"/>
              <w:bottom w:val="single" w:color="auto" w:sz="4" w:space="0"/>
              <w:right w:val="single" w:color="auto" w:sz="4" w:space="0"/>
            </w:tcBorders>
            <w:shd w:val="clear" w:color="auto" w:fill="auto"/>
            <w:vAlign w:val="center"/>
          </w:tcPr>
          <w:p w14:paraId="1D4793A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251F22D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5DC6830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50≤X＜300</w:t>
            </w:r>
          </w:p>
        </w:tc>
        <w:tc>
          <w:tcPr>
            <w:tcW w:w="1702" w:type="dxa"/>
            <w:tcBorders>
              <w:top w:val="nil"/>
              <w:left w:val="nil"/>
              <w:bottom w:val="single" w:color="auto" w:sz="4" w:space="0"/>
              <w:right w:val="single" w:color="auto" w:sz="4" w:space="0"/>
            </w:tcBorders>
            <w:shd w:val="clear" w:color="auto" w:fill="auto"/>
            <w:vAlign w:val="center"/>
          </w:tcPr>
          <w:p w14:paraId="5144173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10≤X＜50</w:t>
            </w:r>
          </w:p>
        </w:tc>
        <w:tc>
          <w:tcPr>
            <w:tcW w:w="1135" w:type="dxa"/>
            <w:tcBorders>
              <w:top w:val="nil"/>
              <w:left w:val="nil"/>
              <w:bottom w:val="single" w:color="auto" w:sz="4" w:space="0"/>
              <w:right w:val="single" w:color="auto" w:sz="4" w:space="0"/>
            </w:tcBorders>
            <w:shd w:val="clear" w:color="auto" w:fill="auto"/>
            <w:vAlign w:val="center"/>
          </w:tcPr>
          <w:p w14:paraId="6FE1050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r w14:paraId="4491B10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42353E43">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519CAD8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4C89364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4AB5FBE0">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500≤Y＜20000</w:t>
            </w:r>
          </w:p>
        </w:tc>
        <w:tc>
          <w:tcPr>
            <w:tcW w:w="1702" w:type="dxa"/>
            <w:tcBorders>
              <w:top w:val="nil"/>
              <w:left w:val="nil"/>
              <w:bottom w:val="single" w:color="auto" w:sz="4" w:space="0"/>
              <w:right w:val="single" w:color="auto" w:sz="4" w:space="0"/>
            </w:tcBorders>
            <w:shd w:val="clear" w:color="auto" w:fill="auto"/>
            <w:vAlign w:val="center"/>
          </w:tcPr>
          <w:p w14:paraId="4497F5A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100≤Y＜500</w:t>
            </w:r>
          </w:p>
        </w:tc>
        <w:tc>
          <w:tcPr>
            <w:tcW w:w="1135" w:type="dxa"/>
            <w:tcBorders>
              <w:top w:val="nil"/>
              <w:left w:val="nil"/>
              <w:bottom w:val="single" w:color="auto" w:sz="4" w:space="0"/>
              <w:right w:val="single" w:color="auto" w:sz="4" w:space="0"/>
            </w:tcBorders>
            <w:shd w:val="clear" w:color="auto" w:fill="auto"/>
            <w:vAlign w:val="center"/>
          </w:tcPr>
          <w:p w14:paraId="4F7A440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6289906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33E38E56">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交通运输业</w:t>
            </w:r>
          </w:p>
        </w:tc>
        <w:tc>
          <w:tcPr>
            <w:tcW w:w="1984" w:type="dxa"/>
            <w:tcBorders>
              <w:top w:val="nil"/>
              <w:left w:val="nil"/>
              <w:bottom w:val="single" w:color="auto" w:sz="4" w:space="0"/>
              <w:right w:val="single" w:color="auto" w:sz="4" w:space="0"/>
            </w:tcBorders>
            <w:shd w:val="clear" w:color="auto" w:fill="auto"/>
            <w:vAlign w:val="center"/>
          </w:tcPr>
          <w:p w14:paraId="2909293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4C38230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7CCEC3C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300≤X＜1000</w:t>
            </w:r>
          </w:p>
        </w:tc>
        <w:tc>
          <w:tcPr>
            <w:tcW w:w="1702" w:type="dxa"/>
            <w:tcBorders>
              <w:top w:val="nil"/>
              <w:left w:val="nil"/>
              <w:bottom w:val="single" w:color="auto" w:sz="4" w:space="0"/>
              <w:right w:val="single" w:color="auto" w:sz="4" w:space="0"/>
            </w:tcBorders>
            <w:shd w:val="clear" w:color="auto" w:fill="auto"/>
            <w:vAlign w:val="center"/>
          </w:tcPr>
          <w:p w14:paraId="5FE91F8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20≤X＜300</w:t>
            </w:r>
          </w:p>
        </w:tc>
        <w:tc>
          <w:tcPr>
            <w:tcW w:w="1135" w:type="dxa"/>
            <w:tcBorders>
              <w:top w:val="nil"/>
              <w:left w:val="nil"/>
              <w:bottom w:val="single" w:color="auto" w:sz="4" w:space="0"/>
              <w:right w:val="single" w:color="auto" w:sz="4" w:space="0"/>
            </w:tcBorders>
            <w:shd w:val="clear" w:color="auto" w:fill="auto"/>
            <w:vAlign w:val="center"/>
          </w:tcPr>
          <w:p w14:paraId="4C8DC87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X＜20</w:t>
            </w:r>
          </w:p>
        </w:tc>
      </w:tr>
      <w:tr w14:paraId="420523E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5C58F987">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163CA62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2DED364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7B0E8AE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3000≤Y＜30000</w:t>
            </w:r>
          </w:p>
        </w:tc>
        <w:tc>
          <w:tcPr>
            <w:tcW w:w="1702" w:type="dxa"/>
            <w:tcBorders>
              <w:top w:val="nil"/>
              <w:left w:val="nil"/>
              <w:bottom w:val="single" w:color="auto" w:sz="4" w:space="0"/>
              <w:right w:val="single" w:color="auto" w:sz="4" w:space="0"/>
            </w:tcBorders>
            <w:shd w:val="clear" w:color="auto" w:fill="auto"/>
            <w:vAlign w:val="center"/>
          </w:tcPr>
          <w:p w14:paraId="3F00327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200≤Y＜3000</w:t>
            </w:r>
          </w:p>
        </w:tc>
        <w:tc>
          <w:tcPr>
            <w:tcW w:w="1135" w:type="dxa"/>
            <w:tcBorders>
              <w:top w:val="nil"/>
              <w:left w:val="nil"/>
              <w:bottom w:val="single" w:color="auto" w:sz="4" w:space="0"/>
              <w:right w:val="single" w:color="auto" w:sz="4" w:space="0"/>
            </w:tcBorders>
            <w:shd w:val="clear" w:color="auto" w:fill="auto"/>
            <w:vAlign w:val="center"/>
          </w:tcPr>
          <w:p w14:paraId="6D030AE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Y＜200</w:t>
            </w:r>
          </w:p>
        </w:tc>
      </w:tr>
      <w:tr w14:paraId="53D99F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132653B4">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仓储业</w:t>
            </w:r>
          </w:p>
        </w:tc>
        <w:tc>
          <w:tcPr>
            <w:tcW w:w="1984" w:type="dxa"/>
            <w:tcBorders>
              <w:top w:val="nil"/>
              <w:left w:val="nil"/>
              <w:bottom w:val="single" w:color="auto" w:sz="4" w:space="0"/>
              <w:right w:val="single" w:color="auto" w:sz="4" w:space="0"/>
            </w:tcBorders>
            <w:shd w:val="clear" w:color="auto" w:fill="auto"/>
            <w:vAlign w:val="center"/>
          </w:tcPr>
          <w:p w14:paraId="2855D86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480E962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36B0AE8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100≤X＜200</w:t>
            </w:r>
          </w:p>
        </w:tc>
        <w:tc>
          <w:tcPr>
            <w:tcW w:w="1702" w:type="dxa"/>
            <w:tcBorders>
              <w:top w:val="nil"/>
              <w:left w:val="nil"/>
              <w:bottom w:val="single" w:color="auto" w:sz="4" w:space="0"/>
              <w:right w:val="single" w:color="auto" w:sz="4" w:space="0"/>
            </w:tcBorders>
            <w:shd w:val="clear" w:color="auto" w:fill="auto"/>
            <w:vAlign w:val="center"/>
          </w:tcPr>
          <w:p w14:paraId="604B4A0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20≤X＜100</w:t>
            </w:r>
          </w:p>
        </w:tc>
        <w:tc>
          <w:tcPr>
            <w:tcW w:w="1135" w:type="dxa"/>
            <w:tcBorders>
              <w:top w:val="nil"/>
              <w:left w:val="nil"/>
              <w:bottom w:val="single" w:color="auto" w:sz="4" w:space="0"/>
              <w:right w:val="single" w:color="auto" w:sz="4" w:space="0"/>
            </w:tcBorders>
            <w:shd w:val="clear" w:color="auto" w:fill="auto"/>
            <w:vAlign w:val="center"/>
          </w:tcPr>
          <w:p w14:paraId="1350E55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X＜20</w:t>
            </w:r>
          </w:p>
        </w:tc>
      </w:tr>
      <w:tr w14:paraId="45ED667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17BF6189">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37FA87E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2B1C15B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096266D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1000≤Y＜30000</w:t>
            </w:r>
          </w:p>
        </w:tc>
        <w:tc>
          <w:tcPr>
            <w:tcW w:w="1702" w:type="dxa"/>
            <w:tcBorders>
              <w:top w:val="nil"/>
              <w:left w:val="nil"/>
              <w:bottom w:val="single" w:color="auto" w:sz="4" w:space="0"/>
              <w:right w:val="single" w:color="auto" w:sz="4" w:space="0"/>
            </w:tcBorders>
            <w:shd w:val="clear" w:color="auto" w:fill="auto"/>
            <w:vAlign w:val="center"/>
          </w:tcPr>
          <w:p w14:paraId="2C12573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100≤Y＜1000</w:t>
            </w:r>
          </w:p>
        </w:tc>
        <w:tc>
          <w:tcPr>
            <w:tcW w:w="1135" w:type="dxa"/>
            <w:tcBorders>
              <w:top w:val="nil"/>
              <w:left w:val="nil"/>
              <w:bottom w:val="single" w:color="auto" w:sz="4" w:space="0"/>
              <w:right w:val="single" w:color="auto" w:sz="4" w:space="0"/>
            </w:tcBorders>
            <w:shd w:val="clear" w:color="auto" w:fill="auto"/>
            <w:vAlign w:val="center"/>
          </w:tcPr>
          <w:p w14:paraId="6416DBB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3D4E05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014E08A2">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邮政业</w:t>
            </w:r>
          </w:p>
        </w:tc>
        <w:tc>
          <w:tcPr>
            <w:tcW w:w="1984" w:type="dxa"/>
            <w:tcBorders>
              <w:top w:val="nil"/>
              <w:left w:val="nil"/>
              <w:bottom w:val="single" w:color="auto" w:sz="4" w:space="0"/>
              <w:right w:val="single" w:color="auto" w:sz="4" w:space="0"/>
            </w:tcBorders>
            <w:shd w:val="clear" w:color="auto" w:fill="auto"/>
            <w:vAlign w:val="center"/>
          </w:tcPr>
          <w:p w14:paraId="2E4DE2B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7EECA93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6356873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300≤X＜1000</w:t>
            </w:r>
          </w:p>
        </w:tc>
        <w:tc>
          <w:tcPr>
            <w:tcW w:w="1702" w:type="dxa"/>
            <w:tcBorders>
              <w:top w:val="nil"/>
              <w:left w:val="nil"/>
              <w:bottom w:val="single" w:color="auto" w:sz="4" w:space="0"/>
              <w:right w:val="single" w:color="auto" w:sz="4" w:space="0"/>
            </w:tcBorders>
            <w:shd w:val="clear" w:color="auto" w:fill="auto"/>
            <w:vAlign w:val="center"/>
          </w:tcPr>
          <w:p w14:paraId="6A42080D">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20≤X＜300</w:t>
            </w:r>
          </w:p>
        </w:tc>
        <w:tc>
          <w:tcPr>
            <w:tcW w:w="1135" w:type="dxa"/>
            <w:tcBorders>
              <w:top w:val="nil"/>
              <w:left w:val="nil"/>
              <w:bottom w:val="single" w:color="auto" w:sz="4" w:space="0"/>
              <w:right w:val="single" w:color="auto" w:sz="4" w:space="0"/>
            </w:tcBorders>
            <w:shd w:val="clear" w:color="auto" w:fill="auto"/>
            <w:vAlign w:val="center"/>
          </w:tcPr>
          <w:p w14:paraId="1AB1B7C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X＜20</w:t>
            </w:r>
          </w:p>
        </w:tc>
      </w:tr>
      <w:tr w14:paraId="43D54DD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506742CD">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73C8C45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7829F1E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293CD56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2000≤Y＜30000</w:t>
            </w:r>
          </w:p>
        </w:tc>
        <w:tc>
          <w:tcPr>
            <w:tcW w:w="1702" w:type="dxa"/>
            <w:tcBorders>
              <w:top w:val="nil"/>
              <w:left w:val="nil"/>
              <w:bottom w:val="single" w:color="auto" w:sz="4" w:space="0"/>
              <w:right w:val="single" w:color="auto" w:sz="4" w:space="0"/>
            </w:tcBorders>
            <w:shd w:val="clear" w:color="auto" w:fill="auto"/>
            <w:vAlign w:val="center"/>
          </w:tcPr>
          <w:p w14:paraId="4F8453D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100≤Y＜2000</w:t>
            </w:r>
          </w:p>
        </w:tc>
        <w:tc>
          <w:tcPr>
            <w:tcW w:w="1135" w:type="dxa"/>
            <w:tcBorders>
              <w:top w:val="nil"/>
              <w:left w:val="nil"/>
              <w:bottom w:val="single" w:color="auto" w:sz="4" w:space="0"/>
              <w:right w:val="single" w:color="auto" w:sz="4" w:space="0"/>
            </w:tcBorders>
            <w:shd w:val="clear" w:color="auto" w:fill="auto"/>
            <w:vAlign w:val="center"/>
          </w:tcPr>
          <w:p w14:paraId="1D4F8DA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7B3DAAE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28B79821">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住宿业</w:t>
            </w:r>
          </w:p>
        </w:tc>
        <w:tc>
          <w:tcPr>
            <w:tcW w:w="1984" w:type="dxa"/>
            <w:tcBorders>
              <w:top w:val="nil"/>
              <w:left w:val="nil"/>
              <w:bottom w:val="single" w:color="auto" w:sz="4" w:space="0"/>
              <w:right w:val="single" w:color="auto" w:sz="4" w:space="0"/>
            </w:tcBorders>
            <w:shd w:val="clear" w:color="auto" w:fill="auto"/>
            <w:vAlign w:val="center"/>
          </w:tcPr>
          <w:p w14:paraId="00635B1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46ECBFF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35FCCDB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100≤X＜300</w:t>
            </w:r>
          </w:p>
        </w:tc>
        <w:tc>
          <w:tcPr>
            <w:tcW w:w="1702" w:type="dxa"/>
            <w:tcBorders>
              <w:top w:val="nil"/>
              <w:left w:val="nil"/>
              <w:bottom w:val="single" w:color="auto" w:sz="4" w:space="0"/>
              <w:right w:val="single" w:color="auto" w:sz="4" w:space="0"/>
            </w:tcBorders>
            <w:shd w:val="clear" w:color="auto" w:fill="auto"/>
            <w:vAlign w:val="center"/>
          </w:tcPr>
          <w:p w14:paraId="3C349E1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10≤X＜100</w:t>
            </w:r>
          </w:p>
        </w:tc>
        <w:tc>
          <w:tcPr>
            <w:tcW w:w="1135" w:type="dxa"/>
            <w:tcBorders>
              <w:top w:val="nil"/>
              <w:left w:val="nil"/>
              <w:bottom w:val="single" w:color="auto" w:sz="4" w:space="0"/>
              <w:right w:val="single" w:color="auto" w:sz="4" w:space="0"/>
            </w:tcBorders>
            <w:shd w:val="clear" w:color="auto" w:fill="auto"/>
            <w:vAlign w:val="center"/>
          </w:tcPr>
          <w:p w14:paraId="6AF6E3B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r w14:paraId="79334E4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4004C7F3">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2FFF8DD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6B4F71C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162351C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2000≤Y＜10000</w:t>
            </w:r>
          </w:p>
        </w:tc>
        <w:tc>
          <w:tcPr>
            <w:tcW w:w="1702" w:type="dxa"/>
            <w:tcBorders>
              <w:top w:val="nil"/>
              <w:left w:val="nil"/>
              <w:bottom w:val="single" w:color="auto" w:sz="4" w:space="0"/>
              <w:right w:val="single" w:color="auto" w:sz="4" w:space="0"/>
            </w:tcBorders>
            <w:shd w:val="clear" w:color="auto" w:fill="auto"/>
            <w:vAlign w:val="center"/>
          </w:tcPr>
          <w:p w14:paraId="00B972ED">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100≤Y＜2000</w:t>
            </w:r>
          </w:p>
        </w:tc>
        <w:tc>
          <w:tcPr>
            <w:tcW w:w="1135" w:type="dxa"/>
            <w:tcBorders>
              <w:top w:val="nil"/>
              <w:left w:val="nil"/>
              <w:bottom w:val="single" w:color="auto" w:sz="4" w:space="0"/>
              <w:right w:val="single" w:color="auto" w:sz="4" w:space="0"/>
            </w:tcBorders>
            <w:shd w:val="clear" w:color="auto" w:fill="auto"/>
            <w:vAlign w:val="center"/>
          </w:tcPr>
          <w:p w14:paraId="07C39D4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3AB3A6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21D3EF44">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餐饮业</w:t>
            </w:r>
          </w:p>
        </w:tc>
        <w:tc>
          <w:tcPr>
            <w:tcW w:w="1984" w:type="dxa"/>
            <w:tcBorders>
              <w:top w:val="nil"/>
              <w:left w:val="nil"/>
              <w:bottom w:val="single" w:color="auto" w:sz="4" w:space="0"/>
              <w:right w:val="single" w:color="auto" w:sz="4" w:space="0"/>
            </w:tcBorders>
            <w:shd w:val="clear" w:color="auto" w:fill="auto"/>
            <w:vAlign w:val="center"/>
          </w:tcPr>
          <w:p w14:paraId="0778A8A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097CE49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2E36438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100≤X＜300</w:t>
            </w:r>
          </w:p>
        </w:tc>
        <w:tc>
          <w:tcPr>
            <w:tcW w:w="1702" w:type="dxa"/>
            <w:tcBorders>
              <w:top w:val="nil"/>
              <w:left w:val="nil"/>
              <w:bottom w:val="single" w:color="auto" w:sz="4" w:space="0"/>
              <w:right w:val="single" w:color="auto" w:sz="4" w:space="0"/>
            </w:tcBorders>
            <w:shd w:val="clear" w:color="auto" w:fill="auto"/>
            <w:vAlign w:val="center"/>
          </w:tcPr>
          <w:p w14:paraId="1EEFDCA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10≤X＜100</w:t>
            </w:r>
          </w:p>
        </w:tc>
        <w:tc>
          <w:tcPr>
            <w:tcW w:w="1135" w:type="dxa"/>
            <w:tcBorders>
              <w:top w:val="nil"/>
              <w:left w:val="nil"/>
              <w:bottom w:val="single" w:color="auto" w:sz="4" w:space="0"/>
              <w:right w:val="single" w:color="auto" w:sz="4" w:space="0"/>
            </w:tcBorders>
            <w:shd w:val="clear" w:color="auto" w:fill="auto"/>
            <w:vAlign w:val="center"/>
          </w:tcPr>
          <w:p w14:paraId="66D35F3D">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r w14:paraId="2776F08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283D22C3">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3939980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3ECAFA9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6B1251B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2000≤Y＜10000</w:t>
            </w:r>
          </w:p>
        </w:tc>
        <w:tc>
          <w:tcPr>
            <w:tcW w:w="1702" w:type="dxa"/>
            <w:tcBorders>
              <w:top w:val="nil"/>
              <w:left w:val="nil"/>
              <w:bottom w:val="single" w:color="auto" w:sz="4" w:space="0"/>
              <w:right w:val="single" w:color="auto" w:sz="4" w:space="0"/>
            </w:tcBorders>
            <w:shd w:val="clear" w:color="auto" w:fill="auto"/>
            <w:vAlign w:val="center"/>
          </w:tcPr>
          <w:p w14:paraId="764A03D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100≤Y＜2000</w:t>
            </w:r>
          </w:p>
        </w:tc>
        <w:tc>
          <w:tcPr>
            <w:tcW w:w="1135" w:type="dxa"/>
            <w:tcBorders>
              <w:top w:val="nil"/>
              <w:left w:val="nil"/>
              <w:bottom w:val="single" w:color="auto" w:sz="4" w:space="0"/>
              <w:right w:val="single" w:color="auto" w:sz="4" w:space="0"/>
            </w:tcBorders>
            <w:shd w:val="clear" w:color="auto" w:fill="auto"/>
            <w:vAlign w:val="center"/>
          </w:tcPr>
          <w:p w14:paraId="1F23CD70">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549F916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3E5D597D">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信息传输业</w:t>
            </w:r>
          </w:p>
        </w:tc>
        <w:tc>
          <w:tcPr>
            <w:tcW w:w="1984" w:type="dxa"/>
            <w:tcBorders>
              <w:top w:val="nil"/>
              <w:left w:val="nil"/>
              <w:bottom w:val="single" w:color="auto" w:sz="4" w:space="0"/>
              <w:right w:val="single" w:color="auto" w:sz="4" w:space="0"/>
            </w:tcBorders>
            <w:shd w:val="clear" w:color="auto" w:fill="auto"/>
            <w:vAlign w:val="center"/>
          </w:tcPr>
          <w:p w14:paraId="37EDE76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788B4A3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2FEFB4F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100≤X＜2000</w:t>
            </w:r>
          </w:p>
        </w:tc>
        <w:tc>
          <w:tcPr>
            <w:tcW w:w="1702" w:type="dxa"/>
            <w:tcBorders>
              <w:top w:val="nil"/>
              <w:left w:val="nil"/>
              <w:bottom w:val="single" w:color="auto" w:sz="4" w:space="0"/>
              <w:right w:val="single" w:color="auto" w:sz="4" w:space="0"/>
            </w:tcBorders>
            <w:shd w:val="clear" w:color="auto" w:fill="auto"/>
            <w:vAlign w:val="center"/>
          </w:tcPr>
          <w:p w14:paraId="6F9C5FA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10≤X＜100</w:t>
            </w:r>
          </w:p>
        </w:tc>
        <w:tc>
          <w:tcPr>
            <w:tcW w:w="1135" w:type="dxa"/>
            <w:tcBorders>
              <w:top w:val="nil"/>
              <w:left w:val="nil"/>
              <w:bottom w:val="single" w:color="auto" w:sz="4" w:space="0"/>
              <w:right w:val="single" w:color="auto" w:sz="4" w:space="0"/>
            </w:tcBorders>
            <w:shd w:val="clear" w:color="auto" w:fill="auto"/>
            <w:vAlign w:val="center"/>
          </w:tcPr>
          <w:p w14:paraId="3288422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r w14:paraId="7F0E5B7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6F9889CC">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09A570E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6F984C0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7CA552F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1000≤Y＜100000</w:t>
            </w:r>
          </w:p>
        </w:tc>
        <w:tc>
          <w:tcPr>
            <w:tcW w:w="1702" w:type="dxa"/>
            <w:tcBorders>
              <w:top w:val="nil"/>
              <w:left w:val="nil"/>
              <w:bottom w:val="single" w:color="auto" w:sz="4" w:space="0"/>
              <w:right w:val="single" w:color="auto" w:sz="4" w:space="0"/>
            </w:tcBorders>
            <w:shd w:val="clear" w:color="auto" w:fill="auto"/>
            <w:vAlign w:val="center"/>
          </w:tcPr>
          <w:p w14:paraId="0FF7326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100≤Y＜1000</w:t>
            </w:r>
          </w:p>
        </w:tc>
        <w:tc>
          <w:tcPr>
            <w:tcW w:w="1135" w:type="dxa"/>
            <w:tcBorders>
              <w:top w:val="nil"/>
              <w:left w:val="nil"/>
              <w:bottom w:val="single" w:color="auto" w:sz="4" w:space="0"/>
              <w:right w:val="single" w:color="auto" w:sz="4" w:space="0"/>
            </w:tcBorders>
            <w:shd w:val="clear" w:color="auto" w:fill="auto"/>
            <w:vAlign w:val="center"/>
          </w:tcPr>
          <w:p w14:paraId="1F076DA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1C74A2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62318570">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软件和信息技术服务业</w:t>
            </w:r>
          </w:p>
        </w:tc>
        <w:tc>
          <w:tcPr>
            <w:tcW w:w="1984" w:type="dxa"/>
            <w:tcBorders>
              <w:top w:val="nil"/>
              <w:left w:val="nil"/>
              <w:bottom w:val="single" w:color="auto" w:sz="4" w:space="0"/>
              <w:right w:val="single" w:color="auto" w:sz="4" w:space="0"/>
            </w:tcBorders>
            <w:shd w:val="clear" w:color="auto" w:fill="auto"/>
            <w:vAlign w:val="center"/>
          </w:tcPr>
          <w:p w14:paraId="0B0DECA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3ADB315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33DE849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100≤X＜300</w:t>
            </w:r>
          </w:p>
        </w:tc>
        <w:tc>
          <w:tcPr>
            <w:tcW w:w="1702" w:type="dxa"/>
            <w:tcBorders>
              <w:top w:val="nil"/>
              <w:left w:val="nil"/>
              <w:bottom w:val="single" w:color="auto" w:sz="4" w:space="0"/>
              <w:right w:val="single" w:color="auto" w:sz="4" w:space="0"/>
            </w:tcBorders>
            <w:shd w:val="clear" w:color="auto" w:fill="auto"/>
            <w:vAlign w:val="center"/>
          </w:tcPr>
          <w:p w14:paraId="59F1079D">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10≤X＜100</w:t>
            </w:r>
          </w:p>
        </w:tc>
        <w:tc>
          <w:tcPr>
            <w:tcW w:w="1135" w:type="dxa"/>
            <w:tcBorders>
              <w:top w:val="nil"/>
              <w:left w:val="nil"/>
              <w:bottom w:val="single" w:color="auto" w:sz="4" w:space="0"/>
              <w:right w:val="single" w:color="auto" w:sz="4" w:space="0"/>
            </w:tcBorders>
            <w:shd w:val="clear" w:color="auto" w:fill="auto"/>
            <w:vAlign w:val="center"/>
          </w:tcPr>
          <w:p w14:paraId="681D14B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r w14:paraId="7FF7D76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31AE4912">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49827D8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406B37DA">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63E5BB9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1000≤Y＜10000</w:t>
            </w:r>
          </w:p>
        </w:tc>
        <w:tc>
          <w:tcPr>
            <w:tcW w:w="1702" w:type="dxa"/>
            <w:tcBorders>
              <w:top w:val="nil"/>
              <w:left w:val="nil"/>
              <w:bottom w:val="single" w:color="auto" w:sz="4" w:space="0"/>
              <w:right w:val="single" w:color="auto" w:sz="4" w:space="0"/>
            </w:tcBorders>
            <w:shd w:val="clear" w:color="auto" w:fill="auto"/>
            <w:vAlign w:val="center"/>
          </w:tcPr>
          <w:p w14:paraId="461639C8">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50≤Y＜1000</w:t>
            </w:r>
          </w:p>
        </w:tc>
        <w:tc>
          <w:tcPr>
            <w:tcW w:w="1135" w:type="dxa"/>
            <w:tcBorders>
              <w:top w:val="nil"/>
              <w:left w:val="nil"/>
              <w:bottom w:val="single" w:color="auto" w:sz="4" w:space="0"/>
              <w:right w:val="single" w:color="auto" w:sz="4" w:space="0"/>
            </w:tcBorders>
            <w:shd w:val="clear" w:color="auto" w:fill="auto"/>
            <w:vAlign w:val="center"/>
          </w:tcPr>
          <w:p w14:paraId="0894EE22">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Y＜50</w:t>
            </w:r>
          </w:p>
        </w:tc>
      </w:tr>
      <w:tr w14:paraId="5A959DC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5093A8C8">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房地产开发经营</w:t>
            </w:r>
          </w:p>
        </w:tc>
        <w:tc>
          <w:tcPr>
            <w:tcW w:w="1984" w:type="dxa"/>
            <w:tcBorders>
              <w:top w:val="nil"/>
              <w:left w:val="nil"/>
              <w:bottom w:val="single" w:color="auto" w:sz="4" w:space="0"/>
              <w:right w:val="single" w:color="auto" w:sz="4" w:space="0"/>
            </w:tcBorders>
            <w:shd w:val="clear" w:color="auto" w:fill="auto"/>
            <w:vAlign w:val="center"/>
          </w:tcPr>
          <w:p w14:paraId="162811F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4829F0D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18291E0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1000≤Y＜200000</w:t>
            </w:r>
          </w:p>
        </w:tc>
        <w:tc>
          <w:tcPr>
            <w:tcW w:w="1702" w:type="dxa"/>
            <w:tcBorders>
              <w:top w:val="nil"/>
              <w:left w:val="nil"/>
              <w:bottom w:val="single" w:color="auto" w:sz="4" w:space="0"/>
              <w:right w:val="single" w:color="auto" w:sz="4" w:space="0"/>
            </w:tcBorders>
            <w:shd w:val="clear" w:color="auto" w:fill="auto"/>
            <w:vAlign w:val="center"/>
          </w:tcPr>
          <w:p w14:paraId="38AEDE2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100≤X＜1000</w:t>
            </w:r>
          </w:p>
        </w:tc>
        <w:tc>
          <w:tcPr>
            <w:tcW w:w="1135" w:type="dxa"/>
            <w:tcBorders>
              <w:top w:val="nil"/>
              <w:left w:val="nil"/>
              <w:bottom w:val="single" w:color="auto" w:sz="4" w:space="0"/>
              <w:right w:val="single" w:color="auto" w:sz="4" w:space="0"/>
            </w:tcBorders>
            <w:shd w:val="clear" w:color="auto" w:fill="auto"/>
            <w:vAlign w:val="center"/>
          </w:tcPr>
          <w:p w14:paraId="4CBDEAB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X＜100</w:t>
            </w:r>
          </w:p>
        </w:tc>
      </w:tr>
      <w:tr w14:paraId="39004EB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14111135">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0EF243F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资产总额（Z）</w:t>
            </w:r>
          </w:p>
        </w:tc>
        <w:tc>
          <w:tcPr>
            <w:tcW w:w="851" w:type="dxa"/>
            <w:tcBorders>
              <w:top w:val="nil"/>
              <w:left w:val="nil"/>
              <w:bottom w:val="single" w:color="auto" w:sz="4" w:space="0"/>
              <w:right w:val="single" w:color="auto" w:sz="4" w:space="0"/>
            </w:tcBorders>
            <w:shd w:val="clear" w:color="auto" w:fill="auto"/>
            <w:vAlign w:val="center"/>
          </w:tcPr>
          <w:p w14:paraId="5C6B8E4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7C77BA50">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5000≤Z＜10000</w:t>
            </w:r>
          </w:p>
        </w:tc>
        <w:tc>
          <w:tcPr>
            <w:tcW w:w="1702" w:type="dxa"/>
            <w:tcBorders>
              <w:top w:val="nil"/>
              <w:left w:val="nil"/>
              <w:bottom w:val="single" w:color="auto" w:sz="4" w:space="0"/>
              <w:right w:val="single" w:color="auto" w:sz="4" w:space="0"/>
            </w:tcBorders>
            <w:shd w:val="clear" w:color="auto" w:fill="auto"/>
            <w:vAlign w:val="center"/>
          </w:tcPr>
          <w:p w14:paraId="2735606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2000≤Y＜5000</w:t>
            </w:r>
          </w:p>
        </w:tc>
        <w:tc>
          <w:tcPr>
            <w:tcW w:w="1135" w:type="dxa"/>
            <w:tcBorders>
              <w:top w:val="nil"/>
              <w:left w:val="nil"/>
              <w:bottom w:val="single" w:color="auto" w:sz="4" w:space="0"/>
              <w:right w:val="single" w:color="auto" w:sz="4" w:space="0"/>
            </w:tcBorders>
            <w:shd w:val="clear" w:color="auto" w:fill="auto"/>
            <w:vAlign w:val="center"/>
          </w:tcPr>
          <w:p w14:paraId="523C68A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Y＜2000</w:t>
            </w:r>
          </w:p>
        </w:tc>
      </w:tr>
      <w:tr w14:paraId="19C8C3E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4FB92C7E">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物业管理</w:t>
            </w:r>
          </w:p>
        </w:tc>
        <w:tc>
          <w:tcPr>
            <w:tcW w:w="1984" w:type="dxa"/>
            <w:tcBorders>
              <w:top w:val="nil"/>
              <w:left w:val="nil"/>
              <w:bottom w:val="single" w:color="auto" w:sz="4" w:space="0"/>
              <w:right w:val="single" w:color="auto" w:sz="4" w:space="0"/>
            </w:tcBorders>
            <w:shd w:val="clear" w:color="auto" w:fill="auto"/>
            <w:vAlign w:val="center"/>
          </w:tcPr>
          <w:p w14:paraId="55F6A55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58BB8A1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58A305F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300≤X＜1000</w:t>
            </w:r>
          </w:p>
        </w:tc>
        <w:tc>
          <w:tcPr>
            <w:tcW w:w="1702" w:type="dxa"/>
            <w:tcBorders>
              <w:top w:val="nil"/>
              <w:left w:val="nil"/>
              <w:bottom w:val="single" w:color="auto" w:sz="4" w:space="0"/>
              <w:right w:val="single" w:color="auto" w:sz="4" w:space="0"/>
            </w:tcBorders>
            <w:shd w:val="clear" w:color="auto" w:fill="auto"/>
            <w:vAlign w:val="center"/>
          </w:tcPr>
          <w:p w14:paraId="3B207F0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100≤X＜300</w:t>
            </w:r>
          </w:p>
        </w:tc>
        <w:tc>
          <w:tcPr>
            <w:tcW w:w="1135" w:type="dxa"/>
            <w:tcBorders>
              <w:top w:val="nil"/>
              <w:left w:val="nil"/>
              <w:bottom w:val="single" w:color="auto" w:sz="4" w:space="0"/>
              <w:right w:val="single" w:color="auto" w:sz="4" w:space="0"/>
            </w:tcBorders>
            <w:shd w:val="clear" w:color="auto" w:fill="auto"/>
            <w:vAlign w:val="center"/>
          </w:tcPr>
          <w:p w14:paraId="704DABF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X＜100</w:t>
            </w:r>
          </w:p>
        </w:tc>
      </w:tr>
      <w:tr w14:paraId="3031912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0A5E53CF">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707503FC">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营业收入（Y）</w:t>
            </w:r>
          </w:p>
        </w:tc>
        <w:tc>
          <w:tcPr>
            <w:tcW w:w="851" w:type="dxa"/>
            <w:tcBorders>
              <w:top w:val="nil"/>
              <w:left w:val="nil"/>
              <w:bottom w:val="single" w:color="auto" w:sz="4" w:space="0"/>
              <w:right w:val="single" w:color="auto" w:sz="4" w:space="0"/>
            </w:tcBorders>
            <w:shd w:val="clear" w:color="auto" w:fill="auto"/>
            <w:vAlign w:val="center"/>
          </w:tcPr>
          <w:p w14:paraId="79AA182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6454997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1000≤Y＜5000</w:t>
            </w:r>
          </w:p>
        </w:tc>
        <w:tc>
          <w:tcPr>
            <w:tcW w:w="1702" w:type="dxa"/>
            <w:tcBorders>
              <w:top w:val="nil"/>
              <w:left w:val="nil"/>
              <w:bottom w:val="single" w:color="auto" w:sz="4" w:space="0"/>
              <w:right w:val="single" w:color="auto" w:sz="4" w:space="0"/>
            </w:tcBorders>
            <w:shd w:val="clear" w:color="auto" w:fill="auto"/>
            <w:vAlign w:val="center"/>
          </w:tcPr>
          <w:p w14:paraId="3FAD4DE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500≤Y＜1000</w:t>
            </w:r>
          </w:p>
        </w:tc>
        <w:tc>
          <w:tcPr>
            <w:tcW w:w="1135" w:type="dxa"/>
            <w:tcBorders>
              <w:top w:val="nil"/>
              <w:left w:val="nil"/>
              <w:bottom w:val="single" w:color="auto" w:sz="4" w:space="0"/>
              <w:right w:val="single" w:color="auto" w:sz="4" w:space="0"/>
            </w:tcBorders>
            <w:shd w:val="clear" w:color="auto" w:fill="auto"/>
            <w:vAlign w:val="center"/>
          </w:tcPr>
          <w:p w14:paraId="4D630CA0">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Y＜500</w:t>
            </w:r>
          </w:p>
        </w:tc>
      </w:tr>
      <w:tr w14:paraId="5F9D08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vAlign w:val="bottom"/>
          </w:tcPr>
          <w:p w14:paraId="72878A22">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租赁和商务服务业</w:t>
            </w:r>
          </w:p>
        </w:tc>
        <w:tc>
          <w:tcPr>
            <w:tcW w:w="1984" w:type="dxa"/>
            <w:tcBorders>
              <w:top w:val="nil"/>
              <w:left w:val="nil"/>
              <w:bottom w:val="single" w:color="auto" w:sz="4" w:space="0"/>
              <w:right w:val="single" w:color="auto" w:sz="4" w:space="0"/>
            </w:tcBorders>
            <w:shd w:val="clear" w:color="auto" w:fill="auto"/>
            <w:vAlign w:val="center"/>
          </w:tcPr>
          <w:p w14:paraId="6256B66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3E2B580F">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3ECECE40">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100≤X＜300</w:t>
            </w:r>
          </w:p>
        </w:tc>
        <w:tc>
          <w:tcPr>
            <w:tcW w:w="1702" w:type="dxa"/>
            <w:tcBorders>
              <w:top w:val="nil"/>
              <w:left w:val="nil"/>
              <w:bottom w:val="single" w:color="auto" w:sz="4" w:space="0"/>
              <w:right w:val="single" w:color="auto" w:sz="4" w:space="0"/>
            </w:tcBorders>
            <w:shd w:val="clear" w:color="auto" w:fill="auto"/>
            <w:vAlign w:val="center"/>
          </w:tcPr>
          <w:p w14:paraId="616F44F9">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10≤X＜100</w:t>
            </w:r>
          </w:p>
        </w:tc>
        <w:tc>
          <w:tcPr>
            <w:tcW w:w="1135" w:type="dxa"/>
            <w:tcBorders>
              <w:top w:val="nil"/>
              <w:left w:val="nil"/>
              <w:bottom w:val="single" w:color="auto" w:sz="4" w:space="0"/>
              <w:right w:val="single" w:color="auto" w:sz="4" w:space="0"/>
            </w:tcBorders>
            <w:shd w:val="clear" w:color="auto" w:fill="auto"/>
            <w:vAlign w:val="center"/>
          </w:tcPr>
          <w:p w14:paraId="4E1013CB">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r w14:paraId="64130FF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vAlign w:val="bottom"/>
          </w:tcPr>
          <w:p w14:paraId="5084D79E">
            <w:pPr>
              <w:rPr>
                <w:rFonts w:ascii="Times New Roman" w:hAnsi="Times New Roman" w:cs="Times New Roman"/>
                <w:color w:val="auto"/>
                <w:szCs w:val="21"/>
                <w:highlight w:val="none"/>
              </w:rPr>
            </w:pPr>
          </w:p>
        </w:tc>
        <w:tc>
          <w:tcPr>
            <w:tcW w:w="1984" w:type="dxa"/>
            <w:tcBorders>
              <w:top w:val="nil"/>
              <w:left w:val="nil"/>
              <w:bottom w:val="single" w:color="auto" w:sz="4" w:space="0"/>
              <w:right w:val="single" w:color="auto" w:sz="4" w:space="0"/>
            </w:tcBorders>
            <w:shd w:val="clear" w:color="auto" w:fill="auto"/>
            <w:vAlign w:val="center"/>
          </w:tcPr>
          <w:p w14:paraId="79B40B11">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资产总额（Z）</w:t>
            </w:r>
          </w:p>
        </w:tc>
        <w:tc>
          <w:tcPr>
            <w:tcW w:w="851" w:type="dxa"/>
            <w:tcBorders>
              <w:top w:val="nil"/>
              <w:left w:val="nil"/>
              <w:bottom w:val="single" w:color="auto" w:sz="4" w:space="0"/>
              <w:right w:val="single" w:color="auto" w:sz="4" w:space="0"/>
            </w:tcBorders>
            <w:shd w:val="clear" w:color="auto" w:fill="auto"/>
            <w:vAlign w:val="center"/>
          </w:tcPr>
          <w:p w14:paraId="3C56AE3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万元</w:t>
            </w:r>
          </w:p>
        </w:tc>
        <w:tc>
          <w:tcPr>
            <w:tcW w:w="1842" w:type="dxa"/>
            <w:tcBorders>
              <w:top w:val="nil"/>
              <w:left w:val="nil"/>
              <w:bottom w:val="single" w:color="auto" w:sz="4" w:space="0"/>
              <w:right w:val="single" w:color="auto" w:sz="4" w:space="0"/>
            </w:tcBorders>
            <w:shd w:val="clear" w:color="auto" w:fill="auto"/>
            <w:vAlign w:val="center"/>
          </w:tcPr>
          <w:p w14:paraId="568757E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8000≤Z＜120000</w:t>
            </w:r>
          </w:p>
        </w:tc>
        <w:tc>
          <w:tcPr>
            <w:tcW w:w="1702" w:type="dxa"/>
            <w:tcBorders>
              <w:top w:val="nil"/>
              <w:left w:val="nil"/>
              <w:bottom w:val="single" w:color="auto" w:sz="4" w:space="0"/>
              <w:right w:val="single" w:color="auto" w:sz="4" w:space="0"/>
            </w:tcBorders>
            <w:shd w:val="clear" w:color="auto" w:fill="auto"/>
            <w:vAlign w:val="center"/>
          </w:tcPr>
          <w:p w14:paraId="1810A725">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100≤Z＜8000</w:t>
            </w:r>
          </w:p>
        </w:tc>
        <w:tc>
          <w:tcPr>
            <w:tcW w:w="1135" w:type="dxa"/>
            <w:tcBorders>
              <w:top w:val="nil"/>
              <w:left w:val="nil"/>
              <w:bottom w:val="single" w:color="auto" w:sz="4" w:space="0"/>
              <w:right w:val="single" w:color="auto" w:sz="4" w:space="0"/>
            </w:tcBorders>
            <w:shd w:val="clear" w:color="auto" w:fill="auto"/>
            <w:vAlign w:val="center"/>
          </w:tcPr>
          <w:p w14:paraId="301D5BF3">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Y＜100</w:t>
            </w:r>
          </w:p>
        </w:tc>
      </w:tr>
      <w:tr w14:paraId="78B780F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shd w:val="clear" w:color="auto" w:fill="auto"/>
            <w:vAlign w:val="bottom"/>
          </w:tcPr>
          <w:p w14:paraId="412D6A15">
            <w:pPr>
              <w:widowControl/>
              <w:jc w:val="center"/>
              <w:rPr>
                <w:rFonts w:hint="eastAsia" w:ascii="仿宋_GB2312" w:hAnsi="仿宋" w:eastAsia="仿宋_GB2312" w:cs="宋体"/>
                <w:b/>
                <w:bCs/>
                <w:color w:val="auto"/>
                <w:kern w:val="0"/>
                <w:szCs w:val="21"/>
                <w:highlight w:val="none"/>
              </w:rPr>
            </w:pPr>
            <w:r>
              <w:rPr>
                <w:rFonts w:hint="eastAsia" w:ascii="仿宋_GB2312" w:hAnsi="仿宋" w:eastAsia="仿宋_GB2312" w:cs="宋体"/>
                <w:b/>
                <w:bCs/>
                <w:color w:val="auto"/>
                <w:kern w:val="0"/>
                <w:szCs w:val="21"/>
                <w:highlight w:val="none"/>
                <w:lang w:bidi="ar"/>
              </w:rPr>
              <w:t>其他未列明行业</w:t>
            </w:r>
          </w:p>
        </w:tc>
        <w:tc>
          <w:tcPr>
            <w:tcW w:w="1984" w:type="dxa"/>
            <w:tcBorders>
              <w:top w:val="nil"/>
              <w:left w:val="nil"/>
              <w:bottom w:val="single" w:color="auto" w:sz="4" w:space="0"/>
              <w:right w:val="single" w:color="auto" w:sz="4" w:space="0"/>
            </w:tcBorders>
            <w:shd w:val="clear" w:color="auto" w:fill="auto"/>
            <w:vAlign w:val="center"/>
          </w:tcPr>
          <w:p w14:paraId="31F3C19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从业人员（X）</w:t>
            </w:r>
          </w:p>
        </w:tc>
        <w:tc>
          <w:tcPr>
            <w:tcW w:w="851" w:type="dxa"/>
            <w:tcBorders>
              <w:top w:val="nil"/>
              <w:left w:val="nil"/>
              <w:bottom w:val="single" w:color="auto" w:sz="4" w:space="0"/>
              <w:right w:val="single" w:color="auto" w:sz="4" w:space="0"/>
            </w:tcBorders>
            <w:shd w:val="clear" w:color="auto" w:fill="auto"/>
            <w:vAlign w:val="center"/>
          </w:tcPr>
          <w:p w14:paraId="402948E4">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人</w:t>
            </w:r>
          </w:p>
        </w:tc>
        <w:tc>
          <w:tcPr>
            <w:tcW w:w="1842" w:type="dxa"/>
            <w:tcBorders>
              <w:top w:val="nil"/>
              <w:left w:val="nil"/>
              <w:bottom w:val="single" w:color="auto" w:sz="4" w:space="0"/>
              <w:right w:val="single" w:color="auto" w:sz="4" w:space="0"/>
            </w:tcBorders>
            <w:shd w:val="clear" w:color="auto" w:fill="auto"/>
            <w:vAlign w:val="center"/>
          </w:tcPr>
          <w:p w14:paraId="27E8D8B6">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100≤X＜300</w:t>
            </w:r>
          </w:p>
        </w:tc>
        <w:tc>
          <w:tcPr>
            <w:tcW w:w="1702" w:type="dxa"/>
            <w:tcBorders>
              <w:top w:val="nil"/>
              <w:left w:val="nil"/>
              <w:bottom w:val="single" w:color="auto" w:sz="4" w:space="0"/>
              <w:right w:val="single" w:color="auto" w:sz="4" w:space="0"/>
            </w:tcBorders>
            <w:shd w:val="clear" w:color="auto" w:fill="auto"/>
            <w:vAlign w:val="center"/>
          </w:tcPr>
          <w:p w14:paraId="6F0A3B67">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10≤X＜100</w:t>
            </w:r>
          </w:p>
        </w:tc>
        <w:tc>
          <w:tcPr>
            <w:tcW w:w="1135" w:type="dxa"/>
            <w:tcBorders>
              <w:top w:val="nil"/>
              <w:left w:val="nil"/>
              <w:bottom w:val="single" w:color="auto" w:sz="4" w:space="0"/>
              <w:right w:val="single" w:color="auto" w:sz="4" w:space="0"/>
            </w:tcBorders>
            <w:shd w:val="clear" w:color="auto" w:fill="auto"/>
            <w:vAlign w:val="center"/>
          </w:tcPr>
          <w:p w14:paraId="5ADA5C9E">
            <w:pPr>
              <w:widowControl/>
              <w:jc w:val="left"/>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lang w:bidi="ar"/>
              </w:rPr>
              <w:t>X＜10</w:t>
            </w:r>
          </w:p>
        </w:tc>
      </w:tr>
    </w:tbl>
    <w:p w14:paraId="2EFCE453">
      <w:pPr>
        <w:spacing w:line="560" w:lineRule="exact"/>
        <w:ind w:firstLine="525" w:firstLineChars="250"/>
        <w:rPr>
          <w:rFonts w:hint="eastAsia" w:ascii="仿宋_GB2312" w:hAnsi="仿宋" w:eastAsia="仿宋_GB2312" w:cs="仿宋_GB2312"/>
          <w:color w:val="auto"/>
          <w:szCs w:val="21"/>
          <w:highlight w:val="none"/>
        </w:rPr>
      </w:pPr>
      <w:r>
        <w:rPr>
          <w:rFonts w:hint="eastAsia" w:ascii="仿宋_GB2312" w:hAnsi="仿宋" w:eastAsia="仿宋_GB2312" w:cs="仿宋_GB2312"/>
          <w:color w:val="auto"/>
          <w:szCs w:val="21"/>
          <w:highlight w:val="none"/>
          <w:lang w:bidi="ar"/>
        </w:rPr>
        <w:t>说明：上述标准参照《关于印发中小企业划型标准规定的通知》（工信部联企业[2011]300号），大型、中型和小型企业须同时满足所列指标的下限，否则下划一档；微型企业只须满足所列指标中的一项即可。</w:t>
      </w:r>
    </w:p>
    <w:p w14:paraId="624C52B9">
      <w:pPr>
        <w:rPr>
          <w:rFonts w:hint="eastAsia" w:ascii="宋体" w:hAnsi="宋体" w:eastAsia="宋体" w:cs="Times New Roman"/>
          <w:color w:val="auto"/>
          <w:sz w:val="20"/>
          <w:szCs w:val="21"/>
          <w:highlight w:val="none"/>
          <w:lang w:bidi="ar"/>
        </w:rPr>
        <w:sectPr>
          <w:pgSz w:w="11906" w:h="16838"/>
          <w:pgMar w:top="1135" w:right="1135" w:bottom="1135" w:left="1135" w:header="720" w:footer="720" w:gutter="0"/>
          <w:pgNumType w:fmt="decimal"/>
          <w:cols w:space="425" w:num="1"/>
          <w:docGrid w:type="lines" w:linePitch="331" w:charSpace="0"/>
        </w:sectPr>
      </w:pPr>
    </w:p>
    <w:p w14:paraId="727B1397">
      <w:pPr>
        <w:pStyle w:val="2"/>
        <w:widowControl/>
        <w:jc w:val="center"/>
        <w:rPr>
          <w:color w:val="auto"/>
          <w:highlight w:val="none"/>
        </w:rPr>
      </w:pPr>
      <w:bookmarkStart w:id="33" w:name="_Toc18108"/>
      <w:r>
        <w:rPr>
          <w:rFonts w:hint="eastAsia" w:ascii="Cambria" w:hAnsi="Cambria" w:cs="宋体"/>
          <w:bCs w:val="0"/>
          <w:color w:val="auto"/>
          <w:sz w:val="32"/>
          <w:szCs w:val="32"/>
          <w:highlight w:val="none"/>
        </w:rPr>
        <w:t>第三章</w:t>
      </w:r>
      <w:r>
        <w:rPr>
          <w:rFonts w:ascii="Cambria" w:hAnsi="Cambria" w:eastAsia="Cambria" w:cs="Cambria"/>
          <w:bCs w:val="0"/>
          <w:color w:val="auto"/>
          <w:sz w:val="32"/>
          <w:szCs w:val="32"/>
          <w:highlight w:val="none"/>
        </w:rPr>
        <w:t xml:space="preserve"> </w:t>
      </w:r>
      <w:r>
        <w:rPr>
          <w:rFonts w:hint="eastAsia" w:ascii="Cambria" w:hAnsi="Cambria" w:cs="宋体"/>
          <w:bCs w:val="0"/>
          <w:color w:val="auto"/>
          <w:sz w:val="32"/>
          <w:szCs w:val="32"/>
          <w:highlight w:val="none"/>
        </w:rPr>
        <w:t>供应商须知</w:t>
      </w:r>
      <w:bookmarkEnd w:id="33"/>
    </w:p>
    <w:p w14:paraId="04C7B059">
      <w:pPr>
        <w:pStyle w:val="3"/>
        <w:widowControl/>
        <w:jc w:val="center"/>
        <w:rPr>
          <w:rFonts w:hint="eastAsia" w:ascii="宋体" w:hAnsi="宋体" w:eastAsia="宋体" w:cs="宋体"/>
          <w:b w:val="0"/>
          <w:color w:val="auto"/>
          <w:highlight w:val="none"/>
        </w:rPr>
      </w:pPr>
      <w:bookmarkStart w:id="34" w:name="_Toc19719"/>
      <w:r>
        <w:rPr>
          <w:rFonts w:hint="eastAsia" w:ascii="宋体" w:hAnsi="宋体" w:eastAsia="宋体" w:cs="宋体"/>
          <w:b w:val="0"/>
          <w:color w:val="auto"/>
          <w:highlight w:val="none"/>
        </w:rPr>
        <w:t>第一节 供应商须知前附表</w:t>
      </w:r>
      <w:bookmarkEnd w:id="34"/>
    </w:p>
    <w:tbl>
      <w:tblPr>
        <w:tblStyle w:val="30"/>
        <w:tblW w:w="10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6"/>
        <w:gridCol w:w="6853"/>
      </w:tblGrid>
      <w:tr w14:paraId="3AFEB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tcPr>
          <w:p w14:paraId="78C957C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条款号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40D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条款内容</w:t>
            </w:r>
          </w:p>
        </w:tc>
        <w:tc>
          <w:tcPr>
            <w:tcW w:w="6853" w:type="dxa"/>
            <w:tcBorders>
              <w:top w:val="single" w:color="000000" w:sz="4" w:space="0"/>
              <w:left w:val="single" w:color="000000" w:sz="4" w:space="0"/>
              <w:bottom w:val="single" w:color="000000" w:sz="4" w:space="0"/>
              <w:right w:val="single" w:color="000000" w:sz="4" w:space="0"/>
            </w:tcBorders>
            <w:shd w:val="clear" w:color="auto" w:fill="auto"/>
          </w:tcPr>
          <w:p w14:paraId="27A7FDFA">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具体要求</w:t>
            </w:r>
          </w:p>
        </w:tc>
      </w:tr>
      <w:tr w14:paraId="387A1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05A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386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供应商资格条件</w:t>
            </w:r>
          </w:p>
        </w:tc>
        <w:tc>
          <w:tcPr>
            <w:tcW w:w="6853" w:type="dxa"/>
            <w:tcBorders>
              <w:top w:val="single" w:color="000000" w:sz="4" w:space="0"/>
              <w:left w:val="single" w:color="000000" w:sz="4" w:space="0"/>
              <w:bottom w:val="single" w:color="000000" w:sz="4" w:space="0"/>
              <w:right w:val="single" w:color="000000" w:sz="4" w:space="0"/>
            </w:tcBorders>
            <w:shd w:val="clear" w:color="auto" w:fill="auto"/>
          </w:tcPr>
          <w:p w14:paraId="5F8A3FD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供应商资格条件要求详见公告。</w:t>
            </w:r>
          </w:p>
        </w:tc>
      </w:tr>
      <w:tr w14:paraId="49D19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C17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0CA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是否接受联合体竞标</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D42C">
            <w:pPr>
              <w:spacing w:line="360" w:lineRule="auto"/>
              <w:rPr>
                <w:rFonts w:hint="eastAsia" w:ascii="宋体" w:hAnsi="宋体" w:eastAsia="宋体" w:cs="宋体"/>
                <w:color w:val="auto"/>
                <w:szCs w:val="21"/>
                <w:highlight w:val="none"/>
              </w:rPr>
            </w:pPr>
            <w:bookmarkStart w:id="35" w:name="PO_3000001868_PM007"/>
            <w:r>
              <w:rPr>
                <w:rFonts w:hint="eastAsia" w:ascii="宋体" w:hAnsi="宋体" w:cs="宋体"/>
                <w:color w:val="auto"/>
                <w:szCs w:val="21"/>
                <w:highlight w:val="none"/>
              </w:rPr>
              <w:t>不允许联合体投标</w:t>
            </w:r>
            <w:bookmarkEnd w:id="35"/>
          </w:p>
        </w:tc>
      </w:tr>
      <w:tr w14:paraId="67D73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89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6DE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联合体竞标要求</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664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55A0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315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59F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是否允许分包</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587A">
            <w:pPr>
              <w:pStyle w:val="12"/>
              <w:spacing w:line="360" w:lineRule="auto"/>
              <w:rPr>
                <w:rFonts w:hint="eastAsia" w:ascii="宋体" w:hAnsi="宋体" w:cs="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不允许分包</w:t>
            </w:r>
          </w:p>
        </w:tc>
      </w:tr>
      <w:tr w14:paraId="45654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215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F4D4">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资格证明文件组成</w:t>
            </w:r>
          </w:p>
          <w:p w14:paraId="03EFE843">
            <w:pPr>
              <w:spacing w:line="360" w:lineRule="auto"/>
              <w:jc w:val="center"/>
              <w:rPr>
                <w:rFonts w:hint="eastAsia" w:ascii="宋体" w:hAnsi="宋体" w:eastAsia="宋体" w:cs="宋体"/>
                <w:color w:val="auto"/>
                <w:szCs w:val="21"/>
                <w:highlight w:val="none"/>
              </w:rPr>
            </w:pP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74B9">
            <w:pPr>
              <w:pStyle w:val="12"/>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2E529A8">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2.供应商依法缴纳税收的相关材料：</w:t>
            </w:r>
            <w:r>
              <w:rPr>
                <w:rFonts w:hint="eastAsia" w:ascii="宋体" w:hAnsi="宋体" w:eastAsia="宋体" w:cs="宋体"/>
                <w:b/>
                <w:bCs/>
                <w:color w:val="auto"/>
                <w:spacing w:val="-2"/>
                <w:highlight w:val="none"/>
                <w:u w:val="single" w:color="auto"/>
                <w:lang w:val="en-US" w:eastAsia="zh-CN"/>
              </w:rPr>
              <w:t>2025</w:t>
            </w:r>
            <w:r>
              <w:rPr>
                <w:rFonts w:hint="eastAsia" w:ascii="宋体" w:hAnsi="宋体" w:eastAsia="宋体" w:cs="宋体"/>
                <w:b/>
                <w:bCs/>
                <w:color w:val="auto"/>
                <w:spacing w:val="-2"/>
                <w:highlight w:val="none"/>
                <w:u w:val="single" w:color="auto"/>
              </w:rPr>
              <w:t xml:space="preserve">年 </w:t>
            </w:r>
            <w:r>
              <w:rPr>
                <w:rFonts w:hint="eastAsia" w:ascii="宋体" w:hAnsi="宋体" w:eastAsia="宋体" w:cs="宋体"/>
                <w:b/>
                <w:bCs/>
                <w:color w:val="auto"/>
                <w:spacing w:val="-2"/>
                <w:highlight w:val="none"/>
                <w:u w:val="single" w:color="auto"/>
                <w:lang w:val="en-US" w:eastAsia="zh-CN"/>
              </w:rPr>
              <w:t>12</w:t>
            </w:r>
            <w:r>
              <w:rPr>
                <w:rFonts w:hint="eastAsia" w:ascii="宋体" w:hAnsi="宋体" w:eastAsia="宋体" w:cs="宋体"/>
                <w:b/>
                <w:bCs/>
                <w:color w:val="auto"/>
                <w:spacing w:val="-2"/>
                <w:highlight w:val="none"/>
                <w:u w:val="single" w:color="auto"/>
              </w:rPr>
              <w:t xml:space="preserve"> </w:t>
            </w:r>
            <w:r>
              <w:rPr>
                <w:rFonts w:hint="eastAsia" w:ascii="宋体" w:hAnsi="宋体" w:eastAsia="宋体" w:cs="宋体"/>
                <w:b/>
                <w:bCs/>
                <w:color w:val="auto"/>
                <w:spacing w:val="-87"/>
                <w:highlight w:val="none"/>
                <w:u w:val="single" w:color="auto"/>
              </w:rPr>
              <w:t xml:space="preserve"> </w:t>
            </w:r>
            <w:r>
              <w:rPr>
                <w:rFonts w:hint="eastAsia" w:ascii="宋体" w:hAnsi="宋体" w:eastAsia="宋体" w:cs="宋体"/>
                <w:b/>
                <w:bCs/>
                <w:color w:val="auto"/>
                <w:spacing w:val="-2"/>
                <w:highlight w:val="none"/>
                <w:u w:val="single" w:color="auto"/>
              </w:rPr>
              <w:t xml:space="preserve">月至 </w:t>
            </w:r>
            <w:r>
              <w:rPr>
                <w:rFonts w:hint="eastAsia" w:ascii="宋体" w:hAnsi="宋体" w:eastAsia="宋体" w:cs="宋体"/>
                <w:b/>
                <w:bCs/>
                <w:color w:val="auto"/>
                <w:spacing w:val="-2"/>
                <w:highlight w:val="none"/>
                <w:u w:val="single" w:color="auto"/>
                <w:lang w:val="en-US" w:eastAsia="zh-CN"/>
              </w:rPr>
              <w:t>2026</w:t>
            </w:r>
            <w:r>
              <w:rPr>
                <w:rFonts w:hint="eastAsia" w:ascii="宋体" w:hAnsi="宋体" w:eastAsia="宋体" w:cs="宋体"/>
                <w:b/>
                <w:bCs/>
                <w:color w:val="auto"/>
                <w:spacing w:val="-2"/>
                <w:highlight w:val="none"/>
                <w:u w:val="single" w:color="auto"/>
              </w:rPr>
              <w:t xml:space="preserve"> </w:t>
            </w:r>
            <w:r>
              <w:rPr>
                <w:rFonts w:hint="eastAsia" w:ascii="宋体" w:hAnsi="宋体" w:eastAsia="宋体" w:cs="宋体"/>
                <w:b/>
                <w:bCs/>
                <w:color w:val="auto"/>
                <w:spacing w:val="-96"/>
                <w:highlight w:val="none"/>
                <w:u w:val="single" w:color="auto"/>
              </w:rPr>
              <w:t xml:space="preserve"> </w:t>
            </w:r>
            <w:r>
              <w:rPr>
                <w:rFonts w:hint="eastAsia" w:ascii="宋体" w:hAnsi="宋体" w:eastAsia="宋体" w:cs="宋体"/>
                <w:b/>
                <w:bCs/>
                <w:color w:val="auto"/>
                <w:spacing w:val="-2"/>
                <w:highlight w:val="none"/>
                <w:u w:val="single" w:color="auto"/>
              </w:rPr>
              <w:t xml:space="preserve">年 </w:t>
            </w:r>
            <w:r>
              <w:rPr>
                <w:rFonts w:hint="eastAsia" w:ascii="宋体" w:hAnsi="宋体" w:eastAsia="宋体" w:cs="宋体"/>
                <w:b/>
                <w:bCs/>
                <w:color w:val="auto"/>
                <w:spacing w:val="-2"/>
                <w:highlight w:val="none"/>
                <w:u w:val="single" w:color="auto"/>
                <w:lang w:val="en-US" w:eastAsia="zh-CN"/>
              </w:rPr>
              <w:t>5</w:t>
            </w:r>
            <w:r>
              <w:rPr>
                <w:rFonts w:hint="eastAsia" w:ascii="宋体" w:hAnsi="宋体" w:eastAsia="宋体" w:cs="宋体"/>
                <w:b/>
                <w:bCs/>
                <w:color w:val="auto"/>
                <w:spacing w:val="-2"/>
                <w:highlight w:val="none"/>
                <w:u w:val="single" w:color="auto"/>
              </w:rPr>
              <w:t xml:space="preserve"> </w:t>
            </w:r>
            <w:r>
              <w:rPr>
                <w:rFonts w:hint="eastAsia" w:ascii="宋体" w:hAnsi="宋体" w:eastAsia="宋体" w:cs="宋体"/>
                <w:b/>
                <w:bCs/>
                <w:color w:val="auto"/>
                <w:spacing w:val="-87"/>
                <w:highlight w:val="none"/>
                <w:u w:val="single" w:color="auto"/>
              </w:rPr>
              <w:t xml:space="preserve"> </w:t>
            </w:r>
            <w:r>
              <w:rPr>
                <w:rFonts w:hint="eastAsia" w:ascii="宋体" w:hAnsi="宋体" w:eastAsia="宋体" w:cs="宋体"/>
                <w:b/>
                <w:bCs/>
                <w:color w:val="auto"/>
                <w:spacing w:val="-2"/>
                <w:highlight w:val="none"/>
                <w:u w:val="single" w:color="auto"/>
              </w:rPr>
              <w:t>月连</w:t>
            </w:r>
            <w:r>
              <w:rPr>
                <w:rFonts w:hint="eastAsia" w:ascii="宋体" w:hAnsi="宋体" w:eastAsia="宋体" w:cs="宋体"/>
                <w:b/>
                <w:bCs/>
                <w:color w:val="auto"/>
                <w:spacing w:val="-6"/>
                <w:highlight w:val="none"/>
                <w:u w:val="single" w:color="auto"/>
              </w:rPr>
              <w:t xml:space="preserve">续    </w:t>
            </w:r>
            <w:r>
              <w:rPr>
                <w:rFonts w:hint="eastAsia" w:ascii="宋体" w:hAnsi="宋体" w:eastAsia="宋体" w:cs="宋体"/>
                <w:b/>
                <w:bCs/>
                <w:color w:val="auto"/>
                <w:spacing w:val="-81"/>
                <w:highlight w:val="none"/>
                <w:u w:val="single" w:color="auto"/>
              </w:rPr>
              <w:t xml:space="preserve"> </w:t>
            </w:r>
            <w:r>
              <w:rPr>
                <w:rFonts w:hint="eastAsia" w:ascii="宋体" w:hAnsi="宋体" w:eastAsia="宋体" w:cs="宋体"/>
                <w:b/>
                <w:bCs/>
                <w:color w:val="auto"/>
                <w:spacing w:val="-81"/>
                <w:highlight w:val="none"/>
                <w:u w:val="single" w:color="auto"/>
                <w:lang w:val="en-US" w:eastAsia="zh-CN"/>
              </w:rPr>
              <w:t>3</w:t>
            </w:r>
            <w:r>
              <w:rPr>
                <w:rFonts w:hint="eastAsia" w:ascii="宋体" w:hAnsi="宋体" w:eastAsia="宋体" w:cs="宋体"/>
                <w:b/>
                <w:bCs/>
                <w:color w:val="auto"/>
                <w:spacing w:val="-6"/>
                <w:highlight w:val="none"/>
                <w:u w:val="single" w:color="auto"/>
              </w:rPr>
              <w:t>个月</w:t>
            </w:r>
            <w:r>
              <w:rPr>
                <w:rFonts w:hint="eastAsia" w:ascii="宋体" w:hAnsi="宋体" w:eastAsia="宋体" w:cs="宋体"/>
                <w:color w:val="auto"/>
                <w:szCs w:val="21"/>
                <w:highlight w:val="none"/>
                <w:lang w:bidi="ar"/>
              </w:rPr>
              <w:t>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Cs w:val="21"/>
                <w:highlight w:val="none"/>
                <w:lang w:bidi="ar"/>
              </w:rPr>
              <w:t>必须提供，否则作无效竞标处理</w:t>
            </w:r>
            <w:r>
              <w:rPr>
                <w:rFonts w:hint="eastAsia" w:ascii="宋体" w:hAnsi="宋体" w:eastAsia="宋体" w:cs="宋体"/>
                <w:color w:val="auto"/>
                <w:szCs w:val="21"/>
                <w:highlight w:val="none"/>
                <w:lang w:bidi="ar"/>
              </w:rPr>
              <w:t>）</w:t>
            </w:r>
          </w:p>
          <w:p w14:paraId="64192548">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3.供应商依法缴纳社会保障资金的相关材料：</w:t>
            </w:r>
            <w:r>
              <w:rPr>
                <w:rFonts w:hint="eastAsia" w:ascii="宋体" w:hAnsi="宋体" w:eastAsia="宋体" w:cs="宋体"/>
                <w:b/>
                <w:bCs/>
                <w:color w:val="auto"/>
                <w:spacing w:val="-2"/>
                <w:highlight w:val="none"/>
                <w:u w:val="single" w:color="auto"/>
                <w:lang w:val="en-US" w:eastAsia="zh-CN"/>
              </w:rPr>
              <w:t>2025</w:t>
            </w:r>
            <w:r>
              <w:rPr>
                <w:rFonts w:hint="eastAsia" w:ascii="宋体" w:hAnsi="宋体" w:eastAsia="宋体" w:cs="宋体"/>
                <w:b/>
                <w:bCs/>
                <w:color w:val="auto"/>
                <w:spacing w:val="-2"/>
                <w:highlight w:val="none"/>
                <w:u w:val="single" w:color="auto"/>
              </w:rPr>
              <w:t xml:space="preserve">年 </w:t>
            </w:r>
            <w:r>
              <w:rPr>
                <w:rFonts w:hint="eastAsia" w:ascii="宋体" w:hAnsi="宋体" w:eastAsia="宋体" w:cs="宋体"/>
                <w:b/>
                <w:bCs/>
                <w:color w:val="auto"/>
                <w:spacing w:val="-2"/>
                <w:highlight w:val="none"/>
                <w:u w:val="single" w:color="auto"/>
                <w:lang w:val="en-US" w:eastAsia="zh-CN"/>
              </w:rPr>
              <w:t>12</w:t>
            </w:r>
            <w:r>
              <w:rPr>
                <w:rFonts w:hint="eastAsia" w:ascii="宋体" w:hAnsi="宋体" w:eastAsia="宋体" w:cs="宋体"/>
                <w:b/>
                <w:bCs/>
                <w:color w:val="auto"/>
                <w:spacing w:val="-2"/>
                <w:highlight w:val="none"/>
                <w:u w:val="single" w:color="auto"/>
              </w:rPr>
              <w:t xml:space="preserve"> </w:t>
            </w:r>
            <w:r>
              <w:rPr>
                <w:rFonts w:hint="eastAsia" w:ascii="宋体" w:hAnsi="宋体" w:eastAsia="宋体" w:cs="宋体"/>
                <w:b/>
                <w:bCs/>
                <w:color w:val="auto"/>
                <w:spacing w:val="-87"/>
                <w:highlight w:val="none"/>
                <w:u w:val="single" w:color="auto"/>
              </w:rPr>
              <w:t xml:space="preserve"> </w:t>
            </w:r>
            <w:r>
              <w:rPr>
                <w:rFonts w:hint="eastAsia" w:ascii="宋体" w:hAnsi="宋体" w:eastAsia="宋体" w:cs="宋体"/>
                <w:b/>
                <w:bCs/>
                <w:color w:val="auto"/>
                <w:spacing w:val="-2"/>
                <w:highlight w:val="none"/>
                <w:u w:val="single" w:color="auto"/>
              </w:rPr>
              <w:t xml:space="preserve">月至 </w:t>
            </w:r>
            <w:r>
              <w:rPr>
                <w:rFonts w:hint="eastAsia" w:ascii="宋体" w:hAnsi="宋体" w:eastAsia="宋体" w:cs="宋体"/>
                <w:b/>
                <w:bCs/>
                <w:color w:val="auto"/>
                <w:spacing w:val="-2"/>
                <w:highlight w:val="none"/>
                <w:u w:val="single" w:color="auto"/>
                <w:lang w:val="en-US" w:eastAsia="zh-CN"/>
              </w:rPr>
              <w:t>2026</w:t>
            </w:r>
            <w:r>
              <w:rPr>
                <w:rFonts w:hint="eastAsia" w:ascii="宋体" w:hAnsi="宋体" w:eastAsia="宋体" w:cs="宋体"/>
                <w:b/>
                <w:bCs/>
                <w:color w:val="auto"/>
                <w:spacing w:val="-2"/>
                <w:highlight w:val="none"/>
                <w:u w:val="single" w:color="auto"/>
              </w:rPr>
              <w:t xml:space="preserve"> </w:t>
            </w:r>
            <w:r>
              <w:rPr>
                <w:rFonts w:hint="eastAsia" w:ascii="宋体" w:hAnsi="宋体" w:eastAsia="宋体" w:cs="宋体"/>
                <w:b/>
                <w:bCs/>
                <w:color w:val="auto"/>
                <w:spacing w:val="-96"/>
                <w:highlight w:val="none"/>
                <w:u w:val="single" w:color="auto"/>
              </w:rPr>
              <w:t xml:space="preserve"> </w:t>
            </w:r>
            <w:r>
              <w:rPr>
                <w:rFonts w:hint="eastAsia" w:ascii="宋体" w:hAnsi="宋体" w:eastAsia="宋体" w:cs="宋体"/>
                <w:b/>
                <w:bCs/>
                <w:color w:val="auto"/>
                <w:spacing w:val="-2"/>
                <w:highlight w:val="none"/>
                <w:u w:val="single" w:color="auto"/>
              </w:rPr>
              <w:t xml:space="preserve">年 </w:t>
            </w:r>
            <w:r>
              <w:rPr>
                <w:rFonts w:hint="eastAsia" w:ascii="宋体" w:hAnsi="宋体" w:eastAsia="宋体" w:cs="宋体"/>
                <w:b/>
                <w:bCs/>
                <w:color w:val="auto"/>
                <w:spacing w:val="-2"/>
                <w:highlight w:val="none"/>
                <w:u w:val="single" w:color="auto"/>
                <w:lang w:val="en-US" w:eastAsia="zh-CN"/>
              </w:rPr>
              <w:t>5</w:t>
            </w:r>
            <w:r>
              <w:rPr>
                <w:rFonts w:hint="eastAsia" w:ascii="宋体" w:hAnsi="宋体" w:eastAsia="宋体" w:cs="宋体"/>
                <w:b/>
                <w:bCs/>
                <w:color w:val="auto"/>
                <w:spacing w:val="-2"/>
                <w:highlight w:val="none"/>
                <w:u w:val="single" w:color="auto"/>
              </w:rPr>
              <w:t xml:space="preserve"> </w:t>
            </w:r>
            <w:r>
              <w:rPr>
                <w:rFonts w:hint="eastAsia" w:ascii="宋体" w:hAnsi="宋体" w:eastAsia="宋体" w:cs="宋体"/>
                <w:b/>
                <w:bCs/>
                <w:color w:val="auto"/>
                <w:spacing w:val="-87"/>
                <w:highlight w:val="none"/>
                <w:u w:val="single" w:color="auto"/>
              </w:rPr>
              <w:t xml:space="preserve"> </w:t>
            </w:r>
            <w:r>
              <w:rPr>
                <w:rFonts w:hint="eastAsia" w:ascii="宋体" w:hAnsi="宋体" w:eastAsia="宋体" w:cs="宋体"/>
                <w:b/>
                <w:bCs/>
                <w:color w:val="auto"/>
                <w:spacing w:val="-2"/>
                <w:highlight w:val="none"/>
                <w:u w:val="single" w:color="auto"/>
              </w:rPr>
              <w:t>月连</w:t>
            </w:r>
            <w:r>
              <w:rPr>
                <w:rFonts w:hint="eastAsia" w:ascii="宋体" w:hAnsi="宋体" w:eastAsia="宋体" w:cs="宋体"/>
                <w:b/>
                <w:bCs/>
                <w:color w:val="auto"/>
                <w:spacing w:val="-6"/>
                <w:highlight w:val="none"/>
                <w:u w:val="single" w:color="auto"/>
              </w:rPr>
              <w:t>续</w:t>
            </w:r>
            <w:r>
              <w:rPr>
                <w:rFonts w:hint="eastAsia" w:ascii="宋体" w:hAnsi="宋体" w:eastAsia="宋体" w:cs="宋体"/>
                <w:b/>
                <w:bCs/>
                <w:color w:val="auto"/>
                <w:spacing w:val="-6"/>
                <w:highlight w:val="none"/>
                <w:u w:val="single" w:color="auto"/>
                <w:lang w:val="en-US" w:eastAsia="zh-CN"/>
              </w:rPr>
              <w:t>3</w:t>
            </w:r>
            <w:r>
              <w:rPr>
                <w:rFonts w:hint="eastAsia" w:ascii="宋体" w:hAnsi="宋体" w:eastAsia="宋体" w:cs="宋体"/>
                <w:b/>
                <w:bCs/>
                <w:color w:val="auto"/>
                <w:spacing w:val="-6"/>
                <w:highlight w:val="none"/>
                <w:u w:val="single" w:color="auto"/>
              </w:rPr>
              <w:t>个月</w:t>
            </w:r>
            <w:r>
              <w:rPr>
                <w:rFonts w:hint="eastAsia" w:ascii="宋体" w:hAnsi="宋体" w:eastAsia="宋体" w:cs="宋体"/>
                <w:color w:val="auto"/>
                <w:szCs w:val="21"/>
                <w:highlight w:val="none"/>
                <w:lang w:bidi="ar"/>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lang w:bidi="ar"/>
              </w:rPr>
              <w:t>必须提供，否则作无效竞标处理</w:t>
            </w:r>
            <w:r>
              <w:rPr>
                <w:rFonts w:hint="eastAsia" w:ascii="宋体" w:hAnsi="宋体" w:eastAsia="宋体" w:cs="宋体"/>
                <w:color w:val="auto"/>
                <w:szCs w:val="21"/>
                <w:highlight w:val="none"/>
                <w:lang w:bidi="ar"/>
              </w:rPr>
              <w:t>）</w:t>
            </w:r>
          </w:p>
          <w:p w14:paraId="1C184180">
            <w:pPr>
              <w:pStyle w:val="88"/>
              <w:keepNext w:val="0"/>
              <w:keepLines w:val="0"/>
              <w:pageBreakBefore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bidi="ar"/>
              </w:rPr>
              <w:t>4.供应商财务状况报告：</w:t>
            </w:r>
            <w:r>
              <w:rPr>
                <w:rFonts w:hint="eastAsia" w:ascii="宋体" w:hAnsi="宋体" w:eastAsia="宋体" w:cs="宋体"/>
                <w:b/>
                <w:bCs/>
                <w:color w:val="auto"/>
                <w:highlight w:val="none"/>
                <w:u w:val="single"/>
                <w:lang w:eastAsia="zh-CN" w:bidi="ar"/>
              </w:rPr>
              <w:t>[ 202</w:t>
            </w:r>
            <w:r>
              <w:rPr>
                <w:rFonts w:hint="eastAsia" w:ascii="宋体" w:hAnsi="宋体" w:eastAsia="宋体" w:cs="宋体"/>
                <w:b/>
                <w:bCs/>
                <w:color w:val="auto"/>
                <w:highlight w:val="none"/>
                <w:u w:val="single"/>
                <w:lang w:val="en-US" w:eastAsia="zh-CN" w:bidi="ar"/>
              </w:rPr>
              <w:t>4</w:t>
            </w:r>
            <w:r>
              <w:rPr>
                <w:rFonts w:hint="eastAsia" w:ascii="宋体" w:hAnsi="宋体" w:eastAsia="宋体" w:cs="宋体"/>
                <w:b/>
                <w:bCs/>
                <w:color w:val="auto"/>
                <w:highlight w:val="none"/>
                <w:u w:val="single"/>
                <w:lang w:eastAsia="zh-CN" w:bidi="ar"/>
              </w:rPr>
              <w:t>年度或</w:t>
            </w:r>
            <w:r>
              <w:rPr>
                <w:rFonts w:hint="eastAsia" w:ascii="宋体" w:hAnsi="宋体" w:eastAsia="宋体" w:cs="宋体"/>
                <w:b/>
                <w:bCs/>
                <w:color w:val="auto"/>
                <w:highlight w:val="none"/>
                <w:u w:val="single"/>
                <w:lang w:val="en-US" w:eastAsia="zh-CN" w:bidi="ar"/>
              </w:rPr>
              <w:t>2025年度</w:t>
            </w:r>
            <w:r>
              <w:rPr>
                <w:rFonts w:hint="eastAsia" w:ascii="宋体" w:hAnsi="宋体" w:eastAsia="宋体" w:cs="宋体"/>
                <w:b/>
                <w:bCs/>
                <w:color w:val="auto"/>
                <w:highlight w:val="none"/>
                <w:u w:val="single"/>
                <w:lang w:eastAsia="zh-CN" w:bidi="ar"/>
              </w:rPr>
              <w:t>]</w:t>
            </w:r>
            <w:r>
              <w:rPr>
                <w:rFonts w:hint="eastAsia" w:ascii="宋体" w:hAnsi="宋体" w:eastAsia="宋体" w:cs="宋体"/>
                <w:color w:val="auto"/>
                <w:highlight w:val="none"/>
                <w:lang w:eastAsia="zh-CN" w:bidi="ar"/>
              </w:rPr>
              <w:t>财务状况报告复印件；供应商成立不满一年的应按提供首次响应文件提交截止时间上一个月的财务状况报告复印件。</w:t>
            </w:r>
            <w:r>
              <w:rPr>
                <w:rFonts w:hint="eastAsia" w:ascii="宋体" w:hAnsi="宋体" w:eastAsia="宋体" w:cs="宋体"/>
                <w:color w:val="auto"/>
                <w:spacing w:val="-4"/>
                <w:highlight w:val="none"/>
              </w:rPr>
              <w:t>（上述财务状况报告包括：供应商执行《企业会计准则》的，</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提供资产负债表、利润表、现金流量表、所有者权益变动表及其附注（以</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3"/>
                <w:highlight w:val="none"/>
              </w:rPr>
              <w:t>下称“四表一注”</w:t>
            </w:r>
            <w:r>
              <w:rPr>
                <w:rFonts w:hint="eastAsia" w:ascii="宋体" w:hAnsi="宋体" w:eastAsia="宋体" w:cs="宋体"/>
                <w:color w:val="auto"/>
                <w:spacing w:val="3"/>
                <w:highlight w:val="none"/>
              </w:rPr>
              <w:t>）；</w:t>
            </w:r>
            <w:r>
              <w:rPr>
                <w:rFonts w:hint="eastAsia" w:ascii="宋体" w:hAnsi="宋体" w:eastAsia="宋体" w:cs="宋体"/>
                <w:color w:val="auto"/>
                <w:spacing w:val="-3"/>
                <w:highlight w:val="none"/>
              </w:rPr>
              <w:t>供应商执行《小企业会计准则》的，提供资产负债</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3"/>
                <w:highlight w:val="none"/>
              </w:rPr>
              <w:t>表、利润表、现金流量表及其附注（以下称“三表一注”</w:t>
            </w:r>
            <w:r>
              <w:rPr>
                <w:rFonts w:hint="eastAsia" w:ascii="宋体" w:hAnsi="宋体" w:eastAsia="宋体" w:cs="宋体"/>
                <w:color w:val="auto"/>
                <w:spacing w:val="3"/>
                <w:highlight w:val="none"/>
              </w:rPr>
              <w:t>）；</w:t>
            </w:r>
            <w:r>
              <w:rPr>
                <w:rFonts w:hint="eastAsia" w:ascii="宋体" w:hAnsi="宋体" w:eastAsia="宋体" w:cs="宋体"/>
                <w:color w:val="auto"/>
                <w:spacing w:val="-3"/>
                <w:highlight w:val="none"/>
              </w:rPr>
              <w:t>供应商执行</w:t>
            </w:r>
            <w:r>
              <w:rPr>
                <w:rFonts w:hint="eastAsia" w:ascii="宋体" w:hAnsi="宋体" w:eastAsia="宋体" w:cs="宋体"/>
                <w:color w:val="auto"/>
                <w:spacing w:val="-2"/>
                <w:highlight w:val="none"/>
              </w:rPr>
              <w:t>《政府会计制度》的，提供资产负债表、收入费用表和净资产变动表及其</w:t>
            </w:r>
            <w:r>
              <w:rPr>
                <w:rFonts w:hint="eastAsia" w:ascii="宋体" w:hAnsi="宋体" w:eastAsia="宋体" w:cs="宋体"/>
                <w:color w:val="auto"/>
                <w:spacing w:val="-6"/>
                <w:highlight w:val="none"/>
              </w:rPr>
              <w:t>附注)</w:t>
            </w:r>
            <w:r>
              <w:rPr>
                <w:rFonts w:hint="eastAsia" w:ascii="宋体" w:hAnsi="宋体" w:eastAsia="宋体" w:cs="宋体"/>
                <w:color w:val="auto"/>
                <w:spacing w:val="-8"/>
                <w:highlight w:val="none"/>
              </w:rPr>
              <w:t>；（</w:t>
            </w:r>
            <w:r>
              <w:rPr>
                <w:rFonts w:hint="eastAsia" w:ascii="宋体" w:hAnsi="宋体" w:eastAsia="宋体" w:cs="宋体"/>
                <w:color w:val="auto"/>
                <w:spacing w:val="-6"/>
                <w:highlight w:val="none"/>
                <w14:textOutline w14:w="4445" w14:cap="flat" w14:cmpd="sng">
                  <w14:solidFill>
                    <w14:srgbClr w14:val="000000"/>
                  </w14:solidFill>
                  <w14:prstDash w14:val="solid"/>
                  <w14:miter w14:val="0"/>
                </w14:textOutline>
              </w:rPr>
              <w:t>必须提供，</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6"/>
                <w:highlight w:val="none"/>
                <w14:textOutline w14:w="4445" w14:cap="flat" w14:cmpd="sng">
                  <w14:solidFill>
                    <w14:srgbClr w14:val="000000"/>
                  </w14:solidFill>
                  <w14:prstDash w14:val="solid"/>
                  <w14:miter w14:val="0"/>
                </w14:textOutline>
              </w:rPr>
              <w:t>否则作无效竞标处理</w:t>
            </w:r>
            <w:r>
              <w:rPr>
                <w:rFonts w:hint="eastAsia" w:ascii="宋体" w:hAnsi="宋体" w:eastAsia="宋体" w:cs="宋体"/>
                <w:color w:val="auto"/>
                <w:spacing w:val="-6"/>
                <w:highlight w:val="none"/>
              </w:rPr>
              <w:t>）</w:t>
            </w:r>
          </w:p>
          <w:p w14:paraId="0F090FD8">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5.供应商直接控股、管理关系信息表；（</w:t>
            </w:r>
            <w:r>
              <w:rPr>
                <w:rFonts w:hint="eastAsia" w:ascii="宋体" w:hAnsi="宋体" w:eastAsia="宋体" w:cs="宋体"/>
                <w:b/>
                <w:color w:val="auto"/>
                <w:szCs w:val="21"/>
                <w:highlight w:val="none"/>
                <w:lang w:bidi="ar"/>
              </w:rPr>
              <w:t>必须提供，否则响应文件按无效响应处理</w:t>
            </w:r>
            <w:r>
              <w:rPr>
                <w:rFonts w:hint="eastAsia" w:ascii="宋体" w:hAnsi="宋体" w:eastAsia="宋体" w:cs="宋体"/>
                <w:color w:val="auto"/>
                <w:szCs w:val="21"/>
                <w:highlight w:val="none"/>
                <w:lang w:bidi="ar"/>
              </w:rPr>
              <w:t>）</w:t>
            </w:r>
          </w:p>
          <w:p w14:paraId="6A9FD9F2">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6.资格声明；（</w:t>
            </w:r>
            <w:r>
              <w:rPr>
                <w:rFonts w:hint="eastAsia" w:ascii="宋体" w:hAnsi="宋体" w:eastAsia="宋体" w:cs="宋体"/>
                <w:b/>
                <w:color w:val="auto"/>
                <w:szCs w:val="21"/>
                <w:highlight w:val="none"/>
                <w:lang w:bidi="ar"/>
              </w:rPr>
              <w:t>必须提供，否则响应文件按无效响应处理</w:t>
            </w:r>
            <w:r>
              <w:rPr>
                <w:rFonts w:hint="eastAsia" w:ascii="宋体" w:hAnsi="宋体" w:eastAsia="宋体" w:cs="宋体"/>
                <w:color w:val="auto"/>
                <w:szCs w:val="21"/>
                <w:highlight w:val="none"/>
                <w:lang w:bidi="ar"/>
              </w:rPr>
              <w:t>）</w:t>
            </w:r>
          </w:p>
          <w:p w14:paraId="2FAEA747">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7.联合体协议书；（</w:t>
            </w:r>
            <w:r>
              <w:rPr>
                <w:rFonts w:hint="eastAsia" w:ascii="宋体" w:hAnsi="宋体" w:eastAsia="宋体" w:cs="宋体"/>
                <w:b/>
                <w:color w:val="auto"/>
                <w:szCs w:val="21"/>
                <w:highlight w:val="none"/>
                <w:lang w:bidi="ar"/>
              </w:rPr>
              <w:t>联合体竞标时必须提供，否则响应文件按无效响应处理</w:t>
            </w:r>
            <w:r>
              <w:rPr>
                <w:rFonts w:hint="eastAsia" w:ascii="宋体" w:hAnsi="宋体" w:eastAsia="宋体" w:cs="宋体"/>
                <w:color w:val="auto"/>
                <w:szCs w:val="21"/>
                <w:highlight w:val="none"/>
                <w:lang w:bidi="ar"/>
              </w:rPr>
              <w:t>）</w:t>
            </w:r>
          </w:p>
          <w:p w14:paraId="238E0EA8">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8.</w:t>
            </w:r>
            <w:r>
              <w:rPr>
                <w:rFonts w:hint="eastAsia" w:ascii="宋体" w:hAnsi="宋体" w:eastAsia="宋体" w:cs="宋体"/>
                <w:color w:val="auto"/>
                <w:szCs w:val="21"/>
                <w:highlight w:val="none"/>
              </w:rPr>
              <w:t>具有水利水电工程施工总承包叁级以上（含叁级）资质，在 人员、设备、资金等方面具有相应的施工能力，并具有省级(或以上级)建设行政主管部门颁发的建 筑施工安全生产许可证； 拟派项目经理具备水利水电工程专业贰级以上(含贰级)注册建造师 资格，具备有效的安全生产考核合格证书（B 类）</w:t>
            </w:r>
            <w:r>
              <w:rPr>
                <w:rFonts w:hint="eastAsia" w:ascii="宋体" w:hAnsi="宋体" w:eastAsia="宋体" w:cs="宋体"/>
                <w:color w:val="auto"/>
                <w:szCs w:val="21"/>
                <w:highlight w:val="none"/>
                <w:lang w:bidi="ar"/>
              </w:rPr>
              <w:t>；（</w:t>
            </w:r>
            <w:r>
              <w:rPr>
                <w:rFonts w:hint="eastAsia" w:ascii="宋体" w:hAnsi="宋体" w:eastAsia="宋体" w:cs="宋体"/>
                <w:b/>
                <w:color w:val="auto"/>
                <w:szCs w:val="21"/>
                <w:highlight w:val="none"/>
                <w:lang w:bidi="ar"/>
              </w:rPr>
              <w:t>必须提供，否则响应文件按无效响应处理</w:t>
            </w:r>
            <w:r>
              <w:rPr>
                <w:rFonts w:hint="eastAsia" w:ascii="宋体" w:hAnsi="宋体" w:eastAsia="宋体" w:cs="宋体"/>
                <w:color w:val="auto"/>
                <w:szCs w:val="21"/>
                <w:highlight w:val="none"/>
                <w:lang w:bidi="ar"/>
              </w:rPr>
              <w:t>）</w:t>
            </w:r>
          </w:p>
          <w:p w14:paraId="649DA60B">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.中小企业声明函或残疾人福利性单位声明函或投标人属于监狱企业的证明材料；（</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3B3CF3D">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bidi="ar"/>
              </w:rPr>
              <w:t>10</w:t>
            </w:r>
            <w:r>
              <w:rPr>
                <w:rFonts w:hint="eastAsia" w:ascii="宋体" w:hAnsi="宋体" w:eastAsia="宋体" w:cs="宋体"/>
                <w:color w:val="auto"/>
                <w:szCs w:val="21"/>
                <w:highlight w:val="none"/>
                <w:lang w:bidi="ar"/>
              </w:rPr>
              <w:t>.除磋商文件规定必须提供以外，供应商认为需要提供的其他证明材料；</w:t>
            </w:r>
          </w:p>
          <w:p w14:paraId="44C666A3">
            <w:pPr>
              <w:keepNext w:val="0"/>
              <w:keepLines w:val="0"/>
              <w:pageBreakBefore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注：</w:t>
            </w:r>
          </w:p>
          <w:p w14:paraId="191838C0">
            <w:pPr>
              <w:keepNext w:val="0"/>
              <w:keepLines w:val="0"/>
              <w:pageBreakBefore w:val="0"/>
              <w:kinsoku/>
              <w:wordWrap/>
              <w:overflowPunct/>
              <w:topLinePunct w:val="0"/>
              <w:autoSpaceDE/>
              <w:autoSpaceDN/>
              <w:bidi w:val="0"/>
              <w:adjustRightInd/>
              <w:snapToGrid/>
              <w:spacing w:line="360" w:lineRule="auto"/>
              <w:ind w:left="0" w:right="0" w:firstLine="413" w:firstLineChars="196"/>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1.以上标明“必须提供”的材料属于复印件的扫描件的，必须加盖供应商电子公章，否则响应文件按无效响应处理。</w:t>
            </w:r>
          </w:p>
          <w:p w14:paraId="0253492B">
            <w:pPr>
              <w:pStyle w:val="12"/>
              <w:keepNext w:val="0"/>
              <w:keepLines w:val="0"/>
              <w:pageBreakBefore w:val="0"/>
              <w:widowControl/>
              <w:kinsoku/>
              <w:wordWrap/>
              <w:overflowPunct/>
              <w:topLinePunct w:val="0"/>
              <w:autoSpaceDE/>
              <w:autoSpaceDN/>
              <w:bidi w:val="0"/>
              <w:adjustRightInd/>
              <w:snapToGrid/>
              <w:spacing w:line="360" w:lineRule="auto"/>
              <w:ind w:left="0" w:right="0" w:firstLine="422" w:firstLineChars="200"/>
              <w:textAlignment w:val="auto"/>
              <w:rPr>
                <w:rFonts w:hint="eastAsia" w:ascii="宋体" w:hAnsi="宋体" w:cs="宋体"/>
                <w:b/>
                <w:color w:val="auto"/>
                <w:szCs w:val="21"/>
                <w:highlight w:val="none"/>
              </w:rPr>
            </w:pPr>
            <w:r>
              <w:rPr>
                <w:rFonts w:hint="eastAsia" w:ascii="宋体" w:hAnsi="宋体" w:eastAsia="宋体" w:cs="宋体"/>
                <w:b/>
                <w:color w:val="auto"/>
                <w:szCs w:val="21"/>
                <w:highlight w:val="none"/>
              </w:rPr>
              <w:t>2.联合体竞标时，第1-5项资格证明文件联合体各方均必须分别提供，联合体各方分别盖章和签字，否则响应文件按无效响应处理。</w:t>
            </w:r>
          </w:p>
        </w:tc>
      </w:tr>
      <w:tr w14:paraId="00B08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right w:val="single" w:color="000000" w:sz="4" w:space="0"/>
            </w:tcBorders>
            <w:shd w:val="clear" w:color="auto" w:fill="auto"/>
            <w:vAlign w:val="center"/>
          </w:tcPr>
          <w:p w14:paraId="75F1551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FB02">
            <w:pPr>
              <w:spacing w:line="480" w:lineRule="exact"/>
              <w:jc w:val="center"/>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商务文件组成</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74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1.无串通竞标行为的承诺函；（</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443A3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2.法定代表人身份证明书及法定代表人有效身份证正反面复印件；（</w:t>
            </w:r>
            <w:r>
              <w:rPr>
                <w:rFonts w:hint="eastAsia" w:ascii="宋体" w:hAnsi="宋体" w:eastAsia="宋体" w:cs="宋体"/>
                <w:b/>
                <w:color w:val="auto"/>
                <w:sz w:val="21"/>
                <w:szCs w:val="21"/>
                <w:highlight w:val="none"/>
              </w:rPr>
              <w:t>除自然人竞标外必须提供，否则响应文件按无效响应处理</w:t>
            </w:r>
            <w:r>
              <w:rPr>
                <w:rFonts w:hint="eastAsia" w:ascii="宋体" w:hAnsi="宋体" w:eastAsia="宋体" w:cs="宋体"/>
                <w:color w:val="auto"/>
                <w:sz w:val="21"/>
                <w:szCs w:val="21"/>
                <w:highlight w:val="none"/>
              </w:rPr>
              <w:t>）</w:t>
            </w:r>
          </w:p>
          <w:p w14:paraId="609380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w:t>
            </w:r>
            <w:r>
              <w:rPr>
                <w:rFonts w:hint="eastAsia" w:ascii="宋体" w:hAnsi="宋体" w:eastAsia="宋体" w:cs="宋体"/>
                <w:b/>
                <w:color w:val="auto"/>
                <w:sz w:val="21"/>
                <w:szCs w:val="21"/>
                <w:highlight w:val="none"/>
              </w:rPr>
              <w:t>委托时必须提供，否则响应文件按无效响应处理</w:t>
            </w:r>
            <w:r>
              <w:rPr>
                <w:rFonts w:hint="eastAsia" w:ascii="宋体" w:hAnsi="宋体" w:eastAsia="宋体" w:cs="宋体"/>
                <w:color w:val="auto"/>
                <w:sz w:val="21"/>
                <w:szCs w:val="21"/>
                <w:highlight w:val="none"/>
              </w:rPr>
              <w:t>）</w:t>
            </w:r>
          </w:p>
          <w:p w14:paraId="2D0ED9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4.商务条款偏离表；（</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43BBD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5.供应商认为需要提供的其他有关资料。</w:t>
            </w:r>
          </w:p>
          <w:p w14:paraId="1F3E87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注： </w:t>
            </w:r>
          </w:p>
          <w:p w14:paraId="4DB0C05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1.法定代表人授权委托书必须由法定代表人及委托代理人签字，并加盖供应商公章，否则响应文件按无效响应处理。</w:t>
            </w:r>
          </w:p>
          <w:p w14:paraId="4ED6ED10">
            <w:pPr>
              <w:keepNext w:val="0"/>
              <w:keepLines w:val="0"/>
              <w:pageBreakBefore w:val="0"/>
              <w:widowControl w:val="0"/>
              <w:kinsoku/>
              <w:wordWrap/>
              <w:overflowPunct/>
              <w:topLinePunct w:val="0"/>
              <w:autoSpaceDE/>
              <w:autoSpaceDN/>
              <w:bidi w:val="0"/>
              <w:adjustRightInd/>
              <w:snapToGrid/>
              <w:spacing w:line="360" w:lineRule="auto"/>
              <w:ind w:firstLine="413" w:firstLineChars="196"/>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2.以上标明“必须提供”的材料属于复印件的扫描件的，必须加盖供应商电子公章，否则响应文件按无效响应处理。</w:t>
            </w:r>
          </w:p>
        </w:tc>
      </w:tr>
      <w:tr w14:paraId="6383D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left w:val="single" w:color="000000" w:sz="4" w:space="0"/>
              <w:bottom w:val="single" w:color="000000" w:sz="4" w:space="0"/>
              <w:right w:val="single" w:color="000000" w:sz="4" w:space="0"/>
            </w:tcBorders>
            <w:shd w:val="clear" w:color="auto" w:fill="auto"/>
            <w:vAlign w:val="center"/>
          </w:tcPr>
          <w:p w14:paraId="5E9C5039">
            <w:pPr>
              <w:spacing w:line="360" w:lineRule="auto"/>
              <w:jc w:val="center"/>
              <w:rPr>
                <w:rFonts w:hint="eastAsia" w:ascii="宋体" w:hAnsi="宋体" w:eastAsia="宋体" w:cs="宋体"/>
                <w:color w:val="auto"/>
                <w:szCs w:val="21"/>
                <w:highlight w:val="none"/>
                <w:lang w:bidi="ar"/>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F1F1">
            <w:pPr>
              <w:spacing w:line="480" w:lineRule="exact"/>
              <w:jc w:val="center"/>
              <w:rPr>
                <w:rFonts w:hint="eastAsia" w:ascii="宋体" w:hAnsi="宋体" w:eastAsia="宋体" w:cs="宋体"/>
                <w:b/>
                <w:bCs/>
                <w:color w:val="auto"/>
                <w:sz w:val="21"/>
                <w:szCs w:val="21"/>
                <w:highlight w:val="none"/>
                <w:lang w:bidi="ar"/>
              </w:rPr>
            </w:pPr>
            <w:r>
              <w:rPr>
                <w:rFonts w:hint="eastAsia" w:ascii="宋体" w:hAnsi="宋体" w:eastAsia="宋体" w:cs="宋体"/>
                <w:b/>
                <w:color w:val="auto"/>
                <w:sz w:val="21"/>
                <w:szCs w:val="21"/>
                <w:highlight w:val="none"/>
              </w:rPr>
              <w:t>技术文件组成</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43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1.磋商</w:t>
            </w:r>
            <w:r>
              <w:rPr>
                <w:rFonts w:hint="eastAsia" w:ascii="宋体" w:hAnsi="宋体" w:eastAsia="宋体" w:cs="宋体"/>
                <w:color w:val="auto"/>
                <w:sz w:val="21"/>
                <w:szCs w:val="21"/>
                <w:highlight w:val="none"/>
                <w:lang w:bidi="ar"/>
              </w:rPr>
              <w:t>人情况介绍</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DDC84A4">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2.技术需求偏离表；</w:t>
            </w:r>
            <w:r>
              <w:rPr>
                <w:rFonts w:hint="eastAsia" w:ascii="宋体" w:hAnsi="宋体" w:eastAsia="宋体" w:cs="宋体"/>
                <w:b/>
                <w:color w:val="auto"/>
                <w:sz w:val="21"/>
                <w:szCs w:val="21"/>
                <w:highlight w:val="none"/>
              </w:rPr>
              <w:t>（必须提供，否则响应文件按无效响应处理）</w:t>
            </w:r>
          </w:p>
          <w:p w14:paraId="34AB35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3.项目经理（或建造师）简历表；（</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63D2E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4.主要施工管理人员表；（</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919D9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5.项目经理未在其他在施建设工程项目中任职的承诺函；（</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5885A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.安全员未在其他在施建设工程项目中任专职安全员的承诺函；（</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6852846">
            <w:pPr>
              <w:pStyle w:val="14"/>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.农民工工资保证金的交纳与使用的承诺书（</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76109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.施工组织设计；（</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864D0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.按本竞争性磋商文件规定提交的其它资料。</w:t>
            </w:r>
          </w:p>
          <w:p w14:paraId="323795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1"/>
                <w:szCs w:val="21"/>
                <w:highlight w:val="none"/>
                <w:lang w:bidi="ar"/>
              </w:rPr>
            </w:pPr>
            <w:r>
              <w:rPr>
                <w:rFonts w:hint="eastAsia" w:ascii="宋体" w:hAnsi="宋体" w:eastAsia="宋体" w:cs="宋体"/>
                <w:b/>
                <w:color w:val="auto"/>
                <w:sz w:val="21"/>
                <w:szCs w:val="21"/>
                <w:highlight w:val="none"/>
              </w:rPr>
              <w:t>注：1.以上标明“必须提供”的材料属于复印件的扫描件的，必须加盖供应商电子公章，否则响应文件按无效响应处理。</w:t>
            </w:r>
          </w:p>
        </w:tc>
      </w:tr>
      <w:tr w14:paraId="4C1E7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2A3B">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bidi="ar"/>
              </w:rPr>
              <w:t>12.1.</w:t>
            </w:r>
            <w:r>
              <w:rPr>
                <w:rFonts w:hint="eastAsia" w:ascii="宋体" w:hAnsi="宋体" w:eastAsia="宋体" w:cs="宋体"/>
                <w:color w:val="auto"/>
                <w:szCs w:val="21"/>
                <w:highlight w:val="none"/>
                <w:lang w:val="en-US" w:eastAsia="zh-CN" w:bidi="ar"/>
              </w:rPr>
              <w:t>3</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86CE">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bidi="ar"/>
              </w:rPr>
              <w:t>报价文件组成</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2801">
            <w:pPr>
              <w:spacing w:line="440" w:lineRule="exact"/>
              <w:rPr>
                <w:rFonts w:hint="eastAsia" w:ascii="宋体" w:hAnsi="宋体" w:cs="宋体"/>
                <w:b/>
                <w:bCs/>
                <w:color w:val="auto"/>
                <w:szCs w:val="21"/>
                <w:highlight w:val="none"/>
              </w:rPr>
            </w:pPr>
            <w:r>
              <w:rPr>
                <w:rFonts w:hint="eastAsia" w:ascii="宋体" w:hAnsi="宋体" w:cs="宋体"/>
                <w:color w:val="auto"/>
                <w:szCs w:val="21"/>
                <w:highlight w:val="none"/>
              </w:rPr>
              <w:t>1.响应函；</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8FABA14">
            <w:pPr>
              <w:spacing w:line="440" w:lineRule="exact"/>
              <w:rPr>
                <w:rFonts w:hint="eastAsia" w:ascii="宋体" w:hAnsi="宋体" w:cs="宋体"/>
                <w:b/>
                <w:bCs/>
                <w:color w:val="auto"/>
                <w:szCs w:val="21"/>
                <w:highlight w:val="none"/>
              </w:rPr>
            </w:pPr>
            <w:r>
              <w:rPr>
                <w:rFonts w:hint="eastAsia" w:ascii="宋体" w:hAnsi="宋体" w:cs="宋体"/>
                <w:color w:val="auto"/>
                <w:kern w:val="0"/>
                <w:szCs w:val="21"/>
                <w:highlight w:val="none"/>
              </w:rPr>
              <w:t>2.响应函附录</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720A1B59">
            <w:pPr>
              <w:spacing w:line="440" w:lineRule="exact"/>
              <w:rPr>
                <w:rFonts w:hint="eastAsia" w:ascii="宋体" w:hAnsi="宋体" w:cs="宋体"/>
                <w:b/>
                <w:bCs/>
                <w:color w:val="auto"/>
                <w:szCs w:val="21"/>
                <w:highlight w:val="none"/>
              </w:rPr>
            </w:pPr>
            <w:r>
              <w:rPr>
                <w:rFonts w:hint="eastAsia" w:ascii="宋体" w:hAnsi="宋体" w:cs="宋体"/>
                <w:color w:val="auto"/>
                <w:szCs w:val="21"/>
                <w:highlight w:val="none"/>
              </w:rPr>
              <w:t>3.响应报价表；</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39C0CACC">
            <w:pPr>
              <w:spacing w:line="440" w:lineRule="exact"/>
              <w:rPr>
                <w:rFonts w:hint="eastAsia" w:ascii="宋体" w:hAnsi="宋体" w:cs="宋体"/>
                <w:b/>
                <w:bCs/>
                <w:color w:val="auto"/>
                <w:szCs w:val="21"/>
                <w:highlight w:val="none"/>
              </w:rPr>
            </w:pPr>
            <w:r>
              <w:rPr>
                <w:rFonts w:hint="eastAsia" w:ascii="宋体" w:hAnsi="宋体" w:cs="宋体"/>
                <w:color w:val="auto"/>
                <w:szCs w:val="21"/>
                <w:highlight w:val="none"/>
              </w:rPr>
              <w:t>4.已标价工程量清单。</w:t>
            </w:r>
            <w:r>
              <w:rPr>
                <w:rFonts w:hint="eastAsia" w:ascii="宋体" w:hAnsi="宋体" w:cs="宋体"/>
                <w:b/>
                <w:bCs/>
                <w:color w:val="auto"/>
                <w:szCs w:val="21"/>
                <w:highlight w:val="none"/>
              </w:rPr>
              <w:t>（必须提供，否则响应文件按无效响应处理）</w:t>
            </w:r>
          </w:p>
          <w:p w14:paraId="7EC2862F">
            <w:pPr>
              <w:spacing w:line="360" w:lineRule="auto"/>
              <w:rPr>
                <w:rFonts w:hint="eastAsia" w:ascii="宋体" w:hAnsi="宋体" w:eastAsia="宋体" w:cs="宋体"/>
                <w:color w:val="auto"/>
                <w:szCs w:val="21"/>
                <w:highlight w:val="none"/>
                <w:lang w:bidi="ar"/>
              </w:rPr>
            </w:pPr>
            <w:r>
              <w:rPr>
                <w:rFonts w:hint="eastAsia" w:ascii="宋体" w:hAnsi="宋体" w:cs="宋体"/>
                <w:b/>
                <w:bCs/>
                <w:color w:val="auto"/>
                <w:szCs w:val="21"/>
                <w:highlight w:val="none"/>
              </w:rPr>
              <w:t>注：上述材料必须在规定盖章处加盖供应商电子公章，否则作无效响应处理。</w:t>
            </w:r>
          </w:p>
        </w:tc>
      </w:tr>
      <w:tr w14:paraId="0FCE2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23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EE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响应文件电子版要求</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422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lang w:bidi="ar"/>
              </w:rPr>
              <w:t>否则响应文件按无效响应处理</w:t>
            </w:r>
            <w:r>
              <w:rPr>
                <w:rFonts w:hint="eastAsia" w:ascii="宋体" w:hAnsi="宋体" w:eastAsia="宋体" w:cs="宋体"/>
                <w:color w:val="auto"/>
                <w:szCs w:val="21"/>
                <w:highlight w:val="none"/>
                <w:lang w:bidi="ar"/>
              </w:rPr>
              <w:t>。</w:t>
            </w:r>
          </w:p>
          <w:p w14:paraId="3AC1482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r>
              <w:rPr>
                <w:rFonts w:hint="eastAsia" w:ascii="宋体" w:hAnsi="宋体" w:eastAsia="宋体" w:cs="Courier New"/>
                <w:color w:val="auto"/>
                <w:szCs w:val="21"/>
                <w:highlight w:val="none"/>
                <w:lang w:bidi="ar"/>
              </w:rPr>
              <w:t>.响应文件电子版密封方式：电子响应文件通过平台有效CA加密后在“广西政府采购云”平台投送。（操作方式见公告附件“</w:t>
            </w:r>
            <w:r>
              <w:rPr>
                <w:rFonts w:hint="eastAsia" w:ascii="宋体" w:hAnsi="宋体" w:eastAsia="宋体" w:cs="宋体"/>
                <w:color w:val="auto"/>
                <w:szCs w:val="21"/>
                <w:highlight w:val="none"/>
                <w:lang w:bidi="ar"/>
              </w:rPr>
              <w:t>电子响应文件制作与投送教程</w:t>
            </w:r>
            <w:r>
              <w:rPr>
                <w:rFonts w:hint="eastAsia" w:ascii="宋体" w:hAnsi="宋体" w:eastAsia="宋体" w:cs="Courier New"/>
                <w:color w:val="auto"/>
                <w:szCs w:val="21"/>
                <w:highlight w:val="none"/>
                <w:lang w:bidi="ar"/>
              </w:rPr>
              <w:t>” ）</w:t>
            </w:r>
          </w:p>
        </w:tc>
      </w:tr>
      <w:tr w14:paraId="508EB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B27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238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响应报价要求</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812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eastAsia="宋体" w:cs="宋体"/>
                <w:b/>
                <w:color w:val="auto"/>
                <w:szCs w:val="21"/>
                <w:highlight w:val="none"/>
                <w:lang w:bidi="ar"/>
              </w:rPr>
              <w:t>（采购需求另有约定的，从其约定。）</w:t>
            </w:r>
          </w:p>
        </w:tc>
      </w:tr>
      <w:tr w14:paraId="48707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410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92D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竞标有效期</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0923">
            <w:pPr>
              <w:pStyle w:val="9"/>
              <w:widowControl w:val="0"/>
              <w:tabs>
                <w:tab w:val="clear" w:pos="454"/>
              </w:tabs>
              <w:snapToGrid w:val="0"/>
              <w:spacing w:after="156"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p>
        </w:tc>
      </w:tr>
      <w:tr w14:paraId="0A431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1B8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17.1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0AB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磋商保证金</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C523">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本项目不收取磋商保证金。</w:t>
            </w:r>
          </w:p>
        </w:tc>
      </w:tr>
      <w:tr w14:paraId="200DC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272D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237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首次响应文件提交起止时间</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B06A">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详见竞争性磋商公告。</w:t>
            </w:r>
          </w:p>
        </w:tc>
      </w:tr>
      <w:tr w14:paraId="1027F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B4973">
            <w:pPr>
              <w:rPr>
                <w:rFonts w:ascii="Times New Roman" w:hAnsi="Times New Roman" w:cs="Times New Roman"/>
                <w:color w:val="auto"/>
                <w:sz w:val="20"/>
                <w:szCs w:val="20"/>
                <w:highlight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EA6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首次响应文件提交地点</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AD04">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详见竞争性磋商公告。</w:t>
            </w:r>
          </w:p>
        </w:tc>
      </w:tr>
      <w:tr w14:paraId="618F8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3C6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20.6</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940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备份响应文件</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03D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本项目不接受备份响应文件。</w:t>
            </w:r>
          </w:p>
        </w:tc>
      </w:tr>
      <w:tr w14:paraId="60FC2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4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A1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首次响应文件的退回</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001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详见竞争性磋商公告。</w:t>
            </w:r>
          </w:p>
        </w:tc>
      </w:tr>
      <w:tr w14:paraId="3903A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205F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232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负偏离要求</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D35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商务条款评审中允许负偏离的条款数为</w:t>
            </w:r>
            <w:r>
              <w:rPr>
                <w:rFonts w:hint="eastAsia" w:ascii="宋体" w:hAnsi="宋体" w:eastAsia="宋体" w:cs="宋体"/>
                <w:color w:val="auto"/>
                <w:szCs w:val="21"/>
                <w:highlight w:val="none"/>
                <w:u w:val="single"/>
                <w:lang w:bidi="ar"/>
              </w:rPr>
              <w:t xml:space="preserve">  0 </w:t>
            </w:r>
            <w:r>
              <w:rPr>
                <w:rFonts w:hint="eastAsia" w:ascii="宋体" w:hAnsi="宋体" w:eastAsia="宋体" w:cs="宋体"/>
                <w:color w:val="auto"/>
                <w:szCs w:val="21"/>
                <w:highlight w:val="none"/>
                <w:lang w:bidi="ar"/>
              </w:rPr>
              <w:t>项。</w:t>
            </w:r>
          </w:p>
          <w:p w14:paraId="44ED244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服务需求评审中允许负偏离的条款数为</w:t>
            </w:r>
            <w:r>
              <w:rPr>
                <w:rFonts w:hint="eastAsia" w:ascii="宋体" w:hAnsi="宋体" w:eastAsia="宋体" w:cs="宋体"/>
                <w:color w:val="auto"/>
                <w:szCs w:val="21"/>
                <w:highlight w:val="none"/>
                <w:u w:val="single"/>
                <w:lang w:bidi="ar"/>
              </w:rPr>
              <w:t xml:space="preserve"> 0  </w:t>
            </w:r>
            <w:r>
              <w:rPr>
                <w:rFonts w:hint="eastAsia" w:ascii="宋体" w:hAnsi="宋体" w:eastAsia="宋体" w:cs="宋体"/>
                <w:color w:val="auto"/>
                <w:szCs w:val="21"/>
                <w:highlight w:val="none"/>
                <w:lang w:bidi="ar"/>
              </w:rPr>
              <w:t>项。</w:t>
            </w:r>
          </w:p>
        </w:tc>
      </w:tr>
      <w:tr w14:paraId="3BD0F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D44B9">
            <w:pPr>
              <w:rPr>
                <w:rFonts w:ascii="Times New Roman" w:hAnsi="Times New Roman" w:cs="Times New Roman"/>
                <w:color w:val="auto"/>
                <w:sz w:val="20"/>
                <w:szCs w:val="20"/>
                <w:highlight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BA2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磋商的顺序</w:t>
            </w:r>
          </w:p>
          <w:p w14:paraId="2AA70FED">
            <w:pPr>
              <w:spacing w:line="360" w:lineRule="auto"/>
              <w:jc w:val="center"/>
              <w:rPr>
                <w:rFonts w:hint="eastAsia" w:ascii="宋体" w:hAnsi="宋体" w:eastAsia="宋体" w:cs="宋体"/>
                <w:color w:val="auto"/>
                <w:szCs w:val="21"/>
                <w:highlight w:val="none"/>
              </w:rPr>
            </w:pP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A9E7">
            <w:pPr>
              <w:pStyle w:val="12"/>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066DBA0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sym w:font="Wingdings 2" w:char="0052"/>
            </w:r>
            <w:r>
              <w:rPr>
                <w:rFonts w:hint="eastAsia" w:ascii="宋体" w:hAnsi="宋体" w:eastAsia="宋体" w:cs="宋体"/>
                <w:color w:val="auto"/>
                <w:szCs w:val="21"/>
                <w:highlight w:val="none"/>
                <w:lang w:bidi="ar"/>
              </w:rPr>
              <w:t>随机排序。</w:t>
            </w:r>
          </w:p>
          <w:p w14:paraId="1496C9F2">
            <w:pPr>
              <w:pStyle w:val="12"/>
              <w:widowControl/>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337F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33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28</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1D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履约保证金</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DD5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本项目不收取履约保证金 </w:t>
            </w:r>
          </w:p>
        </w:tc>
      </w:tr>
      <w:tr w14:paraId="6B013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91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29.5</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5C0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签订合同携带的材料</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207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使用的有效CA证书加盖单位电子公章</w:t>
            </w:r>
          </w:p>
        </w:tc>
      </w:tr>
      <w:tr w14:paraId="5032A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88D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31.2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74A7">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接收质疑函方式</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5301">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以书面形式</w:t>
            </w:r>
          </w:p>
        </w:tc>
      </w:tr>
      <w:tr w14:paraId="66E94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E8821">
            <w:pPr>
              <w:rPr>
                <w:rFonts w:ascii="Times New Roman" w:hAnsi="Times New Roman" w:cs="Times New Roman"/>
                <w:color w:val="auto"/>
                <w:sz w:val="20"/>
                <w:szCs w:val="20"/>
                <w:highlight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CCE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质疑联系部门及联系方式</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6BA1">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 xml:space="preserve">（1）广西翔正项目管理有限公司 </w:t>
            </w:r>
            <w:r>
              <w:rPr>
                <w:rFonts w:hint="eastAsia" w:ascii="宋体" w:hAnsi="宋体"/>
                <w:color w:val="auto"/>
                <w:szCs w:val="21"/>
                <w:highlight w:val="none"/>
              </w:rPr>
              <w:t>；</w:t>
            </w:r>
          </w:p>
          <w:p w14:paraId="0FFA2F98">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联系电话：0771-5660405，</w:t>
            </w:r>
          </w:p>
          <w:p w14:paraId="6777305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 xml:space="preserve"> 南宁市秀厢大道199号金源城（建兴路）金源CBD东城25楼　号 </w:t>
            </w:r>
            <w:r>
              <w:rPr>
                <w:rFonts w:hint="eastAsia" w:ascii="宋体" w:hAnsi="宋体"/>
                <w:color w:val="auto"/>
                <w:szCs w:val="21"/>
                <w:highlight w:val="none"/>
              </w:rPr>
              <w:t xml:space="preserve"> </w:t>
            </w:r>
          </w:p>
          <w:p w14:paraId="26C73806">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南宁市兴宁区昆仑镇人民政府</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146A2AD">
            <w:pPr>
              <w:spacing w:line="276" w:lineRule="auto"/>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lang w:val="en-US" w:eastAsia="zh-CN"/>
              </w:rPr>
              <w:t>0771-4257510</w:t>
            </w:r>
            <w:r>
              <w:rPr>
                <w:rFonts w:hint="eastAsia" w:ascii="宋体" w:hAnsi="宋体"/>
                <w:color w:val="auto"/>
                <w:szCs w:val="21"/>
                <w:highlight w:val="none"/>
                <w:u w:val="single"/>
                <w:lang w:eastAsia="zh-CN"/>
              </w:rPr>
              <w:t xml:space="preserve">  </w:t>
            </w:r>
            <w:r>
              <w:rPr>
                <w:rFonts w:hint="eastAsia" w:ascii="宋体" w:hAnsi="宋体"/>
                <w:color w:val="auto"/>
                <w:szCs w:val="21"/>
                <w:highlight w:val="none"/>
              </w:rPr>
              <w:t xml:space="preserve">  ，</w:t>
            </w:r>
          </w:p>
          <w:p w14:paraId="2FA7FD4F">
            <w:pPr>
              <w:snapToGrid w:val="0"/>
              <w:spacing w:line="380" w:lineRule="exact"/>
              <w:rPr>
                <w:rFonts w:hint="eastAsia" w:ascii="宋体" w:hAnsi="宋体" w:eastAsia="宋体" w:cs="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eastAsia="zh-CN"/>
              </w:rPr>
              <w:t xml:space="preserve"> </w:t>
            </w:r>
            <w:r>
              <w:rPr>
                <w:rFonts w:hint="eastAsia" w:ascii="宋体" w:hAnsi="宋体"/>
                <w:color w:val="auto"/>
                <w:szCs w:val="21"/>
                <w:highlight w:val="none"/>
                <w:u w:val="single"/>
                <w:lang w:val="en-US" w:eastAsia="zh-CN"/>
              </w:rPr>
              <w:t>南宁市兴宁区昆仑镇九塘街2号</w:t>
            </w:r>
            <w:r>
              <w:rPr>
                <w:rFonts w:hint="eastAsia" w:ascii="宋体" w:hAnsi="宋体"/>
                <w:color w:val="auto"/>
                <w:szCs w:val="21"/>
                <w:highlight w:val="none"/>
                <w:u w:val="single"/>
                <w:lang w:eastAsia="zh-CN"/>
              </w:rPr>
              <w:t xml:space="preserve">  </w:t>
            </w:r>
          </w:p>
        </w:tc>
      </w:tr>
      <w:tr w14:paraId="0F926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742A9">
            <w:pPr>
              <w:rPr>
                <w:rFonts w:ascii="Times New Roman" w:hAnsi="Times New Roman" w:cs="Times New Roman"/>
                <w:color w:val="auto"/>
                <w:sz w:val="20"/>
                <w:szCs w:val="20"/>
                <w:highlight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1436">
            <w:pPr>
              <w:spacing w:line="380" w:lineRule="exact"/>
              <w:jc w:val="center"/>
              <w:rPr>
                <w:rFonts w:hint="eastAsia" w:ascii="宋体" w:hAnsi="宋体" w:eastAsia="宋体" w:cs="宋体"/>
                <w:color w:val="auto"/>
                <w:szCs w:val="21"/>
                <w:highlight w:val="none"/>
              </w:rPr>
            </w:pPr>
            <w:r>
              <w:rPr>
                <w:rFonts w:hint="eastAsia" w:ascii="Times New Roman" w:hAnsi="宋体" w:eastAsia="宋体" w:cs="宋体"/>
                <w:color w:val="auto"/>
                <w:highlight w:val="none"/>
                <w:lang w:bidi="ar"/>
              </w:rPr>
              <w:t>现场提交质疑办理业务时间</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7AE7">
            <w:pPr>
              <w:snapToGrid w:val="0"/>
              <w:spacing w:line="380" w:lineRule="exact"/>
              <w:rPr>
                <w:rFonts w:hint="eastAsia" w:ascii="宋体" w:hAnsi="宋体" w:eastAsia="宋体" w:cs="宋体"/>
                <w:color w:val="auto"/>
                <w:szCs w:val="21"/>
                <w:highlight w:val="none"/>
              </w:rPr>
            </w:pPr>
            <w:r>
              <w:rPr>
                <w:rFonts w:hint="eastAsia" w:hAnsi="宋体"/>
                <w:color w:val="auto"/>
                <w:highlight w:val="none"/>
              </w:rPr>
              <w:t>质疑期内每个工作日</w:t>
            </w:r>
            <w:r>
              <w:rPr>
                <w:rFonts w:hint="eastAsia" w:ascii="宋体" w:hAnsi="宋体" w:cs="宋体"/>
                <w:color w:val="auto"/>
                <w:szCs w:val="21"/>
                <w:highlight w:val="none"/>
                <w:u w:val="single"/>
              </w:rPr>
              <w:t xml:space="preserve"> 9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00 </w:t>
            </w:r>
            <w:r>
              <w:rPr>
                <w:rFonts w:hint="eastAsia" w:ascii="宋体" w:hAnsi="宋体" w:cs="宋体"/>
                <w:color w:val="auto"/>
                <w:szCs w:val="21"/>
                <w:highlight w:val="none"/>
              </w:rPr>
              <w:t>分到</w:t>
            </w:r>
            <w:r>
              <w:rPr>
                <w:rFonts w:hint="eastAsia" w:ascii="宋体" w:hAnsi="宋体" w:cs="宋体"/>
                <w:color w:val="auto"/>
                <w:szCs w:val="21"/>
                <w:highlight w:val="none"/>
                <w:u w:val="single"/>
              </w:rPr>
              <w:t xml:space="preserve"> 12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00 </w:t>
            </w:r>
            <w:r>
              <w:rPr>
                <w:rFonts w:hint="eastAsia" w:ascii="宋体" w:hAnsi="宋体" w:cs="宋体"/>
                <w:color w:val="auto"/>
                <w:szCs w:val="21"/>
                <w:highlight w:val="none"/>
              </w:rPr>
              <w:t>分，</w:t>
            </w:r>
            <w:r>
              <w:rPr>
                <w:rFonts w:hint="eastAsia" w:ascii="宋体" w:hAnsi="宋体" w:cs="宋体"/>
                <w:color w:val="auto"/>
                <w:szCs w:val="21"/>
                <w:highlight w:val="none"/>
                <w:u w:val="single"/>
              </w:rPr>
              <w:t xml:space="preserve"> 15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00 </w:t>
            </w:r>
            <w:r>
              <w:rPr>
                <w:rFonts w:hint="eastAsia" w:ascii="宋体" w:hAnsi="宋体" w:cs="宋体"/>
                <w:color w:val="auto"/>
                <w:szCs w:val="21"/>
                <w:highlight w:val="none"/>
              </w:rPr>
              <w:t>分到</w:t>
            </w:r>
            <w:r>
              <w:rPr>
                <w:rFonts w:hint="eastAsia" w:ascii="宋体" w:hAnsi="宋体" w:cs="宋体"/>
                <w:color w:val="auto"/>
                <w:szCs w:val="21"/>
                <w:highlight w:val="none"/>
                <w:u w:val="single"/>
              </w:rPr>
              <w:t xml:space="preserve"> 18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00  </w:t>
            </w:r>
            <w:r>
              <w:rPr>
                <w:rFonts w:hint="eastAsia" w:ascii="宋体" w:hAnsi="宋体" w:cs="宋体"/>
                <w:color w:val="auto"/>
                <w:szCs w:val="21"/>
                <w:highlight w:val="none"/>
              </w:rPr>
              <w:t>分</w:t>
            </w:r>
          </w:p>
        </w:tc>
      </w:tr>
      <w:tr w14:paraId="51729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A0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31.6</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56B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受理投诉方式</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A6DE">
            <w:pPr>
              <w:numPr>
                <w:ilvl w:val="0"/>
                <w:numId w:val="1"/>
              </w:numPr>
              <w:snapToGrid w:val="0"/>
              <w:spacing w:line="380" w:lineRule="exact"/>
              <w:rPr>
                <w:rFonts w:hint="eastAsia" w:ascii="Times New Roman" w:hAnsi="宋体" w:eastAsia="宋体" w:cs="宋体"/>
                <w:color w:val="auto"/>
                <w:highlight w:val="none"/>
                <w:lang w:bidi="ar"/>
              </w:rPr>
            </w:pPr>
            <w:r>
              <w:rPr>
                <w:rFonts w:hint="eastAsia" w:ascii="Times New Roman" w:hAnsi="宋体" w:eastAsia="宋体" w:cs="宋体"/>
                <w:color w:val="auto"/>
                <w:highlight w:val="none"/>
                <w:lang w:bidi="ar"/>
              </w:rPr>
              <w:t>受理方式：纸质方式受理，投诉书正、副本（经过质疑的事项才可投诉）。</w:t>
            </w:r>
          </w:p>
          <w:p w14:paraId="1603969F">
            <w:pPr>
              <w:numPr>
                <w:ilvl w:val="0"/>
                <w:numId w:val="1"/>
              </w:numPr>
              <w:snapToGrid w:val="0"/>
              <w:spacing w:line="380" w:lineRule="exact"/>
              <w:ind w:left="0" w:leftChars="0" w:firstLine="0" w:firstLineChars="0"/>
              <w:rPr>
                <w:rFonts w:hint="eastAsia" w:ascii="Times New Roman" w:hAnsi="宋体" w:eastAsia="宋体" w:cs="宋体"/>
                <w:color w:val="auto"/>
                <w:highlight w:val="none"/>
                <w:lang w:val="en-US" w:eastAsia="zh-CN" w:bidi="ar"/>
              </w:rPr>
            </w:pPr>
            <w:r>
              <w:rPr>
                <w:rFonts w:hint="eastAsia" w:ascii="Times New Roman" w:hAnsi="宋体" w:eastAsia="宋体" w:cs="宋体"/>
                <w:color w:val="auto"/>
                <w:highlight w:val="none"/>
                <w:lang w:val="en-US" w:eastAsia="zh-CN" w:bidi="ar"/>
              </w:rPr>
              <w:t>邮寄地址</w:t>
            </w:r>
          </w:p>
          <w:p w14:paraId="57E99BB3">
            <w:pPr>
              <w:numPr>
                <w:numId w:val="0"/>
              </w:numPr>
              <w:snapToGrid w:val="0"/>
              <w:spacing w:line="380" w:lineRule="exact"/>
              <w:ind w:leftChars="0"/>
              <w:rPr>
                <w:rFonts w:hint="eastAsia" w:ascii="Times New Roman" w:hAnsi="宋体" w:eastAsia="宋体" w:cs="宋体"/>
                <w:color w:val="auto"/>
                <w:highlight w:val="none"/>
                <w:lang w:val="en-US" w:eastAsia="zh-CN" w:bidi="ar"/>
              </w:rPr>
            </w:pPr>
            <w:r>
              <w:rPr>
                <w:rFonts w:hint="eastAsia" w:ascii="Times New Roman" w:hAnsi="宋体" w:eastAsia="宋体" w:cs="宋体"/>
                <w:color w:val="auto"/>
                <w:highlight w:val="none"/>
                <w:lang w:val="en-US" w:eastAsia="zh-CN" w:bidi="ar"/>
              </w:rPr>
              <w:t>名称：南宁市兴宁区财政局</w:t>
            </w:r>
          </w:p>
          <w:p w14:paraId="751F74A1">
            <w:pPr>
              <w:numPr>
                <w:numId w:val="0"/>
              </w:numPr>
              <w:snapToGrid w:val="0"/>
              <w:spacing w:line="380" w:lineRule="exact"/>
              <w:ind w:leftChars="0"/>
              <w:rPr>
                <w:rFonts w:hint="eastAsia" w:ascii="Times New Roman" w:hAnsi="宋体" w:eastAsia="宋体" w:cs="宋体"/>
                <w:color w:val="auto"/>
                <w:highlight w:val="none"/>
                <w:lang w:val="en-US" w:eastAsia="zh-CN" w:bidi="ar"/>
              </w:rPr>
            </w:pPr>
            <w:r>
              <w:rPr>
                <w:rFonts w:hint="eastAsia" w:ascii="Times New Roman" w:hAnsi="宋体" w:eastAsia="宋体" w:cs="宋体"/>
                <w:color w:val="auto"/>
                <w:highlight w:val="none"/>
                <w:lang w:val="en-US" w:eastAsia="zh-CN" w:bidi="ar"/>
              </w:rPr>
              <w:t>地址：南宁市厢竹大道63号兴宁区政府办公大楼1214室</w:t>
            </w:r>
          </w:p>
          <w:p w14:paraId="01F83FDB">
            <w:pPr>
              <w:numPr>
                <w:numId w:val="0"/>
              </w:numPr>
              <w:snapToGrid w:val="0"/>
              <w:spacing w:line="380" w:lineRule="exact"/>
              <w:ind w:leftChars="0"/>
              <w:rPr>
                <w:rFonts w:hint="default" w:ascii="Times New Roman" w:hAnsi="宋体" w:eastAsia="宋体" w:cs="宋体"/>
                <w:color w:val="auto"/>
                <w:highlight w:val="none"/>
                <w:lang w:val="en-US" w:eastAsia="zh-CN" w:bidi="ar"/>
              </w:rPr>
            </w:pPr>
            <w:r>
              <w:rPr>
                <w:rFonts w:hint="eastAsia" w:ascii="Times New Roman" w:hAnsi="宋体" w:eastAsia="宋体" w:cs="宋体"/>
                <w:color w:val="auto"/>
                <w:highlight w:val="none"/>
                <w:lang w:val="en-US" w:eastAsia="zh-CN" w:bidi="ar"/>
              </w:rPr>
              <w:t>电话和：0771-3302952</w:t>
            </w:r>
          </w:p>
        </w:tc>
      </w:tr>
      <w:tr w14:paraId="7CBBA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577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33</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190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采购代理费</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F841">
            <w:pPr>
              <w:spacing w:line="360" w:lineRule="auto"/>
              <w:rPr>
                <w:rFonts w:hint="eastAsia" w:hAnsi="宋体" w:eastAsia="宋体" w:cs="宋体"/>
                <w:color w:val="auto"/>
                <w:sz w:val="21"/>
                <w:highlight w:val="none"/>
                <w:lang w:eastAsia="zh-CN"/>
              </w:rPr>
            </w:pPr>
            <w:r>
              <w:rPr>
                <w:rFonts w:hint="eastAsia" w:hAnsi="宋体" w:cs="宋体"/>
                <w:color w:val="auto"/>
                <w:sz w:val="21"/>
                <w:highlight w:val="none"/>
                <w:lang w:eastAsia="zh-CN"/>
              </w:rPr>
              <w:t>☑成交</w:t>
            </w:r>
            <w:r>
              <w:rPr>
                <w:rFonts w:hAnsi="宋体" w:cs="宋体"/>
                <w:color w:val="auto"/>
                <w:sz w:val="21"/>
                <w:highlight w:val="none"/>
              </w:rPr>
              <w:t>人支付。</w:t>
            </w:r>
            <w:r>
              <w:rPr>
                <w:rFonts w:hint="eastAsia" w:hAnsi="宋体" w:cs="宋体"/>
                <w:color w:val="auto"/>
                <w:sz w:val="21"/>
                <w:highlight w:val="none"/>
                <w:lang w:eastAsia="zh-CN"/>
              </w:rPr>
              <w:t>具体为：根据采购人与代理人签订的《建设工程招标代理合同》，本项目委托招标代理服务费按招标代理合同约定计取，由成交人在领取成交通知书时，一次性向招标代理机构支付。不足伍仟按伍仟元收取。</w:t>
            </w:r>
          </w:p>
          <w:p w14:paraId="049227CC">
            <w:pPr>
              <w:pStyle w:val="18"/>
              <w:widowControl/>
              <w:snapToGrid w:val="0"/>
              <w:spacing w:line="360" w:lineRule="auto"/>
              <w:rPr>
                <w:rFonts w:hAnsi="宋体" w:cs="宋体"/>
                <w:color w:val="auto"/>
                <w:sz w:val="21"/>
                <w:highlight w:val="none"/>
              </w:rPr>
            </w:pPr>
            <w:r>
              <w:rPr>
                <w:rFonts w:hAnsi="宋体" w:cs="宋体"/>
                <w:color w:val="auto"/>
                <w:sz w:val="21"/>
                <w:highlight w:val="none"/>
              </w:rPr>
              <w:t xml:space="preserve"> 采购代理费收取银行账户</w:t>
            </w:r>
          </w:p>
          <w:p w14:paraId="6FA63CA4">
            <w:pPr>
              <w:pStyle w:val="18"/>
              <w:snapToGrid w:val="0"/>
              <w:spacing w:line="360" w:lineRule="auto"/>
              <w:rPr>
                <w:rFonts w:hAnsi="宋体" w:cs="宋体"/>
                <w:b/>
                <w:bCs/>
                <w:color w:val="auto"/>
                <w:sz w:val="21"/>
                <w:highlight w:val="none"/>
              </w:rPr>
            </w:pPr>
            <w:r>
              <w:rPr>
                <w:rFonts w:hAnsi="宋体" w:cs="宋体"/>
                <w:b/>
                <w:bCs/>
                <w:color w:val="auto"/>
                <w:sz w:val="21"/>
                <w:highlight w:val="none"/>
              </w:rPr>
              <w:t>开户名称：广西翔正项目管理有限公司</w:t>
            </w:r>
          </w:p>
          <w:p w14:paraId="1F1150BF">
            <w:pPr>
              <w:pStyle w:val="18"/>
              <w:snapToGrid w:val="0"/>
              <w:spacing w:line="360" w:lineRule="auto"/>
              <w:rPr>
                <w:rFonts w:hAnsi="宋体" w:cs="宋体"/>
                <w:b/>
                <w:bCs/>
                <w:color w:val="auto"/>
                <w:sz w:val="21"/>
                <w:highlight w:val="none"/>
              </w:rPr>
            </w:pPr>
            <w:r>
              <w:rPr>
                <w:rFonts w:hAnsi="宋体" w:cs="宋体"/>
                <w:b/>
                <w:bCs/>
                <w:color w:val="auto"/>
                <w:sz w:val="21"/>
                <w:highlight w:val="none"/>
              </w:rPr>
              <w:t>开户银行：中国工商银行南宁市建政支行</w:t>
            </w:r>
          </w:p>
          <w:p w14:paraId="278D87DC">
            <w:pPr>
              <w:pStyle w:val="18"/>
              <w:widowControl/>
              <w:snapToGrid w:val="0"/>
              <w:spacing w:line="360" w:lineRule="auto"/>
              <w:rPr>
                <w:rFonts w:hAnsi="宋体" w:cs="宋体"/>
                <w:color w:val="auto"/>
                <w:sz w:val="21"/>
                <w:highlight w:val="none"/>
              </w:rPr>
            </w:pPr>
            <w:r>
              <w:rPr>
                <w:rFonts w:hAnsi="宋体" w:cs="宋体"/>
                <w:b/>
                <w:bCs/>
                <w:color w:val="auto"/>
                <w:sz w:val="21"/>
                <w:highlight w:val="none"/>
              </w:rPr>
              <w:t>银行账号：210 210 710 93000 76992</w:t>
            </w:r>
          </w:p>
        </w:tc>
      </w:tr>
      <w:tr w14:paraId="1FF1A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29E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34.1</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D69F">
            <w:pPr>
              <w:spacing w:line="360" w:lineRule="auto"/>
              <w:jc w:val="center"/>
              <w:rPr>
                <w:rFonts w:hint="eastAsia" w:ascii="宋体" w:hAnsi="宋体" w:eastAsia="宋体" w:cs="宋体"/>
                <w:color w:val="auto"/>
                <w:szCs w:val="21"/>
                <w:highlight w:val="none"/>
              </w:rPr>
            </w:pPr>
            <w:r>
              <w:rPr>
                <w:rFonts w:hint="eastAsia" w:ascii="Times New Roman" w:hAnsi="宋体" w:eastAsia="宋体" w:cs="宋体"/>
                <w:color w:val="auto"/>
                <w:highlight w:val="none"/>
                <w:lang w:bidi="ar"/>
              </w:rPr>
              <w:t>解释</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81D2">
            <w:pPr>
              <w:pStyle w:val="18"/>
              <w:widowControl/>
              <w:snapToGrid w:val="0"/>
              <w:spacing w:line="360" w:lineRule="auto"/>
              <w:rPr>
                <w:rFonts w:hAnsi="宋体" w:cs="宋体"/>
                <w:b/>
                <w:color w:val="auto"/>
                <w:sz w:val="21"/>
                <w:highlight w:val="none"/>
              </w:rPr>
            </w:pPr>
            <w:r>
              <w:rPr>
                <w:rFonts w:hAnsi="宋体" w:cs="宋体"/>
                <w:b/>
                <w:color w:val="auto"/>
                <w:sz w:val="21"/>
                <w:highlight w:val="none"/>
              </w:rPr>
              <w:t>解释权：</w:t>
            </w:r>
            <w:r>
              <w:rPr>
                <w:rFonts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Ansi="宋体" w:cs="宋体"/>
                <w:b/>
                <w:color w:val="auto"/>
                <w:sz w:val="21"/>
                <w:highlight w:val="none"/>
              </w:rPr>
              <w:t>由采购人或者采购代理机构负责解释。</w:t>
            </w:r>
          </w:p>
          <w:p w14:paraId="51BC2244">
            <w:pPr>
              <w:pStyle w:val="18"/>
              <w:widowControl/>
              <w:snapToGrid w:val="0"/>
              <w:spacing w:line="360" w:lineRule="auto"/>
              <w:rPr>
                <w:rFonts w:hAnsi="宋体" w:cs="宋体"/>
                <w:b/>
                <w:color w:val="auto"/>
                <w:sz w:val="21"/>
                <w:highlight w:val="none"/>
              </w:rPr>
            </w:pPr>
            <w:r>
              <w:rPr>
                <w:rFonts w:hAnsi="宋体" w:cs="宋体"/>
                <w:b/>
                <w:color w:val="auto"/>
                <w:sz w:val="21"/>
                <w:highlight w:val="none"/>
              </w:rPr>
              <w:t>法律责任：</w:t>
            </w:r>
          </w:p>
          <w:p w14:paraId="66C72AD7">
            <w:pPr>
              <w:pStyle w:val="18"/>
              <w:widowControl/>
              <w:snapToGrid w:val="0"/>
              <w:spacing w:line="360" w:lineRule="auto"/>
              <w:rPr>
                <w:rFonts w:hAnsi="宋体" w:cs="宋体"/>
                <w:color w:val="auto"/>
                <w:sz w:val="21"/>
                <w:highlight w:val="none"/>
              </w:rPr>
            </w:pPr>
            <w:r>
              <w:rPr>
                <w:rFonts w:hAnsi="宋体" w:cs="宋体"/>
                <w:b/>
                <w:color w:val="auto"/>
                <w:sz w:val="21"/>
                <w:highlight w:val="none"/>
              </w:rPr>
              <w:t>1.</w:t>
            </w:r>
            <w:r>
              <w:rPr>
                <w:rFonts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3BF5B25E">
            <w:pPr>
              <w:spacing w:line="360" w:lineRule="auto"/>
              <w:rPr>
                <w:rFonts w:hint="eastAsia" w:hAnsi="宋体" w:cs="宋体"/>
                <w:color w:val="auto"/>
                <w:highlight w:val="none"/>
              </w:rPr>
            </w:pPr>
            <w:r>
              <w:rPr>
                <w:rFonts w:ascii="Times New Roman" w:hAnsi="宋体" w:eastAsia="宋体" w:cs="宋体"/>
                <w:b/>
                <w:color w:val="auto"/>
                <w:highlight w:val="none"/>
                <w:lang w:bidi="ar"/>
              </w:rPr>
              <w:t>2.</w:t>
            </w:r>
            <w:r>
              <w:rPr>
                <w:rFonts w:hint="eastAsia" w:ascii="宋体" w:hAnsi="宋体" w:eastAsia="宋体" w:cs="宋体"/>
                <w:b/>
                <w:color w:val="auto"/>
                <w:szCs w:val="21"/>
                <w:highlight w:val="none"/>
                <w:lang w:bidi="ar"/>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2E93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B30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34.2</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C43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其他</w:t>
            </w:r>
          </w:p>
        </w:tc>
        <w:tc>
          <w:tcPr>
            <w:tcW w:w="6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EA2A">
            <w:pPr>
              <w:pStyle w:val="18"/>
              <w:widowControl/>
              <w:snapToGrid w:val="0"/>
              <w:spacing w:line="360" w:lineRule="auto"/>
              <w:rPr>
                <w:rFonts w:hAnsi="宋体" w:cs="宋体"/>
                <w:color w:val="auto"/>
                <w:sz w:val="21"/>
                <w:highlight w:val="none"/>
              </w:rPr>
            </w:pPr>
            <w:r>
              <w:rPr>
                <w:rFonts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8D42D52">
            <w:pPr>
              <w:pStyle w:val="18"/>
              <w:widowControl/>
              <w:snapToGrid w:val="0"/>
              <w:spacing w:line="360" w:lineRule="auto"/>
              <w:rPr>
                <w:rFonts w:hAnsi="宋体" w:cs="宋体"/>
                <w:color w:val="auto"/>
                <w:sz w:val="21"/>
                <w:highlight w:val="none"/>
              </w:rPr>
            </w:pPr>
            <w:r>
              <w:rPr>
                <w:rFonts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1E29">
            <w:pPr>
              <w:pStyle w:val="18"/>
              <w:widowControl/>
              <w:snapToGrid w:val="0"/>
              <w:spacing w:line="360" w:lineRule="auto"/>
              <w:rPr>
                <w:rFonts w:hAnsi="宋体" w:cs="宋体"/>
                <w:color w:val="auto"/>
                <w:sz w:val="21"/>
                <w:highlight w:val="none"/>
              </w:rPr>
            </w:pPr>
            <w:r>
              <w:rPr>
                <w:rFonts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727A9DD0">
            <w:pPr>
              <w:pStyle w:val="18"/>
              <w:widowControl/>
              <w:snapToGrid w:val="0"/>
              <w:spacing w:line="360" w:lineRule="auto"/>
              <w:rPr>
                <w:rFonts w:hAnsi="宋体" w:cs="宋体"/>
                <w:color w:val="auto"/>
                <w:sz w:val="21"/>
                <w:highlight w:val="none"/>
              </w:rPr>
            </w:pPr>
            <w:r>
              <w:rPr>
                <w:rFonts w:hAnsi="宋体" w:cs="宋体"/>
                <w:color w:val="auto"/>
                <w:sz w:val="21"/>
                <w:highlight w:val="none"/>
              </w:rPr>
              <w:t>4.自然人竞标的，磋商文件规定盖公章处由自然人摁手指指印。</w:t>
            </w:r>
          </w:p>
          <w:p w14:paraId="06AF806A">
            <w:pPr>
              <w:pStyle w:val="18"/>
              <w:widowControl/>
              <w:snapToGrid w:val="0"/>
              <w:spacing w:line="360" w:lineRule="auto"/>
              <w:rPr>
                <w:rFonts w:hAnsi="宋体" w:cs="宋体"/>
                <w:color w:val="auto"/>
                <w:sz w:val="21"/>
                <w:highlight w:val="none"/>
              </w:rPr>
            </w:pPr>
            <w:r>
              <w:rPr>
                <w:rFonts w:hAnsi="宋体" w:cs="宋体"/>
                <w:color w:val="auto"/>
                <w:sz w:val="21"/>
                <w:highlight w:val="none"/>
              </w:rPr>
              <w:t>5.本磋商文件所称的“以上”“以下”“以内”“届满”，包括本数；所称的“不满”“超过”“以外”，不包括本数。</w:t>
            </w:r>
          </w:p>
        </w:tc>
      </w:tr>
    </w:tbl>
    <w:p w14:paraId="6FE65CFD">
      <w:pPr>
        <w:pStyle w:val="3"/>
        <w:widowControl/>
        <w:spacing w:line="420" w:lineRule="exact"/>
        <w:jc w:val="center"/>
        <w:rPr>
          <w:rFonts w:hint="eastAsia" w:ascii="宋体" w:hAnsi="宋体" w:eastAsia="宋体" w:cs="宋体"/>
          <w:b w:val="0"/>
          <w:color w:val="auto"/>
          <w:highlight w:val="none"/>
        </w:rPr>
      </w:pPr>
      <w:r>
        <w:rPr>
          <w:rFonts w:hint="eastAsia" w:ascii="宋体" w:hAnsi="宋体" w:eastAsia="宋体"/>
          <w:bCs w:val="0"/>
          <w:color w:val="auto"/>
          <w:highlight w:val="none"/>
          <w:lang w:bidi="ar"/>
        </w:rPr>
        <w:br w:type="page"/>
      </w:r>
      <w:bookmarkStart w:id="36" w:name="_Toc23378"/>
      <w:r>
        <w:rPr>
          <w:rFonts w:hint="eastAsia" w:ascii="宋体" w:hAnsi="宋体" w:eastAsia="宋体" w:cs="宋体"/>
          <w:b w:val="0"/>
          <w:color w:val="auto"/>
          <w:highlight w:val="none"/>
        </w:rPr>
        <w:t>第二节 供应商须知正文</w:t>
      </w:r>
      <w:bookmarkEnd w:id="36"/>
    </w:p>
    <w:p w14:paraId="6DA10ED4">
      <w:pPr>
        <w:pStyle w:val="4"/>
        <w:widowControl/>
        <w:spacing w:before="0" w:after="0" w:line="360" w:lineRule="auto"/>
        <w:ind w:firstLine="640" w:firstLineChars="200"/>
        <w:rPr>
          <w:rFonts w:hint="eastAsia" w:ascii="宋体" w:hAnsi="宋体" w:cs="宋体"/>
          <w:b w:val="0"/>
          <w:color w:val="auto"/>
          <w:highlight w:val="none"/>
        </w:rPr>
      </w:pPr>
      <w:bookmarkStart w:id="37" w:name="_Toc23264"/>
      <w:r>
        <w:rPr>
          <w:rFonts w:hint="eastAsia" w:ascii="宋体" w:hAnsi="宋体" w:cs="宋体"/>
          <w:b w:val="0"/>
          <w:color w:val="auto"/>
          <w:highlight w:val="none"/>
        </w:rPr>
        <w:t>一、总则</w:t>
      </w:r>
      <w:bookmarkEnd w:id="37"/>
    </w:p>
    <w:p w14:paraId="6C187525">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1.适用范围</w:t>
      </w:r>
    </w:p>
    <w:p w14:paraId="18D281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BAE86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w:t>
      </w:r>
      <w:r>
        <w:rPr>
          <w:rFonts w:hint="eastAsia" w:ascii="宋体" w:hAnsi="宋体" w:eastAsia="宋体" w:cs="宋体"/>
          <w:color w:val="auto"/>
          <w:spacing w:val="-6"/>
          <w:szCs w:val="21"/>
          <w:highlight w:val="none"/>
          <w:lang w:bidi="ar"/>
        </w:rPr>
        <w:t>本竞争性磋商文件（以下简称磋商文件）适用于本项目的所有采购程序和环节（法律、法规另有规定的，从其规定）。</w:t>
      </w:r>
    </w:p>
    <w:p w14:paraId="38F25143">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2.定义</w:t>
      </w:r>
    </w:p>
    <w:p w14:paraId="795D25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2.1“采购人”是指依法进行政府采购的国家机关、事业单位、团体组织。</w:t>
      </w:r>
    </w:p>
    <w:p w14:paraId="7E9097D5">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2.2“采购代理机构”是指政府采购集中采购机构和集中采购机构以外的采购代理机构。</w:t>
      </w:r>
    </w:p>
    <w:p w14:paraId="16103A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2.3“供应商”是指向采购人提供货物、工程或者服务的法人、其他组织或者自然人。</w:t>
      </w:r>
    </w:p>
    <w:p w14:paraId="51ABBA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2.4“服务”是指除货物和工程以外的其他政府采购对象。</w:t>
      </w:r>
    </w:p>
    <w:p w14:paraId="62F832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2.5“竞标”是指供应商按照本项目竞争性磋商公告或者邀请函规定的方式获取磋商文件、提交响应文件并希望获得标的的行为。</w:t>
      </w:r>
    </w:p>
    <w:p w14:paraId="5F2BA0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2.6“响应文件”</w:t>
      </w:r>
      <w:r>
        <w:rPr>
          <w:rFonts w:hint="eastAsia" w:ascii="宋体" w:hAnsi="宋体" w:eastAsia="宋体" w:cs="宋体"/>
          <w:color w:val="auto"/>
          <w:spacing w:val="-6"/>
          <w:szCs w:val="21"/>
          <w:highlight w:val="none"/>
          <w:lang w:bidi="ar"/>
        </w:rPr>
        <w:t>是指：供应商根据本磋商文件要求，编制包含资格证明、报价商务技术等所有内容的文件。</w:t>
      </w:r>
    </w:p>
    <w:p w14:paraId="1CD72B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2.7“实质性要求”是指磋商文件中已经指明不满足则响应文件按无效响应处理的条款，或者不能负偏离的条款，或者采购需求中带“▲”的条款。</w:t>
      </w:r>
    </w:p>
    <w:p w14:paraId="0D830F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2.8“正偏离”，是指响应文件对磋商文件“采购需求”中有关条款作出的响应优于条款要求并有利于采购人的情形。</w:t>
      </w:r>
    </w:p>
    <w:p w14:paraId="4847FA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2.9“负偏离”，是指响应文件对磋商文件“采购需求”中有关条款作出的响应不满足条款要求，导致采购人要求不能得到满足的情形。</w:t>
      </w:r>
    </w:p>
    <w:p w14:paraId="72C13A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2.10“允许负偏离的条款”是指采购需求中的不属于“实质性要求”的条款。</w:t>
      </w:r>
    </w:p>
    <w:p w14:paraId="4015D1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2.11“书面形式”是指合同书、信件和数据电文（包括电报、电传、传真、电子数据交换和电子邮件）等可以有形地表现所载内容的形式。</w:t>
      </w:r>
    </w:p>
    <w:p w14:paraId="3A173E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2.12“首次报价”是指供应商提交的首次响应文件中的报价。</w:t>
      </w:r>
    </w:p>
    <w:p w14:paraId="1D6E72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2.13“评审报价”是指供应商提交的最后报价并经修正（如有）和政策功能价格扣除（如有）后的价格。</w:t>
      </w:r>
    </w:p>
    <w:p w14:paraId="6A4CA1BA">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3.供应商的资格条件</w:t>
      </w:r>
    </w:p>
    <w:p w14:paraId="5655BD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供应商的资格条件详见“供应商须知前附表”。</w:t>
      </w:r>
    </w:p>
    <w:p w14:paraId="400B1189">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4.磋商费用</w:t>
      </w:r>
    </w:p>
    <w:p w14:paraId="04A03D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供应商应承担参与本次采购活动有关的所有费用，包括但不限于、勘查现场、编制和提交响应文件、参加磋商与应答、签订合同等，不论竞标结果如何，均应自行承担。</w:t>
      </w:r>
    </w:p>
    <w:p w14:paraId="5A6AD2C1">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5.联合体竞标</w:t>
      </w:r>
    </w:p>
    <w:p w14:paraId="626576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5.1本项目是否接受联合体竞标，详见“供应商须知前附表”。</w:t>
      </w:r>
    </w:p>
    <w:p w14:paraId="64DC28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5.2</w:t>
      </w:r>
      <w:r>
        <w:rPr>
          <w:rFonts w:hint="eastAsia" w:ascii="宋体" w:hAnsi="宋体" w:eastAsia="宋体" w:cs="宋体"/>
          <w:color w:val="auto"/>
          <w:highlight w:val="none"/>
          <w:lang w:bidi="ar"/>
        </w:rPr>
        <w:t>如接受联合体竞标，</w:t>
      </w:r>
      <w:r>
        <w:rPr>
          <w:rFonts w:hint="eastAsia" w:ascii="宋体" w:hAnsi="宋体" w:eastAsia="宋体" w:cs="宋体"/>
          <w:color w:val="auto"/>
          <w:szCs w:val="21"/>
          <w:highlight w:val="none"/>
          <w:lang w:bidi="ar"/>
        </w:rPr>
        <w:t>联合体竞标要求详见“供应商须知前附表”。</w:t>
      </w:r>
    </w:p>
    <w:p w14:paraId="480DB719">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bidi="ar"/>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D5ED4AF">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 xml:space="preserve">6.转包与分包             </w:t>
      </w:r>
    </w:p>
    <w:p w14:paraId="754224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6.1本项目是否允许分包详见“供应商须知前附表”，本项目不允许违法分包。</w:t>
      </w:r>
    </w:p>
    <w:p w14:paraId="41D3BE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B5CB85F">
      <w:pPr>
        <w:spacing w:line="360" w:lineRule="auto"/>
        <w:ind w:firstLine="482" w:firstLineChars="200"/>
        <w:rPr>
          <w:rFonts w:hint="eastAsia" w:ascii="黑体" w:hAnsi="宋体" w:eastAsia="黑体" w:cs="宋体"/>
          <w:b/>
          <w:bCs/>
          <w:color w:val="auto"/>
          <w:sz w:val="24"/>
          <w:highlight w:val="none"/>
        </w:rPr>
      </w:pPr>
      <w:bookmarkStart w:id="38" w:name="_Toc254970673"/>
      <w:bookmarkStart w:id="39" w:name="_Toc254970532"/>
      <w:r>
        <w:rPr>
          <w:rFonts w:hint="eastAsia" w:ascii="黑体" w:hAnsi="宋体" w:eastAsia="黑体" w:cs="宋体"/>
          <w:b/>
          <w:bCs/>
          <w:color w:val="auto"/>
          <w:sz w:val="24"/>
          <w:highlight w:val="none"/>
          <w:lang w:bidi="ar"/>
        </w:rPr>
        <w:t>7.特别说明</w:t>
      </w:r>
      <w:bookmarkEnd w:id="38"/>
      <w:bookmarkEnd w:id="39"/>
    </w:p>
    <w:p w14:paraId="1AEBD818">
      <w:pPr>
        <w:spacing w:line="360" w:lineRule="auto"/>
        <w:ind w:firstLine="420" w:firstLineChars="200"/>
        <w:rPr>
          <w:rFonts w:hint="eastAsia" w:ascii="宋体" w:hAnsi="宋体" w:eastAsia="宋体" w:cs="宋体"/>
          <w:color w:val="auto"/>
          <w:szCs w:val="21"/>
          <w:highlight w:val="none"/>
        </w:rPr>
      </w:pPr>
      <w:bookmarkStart w:id="40" w:name="_8.1提供相同品牌产品且通过资格审查、符合性审查的不同投标人参加同一合"/>
      <w:bookmarkEnd w:id="40"/>
      <w:r>
        <w:rPr>
          <w:rFonts w:hint="eastAsia" w:ascii="宋体" w:hAnsi="宋体" w:eastAsia="宋体" w:cs="宋体"/>
          <w:color w:val="auto"/>
          <w:szCs w:val="21"/>
          <w:highlight w:val="none"/>
          <w:lang w:bidi="ar"/>
        </w:rPr>
        <w:t>7.1</w:t>
      </w:r>
      <w:bookmarkStart w:id="41" w:name="_Hlk65832145"/>
      <w:r>
        <w:rPr>
          <w:rFonts w:hint="eastAsia" w:ascii="宋体" w:hAnsi="宋体" w:eastAsia="宋体" w:cs="宋体"/>
          <w:color w:val="auto"/>
          <w:szCs w:val="21"/>
          <w:highlight w:val="none"/>
          <w:lang w:bidi="ar"/>
        </w:rPr>
        <w:t>如果本磋商文件要求提供供应商或制造商的资格、信誉、荣誉、业绩与企业认证等材料的，资格、信誉、荣誉、业绩与企业认证等必须为供应商或者制造商所拥有或自身获得 。</w:t>
      </w:r>
    </w:p>
    <w:bookmarkEnd w:id="41"/>
    <w:p w14:paraId="17A432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7.2供应商应仔细阅读磋商文件的所有内容，按照磋商文件的要求提交响应文件，并对所提供的全部资料的真实性承担法律责任。</w:t>
      </w:r>
    </w:p>
    <w:p w14:paraId="2F1A3B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7B867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7.4在政府采购活动中，采购人员及相关人员与供应商有下列利害关系之一的，应当回避：</w:t>
      </w:r>
    </w:p>
    <w:p w14:paraId="38E8C1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（1）参加采购活动前3年内与供应商存在劳动关系；</w:t>
      </w:r>
    </w:p>
    <w:p w14:paraId="699403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（2）参加采购活动前3年内担任供应商的董事、监事；</w:t>
      </w:r>
    </w:p>
    <w:p w14:paraId="5EE620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（3）参加采购活动前3年内是供应商的控股股东或者实际控制人；</w:t>
      </w:r>
    </w:p>
    <w:p w14:paraId="73B48D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（4）与供应商的法定代表人或者负责人有夫妻、直系血亲、三代以内旁系血亲或者近姻亲关系；</w:t>
      </w:r>
    </w:p>
    <w:p w14:paraId="56EC3B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（5）与供应商有其他可能影响政府采购活动公平、公正进行的关系。</w:t>
      </w:r>
    </w:p>
    <w:p w14:paraId="39915E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3649A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7.5有下列情形之一的视为供应商相互串通竞标，响应文件将被视为无效：</w:t>
      </w:r>
    </w:p>
    <w:p w14:paraId="6AE0A9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（1）不同供应商的响应文件由同一单位或者个人编制；或者不同供应商报名的IP地址一致的；或者编制响应文件硬件设备CPU编号、硬盘编号、网卡地址一致的情况。 </w:t>
      </w:r>
    </w:p>
    <w:p w14:paraId="01340F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（2）不同供应商委托同一单位或者个人办理竞标事宜；</w:t>
      </w:r>
    </w:p>
    <w:p w14:paraId="699C26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（3）不同的供应商的响应文件载明的项目管理员为同一个人；</w:t>
      </w:r>
    </w:p>
    <w:p w14:paraId="5E509D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（4）不同供应商的响应文件异常一致或者报价呈规律性差异；</w:t>
      </w:r>
    </w:p>
    <w:p w14:paraId="17DB44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（5）不同供应商的响应文件相互混装；</w:t>
      </w:r>
    </w:p>
    <w:p w14:paraId="627EE7CC">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（6）不同供应商的磋商保证金从同一单位或者个人账户转出。</w:t>
      </w:r>
      <w:r>
        <w:rPr>
          <w:rFonts w:hint="eastAsia" w:ascii="宋体" w:hAnsi="宋体" w:eastAsia="宋体" w:cs="宋体"/>
          <w:color w:val="auto"/>
          <w:szCs w:val="21"/>
          <w:highlight w:val="none"/>
          <w:lang w:bidi="ar"/>
        </w:rPr>
        <w:tab/>
      </w:r>
    </w:p>
    <w:p w14:paraId="5AE289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7.6供应商有下列情形之一的，属于恶意串通行为，将报同级监督管理部门：</w:t>
      </w:r>
    </w:p>
    <w:p w14:paraId="628E5D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（1）供应商直接或者间接从采购人或者采购代理机构处获得其他供应商的相关信息并修改其响应文件；</w:t>
      </w:r>
    </w:p>
    <w:p w14:paraId="7F0B85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（2）供应商按照采购人或者采购代理机构的授意撤换、修改响应文件；</w:t>
      </w:r>
    </w:p>
    <w:p w14:paraId="2C74D1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（3）供应商之间协商报价、技术方案等响应文件或者响应文件的实质性内容；</w:t>
      </w:r>
    </w:p>
    <w:p w14:paraId="5796E4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（4）属于同一集团、协会、商会等组织成员的供应商按照该组织要求协同参加政府采购活动；</w:t>
      </w:r>
    </w:p>
    <w:p w14:paraId="777BDB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（5）供应商之间事先约定一致抬高或者压低报价，或者在政府采购活动中事先约定轮流以高价位或者低价位成交，或者事先约定由某一特定供应商成交，然后再参加竞标；</w:t>
      </w:r>
    </w:p>
    <w:p w14:paraId="76F70A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（6）供应商之间商定部分供应商放弃参加政府采购活动或者放弃成交；</w:t>
      </w:r>
    </w:p>
    <w:p w14:paraId="1D397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（7）供应商与采购人或者采购代理机构之间、供应商相互之间，为谋求特定供应商成交或者排斥其他供应商的其他串通行为。</w:t>
      </w:r>
    </w:p>
    <w:p w14:paraId="19DB767E">
      <w:pPr>
        <w:pStyle w:val="4"/>
        <w:widowControl/>
        <w:spacing w:before="0" w:after="0" w:line="360" w:lineRule="auto"/>
        <w:ind w:firstLine="640" w:firstLineChars="200"/>
        <w:rPr>
          <w:rFonts w:hint="eastAsia" w:ascii="宋体" w:hAnsi="宋体" w:cs="宋体"/>
          <w:b w:val="0"/>
          <w:bCs w:val="0"/>
          <w:color w:val="auto"/>
          <w:highlight w:val="none"/>
        </w:rPr>
      </w:pPr>
      <w:bookmarkStart w:id="42" w:name="_Toc254970675"/>
      <w:bookmarkStart w:id="43" w:name="_Toc254970534"/>
      <w:bookmarkStart w:id="44" w:name="_Toc29463"/>
      <w:r>
        <w:rPr>
          <w:rFonts w:hint="eastAsia" w:ascii="宋体" w:hAnsi="宋体" w:cs="宋体"/>
          <w:b w:val="0"/>
          <w:bCs w:val="0"/>
          <w:color w:val="auto"/>
          <w:highlight w:val="none"/>
        </w:rPr>
        <w:t>二、磋商文件</w:t>
      </w:r>
      <w:bookmarkEnd w:id="42"/>
      <w:bookmarkEnd w:id="43"/>
      <w:bookmarkEnd w:id="44"/>
    </w:p>
    <w:p w14:paraId="2F2FD632">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8.磋商文件的构成</w:t>
      </w:r>
    </w:p>
    <w:p w14:paraId="41D9326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第一章 竞争性磋商公告；</w:t>
      </w:r>
    </w:p>
    <w:p w14:paraId="70C6BEA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第二章 采购需求；</w:t>
      </w:r>
    </w:p>
    <w:p w14:paraId="1352AE8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第三章 供应商须知； </w:t>
      </w:r>
    </w:p>
    <w:p w14:paraId="0EE0A94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第四章 评审程序、评审方法和评审标准；</w:t>
      </w:r>
    </w:p>
    <w:p w14:paraId="221FCD8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第五章 响应文件格式；</w:t>
      </w:r>
    </w:p>
    <w:p w14:paraId="67A580E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第六章 合同文本；</w:t>
      </w:r>
    </w:p>
    <w:p w14:paraId="324D90DE">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第七章 质疑、投诉材料格式。</w:t>
      </w:r>
    </w:p>
    <w:p w14:paraId="7535F724">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9.供应商的询问</w:t>
      </w:r>
    </w:p>
    <w:p w14:paraId="5FEAB1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供应商应认真阅读磋商文件的采购需求，如供应商对磋商文件有疑问的，如要求采购人作出澄清或者修改的，供应商尽应在提交首次响应文件截止之日前，以书面形式向采购人、采购代理机构提出。</w:t>
      </w:r>
    </w:p>
    <w:p w14:paraId="2D3A1BCF">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10.磋商文件的澄清和修改</w:t>
      </w:r>
    </w:p>
    <w:p w14:paraId="5DBCF9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10.1已获取磋商文件的潜在供应商，若有问题需要澄清，应于应标截止时间前，以书面形式向采购代理机构提出，采购代理机构与采购人研究后，对认为有必要回答的问题，按照本章10.3的内容处理。</w:t>
      </w:r>
    </w:p>
    <w:p w14:paraId="62D20968">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bidi="ar"/>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2490D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8D1C8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10.4</w:t>
      </w:r>
      <w:r>
        <w:rPr>
          <w:rFonts w:hint="eastAsia" w:ascii="Arial" w:hAnsi="Arial" w:eastAsia="宋体" w:cs="Arial"/>
          <w:color w:val="auto"/>
          <w:highlight w:val="none"/>
          <w:shd w:val="clear" w:color="auto" w:fill="FFFFFF"/>
          <w:lang w:bidi="ar"/>
        </w:rPr>
        <w:t>采购信息更正公告的内容应当包括采购人和采购代理机构名称、地址、联系方式，原公告的采购项目名称及首次公告日期，更正事项、内容及日期，采购项目联系人和电话。</w:t>
      </w:r>
    </w:p>
    <w:p w14:paraId="27523C94">
      <w:pPr>
        <w:spacing w:line="360" w:lineRule="auto"/>
        <w:ind w:firstLine="420" w:firstLineChars="200"/>
        <w:rPr>
          <w:color w:val="auto"/>
          <w:highlight w:val="none"/>
        </w:rPr>
      </w:pPr>
      <w:r>
        <w:rPr>
          <w:rFonts w:ascii="Times New Roman" w:hAnsi="宋体" w:eastAsia="宋体" w:cs="Times New Roman"/>
          <w:color w:val="auto"/>
          <w:highlight w:val="none"/>
          <w:lang w:bidi="ar"/>
        </w:rPr>
        <w:t xml:space="preserve">10.5  </w:t>
      </w:r>
      <w:r>
        <w:rPr>
          <w:rFonts w:hint="eastAsia" w:ascii="Times New Roman" w:hAnsi="Times New Roman" w:eastAsia="宋体" w:cs="宋体"/>
          <w:color w:val="auto"/>
          <w:highlight w:val="none"/>
          <w:lang w:bidi="ar"/>
        </w:rPr>
        <w:t>采购人和采购代理机构可以视采购具体情况，变更</w:t>
      </w:r>
      <w:r>
        <w:rPr>
          <w:rFonts w:hint="eastAsia" w:ascii="Times New Roman" w:hAnsi="宋体" w:eastAsia="宋体" w:cs="宋体"/>
          <w:color w:val="auto"/>
          <w:highlight w:val="none"/>
          <w:lang w:bidi="ar"/>
        </w:rPr>
        <w:t>提交首次响应文件</w:t>
      </w:r>
      <w:r>
        <w:rPr>
          <w:rFonts w:hint="eastAsia" w:ascii="Times New Roman" w:hAnsi="Times New Roman" w:eastAsia="宋体" w:cs="宋体"/>
          <w:color w:val="auto"/>
          <w:highlight w:val="none"/>
          <w:lang w:bidi="ar"/>
        </w:rPr>
        <w:t>截止时间和竞谈时间，将变更时间将在</w:t>
      </w:r>
      <w:r>
        <w:rPr>
          <w:rFonts w:hint="eastAsia" w:ascii="Times New Roman" w:hAnsi="宋体" w:eastAsia="宋体" w:cs="宋体"/>
          <w:color w:val="auto"/>
          <w:highlight w:val="none"/>
          <w:lang w:bidi="ar"/>
        </w:rPr>
        <w:t>“采购文件公告”中“七、其他补充事宜</w:t>
      </w:r>
      <w:r>
        <w:rPr>
          <w:rFonts w:ascii="Times New Roman" w:hAnsi="宋体" w:eastAsia="宋体" w:cs="Times New Roman"/>
          <w:color w:val="auto"/>
          <w:highlight w:val="none"/>
          <w:lang w:bidi="ar"/>
        </w:rPr>
        <w:t>3.</w:t>
      </w:r>
      <w:r>
        <w:rPr>
          <w:rFonts w:hint="eastAsia" w:ascii="Times New Roman" w:hAnsi="宋体" w:eastAsia="宋体" w:cs="宋体"/>
          <w:color w:val="auto"/>
          <w:highlight w:val="none"/>
          <w:lang w:bidi="ar"/>
        </w:rPr>
        <w:t>网上查询地址”</w:t>
      </w:r>
      <w:r>
        <w:rPr>
          <w:rFonts w:hint="eastAsia" w:ascii="Times New Roman" w:hAnsi="Times New Roman" w:eastAsia="宋体" w:cs="宋体"/>
          <w:color w:val="auto"/>
          <w:highlight w:val="none"/>
          <w:lang w:bidi="ar"/>
        </w:rPr>
        <w:t>规定的政府采购信息发布媒体上发布更正公告。</w:t>
      </w:r>
    </w:p>
    <w:p w14:paraId="6C0ED2D4">
      <w:pPr>
        <w:spacing w:line="360" w:lineRule="auto"/>
        <w:ind w:firstLine="400" w:firstLineChars="200"/>
        <w:rPr>
          <w:rFonts w:ascii="宋体" w:hAnsi="Courier New" w:eastAsia="宋体" w:cs="宋体"/>
          <w:color w:val="auto"/>
          <w:kern w:val="0"/>
          <w:sz w:val="20"/>
          <w:szCs w:val="21"/>
          <w:highlight w:val="none"/>
        </w:rPr>
      </w:pPr>
      <w:r>
        <w:rPr>
          <w:rFonts w:hint="eastAsia" w:ascii="宋体" w:hAnsi="Courier New" w:eastAsia="宋体" w:cs="宋体"/>
          <w:color w:val="auto"/>
          <w:kern w:val="0"/>
          <w:sz w:val="20"/>
          <w:szCs w:val="21"/>
          <w:highlight w:val="none"/>
          <w:lang w:bidi="ar"/>
        </w:rPr>
        <w:t>▲</w:t>
      </w:r>
      <w:r>
        <w:rPr>
          <w:rFonts w:hint="eastAsia" w:ascii="宋体" w:hAnsi="Courier New" w:eastAsia="宋体" w:cs="宋体"/>
          <w:b/>
          <w:color w:val="auto"/>
          <w:kern w:val="0"/>
          <w:sz w:val="20"/>
          <w:szCs w:val="21"/>
          <w:highlight w:val="none"/>
          <w:lang w:bidi="ar"/>
        </w:rPr>
        <w:t>响应文件未按磋商文件的澄清、修改的内容编制，又不符合实质性要求的，其响应文件作无效处理。</w:t>
      </w:r>
    </w:p>
    <w:p w14:paraId="5367FD2E">
      <w:pPr>
        <w:pStyle w:val="4"/>
        <w:widowControl/>
        <w:spacing w:before="0" w:after="0" w:line="360" w:lineRule="auto"/>
        <w:ind w:firstLine="640" w:firstLineChars="200"/>
        <w:rPr>
          <w:rFonts w:hint="eastAsia" w:ascii="宋体" w:hAnsi="宋体" w:cs="宋体"/>
          <w:b w:val="0"/>
          <w:bCs w:val="0"/>
          <w:color w:val="auto"/>
          <w:highlight w:val="none"/>
        </w:rPr>
      </w:pPr>
      <w:r>
        <w:rPr>
          <w:rFonts w:hint="eastAsia" w:ascii="宋体" w:hAnsi="宋体" w:cs="宋体"/>
          <w:b w:val="0"/>
          <w:bCs w:val="0"/>
          <w:color w:val="auto"/>
          <w:highlight w:val="none"/>
        </w:rPr>
        <w:t xml:space="preserve">  </w:t>
      </w:r>
      <w:bookmarkStart w:id="45" w:name="_Toc25407"/>
      <w:r>
        <w:rPr>
          <w:rFonts w:hint="eastAsia" w:ascii="宋体" w:hAnsi="宋体" w:cs="宋体"/>
          <w:b w:val="0"/>
          <w:bCs w:val="0"/>
          <w:color w:val="auto"/>
          <w:highlight w:val="none"/>
        </w:rPr>
        <w:t>三、响应文件的编制</w:t>
      </w:r>
      <w:bookmarkEnd w:id="45"/>
    </w:p>
    <w:p w14:paraId="1887ABB9">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11.响应文件的编制原则</w:t>
      </w:r>
    </w:p>
    <w:p w14:paraId="1FF923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供应商必须按照磋商文件的要求编制响应文件，并对其提交的响应文件的真实性、合法性承担法律责任。响应文件必须对磋商文件作出实质性响应。</w:t>
      </w:r>
    </w:p>
    <w:p w14:paraId="631A338B">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12.响应文件的组成</w:t>
      </w:r>
    </w:p>
    <w:p w14:paraId="7CA264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12.1响应文件由资格证明文件、报价文件、商务和技术文件三部分组成。</w:t>
      </w:r>
    </w:p>
    <w:p w14:paraId="3362D717">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12.1.1资格证明文件：详见须知前附表</w:t>
      </w:r>
    </w:p>
    <w:p w14:paraId="447AA3E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12.1.2商务技术文件：详见须知前附表</w:t>
      </w:r>
    </w:p>
    <w:p w14:paraId="4D60BBB4">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12.1.3报价文件：详见须知前附表</w:t>
      </w:r>
    </w:p>
    <w:p w14:paraId="4F7D19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12.2响应文件电子版：详见须知前附表</w:t>
      </w:r>
    </w:p>
    <w:p w14:paraId="63632DD8">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13.计量单位</w:t>
      </w:r>
    </w:p>
    <w:p w14:paraId="759B60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磋商文件已有明确规定的，使用磋商文件规定的计量单位；磋商文件没有规定的，应采用中华人民共和国法定计量单位，货币种类为人民币，否则视同未响应。</w:t>
      </w:r>
    </w:p>
    <w:p w14:paraId="37DA226F">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14.竞标的风险</w:t>
      </w:r>
    </w:p>
    <w:p w14:paraId="162999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供应商没有按照磋商文件要求提供全部资料，或者供应商没有对磋商文件在各方面作出实质性响应可能导致其响应无效，是供应商应当考虑的风险。</w:t>
      </w:r>
    </w:p>
    <w:p w14:paraId="5C8B4C8F">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15.响应报价要求和构成</w:t>
      </w:r>
    </w:p>
    <w:p w14:paraId="3314879C">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15.1响应报价应按“第五章 响应文件格式”中“响应报价表”格式填写。</w:t>
      </w:r>
    </w:p>
    <w:p w14:paraId="3EEC591C">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15.2响应报价的价格构成见“供应商须知前附表”。</w:t>
      </w:r>
    </w:p>
    <w:p w14:paraId="1DE135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15.3响应报价要求</w:t>
      </w:r>
    </w:p>
    <w:p w14:paraId="7F7724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15.3.1供应商的响应报价应符合以下要求，否则响应文件按无效响应处理：</w:t>
      </w:r>
    </w:p>
    <w:p w14:paraId="5ED64C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（1）供应商必须就“采购需求”中所竞标的每个分标的全部内容分别作完整唯一总价报价，不得存在漏项报价；</w:t>
      </w:r>
    </w:p>
    <w:p w14:paraId="2F0FFD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（2）供应商必须就所竞标的分标的单项内容作唯一报价。</w:t>
      </w:r>
    </w:p>
    <w:p w14:paraId="7DADF3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15.3.2响应报价（包含首次报价、最后报价）超过所竞标分标规定的采购预算金额或者最高限价的，其响应文件将作无效处理。</w:t>
      </w:r>
    </w:p>
    <w:p w14:paraId="1FC7E4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15.3.3</w:t>
      </w:r>
      <w:bookmarkStart w:id="46" w:name="_Hlk42592874"/>
      <w:r>
        <w:rPr>
          <w:rFonts w:hint="eastAsia" w:ascii="宋体" w:hAnsi="宋体" w:eastAsia="宋体" w:cs="宋体"/>
          <w:color w:val="auto"/>
          <w:szCs w:val="21"/>
          <w:highlight w:val="none"/>
          <w:lang w:bidi="ar"/>
        </w:rPr>
        <w:t>响应报价（包含首次报价、最后报价）超过分项采购预算金额或者最高限价的，其响应文件将作无效处理。</w:t>
      </w:r>
    </w:p>
    <w:bookmarkEnd w:id="46"/>
    <w:p w14:paraId="08E4465E">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16.竞标有效期</w:t>
      </w:r>
    </w:p>
    <w:p w14:paraId="260446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16.1竞标有效期是指为保证采购人有足够的时间在提交响应文件后完成评审、确定成交供应商、合同签订等工作而要求供应商提交的响应文件在一定时间内保持有效的期限。</w:t>
      </w:r>
    </w:p>
    <w:p w14:paraId="456116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16.2 竞标有效期应由供应商按“供应商须知前附表”规定的期限作出响应。</w:t>
      </w:r>
    </w:p>
    <w:p w14:paraId="3287A5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16.3供应商的响应文件在竞标有效期内均保持有效。</w:t>
      </w:r>
    </w:p>
    <w:p w14:paraId="15CDA8B5">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17.磋商保证金</w:t>
      </w:r>
    </w:p>
    <w:p w14:paraId="7C28FD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详见“供应商须知前附表”。</w:t>
      </w:r>
    </w:p>
    <w:p w14:paraId="5594ABBE">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18.响应文件编制的要求</w:t>
      </w:r>
    </w:p>
    <w:p w14:paraId="4134C2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lang w:bidi="ar"/>
        </w:rPr>
        <w:t>由此引发的</w:t>
      </w:r>
      <w:r>
        <w:rPr>
          <w:rFonts w:hint="eastAsia" w:ascii="宋体" w:hAnsi="宋体" w:eastAsia="宋体" w:cs="宋体"/>
          <w:color w:val="auto"/>
          <w:szCs w:val="21"/>
          <w:highlight w:val="none"/>
          <w:lang w:bidi="ar"/>
        </w:rPr>
        <w:t>后果由供应商承担。</w:t>
      </w:r>
    </w:p>
    <w:p w14:paraId="2CF684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18.2响应文件应按资格证明、报价分别编制，商务技术文件合并编制，本磋商只接受电子版响应文件，要求见本章“12.2响应文件电子版要求”。</w:t>
      </w:r>
    </w:p>
    <w:p w14:paraId="32FD10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w:t>
      </w:r>
      <w:bookmarkStart w:id="47" w:name="_Hlk65832699"/>
      <w:r>
        <w:rPr>
          <w:rFonts w:hint="eastAsia" w:ascii="宋体" w:hAnsi="宋体" w:eastAsia="宋体" w:cs="宋体"/>
          <w:color w:val="auto"/>
          <w:szCs w:val="21"/>
          <w:highlight w:val="none"/>
          <w:lang w:bidi="ar"/>
        </w:rPr>
        <w:t>3响应文件须由供应商在</w:t>
      </w:r>
      <w:r>
        <w:rPr>
          <w:rFonts w:hint="eastAsia" w:ascii="宋体" w:hAnsi="宋体" w:eastAsia="宋体" w:cs="仿宋_GB2312"/>
          <w:color w:val="auto"/>
          <w:kern w:val="0"/>
          <w:szCs w:val="21"/>
          <w:highlight w:val="none"/>
          <w:lang w:val="zh-CN" w:bidi="ar"/>
        </w:rPr>
        <w:t>“</w:t>
      </w:r>
      <w:r>
        <w:rPr>
          <w:rFonts w:hint="eastAsia" w:ascii="宋体" w:hAnsi="宋体" w:eastAsia="宋体" w:cs="宋体"/>
          <w:color w:val="auto"/>
          <w:szCs w:val="21"/>
          <w:highlight w:val="none"/>
          <w:lang w:bidi="ar"/>
        </w:rPr>
        <w:t>第五章 响应文件格式</w:t>
      </w:r>
      <w:r>
        <w:rPr>
          <w:rFonts w:hint="eastAsia" w:ascii="宋体" w:hAnsi="宋体" w:eastAsia="宋体" w:cs="仿宋_GB2312"/>
          <w:color w:val="auto"/>
          <w:kern w:val="0"/>
          <w:szCs w:val="21"/>
          <w:highlight w:val="none"/>
          <w:lang w:val="zh-CN" w:bidi="ar"/>
        </w:rPr>
        <w:t>”</w:t>
      </w:r>
      <w:r>
        <w:rPr>
          <w:rFonts w:hint="eastAsia" w:ascii="宋体" w:hAnsi="宋体" w:eastAsia="宋体" w:cs="宋体"/>
          <w:color w:val="auto"/>
          <w:szCs w:val="21"/>
          <w:highlight w:val="none"/>
          <w:lang w:bidi="ar"/>
        </w:rPr>
        <w:t>规定位置</w:t>
      </w:r>
      <w:r>
        <w:rPr>
          <w:rFonts w:hint="eastAsia" w:ascii="宋体" w:hAnsi="宋体" w:eastAsia="宋体" w:cs="仿宋_GB2312"/>
          <w:color w:val="auto"/>
          <w:szCs w:val="21"/>
          <w:highlight w:val="none"/>
          <w:lang w:bidi="ar"/>
        </w:rPr>
        <w:t>进行签署、盖章</w:t>
      </w:r>
      <w:bookmarkEnd w:id="47"/>
      <w:r>
        <w:rPr>
          <w:rFonts w:hint="eastAsia" w:ascii="宋体" w:hAnsi="宋体" w:eastAsia="宋体" w:cs="宋体"/>
          <w:color w:val="auto"/>
          <w:szCs w:val="21"/>
          <w:highlight w:val="none"/>
          <w:lang w:bidi="ar"/>
        </w:rPr>
        <w:t>，否则其响应文件按无效响应处理。骑缝盖公章不视为在规定位置盖章。</w:t>
      </w:r>
    </w:p>
    <w:p w14:paraId="148BAB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18.4响应文件中标注的供应商名称应与营业执照（事业单位法人证书、执业许可证、自然人身份证）及电子公章一致，否则其响应文件按无效响应处理。</w:t>
      </w:r>
    </w:p>
    <w:p w14:paraId="58B8B0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18.5响应文件应避免涂改、行间插字或者删除，否则其响应文件按无效响应处理。</w:t>
      </w:r>
    </w:p>
    <w:p w14:paraId="2DFD9B58">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19.响应文件的密封和标记</w:t>
      </w:r>
    </w:p>
    <w:p w14:paraId="22A8F4F2">
      <w:pPr>
        <w:spacing w:line="360" w:lineRule="auto"/>
        <w:ind w:firstLine="420" w:firstLineChars="200"/>
        <w:rPr>
          <w:rFonts w:hint="eastAsia"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bidi="ar"/>
        </w:rPr>
        <w:t>19.1供应商进行电子交易应安装客户端软件—“广西政府采购云电子交易客户端”，并按照磋商文件和电子交易平台的要求编制并加密响应文件。供应商未按规定加密的响应文件，电子交易平台将拒收并提示。</w:t>
      </w:r>
    </w:p>
    <w:p w14:paraId="54B6A5A2">
      <w:pPr>
        <w:spacing w:line="360" w:lineRule="auto"/>
        <w:ind w:firstLine="420" w:firstLineChars="200"/>
        <w:rPr>
          <w:rFonts w:hint="eastAsia"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bidi="ar"/>
        </w:rPr>
        <w:t>19.2使用“广西政府采购云电子交易客户端”需要提前申领CA数字证书，申领流程见该项目采购公告附件。</w:t>
      </w:r>
    </w:p>
    <w:p w14:paraId="136BE1A3">
      <w:pPr>
        <w:pStyle w:val="18"/>
        <w:widowControl/>
        <w:spacing w:line="360" w:lineRule="auto"/>
        <w:ind w:firstLine="420" w:firstLineChars="200"/>
        <w:rPr>
          <w:rFonts w:hAnsi="宋体" w:cs="仿宋_GB2312"/>
          <w:color w:val="auto"/>
          <w:sz w:val="21"/>
          <w:highlight w:val="none"/>
        </w:rPr>
      </w:pPr>
      <w:r>
        <w:rPr>
          <w:rFonts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1306CBB3">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20.响应文件的提交</w:t>
      </w:r>
    </w:p>
    <w:p w14:paraId="4A784E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20.1供应商必须在“供应商须知前附表”规定的时间和地点提交响应文件。</w:t>
      </w:r>
    </w:p>
    <w:p w14:paraId="79A2F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20.2 在响应文件提交截止时间以后，不能补充、修改响应文件。</w:t>
      </w:r>
    </w:p>
    <w:p w14:paraId="67B97D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20.3 在提交“最后报价”后，供应商不能退出谈判。</w:t>
      </w:r>
    </w:p>
    <w:p w14:paraId="59D37B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20.4 电子交易平台收到响应文件，将妥善保存并即时向供应商发出确认回执通知。在响应文件提交截止时间前，除供应商补充、修改或者撤回响应文件外，任何单位和个人不得解密或提取响应文件。</w:t>
      </w:r>
    </w:p>
    <w:p w14:paraId="4B009B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20.5 采购机构不可视情况延长提交响应文件的截止时间。</w:t>
      </w:r>
    </w:p>
    <w:p w14:paraId="1C8198DD">
      <w:pPr>
        <w:spacing w:line="360" w:lineRule="auto"/>
        <w:ind w:firstLine="420" w:firstLineChars="200"/>
        <w:rPr>
          <w:rFonts w:hint="eastAsia" w:ascii="黑体" w:hAnsi="宋体" w:eastAsia="黑体" w:cs="黑体"/>
          <w:color w:val="auto"/>
          <w:sz w:val="24"/>
          <w:highlight w:val="none"/>
        </w:rPr>
      </w:pPr>
      <w:r>
        <w:rPr>
          <w:rFonts w:hint="eastAsia" w:ascii="宋体" w:hAnsi="宋体" w:eastAsia="宋体" w:cs="宋体"/>
          <w:color w:val="auto"/>
          <w:szCs w:val="21"/>
          <w:highlight w:val="none"/>
          <w:lang w:bidi="ar"/>
        </w:rPr>
        <w:t>20.6备份响应文件。</w:t>
      </w:r>
      <w:r>
        <w:rPr>
          <w:rFonts w:hint="eastAsia" w:ascii="Times New Roman" w:hAnsi="宋体" w:eastAsia="宋体" w:cs="宋体"/>
          <w:bCs/>
          <w:color w:val="auto"/>
          <w:szCs w:val="21"/>
          <w:highlight w:val="none"/>
          <w:lang w:bidi="ar"/>
        </w:rPr>
        <w:t>详见在“供应商须知前附表”。</w:t>
      </w:r>
    </w:p>
    <w:p w14:paraId="53C205F7">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21.首次响应文件的补充、修改与撤回</w:t>
      </w:r>
    </w:p>
    <w:p w14:paraId="676FC5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详见“供应商须知前附表”。</w:t>
      </w:r>
    </w:p>
    <w:p w14:paraId="4EAC26EC">
      <w:pPr>
        <w:spacing w:line="360" w:lineRule="auto"/>
        <w:ind w:firstLine="482" w:firstLineChars="200"/>
        <w:rPr>
          <w:rFonts w:hint="eastAsia" w:ascii="黑体" w:hAnsi="宋体" w:eastAsia="黑体" w:cs="宋体"/>
          <w:b/>
          <w:bCs/>
          <w:color w:val="auto"/>
          <w:sz w:val="24"/>
          <w:highlight w:val="none"/>
        </w:rPr>
      </w:pPr>
      <w:bookmarkStart w:id="48" w:name="_Hlk45702405"/>
      <w:r>
        <w:rPr>
          <w:rFonts w:hint="eastAsia" w:ascii="黑体" w:hAnsi="宋体" w:eastAsia="黑体" w:cs="宋体"/>
          <w:b/>
          <w:bCs/>
          <w:color w:val="auto"/>
          <w:sz w:val="24"/>
          <w:highlight w:val="none"/>
          <w:lang w:bidi="ar"/>
        </w:rPr>
        <w:t>22. 首次响应文件的退回</w:t>
      </w:r>
    </w:p>
    <w:p w14:paraId="391DBF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在首次响应文件提交截止时间止提交响应文件的供应商不足3家时电子响应文件由代理机构在“广西政府采购云”平台操作退回，除此之外采购人和采购代理机构对已提交的电子响应文件概不退回。</w:t>
      </w:r>
    </w:p>
    <w:p w14:paraId="024638F9">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23. 截止时间后的撤回</w:t>
      </w:r>
    </w:p>
    <w:p w14:paraId="46E64B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本项目不收取磋商保证金，供应商在首次响应文件提交截止时间后可向采购人、采购代理机构书面申请撤回电子响应文件。</w:t>
      </w:r>
      <w:bookmarkEnd w:id="48"/>
    </w:p>
    <w:p w14:paraId="09895369">
      <w:pPr>
        <w:pStyle w:val="4"/>
        <w:widowControl/>
        <w:spacing w:before="0" w:after="0" w:line="360" w:lineRule="auto"/>
        <w:ind w:firstLine="640" w:firstLineChars="200"/>
        <w:rPr>
          <w:rFonts w:hint="eastAsia" w:ascii="宋体" w:hAnsi="宋体" w:cs="宋体"/>
          <w:b w:val="0"/>
          <w:bCs w:val="0"/>
          <w:color w:val="auto"/>
          <w:highlight w:val="none"/>
        </w:rPr>
      </w:pPr>
      <w:r>
        <w:rPr>
          <w:rFonts w:hint="eastAsia" w:ascii="宋体" w:hAnsi="宋体" w:cs="宋体"/>
          <w:b w:val="0"/>
          <w:bCs w:val="0"/>
          <w:color w:val="auto"/>
          <w:highlight w:val="none"/>
        </w:rPr>
        <w:t xml:space="preserve">  </w:t>
      </w:r>
      <w:bookmarkStart w:id="49" w:name="_Toc12302"/>
      <w:r>
        <w:rPr>
          <w:rFonts w:hint="eastAsia" w:ascii="宋体" w:hAnsi="宋体" w:cs="宋体"/>
          <w:b w:val="0"/>
          <w:bCs w:val="0"/>
          <w:color w:val="auto"/>
          <w:highlight w:val="none"/>
        </w:rPr>
        <w:t>四、评审及磋商</w:t>
      </w:r>
      <w:bookmarkEnd w:id="49"/>
    </w:p>
    <w:p w14:paraId="36F0E783">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24.磋商小组成立</w:t>
      </w:r>
    </w:p>
    <w:p w14:paraId="50F2A0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6275E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95CD3FB">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25.首次响应文件的开启</w:t>
      </w:r>
    </w:p>
    <w:p w14:paraId="540914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25.1首次响应文件由磋商小组或者采购代理机构在“供应商须知前附表”规定的时间开启。</w:t>
      </w:r>
    </w:p>
    <w:p w14:paraId="14B4C1DD">
      <w:pPr>
        <w:pStyle w:val="18"/>
        <w:widowControl/>
        <w:spacing w:line="360" w:lineRule="auto"/>
        <w:ind w:firstLine="420" w:firstLineChars="200"/>
        <w:rPr>
          <w:rFonts w:hAnsi="宋体"/>
          <w:bCs/>
          <w:color w:val="auto"/>
          <w:sz w:val="21"/>
          <w:highlight w:val="none"/>
        </w:rPr>
      </w:pPr>
      <w:r>
        <w:rPr>
          <w:rFonts w:hAnsi="宋体" w:cs="宋体"/>
          <w:color w:val="auto"/>
          <w:sz w:val="21"/>
          <w:highlight w:val="none"/>
        </w:rPr>
        <w:t xml:space="preserve">25.2 </w:t>
      </w:r>
      <w:r>
        <w:rPr>
          <w:rFonts w:hAnsi="宋体"/>
          <w:bCs/>
          <w:color w:val="auto"/>
          <w:sz w:val="21"/>
          <w:highlight w:val="none"/>
        </w:rPr>
        <w:t>响应文件解密</w:t>
      </w:r>
    </w:p>
    <w:p w14:paraId="0FBEA5FD">
      <w:pPr>
        <w:pStyle w:val="18"/>
        <w:widowControl/>
        <w:snapToGrid w:val="0"/>
        <w:spacing w:line="360" w:lineRule="auto"/>
        <w:ind w:firstLine="420" w:firstLineChars="200"/>
        <w:rPr>
          <w:rFonts w:hAnsi="宋体"/>
          <w:color w:val="auto"/>
          <w:sz w:val="21"/>
          <w:highlight w:val="none"/>
        </w:rPr>
      </w:pPr>
      <w:r>
        <w:rPr>
          <w:rFonts w:hAnsi="宋体"/>
          <w:bCs/>
          <w:color w:val="auto"/>
          <w:sz w:val="21"/>
          <w:highlight w:val="none"/>
        </w:rPr>
        <w:t>采购代理机构将在“供应商须知前附表”规定的时</w:t>
      </w:r>
      <w:r>
        <w:rPr>
          <w:rFonts w:hAnsi="宋体"/>
          <w:color w:val="auto"/>
          <w:sz w:val="21"/>
          <w:highlight w:val="none"/>
        </w:rPr>
        <w:t>间通过电子交易平台组织响应文件开启，采购机构依托电子交易平台发起开始解密指令，供应商的法定代表人或其委托代理人</w:t>
      </w:r>
      <w:r>
        <w:rPr>
          <w:rFonts w:hAnsi="宋体"/>
          <w:b/>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Ansi="宋体"/>
          <w:b/>
          <w:color w:val="auto"/>
          <w:sz w:val="21"/>
          <w:highlight w:val="none"/>
        </w:rPr>
        <w:t>视为响应文件无效。</w:t>
      </w:r>
      <w:r>
        <w:rPr>
          <w:rFonts w:hAnsi="宋体"/>
          <w:color w:val="auto"/>
          <w:sz w:val="21"/>
          <w:highlight w:val="none"/>
        </w:rPr>
        <w:t>（解密</w:t>
      </w:r>
      <w:r>
        <w:rPr>
          <w:rFonts w:hAnsi="宋体"/>
          <w:bCs/>
          <w:color w:val="auto"/>
          <w:sz w:val="21"/>
          <w:highlight w:val="none"/>
        </w:rPr>
        <w:t>异常情况处理：详见本章</w:t>
      </w:r>
      <w:r>
        <w:rPr>
          <w:rFonts w:hAnsi="宋体"/>
          <w:color w:val="auto"/>
          <w:sz w:val="21"/>
          <w:highlight w:val="none"/>
        </w:rPr>
        <w:t>26.3 电子交易活动的中止。）</w:t>
      </w:r>
    </w:p>
    <w:p w14:paraId="47D76664">
      <w:pPr>
        <w:pStyle w:val="18"/>
        <w:widowControl/>
        <w:spacing w:line="360" w:lineRule="auto"/>
        <w:ind w:firstLine="420" w:firstLineChars="200"/>
        <w:rPr>
          <w:rFonts w:hint="default"/>
          <w:color w:val="auto"/>
          <w:sz w:val="21"/>
          <w:highlight w:val="none"/>
        </w:rPr>
      </w:pPr>
      <w:r>
        <w:rPr>
          <w:rFonts w:hAnsi="宋体"/>
          <w:color w:val="auto"/>
          <w:sz w:val="21"/>
          <w:highlight w:val="none"/>
        </w:rPr>
        <w:t>如</w:t>
      </w:r>
      <w:r>
        <w:rPr>
          <w:rFonts w:hAnsi="宋体"/>
          <w:bCs/>
          <w:color w:val="auto"/>
          <w:sz w:val="21"/>
          <w:highlight w:val="none"/>
        </w:rPr>
        <w:t>供应商成功解密响应文件，但未在“广西政府采购云”电子开标大厅参加谈判的，视同认可谈判过程和结果，</w:t>
      </w:r>
      <w:r>
        <w:rPr>
          <w:rFonts w:hAnsi="宋体"/>
          <w:color w:val="auto"/>
          <w:sz w:val="21"/>
          <w:highlight w:val="none"/>
        </w:rPr>
        <w:t>由此产生的后果由供应商自行负责。 参与谈判的供应商</w:t>
      </w:r>
      <w:r>
        <w:rPr>
          <w:color w:val="auto"/>
          <w:sz w:val="21"/>
          <w:highlight w:val="none"/>
        </w:rPr>
        <w:t>不足3家的，不得谈判。</w:t>
      </w:r>
    </w:p>
    <w:p w14:paraId="25956B0C">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26.评审程序、评审方法和评审标准</w:t>
      </w:r>
    </w:p>
    <w:p w14:paraId="6A75A8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26.1磋商小组按照“第四章 评审程序、评审方法和评审标准”规定的方法、评审因素、标准和程序对响应文件进行评审。</w:t>
      </w:r>
    </w:p>
    <w:p w14:paraId="1BF7E0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26.2 磋商文件内容违反国家有关强制性规定的，磋商小组应当停止评审并向采购人或者采购代理机构说明情况，并在评审报告中书面体现。</w:t>
      </w:r>
    </w:p>
    <w:p w14:paraId="5D35C7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26.3 采购需求负偏离要求及磋商顺序详见 “ 供应商须知前附表”。</w:t>
      </w:r>
    </w:p>
    <w:p w14:paraId="392E5EF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26.4电子交易活动的中止。采购过程中出现以下情形，导致电子交易平台无法正常运行，或者无法保证电子交易的公平、公正和安全时，采购机构可中止电子交易活动：</w:t>
      </w:r>
    </w:p>
    <w:p w14:paraId="75C519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 xml:space="preserve">（1）电子交易平台发生故障而无法登录访问的； </w:t>
      </w:r>
    </w:p>
    <w:p w14:paraId="3F4D84C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（2）电子交易平台应用或数据库出现错误，不能进行正常操作的；</w:t>
      </w:r>
    </w:p>
    <w:p w14:paraId="19BEDD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（3）电子交易平台发现严重安全漏洞，有潜在泄密危险的；</w:t>
      </w:r>
    </w:p>
    <w:p w14:paraId="3911A5C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 xml:space="preserve">（4）病毒发作导致不能进行正常操作的； </w:t>
      </w:r>
    </w:p>
    <w:p w14:paraId="3362B6B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（5）其他无法保证电子交易的公平、公正和安全的情况。</w:t>
      </w:r>
    </w:p>
    <w:p w14:paraId="414EC4D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D9C6A89">
      <w:pPr>
        <w:pStyle w:val="4"/>
        <w:widowControl/>
        <w:spacing w:before="0" w:after="0" w:line="360" w:lineRule="auto"/>
        <w:ind w:firstLine="480" w:firstLineChars="150"/>
        <w:rPr>
          <w:rFonts w:hint="eastAsia" w:ascii="宋体" w:hAnsi="宋体" w:cs="宋体"/>
          <w:b w:val="0"/>
          <w:bCs w:val="0"/>
          <w:color w:val="auto"/>
          <w:highlight w:val="none"/>
        </w:rPr>
      </w:pPr>
      <w:bookmarkStart w:id="50" w:name="_Toc23231"/>
      <w:r>
        <w:rPr>
          <w:rFonts w:hint="eastAsia" w:ascii="宋体" w:hAnsi="宋体" w:cs="宋体"/>
          <w:b w:val="0"/>
          <w:bCs w:val="0"/>
          <w:color w:val="auto"/>
          <w:highlight w:val="none"/>
        </w:rPr>
        <w:t>五、成交及合同</w:t>
      </w:r>
      <w:bookmarkEnd w:id="50"/>
    </w:p>
    <w:p w14:paraId="41CE1716">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27.确定成交供应商及结果公告</w:t>
      </w:r>
    </w:p>
    <w:p w14:paraId="72C576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27.1确定成交供应商。</w:t>
      </w:r>
      <w:r>
        <w:rPr>
          <w:rFonts w:hint="eastAsia" w:ascii="宋体" w:hAnsi="宋体" w:eastAsia="宋体" w:cs="宋体"/>
          <w:color w:val="auto"/>
          <w:kern w:val="0"/>
          <w:szCs w:val="21"/>
          <w:highlight w:val="none"/>
          <w:u w:val="single"/>
          <w:lang w:bidi="ar"/>
        </w:rPr>
        <w:t xml:space="preserve"> 由采购人直接委托评审专家确定</w:t>
      </w:r>
      <w:r>
        <w:rPr>
          <w:rFonts w:hint="eastAsia" w:ascii="宋体" w:hAnsi="宋体" w:eastAsia="宋体" w:cs="宋体"/>
          <w:color w:val="auto"/>
          <w:szCs w:val="21"/>
          <w:highlight w:val="none"/>
          <w:u w:val="single"/>
          <w:lang w:bidi="ar"/>
        </w:rPr>
        <w:t>，评审报告提出的排序第一的供应商为成交供应商。</w:t>
      </w:r>
    </w:p>
    <w:p w14:paraId="6EA9BB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27.2成交通知及成交结果公告。</w:t>
      </w:r>
      <w:r>
        <w:rPr>
          <w:rFonts w:hint="eastAsia" w:ascii="宋体" w:hAnsi="宋体" w:eastAsia="宋体" w:cs="宋体"/>
          <w:color w:val="auto"/>
          <w:kern w:val="0"/>
          <w:szCs w:val="21"/>
          <w:highlight w:val="none"/>
          <w:lang w:bidi="ar"/>
        </w:rPr>
        <w:t>成交</w:t>
      </w:r>
      <w:r>
        <w:rPr>
          <w:rFonts w:hint="eastAsia" w:ascii="宋体" w:hAnsi="宋体" w:eastAsia="宋体" w:cs="宋体"/>
          <w:color w:val="auto"/>
          <w:szCs w:val="21"/>
          <w:highlight w:val="none"/>
          <w:lang w:bidi="ar"/>
        </w:rPr>
        <w:t>供应商确定后2个工作日内，在省级以上财政部门指定的媒体上公</w:t>
      </w:r>
      <w:r>
        <w:rPr>
          <w:rFonts w:hint="eastAsia" w:ascii="宋体" w:hAnsi="宋体" w:eastAsia="宋体" w:cs="宋体"/>
          <w:color w:val="auto"/>
          <w:kern w:val="0"/>
          <w:szCs w:val="21"/>
          <w:highlight w:val="none"/>
          <w:lang w:bidi="ar"/>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lang w:bidi="ar"/>
        </w:rPr>
        <w:t>同时向成交供应商发出成交通知书，成交通知书规定签订合同的时间不得超过25日。</w:t>
      </w:r>
    </w:p>
    <w:p w14:paraId="3EB3DEE4">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宋体"/>
          <w:color w:val="auto"/>
          <w:szCs w:val="21"/>
          <w:highlight w:val="none"/>
          <w:lang w:bidi="ar"/>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eastAsia="宋体" w:cs="Courier New"/>
          <w:color w:val="auto"/>
          <w:szCs w:val="21"/>
          <w:highlight w:val="none"/>
          <w:lang w:bidi="ar"/>
        </w:rPr>
        <w:t>成交供应商享受</w:t>
      </w:r>
      <w:r>
        <w:rPr>
          <w:rFonts w:hint="eastAsia" w:ascii="宋体" w:hAnsi="宋体" w:eastAsia="宋体" w:cs="宋体"/>
          <w:color w:val="auto"/>
          <w:szCs w:val="21"/>
          <w:highlight w:val="none"/>
          <w:lang w:bidi="ar"/>
        </w:rPr>
        <w:t>《政府采购促进中小企业发展管理办法》（财库〔2020〕46号）规定的中小企业扶持</w:t>
      </w:r>
      <w:r>
        <w:rPr>
          <w:rFonts w:hint="eastAsia" w:ascii="宋体" w:hAnsi="宋体" w:eastAsia="宋体" w:cs="Courier New"/>
          <w:color w:val="auto"/>
          <w:szCs w:val="21"/>
          <w:highlight w:val="none"/>
          <w:lang w:bidi="ar"/>
        </w:rPr>
        <w:t>政策的，采购人、采购代理机构应当随成交结果公开成交供应商的《中小企业声明函》。</w:t>
      </w:r>
    </w:p>
    <w:p w14:paraId="45A2C7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8BB23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bidi="ar"/>
        </w:rPr>
        <w:t>27.5</w:t>
      </w:r>
      <w:r>
        <w:rPr>
          <w:rFonts w:hint="eastAsia" w:ascii="宋体" w:hAnsi="宋体" w:eastAsia="宋体" w:cs="宋体"/>
          <w:color w:val="auto"/>
          <w:szCs w:val="21"/>
          <w:highlight w:val="none"/>
          <w:lang w:bidi="ar"/>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0B28637">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28.履约保证金</w:t>
      </w:r>
    </w:p>
    <w:p w14:paraId="2C955F64">
      <w:pPr>
        <w:spacing w:line="360" w:lineRule="auto"/>
        <w:ind w:firstLine="420" w:firstLineChars="200"/>
        <w:rPr>
          <w:rFonts w:hint="eastAsia" w:ascii="黑体" w:hAnsi="宋体" w:eastAsia="黑体" w:cs="宋体"/>
          <w:b/>
          <w:bCs/>
          <w:color w:val="auto"/>
          <w:sz w:val="24"/>
          <w:highlight w:val="none"/>
        </w:rPr>
      </w:pPr>
      <w:r>
        <w:rPr>
          <w:rFonts w:hint="eastAsia" w:ascii="宋体" w:hAnsi="宋体" w:eastAsia="宋体" w:cs="宋体"/>
          <w:color w:val="auto"/>
          <w:szCs w:val="21"/>
          <w:highlight w:val="none"/>
          <w:lang w:bidi="ar"/>
        </w:rPr>
        <w:t>详见 “供应商须知前附表”</w:t>
      </w:r>
    </w:p>
    <w:p w14:paraId="323E3105">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29.签订合同</w:t>
      </w:r>
    </w:p>
    <w:p w14:paraId="5D3F6B77">
      <w:pPr>
        <w:pStyle w:val="80"/>
        <w:widowControl/>
        <w:snapToGrid w:val="0"/>
        <w:spacing w:before="0"/>
        <w:ind w:firstLine="420"/>
        <w:rPr>
          <w:rFonts w:hint="eastAsia"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3B76F7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71FC0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A87CF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29.4如签订合同并生效后，供应商无故拒绝或延期，除按照合同条款处理外，列入不良行为记录，并给予通报。</w:t>
      </w:r>
    </w:p>
    <w:p w14:paraId="342E75D4">
      <w:pPr>
        <w:pStyle w:val="80"/>
        <w:widowControl/>
        <w:spacing w:before="0"/>
        <w:ind w:firstLine="420"/>
        <w:rPr>
          <w:rFonts w:hint="eastAsia"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s="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rPr>
        <w:t>供应商须</w:t>
      </w:r>
      <w:r>
        <w:rPr>
          <w:rFonts w:hint="eastAsia" w:ascii="宋体" w:hAnsi="宋体" w:cs="宋体"/>
          <w:color w:val="auto"/>
          <w:sz w:val="21"/>
          <w:szCs w:val="21"/>
          <w:highlight w:val="none"/>
        </w:rPr>
        <w:t>知前附表</w:t>
      </w:r>
      <w:r>
        <w:rPr>
          <w:rFonts w:hint="eastAsia" w:ascii="宋体" w:hAnsi="宋体" w:cs="仿宋_GB2312"/>
          <w:color w:val="auto"/>
          <w:sz w:val="21"/>
          <w:szCs w:val="21"/>
          <w:highlight w:val="none"/>
        </w:rPr>
        <w:t>”。</w:t>
      </w:r>
    </w:p>
    <w:p w14:paraId="28992573">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30.政府采购合同公告</w:t>
      </w:r>
    </w:p>
    <w:p w14:paraId="5C7C89D1">
      <w:pPr>
        <w:spacing w:line="360" w:lineRule="auto"/>
        <w:ind w:firstLine="420" w:firstLineChars="200"/>
        <w:rPr>
          <w:rFonts w:hint="eastAsia" w:hAnsi="宋体"/>
          <w:color w:val="auto"/>
          <w:highlight w:val="none"/>
        </w:rPr>
      </w:pPr>
      <w:r>
        <w:rPr>
          <w:rFonts w:hint="eastAsia" w:ascii="Times New Roman" w:hAnsi="宋体" w:eastAsia="宋体" w:cs="宋体"/>
          <w:color w:val="auto"/>
          <w:highlight w:val="none"/>
          <w:lang w:bidi="ar"/>
        </w:rPr>
        <w:t>采购人或者受托采购代理机构应当自政府采购合同签订之日起</w:t>
      </w:r>
      <w:r>
        <w:rPr>
          <w:rFonts w:ascii="Times New Roman" w:hAnsi="宋体" w:eastAsia="宋体" w:cs="Times New Roman"/>
          <w:color w:val="auto"/>
          <w:highlight w:val="none"/>
          <w:lang w:bidi="ar"/>
        </w:rPr>
        <w:t>2</w:t>
      </w:r>
      <w:r>
        <w:rPr>
          <w:rFonts w:hint="eastAsia" w:ascii="Times New Roman" w:hAnsi="宋体" w:eastAsia="宋体" w:cs="宋体"/>
          <w:color w:val="auto"/>
          <w:highlight w:val="none"/>
          <w:lang w:bidi="ar"/>
        </w:rPr>
        <w:t>个工作日内，将政府采购合同</w:t>
      </w:r>
      <w:r>
        <w:rPr>
          <w:rFonts w:hint="eastAsia" w:ascii="宋体" w:hAnsi="宋体" w:eastAsia="宋体" w:cs="宋体"/>
          <w:bCs/>
          <w:color w:val="auto"/>
          <w:highlight w:val="none"/>
          <w:lang w:bidi="ar"/>
        </w:rPr>
        <w:t>在以下媒体上发布</w:t>
      </w:r>
      <w:r>
        <w:rPr>
          <w:rFonts w:hint="eastAsia" w:ascii="宋体" w:hAnsi="宋体" w:eastAsia="宋体" w:cs="宋体"/>
          <w:color w:val="auto"/>
          <w:kern w:val="0"/>
          <w:szCs w:val="21"/>
          <w:highlight w:val="none"/>
          <w:lang w:bidi="ar"/>
        </w:rPr>
        <w:t xml:space="preserve"> “广西政府采购网”（http://zfcg.gxzf.gov.cn）</w:t>
      </w:r>
      <w:r>
        <w:rPr>
          <w:rFonts w:hint="eastAsia" w:ascii="Times New Roman" w:hAnsi="宋体" w:eastAsia="宋体" w:cs="宋体"/>
          <w:color w:val="auto"/>
          <w:highlight w:val="none"/>
          <w:lang w:bidi="ar"/>
        </w:rPr>
        <w:t>上公告，但政府采购合同中涉及国家秘密、商业秘密的内容除外。</w:t>
      </w:r>
    </w:p>
    <w:p w14:paraId="5DF69602">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31. 询问、质疑和投诉</w:t>
      </w:r>
    </w:p>
    <w:p w14:paraId="0C7D45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31.1供应商对政府采购活动事项有疑问的，可以向采购人、采购代理机构提出询问，采购人或者采购代理机构应当在3个工作日内对供应商依法提出的询问作出答复。</w:t>
      </w:r>
    </w:p>
    <w:p w14:paraId="5E304AE9">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highlight w:val="none"/>
          <w:lang w:bidi="ar"/>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Arial"/>
          <w:color w:val="auto"/>
          <w:highlight w:val="none"/>
          <w:shd w:val="clear" w:color="auto" w:fill="FFFFFF"/>
          <w:lang w:bidi="ar"/>
        </w:rPr>
        <w:t>接收质疑函的方式、联系部门、联系电话和通讯地址等信息详见</w:t>
      </w:r>
      <w:r>
        <w:rPr>
          <w:rFonts w:hint="eastAsia" w:ascii="宋体" w:hAnsi="宋体" w:eastAsia="宋体" w:cs="宋体"/>
          <w:color w:val="auto"/>
          <w:szCs w:val="21"/>
          <w:highlight w:val="none"/>
          <w:lang w:bidi="ar"/>
        </w:rPr>
        <w:t>“供应商须知前附表”</w:t>
      </w:r>
      <w:r>
        <w:rPr>
          <w:rFonts w:hint="eastAsia" w:ascii="宋体" w:hAnsi="宋体" w:eastAsia="宋体" w:cs="宋体"/>
          <w:color w:val="auto"/>
          <w:highlight w:val="none"/>
          <w:lang w:bidi="ar"/>
        </w:rPr>
        <w:t>。</w:t>
      </w:r>
      <w:r>
        <w:rPr>
          <w:rFonts w:hint="eastAsia" w:ascii="宋体" w:hAnsi="宋体" w:eastAsia="宋体" w:cs="宋体"/>
          <w:b/>
          <w:color w:val="auto"/>
          <w:szCs w:val="21"/>
          <w:highlight w:val="none"/>
          <w:lang w:bidi="ar"/>
        </w:rPr>
        <w:t xml:space="preserve">具体质疑起算时间及处理方式如下： </w:t>
      </w:r>
    </w:p>
    <w:p w14:paraId="1B8EB887">
      <w:pPr>
        <w:spacing w:line="360" w:lineRule="auto"/>
        <w:ind w:firstLine="420" w:firstLineChars="200"/>
        <w:rPr>
          <w:rFonts w:hint="eastAsia" w:hAnsi="宋体"/>
          <w:bCs/>
          <w:color w:val="auto"/>
          <w:highlight w:val="none"/>
        </w:rPr>
      </w:pPr>
      <w:r>
        <w:rPr>
          <w:rFonts w:hint="eastAsia" w:ascii="Times New Roman" w:hAnsi="宋体" w:eastAsia="宋体" w:cs="宋体"/>
          <w:bCs/>
          <w:color w:val="auto"/>
          <w:highlight w:val="none"/>
          <w:lang w:bidi="ar"/>
        </w:rPr>
        <w:t>（</w:t>
      </w:r>
      <w:r>
        <w:rPr>
          <w:rFonts w:ascii="Times New Roman" w:hAnsi="宋体" w:eastAsia="宋体" w:cs="Times New Roman"/>
          <w:bCs/>
          <w:color w:val="auto"/>
          <w:highlight w:val="none"/>
          <w:lang w:bidi="ar"/>
        </w:rPr>
        <w:t>1</w:t>
      </w:r>
      <w:r>
        <w:rPr>
          <w:rFonts w:hint="eastAsia" w:ascii="Times New Roman" w:hAnsi="宋体" w:eastAsia="宋体" w:cs="宋体"/>
          <w:bCs/>
          <w:color w:val="auto"/>
          <w:highlight w:val="none"/>
          <w:lang w:bidi="ar"/>
        </w:rPr>
        <w:t>）潜在供应商依法获取采购文件后，认为采购文件使自己的权益受到损害的，应当在竞争性磋商采购文件公告期限届满之日起</w:t>
      </w:r>
      <w:r>
        <w:rPr>
          <w:rFonts w:ascii="Times New Roman" w:hAnsi="宋体" w:eastAsia="宋体" w:cs="Times New Roman"/>
          <w:bCs/>
          <w:color w:val="auto"/>
          <w:highlight w:val="none"/>
          <w:lang w:bidi="ar"/>
        </w:rPr>
        <w:t>7</w:t>
      </w:r>
      <w:r>
        <w:rPr>
          <w:rFonts w:hint="eastAsia" w:ascii="Times New Roman" w:hAnsi="宋体" w:eastAsia="宋体" w:cs="宋体"/>
          <w:bCs/>
          <w:color w:val="auto"/>
          <w:highlight w:val="none"/>
          <w:lang w:bidi="ar"/>
        </w:rPr>
        <w:t>个工作日内提出质疑。</w:t>
      </w:r>
      <w:r>
        <w:rPr>
          <w:rFonts w:hint="eastAsia" w:ascii="Times New Roman" w:hAnsi="Times New Roman" w:eastAsia="宋体" w:cs="宋体"/>
          <w:color w:val="auto"/>
          <w:highlight w:val="none"/>
          <w:lang w:bidi="ar"/>
        </w:rPr>
        <w:t>委托代理协议无特殊约定的，</w:t>
      </w:r>
      <w:r>
        <w:rPr>
          <w:rFonts w:hint="eastAsia" w:ascii="Times New Roman" w:hAnsi="宋体" w:eastAsia="宋体" w:cs="宋体"/>
          <w:bCs/>
          <w:color w:val="auto"/>
          <w:highlight w:val="none"/>
          <w:lang w:bidi="ar"/>
        </w:rPr>
        <w:t>对竞争性磋商文件中采购需求（含资格要求、采购预算和评分办法）的质疑由采购人受理并负责答复；对竞争性磋商文件中的采购执行程序的质疑由采购代理机构受理并负责答复。</w:t>
      </w:r>
    </w:p>
    <w:p w14:paraId="384C36CE">
      <w:pPr>
        <w:spacing w:line="360" w:lineRule="auto"/>
        <w:ind w:firstLine="420" w:firstLineChars="200"/>
        <w:rPr>
          <w:rFonts w:hint="eastAsia" w:hAnsi="宋体"/>
          <w:bCs/>
          <w:color w:val="auto"/>
          <w:highlight w:val="none"/>
        </w:rPr>
      </w:pPr>
      <w:r>
        <w:rPr>
          <w:rFonts w:hint="eastAsia" w:ascii="Times New Roman" w:hAnsi="宋体" w:eastAsia="宋体" w:cs="宋体"/>
          <w:bCs/>
          <w:color w:val="auto"/>
          <w:highlight w:val="none"/>
          <w:lang w:bidi="ar"/>
        </w:rPr>
        <w:t>（</w:t>
      </w:r>
      <w:r>
        <w:rPr>
          <w:rFonts w:ascii="Times New Roman" w:hAnsi="宋体" w:eastAsia="宋体" w:cs="Times New Roman"/>
          <w:bCs/>
          <w:color w:val="auto"/>
          <w:highlight w:val="none"/>
          <w:lang w:bidi="ar"/>
        </w:rPr>
        <w:t>2</w:t>
      </w:r>
      <w:r>
        <w:rPr>
          <w:rFonts w:hint="eastAsia" w:ascii="Times New Roman" w:hAnsi="宋体" w:eastAsia="宋体" w:cs="宋体"/>
          <w:bCs/>
          <w:color w:val="auto"/>
          <w:highlight w:val="none"/>
          <w:lang w:bidi="ar"/>
        </w:rPr>
        <w:t>）供应商认为采购过程使自己的权益受到损害的，应当在各采购程序环节结束之日起</w:t>
      </w:r>
      <w:r>
        <w:rPr>
          <w:rFonts w:ascii="Times New Roman" w:hAnsi="宋体" w:eastAsia="宋体" w:cs="Times New Roman"/>
          <w:bCs/>
          <w:color w:val="auto"/>
          <w:highlight w:val="none"/>
          <w:lang w:bidi="ar"/>
        </w:rPr>
        <w:t>7</w:t>
      </w:r>
      <w:r>
        <w:rPr>
          <w:rFonts w:hint="eastAsia" w:ascii="Times New Roman" w:hAnsi="宋体" w:eastAsia="宋体" w:cs="宋体"/>
          <w:bCs/>
          <w:color w:val="auto"/>
          <w:highlight w:val="none"/>
          <w:lang w:bidi="ar"/>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D446BE2">
      <w:pPr>
        <w:spacing w:line="360" w:lineRule="auto"/>
        <w:ind w:firstLine="420" w:firstLineChars="200"/>
        <w:rPr>
          <w:rFonts w:hint="eastAsia" w:hAnsi="宋体"/>
          <w:bCs/>
          <w:color w:val="auto"/>
          <w:highlight w:val="none"/>
        </w:rPr>
      </w:pPr>
      <w:r>
        <w:rPr>
          <w:rFonts w:hint="eastAsia" w:ascii="Times New Roman" w:hAnsi="宋体" w:eastAsia="宋体" w:cs="宋体"/>
          <w:bCs/>
          <w:color w:val="auto"/>
          <w:highlight w:val="none"/>
          <w:lang w:bidi="ar"/>
        </w:rPr>
        <w:t>（</w:t>
      </w:r>
      <w:r>
        <w:rPr>
          <w:rFonts w:ascii="Times New Roman" w:hAnsi="宋体" w:eastAsia="宋体" w:cs="Times New Roman"/>
          <w:bCs/>
          <w:color w:val="auto"/>
          <w:highlight w:val="none"/>
          <w:lang w:bidi="ar"/>
        </w:rPr>
        <w:t>3</w:t>
      </w:r>
      <w:r>
        <w:rPr>
          <w:rFonts w:hint="eastAsia" w:ascii="Times New Roman" w:hAnsi="宋体" w:eastAsia="宋体" w:cs="宋体"/>
          <w:bCs/>
          <w:color w:val="auto"/>
          <w:highlight w:val="none"/>
          <w:lang w:bidi="ar"/>
        </w:rPr>
        <w:t>）供应商认为成交结果使自己的权益受到损害的，应当在成交结果公告期限届满之日起</w:t>
      </w:r>
      <w:r>
        <w:rPr>
          <w:rFonts w:ascii="Times New Roman" w:hAnsi="宋体" w:eastAsia="宋体" w:cs="Times New Roman"/>
          <w:bCs/>
          <w:color w:val="auto"/>
          <w:highlight w:val="none"/>
          <w:lang w:bidi="ar"/>
        </w:rPr>
        <w:t>7</w:t>
      </w:r>
      <w:r>
        <w:rPr>
          <w:rFonts w:hint="eastAsia" w:ascii="Times New Roman" w:hAnsi="宋体" w:eastAsia="宋体" w:cs="宋体"/>
          <w:bCs/>
          <w:color w:val="auto"/>
          <w:highlight w:val="none"/>
          <w:lang w:bidi="ar"/>
        </w:rPr>
        <w:t>个工作日内提出质疑，由采购人受理并负责答复。</w:t>
      </w:r>
    </w:p>
    <w:p w14:paraId="7E11E99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B9C817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31.4 供应商提出质疑应当提交质疑函和必要的证明材料，针对同一采购程序环节的质疑必须在法定质疑期内一次性提出。质疑函应当包括下列内容</w:t>
      </w:r>
      <w:r>
        <w:rPr>
          <w:rFonts w:hint="eastAsia" w:ascii="Times New Roman" w:hAnsi="宋体" w:eastAsia="宋体" w:cs="宋体"/>
          <w:bCs/>
          <w:color w:val="auto"/>
          <w:highlight w:val="none"/>
          <w:lang w:bidi="ar"/>
        </w:rPr>
        <w:t>（质疑函格式后附）</w:t>
      </w:r>
      <w:r>
        <w:rPr>
          <w:rFonts w:hint="eastAsia" w:ascii="宋体" w:hAnsi="宋体" w:eastAsia="宋体" w:cs="宋体"/>
          <w:color w:val="auto"/>
          <w:highlight w:val="none"/>
          <w:lang w:bidi="ar"/>
        </w:rPr>
        <w:t>：</w:t>
      </w:r>
    </w:p>
    <w:p w14:paraId="6C0D945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（1）供应商的姓名或者名称、地址、邮编、联系人及联系电话；</w:t>
      </w:r>
    </w:p>
    <w:p w14:paraId="2F74DDD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（2）质疑项目的名称、编号；</w:t>
      </w:r>
    </w:p>
    <w:p w14:paraId="06B6EE5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（3）具体、明确的质疑事项和与质疑事项相关的请求；</w:t>
      </w:r>
    </w:p>
    <w:p w14:paraId="76FA38A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（4）事实依据；</w:t>
      </w:r>
    </w:p>
    <w:p w14:paraId="7C7938C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（5）必要的法律依据；</w:t>
      </w:r>
    </w:p>
    <w:p w14:paraId="26A421D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（6）提出质疑的日期。</w:t>
      </w:r>
    </w:p>
    <w:p w14:paraId="25545DE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供应商为自然人的，应当由本人签字；供应商为法人或者其他组织的，应当由法定代表人、主要负责人，或者其委托代理人签字或者盖章，并加盖公章。</w:t>
      </w:r>
    </w:p>
    <w:p w14:paraId="0D497A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31.5采购人、采购代理机构认为供应商质疑不成立，或者成立但未对成交结果构成影响的，继续开展采购活动；认为供应商质疑成立且影响或者可能影响成交结果的，按照下列情况处理：</w:t>
      </w:r>
    </w:p>
    <w:p w14:paraId="58C3950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（一）对采购文件提出的质疑，依法通过澄清或者修改可以继续开展采购活动的，澄清或者修改采购文件后继续开展采购活动；否则应当修改采购文件后重新开展采购活动。</w:t>
      </w:r>
    </w:p>
    <w:p w14:paraId="6579F06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（二）对采购过程或者成交结果提出的质疑，合格供应商符合法定数量时，可以从合格的成交候选人中另行确定成交供应商的，应当依法另行确定成交供应商；否则应当重新开展采购活动。</w:t>
      </w:r>
    </w:p>
    <w:p w14:paraId="24FAF99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质疑答复导致成交结果改变的，采购人或者采购代理机构应当将有关情况书面报告本级财政部门。</w:t>
      </w:r>
    </w:p>
    <w:p w14:paraId="510B28D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1" w:name="_Toc80205930"/>
    </w:p>
    <w:p w14:paraId="08B2D8D4">
      <w:pPr>
        <w:pStyle w:val="4"/>
        <w:widowControl/>
        <w:spacing w:before="0" w:after="0" w:line="360" w:lineRule="auto"/>
        <w:ind w:firstLine="315" w:firstLineChars="98"/>
        <w:rPr>
          <w:rFonts w:hint="eastAsia" w:ascii="宋体" w:hAnsi="宋体" w:cs="宋体"/>
          <w:b w:val="0"/>
          <w:color w:val="auto"/>
          <w:highlight w:val="none"/>
        </w:rPr>
      </w:pPr>
      <w:bookmarkStart w:id="52" w:name="_Toc11391"/>
      <w:r>
        <w:rPr>
          <w:rFonts w:hint="eastAsia" w:ascii="宋体" w:hAnsi="宋体" w:cs="宋体"/>
          <w:color w:val="auto"/>
          <w:highlight w:val="none"/>
        </w:rPr>
        <w:t>六</w:t>
      </w:r>
      <w:r>
        <w:rPr>
          <w:rFonts w:hint="eastAsia" w:ascii="宋体" w:hAnsi="宋体" w:cs="宋体"/>
          <w:b w:val="0"/>
          <w:color w:val="auto"/>
          <w:highlight w:val="none"/>
        </w:rPr>
        <w:t>、验收</w:t>
      </w:r>
      <w:bookmarkEnd w:id="51"/>
      <w:bookmarkEnd w:id="52"/>
    </w:p>
    <w:p w14:paraId="098C7F1F">
      <w:pPr>
        <w:tabs>
          <w:tab w:val="left" w:pos="0"/>
        </w:tabs>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32.验收</w:t>
      </w:r>
    </w:p>
    <w:p w14:paraId="70119A1C">
      <w:pPr>
        <w:tabs>
          <w:tab w:val="left" w:pos="0"/>
        </w:tabs>
        <w:spacing w:line="360" w:lineRule="auto"/>
        <w:ind w:firstLine="420" w:firstLineChars="200"/>
        <w:rPr>
          <w:rFonts w:hint="eastAsia" w:ascii="宋体" w:hAnsi="宋体" w:eastAsia="宋体" w:cs="Helvetica"/>
          <w:color w:val="auto"/>
          <w:kern w:val="0"/>
          <w:szCs w:val="21"/>
          <w:highlight w:val="none"/>
        </w:rPr>
      </w:pPr>
      <w:r>
        <w:rPr>
          <w:rFonts w:hint="eastAsia" w:ascii="宋体" w:hAnsi="宋体" w:eastAsia="宋体" w:cs="Helvetica"/>
          <w:color w:val="auto"/>
          <w:kern w:val="0"/>
          <w:szCs w:val="21"/>
          <w:highlight w:val="none"/>
          <w:lang w:bidi="ar"/>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636128A">
      <w:pPr>
        <w:tabs>
          <w:tab w:val="left" w:pos="0"/>
        </w:tabs>
        <w:spacing w:line="360" w:lineRule="auto"/>
        <w:ind w:firstLine="420" w:firstLineChars="200"/>
        <w:rPr>
          <w:rFonts w:hint="eastAsia" w:ascii="宋体" w:hAnsi="宋体" w:eastAsia="宋体" w:cs="Helvetica"/>
          <w:color w:val="auto"/>
          <w:kern w:val="0"/>
          <w:szCs w:val="21"/>
          <w:highlight w:val="none"/>
        </w:rPr>
      </w:pPr>
      <w:r>
        <w:rPr>
          <w:rFonts w:hint="eastAsia" w:ascii="宋体" w:hAnsi="宋体" w:eastAsia="宋体" w:cs="Helvetica"/>
          <w:color w:val="auto"/>
          <w:kern w:val="0"/>
          <w:szCs w:val="21"/>
          <w:highlight w:val="none"/>
          <w:lang w:bidi="ar"/>
        </w:rPr>
        <w:t>32.2采购人可以邀请参加本项目的其他供应商或者第三方机构参与验收。参与验收的供应商或者第三方机构的意见作为验收书的参考资料一并存档。</w:t>
      </w:r>
    </w:p>
    <w:p w14:paraId="5A8A7092">
      <w:pPr>
        <w:tabs>
          <w:tab w:val="left" w:pos="0"/>
        </w:tabs>
        <w:spacing w:line="360" w:lineRule="auto"/>
        <w:ind w:firstLine="420" w:firstLineChars="200"/>
        <w:rPr>
          <w:rFonts w:hint="eastAsia" w:ascii="宋体" w:hAnsi="宋体" w:eastAsia="宋体" w:cs="Helvetica"/>
          <w:color w:val="auto"/>
          <w:kern w:val="0"/>
          <w:szCs w:val="21"/>
          <w:highlight w:val="none"/>
        </w:rPr>
      </w:pPr>
      <w:r>
        <w:rPr>
          <w:rFonts w:hint="eastAsia" w:ascii="宋体" w:hAnsi="宋体" w:eastAsia="宋体" w:cs="Helvetica"/>
          <w:color w:val="auto"/>
          <w:kern w:val="0"/>
          <w:szCs w:val="21"/>
          <w:highlight w:val="none"/>
          <w:lang w:bidi="ar"/>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BAC413A">
      <w:pPr>
        <w:tabs>
          <w:tab w:val="left" w:pos="0"/>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Helvetica"/>
          <w:color w:val="auto"/>
          <w:kern w:val="0"/>
          <w:szCs w:val="21"/>
          <w:highlight w:val="none"/>
          <w:lang w:bidi="ar"/>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9567689">
      <w:pPr>
        <w:pStyle w:val="4"/>
        <w:widowControl/>
        <w:spacing w:before="0" w:after="0" w:line="360" w:lineRule="auto"/>
        <w:ind w:firstLine="320" w:firstLineChars="100"/>
        <w:rPr>
          <w:rFonts w:hint="eastAsia" w:ascii="宋体" w:hAnsi="宋体" w:cs="宋体"/>
          <w:b w:val="0"/>
          <w:bCs w:val="0"/>
          <w:color w:val="auto"/>
          <w:highlight w:val="none"/>
        </w:rPr>
      </w:pPr>
      <w:bookmarkStart w:id="53" w:name="_Toc29241"/>
      <w:r>
        <w:rPr>
          <w:rFonts w:hint="eastAsia" w:ascii="宋体" w:hAnsi="宋体" w:cs="宋体"/>
          <w:b w:val="0"/>
          <w:bCs w:val="0"/>
          <w:color w:val="auto"/>
          <w:highlight w:val="none"/>
        </w:rPr>
        <w:t>七、其他事项</w:t>
      </w:r>
      <w:bookmarkEnd w:id="53"/>
    </w:p>
    <w:p w14:paraId="45C16A7E">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33.代理服务费</w:t>
      </w:r>
    </w:p>
    <w:p w14:paraId="20A18B3B">
      <w:pPr>
        <w:tabs>
          <w:tab w:val="left" w:pos="2837"/>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代理服务收费标准及缴费账户详见“供应商须知前附表”，供应商为联合体的，可以由联合体中的一方或者多方共同交纳代理服务费。</w:t>
      </w:r>
    </w:p>
    <w:p w14:paraId="2D10B8AD">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34.需要补充的其他内容</w:t>
      </w:r>
    </w:p>
    <w:p w14:paraId="3ACF42AF">
      <w:pPr>
        <w:pStyle w:val="18"/>
        <w:widowControl/>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34.1本磋商文件解释规则详见“供应商须知前附表”。</w:t>
      </w:r>
    </w:p>
    <w:p w14:paraId="5A2F2202">
      <w:pPr>
        <w:pStyle w:val="18"/>
        <w:widowControl/>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34.2 其他事项详见“供应商须知前附表”。</w:t>
      </w:r>
    </w:p>
    <w:p w14:paraId="49A0A98A">
      <w:pPr>
        <w:pStyle w:val="18"/>
        <w:widowControl/>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Ansi="宋体" w:cs="宋体"/>
          <w:color w:val="auto"/>
          <w:kern w:val="2"/>
          <w:sz w:val="21"/>
          <w:highlight w:val="none"/>
        </w:rPr>
        <w:t>，享受本文件规定的中小企业扶持政策。</w:t>
      </w:r>
    </w:p>
    <w:p w14:paraId="0A8B45C7">
      <w:pPr>
        <w:pStyle w:val="18"/>
        <w:widowControl/>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175BBCD8">
      <w:pPr>
        <w:pStyle w:val="18"/>
        <w:widowControl/>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依据本文件规定享受扶持政策获得政府采购合同的，小微企业不得将合同分包给大中型企业，中型企业不得将合同分包给大型企业。</w:t>
      </w:r>
    </w:p>
    <w:p w14:paraId="445A2191">
      <w:pPr>
        <w:spacing w:line="360" w:lineRule="auto"/>
        <w:ind w:firstLine="480" w:firstLineChars="200"/>
        <w:rPr>
          <w:rFonts w:hint="eastAsia" w:ascii="黑体" w:hAnsi="宋体" w:eastAsia="黑体" w:cs="黑体"/>
          <w:color w:val="auto"/>
          <w:sz w:val="24"/>
          <w:highlight w:val="none"/>
        </w:rPr>
      </w:pPr>
      <w:r>
        <w:rPr>
          <w:rFonts w:hint="eastAsia" w:ascii="黑体" w:hAnsi="宋体" w:eastAsia="黑体" w:cs="黑体"/>
          <w:color w:val="auto"/>
          <w:sz w:val="24"/>
          <w:highlight w:val="none"/>
          <w:lang w:bidi="ar"/>
        </w:rPr>
        <w:t>35. 政采贷相关说明</w:t>
      </w:r>
    </w:p>
    <w:p w14:paraId="7A31803F">
      <w:pPr>
        <w:pStyle w:val="18"/>
        <w:widowControl/>
        <w:spacing w:line="360" w:lineRule="auto"/>
        <w:ind w:firstLine="420" w:firstLineChars="200"/>
        <w:textAlignment w:val="center"/>
        <w:rPr>
          <w:rFonts w:hAnsi="宋体"/>
          <w:color w:val="auto"/>
          <w:sz w:val="21"/>
          <w:highlight w:val="none"/>
        </w:rPr>
      </w:pPr>
      <w:r>
        <w:rPr>
          <w:rFonts w:hAnsi="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1556C4FD">
      <w:pPr>
        <w:pStyle w:val="18"/>
        <w:widowControl/>
        <w:numPr>
          <w:ilvl w:val="0"/>
          <w:numId w:val="2"/>
        </w:numPr>
        <w:spacing w:line="360" w:lineRule="auto"/>
        <w:ind w:firstLine="420" w:firstLineChars="200"/>
        <w:textAlignment w:val="center"/>
        <w:rPr>
          <w:rFonts w:hAnsi="宋体"/>
          <w:color w:val="auto"/>
          <w:sz w:val="21"/>
          <w:highlight w:val="none"/>
        </w:rPr>
      </w:pPr>
      <w:r>
        <w:rPr>
          <w:rFonts w:hAnsi="宋体"/>
          <w:color w:val="auto"/>
          <w:sz w:val="21"/>
          <w:highlight w:val="none"/>
        </w:rPr>
        <w:t>线下渠道：在“南宁市公共资源交易中心”官网（网址：</w:t>
      </w:r>
      <w:r>
        <w:rPr>
          <w:rFonts w:hAnsi="宋体"/>
          <w:color w:val="auto"/>
          <w:sz w:val="21"/>
          <w:highlight w:val="none"/>
        </w:rPr>
        <w:fldChar w:fldCharType="begin"/>
      </w:r>
      <w:r>
        <w:rPr>
          <w:rFonts w:hAnsi="宋体"/>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Ansi="宋体"/>
          <w:color w:val="auto"/>
          <w:sz w:val="21"/>
          <w:highlight w:val="none"/>
        </w:rPr>
        <w:fldChar w:fldCharType="separate"/>
      </w:r>
      <w:r>
        <w:rPr>
          <w:rStyle w:val="35"/>
          <w:rFonts w:hAnsi="宋体"/>
          <w:color w:val="auto"/>
          <w:highlight w:val="none"/>
        </w:rPr>
        <w:t>http://www.nnggzy.org.cn）“交易信息-政府采购-政府采购信用融资”中融资银行和南宁市企业融资服务中心专栏信息申请政府采购信用融资。</w:t>
      </w:r>
      <w:r>
        <w:rPr>
          <w:rFonts w:hAnsi="宋体"/>
          <w:color w:val="auto"/>
          <w:sz w:val="21"/>
          <w:highlight w:val="none"/>
        </w:rPr>
        <w:fldChar w:fldCharType="end"/>
      </w:r>
    </w:p>
    <w:p w14:paraId="1B4F25B8">
      <w:pPr>
        <w:pStyle w:val="18"/>
        <w:widowControl/>
        <w:numPr>
          <w:ilvl w:val="0"/>
          <w:numId w:val="2"/>
        </w:numPr>
        <w:spacing w:line="360" w:lineRule="auto"/>
        <w:ind w:firstLine="402" w:firstLineChars="200"/>
        <w:textAlignment w:val="center"/>
        <w:rPr>
          <w:rFonts w:hint="default"/>
          <w:color w:val="auto"/>
          <w:highlight w:val="none"/>
        </w:rPr>
      </w:pPr>
      <w:r>
        <w:rPr>
          <w:rFonts w:hAnsi="宋体"/>
          <w:b/>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b/>
          <w:color w:val="auto"/>
          <w:highlight w:val="none"/>
        </w:rPr>
        <w:br w:type="page"/>
      </w:r>
    </w:p>
    <w:p w14:paraId="0A304534">
      <w:pPr>
        <w:pStyle w:val="2"/>
        <w:widowControl/>
        <w:jc w:val="center"/>
        <w:rPr>
          <w:color w:val="auto"/>
          <w:highlight w:val="none"/>
        </w:rPr>
      </w:pPr>
      <w:bookmarkStart w:id="54" w:name="_Toc7881"/>
      <w:r>
        <w:rPr>
          <w:rFonts w:hint="eastAsia" w:cs="宋体"/>
          <w:color w:val="auto"/>
          <w:highlight w:val="none"/>
        </w:rPr>
        <w:t>第四章</w:t>
      </w:r>
      <w:r>
        <w:rPr>
          <w:color w:val="auto"/>
          <w:highlight w:val="none"/>
        </w:rPr>
        <w:t xml:space="preserve">  </w:t>
      </w:r>
      <w:r>
        <w:rPr>
          <w:rFonts w:hint="eastAsia" w:cs="宋体"/>
          <w:color w:val="auto"/>
          <w:highlight w:val="none"/>
        </w:rPr>
        <w:t>评审程序、评审方法和评审标准</w:t>
      </w:r>
      <w:bookmarkEnd w:id="54"/>
    </w:p>
    <w:p w14:paraId="446A255A">
      <w:pPr>
        <w:pStyle w:val="3"/>
        <w:widowControl/>
        <w:jc w:val="center"/>
        <w:rPr>
          <w:rFonts w:hint="eastAsia" w:ascii="宋体" w:hAnsi="宋体" w:eastAsia="宋体" w:cs="宋体"/>
          <w:b w:val="0"/>
          <w:color w:val="auto"/>
          <w:highlight w:val="none"/>
        </w:rPr>
      </w:pPr>
      <w:bookmarkStart w:id="55" w:name="_Toc21460"/>
      <w:r>
        <w:rPr>
          <w:rFonts w:hint="eastAsia" w:ascii="宋体" w:hAnsi="宋体" w:eastAsia="宋体" w:cs="宋体"/>
          <w:b w:val="0"/>
          <w:color w:val="auto"/>
          <w:highlight w:val="none"/>
        </w:rPr>
        <w:t>第一节 评审程序和评审方法</w:t>
      </w:r>
      <w:bookmarkEnd w:id="55"/>
    </w:p>
    <w:p w14:paraId="054334EC">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1.确认磋商文件</w:t>
      </w:r>
    </w:p>
    <w:p w14:paraId="4F4CE8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由磋商小组确认磋商文件。</w:t>
      </w:r>
    </w:p>
    <w:p w14:paraId="0C3B44B3">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2.资格审查</w:t>
      </w:r>
    </w:p>
    <w:p w14:paraId="1A948E8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2.1响应文件开启后，磋商小组依法对供应商的资格证明文件进行审查。</w:t>
      </w:r>
    </w:p>
    <w:p w14:paraId="57A913F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注：采购人代表或者采购代理机构在资格审查结束前，对供应商进行信用查询。</w:t>
      </w:r>
    </w:p>
    <w:p w14:paraId="6D43082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5"/>
          <w:rFonts w:ascii="Times New Roman" w:hAnsi="宋体" w:eastAsia="宋体" w:cs="宋体"/>
          <w:color w:val="auto"/>
          <w:highlight w:val="none"/>
        </w:rPr>
        <w:t>www.creditchina.gov.cn</w:t>
      </w:r>
      <w:r>
        <w:rPr>
          <w:rStyle w:val="35"/>
          <w:rFonts w:ascii="Times New Roman" w:hAnsi="宋体" w:eastAsia="宋体" w:cs="宋体"/>
          <w:color w:val="auto"/>
          <w:highlight w:val="none"/>
        </w:rPr>
        <w:fldChar w:fldCharType="end"/>
      </w:r>
      <w:r>
        <w:rPr>
          <w:rFonts w:hint="eastAsia" w:ascii="宋体" w:hAnsi="宋体" w:eastAsia="宋体" w:cs="宋体"/>
          <w:color w:val="auto"/>
          <w:szCs w:val="21"/>
          <w:highlight w:val="none"/>
          <w:lang w:bidi="ar"/>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5"/>
          <w:rFonts w:ascii="Times New Roman" w:hAnsi="宋体" w:eastAsia="宋体" w:cs="宋体"/>
          <w:color w:val="auto"/>
          <w:highlight w:val="none"/>
        </w:rPr>
        <w:t>www.ccgp.gov.cn</w:t>
      </w:r>
      <w:r>
        <w:rPr>
          <w:rStyle w:val="35"/>
          <w:rFonts w:ascii="Times New Roman" w:hAnsi="宋体" w:eastAsia="宋体" w:cs="宋体"/>
          <w:color w:val="auto"/>
          <w:highlight w:val="none"/>
        </w:rPr>
        <w:fldChar w:fldCharType="end"/>
      </w:r>
      <w:r>
        <w:rPr>
          <w:rFonts w:hint="eastAsia" w:ascii="宋体" w:hAnsi="宋体" w:eastAsia="宋体" w:cs="宋体"/>
          <w:color w:val="auto"/>
          <w:szCs w:val="21"/>
          <w:highlight w:val="none"/>
          <w:lang w:bidi="ar"/>
        </w:rPr>
        <w:t>)链接入口。</w:t>
      </w:r>
    </w:p>
    <w:p w14:paraId="70EB675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（2）信用查询截止时点：资格审查结束前。</w:t>
      </w:r>
    </w:p>
    <w:p w14:paraId="25EDB9B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查询记录和证据留存方式：在查询网站中直接打印查询记录，截图另存为电子文档作为评审资料保存。</w:t>
      </w:r>
    </w:p>
    <w:p w14:paraId="2B24B7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3ACDB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2.2资格审查标准为本磋商文件中载明对供应商资格要求的条件。资格审查采用合格制，凡符合磋商文件规定的供应商资格要求的响应文件均通过资格审查。</w:t>
      </w:r>
    </w:p>
    <w:p w14:paraId="11F836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2.3供应商有下列情形之一的，资格审查不通过，其响应文件按无效响应处理：</w:t>
      </w:r>
    </w:p>
    <w:p w14:paraId="0F2BACC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（1）不具备磋商文件中规定的资格要求的；</w:t>
      </w:r>
    </w:p>
    <w:p w14:paraId="7B7A9D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（2）响应文件未提供任一项“供应商须知前附表”资格证明文件规定的“必须提供”的文件资料的；</w:t>
      </w:r>
    </w:p>
    <w:p w14:paraId="42EE96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（3）响应文件提供的资格证明文件出现任一项不符合“供应商须知前附表”资格证明文件规定的“必须提供”的文件资料要求或者无效的。</w:t>
      </w:r>
    </w:p>
    <w:p w14:paraId="2E4B74F8">
      <w:pPr>
        <w:spacing w:line="360" w:lineRule="auto"/>
        <w:ind w:firstLine="420" w:firstLineChars="200"/>
        <w:rPr>
          <w:rFonts w:hint="eastAsia" w:ascii="宋体" w:hAnsi="宋体" w:eastAsia="宋体" w:cs="宋体"/>
          <w:color w:val="auto"/>
          <w:szCs w:val="21"/>
          <w:highlight w:val="none"/>
        </w:rPr>
      </w:pPr>
      <w:bookmarkStart w:id="56" w:name="_Hlk68601553"/>
      <w:r>
        <w:rPr>
          <w:rFonts w:hint="eastAsia" w:ascii="宋体" w:hAnsi="宋体" w:eastAsia="宋体" w:cs="宋体"/>
          <w:color w:val="auto"/>
          <w:szCs w:val="21"/>
          <w:highlight w:val="none"/>
          <w:lang w:bidi="ar"/>
        </w:rPr>
        <w:t>（4）同一合同项下的不同供应商，单位负责人为同一人或者存在直接控股、管理关系的；为本项目提供过整体设计、规范编制或者项目管理、监理、检测等服务的。</w:t>
      </w:r>
      <w:bookmarkEnd w:id="56"/>
    </w:p>
    <w:p w14:paraId="05F16B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2.4通过资格审查的合格供应商不足3家的，不得进入符合性审查环节，采购人或者采购代理机构应当重新开展采购活动。</w:t>
      </w:r>
    </w:p>
    <w:p w14:paraId="0F5AFD47">
      <w:pPr>
        <w:spacing w:line="360" w:lineRule="auto"/>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3.符合性审查</w:t>
      </w:r>
    </w:p>
    <w:p w14:paraId="499E16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3.1由磋商小组对通过资格审查的合格供应商的响应文件的响应报价、商务、技术等实质性要求进行符合性审查，以确定其是否满足磋商文件的实质性要求。</w:t>
      </w:r>
    </w:p>
    <w:p w14:paraId="0380FB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D541930">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lang w:bidi="ar"/>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lang w:bidi="ar"/>
        </w:rPr>
        <w:t>。供应商为自然人的，必须由本人签字并附身份证明。</w:t>
      </w:r>
    </w:p>
    <w:p w14:paraId="461E0E31">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lang w:bidi="ar"/>
        </w:rPr>
        <w:t>3.4</w:t>
      </w:r>
      <w:r>
        <w:rPr>
          <w:rFonts w:hint="eastAsia" w:ascii="宋体" w:hAnsi="宋体" w:eastAsia="宋体" w:cs="宋体"/>
          <w:color w:val="auto"/>
          <w:szCs w:val="21"/>
          <w:highlight w:val="none"/>
          <w:lang w:bidi="ar"/>
        </w:rPr>
        <w:t xml:space="preserve">首次响应文件报价出现前后不一致的，按照下列规定修正： </w:t>
      </w:r>
    </w:p>
    <w:p w14:paraId="22CBB3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（1）响应文件中报价表内容与响应文件中相应内容不一致的，以报价表为准；</w:t>
      </w:r>
    </w:p>
    <w:p w14:paraId="1090B6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（2）大写金额和小写金额不一致的，以大写金额为准；</w:t>
      </w:r>
    </w:p>
    <w:p w14:paraId="041995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（3）单价金额小数点或者百分比有明显错位的，以报价表的总价为准，并修改单价；</w:t>
      </w:r>
    </w:p>
    <w:p w14:paraId="403EBC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（4）总价金额与按单价汇总金额不一致的，以单价金额计算结果为准。</w:t>
      </w:r>
    </w:p>
    <w:p w14:paraId="658BED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同时出现两种以上不一致的，按照以上（1）-（4）规定的顺序逐条进行修正。修正后的报价经供应商确认后产生约束力，供应商不确认的，其响应文件按无效响应处理。</w:t>
      </w:r>
    </w:p>
    <w:p w14:paraId="56F944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3.5商务技术、报价评审</w:t>
      </w:r>
    </w:p>
    <w:p w14:paraId="46D8CF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在评审时，如发现下列情形之一的，将被视为响应文件无效处理：</w:t>
      </w:r>
    </w:p>
    <w:p w14:paraId="451F4F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（1）商务技术评审</w:t>
      </w:r>
    </w:p>
    <w:p w14:paraId="10382D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1）响应文件未按磋商文件要求签署、盖章；</w:t>
      </w:r>
    </w:p>
    <w:p w14:paraId="4FC834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2）委托代理人未能出具有效身份证明或者出具的身份证明与授权委托书中的信息不符； </w:t>
      </w:r>
    </w:p>
    <w:p w14:paraId="45E9C1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8BA18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4）商务条款中标“▲”的条款发生负偏离的或者允许负偏离的条款数超过“供应商须知前附表”规定项数的或者标明实质性的要求发生负偏离；</w:t>
      </w:r>
    </w:p>
    <w:p w14:paraId="6474CA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5）未对竞标有效期作出响应或者响应文件承诺的竞标有效期不满足磋商文件要求；</w:t>
      </w:r>
    </w:p>
    <w:p w14:paraId="1A9D9E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6）响应文件的实质性内容未使用中文表述、使用计量单位不符合磋商文件要求；</w:t>
      </w:r>
    </w:p>
    <w:p w14:paraId="7629AA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7）响应文件中的文件资料因填写不齐全或者内容虚假或者出现其他情形而导致被磋商小组认定无效；</w:t>
      </w:r>
    </w:p>
    <w:p w14:paraId="436358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8）响应文件含有采购人不能接受的附加条件；</w:t>
      </w:r>
    </w:p>
    <w:p w14:paraId="1A7E55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9）属于“供应商须知正文”第7.5条情形；</w:t>
      </w:r>
    </w:p>
    <w:p w14:paraId="196119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10）技术需求允许负偏离的条款数超过“供应商须知前附表”规定项数；</w:t>
      </w:r>
    </w:p>
    <w:p w14:paraId="3ECA93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11）虚假竞标，或者出现其他情形而导致被磋商小组认定无效；</w:t>
      </w:r>
    </w:p>
    <w:p w14:paraId="5C6CD5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12）竞标技术方案不明确，磋商文件未允许但响应文件中存在一个或者一个以上备选（替代）竞标方案；</w:t>
      </w:r>
    </w:p>
    <w:p w14:paraId="665E69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13）响应文件标注的项目名称或者项目编号与竞争性磋商文件标注的项目名称或者项目编号不一致的；</w:t>
      </w:r>
    </w:p>
    <w:p w14:paraId="21DD32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14）未响应磋商文件实质性要求；</w:t>
      </w:r>
    </w:p>
    <w:p w14:paraId="16EA56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15）法律、法规和磋商文件规定的其他无效情形。</w:t>
      </w:r>
    </w:p>
    <w:p w14:paraId="2B0A29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（2）报价评审</w:t>
      </w:r>
    </w:p>
    <w:p w14:paraId="04126B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响应文件未提供“供应商须知前附表” 报价文件中规定的“响应报价表”；</w:t>
      </w:r>
    </w:p>
    <w:p w14:paraId="1ABB0A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2）未采用人民币报价或者未按照磋商文件标明的币种报价；</w:t>
      </w:r>
    </w:p>
    <w:p w14:paraId="22FDE5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6B8A3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FDAB7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CE6F0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6）响应文件响应的标的数量及单位与竞争性磋商采购文件要求实质性不一致的。</w:t>
      </w:r>
    </w:p>
    <w:p w14:paraId="5A0502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3C59B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7F3C5A9">
      <w:pPr>
        <w:ind w:firstLine="482" w:firstLineChars="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4.磋商程序</w:t>
      </w:r>
    </w:p>
    <w:p w14:paraId="0A8CC0A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4.1磋商小组按照“供应商须知前附表”</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kern w:val="0"/>
          <w:szCs w:val="21"/>
          <w:highlight w:val="none"/>
          <w:lang w:bidi="ar"/>
        </w:rPr>
        <w:t>确定的</w:t>
      </w:r>
      <w:r>
        <w:rPr>
          <w:rFonts w:hint="eastAsia" w:ascii="宋体" w:hAnsi="宋体" w:eastAsia="宋体" w:cs="宋体"/>
          <w:color w:val="auto"/>
          <w:szCs w:val="21"/>
          <w:highlight w:val="none"/>
          <w:lang w:bidi="ar"/>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C56D8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D4325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4.3对磋商文件作出的实质性变动是磋商文件的有效组成部分，由磋商小组及时以电子澄清函形式同时通知所有参加磋商的供应商。</w:t>
      </w:r>
    </w:p>
    <w:p w14:paraId="4470C5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6F510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4.5磋商中，</w:t>
      </w:r>
      <w:r>
        <w:rPr>
          <w:rFonts w:hint="eastAsia" w:ascii="宋体" w:hAnsi="宋体" w:eastAsia="宋体" w:cs="宋体"/>
          <w:color w:val="auto"/>
          <w:spacing w:val="-6"/>
          <w:szCs w:val="21"/>
          <w:highlight w:val="none"/>
          <w:lang w:bidi="ar"/>
        </w:rPr>
        <w:t>磋商的任何一方不得透露与磋商有关的其他供应商的技术资料、价格和其他信息。</w:t>
      </w:r>
    </w:p>
    <w:p w14:paraId="01E6B519">
      <w:pPr>
        <w:widowControl/>
        <w:tabs>
          <w:tab w:val="left" w:pos="540"/>
        </w:tabs>
        <w:spacing w:line="360" w:lineRule="auto"/>
        <w:ind w:firstLine="420" w:firstLineChars="200"/>
        <w:jc w:val="left"/>
        <w:rPr>
          <w:rFonts w:hint="eastAsia" w:ascii="仿宋" w:hAnsi="仿宋" w:eastAsia="仿宋" w:cs="仿宋_GB2312"/>
          <w:b/>
          <w:color w:val="auto"/>
          <w:highlight w:val="none"/>
        </w:rPr>
      </w:pPr>
      <w:r>
        <w:rPr>
          <w:rFonts w:hint="eastAsia" w:ascii="宋体" w:hAnsi="宋体" w:eastAsia="宋体" w:cs="宋体"/>
          <w:color w:val="auto"/>
          <w:szCs w:val="21"/>
          <w:highlight w:val="none"/>
          <w:lang w:bidi="ar"/>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
        </w:rPr>
        <w:t>主要内容包括：</w:t>
      </w:r>
    </w:p>
    <w:p w14:paraId="4CE9A6A1">
      <w:pPr>
        <w:pStyle w:val="80"/>
        <w:widowControl/>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0D61B447">
      <w:pPr>
        <w:pStyle w:val="80"/>
        <w:widowControl/>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677FFEE5">
      <w:pPr>
        <w:pStyle w:val="80"/>
        <w:widowControl/>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40DFAAA6">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4.7磋商过程中重新提交的响应文件，供应商可以在开启前补充、修改。</w:t>
      </w:r>
    </w:p>
    <w:p w14:paraId="105CF923">
      <w:pPr>
        <w:tabs>
          <w:tab w:val="left" w:pos="2837"/>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4.8对磋商过程提交的响应文件进行有效性、完整性和响应程度审查，通过审查的合格供应商不足3家的，采购人或者采购代理机构应当重新开展采购活动。</w:t>
      </w:r>
    </w:p>
    <w:p w14:paraId="20114C9F">
      <w:pPr>
        <w:ind w:firstLine="200"/>
        <w:rPr>
          <w:rFonts w:hint="eastAsia" w:ascii="宋体" w:hAnsi="宋体" w:eastAsia="宋体" w:cs="宋体"/>
          <w:color w:val="auto"/>
          <w:szCs w:val="21"/>
          <w:highlight w:val="none"/>
        </w:rPr>
      </w:pPr>
      <w:r>
        <w:rPr>
          <w:rFonts w:hint="eastAsia" w:ascii="黑体" w:hAnsi="宋体" w:eastAsia="黑体" w:cs="宋体"/>
          <w:b/>
          <w:bCs/>
          <w:color w:val="auto"/>
          <w:sz w:val="24"/>
          <w:highlight w:val="none"/>
          <w:lang w:bidi="ar"/>
        </w:rPr>
        <w:t>5. 最后报价</w:t>
      </w:r>
    </w:p>
    <w:p w14:paraId="202839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1A4B11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5C360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57323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5.4已经提交响应文件的供应商，在提交最后报价之前，可以根据磋商情况退出磋商，退出磋商的供应商的响应文件按无效响应处理。</w:t>
      </w:r>
    </w:p>
    <w:p w14:paraId="053039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5.5供应商未在规定时间内提交最后报价的，视同退出磋商。</w:t>
      </w:r>
    </w:p>
    <w:p w14:paraId="3ECC25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5.6磋商小组收齐某一分标最后报价后统一开启，磋商小组对最后报价进行有效性、完整性和响应程度的审查。</w:t>
      </w:r>
    </w:p>
    <w:p w14:paraId="442FC2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5.7最终响应文件的报价出现前后不一致的，按照本章第3.4条的规定修正。 </w:t>
      </w:r>
    </w:p>
    <w:p w14:paraId="339222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5.8修正后的最终报价出现下列情形的，按无效响应处理：</w:t>
      </w:r>
    </w:p>
    <w:p w14:paraId="5EA803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（1）供应商不确认的（全流程电子化评标采取在线确认）；</w:t>
      </w:r>
    </w:p>
    <w:p w14:paraId="756D59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（2）经供应商确认修正后的响应报价（包含首次报价、最后报价）超过所竞标分标规定的采购预算金额或者最高限价的（如本项目公布了最高限价）；</w:t>
      </w:r>
    </w:p>
    <w:p w14:paraId="3B62BC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（3）经供应商确认修正后的响应报价（包含首次报价、最后报价）超过分项采购预算金额或者最高限价的（如本项目公布了最高限价）。</w:t>
      </w:r>
    </w:p>
    <w:p w14:paraId="23F544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5.9经供应商确认修正后的最后报价作为评审及签订合同的依据。</w:t>
      </w:r>
    </w:p>
    <w:p w14:paraId="2AA527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5.10供应商出现最后报价按无效响应处理或者响应文件按无效处理时</w:t>
      </w:r>
      <w:r>
        <w:rPr>
          <w:rFonts w:hint="eastAsia" w:ascii="宋体" w:hAnsi="宋体" w:eastAsia="宋体" w:cs="宋体"/>
          <w:color w:val="auto"/>
          <w:sz w:val="22"/>
          <w:szCs w:val="22"/>
          <w:highlight w:val="none"/>
          <w:lang w:bidi="ar"/>
        </w:rPr>
        <w:t>，磋商小组应当告知有关供应商</w:t>
      </w:r>
      <w:r>
        <w:rPr>
          <w:rFonts w:hint="eastAsia" w:ascii="宋体" w:hAnsi="宋体" w:eastAsia="宋体" w:cs="宋体"/>
          <w:color w:val="auto"/>
          <w:szCs w:val="21"/>
          <w:highlight w:val="none"/>
          <w:lang w:bidi="ar"/>
        </w:rPr>
        <w:t>。</w:t>
      </w:r>
    </w:p>
    <w:p w14:paraId="49401C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5.11最后报价结束后，磋商小组不得再与供应商进行任何形式的商谈。</w:t>
      </w:r>
    </w:p>
    <w:p w14:paraId="61666844">
      <w:pPr>
        <w:ind w:firstLine="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6.比较与评价</w:t>
      </w:r>
    </w:p>
    <w:p w14:paraId="480D71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6.1评审方法：综合评分法。</w:t>
      </w:r>
    </w:p>
    <w:p w14:paraId="4BAAB8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6.2经磋商确定最终采购需求和提交最后报价的供应商后，由磋商小组采用综合评分法对提交最后报价的供应商的响应文件和最后报价进行综合评分。</w:t>
      </w:r>
    </w:p>
    <w:p w14:paraId="54D2EA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6.3评审时，磋商小组各成员应当独立对每个有效响应的文件进行评价、打分，然后汇总每个供应商每项评分因素的得分。</w:t>
      </w:r>
    </w:p>
    <w:p w14:paraId="56B877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0A4F3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（2）磋商小组按照磋商文件中规定的评审标准计算各供应商的报价得分。项目评审过程中，不得去掉最后报价中的最高报价和最低报价。</w:t>
      </w:r>
    </w:p>
    <w:p w14:paraId="555B66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（3）各供应商的得分为磋商小组所有成员的有效评分的算术平均数。</w:t>
      </w:r>
    </w:p>
    <w:p w14:paraId="47D06437">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6.4评审价为供应商的最后报价进行政策性扣除后的价格，评审价只是作为评审时使用。最终成交供应商的成交金额等于最后报价（如有修正，以确认修正后的最后报价为准）。</w:t>
      </w:r>
    </w:p>
    <w:p w14:paraId="71DF80F5">
      <w:pPr>
        <w:spacing w:line="219" w:lineRule="auto"/>
        <w:ind w:left="430"/>
        <w:rPr>
          <w:rFonts w:ascii="宋体" w:hAnsi="宋体" w:eastAsia="宋体" w:cs="宋体"/>
          <w:b/>
          <w:bCs/>
          <w:color w:val="auto"/>
          <w:sz w:val="21"/>
          <w:szCs w:val="21"/>
          <w:highlight w:val="none"/>
        </w:rPr>
      </w:pPr>
      <w:r>
        <w:rPr>
          <w:rFonts w:hint="eastAsia" w:ascii="宋体" w:hAnsi="宋体" w:cs="宋体"/>
          <w:b/>
          <w:bCs/>
          <w:color w:val="auto"/>
          <w:kern w:val="2"/>
          <w:sz w:val="21"/>
          <w:szCs w:val="21"/>
          <w:highlight w:val="none"/>
          <w:lang w:val="en-US" w:eastAsia="zh-CN" w:bidi="ar"/>
        </w:rPr>
        <w:t xml:space="preserve">6.5 </w:t>
      </w:r>
      <w:r>
        <w:rPr>
          <w:rFonts w:ascii="宋体" w:hAnsi="宋体" w:eastAsia="宋体" w:cs="宋体"/>
          <w:b/>
          <w:bCs/>
          <w:color w:val="auto"/>
          <w:spacing w:val="-2"/>
          <w:sz w:val="21"/>
          <w:szCs w:val="21"/>
          <w:highlight w:val="none"/>
        </w:rPr>
        <w:t>异常低价响应审查</w:t>
      </w:r>
    </w:p>
    <w:p w14:paraId="582009E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（1）磋商小组在评审中发现下列情形之一的，应当启动异常低价响应审查程序：</w:t>
      </w:r>
    </w:p>
    <w:p w14:paraId="3586C1A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①响应报价低于全部通过符合性审查供应商响应报价平均值 65%的，即响应报价＜全部通过符合性审查供应商响应报价平均值×65%；</w:t>
      </w:r>
    </w:p>
    <w:p w14:paraId="5EC2C68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②响应报价低于通过符合性审查的次低报价供应商响应报价 65%的，即响应报价＜通过符合性审查的次低报价供应商响应报价×65%；</w:t>
      </w:r>
    </w:p>
    <w:p w14:paraId="22B6F8E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③响应报价低于采购项目最高限价 65%的，即响应报价＜采购项目最高限价×65%；</w:t>
      </w:r>
    </w:p>
    <w:p w14:paraId="6DB182C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④磋商小组基于专业判断，认为供应商报价过低，有可能影响产品质量或者不能诚信履约的其他情形。</w:t>
      </w:r>
    </w:p>
    <w:p w14:paraId="5F91087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（2）磋商小组启动异常低价响应审查后，属于前述第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478678E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磋商小组依据专业经验，参考同类项目中标（成交）价格、类似产品市场价格水平、行业人工费用标准、国家有关部门指导行业协会发布的行业平均成本等情况，对报价合理性进行判断。</w:t>
      </w:r>
    </w:p>
    <w:p w14:paraId="4B444879">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相关供应商不能提供书面说明、证明材料，或者提供的书面说明、证明材料不能证明其报价合理性的，磋商小组应当将其作为无效响应处理。</w:t>
      </w:r>
    </w:p>
    <w:p w14:paraId="2474485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7FB6E83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异常低价响应审查的启动原因、审查意见和审查结果应当在评审报告中记录，并随供应商提供的相关书面说明及证明材料，以及磋商小组有关互联网浏览、查询历史一并归档。</w:t>
      </w:r>
    </w:p>
    <w:p w14:paraId="57C1CD63">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bidi="ar"/>
        </w:rPr>
        <w:t>6.</w:t>
      </w:r>
      <w:r>
        <w:rPr>
          <w:rFonts w:hint="eastAsia" w:ascii="宋体" w:hAnsi="宋体" w:eastAsia="宋体" w:cs="宋体"/>
          <w:color w:val="auto"/>
          <w:szCs w:val="21"/>
          <w:highlight w:val="none"/>
          <w:lang w:val="en-US" w:eastAsia="zh-CN" w:bidi="ar"/>
        </w:rPr>
        <w:t>6</w:t>
      </w:r>
      <w:r>
        <w:rPr>
          <w:rFonts w:hint="eastAsia" w:ascii="宋体" w:hAnsi="宋体" w:eastAsia="宋体" w:cs="宋体"/>
          <w:color w:val="auto"/>
          <w:szCs w:val="21"/>
          <w:highlight w:val="none"/>
          <w:lang w:bidi="ar"/>
        </w:rPr>
        <w:t>由磋商小组根据综合评分情况，按照评审得分由高到低顺序推荐3名以上成交候选供应商，并编写评</w:t>
      </w:r>
      <w:r>
        <w:rPr>
          <w:rFonts w:hint="eastAsia" w:ascii="宋体" w:hAnsi="宋体" w:eastAsia="宋体" w:cs="宋体"/>
          <w:color w:val="auto"/>
          <w:kern w:val="0"/>
          <w:szCs w:val="21"/>
          <w:highlight w:val="none"/>
          <w:lang w:bidi="ar"/>
        </w:rPr>
        <w:t>审报告。符合本章第4.3条情形的，可以推荐2家成交候选供应商。评审得分相同的，按照最后报价由低到高的顺序推荐。评审得分且最后报价相同的，按照技术指标优劣顺序推荐。</w:t>
      </w:r>
    </w:p>
    <w:p w14:paraId="108B3323">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val="en-US" w:eastAsia="zh-CN" w:bidi="ar"/>
        </w:rPr>
        <w:t>7</w:t>
      </w:r>
      <w:r>
        <w:rPr>
          <w:rFonts w:hint="eastAsia" w:ascii="宋体" w:hAnsi="宋体" w:eastAsia="宋体" w:cs="宋体"/>
          <w:color w:val="auto"/>
          <w:kern w:val="0"/>
          <w:szCs w:val="21"/>
          <w:highlight w:val="none"/>
          <w:lang w:bidi="ar"/>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E6DC08C">
      <w:pPr>
        <w:spacing w:line="360" w:lineRule="auto"/>
        <w:ind w:firstLine="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7.评审复核</w:t>
      </w:r>
    </w:p>
    <w:p w14:paraId="128084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7.1评审报告签署前，评审委员会要对评审结果进行复核，复核意见要体现在评审报告中。</w:t>
      </w:r>
    </w:p>
    <w:p w14:paraId="69EEE850">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02B1C6A">
      <w:pPr>
        <w:ind w:firstLine="200"/>
        <w:rPr>
          <w:rFonts w:hint="eastAsia" w:ascii="黑体" w:hAnsi="宋体" w:eastAsia="黑体" w:cs="宋体"/>
          <w:b/>
          <w:bCs/>
          <w:color w:val="auto"/>
          <w:sz w:val="24"/>
          <w:highlight w:val="none"/>
        </w:rPr>
      </w:pPr>
      <w:r>
        <w:rPr>
          <w:rFonts w:hint="eastAsia" w:ascii="黑体" w:hAnsi="宋体" w:eastAsia="黑体" w:cs="宋体"/>
          <w:b/>
          <w:bCs/>
          <w:color w:val="auto"/>
          <w:sz w:val="24"/>
          <w:highlight w:val="none"/>
          <w:lang w:bidi="ar"/>
        </w:rPr>
        <w:t>8.评审标准</w:t>
      </w:r>
    </w:p>
    <w:p w14:paraId="4411A8C9">
      <w:pPr>
        <w:spacing w:line="360" w:lineRule="auto"/>
        <w:ind w:firstLine="422" w:firstLineChars="200"/>
        <w:rPr>
          <w:rFonts w:hint="eastAsia" w:ascii="宋体" w:hAnsi="宋体" w:eastAsia="宋体" w:cs="宋体"/>
          <w:bCs/>
          <w:color w:val="auto"/>
          <w:szCs w:val="21"/>
          <w:highlight w:val="none"/>
          <w:lang w:bidi="ar"/>
        </w:rPr>
      </w:pPr>
      <w:r>
        <w:rPr>
          <w:rFonts w:hint="eastAsia" w:ascii="宋体" w:hAnsi="宋体" w:eastAsia="宋体" w:cs="宋体"/>
          <w:b/>
          <w:color w:val="auto"/>
          <w:highlight w:val="none"/>
          <w:lang w:bidi="ar"/>
        </w:rPr>
        <w:t>8.</w:t>
      </w:r>
      <w:r>
        <w:rPr>
          <w:rFonts w:hint="eastAsia" w:ascii="宋体" w:hAnsi="宋体" w:eastAsia="宋体" w:cs="宋体"/>
          <w:bCs/>
          <w:color w:val="auto"/>
          <w:szCs w:val="21"/>
          <w:highlight w:val="none"/>
          <w:lang w:bidi="ar"/>
        </w:rPr>
        <w:t>1评审依据：磋商小组将以磋商响应文件为评审依据，对供应商的报价、技术、商务等方面内容按百分制打分。（计分方法按四舍五入取至百分位）</w:t>
      </w:r>
    </w:p>
    <w:p w14:paraId="02DFE4EC">
      <w:pPr>
        <w:pStyle w:val="21"/>
        <w:rPr>
          <w:rFonts w:hint="eastAsia" w:ascii="宋体" w:hAnsi="宋体" w:eastAsia="宋体" w:cs="宋体"/>
          <w:bCs/>
          <w:color w:val="auto"/>
          <w:sz w:val="21"/>
          <w:szCs w:val="21"/>
          <w:highlight w:val="none"/>
          <w:lang w:bidi="ar"/>
        </w:rPr>
      </w:pPr>
    </w:p>
    <w:p w14:paraId="2BA36E97">
      <w:pPr>
        <w:rPr>
          <w:rFonts w:hint="eastAsia" w:ascii="宋体" w:hAnsi="宋体" w:eastAsia="宋体" w:cs="宋体"/>
          <w:bCs/>
          <w:color w:val="auto"/>
          <w:sz w:val="21"/>
          <w:szCs w:val="21"/>
          <w:highlight w:val="none"/>
          <w:lang w:bidi="ar"/>
        </w:rPr>
      </w:pPr>
      <w:r>
        <w:rPr>
          <w:rFonts w:hint="eastAsia" w:ascii="宋体" w:hAnsi="宋体" w:eastAsia="宋体" w:cs="宋体"/>
          <w:bCs/>
          <w:color w:val="auto"/>
          <w:sz w:val="21"/>
          <w:szCs w:val="21"/>
          <w:highlight w:val="none"/>
          <w:lang w:bidi="ar"/>
        </w:rPr>
        <w:br w:type="page"/>
      </w:r>
    </w:p>
    <w:tbl>
      <w:tblPr>
        <w:tblStyle w:val="30"/>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487"/>
        <w:gridCol w:w="6174"/>
        <w:gridCol w:w="851"/>
      </w:tblGrid>
      <w:tr w14:paraId="5D80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26EA05A4">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487" w:type="dxa"/>
            <w:noWrap w:val="0"/>
            <w:vAlign w:val="center"/>
          </w:tcPr>
          <w:p w14:paraId="38172438">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174" w:type="dxa"/>
            <w:noWrap w:val="0"/>
            <w:vAlign w:val="center"/>
          </w:tcPr>
          <w:p w14:paraId="3FE49FE8">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851" w:type="dxa"/>
            <w:noWrap w:val="0"/>
            <w:vAlign w:val="center"/>
          </w:tcPr>
          <w:p w14:paraId="20EF543D">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2F77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3" w:type="dxa"/>
            <w:noWrap w:val="0"/>
            <w:vAlign w:val="center"/>
          </w:tcPr>
          <w:p w14:paraId="369C8A69">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487" w:type="dxa"/>
            <w:noWrap w:val="0"/>
            <w:vAlign w:val="center"/>
          </w:tcPr>
          <w:p w14:paraId="6C86D6EE">
            <w:pPr>
              <w:keepNext w:val="0"/>
              <w:keepLines w:val="0"/>
              <w:pageBreakBefore w:val="0"/>
              <w:widowControl w:val="0"/>
              <w:kinsoku/>
              <w:wordWrap/>
              <w:overflowPunct/>
              <w:topLinePunct w:val="0"/>
              <w:autoSpaceDE/>
              <w:autoSpaceDN/>
              <w:bidi w:val="0"/>
              <w:adjustRightInd w:val="0"/>
              <w:snapToGrid/>
              <w:spacing w:line="360" w:lineRule="auto"/>
              <w:jc w:val="center"/>
              <w:textAlignment w:val="baseline"/>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lang w:val="en-US" w:eastAsia="zh-CN"/>
              </w:rPr>
              <w:t>价格分（15分）</w:t>
            </w:r>
          </w:p>
        </w:tc>
        <w:tc>
          <w:tcPr>
            <w:tcW w:w="6174" w:type="dxa"/>
            <w:noWrap w:val="0"/>
            <w:vAlign w:val="center"/>
          </w:tcPr>
          <w:p w14:paraId="4D073C66">
            <w:pPr>
              <w:pStyle w:val="88"/>
              <w:keepNext w:val="0"/>
              <w:keepLines w:val="0"/>
              <w:pageBreakBefore w:val="0"/>
              <w:widowControl w:val="0"/>
              <w:kinsoku/>
              <w:wordWrap/>
              <w:overflowPunct/>
              <w:topLinePunct w:val="0"/>
              <w:autoSpaceDE/>
              <w:autoSpaceDN/>
              <w:bidi w:val="0"/>
              <w:adjustRightInd/>
              <w:snapToGrid/>
              <w:spacing w:line="360" w:lineRule="auto"/>
              <w:ind w:left="0" w:right="0"/>
              <w:jc w:val="both"/>
              <w:textAlignment w:val="auto"/>
              <w:rPr>
                <w:color w:val="auto"/>
                <w:highlight w:val="none"/>
              </w:rPr>
            </w:pPr>
            <w:r>
              <w:rPr>
                <w:rFonts w:hint="eastAsia"/>
                <w:color w:val="auto"/>
                <w:spacing w:val="-3"/>
                <w:highlight w:val="none"/>
                <w:lang w:val="en-US" w:eastAsia="zh-CN"/>
              </w:rPr>
              <w:t>1.</w:t>
            </w:r>
            <w:r>
              <w:rPr>
                <w:color w:val="auto"/>
                <w:spacing w:val="-3"/>
                <w:highlight w:val="none"/>
              </w:rPr>
              <w:t>评审价为供应商的最后报价的价格，评审价只是作为评审</w:t>
            </w:r>
            <w:r>
              <w:rPr>
                <w:color w:val="auto"/>
                <w:spacing w:val="-4"/>
                <w:highlight w:val="none"/>
              </w:rPr>
              <w:t>时使用。最终</w:t>
            </w:r>
            <w:r>
              <w:rPr>
                <w:color w:val="auto"/>
                <w:spacing w:val="-3"/>
                <w:highlight w:val="none"/>
              </w:rPr>
              <w:t>成交供应商的成交金额等于最后报价（如有修正，以确认修正后的最后报</w:t>
            </w:r>
            <w:r>
              <w:rPr>
                <w:color w:val="auto"/>
                <w:spacing w:val="-2"/>
                <w:highlight w:val="none"/>
              </w:rPr>
              <w:t>价为准）。</w:t>
            </w:r>
          </w:p>
          <w:p w14:paraId="78E22E36">
            <w:pPr>
              <w:pStyle w:val="88"/>
              <w:keepNext w:val="0"/>
              <w:keepLines w:val="0"/>
              <w:pageBreakBefore w:val="0"/>
              <w:widowControl w:val="0"/>
              <w:kinsoku/>
              <w:wordWrap/>
              <w:overflowPunct/>
              <w:topLinePunct w:val="0"/>
              <w:autoSpaceDE/>
              <w:autoSpaceDN/>
              <w:bidi w:val="0"/>
              <w:adjustRightInd/>
              <w:snapToGrid/>
              <w:spacing w:line="360" w:lineRule="auto"/>
              <w:ind w:left="0" w:right="0"/>
              <w:textAlignment w:val="auto"/>
              <w:rPr>
                <w:color w:val="auto"/>
                <w:highlight w:val="none"/>
              </w:rPr>
            </w:pPr>
            <w:r>
              <w:rPr>
                <w:b/>
                <w:bCs/>
                <w:color w:val="auto"/>
                <w:spacing w:val="-2"/>
                <w:highlight w:val="none"/>
              </w:rPr>
              <w:t>（注：本项目专门面向中小企业采购，不执行小微企业扣除政策）</w:t>
            </w:r>
          </w:p>
          <w:p w14:paraId="287BB70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提交的相关证明材料包括但不限于以下内容：本项目费用成本分析报告【包括管理成本、人工费成本（如人员工资、奖金、福利及差旅等费用）、技术成本、税收等所有成本及利润】等。</w:t>
            </w:r>
          </w:p>
          <w:p w14:paraId="3196FBF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3</w:t>
            </w:r>
            <w:r>
              <w:rPr>
                <w:rFonts w:hint="eastAsia" w:ascii="宋体" w:hAnsi="宋体" w:eastAsia="宋体" w:cs="宋体"/>
                <w:b/>
                <w:color w:val="auto"/>
                <w:kern w:val="0"/>
                <w:sz w:val="21"/>
                <w:szCs w:val="21"/>
                <w:highlight w:val="none"/>
              </w:rPr>
              <w:t>、报价分（满分</w:t>
            </w:r>
            <w:r>
              <w:rPr>
                <w:rFonts w:hint="eastAsia" w:ascii="宋体" w:hAnsi="宋体" w:eastAsia="宋体" w:cs="宋体"/>
                <w:b/>
                <w:color w:val="auto"/>
                <w:kern w:val="0"/>
                <w:sz w:val="21"/>
                <w:szCs w:val="21"/>
                <w:highlight w:val="none"/>
                <w:lang w:val="en-US" w:eastAsia="zh-CN"/>
              </w:rPr>
              <w:t>15</w:t>
            </w:r>
            <w:r>
              <w:rPr>
                <w:rFonts w:hint="eastAsia" w:ascii="宋体" w:hAnsi="宋体" w:eastAsia="宋体" w:cs="宋体"/>
                <w:b/>
                <w:color w:val="auto"/>
                <w:kern w:val="0"/>
                <w:sz w:val="21"/>
                <w:szCs w:val="21"/>
                <w:highlight w:val="none"/>
              </w:rPr>
              <w:t>分）</w:t>
            </w:r>
          </w:p>
          <w:p w14:paraId="790BE6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某投标人价格分=（评标基准价/某投标人评标报价）×</w:t>
            </w:r>
            <w:r>
              <w:rPr>
                <w:rFonts w:hint="eastAsia" w:ascii="宋体" w:hAnsi="宋体" w:eastAsia="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分</w:t>
            </w:r>
          </w:p>
        </w:tc>
        <w:tc>
          <w:tcPr>
            <w:tcW w:w="851" w:type="dxa"/>
            <w:noWrap w:val="0"/>
            <w:vAlign w:val="center"/>
          </w:tcPr>
          <w:p w14:paraId="12D98485">
            <w:pPr>
              <w:widowControl/>
              <w:jc w:val="center"/>
              <w:rPr>
                <w:rFonts w:hint="eastAsia" w:ascii="宋体" w:hAnsi="宋体" w:eastAsia="宋体" w:cs="宋体"/>
                <w:color w:val="auto"/>
                <w:kern w:val="0"/>
                <w:sz w:val="21"/>
                <w:szCs w:val="21"/>
                <w:highlight w:val="none"/>
              </w:rPr>
            </w:pP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分</w:t>
            </w:r>
          </w:p>
        </w:tc>
      </w:tr>
      <w:tr w14:paraId="5E64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61F9781">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w:t>
            </w:r>
          </w:p>
        </w:tc>
        <w:tc>
          <w:tcPr>
            <w:tcW w:w="7661" w:type="dxa"/>
            <w:gridSpan w:val="2"/>
            <w:noWrap w:val="0"/>
            <w:vAlign w:val="center"/>
          </w:tcPr>
          <w:p w14:paraId="13E58603">
            <w:pPr>
              <w:keepNext w:val="0"/>
              <w:keepLines w:val="0"/>
              <w:pageBreakBefore w:val="0"/>
              <w:widowControl/>
              <w:kinsoku/>
              <w:wordWrap/>
              <w:overflowPunct/>
              <w:topLinePunct w:val="0"/>
              <w:autoSpaceDE/>
              <w:autoSpaceDN/>
              <w:bidi w:val="0"/>
              <w:adjustRightInd/>
              <w:spacing w:line="440" w:lineRule="exact"/>
              <w:ind w:right="0" w:rightChars="0" w:firstLine="422" w:firstLineChars="20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技术分</w:t>
            </w:r>
          </w:p>
        </w:tc>
        <w:tc>
          <w:tcPr>
            <w:tcW w:w="851" w:type="dxa"/>
            <w:noWrap w:val="0"/>
            <w:vAlign w:val="top"/>
          </w:tcPr>
          <w:p w14:paraId="60BD04BD">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70</w:t>
            </w:r>
            <w:r>
              <w:rPr>
                <w:rFonts w:hint="eastAsia" w:ascii="宋体" w:hAnsi="宋体" w:eastAsia="宋体" w:cs="宋体"/>
                <w:b/>
                <w:color w:val="auto"/>
                <w:kern w:val="0"/>
                <w:sz w:val="21"/>
                <w:szCs w:val="21"/>
                <w:highlight w:val="none"/>
              </w:rPr>
              <w:t>分</w:t>
            </w:r>
          </w:p>
        </w:tc>
      </w:tr>
      <w:tr w14:paraId="1671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93" w:type="dxa"/>
            <w:noWrap w:val="0"/>
            <w:vAlign w:val="center"/>
          </w:tcPr>
          <w:p w14:paraId="0BF284F0">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2.1</w:t>
            </w:r>
          </w:p>
        </w:tc>
        <w:tc>
          <w:tcPr>
            <w:tcW w:w="1487" w:type="dxa"/>
            <w:noWrap w:val="0"/>
            <w:vAlign w:val="center"/>
          </w:tcPr>
          <w:p w14:paraId="5E3F1451">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Cs/>
                <w:color w:val="auto"/>
                <w:kern w:val="0"/>
                <w:sz w:val="21"/>
                <w:szCs w:val="21"/>
                <w:highlight w:val="none"/>
              </w:rPr>
            </w:pPr>
            <w:r>
              <w:rPr>
                <w:rFonts w:hint="eastAsia" w:ascii="宋体" w:hAnsi="宋体"/>
                <w:b/>
                <w:color w:val="auto"/>
                <w:kern w:val="0"/>
                <w:szCs w:val="20"/>
                <w:highlight w:val="none"/>
              </w:rPr>
              <w:t>总体概述（施工程序总体设想）</w:t>
            </w:r>
          </w:p>
        </w:tc>
        <w:tc>
          <w:tcPr>
            <w:tcW w:w="6174" w:type="dxa"/>
            <w:noWrap w:val="0"/>
            <w:vAlign w:val="center"/>
          </w:tcPr>
          <w:p w14:paraId="16CD6379">
            <w:pPr>
              <w:keepNext w:val="0"/>
              <w:keepLines w:val="0"/>
              <w:pageBreakBefore w:val="0"/>
              <w:kinsoku/>
              <w:wordWrap/>
              <w:overflowPunct/>
              <w:topLinePunct w:val="0"/>
              <w:autoSpaceDE/>
              <w:autoSpaceDN/>
              <w:bidi w:val="0"/>
              <w:adjustRightInd/>
              <w:spacing w:line="440" w:lineRule="exact"/>
              <w:jc w:val="left"/>
              <w:textAlignment w:val="auto"/>
              <w:rPr>
                <w:rFonts w:ascii="宋体" w:hAnsi="宋体"/>
                <w:color w:val="auto"/>
                <w:kern w:val="0"/>
                <w:szCs w:val="20"/>
                <w:highlight w:val="none"/>
              </w:rPr>
            </w:pPr>
            <w:r>
              <w:rPr>
                <w:rFonts w:hint="eastAsia" w:ascii="宋体" w:hAnsi="宋体"/>
                <w:b/>
                <w:bCs/>
                <w:color w:val="auto"/>
                <w:kern w:val="0"/>
                <w:szCs w:val="20"/>
                <w:highlight w:val="none"/>
              </w:rPr>
              <w:t>一档（</w:t>
            </w:r>
            <w:r>
              <w:rPr>
                <w:rFonts w:hint="eastAsia" w:ascii="宋体" w:hAnsi="宋体"/>
                <w:b/>
                <w:bCs/>
                <w:color w:val="auto"/>
                <w:kern w:val="0"/>
                <w:szCs w:val="20"/>
                <w:highlight w:val="none"/>
                <w:lang w:val="en-US" w:eastAsia="zh-CN"/>
              </w:rPr>
              <w:t>1</w:t>
            </w:r>
            <w:r>
              <w:rPr>
                <w:rFonts w:hint="eastAsia" w:ascii="宋体" w:hAnsi="宋体"/>
                <w:b/>
                <w:bCs/>
                <w:color w:val="auto"/>
                <w:kern w:val="0"/>
                <w:szCs w:val="20"/>
                <w:highlight w:val="none"/>
              </w:rPr>
              <w:t>分）：</w:t>
            </w:r>
            <w:r>
              <w:rPr>
                <w:rFonts w:hint="eastAsia" w:ascii="宋体" w:hAnsi="宋体" w:cs="宋体"/>
                <w:bCs/>
                <w:color w:val="auto"/>
                <w:kern w:val="0"/>
                <w:szCs w:val="21"/>
                <w:highlight w:val="none"/>
              </w:rPr>
              <w:t>对项目施工认识不足，表述不清晰，措施不具体；施工段划分不合理。</w:t>
            </w:r>
          </w:p>
          <w:p w14:paraId="6821395B">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二档（</w:t>
            </w:r>
            <w:r>
              <w:rPr>
                <w:rFonts w:hint="eastAsia" w:ascii="宋体" w:hAnsi="宋体"/>
                <w:b/>
                <w:bCs/>
                <w:color w:val="auto"/>
                <w:kern w:val="0"/>
                <w:szCs w:val="20"/>
                <w:highlight w:val="none"/>
                <w:lang w:val="en-US" w:eastAsia="zh-CN"/>
              </w:rPr>
              <w:t>3</w:t>
            </w:r>
            <w:r>
              <w:rPr>
                <w:rFonts w:hint="eastAsia" w:ascii="宋体" w:hAnsi="宋体"/>
                <w:b/>
                <w:bCs/>
                <w:color w:val="auto"/>
                <w:kern w:val="0"/>
                <w:szCs w:val="20"/>
                <w:highlight w:val="none"/>
              </w:rPr>
              <w:t>分）</w:t>
            </w:r>
            <w:r>
              <w:rPr>
                <w:rFonts w:hint="eastAsia" w:ascii="宋体" w:hAnsi="宋体"/>
                <w:color w:val="auto"/>
                <w:kern w:val="0"/>
                <w:szCs w:val="20"/>
                <w:highlight w:val="none"/>
              </w:rPr>
              <w:t>：对项目总体有认识，有一定的措施但部分不具体；施工段划分较合理，符合规范要求。</w:t>
            </w:r>
          </w:p>
          <w:p w14:paraId="7B04249A">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三档（</w:t>
            </w:r>
            <w:r>
              <w:rPr>
                <w:rFonts w:hint="eastAsia" w:ascii="宋体" w:hAnsi="宋体"/>
                <w:b/>
                <w:bCs/>
                <w:color w:val="auto"/>
                <w:kern w:val="0"/>
                <w:szCs w:val="20"/>
                <w:highlight w:val="none"/>
                <w:lang w:val="en-US" w:eastAsia="zh-CN"/>
              </w:rPr>
              <w:t>7</w:t>
            </w:r>
            <w:r>
              <w:rPr>
                <w:rFonts w:hint="eastAsia" w:ascii="宋体" w:hAnsi="宋体"/>
                <w:b/>
                <w:bCs/>
                <w:color w:val="auto"/>
                <w:kern w:val="0"/>
                <w:szCs w:val="20"/>
                <w:highlight w:val="none"/>
              </w:rPr>
              <w:t>分）：</w:t>
            </w:r>
            <w:r>
              <w:rPr>
                <w:rFonts w:hint="eastAsia" w:ascii="宋体" w:hAnsi="宋体"/>
                <w:color w:val="auto"/>
                <w:kern w:val="0"/>
                <w:szCs w:val="20"/>
                <w:highlight w:val="none"/>
              </w:rPr>
              <w:t>对项目总体有一定认识，表述清晰、完整，措施具体有效；施工段划分呼应总体表述，划分清晰，符合规范要求。</w:t>
            </w:r>
          </w:p>
          <w:p w14:paraId="3AC93620">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olor w:val="auto"/>
                <w:kern w:val="0"/>
                <w:szCs w:val="20"/>
                <w:highlight w:val="none"/>
              </w:rPr>
            </w:pPr>
            <w:r>
              <w:rPr>
                <w:rFonts w:hint="eastAsia" w:ascii="宋体" w:hAnsi="宋体"/>
                <w:b/>
                <w:bCs/>
                <w:color w:val="auto"/>
                <w:kern w:val="0"/>
                <w:szCs w:val="20"/>
                <w:highlight w:val="none"/>
              </w:rPr>
              <w:t>四档（</w:t>
            </w:r>
            <w:r>
              <w:rPr>
                <w:rFonts w:hint="eastAsia" w:ascii="宋体" w:hAnsi="宋体"/>
                <w:b/>
                <w:bCs/>
                <w:color w:val="auto"/>
                <w:kern w:val="0"/>
                <w:szCs w:val="20"/>
                <w:highlight w:val="none"/>
                <w:lang w:val="en-US" w:eastAsia="zh-CN"/>
              </w:rPr>
              <w:t>10</w:t>
            </w:r>
            <w:r>
              <w:rPr>
                <w:rFonts w:hint="eastAsia" w:ascii="宋体" w:hAnsi="宋体"/>
                <w:b/>
                <w:bCs/>
                <w:color w:val="auto"/>
                <w:kern w:val="0"/>
                <w:szCs w:val="20"/>
                <w:highlight w:val="none"/>
              </w:rPr>
              <w:t>分）：</w:t>
            </w:r>
            <w:r>
              <w:rPr>
                <w:rFonts w:hint="eastAsia" w:ascii="宋体" w:hAnsi="宋体"/>
                <w:color w:val="auto"/>
                <w:kern w:val="0"/>
                <w:szCs w:val="20"/>
                <w:highlight w:val="none"/>
              </w:rPr>
              <w:t>对项目总体有深刻认识，表述清晰、完整、严谨、合理，措施先进、具体、有效、成熟，采用了己论证的新技术、新工艺、新材料、新设备；施工段划分呼应总体表述，划分清晰、合理，符合规范要求。</w:t>
            </w:r>
          </w:p>
          <w:p w14:paraId="24284783">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Theme="minorEastAsia"/>
                <w:color w:val="auto"/>
                <w:kern w:val="0"/>
                <w:szCs w:val="20"/>
                <w:highlight w:val="none"/>
                <w:lang w:eastAsia="zh-CN"/>
              </w:rPr>
            </w:pPr>
            <w:r>
              <w:rPr>
                <w:rFonts w:hint="eastAsia" w:ascii="宋体" w:hAnsi="宋体"/>
                <w:b/>
                <w:bCs/>
                <w:color w:val="auto"/>
                <w:kern w:val="0"/>
                <w:szCs w:val="20"/>
                <w:highlight w:val="none"/>
                <w:lang w:eastAsia="zh-CN"/>
              </w:rPr>
              <w:t>注：不提供不得分。</w:t>
            </w:r>
          </w:p>
        </w:tc>
        <w:tc>
          <w:tcPr>
            <w:tcW w:w="851" w:type="dxa"/>
            <w:noWrap w:val="0"/>
            <w:vAlign w:val="center"/>
          </w:tcPr>
          <w:p w14:paraId="27E26F57">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lang w:val="en-US" w:eastAsia="zh-CN"/>
              </w:rPr>
              <w:t>10</w:t>
            </w:r>
            <w:r>
              <w:rPr>
                <w:rFonts w:hint="eastAsia" w:ascii="宋体" w:hAnsi="宋体" w:eastAsia="宋体" w:cs="宋体"/>
                <w:bCs/>
                <w:color w:val="auto"/>
                <w:kern w:val="0"/>
                <w:sz w:val="21"/>
                <w:szCs w:val="21"/>
                <w:highlight w:val="none"/>
              </w:rPr>
              <w:t>分</w:t>
            </w:r>
          </w:p>
        </w:tc>
      </w:tr>
      <w:tr w14:paraId="79E8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621EB63F">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2.2</w:t>
            </w:r>
          </w:p>
        </w:tc>
        <w:tc>
          <w:tcPr>
            <w:tcW w:w="1487" w:type="dxa"/>
            <w:noWrap w:val="0"/>
            <w:vAlign w:val="center"/>
          </w:tcPr>
          <w:p w14:paraId="05B96A16">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Cs/>
                <w:color w:val="auto"/>
                <w:kern w:val="0"/>
                <w:sz w:val="21"/>
                <w:szCs w:val="21"/>
                <w:highlight w:val="none"/>
              </w:rPr>
            </w:pPr>
            <w:r>
              <w:rPr>
                <w:rFonts w:hint="eastAsia" w:ascii="宋体" w:hAnsi="宋体"/>
                <w:b/>
                <w:bCs/>
                <w:color w:val="auto"/>
                <w:kern w:val="0"/>
                <w:szCs w:val="21"/>
                <w:highlight w:val="none"/>
              </w:rPr>
              <w:t>主要施工方法</w:t>
            </w:r>
          </w:p>
        </w:tc>
        <w:tc>
          <w:tcPr>
            <w:tcW w:w="6174" w:type="dxa"/>
            <w:noWrap w:val="0"/>
            <w:vAlign w:val="center"/>
          </w:tcPr>
          <w:p w14:paraId="283AC00D">
            <w:pPr>
              <w:pStyle w:val="88"/>
              <w:keepNext w:val="0"/>
              <w:keepLines w:val="0"/>
              <w:pageBreakBefore w:val="0"/>
              <w:kinsoku/>
              <w:wordWrap/>
              <w:overflowPunct/>
              <w:topLinePunct w:val="0"/>
              <w:autoSpaceDN/>
              <w:bidi w:val="0"/>
              <w:adjustRightInd/>
              <w:snapToGrid/>
              <w:spacing w:line="360" w:lineRule="auto"/>
              <w:ind w:left="0" w:right="0"/>
              <w:textAlignment w:val="auto"/>
              <w:rPr>
                <w:rFonts w:hint="eastAsia" w:ascii="宋体" w:hAnsi="宋体" w:eastAsia="宋体" w:cs="宋体"/>
                <w:bCs/>
                <w:color w:val="auto"/>
                <w:kern w:val="0"/>
                <w:sz w:val="21"/>
                <w:szCs w:val="21"/>
                <w:highlight w:val="none"/>
                <w:lang w:val="en-US" w:eastAsia="zh-CN" w:bidi="ar-SA"/>
              </w:rPr>
            </w:pPr>
            <w:r>
              <w:rPr>
                <w:rFonts w:hint="eastAsia" w:cs="宋体"/>
                <w:b/>
                <w:bCs w:val="0"/>
                <w:color w:val="auto"/>
                <w:kern w:val="0"/>
                <w:sz w:val="21"/>
                <w:szCs w:val="21"/>
                <w:highlight w:val="none"/>
                <w:lang w:val="en-US" w:eastAsia="zh-CN" w:bidi="ar-SA"/>
              </w:rPr>
              <w:t>一档（</w:t>
            </w:r>
            <w:r>
              <w:rPr>
                <w:rFonts w:hint="eastAsia" w:ascii="宋体" w:hAnsi="宋体" w:eastAsia="宋体" w:cs="宋体"/>
                <w:b/>
                <w:bCs w:val="0"/>
                <w:color w:val="auto"/>
                <w:kern w:val="0"/>
                <w:sz w:val="21"/>
                <w:szCs w:val="21"/>
                <w:highlight w:val="none"/>
                <w:lang w:val="en-US" w:eastAsia="zh-CN" w:bidi="ar-SA"/>
              </w:rPr>
              <w:t>1 分）</w:t>
            </w:r>
            <w:r>
              <w:rPr>
                <w:rFonts w:hint="eastAsia" w:ascii="宋体" w:hAnsi="宋体" w:eastAsia="宋体" w:cs="宋体"/>
                <w:bCs/>
                <w:color w:val="auto"/>
                <w:kern w:val="0"/>
                <w:sz w:val="21"/>
                <w:szCs w:val="21"/>
                <w:highlight w:val="none"/>
                <w:lang w:val="en-US" w:eastAsia="zh-CN" w:bidi="ar-SA"/>
              </w:rPr>
              <w:t>：各主要分部施工方法不符合项目实际，无详尽的施工技术方案，不能指导具体施工并确保安全。</w:t>
            </w:r>
          </w:p>
          <w:p w14:paraId="38D20D33">
            <w:pPr>
              <w:pStyle w:val="88"/>
              <w:keepNext w:val="0"/>
              <w:keepLines w:val="0"/>
              <w:pageBreakBefore w:val="0"/>
              <w:kinsoku/>
              <w:wordWrap/>
              <w:overflowPunct/>
              <w:topLinePunct w:val="0"/>
              <w:autoSpaceDN/>
              <w:bidi w:val="0"/>
              <w:adjustRightInd/>
              <w:snapToGrid/>
              <w:spacing w:line="360" w:lineRule="auto"/>
              <w:ind w:left="0" w:right="0"/>
              <w:textAlignment w:val="auto"/>
              <w:rPr>
                <w:rFonts w:hint="eastAsia" w:ascii="宋体" w:hAnsi="宋体" w:eastAsia="宋体" w:cs="宋体"/>
                <w:bCs/>
                <w:color w:val="auto"/>
                <w:kern w:val="0"/>
                <w:sz w:val="21"/>
                <w:szCs w:val="21"/>
                <w:highlight w:val="none"/>
                <w:lang w:val="en-US" w:eastAsia="zh-CN" w:bidi="ar-SA"/>
              </w:rPr>
            </w:pPr>
            <w:r>
              <w:rPr>
                <w:rFonts w:hint="eastAsia" w:cs="宋体"/>
                <w:b/>
                <w:bCs w:val="0"/>
                <w:color w:val="auto"/>
                <w:kern w:val="0"/>
                <w:sz w:val="21"/>
                <w:szCs w:val="21"/>
                <w:highlight w:val="none"/>
                <w:lang w:val="en-US" w:eastAsia="zh-CN" w:bidi="ar-SA"/>
              </w:rPr>
              <w:t>二档</w:t>
            </w:r>
            <w:r>
              <w:rPr>
                <w:rFonts w:hint="eastAsia" w:ascii="宋体" w:hAnsi="宋体" w:eastAsia="宋体" w:cs="宋体"/>
                <w:b/>
                <w:bCs w:val="0"/>
                <w:color w:val="auto"/>
                <w:kern w:val="0"/>
                <w:sz w:val="21"/>
                <w:szCs w:val="21"/>
                <w:highlight w:val="none"/>
                <w:lang w:val="en-US" w:eastAsia="zh-CN" w:bidi="ar-SA"/>
              </w:rPr>
              <w:t>（</w:t>
            </w:r>
            <w:r>
              <w:rPr>
                <w:rFonts w:hint="eastAsia" w:cs="宋体"/>
                <w:b/>
                <w:bCs w:val="0"/>
                <w:color w:val="auto"/>
                <w:kern w:val="0"/>
                <w:sz w:val="21"/>
                <w:szCs w:val="21"/>
                <w:highlight w:val="none"/>
                <w:lang w:val="en-US" w:eastAsia="zh-CN" w:bidi="ar-SA"/>
              </w:rPr>
              <w:t>4</w:t>
            </w:r>
            <w:r>
              <w:rPr>
                <w:rFonts w:hint="eastAsia" w:ascii="宋体" w:hAnsi="宋体" w:eastAsia="宋体" w:cs="宋体"/>
                <w:b/>
                <w:bCs w:val="0"/>
                <w:color w:val="auto"/>
                <w:kern w:val="0"/>
                <w:sz w:val="21"/>
                <w:szCs w:val="21"/>
                <w:highlight w:val="none"/>
                <w:lang w:val="en-US" w:eastAsia="zh-CN" w:bidi="ar-SA"/>
              </w:rPr>
              <w:t xml:space="preserve"> 分）：</w:t>
            </w:r>
            <w:r>
              <w:rPr>
                <w:rFonts w:hint="eastAsia" w:ascii="宋体" w:hAnsi="宋体" w:eastAsia="宋体" w:cs="宋体"/>
                <w:bCs/>
                <w:color w:val="auto"/>
                <w:kern w:val="0"/>
                <w:sz w:val="21"/>
                <w:szCs w:val="21"/>
                <w:highlight w:val="none"/>
                <w:lang w:val="en-US" w:eastAsia="zh-CN" w:bidi="ar-SA"/>
              </w:rPr>
              <w:t>各主要分部施工方法符合项目基本实际，须有详尽的施工技术方案，工艺一般、方法基本可行，能指导具体施工并确保安全。</w:t>
            </w:r>
          </w:p>
          <w:p w14:paraId="5C977DB3">
            <w:pPr>
              <w:pStyle w:val="88"/>
              <w:keepNext w:val="0"/>
              <w:keepLines w:val="0"/>
              <w:pageBreakBefore w:val="0"/>
              <w:kinsoku/>
              <w:wordWrap/>
              <w:overflowPunct/>
              <w:topLinePunct w:val="0"/>
              <w:autoSpaceDN/>
              <w:bidi w:val="0"/>
              <w:adjustRightInd/>
              <w:snapToGrid/>
              <w:spacing w:line="360" w:lineRule="auto"/>
              <w:ind w:left="0" w:right="0"/>
              <w:textAlignment w:val="auto"/>
              <w:rPr>
                <w:rFonts w:hint="eastAsia" w:ascii="宋体" w:hAnsi="宋体" w:eastAsia="宋体" w:cs="宋体"/>
                <w:bCs/>
                <w:color w:val="auto"/>
                <w:kern w:val="0"/>
                <w:sz w:val="21"/>
                <w:szCs w:val="21"/>
                <w:highlight w:val="none"/>
                <w:lang w:val="en-US" w:eastAsia="zh-CN" w:bidi="ar-SA"/>
              </w:rPr>
            </w:pPr>
            <w:r>
              <w:rPr>
                <w:rFonts w:hint="eastAsia" w:cs="宋体"/>
                <w:b/>
                <w:bCs w:val="0"/>
                <w:color w:val="auto"/>
                <w:kern w:val="0"/>
                <w:sz w:val="21"/>
                <w:szCs w:val="21"/>
                <w:highlight w:val="none"/>
                <w:lang w:val="en-US" w:eastAsia="zh-CN" w:bidi="ar-SA"/>
              </w:rPr>
              <w:t>三档</w:t>
            </w:r>
            <w:r>
              <w:rPr>
                <w:rFonts w:hint="eastAsia" w:ascii="宋体" w:hAnsi="宋体" w:eastAsia="宋体" w:cs="宋体"/>
                <w:b/>
                <w:bCs w:val="0"/>
                <w:color w:val="auto"/>
                <w:kern w:val="0"/>
                <w:sz w:val="21"/>
                <w:szCs w:val="21"/>
                <w:highlight w:val="none"/>
                <w:lang w:val="en-US" w:eastAsia="zh-CN" w:bidi="ar-SA"/>
              </w:rPr>
              <w:t>（</w:t>
            </w:r>
            <w:r>
              <w:rPr>
                <w:rFonts w:hint="eastAsia" w:cs="宋体"/>
                <w:b/>
                <w:bCs w:val="0"/>
                <w:color w:val="auto"/>
                <w:kern w:val="0"/>
                <w:sz w:val="21"/>
                <w:szCs w:val="21"/>
                <w:highlight w:val="none"/>
                <w:lang w:val="en-US" w:eastAsia="zh-CN" w:bidi="ar-SA"/>
              </w:rPr>
              <w:t>8</w:t>
            </w:r>
            <w:r>
              <w:rPr>
                <w:rFonts w:hint="eastAsia" w:ascii="宋体" w:hAnsi="宋体" w:eastAsia="宋体" w:cs="宋体"/>
                <w:b/>
                <w:bCs w:val="0"/>
                <w:color w:val="auto"/>
                <w:kern w:val="0"/>
                <w:sz w:val="21"/>
                <w:szCs w:val="21"/>
                <w:highlight w:val="none"/>
                <w:lang w:val="en-US" w:eastAsia="zh-CN" w:bidi="ar-SA"/>
              </w:rPr>
              <w:t xml:space="preserve"> 分）：</w:t>
            </w:r>
            <w:r>
              <w:rPr>
                <w:rFonts w:hint="eastAsia" w:ascii="宋体" w:hAnsi="宋体" w:eastAsia="宋体" w:cs="宋体"/>
                <w:bCs/>
                <w:color w:val="auto"/>
                <w:kern w:val="0"/>
                <w:sz w:val="21"/>
                <w:szCs w:val="21"/>
                <w:highlight w:val="none"/>
                <w:lang w:val="en-US" w:eastAsia="zh-CN" w:bidi="ar-SA"/>
              </w:rPr>
              <w:t>各主要分部施工方法符合项目实际，须有详尽的施工技术方案，工艺一般、方法可行，能指导具体施工并确保安全。</w:t>
            </w:r>
          </w:p>
          <w:p w14:paraId="12515BE2">
            <w:pPr>
              <w:keepNext w:val="0"/>
              <w:keepLines w:val="0"/>
              <w:pageBreakBefore w:val="0"/>
              <w:widowControl/>
              <w:kinsoku/>
              <w:wordWrap/>
              <w:overflowPunct/>
              <w:topLinePunct w:val="0"/>
              <w:autoSpaceDE/>
              <w:autoSpaceDN/>
              <w:bidi w:val="0"/>
              <w:adjustRightInd/>
              <w:snapToGrid/>
              <w:spacing w:line="440" w:lineRule="exact"/>
              <w:ind w:right="0" w:rightChars="0"/>
              <w:jc w:val="both"/>
              <w:textAlignment w:val="auto"/>
              <w:rPr>
                <w:rFonts w:hint="eastAsia" w:ascii="宋体" w:hAnsi="宋体" w:eastAsia="宋体" w:cs="宋体"/>
                <w:bCs/>
                <w:color w:val="auto"/>
                <w:kern w:val="0"/>
                <w:sz w:val="21"/>
                <w:szCs w:val="21"/>
                <w:highlight w:val="none"/>
                <w:lang w:val="en-US" w:eastAsia="zh-CN" w:bidi="ar-SA"/>
              </w:rPr>
            </w:pPr>
            <w:r>
              <w:rPr>
                <w:rFonts w:hint="eastAsia" w:cs="宋体"/>
                <w:b/>
                <w:bCs w:val="0"/>
                <w:color w:val="auto"/>
                <w:kern w:val="0"/>
                <w:sz w:val="21"/>
                <w:szCs w:val="21"/>
                <w:highlight w:val="none"/>
                <w:lang w:val="en-US" w:eastAsia="zh-CN" w:bidi="ar-SA"/>
              </w:rPr>
              <w:t>四档</w:t>
            </w:r>
            <w:r>
              <w:rPr>
                <w:rFonts w:hint="eastAsia" w:ascii="宋体" w:hAnsi="宋体" w:eastAsia="宋体" w:cs="宋体"/>
                <w:b/>
                <w:bCs w:val="0"/>
                <w:color w:val="auto"/>
                <w:kern w:val="0"/>
                <w:sz w:val="21"/>
                <w:szCs w:val="21"/>
                <w:highlight w:val="none"/>
                <w:lang w:val="en-US" w:eastAsia="zh-CN" w:bidi="ar-SA"/>
              </w:rPr>
              <w:t>（12分）：</w:t>
            </w:r>
            <w:r>
              <w:rPr>
                <w:rFonts w:hint="eastAsia" w:ascii="宋体" w:hAnsi="宋体" w:eastAsia="宋体" w:cs="宋体"/>
                <w:bCs/>
                <w:color w:val="auto"/>
                <w:kern w:val="0"/>
                <w:sz w:val="21"/>
                <w:szCs w:val="21"/>
                <w:highlight w:val="none"/>
                <w:lang w:val="en-US" w:eastAsia="zh-CN" w:bidi="ar-SA"/>
              </w:rPr>
              <w:t>各主要分部施工方法符合项目实际，须有详尽的施工技术方案，工艺先进、方法科学合理、可行，能指导具体施工并确保安全。</w:t>
            </w:r>
          </w:p>
          <w:p w14:paraId="29A30EFA">
            <w:pPr>
              <w:keepNext w:val="0"/>
              <w:keepLines w:val="0"/>
              <w:pageBreakBefore w:val="0"/>
              <w:widowControl/>
              <w:kinsoku/>
              <w:wordWrap/>
              <w:overflowPunct/>
              <w:topLinePunct w:val="0"/>
              <w:autoSpaceDE/>
              <w:autoSpaceDN/>
              <w:bidi w:val="0"/>
              <w:adjustRightInd/>
              <w:snapToGrid/>
              <w:spacing w:line="440" w:lineRule="exact"/>
              <w:ind w:right="0" w:rightChars="0"/>
              <w:jc w:val="both"/>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b/>
                <w:bCs/>
                <w:color w:val="auto"/>
                <w:kern w:val="0"/>
                <w:szCs w:val="20"/>
                <w:highlight w:val="none"/>
                <w:lang w:eastAsia="zh-CN"/>
              </w:rPr>
              <w:t>注：不提供不得分。</w:t>
            </w:r>
          </w:p>
        </w:tc>
        <w:tc>
          <w:tcPr>
            <w:tcW w:w="851" w:type="dxa"/>
            <w:noWrap w:val="0"/>
            <w:vAlign w:val="center"/>
          </w:tcPr>
          <w:p w14:paraId="106E4CBC">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12分</w:t>
            </w:r>
          </w:p>
        </w:tc>
      </w:tr>
      <w:tr w14:paraId="6829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6A9D54C8">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2.3</w:t>
            </w:r>
          </w:p>
        </w:tc>
        <w:tc>
          <w:tcPr>
            <w:tcW w:w="1487" w:type="dxa"/>
            <w:noWrap w:val="0"/>
            <w:vAlign w:val="center"/>
          </w:tcPr>
          <w:p w14:paraId="28232DFD">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cs="宋体"/>
                <w:bCs/>
                <w:color w:val="auto"/>
                <w:kern w:val="0"/>
                <w:szCs w:val="21"/>
                <w:highlight w:val="none"/>
              </w:rPr>
            </w:pPr>
            <w:r>
              <w:rPr>
                <w:rFonts w:hint="eastAsia" w:ascii="宋体" w:hAnsi="宋体"/>
                <w:b/>
                <w:color w:val="auto"/>
                <w:kern w:val="0"/>
                <w:szCs w:val="20"/>
                <w:highlight w:val="none"/>
              </w:rPr>
              <w:t>施工进度计划和各阶段进度的保证措施</w:t>
            </w:r>
          </w:p>
        </w:tc>
        <w:tc>
          <w:tcPr>
            <w:tcW w:w="6174" w:type="dxa"/>
            <w:noWrap w:val="0"/>
            <w:vAlign w:val="center"/>
          </w:tcPr>
          <w:p w14:paraId="65219D9E">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一档（</w:t>
            </w:r>
            <w:r>
              <w:rPr>
                <w:rFonts w:hint="eastAsia" w:ascii="宋体" w:hAnsi="宋体"/>
                <w:b/>
                <w:bCs/>
                <w:color w:val="auto"/>
                <w:kern w:val="0"/>
                <w:szCs w:val="20"/>
                <w:highlight w:val="none"/>
                <w:lang w:val="en-US" w:eastAsia="zh-CN"/>
              </w:rPr>
              <w:t>1</w:t>
            </w:r>
            <w:r>
              <w:rPr>
                <w:rFonts w:hint="eastAsia" w:ascii="宋体" w:hAnsi="宋体"/>
                <w:b/>
                <w:bCs/>
                <w:color w:val="auto"/>
                <w:kern w:val="0"/>
                <w:szCs w:val="20"/>
                <w:highlight w:val="none"/>
              </w:rPr>
              <w:t>分）：</w:t>
            </w:r>
            <w:r>
              <w:rPr>
                <w:rFonts w:hint="eastAsia" w:ascii="宋体" w:hAnsi="宋体"/>
                <w:color w:val="auto"/>
                <w:kern w:val="0"/>
                <w:szCs w:val="20"/>
                <w:highlight w:val="none"/>
              </w:rPr>
              <w:t>施工进度计划和各阶段进度</w:t>
            </w:r>
            <w:r>
              <w:rPr>
                <w:rFonts w:hint="eastAsia" w:ascii="宋体" w:hAnsi="宋体"/>
                <w:color w:val="auto"/>
                <w:kern w:val="0"/>
                <w:szCs w:val="20"/>
                <w:highlight w:val="none"/>
                <w:lang w:eastAsia="zh-CN"/>
              </w:rPr>
              <w:t>不</w:t>
            </w:r>
            <w:r>
              <w:rPr>
                <w:rFonts w:hint="eastAsia" w:ascii="宋体" w:hAnsi="宋体"/>
                <w:color w:val="auto"/>
                <w:kern w:val="0"/>
                <w:szCs w:val="20"/>
                <w:highlight w:val="none"/>
              </w:rPr>
              <w:t>准确，计划编制</w:t>
            </w:r>
            <w:r>
              <w:rPr>
                <w:rFonts w:hint="eastAsia" w:ascii="宋体" w:hAnsi="宋体"/>
                <w:color w:val="auto"/>
                <w:kern w:val="0"/>
                <w:szCs w:val="20"/>
                <w:highlight w:val="none"/>
                <w:lang w:eastAsia="zh-CN"/>
              </w:rPr>
              <w:t>不</w:t>
            </w:r>
            <w:r>
              <w:rPr>
                <w:rFonts w:hint="eastAsia" w:ascii="宋体" w:hAnsi="宋体"/>
                <w:color w:val="auto"/>
                <w:kern w:val="0"/>
                <w:szCs w:val="20"/>
                <w:highlight w:val="none"/>
              </w:rPr>
              <w:t>合理，关键节点的控制措施基本</w:t>
            </w:r>
            <w:r>
              <w:rPr>
                <w:rFonts w:hint="eastAsia" w:ascii="宋体" w:hAnsi="宋体"/>
                <w:color w:val="auto"/>
                <w:kern w:val="0"/>
                <w:szCs w:val="20"/>
                <w:highlight w:val="none"/>
                <w:lang w:eastAsia="zh-CN"/>
              </w:rPr>
              <w:t>不</w:t>
            </w:r>
            <w:r>
              <w:rPr>
                <w:rFonts w:hint="eastAsia" w:ascii="宋体" w:hAnsi="宋体"/>
                <w:color w:val="auto"/>
                <w:kern w:val="0"/>
                <w:szCs w:val="20"/>
                <w:highlight w:val="none"/>
              </w:rPr>
              <w:t>可行。</w:t>
            </w:r>
          </w:p>
          <w:p w14:paraId="5F9FF40A">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二档（4分）：</w:t>
            </w:r>
            <w:r>
              <w:rPr>
                <w:rFonts w:hint="eastAsia" w:ascii="宋体" w:hAnsi="宋体"/>
                <w:color w:val="auto"/>
                <w:kern w:val="0"/>
                <w:szCs w:val="20"/>
                <w:highlight w:val="none"/>
              </w:rPr>
              <w:t>施工进度计划和各阶段进度基本准确，计划编制基本合理，关键节点的控制措施基本可行。</w:t>
            </w:r>
          </w:p>
          <w:p w14:paraId="4E9F9F91">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三档（8分）：</w:t>
            </w:r>
            <w:r>
              <w:rPr>
                <w:rFonts w:hint="eastAsia" w:ascii="宋体" w:hAnsi="宋体"/>
                <w:color w:val="auto"/>
                <w:kern w:val="0"/>
                <w:szCs w:val="20"/>
                <w:highlight w:val="none"/>
              </w:rPr>
              <w:t>施工进度计划和各阶段进度清晰、准确、完整，计划编制可行，关键节点的控制措施合理、可行。</w:t>
            </w:r>
          </w:p>
          <w:p w14:paraId="331C4259">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olor w:val="auto"/>
                <w:kern w:val="0"/>
                <w:szCs w:val="20"/>
                <w:highlight w:val="none"/>
              </w:rPr>
            </w:pPr>
            <w:r>
              <w:rPr>
                <w:rFonts w:hint="eastAsia" w:ascii="宋体" w:hAnsi="宋体"/>
                <w:b/>
                <w:bCs/>
                <w:color w:val="auto"/>
                <w:kern w:val="0"/>
                <w:szCs w:val="20"/>
                <w:highlight w:val="none"/>
              </w:rPr>
              <w:t>四档（12分）：</w:t>
            </w:r>
            <w:r>
              <w:rPr>
                <w:rFonts w:hint="eastAsia" w:ascii="宋体" w:hAnsi="宋体"/>
                <w:color w:val="auto"/>
                <w:kern w:val="0"/>
                <w:szCs w:val="20"/>
                <w:highlight w:val="none"/>
              </w:rPr>
              <w:t>施工进度计划和各阶段进度清晰、准确、完整，计划编制合理、可行，关键节点的控制措施有力、合理、可行。</w:t>
            </w:r>
          </w:p>
          <w:p w14:paraId="6C488C5D">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olor w:val="auto"/>
                <w:kern w:val="0"/>
                <w:szCs w:val="20"/>
                <w:highlight w:val="none"/>
                <w:lang w:eastAsia="zh-CN"/>
              </w:rPr>
            </w:pPr>
            <w:r>
              <w:rPr>
                <w:rFonts w:hint="eastAsia" w:ascii="宋体" w:hAnsi="宋体"/>
                <w:b/>
                <w:bCs/>
                <w:color w:val="auto"/>
                <w:kern w:val="0"/>
                <w:szCs w:val="20"/>
                <w:highlight w:val="none"/>
                <w:lang w:eastAsia="zh-CN"/>
              </w:rPr>
              <w:t>注：不提供不得分。</w:t>
            </w:r>
          </w:p>
        </w:tc>
        <w:tc>
          <w:tcPr>
            <w:tcW w:w="851" w:type="dxa"/>
            <w:noWrap w:val="0"/>
            <w:vAlign w:val="center"/>
          </w:tcPr>
          <w:p w14:paraId="2F272609">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12分</w:t>
            </w:r>
          </w:p>
        </w:tc>
      </w:tr>
      <w:tr w14:paraId="14F6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60F8EBD4">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2.4</w:t>
            </w:r>
          </w:p>
        </w:tc>
        <w:tc>
          <w:tcPr>
            <w:tcW w:w="1487" w:type="dxa"/>
            <w:noWrap w:val="0"/>
            <w:vAlign w:val="center"/>
          </w:tcPr>
          <w:p w14:paraId="1F59D2A9">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cs="宋体"/>
                <w:bCs/>
                <w:color w:val="auto"/>
                <w:kern w:val="0"/>
                <w:szCs w:val="21"/>
                <w:highlight w:val="none"/>
              </w:rPr>
            </w:pPr>
            <w:r>
              <w:rPr>
                <w:rFonts w:hint="eastAsia" w:ascii="宋体" w:hAnsi="宋体"/>
                <w:b/>
                <w:color w:val="auto"/>
                <w:kern w:val="0"/>
                <w:szCs w:val="20"/>
                <w:highlight w:val="none"/>
              </w:rPr>
              <w:t>拟投入的劳动力、材料、施工机械、设备计划及其安全保证措施</w:t>
            </w:r>
          </w:p>
        </w:tc>
        <w:tc>
          <w:tcPr>
            <w:tcW w:w="6174" w:type="dxa"/>
            <w:noWrap w:val="0"/>
            <w:vAlign w:val="center"/>
          </w:tcPr>
          <w:p w14:paraId="38F93C84">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一档（</w:t>
            </w:r>
            <w:r>
              <w:rPr>
                <w:rFonts w:hint="eastAsia" w:ascii="宋体" w:hAnsi="宋体"/>
                <w:b/>
                <w:bCs/>
                <w:color w:val="auto"/>
                <w:kern w:val="0"/>
                <w:szCs w:val="20"/>
                <w:highlight w:val="none"/>
                <w:lang w:val="en-US" w:eastAsia="zh-CN"/>
              </w:rPr>
              <w:t>1</w:t>
            </w:r>
            <w:r>
              <w:rPr>
                <w:rFonts w:hint="eastAsia" w:ascii="宋体" w:hAnsi="宋体"/>
                <w:b/>
                <w:bCs/>
                <w:color w:val="auto"/>
                <w:kern w:val="0"/>
                <w:szCs w:val="20"/>
                <w:highlight w:val="none"/>
              </w:rPr>
              <w:t>分）：</w:t>
            </w:r>
            <w:r>
              <w:rPr>
                <w:rFonts w:hint="eastAsia" w:ascii="宋体" w:hAnsi="宋体"/>
                <w:color w:val="auto"/>
                <w:kern w:val="0"/>
                <w:szCs w:val="20"/>
                <w:highlight w:val="none"/>
              </w:rPr>
              <w:t>投入计划与进度计划</w:t>
            </w:r>
            <w:r>
              <w:rPr>
                <w:rFonts w:hint="eastAsia" w:ascii="宋体" w:hAnsi="宋体"/>
                <w:color w:val="auto"/>
                <w:kern w:val="0"/>
                <w:szCs w:val="20"/>
                <w:highlight w:val="none"/>
                <w:lang w:eastAsia="zh-CN"/>
              </w:rPr>
              <w:t>不</w:t>
            </w:r>
            <w:r>
              <w:rPr>
                <w:rFonts w:hint="eastAsia" w:ascii="宋体" w:hAnsi="宋体"/>
                <w:color w:val="auto"/>
                <w:kern w:val="0"/>
                <w:szCs w:val="20"/>
                <w:highlight w:val="none"/>
              </w:rPr>
              <w:t>呼应，调配投入计划基本合理；保证措施</w:t>
            </w:r>
            <w:r>
              <w:rPr>
                <w:rFonts w:hint="eastAsia" w:ascii="宋体" w:hAnsi="宋体"/>
                <w:color w:val="auto"/>
                <w:kern w:val="0"/>
                <w:szCs w:val="20"/>
                <w:highlight w:val="none"/>
                <w:lang w:eastAsia="zh-CN"/>
              </w:rPr>
              <w:t>不</w:t>
            </w:r>
            <w:r>
              <w:rPr>
                <w:rFonts w:hint="eastAsia" w:ascii="宋体" w:hAnsi="宋体"/>
                <w:color w:val="auto"/>
                <w:kern w:val="0"/>
                <w:szCs w:val="20"/>
                <w:highlight w:val="none"/>
              </w:rPr>
              <w:t>清晰。</w:t>
            </w:r>
          </w:p>
          <w:p w14:paraId="2B4E4208">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二档（</w:t>
            </w:r>
            <w:r>
              <w:rPr>
                <w:rFonts w:hint="eastAsia" w:ascii="宋体" w:hAnsi="宋体"/>
                <w:b/>
                <w:bCs/>
                <w:color w:val="auto"/>
                <w:kern w:val="0"/>
                <w:szCs w:val="20"/>
                <w:highlight w:val="none"/>
                <w:lang w:val="en-US" w:eastAsia="zh-CN"/>
              </w:rPr>
              <w:t>4</w:t>
            </w:r>
            <w:r>
              <w:rPr>
                <w:rFonts w:hint="eastAsia" w:ascii="宋体" w:hAnsi="宋体"/>
                <w:b/>
                <w:bCs/>
                <w:color w:val="auto"/>
                <w:kern w:val="0"/>
                <w:szCs w:val="20"/>
                <w:highlight w:val="none"/>
              </w:rPr>
              <w:t>分）：</w:t>
            </w:r>
            <w:r>
              <w:rPr>
                <w:rFonts w:hint="eastAsia" w:ascii="宋体" w:hAnsi="宋体"/>
                <w:color w:val="auto"/>
                <w:kern w:val="0"/>
                <w:szCs w:val="20"/>
                <w:highlight w:val="none"/>
              </w:rPr>
              <w:t>投入计划与进度计划呼应，基本满足施工需要，调配投入计划基本合理；保证措施部分清晰。</w:t>
            </w:r>
          </w:p>
          <w:p w14:paraId="03EA023B">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kern w:val="0"/>
                <w:szCs w:val="20"/>
                <w:highlight w:val="none"/>
              </w:rPr>
              <w:t>三档（</w:t>
            </w:r>
            <w:r>
              <w:rPr>
                <w:rFonts w:hint="eastAsia" w:ascii="宋体" w:hAnsi="宋体"/>
                <w:b/>
                <w:bCs/>
                <w:color w:val="auto"/>
                <w:kern w:val="0"/>
                <w:szCs w:val="20"/>
                <w:highlight w:val="none"/>
                <w:lang w:val="en-US" w:eastAsia="zh-CN"/>
              </w:rPr>
              <w:t>8</w:t>
            </w:r>
            <w:r>
              <w:rPr>
                <w:rFonts w:hint="eastAsia" w:ascii="宋体" w:hAnsi="宋体"/>
                <w:b/>
                <w:bCs/>
                <w:color w:val="auto"/>
                <w:kern w:val="0"/>
                <w:szCs w:val="20"/>
                <w:highlight w:val="none"/>
              </w:rPr>
              <w:t>分）：</w:t>
            </w:r>
            <w:r>
              <w:rPr>
                <w:rFonts w:hint="eastAsia" w:ascii="宋体" w:hAnsi="宋体"/>
                <w:color w:val="auto"/>
                <w:kern w:val="0"/>
                <w:szCs w:val="20"/>
                <w:highlight w:val="none"/>
              </w:rPr>
              <w:t>投入计划与进度计划呼应，满足施工需要，调配投入计划基本合理</w:t>
            </w:r>
            <w:r>
              <w:rPr>
                <w:rFonts w:hint="eastAsia" w:ascii="宋体" w:hAnsi="宋体"/>
                <w:color w:val="auto"/>
                <w:kern w:val="0"/>
                <w:szCs w:val="20"/>
                <w:highlight w:val="none"/>
                <w:lang w:eastAsia="zh-CN"/>
              </w:rPr>
              <w:t>，</w:t>
            </w:r>
            <w:r>
              <w:rPr>
                <w:rFonts w:hint="eastAsia" w:ascii="宋体" w:hAnsi="宋体"/>
                <w:color w:val="auto"/>
                <w:kern w:val="0"/>
                <w:szCs w:val="20"/>
                <w:highlight w:val="none"/>
              </w:rPr>
              <w:t>保证措施清晰。</w:t>
            </w:r>
          </w:p>
          <w:p w14:paraId="43801A0F">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olor w:val="auto"/>
                <w:kern w:val="0"/>
                <w:szCs w:val="20"/>
                <w:highlight w:val="none"/>
              </w:rPr>
            </w:pPr>
            <w:r>
              <w:rPr>
                <w:rFonts w:hint="eastAsia" w:ascii="宋体" w:hAnsi="宋体"/>
                <w:b/>
                <w:bCs/>
                <w:color w:val="auto"/>
                <w:kern w:val="0"/>
                <w:szCs w:val="20"/>
                <w:highlight w:val="none"/>
              </w:rPr>
              <w:t>四档（</w:t>
            </w:r>
            <w:r>
              <w:rPr>
                <w:rFonts w:hint="eastAsia" w:ascii="宋体" w:hAnsi="宋体"/>
                <w:b/>
                <w:bCs/>
                <w:color w:val="auto"/>
                <w:kern w:val="0"/>
                <w:szCs w:val="20"/>
                <w:highlight w:val="none"/>
                <w:lang w:val="en-US" w:eastAsia="zh-CN"/>
              </w:rPr>
              <w:t>12</w:t>
            </w:r>
            <w:r>
              <w:rPr>
                <w:rFonts w:hint="eastAsia" w:ascii="宋体" w:hAnsi="宋体"/>
                <w:b/>
                <w:bCs/>
                <w:color w:val="auto"/>
                <w:kern w:val="0"/>
                <w:szCs w:val="20"/>
                <w:highlight w:val="none"/>
              </w:rPr>
              <w:t>分）：</w:t>
            </w:r>
            <w:r>
              <w:rPr>
                <w:rFonts w:hint="eastAsia" w:ascii="宋体" w:hAnsi="宋体"/>
                <w:color w:val="auto"/>
                <w:kern w:val="0"/>
                <w:szCs w:val="20"/>
                <w:highlight w:val="none"/>
              </w:rPr>
              <w:t>投入计划与进度计划呼应，满足施工需要，调配投入计划合理、准确</w:t>
            </w:r>
            <w:r>
              <w:rPr>
                <w:rFonts w:hint="eastAsia" w:ascii="宋体" w:hAnsi="宋体"/>
                <w:color w:val="auto"/>
                <w:kern w:val="0"/>
                <w:szCs w:val="20"/>
                <w:highlight w:val="none"/>
                <w:lang w:eastAsia="zh-CN"/>
              </w:rPr>
              <w:t>，</w:t>
            </w:r>
            <w:r>
              <w:rPr>
                <w:rFonts w:hint="eastAsia" w:ascii="宋体" w:hAnsi="宋体"/>
                <w:color w:val="auto"/>
                <w:kern w:val="0"/>
                <w:szCs w:val="20"/>
                <w:highlight w:val="none"/>
              </w:rPr>
              <w:t>保证措施非常清晰。</w:t>
            </w:r>
          </w:p>
          <w:p w14:paraId="7ED17043">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olor w:val="auto"/>
                <w:kern w:val="0"/>
                <w:szCs w:val="20"/>
                <w:highlight w:val="none"/>
                <w:lang w:eastAsia="zh-CN"/>
              </w:rPr>
            </w:pPr>
            <w:r>
              <w:rPr>
                <w:rFonts w:hint="eastAsia" w:ascii="宋体" w:hAnsi="宋体"/>
                <w:b/>
                <w:bCs/>
                <w:color w:val="auto"/>
                <w:kern w:val="0"/>
                <w:szCs w:val="20"/>
                <w:highlight w:val="none"/>
                <w:lang w:eastAsia="zh-CN"/>
              </w:rPr>
              <w:t>注：不提供不得分。</w:t>
            </w:r>
          </w:p>
        </w:tc>
        <w:tc>
          <w:tcPr>
            <w:tcW w:w="851" w:type="dxa"/>
            <w:noWrap w:val="0"/>
            <w:vAlign w:val="center"/>
          </w:tcPr>
          <w:p w14:paraId="18B41924">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12分</w:t>
            </w:r>
          </w:p>
        </w:tc>
      </w:tr>
      <w:tr w14:paraId="7916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244BCFD6">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2.5</w:t>
            </w:r>
          </w:p>
        </w:tc>
        <w:tc>
          <w:tcPr>
            <w:tcW w:w="1487" w:type="dxa"/>
            <w:noWrap w:val="0"/>
            <w:vAlign w:val="center"/>
          </w:tcPr>
          <w:p w14:paraId="7E681FE9">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cs="宋体"/>
                <w:bCs/>
                <w:color w:val="auto"/>
                <w:kern w:val="0"/>
                <w:szCs w:val="21"/>
                <w:highlight w:val="none"/>
              </w:rPr>
            </w:pPr>
            <w:r>
              <w:rPr>
                <w:rFonts w:hint="eastAsia" w:ascii="宋体" w:hAnsi="宋体"/>
                <w:b/>
                <w:bCs/>
                <w:color w:val="auto"/>
                <w:kern w:val="0"/>
                <w:szCs w:val="21"/>
                <w:highlight w:val="none"/>
              </w:rPr>
              <w:t>安全生产施工措施</w:t>
            </w:r>
          </w:p>
        </w:tc>
        <w:tc>
          <w:tcPr>
            <w:tcW w:w="6174" w:type="dxa"/>
            <w:noWrap w:val="0"/>
            <w:vAlign w:val="center"/>
          </w:tcPr>
          <w:p w14:paraId="17D21232">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highlight w:val="none"/>
              </w:rPr>
            </w:pPr>
            <w:r>
              <w:rPr>
                <w:rFonts w:hint="eastAsia" w:ascii="宋体" w:hAnsi="宋体"/>
                <w:b/>
                <w:bCs/>
                <w:color w:val="auto"/>
                <w:highlight w:val="none"/>
              </w:rPr>
              <w:t>一档（</w:t>
            </w:r>
            <w:r>
              <w:rPr>
                <w:rFonts w:hint="eastAsia" w:ascii="宋体" w:hAnsi="宋体"/>
                <w:b/>
                <w:bCs/>
                <w:color w:val="auto"/>
                <w:highlight w:val="none"/>
                <w:lang w:val="en-US" w:eastAsia="zh-CN"/>
              </w:rPr>
              <w:t>1</w:t>
            </w:r>
            <w:r>
              <w:rPr>
                <w:rFonts w:hint="eastAsia" w:ascii="宋体" w:hAnsi="宋体"/>
                <w:b/>
                <w:bCs/>
                <w:color w:val="auto"/>
                <w:highlight w:val="none"/>
              </w:rPr>
              <w:t>分）：</w:t>
            </w:r>
            <w:r>
              <w:rPr>
                <w:rFonts w:hint="eastAsia" w:ascii="宋体" w:hAnsi="宋体"/>
                <w:color w:val="auto"/>
                <w:highlight w:val="none"/>
              </w:rPr>
              <w:t>安全生产措施不可行。</w:t>
            </w:r>
          </w:p>
          <w:p w14:paraId="0AA871C5">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0"/>
                <w:highlight w:val="none"/>
              </w:rPr>
            </w:pPr>
            <w:r>
              <w:rPr>
                <w:rFonts w:hint="eastAsia" w:ascii="宋体" w:hAnsi="宋体"/>
                <w:b/>
                <w:bCs/>
                <w:color w:val="auto"/>
                <w:highlight w:val="none"/>
              </w:rPr>
              <w:t>二档(</w:t>
            </w:r>
            <w:r>
              <w:rPr>
                <w:rFonts w:hint="eastAsia" w:ascii="宋体" w:hAnsi="宋体"/>
                <w:b/>
                <w:bCs/>
                <w:color w:val="auto"/>
                <w:highlight w:val="none"/>
                <w:lang w:val="en-US" w:eastAsia="zh-CN"/>
              </w:rPr>
              <w:t>4</w:t>
            </w:r>
            <w:r>
              <w:rPr>
                <w:rFonts w:hint="eastAsia" w:ascii="宋体" w:hAnsi="宋体"/>
                <w:b/>
                <w:bCs/>
                <w:color w:val="auto"/>
                <w:highlight w:val="none"/>
              </w:rPr>
              <w:t>分)</w:t>
            </w:r>
            <w:r>
              <w:rPr>
                <w:rFonts w:hint="eastAsia" w:ascii="宋体" w:hAnsi="宋体"/>
                <w:color w:val="auto"/>
                <w:highlight w:val="none"/>
              </w:rPr>
              <w:t>：有专门的安全管理人员和制度，各道工序安全技术措施无针对性，</w:t>
            </w:r>
            <w:r>
              <w:rPr>
                <w:rFonts w:hint="eastAsia" w:ascii="宋体" w:hAnsi="宋体"/>
                <w:color w:val="auto"/>
                <w:highlight w:val="none"/>
                <w:lang w:eastAsia="zh-CN"/>
              </w:rPr>
              <w:t>基本</w:t>
            </w:r>
            <w:r>
              <w:rPr>
                <w:rFonts w:hint="eastAsia" w:ascii="宋体" w:hAnsi="宋体"/>
                <w:color w:val="auto"/>
                <w:highlight w:val="none"/>
              </w:rPr>
              <w:t>满足有关安全技术标准要求。</w:t>
            </w:r>
            <w:r>
              <w:rPr>
                <w:rFonts w:hint="eastAsia" w:ascii="宋体" w:hAnsi="宋体"/>
                <w:color w:val="auto"/>
                <w:highlight w:val="none"/>
                <w:lang w:eastAsia="zh-CN"/>
              </w:rPr>
              <w:t>有</w:t>
            </w:r>
            <w:r>
              <w:rPr>
                <w:rFonts w:hint="eastAsia" w:ascii="宋体" w:hAnsi="宋体"/>
                <w:color w:val="auto"/>
                <w:highlight w:val="none"/>
              </w:rPr>
              <w:t>现场防火、应急救援、社会治安安全措施。</w:t>
            </w:r>
          </w:p>
          <w:p w14:paraId="0802226C">
            <w:pPr>
              <w:keepNext w:val="0"/>
              <w:keepLines w:val="0"/>
              <w:pageBreakBefore w:val="0"/>
              <w:kinsoku/>
              <w:wordWrap/>
              <w:overflowPunct/>
              <w:topLinePunct w:val="0"/>
              <w:autoSpaceDE/>
              <w:autoSpaceDN/>
              <w:bidi w:val="0"/>
              <w:adjustRightInd/>
              <w:spacing w:line="440" w:lineRule="exact"/>
              <w:textAlignment w:val="auto"/>
              <w:rPr>
                <w:rFonts w:ascii="宋体" w:hAnsi="宋体"/>
                <w:color w:val="auto"/>
                <w:kern w:val="0"/>
                <w:szCs w:val="21"/>
                <w:highlight w:val="none"/>
              </w:rPr>
            </w:pPr>
            <w:r>
              <w:rPr>
                <w:rFonts w:hint="eastAsia" w:ascii="宋体" w:hAnsi="宋体"/>
                <w:b/>
                <w:bCs/>
                <w:color w:val="auto"/>
                <w:kern w:val="0"/>
                <w:szCs w:val="21"/>
                <w:highlight w:val="none"/>
              </w:rPr>
              <w:t>三档(</w:t>
            </w:r>
            <w:r>
              <w:rPr>
                <w:rFonts w:hint="eastAsia" w:ascii="宋体" w:hAnsi="宋体"/>
                <w:b/>
                <w:bCs/>
                <w:color w:val="auto"/>
                <w:kern w:val="0"/>
                <w:szCs w:val="21"/>
                <w:highlight w:val="none"/>
                <w:lang w:val="en-US" w:eastAsia="zh-CN"/>
              </w:rPr>
              <w:t>8</w:t>
            </w:r>
            <w:r>
              <w:rPr>
                <w:rFonts w:hint="eastAsia" w:ascii="宋体" w:hAnsi="宋体"/>
                <w:b/>
                <w:bCs/>
                <w:color w:val="auto"/>
                <w:kern w:val="0"/>
                <w:szCs w:val="21"/>
                <w:highlight w:val="none"/>
              </w:rPr>
              <w:t>分)：</w:t>
            </w:r>
            <w:r>
              <w:rPr>
                <w:rFonts w:hint="eastAsia" w:ascii="宋体" w:hAnsi="宋体"/>
                <w:color w:val="auto"/>
                <w:kern w:val="0"/>
                <w:szCs w:val="21"/>
                <w:highlight w:val="none"/>
              </w:rPr>
              <w:t>有专门的安全管理人员和制度，且人员配备合理，制度健全，各道工序安全技术措施</w:t>
            </w:r>
            <w:r>
              <w:rPr>
                <w:rFonts w:hint="eastAsia" w:ascii="宋体" w:hAnsi="宋体"/>
                <w:color w:val="auto"/>
                <w:kern w:val="0"/>
                <w:szCs w:val="21"/>
                <w:highlight w:val="none"/>
                <w:lang w:eastAsia="zh-CN"/>
              </w:rPr>
              <w:t>有</w:t>
            </w:r>
            <w:r>
              <w:rPr>
                <w:rFonts w:hint="eastAsia" w:ascii="宋体" w:hAnsi="宋体"/>
                <w:color w:val="auto"/>
                <w:kern w:val="0"/>
                <w:szCs w:val="21"/>
                <w:highlight w:val="none"/>
              </w:rPr>
              <w:t>针对性，确保工程质量的技术组织措施符合实际且基本满足有关安全技术标准要求。现场防火、应急救援、社会治安安全措施</w:t>
            </w:r>
            <w:r>
              <w:rPr>
                <w:rFonts w:hint="eastAsia" w:ascii="宋体" w:hAnsi="宋体"/>
                <w:color w:val="auto"/>
                <w:kern w:val="0"/>
                <w:szCs w:val="21"/>
                <w:highlight w:val="none"/>
                <w:lang w:eastAsia="zh-CN"/>
              </w:rPr>
              <w:t>较详细</w:t>
            </w:r>
            <w:r>
              <w:rPr>
                <w:rFonts w:hint="eastAsia" w:ascii="宋体" w:hAnsi="宋体"/>
                <w:color w:val="auto"/>
                <w:kern w:val="0"/>
                <w:szCs w:val="21"/>
                <w:highlight w:val="none"/>
              </w:rPr>
              <w:t>。</w:t>
            </w:r>
          </w:p>
          <w:p w14:paraId="7A9C66E5">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olor w:val="auto"/>
                <w:kern w:val="0"/>
                <w:szCs w:val="21"/>
                <w:highlight w:val="none"/>
              </w:rPr>
            </w:pPr>
            <w:r>
              <w:rPr>
                <w:rFonts w:hint="eastAsia" w:ascii="宋体" w:hAnsi="宋体"/>
                <w:b/>
                <w:bCs/>
                <w:color w:val="auto"/>
                <w:kern w:val="0"/>
                <w:szCs w:val="21"/>
                <w:highlight w:val="none"/>
              </w:rPr>
              <w:t>四档（</w:t>
            </w:r>
            <w:r>
              <w:rPr>
                <w:rFonts w:hint="eastAsia" w:ascii="宋体" w:hAnsi="宋体"/>
                <w:b/>
                <w:bCs/>
                <w:color w:val="auto"/>
                <w:kern w:val="0"/>
                <w:szCs w:val="21"/>
                <w:highlight w:val="none"/>
                <w:lang w:val="en-US" w:eastAsia="zh-CN"/>
              </w:rPr>
              <w:t>12</w:t>
            </w:r>
            <w:r>
              <w:rPr>
                <w:rFonts w:hint="eastAsia" w:ascii="宋体" w:hAnsi="宋体"/>
                <w:b/>
                <w:bCs/>
                <w:color w:val="auto"/>
                <w:kern w:val="0"/>
                <w:szCs w:val="21"/>
                <w:highlight w:val="none"/>
              </w:rPr>
              <w:t>分）</w:t>
            </w:r>
            <w:r>
              <w:rPr>
                <w:rFonts w:hint="eastAsia" w:ascii="宋体" w:hAnsi="宋体"/>
                <w:color w:val="auto"/>
                <w:kern w:val="0"/>
                <w:szCs w:val="21"/>
                <w:highlight w:val="none"/>
              </w:rPr>
              <w:t>：有专门的安全管理人员和制度，且人员配备合理，制度健全，各道工序安全技术措施针对性强，确保工程质量的技术组织措施符合实际且满足有关安全技术标准要求。现场防火、应急救援、社会治安安全措施得力。</w:t>
            </w:r>
          </w:p>
          <w:p w14:paraId="0A82063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color w:val="auto"/>
                <w:kern w:val="0"/>
                <w:szCs w:val="21"/>
                <w:highlight w:val="none"/>
                <w:lang w:eastAsia="zh-CN"/>
              </w:rPr>
            </w:pPr>
            <w:r>
              <w:rPr>
                <w:rFonts w:hint="eastAsia" w:ascii="宋体" w:hAnsi="宋体"/>
                <w:b/>
                <w:bCs/>
                <w:color w:val="auto"/>
                <w:kern w:val="0"/>
                <w:szCs w:val="20"/>
                <w:highlight w:val="none"/>
                <w:lang w:eastAsia="zh-CN"/>
              </w:rPr>
              <w:t>注：不提供不得分。</w:t>
            </w:r>
          </w:p>
        </w:tc>
        <w:tc>
          <w:tcPr>
            <w:tcW w:w="851" w:type="dxa"/>
            <w:noWrap w:val="0"/>
            <w:vAlign w:val="center"/>
          </w:tcPr>
          <w:p w14:paraId="3CD51DA0">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12分</w:t>
            </w:r>
          </w:p>
        </w:tc>
      </w:tr>
      <w:tr w14:paraId="7E66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0731A5B">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2.6</w:t>
            </w:r>
          </w:p>
        </w:tc>
        <w:tc>
          <w:tcPr>
            <w:tcW w:w="1487" w:type="dxa"/>
            <w:noWrap w:val="0"/>
            <w:vAlign w:val="center"/>
          </w:tcPr>
          <w:p w14:paraId="6692497F">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cs="宋体"/>
                <w:bCs/>
                <w:color w:val="auto"/>
                <w:kern w:val="0"/>
                <w:szCs w:val="21"/>
                <w:highlight w:val="none"/>
              </w:rPr>
            </w:pPr>
            <w:r>
              <w:rPr>
                <w:rFonts w:hint="eastAsia" w:ascii="宋体" w:hAnsi="宋体"/>
                <w:b/>
                <w:color w:val="auto"/>
                <w:kern w:val="0"/>
                <w:szCs w:val="20"/>
                <w:highlight w:val="none"/>
              </w:rPr>
              <w:t>质量保证及新技术应用</w:t>
            </w:r>
          </w:p>
        </w:tc>
        <w:tc>
          <w:tcPr>
            <w:tcW w:w="6174" w:type="dxa"/>
            <w:noWrap w:val="0"/>
            <w:vAlign w:val="center"/>
          </w:tcPr>
          <w:p w14:paraId="3CB7D1C4">
            <w:pPr>
              <w:spacing w:line="360" w:lineRule="auto"/>
              <w:rPr>
                <w:rFonts w:ascii="宋体" w:hAnsi="宋体"/>
                <w:color w:val="auto"/>
                <w:kern w:val="0"/>
                <w:szCs w:val="20"/>
                <w:highlight w:val="none"/>
              </w:rPr>
            </w:pPr>
            <w:r>
              <w:rPr>
                <w:rFonts w:hint="eastAsia" w:ascii="宋体" w:hAnsi="宋体"/>
                <w:b/>
                <w:bCs/>
                <w:color w:val="auto"/>
                <w:kern w:val="0"/>
                <w:szCs w:val="20"/>
                <w:highlight w:val="none"/>
              </w:rPr>
              <w:t>一档（</w:t>
            </w:r>
            <w:r>
              <w:rPr>
                <w:rFonts w:hint="eastAsia" w:ascii="宋体" w:hAnsi="宋体"/>
                <w:b/>
                <w:bCs/>
                <w:color w:val="auto"/>
                <w:kern w:val="0"/>
                <w:szCs w:val="20"/>
                <w:highlight w:val="none"/>
                <w:lang w:val="en-US" w:eastAsia="zh-CN"/>
              </w:rPr>
              <w:t>1</w:t>
            </w:r>
            <w:r>
              <w:rPr>
                <w:rFonts w:hint="eastAsia" w:ascii="宋体" w:hAnsi="宋体"/>
                <w:b/>
                <w:bCs/>
                <w:color w:val="auto"/>
                <w:kern w:val="0"/>
                <w:szCs w:val="20"/>
                <w:highlight w:val="none"/>
              </w:rPr>
              <w:t>分）</w:t>
            </w:r>
            <w:r>
              <w:rPr>
                <w:rFonts w:hint="eastAsia" w:ascii="宋体" w:hAnsi="宋体"/>
                <w:color w:val="auto"/>
                <w:kern w:val="0"/>
                <w:szCs w:val="20"/>
                <w:highlight w:val="none"/>
              </w:rPr>
              <w:t>：质量保证及新技术应用不可行。</w:t>
            </w:r>
          </w:p>
          <w:p w14:paraId="0D86106C">
            <w:pPr>
              <w:spacing w:line="360" w:lineRule="auto"/>
              <w:rPr>
                <w:rFonts w:ascii="宋体" w:hAnsi="宋体"/>
                <w:color w:val="auto"/>
                <w:kern w:val="0"/>
                <w:szCs w:val="20"/>
                <w:highlight w:val="none"/>
              </w:rPr>
            </w:pPr>
            <w:r>
              <w:rPr>
                <w:rFonts w:hint="eastAsia" w:ascii="宋体" w:hAnsi="宋体"/>
                <w:b/>
                <w:bCs/>
                <w:color w:val="auto"/>
                <w:kern w:val="0"/>
                <w:szCs w:val="20"/>
                <w:highlight w:val="none"/>
              </w:rPr>
              <w:t>二档（</w:t>
            </w:r>
            <w:r>
              <w:rPr>
                <w:rFonts w:hint="eastAsia" w:ascii="宋体" w:hAnsi="宋体"/>
                <w:b/>
                <w:bCs/>
                <w:color w:val="auto"/>
                <w:kern w:val="0"/>
                <w:szCs w:val="20"/>
                <w:highlight w:val="none"/>
                <w:lang w:val="en-US" w:eastAsia="zh-CN"/>
              </w:rPr>
              <w:t>4</w:t>
            </w:r>
            <w:r>
              <w:rPr>
                <w:rFonts w:hint="eastAsia" w:ascii="宋体" w:hAnsi="宋体"/>
                <w:b/>
                <w:bCs/>
                <w:color w:val="auto"/>
                <w:kern w:val="0"/>
                <w:szCs w:val="20"/>
                <w:highlight w:val="none"/>
              </w:rPr>
              <w:t>分）：</w:t>
            </w:r>
            <w:r>
              <w:rPr>
                <w:rFonts w:hint="eastAsia" w:ascii="宋体" w:hAnsi="宋体"/>
                <w:color w:val="auto"/>
                <w:kern w:val="0"/>
                <w:szCs w:val="20"/>
                <w:highlight w:val="none"/>
              </w:rPr>
              <w:t>具体保证措施可行，技术、质量满足采购文件的要求。</w:t>
            </w:r>
          </w:p>
          <w:p w14:paraId="03F2A17B">
            <w:pPr>
              <w:spacing w:line="360" w:lineRule="auto"/>
              <w:rPr>
                <w:rFonts w:ascii="宋体" w:hAnsi="宋体"/>
                <w:color w:val="auto"/>
                <w:kern w:val="0"/>
                <w:szCs w:val="20"/>
                <w:highlight w:val="none"/>
              </w:rPr>
            </w:pPr>
            <w:r>
              <w:rPr>
                <w:rFonts w:hint="eastAsia" w:ascii="宋体" w:hAnsi="宋体"/>
                <w:b/>
                <w:bCs/>
                <w:color w:val="auto"/>
                <w:kern w:val="0"/>
                <w:szCs w:val="20"/>
                <w:highlight w:val="none"/>
              </w:rPr>
              <w:t>三档（</w:t>
            </w:r>
            <w:r>
              <w:rPr>
                <w:rFonts w:hint="eastAsia" w:ascii="宋体" w:hAnsi="宋体"/>
                <w:b/>
                <w:bCs/>
                <w:color w:val="auto"/>
                <w:kern w:val="0"/>
                <w:szCs w:val="20"/>
                <w:highlight w:val="none"/>
                <w:lang w:val="en-US" w:eastAsia="zh-CN"/>
              </w:rPr>
              <w:t>8</w:t>
            </w:r>
            <w:r>
              <w:rPr>
                <w:rFonts w:hint="eastAsia" w:ascii="宋体" w:hAnsi="宋体"/>
                <w:b/>
                <w:bCs/>
                <w:color w:val="auto"/>
                <w:kern w:val="0"/>
                <w:szCs w:val="20"/>
                <w:highlight w:val="none"/>
              </w:rPr>
              <w:t>分）：</w:t>
            </w:r>
            <w:r>
              <w:rPr>
                <w:rFonts w:hint="eastAsia" w:ascii="宋体" w:hAnsi="宋体"/>
                <w:color w:val="auto"/>
                <w:kern w:val="0"/>
                <w:szCs w:val="20"/>
                <w:highlight w:val="none"/>
              </w:rPr>
              <w:t>针对项目实际提出先进、可行、具体的质量保证措施，技术应用满足</w:t>
            </w:r>
            <w:r>
              <w:rPr>
                <w:rFonts w:hint="eastAsia" w:ascii="宋体" w:hAnsi="宋体"/>
                <w:color w:val="auto"/>
                <w:kern w:val="0"/>
                <w:szCs w:val="20"/>
                <w:highlight w:val="none"/>
                <w:lang w:eastAsia="zh-CN"/>
              </w:rPr>
              <w:t>采购</w:t>
            </w:r>
            <w:r>
              <w:rPr>
                <w:rFonts w:hint="eastAsia" w:ascii="宋体" w:hAnsi="宋体"/>
                <w:color w:val="auto"/>
                <w:kern w:val="0"/>
                <w:szCs w:val="20"/>
                <w:highlight w:val="none"/>
              </w:rPr>
              <w:t>文件的要求。</w:t>
            </w:r>
          </w:p>
          <w:p w14:paraId="1EA42EE9">
            <w:pPr>
              <w:spacing w:line="360" w:lineRule="auto"/>
              <w:rPr>
                <w:rFonts w:hint="eastAsia" w:ascii="宋体" w:hAnsi="宋体"/>
                <w:color w:val="auto"/>
                <w:kern w:val="0"/>
                <w:szCs w:val="20"/>
                <w:highlight w:val="none"/>
              </w:rPr>
            </w:pPr>
            <w:r>
              <w:rPr>
                <w:rFonts w:hint="eastAsia" w:ascii="宋体" w:hAnsi="宋体"/>
                <w:b/>
                <w:bCs/>
                <w:color w:val="auto"/>
                <w:kern w:val="0"/>
                <w:szCs w:val="20"/>
                <w:highlight w:val="none"/>
              </w:rPr>
              <w:t>四档（</w:t>
            </w:r>
            <w:r>
              <w:rPr>
                <w:rFonts w:hint="eastAsia" w:ascii="宋体" w:hAnsi="宋体"/>
                <w:b/>
                <w:bCs/>
                <w:color w:val="auto"/>
                <w:kern w:val="0"/>
                <w:szCs w:val="20"/>
                <w:highlight w:val="none"/>
                <w:lang w:val="en-US" w:eastAsia="zh-CN"/>
              </w:rPr>
              <w:t>12</w:t>
            </w:r>
            <w:r>
              <w:rPr>
                <w:rFonts w:hint="eastAsia" w:ascii="宋体" w:hAnsi="宋体"/>
                <w:b/>
                <w:bCs/>
                <w:color w:val="auto"/>
                <w:kern w:val="0"/>
                <w:szCs w:val="20"/>
                <w:highlight w:val="none"/>
              </w:rPr>
              <w:t>分）：</w:t>
            </w:r>
            <w:r>
              <w:rPr>
                <w:rFonts w:hint="eastAsia" w:ascii="宋体" w:hAnsi="宋体"/>
                <w:color w:val="auto"/>
                <w:kern w:val="0"/>
                <w:szCs w:val="20"/>
                <w:highlight w:val="none"/>
              </w:rPr>
              <w:t>应用新技术、新工艺、新材料、新设备，针对项目实际提出先进、可行、具体的质量保证措施，超过</w:t>
            </w:r>
            <w:r>
              <w:rPr>
                <w:rFonts w:hint="eastAsia" w:ascii="宋体" w:hAnsi="宋体"/>
                <w:color w:val="auto"/>
                <w:kern w:val="0"/>
                <w:szCs w:val="20"/>
                <w:highlight w:val="none"/>
                <w:lang w:eastAsia="zh-CN"/>
              </w:rPr>
              <w:t>采购文件</w:t>
            </w:r>
            <w:r>
              <w:rPr>
                <w:rFonts w:hint="eastAsia" w:ascii="宋体" w:hAnsi="宋体"/>
                <w:color w:val="auto"/>
                <w:kern w:val="0"/>
                <w:szCs w:val="20"/>
                <w:highlight w:val="none"/>
              </w:rPr>
              <w:t>的质量要求及施工验收规范要求。</w:t>
            </w:r>
          </w:p>
          <w:p w14:paraId="6F72419B">
            <w:pPr>
              <w:spacing w:line="360" w:lineRule="auto"/>
              <w:ind w:firstLine="420"/>
              <w:rPr>
                <w:rFonts w:hint="eastAsia" w:ascii="宋体" w:hAnsi="宋体"/>
                <w:color w:val="auto"/>
                <w:kern w:val="0"/>
                <w:szCs w:val="20"/>
                <w:highlight w:val="none"/>
                <w:lang w:eastAsia="zh-CN"/>
              </w:rPr>
            </w:pPr>
            <w:r>
              <w:rPr>
                <w:rFonts w:hint="eastAsia" w:ascii="宋体" w:hAnsi="宋体"/>
                <w:b/>
                <w:bCs/>
                <w:color w:val="auto"/>
                <w:kern w:val="0"/>
                <w:szCs w:val="20"/>
                <w:highlight w:val="none"/>
                <w:lang w:eastAsia="zh-CN"/>
              </w:rPr>
              <w:t>注：不提供不得分。</w:t>
            </w:r>
          </w:p>
        </w:tc>
        <w:tc>
          <w:tcPr>
            <w:tcW w:w="851" w:type="dxa"/>
            <w:noWrap w:val="0"/>
            <w:vAlign w:val="center"/>
          </w:tcPr>
          <w:p w14:paraId="17A7DBA4">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12分</w:t>
            </w:r>
          </w:p>
        </w:tc>
      </w:tr>
      <w:tr w14:paraId="7388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7E1FE759">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w:t>
            </w:r>
          </w:p>
        </w:tc>
        <w:tc>
          <w:tcPr>
            <w:tcW w:w="7661" w:type="dxa"/>
            <w:gridSpan w:val="2"/>
            <w:noWrap w:val="0"/>
            <w:vAlign w:val="center"/>
          </w:tcPr>
          <w:p w14:paraId="0686FD66">
            <w:pPr>
              <w:keepNext w:val="0"/>
              <w:keepLines w:val="0"/>
              <w:pageBreakBefore w:val="0"/>
              <w:widowControl/>
              <w:kinsoku/>
              <w:wordWrap/>
              <w:overflowPunct/>
              <w:topLinePunct w:val="0"/>
              <w:autoSpaceDE/>
              <w:autoSpaceDN/>
              <w:bidi w:val="0"/>
              <w:adjustRightInd/>
              <w:spacing w:line="440" w:lineRule="exact"/>
              <w:ind w:right="0" w:rightChars="0" w:firstLine="422" w:firstLineChars="20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highlight w:val="none"/>
              </w:rPr>
              <w:t>商务分</w:t>
            </w:r>
          </w:p>
        </w:tc>
        <w:tc>
          <w:tcPr>
            <w:tcW w:w="851" w:type="dxa"/>
            <w:noWrap w:val="0"/>
            <w:vAlign w:val="center"/>
          </w:tcPr>
          <w:p w14:paraId="1B2AD984">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15</w:t>
            </w:r>
            <w:r>
              <w:rPr>
                <w:rFonts w:hint="eastAsia" w:ascii="宋体" w:hAnsi="宋体" w:eastAsia="宋体" w:cs="宋体"/>
                <w:b/>
                <w:bCs/>
                <w:color w:val="auto"/>
                <w:kern w:val="0"/>
                <w:sz w:val="21"/>
                <w:szCs w:val="21"/>
                <w:highlight w:val="none"/>
              </w:rPr>
              <w:t>分</w:t>
            </w:r>
          </w:p>
        </w:tc>
      </w:tr>
      <w:tr w14:paraId="5112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1089D5B8">
            <w:pPr>
              <w:keepNext w:val="0"/>
              <w:keepLines w:val="0"/>
              <w:pageBreakBefore w:val="0"/>
              <w:kinsoku/>
              <w:wordWrap/>
              <w:overflowPunct/>
              <w:topLinePunct w:val="0"/>
              <w:autoSpaceDE/>
              <w:autoSpaceDN/>
              <w:bidi w:val="0"/>
              <w:adjustRightInd/>
              <w:spacing w:line="440" w:lineRule="exact"/>
              <w:ind w:right="0" w:rightChars="0"/>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3.1</w:t>
            </w:r>
          </w:p>
        </w:tc>
        <w:tc>
          <w:tcPr>
            <w:tcW w:w="1487" w:type="dxa"/>
            <w:shd w:val="clear" w:color="auto" w:fill="auto"/>
            <w:noWrap w:val="0"/>
            <w:vAlign w:val="center"/>
          </w:tcPr>
          <w:p w14:paraId="36230DA3">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Times New Roman" w:hAnsi="Times New Roman" w:eastAsia="宋体" w:cs="Times New Roman"/>
                <w:color w:val="auto"/>
                <w:spacing w:val="7"/>
                <w:kern w:val="2"/>
                <w:sz w:val="21"/>
                <w:szCs w:val="24"/>
                <w:highlight w:val="none"/>
                <w:lang w:val="en-US" w:eastAsia="zh-CN" w:bidi="ar-SA"/>
              </w:rPr>
            </w:pPr>
            <w:r>
              <w:rPr>
                <w:rFonts w:hint="eastAsia" w:ascii="宋体" w:hAnsi="宋体" w:eastAsia="宋体" w:cs="Times New Roman"/>
                <w:b/>
                <w:color w:val="auto"/>
                <w:kern w:val="0"/>
                <w:szCs w:val="20"/>
                <w:highlight w:val="none"/>
                <w:lang w:val="en-US" w:eastAsia="zh-CN"/>
              </w:rPr>
              <w:t>拟投入项目管理机构</w:t>
            </w:r>
          </w:p>
        </w:tc>
        <w:tc>
          <w:tcPr>
            <w:tcW w:w="6174" w:type="dxa"/>
            <w:shd w:val="clear" w:color="auto" w:fill="auto"/>
            <w:noWrap w:val="0"/>
            <w:vAlign w:val="center"/>
          </w:tcPr>
          <w:p w14:paraId="3BA6C713">
            <w:pPr>
              <w:keepNext w:val="0"/>
              <w:keepLines w:val="0"/>
              <w:pageBreakBefore w:val="0"/>
              <w:numPr>
                <w:ilvl w:val="0"/>
                <w:numId w:val="3"/>
              </w:numPr>
              <w:kinsoku/>
              <w:wordWrap/>
              <w:overflowPunct/>
              <w:topLinePunct w:val="0"/>
              <w:autoSpaceDE/>
              <w:autoSpaceDN/>
              <w:bidi w:val="0"/>
              <w:adjustRightInd/>
              <w:spacing w:line="440" w:lineRule="exact"/>
              <w:textAlignment w:val="auto"/>
              <w:rPr>
                <w:rFonts w:hint="eastAsia" w:ascii="宋体" w:hAnsi="宋体"/>
                <w:bCs/>
                <w:color w:val="auto"/>
                <w:kern w:val="0"/>
                <w:szCs w:val="21"/>
                <w:highlight w:val="none"/>
              </w:rPr>
            </w:pPr>
            <w:r>
              <w:rPr>
                <w:rFonts w:hint="eastAsia" w:ascii="宋体" w:hAnsi="宋体"/>
                <w:bCs/>
                <w:color w:val="auto"/>
                <w:kern w:val="0"/>
                <w:szCs w:val="21"/>
                <w:highlight w:val="none"/>
              </w:rPr>
              <w:t>项目经理：拟投入本项目的项目经理具有工程类中级及以上技术职称的得2分。</w:t>
            </w:r>
          </w:p>
          <w:p w14:paraId="509D9357">
            <w:pPr>
              <w:widowControl/>
              <w:spacing w:line="440" w:lineRule="exact"/>
              <w:rPr>
                <w:color w:val="auto"/>
                <w:highlight w:val="none"/>
              </w:rPr>
            </w:pP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lang w:val="en-US" w:eastAsia="zh-CN"/>
              </w:rPr>
              <w:t>2）</w:t>
            </w:r>
            <w:r>
              <w:rPr>
                <w:rFonts w:hint="eastAsia" w:ascii="宋体" w:hAnsi="宋体"/>
                <w:bCs/>
                <w:color w:val="auto"/>
                <w:kern w:val="0"/>
                <w:szCs w:val="21"/>
                <w:highlight w:val="none"/>
              </w:rPr>
              <w:t>技术负责人：拟投入本项目的技术负责人具有工程类中级及以上技术职称的得2分。</w:t>
            </w:r>
          </w:p>
          <w:p w14:paraId="19E797FF">
            <w:pPr>
              <w:keepNext w:val="0"/>
              <w:keepLines w:val="0"/>
              <w:pageBreakBefore w:val="0"/>
              <w:widowControl/>
              <w:kinsoku/>
              <w:wordWrap/>
              <w:overflowPunct/>
              <w:topLinePunct w:val="0"/>
              <w:autoSpaceDE/>
              <w:autoSpaceDN/>
              <w:bidi w:val="0"/>
              <w:adjustRightInd/>
              <w:snapToGrid/>
              <w:spacing w:line="440" w:lineRule="exact"/>
              <w:ind w:right="0" w:rightChars="0"/>
              <w:jc w:val="both"/>
              <w:textAlignment w:val="auto"/>
              <w:rPr>
                <w:rFonts w:hint="eastAsia" w:ascii="宋体" w:hAnsi="宋体" w:eastAsia="宋体" w:cs="Times New Roman"/>
                <w:bCs/>
                <w:color w:val="auto"/>
                <w:kern w:val="0"/>
                <w:szCs w:val="21"/>
                <w:highlight w:val="none"/>
              </w:rPr>
            </w:pP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其他主要人员（</w:t>
            </w:r>
            <w:r>
              <w:rPr>
                <w:rFonts w:hint="eastAsia" w:ascii="宋体" w:hAnsi="宋体"/>
                <w:bCs/>
                <w:color w:val="auto"/>
                <w:kern w:val="0"/>
                <w:szCs w:val="21"/>
                <w:highlight w:val="none"/>
                <w:lang w:val="en-US" w:eastAsia="zh-CN"/>
              </w:rPr>
              <w:t>6</w:t>
            </w:r>
            <w:r>
              <w:rPr>
                <w:rFonts w:hint="eastAsia" w:ascii="宋体" w:hAnsi="宋体"/>
                <w:bCs/>
                <w:color w:val="auto"/>
                <w:kern w:val="0"/>
                <w:szCs w:val="21"/>
                <w:highlight w:val="none"/>
              </w:rPr>
              <w:t>分）：拟投入本项目的人员</w:t>
            </w:r>
            <w:r>
              <w:rPr>
                <w:rFonts w:hint="eastAsia" w:ascii="宋体" w:hAnsi="宋体"/>
                <w:bCs/>
                <w:color w:val="auto"/>
                <w:kern w:val="0"/>
                <w:szCs w:val="21"/>
                <w:highlight w:val="none"/>
                <w:lang w:eastAsia="zh-CN"/>
              </w:rPr>
              <w:t>（包括</w:t>
            </w:r>
            <w:r>
              <w:rPr>
                <w:rFonts w:hint="eastAsia" w:ascii="宋体" w:hAnsi="宋体"/>
                <w:bCs/>
                <w:color w:val="auto"/>
                <w:kern w:val="0"/>
                <w:szCs w:val="21"/>
                <w:highlight w:val="none"/>
              </w:rPr>
              <w:t>安全员、施工员、质量员、材料员</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具备相关岗位证书</w:t>
            </w:r>
            <w:r>
              <w:rPr>
                <w:rFonts w:hint="eastAsia" w:ascii="宋体" w:hAnsi="宋体"/>
                <w:bCs/>
                <w:color w:val="auto"/>
                <w:kern w:val="0"/>
                <w:szCs w:val="21"/>
                <w:highlight w:val="none"/>
                <w:lang w:eastAsia="zh-CN"/>
              </w:rPr>
              <w:t>的得</w:t>
            </w:r>
            <w:r>
              <w:rPr>
                <w:rFonts w:hint="eastAsia" w:ascii="宋体" w:hAnsi="宋体"/>
                <w:bCs/>
                <w:color w:val="auto"/>
                <w:kern w:val="0"/>
                <w:szCs w:val="21"/>
                <w:highlight w:val="none"/>
                <w:lang w:val="en-US" w:eastAsia="zh-CN"/>
              </w:rPr>
              <w:t>2分；</w:t>
            </w:r>
            <w:r>
              <w:rPr>
                <w:rFonts w:hint="eastAsia" w:ascii="宋体" w:hAnsi="宋体"/>
                <w:bCs/>
                <w:color w:val="auto"/>
                <w:kern w:val="0"/>
                <w:szCs w:val="21"/>
                <w:highlight w:val="none"/>
              </w:rPr>
              <w:t>具有工程类</w:t>
            </w:r>
            <w:r>
              <w:rPr>
                <w:rFonts w:hint="eastAsia" w:ascii="宋体" w:hAnsi="宋体"/>
                <w:bCs/>
                <w:color w:val="auto"/>
                <w:kern w:val="0"/>
                <w:szCs w:val="21"/>
                <w:highlight w:val="none"/>
                <w:lang w:eastAsia="zh-CN"/>
              </w:rPr>
              <w:t>初</w:t>
            </w:r>
            <w:r>
              <w:rPr>
                <w:rFonts w:hint="eastAsia" w:ascii="宋体" w:hAnsi="宋体"/>
                <w:bCs/>
                <w:color w:val="auto"/>
                <w:kern w:val="0"/>
                <w:szCs w:val="21"/>
                <w:highlight w:val="none"/>
              </w:rPr>
              <w:t>级及以上</w:t>
            </w:r>
            <w:r>
              <w:rPr>
                <w:rFonts w:hint="eastAsia" w:ascii="宋体" w:hAnsi="宋体" w:eastAsia="宋体" w:cs="Times New Roman"/>
                <w:bCs/>
                <w:color w:val="auto"/>
                <w:kern w:val="0"/>
                <w:szCs w:val="21"/>
                <w:highlight w:val="none"/>
              </w:rPr>
              <w:t>技术职称的</w:t>
            </w:r>
            <w:r>
              <w:rPr>
                <w:rFonts w:hint="eastAsia" w:ascii="宋体" w:hAnsi="宋体" w:eastAsia="宋体" w:cs="Times New Roman"/>
                <w:bCs/>
                <w:color w:val="auto"/>
                <w:kern w:val="0"/>
                <w:szCs w:val="21"/>
                <w:highlight w:val="none"/>
                <w:lang w:eastAsia="zh-CN"/>
              </w:rPr>
              <w:t>每个得</w:t>
            </w:r>
            <w:r>
              <w:rPr>
                <w:rFonts w:hint="eastAsia" w:ascii="宋体" w:hAnsi="宋体" w:eastAsia="宋体" w:cs="Times New Roman"/>
                <w:bCs/>
                <w:color w:val="auto"/>
                <w:kern w:val="0"/>
                <w:szCs w:val="21"/>
                <w:highlight w:val="none"/>
                <w:lang w:val="en-US" w:eastAsia="zh-CN"/>
              </w:rPr>
              <w:t>1分</w:t>
            </w:r>
            <w:r>
              <w:rPr>
                <w:rFonts w:hint="eastAsia" w:ascii="宋体" w:hAnsi="宋体" w:eastAsia="宋体" w:cs="Times New Roman"/>
                <w:bCs/>
                <w:color w:val="auto"/>
                <w:kern w:val="0"/>
                <w:szCs w:val="21"/>
                <w:highlight w:val="none"/>
              </w:rPr>
              <w:t>，满分4分。</w:t>
            </w:r>
          </w:p>
          <w:p w14:paraId="326654F2">
            <w:pPr>
              <w:keepNext w:val="0"/>
              <w:keepLines w:val="0"/>
              <w:pageBreakBefore w:val="0"/>
              <w:widowControl/>
              <w:kinsoku/>
              <w:wordWrap/>
              <w:overflowPunct/>
              <w:topLinePunct w:val="0"/>
              <w:autoSpaceDE/>
              <w:autoSpaceDN/>
              <w:bidi w:val="0"/>
              <w:adjustRightInd/>
              <w:snapToGrid/>
              <w:spacing w:line="440" w:lineRule="exact"/>
              <w:ind w:right="0" w:rightChars="0"/>
              <w:jc w:val="both"/>
              <w:textAlignment w:val="auto"/>
              <w:rPr>
                <w:rFonts w:hint="eastAsia" w:ascii="Times New Roman" w:hAnsi="Times New Roman" w:eastAsia="宋体" w:cs="Times New Roman"/>
                <w:b/>
                <w:bCs/>
                <w:color w:val="auto"/>
                <w:spacing w:val="1"/>
                <w:kern w:val="2"/>
                <w:sz w:val="21"/>
                <w:szCs w:val="24"/>
                <w:highlight w:val="none"/>
                <w:lang w:val="en-US" w:eastAsia="zh-CN" w:bidi="ar-SA"/>
              </w:rPr>
            </w:pPr>
            <w:r>
              <w:rPr>
                <w:rFonts w:hint="eastAsia" w:ascii="宋体" w:hAnsi="宋体" w:eastAsia="宋体" w:cs="Times New Roman"/>
                <w:bCs/>
                <w:color w:val="auto"/>
                <w:kern w:val="0"/>
                <w:szCs w:val="21"/>
                <w:highlight w:val="none"/>
                <w:lang w:eastAsia="zh-CN"/>
              </w:rPr>
              <w:t>注：供应商须提供以上人员相应的资格证书及响应文件递交</w:t>
            </w:r>
            <w:r>
              <w:rPr>
                <w:rFonts w:hint="eastAsia" w:ascii="宋体" w:hAnsi="宋体" w:eastAsia="宋体" w:cs="Times New Roman"/>
                <w:bCs/>
                <w:color w:val="auto"/>
                <w:kern w:val="0"/>
                <w:szCs w:val="21"/>
                <w:highlight w:val="none"/>
              </w:rPr>
              <w:t>截止日前半年内连续3个月</w:t>
            </w:r>
            <w:r>
              <w:rPr>
                <w:rFonts w:hint="eastAsia" w:ascii="宋体" w:hAnsi="宋体" w:eastAsia="宋体" w:cs="Times New Roman"/>
                <w:bCs/>
                <w:color w:val="auto"/>
                <w:kern w:val="0"/>
                <w:szCs w:val="21"/>
                <w:highlight w:val="none"/>
                <w:lang w:eastAsia="zh-CN"/>
              </w:rPr>
              <w:t>供应商</w:t>
            </w:r>
            <w:r>
              <w:rPr>
                <w:rFonts w:hint="eastAsia" w:ascii="宋体" w:hAnsi="宋体" w:eastAsia="宋体" w:cs="Times New Roman"/>
                <w:bCs/>
                <w:color w:val="auto"/>
                <w:kern w:val="0"/>
                <w:szCs w:val="21"/>
                <w:highlight w:val="none"/>
              </w:rPr>
              <w:t>为其依法缴纳社会保险证明材料</w:t>
            </w:r>
            <w:r>
              <w:rPr>
                <w:rFonts w:hint="eastAsia" w:ascii="宋体" w:hAnsi="宋体" w:eastAsia="宋体" w:cs="Times New Roman"/>
                <w:bCs/>
                <w:color w:val="auto"/>
                <w:kern w:val="0"/>
                <w:szCs w:val="21"/>
                <w:highlight w:val="none"/>
                <w:lang w:eastAsia="zh-CN"/>
              </w:rPr>
              <w:t>扫描件。</w:t>
            </w:r>
          </w:p>
        </w:tc>
        <w:tc>
          <w:tcPr>
            <w:tcW w:w="851" w:type="dxa"/>
            <w:noWrap w:val="0"/>
            <w:vAlign w:val="center"/>
          </w:tcPr>
          <w:p w14:paraId="4EDED262">
            <w:pPr>
              <w:keepNext w:val="0"/>
              <w:keepLines w:val="0"/>
              <w:pageBreakBefore w:val="0"/>
              <w:kinsoku/>
              <w:wordWrap/>
              <w:overflowPunct/>
              <w:topLinePunct w:val="0"/>
              <w:autoSpaceDE/>
              <w:autoSpaceDN/>
              <w:bidi w:val="0"/>
              <w:adjustRightInd/>
              <w:spacing w:line="440" w:lineRule="exact"/>
              <w:ind w:right="0" w:rightChars="0"/>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10分</w:t>
            </w:r>
          </w:p>
        </w:tc>
      </w:tr>
      <w:tr w14:paraId="440A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786AF97A">
            <w:pPr>
              <w:keepNext w:val="0"/>
              <w:keepLines w:val="0"/>
              <w:pageBreakBefore w:val="0"/>
              <w:kinsoku/>
              <w:wordWrap/>
              <w:overflowPunct/>
              <w:topLinePunct w:val="0"/>
              <w:autoSpaceDE/>
              <w:autoSpaceDN/>
              <w:bidi w:val="0"/>
              <w:adjustRightInd/>
              <w:spacing w:line="440" w:lineRule="exact"/>
              <w:ind w:right="0" w:right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3.</w:t>
            </w:r>
            <w:r>
              <w:rPr>
                <w:rFonts w:hint="eastAsia" w:ascii="宋体" w:hAnsi="宋体" w:cs="宋体"/>
                <w:color w:val="auto"/>
                <w:kern w:val="0"/>
                <w:sz w:val="21"/>
                <w:szCs w:val="21"/>
                <w:highlight w:val="none"/>
                <w:lang w:val="en-US" w:eastAsia="zh-CN"/>
              </w:rPr>
              <w:t>2</w:t>
            </w:r>
          </w:p>
        </w:tc>
        <w:tc>
          <w:tcPr>
            <w:tcW w:w="1487" w:type="dxa"/>
            <w:noWrap w:val="0"/>
            <w:vAlign w:val="center"/>
          </w:tcPr>
          <w:p w14:paraId="7D2134B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项目业绩分</w:t>
            </w:r>
          </w:p>
        </w:tc>
        <w:tc>
          <w:tcPr>
            <w:tcW w:w="6174" w:type="dxa"/>
            <w:noWrap w:val="0"/>
            <w:vAlign w:val="center"/>
          </w:tcPr>
          <w:p w14:paraId="1FCECF9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供应商2020年1月至今承建过道路工程的每项得5分，满分得5分。（响应文件必须附成交通知书或施工合同扫描件；如为合同，须体现签订时间、项目范围内容等关键页信息，不提供不得分）。</w:t>
            </w:r>
          </w:p>
        </w:tc>
        <w:tc>
          <w:tcPr>
            <w:tcW w:w="851" w:type="dxa"/>
            <w:noWrap w:val="0"/>
            <w:vAlign w:val="center"/>
          </w:tcPr>
          <w:p w14:paraId="73E3D0A3">
            <w:pPr>
              <w:keepNext w:val="0"/>
              <w:keepLines w:val="0"/>
              <w:pageBreakBefore w:val="0"/>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color w:val="auto"/>
                <w:kern w:val="0"/>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tc>
      </w:tr>
      <w:tr w14:paraId="308C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5CAFF051">
            <w:pPr>
              <w:keepNext w:val="0"/>
              <w:keepLines w:val="0"/>
              <w:pageBreakBefore w:val="0"/>
              <w:widowControl/>
              <w:kinsoku/>
              <w:wordWrap/>
              <w:overflowPunct/>
              <w:topLinePunct w:val="0"/>
              <w:autoSpaceDE/>
              <w:autoSpaceDN/>
              <w:bidi w:val="0"/>
              <w:adjustRightInd/>
              <w:spacing w:line="440" w:lineRule="exact"/>
              <w:ind w:right="0" w:right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4</w:t>
            </w:r>
          </w:p>
        </w:tc>
        <w:tc>
          <w:tcPr>
            <w:tcW w:w="1487" w:type="dxa"/>
            <w:noWrap w:val="0"/>
            <w:vAlign w:val="center"/>
          </w:tcPr>
          <w:p w14:paraId="04226F2A">
            <w:pPr>
              <w:keepNext w:val="0"/>
              <w:keepLines w:val="0"/>
              <w:pageBreakBefore w:val="0"/>
              <w:widowControl/>
              <w:kinsoku/>
              <w:wordWrap/>
              <w:overflowPunct/>
              <w:topLinePunct w:val="0"/>
              <w:autoSpaceDE/>
              <w:autoSpaceDN/>
              <w:bidi w:val="0"/>
              <w:adjustRightInd/>
              <w:spacing w:line="440" w:lineRule="exact"/>
              <w:ind w:right="0" w:rightChars="0"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诚信</w:t>
            </w:r>
          </w:p>
        </w:tc>
        <w:tc>
          <w:tcPr>
            <w:tcW w:w="6174" w:type="dxa"/>
            <w:noWrap w:val="0"/>
            <w:vAlign w:val="top"/>
          </w:tcPr>
          <w:p w14:paraId="14CBF643">
            <w:pPr>
              <w:spacing w:line="380" w:lineRule="exact"/>
              <w:rPr>
                <w:rFonts w:hint="eastAsia" w:ascii="宋体" w:hAnsi="宋体"/>
                <w:bCs/>
                <w:color w:val="auto"/>
                <w:kern w:val="2"/>
                <w:sz w:val="21"/>
                <w:szCs w:val="21"/>
                <w:highlight w:val="none"/>
                <w:lang w:val="en-US" w:eastAsia="zh-CN" w:bidi="ar-SA"/>
              </w:rPr>
            </w:pPr>
            <w:r>
              <w:rPr>
                <w:rFonts w:hint="eastAsia" w:ascii="宋体" w:hAnsi="宋体"/>
                <w:bCs/>
                <w:color w:val="auto"/>
                <w:szCs w:val="21"/>
                <w:highlight w:val="none"/>
              </w:rPr>
              <w:t>供应商在截标日前1年内在政府采购活动中存在违约违规情形的（以财政部门出具的书面材料为评分依据），每次扣除3分，最高扣分6分扣完为止。</w:t>
            </w:r>
          </w:p>
        </w:tc>
        <w:tc>
          <w:tcPr>
            <w:tcW w:w="851" w:type="dxa"/>
            <w:noWrap w:val="0"/>
            <w:vAlign w:val="center"/>
          </w:tcPr>
          <w:p w14:paraId="067300DB">
            <w:pPr>
              <w:spacing w:line="380" w:lineRule="exact"/>
              <w:jc w:val="center"/>
              <w:rPr>
                <w:rFonts w:hint="eastAsia" w:ascii="宋体" w:hAnsi="宋体"/>
                <w:bCs/>
                <w:color w:val="auto"/>
                <w:kern w:val="2"/>
                <w:sz w:val="21"/>
                <w:szCs w:val="21"/>
                <w:highlight w:val="none"/>
                <w:lang w:val="en-US" w:eastAsia="zh-CN" w:bidi="ar-SA"/>
              </w:rPr>
            </w:pPr>
            <w:r>
              <w:rPr>
                <w:rFonts w:hint="eastAsia" w:ascii="宋体" w:hAnsi="宋体"/>
                <w:bCs/>
                <w:color w:val="auto"/>
                <w:szCs w:val="21"/>
                <w:highlight w:val="none"/>
              </w:rPr>
              <w:t>-6~0</w:t>
            </w:r>
          </w:p>
        </w:tc>
      </w:tr>
    </w:tbl>
    <w:p w14:paraId="7B99C0B5">
      <w:pPr>
        <w:pStyle w:val="21"/>
        <w:rPr>
          <w:rFonts w:hint="eastAsia" w:ascii="宋体" w:hAnsi="宋体" w:eastAsia="宋体" w:cs="宋体"/>
          <w:bCs/>
          <w:color w:val="auto"/>
          <w:sz w:val="21"/>
          <w:szCs w:val="21"/>
          <w:highlight w:val="none"/>
          <w:lang w:bidi="ar"/>
        </w:rPr>
      </w:pPr>
    </w:p>
    <w:p w14:paraId="30323E3C">
      <w:pPr>
        <w:pStyle w:val="18"/>
        <w:widowControl/>
        <w:spacing w:line="360" w:lineRule="auto"/>
        <w:ind w:firstLine="420" w:firstLineChars="200"/>
        <w:rPr>
          <w:rFonts w:hAnsi="宋体"/>
          <w:bCs/>
          <w:color w:val="auto"/>
          <w:highlight w:val="none"/>
        </w:rPr>
      </w:pPr>
      <w:r>
        <w:rPr>
          <w:rFonts w:hAnsi="宋体" w:cs="宋体"/>
          <w:color w:val="auto"/>
          <w:kern w:val="2"/>
          <w:sz w:val="21"/>
          <w:szCs w:val="24"/>
          <w:highlight w:val="none"/>
          <w:lang w:bidi="ar"/>
        </w:rPr>
        <w:t>8.2商务技术评审因素为客观评分项的，应在评分项目或评分标准中予以标注为“客观分”。对</w:t>
      </w:r>
      <w:r>
        <w:rPr>
          <w:rFonts w:hAnsi="宋体"/>
          <w:bCs/>
          <w:color w:val="auto"/>
          <w:highlight w:val="none"/>
        </w:rPr>
        <w:t>供应商的客观评分项目，各评审专家评分应当一致。</w:t>
      </w:r>
    </w:p>
    <w:p w14:paraId="4A88ABEB">
      <w:pPr>
        <w:spacing w:line="360" w:lineRule="auto"/>
        <w:ind w:firstLine="420" w:firstLineChars="200"/>
        <w:rPr>
          <w:rFonts w:hint="eastAsia" w:ascii="宋体" w:hAnsi="宋体" w:eastAsia="宋体" w:cs="宋体"/>
          <w:color w:val="auto"/>
          <w:highlight w:val="none"/>
        </w:rPr>
      </w:pPr>
      <w:bookmarkStart w:id="57" w:name="_Toc80205935"/>
      <w:r>
        <w:rPr>
          <w:rFonts w:hint="eastAsia" w:ascii="宋体" w:hAnsi="宋体" w:eastAsia="宋体" w:cs="宋体"/>
          <w:color w:val="auto"/>
          <w:highlight w:val="none"/>
          <w:lang w:bidi="ar"/>
        </w:rPr>
        <w:t>8.3.终止竞争性磋商采购活动</w:t>
      </w:r>
    </w:p>
    <w:p w14:paraId="3278341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0289658">
      <w:pPr>
        <w:pStyle w:val="3"/>
        <w:widowControl/>
        <w:spacing w:before="0" w:after="0" w:line="360" w:lineRule="auto"/>
        <w:ind w:firstLine="640" w:firstLineChars="200"/>
        <w:jc w:val="center"/>
        <w:rPr>
          <w:rFonts w:hint="eastAsia" w:ascii="宋体" w:hAnsi="宋体" w:eastAsia="宋体" w:cs="宋体"/>
          <w:b w:val="0"/>
          <w:color w:val="auto"/>
          <w:highlight w:val="none"/>
        </w:rPr>
      </w:pPr>
      <w:bookmarkStart w:id="58" w:name="_Toc10416"/>
      <w:r>
        <w:rPr>
          <w:rFonts w:hint="eastAsia" w:ascii="宋体" w:hAnsi="宋体" w:eastAsia="宋体" w:cs="宋体"/>
          <w:b w:val="0"/>
          <w:color w:val="auto"/>
          <w:highlight w:val="none"/>
        </w:rPr>
        <w:t>第二节 评标报告</w:t>
      </w:r>
      <w:bookmarkEnd w:id="57"/>
      <w:bookmarkEnd w:id="58"/>
    </w:p>
    <w:p w14:paraId="64AEAAE9">
      <w:pPr>
        <w:spacing w:line="360" w:lineRule="auto"/>
        <w:ind w:firstLine="480" w:firstLineChars="200"/>
        <w:rPr>
          <w:rFonts w:hint="eastAsia" w:ascii="黑体" w:hAnsi="宋体" w:eastAsia="黑体" w:cs="宋体"/>
          <w:color w:val="auto"/>
          <w:sz w:val="24"/>
          <w:szCs w:val="32"/>
          <w:highlight w:val="none"/>
        </w:rPr>
      </w:pPr>
      <w:r>
        <w:rPr>
          <w:rFonts w:hint="eastAsia" w:ascii="黑体" w:hAnsi="宋体" w:eastAsia="黑体" w:cs="宋体"/>
          <w:color w:val="auto"/>
          <w:sz w:val="24"/>
          <w:szCs w:val="32"/>
          <w:highlight w:val="none"/>
          <w:lang w:bidi="ar"/>
        </w:rPr>
        <w:t>1.成交标准</w:t>
      </w:r>
    </w:p>
    <w:p w14:paraId="00034C03">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lang w:bidi="ar"/>
        </w:rPr>
        <w:t>由磋商小组根据综合评分情况，按照评审得分由高到低顺序推荐3名以上成交候选供应商</w:t>
      </w:r>
      <w:r>
        <w:rPr>
          <w:rFonts w:hint="eastAsia" w:ascii="宋体" w:hAnsi="宋体" w:eastAsia="宋体" w:cs="宋体"/>
          <w:color w:val="auto"/>
          <w:highlight w:val="none"/>
          <w:lang w:bidi="ar"/>
        </w:rPr>
        <w:t>,并在线编写电子评审报告</w:t>
      </w:r>
      <w:r>
        <w:rPr>
          <w:rFonts w:hint="eastAsia" w:ascii="宋体" w:hAnsi="宋体" w:eastAsia="宋体" w:cs="宋体"/>
          <w:bCs/>
          <w:color w:val="auto"/>
          <w:szCs w:val="21"/>
          <w:highlight w:val="none"/>
          <w:lang w:bidi="ar"/>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1D3C49DB">
      <w:pPr>
        <w:spacing w:line="360" w:lineRule="auto"/>
        <w:ind w:firstLine="480" w:firstLineChars="200"/>
        <w:rPr>
          <w:rFonts w:hint="eastAsia" w:ascii="黑体" w:hAnsi="宋体" w:eastAsia="黑体" w:cs="宋体"/>
          <w:color w:val="auto"/>
          <w:sz w:val="24"/>
          <w:szCs w:val="32"/>
          <w:highlight w:val="none"/>
        </w:rPr>
      </w:pPr>
      <w:r>
        <w:rPr>
          <w:rFonts w:hint="eastAsia" w:ascii="黑体" w:hAnsi="宋体" w:eastAsia="黑体" w:cs="宋体"/>
          <w:color w:val="auto"/>
          <w:sz w:val="24"/>
          <w:szCs w:val="32"/>
          <w:highlight w:val="none"/>
          <w:lang w:bidi="ar"/>
        </w:rPr>
        <w:t>2.评标争议事项处理</w:t>
      </w:r>
    </w:p>
    <w:p w14:paraId="23929888">
      <w:pPr>
        <w:pStyle w:val="80"/>
        <w:widowControl/>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032707AC">
      <w:pPr>
        <w:pStyle w:val="3"/>
        <w:widowControl/>
        <w:spacing w:before="0" w:after="0" w:line="360" w:lineRule="auto"/>
        <w:ind w:firstLine="640" w:firstLineChars="200"/>
        <w:jc w:val="center"/>
        <w:rPr>
          <w:rFonts w:hint="eastAsia" w:ascii="宋体" w:hAnsi="宋体" w:eastAsia="宋体" w:cs="宋体"/>
          <w:b w:val="0"/>
          <w:color w:val="auto"/>
          <w:highlight w:val="none"/>
        </w:rPr>
      </w:pPr>
      <w:bookmarkStart w:id="59" w:name="_Toc80205936"/>
      <w:bookmarkStart w:id="60" w:name="_Toc8593"/>
      <w:r>
        <w:rPr>
          <w:rFonts w:hint="eastAsia" w:ascii="宋体" w:hAnsi="宋体" w:eastAsia="宋体" w:cs="宋体"/>
          <w:b w:val="0"/>
          <w:color w:val="auto"/>
          <w:highlight w:val="none"/>
        </w:rPr>
        <w:t>第三节 评审过程的保密与录像</w:t>
      </w:r>
      <w:bookmarkEnd w:id="59"/>
      <w:bookmarkEnd w:id="60"/>
    </w:p>
    <w:p w14:paraId="4BC3FF43">
      <w:pPr>
        <w:spacing w:line="360" w:lineRule="auto"/>
        <w:ind w:firstLine="480" w:firstLineChars="200"/>
        <w:rPr>
          <w:rFonts w:hint="eastAsia" w:ascii="黑体" w:hAnsi="宋体" w:eastAsia="黑体" w:cs="宋体"/>
          <w:color w:val="auto"/>
          <w:sz w:val="24"/>
          <w:szCs w:val="32"/>
          <w:highlight w:val="none"/>
        </w:rPr>
      </w:pPr>
      <w:r>
        <w:rPr>
          <w:rFonts w:hint="eastAsia" w:ascii="黑体" w:hAnsi="宋体" w:eastAsia="黑体" w:cs="宋体"/>
          <w:color w:val="auto"/>
          <w:sz w:val="24"/>
          <w:szCs w:val="32"/>
          <w:highlight w:val="none"/>
          <w:lang w:bidi="ar"/>
        </w:rPr>
        <w:t>1.保密。</w:t>
      </w:r>
    </w:p>
    <w:p w14:paraId="7ADCD2F1">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FE50830">
      <w:pPr>
        <w:widowControl/>
        <w:spacing w:line="360" w:lineRule="auto"/>
        <w:ind w:firstLine="480" w:firstLineChars="200"/>
        <w:rPr>
          <w:rFonts w:hint="eastAsia" w:ascii="黑体" w:hAnsi="宋体" w:eastAsia="黑体" w:cs="宋体"/>
          <w:color w:val="auto"/>
          <w:sz w:val="24"/>
          <w:szCs w:val="32"/>
          <w:highlight w:val="none"/>
        </w:rPr>
      </w:pPr>
      <w:r>
        <w:rPr>
          <w:rFonts w:hint="eastAsia" w:ascii="黑体" w:hAnsi="宋体" w:eastAsia="黑体" w:cs="宋体"/>
          <w:color w:val="auto"/>
          <w:sz w:val="24"/>
          <w:szCs w:val="32"/>
          <w:highlight w:val="none"/>
          <w:lang w:bidi="ar"/>
        </w:rPr>
        <w:t>2.录音录像。</w:t>
      </w:r>
    </w:p>
    <w:p w14:paraId="078867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采购代理机构对评审工作现场及操作屏幕进行全过程录音录像，录音录像资料作为采购项目文件随其他文件一并存档。</w:t>
      </w:r>
    </w:p>
    <w:p w14:paraId="49EF13DF">
      <w:pPr>
        <w:spacing w:line="400" w:lineRule="exact"/>
        <w:ind w:firstLine="420" w:firstLineChars="200"/>
        <w:rPr>
          <w:rFonts w:hint="eastAsia" w:ascii="宋体" w:hAnsi="宋体" w:eastAsia="宋体" w:cs="宋体"/>
          <w:color w:val="auto"/>
          <w:highlight w:val="none"/>
        </w:rPr>
      </w:pPr>
    </w:p>
    <w:p w14:paraId="2708EF2C">
      <w:pPr>
        <w:spacing w:line="400" w:lineRule="exact"/>
        <w:ind w:firstLine="420" w:firstLineChars="200"/>
        <w:rPr>
          <w:rFonts w:hint="eastAsia" w:ascii="宋体" w:hAnsi="宋体" w:eastAsia="宋体" w:cs="宋体"/>
          <w:color w:val="auto"/>
          <w:highlight w:val="none"/>
        </w:rPr>
      </w:pPr>
    </w:p>
    <w:p w14:paraId="1A23E544">
      <w:pPr>
        <w:rPr>
          <w:rFonts w:hint="eastAsia" w:cs="宋体"/>
          <w:color w:val="auto"/>
          <w:highlight w:val="none"/>
        </w:rPr>
      </w:pPr>
      <w:r>
        <w:rPr>
          <w:rFonts w:hint="eastAsia" w:cs="宋体"/>
          <w:color w:val="auto"/>
          <w:highlight w:val="none"/>
        </w:rPr>
        <w:br w:type="page"/>
      </w:r>
    </w:p>
    <w:p w14:paraId="7E6BC1CD">
      <w:pPr>
        <w:rPr>
          <w:rFonts w:hint="eastAsia"/>
          <w:color w:val="auto"/>
          <w:highlight w:val="none"/>
        </w:rPr>
      </w:pPr>
    </w:p>
    <w:p w14:paraId="71417D30">
      <w:pPr>
        <w:rPr>
          <w:rFonts w:hint="eastAsia"/>
          <w:color w:val="auto"/>
          <w:highlight w:val="none"/>
        </w:rPr>
      </w:pPr>
    </w:p>
    <w:p w14:paraId="3CBB48B1">
      <w:pPr>
        <w:pStyle w:val="2"/>
        <w:widowControl/>
        <w:jc w:val="center"/>
        <w:rPr>
          <w:color w:val="auto"/>
          <w:highlight w:val="none"/>
        </w:rPr>
      </w:pPr>
      <w:bookmarkStart w:id="61" w:name="_Toc5693"/>
      <w:r>
        <w:rPr>
          <w:rFonts w:hint="eastAsia" w:cs="宋体"/>
          <w:color w:val="auto"/>
          <w:highlight w:val="none"/>
        </w:rPr>
        <w:t>第五章</w:t>
      </w:r>
      <w:r>
        <w:rPr>
          <w:color w:val="auto"/>
          <w:highlight w:val="none"/>
        </w:rPr>
        <w:t xml:space="preserve"> </w:t>
      </w:r>
      <w:r>
        <w:rPr>
          <w:rFonts w:hint="eastAsia" w:cs="宋体"/>
          <w:color w:val="auto"/>
          <w:highlight w:val="none"/>
        </w:rPr>
        <w:t>响应文件格式</w:t>
      </w:r>
      <w:bookmarkEnd w:id="61"/>
    </w:p>
    <w:p w14:paraId="663D690F">
      <w:pPr>
        <w:spacing w:line="576" w:lineRule="auto"/>
        <w:rPr>
          <w:rFonts w:ascii="Times New Roman" w:hAnsi="Times New Roman" w:eastAsia="宋体" w:cs="Times New Roman"/>
          <w:b/>
          <w:bCs/>
          <w:color w:val="auto"/>
          <w:kern w:val="44"/>
          <w:sz w:val="44"/>
          <w:szCs w:val="44"/>
          <w:highlight w:val="none"/>
          <w:lang w:bidi="ar"/>
        </w:rPr>
        <w:sectPr>
          <w:pgSz w:w="11910" w:h="16840"/>
          <w:pgMar w:top="1304" w:right="1474" w:bottom="1134" w:left="1587" w:header="720" w:footer="720" w:gutter="0"/>
          <w:pgNumType w:fmt="decimal"/>
          <w:cols w:space="425" w:num="1"/>
          <w:docGrid w:type="lines" w:linePitch="312" w:charSpace="0"/>
        </w:sectPr>
      </w:pPr>
    </w:p>
    <w:p w14:paraId="4018E90B">
      <w:pPr>
        <w:pStyle w:val="3"/>
        <w:widowControl/>
        <w:jc w:val="center"/>
        <w:rPr>
          <w:rFonts w:hint="eastAsia" w:ascii="宋体" w:hAnsi="宋体" w:eastAsia="宋体" w:cs="宋体"/>
          <w:b w:val="0"/>
          <w:color w:val="auto"/>
          <w:highlight w:val="none"/>
        </w:rPr>
      </w:pPr>
      <w:bookmarkStart w:id="62" w:name="_Toc80205938"/>
      <w:bookmarkStart w:id="63" w:name="_Toc2366"/>
      <w:r>
        <w:rPr>
          <w:rFonts w:hint="eastAsia" w:ascii="宋体" w:hAnsi="宋体" w:eastAsia="宋体" w:cs="宋体"/>
          <w:b w:val="0"/>
          <w:color w:val="auto"/>
          <w:highlight w:val="none"/>
        </w:rPr>
        <w:t>第一节 封面格式</w:t>
      </w:r>
      <w:bookmarkEnd w:id="62"/>
      <w:bookmarkEnd w:id="63"/>
    </w:p>
    <w:p w14:paraId="2E63D42F">
      <w:pPr>
        <w:snapToGrid w:val="0"/>
        <w:spacing w:before="156" w:beforeLines="50" w:after="50"/>
        <w:rPr>
          <w:rFonts w:hint="eastAsia" w:ascii="宋体" w:hAnsi="宋体" w:eastAsia="宋体" w:cs="宋体"/>
          <w:color w:val="auto"/>
          <w:sz w:val="24"/>
          <w:szCs w:val="20"/>
          <w:highlight w:val="none"/>
        </w:rPr>
      </w:pPr>
    </w:p>
    <w:p w14:paraId="6F9A0CA5">
      <w:pPr>
        <w:snapToGrid w:val="0"/>
        <w:spacing w:before="156" w:beforeLines="50" w:after="50"/>
        <w:jc w:val="center"/>
        <w:rPr>
          <w:rFonts w:hint="eastAsia" w:ascii="宋体" w:hAnsi="宋体" w:eastAsia="宋体" w:cs="宋体"/>
          <w:bCs/>
          <w:color w:val="auto"/>
          <w:sz w:val="24"/>
          <w:szCs w:val="20"/>
          <w:highlight w:val="none"/>
        </w:rPr>
      </w:pPr>
    </w:p>
    <w:p w14:paraId="754999A5">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lang w:bidi="ar"/>
        </w:rPr>
        <w:t>响  应  文  件</w:t>
      </w:r>
    </w:p>
    <w:p w14:paraId="3E4E06A6">
      <w:pPr>
        <w:snapToGrid w:val="0"/>
        <w:spacing w:before="156" w:beforeLines="50" w:after="50"/>
        <w:rPr>
          <w:rFonts w:hint="eastAsia" w:ascii="宋体" w:hAnsi="宋体" w:eastAsia="宋体" w:cs="宋体"/>
          <w:bCs/>
          <w:color w:val="auto"/>
          <w:sz w:val="24"/>
          <w:szCs w:val="20"/>
          <w:highlight w:val="none"/>
        </w:rPr>
      </w:pPr>
    </w:p>
    <w:p w14:paraId="72CC047D">
      <w:pPr>
        <w:snapToGrid w:val="0"/>
        <w:spacing w:before="156" w:beforeLines="50" w:after="50"/>
        <w:rPr>
          <w:rFonts w:hint="eastAsia" w:ascii="宋体" w:hAnsi="宋体" w:eastAsia="宋体" w:cs="宋体"/>
          <w:bCs/>
          <w:color w:val="auto"/>
          <w:sz w:val="24"/>
          <w:szCs w:val="20"/>
          <w:highlight w:val="none"/>
        </w:rPr>
      </w:pPr>
    </w:p>
    <w:p w14:paraId="073AA092">
      <w:pPr>
        <w:snapToGrid w:val="0"/>
        <w:spacing w:before="156" w:beforeLines="50" w:after="50"/>
        <w:rPr>
          <w:rFonts w:hint="eastAsia" w:ascii="仿宋_GB2312" w:hAnsi="仿宋_GB2312" w:eastAsia="仿宋_GB2312" w:cs="仿宋_GB2312"/>
          <w:bCs/>
          <w:color w:val="auto"/>
          <w:sz w:val="32"/>
          <w:szCs w:val="32"/>
          <w:highlight w:val="none"/>
        </w:rPr>
      </w:pPr>
    </w:p>
    <w:p w14:paraId="694CA8D1">
      <w:pPr>
        <w:snapToGrid w:val="0"/>
        <w:spacing w:before="156" w:beforeLines="50" w:after="50"/>
        <w:ind w:firstLine="640" w:firstLineChars="200"/>
        <w:rPr>
          <w:rFonts w:hint="eastAsia" w:ascii="宋体" w:hAnsi="宋体" w:cs="仿宋_GB2312" w:eastAsiaTheme="minorEastAsia"/>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昆仑镇九塘社区大塘坡水稻灌溉工程</w:t>
      </w:r>
    </w:p>
    <w:p w14:paraId="76BDE40D">
      <w:pPr>
        <w:snapToGrid w:val="0"/>
        <w:spacing w:before="156" w:beforeLines="50" w:after="50"/>
        <w:ind w:firstLine="480" w:firstLineChars="150"/>
        <w:rPr>
          <w:rFonts w:hint="eastAsia" w:ascii="宋体" w:hAnsi="宋体" w:cs="仿宋_GB2312"/>
          <w:bCs/>
          <w:color w:val="auto"/>
          <w:sz w:val="32"/>
          <w:szCs w:val="32"/>
          <w:highlight w:val="none"/>
        </w:rPr>
      </w:pPr>
    </w:p>
    <w:p w14:paraId="5CE30C67">
      <w:pPr>
        <w:snapToGrid w:val="0"/>
        <w:spacing w:before="156"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项目编号：[项目采购-项目编号_7]</w:t>
      </w:r>
    </w:p>
    <w:p w14:paraId="7D855242">
      <w:pPr>
        <w:snapToGrid w:val="0"/>
        <w:spacing w:before="156" w:beforeLines="50" w:after="50"/>
        <w:ind w:firstLine="480" w:firstLineChars="150"/>
        <w:rPr>
          <w:rFonts w:hint="eastAsia" w:ascii="宋体" w:hAnsi="宋体" w:cs="仿宋_GB2312"/>
          <w:bCs/>
          <w:color w:val="auto"/>
          <w:sz w:val="32"/>
          <w:szCs w:val="32"/>
          <w:highlight w:val="none"/>
        </w:rPr>
      </w:pPr>
    </w:p>
    <w:p w14:paraId="3A242298">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96DD914">
      <w:pPr>
        <w:snapToGrid w:val="0"/>
        <w:spacing w:before="156" w:beforeLines="50" w:after="50"/>
        <w:rPr>
          <w:rFonts w:hint="eastAsia" w:ascii="宋体" w:hAnsi="宋体" w:cs="仿宋_GB2312"/>
          <w:bCs/>
          <w:color w:val="auto"/>
          <w:sz w:val="32"/>
          <w:szCs w:val="32"/>
          <w:highlight w:val="none"/>
        </w:rPr>
      </w:pPr>
    </w:p>
    <w:p w14:paraId="4A47F348">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1FEF981">
      <w:pPr>
        <w:snapToGrid w:val="0"/>
        <w:spacing w:before="156" w:beforeLines="50" w:after="50"/>
        <w:rPr>
          <w:rFonts w:hint="eastAsia" w:ascii="宋体" w:hAnsi="宋体" w:cs="仿宋_GB2312"/>
          <w:bCs/>
          <w:color w:val="auto"/>
          <w:sz w:val="32"/>
          <w:szCs w:val="32"/>
          <w:highlight w:val="none"/>
        </w:rPr>
      </w:pPr>
    </w:p>
    <w:p w14:paraId="31303B26">
      <w:pPr>
        <w:snapToGrid w:val="0"/>
        <w:spacing w:before="156" w:beforeLines="50" w:after="50"/>
        <w:rPr>
          <w:rFonts w:hint="eastAsia" w:ascii="宋体" w:hAnsi="宋体" w:eastAsia="宋体" w:cs="仿宋_GB2312"/>
          <w:bCs/>
          <w:color w:val="auto"/>
          <w:sz w:val="32"/>
          <w:szCs w:val="32"/>
          <w:highlight w:val="none"/>
        </w:rPr>
      </w:pPr>
    </w:p>
    <w:p w14:paraId="3CCB93D9">
      <w:pPr>
        <w:snapToGrid w:val="0"/>
        <w:spacing w:before="156" w:beforeLines="50" w:after="50"/>
        <w:ind w:firstLine="480" w:firstLineChars="150"/>
        <w:jc w:val="center"/>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首次响应文件提交截止时间前不得解密</w:t>
      </w:r>
    </w:p>
    <w:p w14:paraId="1EB17EDC">
      <w:pPr>
        <w:snapToGrid w:val="0"/>
        <w:spacing w:before="156" w:beforeLines="50" w:after="50"/>
        <w:ind w:firstLine="5440" w:firstLineChars="1700"/>
        <w:jc w:val="center"/>
        <w:rPr>
          <w:rFonts w:hint="eastAsia" w:ascii="宋体" w:hAnsi="宋体" w:eastAsia="宋体" w:cs="仿宋_GB2312"/>
          <w:bCs/>
          <w:color w:val="auto"/>
          <w:sz w:val="32"/>
          <w:szCs w:val="32"/>
          <w:highlight w:val="none"/>
        </w:rPr>
      </w:pPr>
    </w:p>
    <w:p w14:paraId="5FCC9CDD">
      <w:pPr>
        <w:snapToGrid w:val="0"/>
        <w:spacing w:before="156" w:beforeLines="50" w:after="50"/>
        <w:ind w:firstLine="645"/>
        <w:jc w:val="center"/>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年    月    日</w:t>
      </w:r>
    </w:p>
    <w:p w14:paraId="29C4EADC">
      <w:pPr>
        <w:rPr>
          <w:rFonts w:ascii="Times New Roman" w:hAnsi="Times New Roman" w:eastAsia="宋体" w:cs="Times New Roman"/>
          <w:color w:val="auto"/>
          <w:highlight w:val="none"/>
          <w:lang w:bidi="ar"/>
        </w:rPr>
        <w:sectPr>
          <w:pgSz w:w="11910" w:h="16840"/>
          <w:pgMar w:top="1340" w:right="1474" w:bottom="1134" w:left="1587" w:header="720" w:footer="720" w:gutter="0"/>
          <w:pgNumType w:fmt="decimal"/>
          <w:cols w:space="425" w:num="1"/>
          <w:docGrid w:type="lines" w:linePitch="312" w:charSpace="0"/>
        </w:sectPr>
      </w:pPr>
    </w:p>
    <w:p w14:paraId="73E384BF">
      <w:pPr>
        <w:pStyle w:val="3"/>
        <w:widowControl/>
        <w:jc w:val="center"/>
        <w:rPr>
          <w:rFonts w:hint="eastAsia" w:ascii="宋体" w:hAnsi="宋体" w:eastAsia="宋体" w:cs="宋体"/>
          <w:bCs w:val="0"/>
          <w:color w:val="auto"/>
          <w:highlight w:val="none"/>
        </w:rPr>
      </w:pPr>
      <w:bookmarkStart w:id="64" w:name="_Toc80205939"/>
      <w:bookmarkStart w:id="65" w:name="_Toc12386"/>
      <w:r>
        <w:rPr>
          <w:rFonts w:hint="eastAsia" w:ascii="宋体" w:hAnsi="宋体" w:eastAsia="宋体" w:cs="宋体"/>
          <w:bCs w:val="0"/>
          <w:color w:val="auto"/>
          <w:highlight w:val="none"/>
        </w:rPr>
        <w:t>第二节 资格证明文件格式</w:t>
      </w:r>
      <w:bookmarkEnd w:id="64"/>
      <w:bookmarkEnd w:id="65"/>
    </w:p>
    <w:p w14:paraId="29BE774F">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lang w:bidi="ar"/>
        </w:rPr>
        <w:t xml:space="preserve">                                                    </w:t>
      </w:r>
      <w:r>
        <w:rPr>
          <w:rFonts w:hint="eastAsia" w:ascii="宋体" w:hAnsi="宋体" w:eastAsia="宋体" w:cs="宋体"/>
          <w:bCs/>
          <w:color w:val="auto"/>
          <w:highlight w:val="none"/>
          <w:lang w:bidi="ar"/>
        </w:rPr>
        <w:t>全流程电子文件</w:t>
      </w:r>
    </w:p>
    <w:p w14:paraId="08BDB13A">
      <w:pPr>
        <w:snapToGrid w:val="0"/>
        <w:spacing w:before="156" w:beforeLines="50" w:after="50"/>
        <w:rPr>
          <w:rFonts w:hint="eastAsia" w:ascii="宋体" w:hAnsi="宋体" w:eastAsia="宋体" w:cs="宋体"/>
          <w:color w:val="auto"/>
          <w:sz w:val="24"/>
          <w:szCs w:val="20"/>
          <w:highlight w:val="none"/>
        </w:rPr>
      </w:pPr>
    </w:p>
    <w:p w14:paraId="5262D889">
      <w:pPr>
        <w:snapToGrid w:val="0"/>
        <w:spacing w:before="156" w:beforeLines="50" w:after="50"/>
        <w:rPr>
          <w:rFonts w:hint="eastAsia" w:ascii="宋体" w:hAnsi="宋体" w:eastAsia="宋体" w:cs="宋体"/>
          <w:color w:val="auto"/>
          <w:sz w:val="24"/>
          <w:szCs w:val="20"/>
          <w:highlight w:val="none"/>
        </w:rPr>
      </w:pPr>
    </w:p>
    <w:p w14:paraId="70B59AA8">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lang w:bidi="ar"/>
        </w:rPr>
        <w:t>资  格  证  明  文  件（封面）</w:t>
      </w:r>
    </w:p>
    <w:p w14:paraId="08375E69">
      <w:pPr>
        <w:snapToGrid w:val="0"/>
        <w:spacing w:before="156" w:beforeLines="50" w:after="50"/>
        <w:rPr>
          <w:rFonts w:hint="eastAsia" w:ascii="宋体" w:hAnsi="宋体" w:eastAsia="宋体" w:cs="宋体"/>
          <w:bCs/>
          <w:color w:val="auto"/>
          <w:sz w:val="24"/>
          <w:szCs w:val="20"/>
          <w:highlight w:val="none"/>
        </w:rPr>
      </w:pPr>
    </w:p>
    <w:p w14:paraId="1154264F">
      <w:pPr>
        <w:snapToGrid w:val="0"/>
        <w:spacing w:before="156" w:beforeLines="50" w:after="50"/>
        <w:rPr>
          <w:rFonts w:hint="eastAsia" w:ascii="宋体" w:hAnsi="宋体" w:eastAsia="宋体" w:cs="宋体"/>
          <w:bCs/>
          <w:color w:val="auto"/>
          <w:sz w:val="24"/>
          <w:szCs w:val="20"/>
          <w:highlight w:val="none"/>
        </w:rPr>
      </w:pPr>
    </w:p>
    <w:p w14:paraId="7187F1F9">
      <w:pPr>
        <w:snapToGrid w:val="0"/>
        <w:spacing w:before="156" w:beforeLines="50" w:after="50"/>
        <w:rPr>
          <w:rFonts w:hint="eastAsia" w:ascii="宋体" w:hAnsi="宋体" w:eastAsia="宋体" w:cs="宋体"/>
          <w:bCs/>
          <w:color w:val="auto"/>
          <w:sz w:val="24"/>
          <w:szCs w:val="20"/>
          <w:highlight w:val="none"/>
        </w:rPr>
      </w:pPr>
    </w:p>
    <w:p w14:paraId="6C3C490D">
      <w:pPr>
        <w:snapToGrid w:val="0"/>
        <w:spacing w:before="156" w:beforeLines="50" w:after="50"/>
        <w:rPr>
          <w:rFonts w:hint="eastAsia" w:ascii="宋体" w:hAnsi="宋体" w:eastAsia="宋体" w:cs="宋体"/>
          <w:bCs/>
          <w:color w:val="auto"/>
          <w:sz w:val="24"/>
          <w:szCs w:val="20"/>
          <w:highlight w:val="none"/>
        </w:rPr>
      </w:pPr>
    </w:p>
    <w:p w14:paraId="213A5EB9">
      <w:pPr>
        <w:snapToGrid w:val="0"/>
        <w:spacing w:before="156" w:beforeLines="50" w:after="50"/>
        <w:rPr>
          <w:rFonts w:hint="eastAsia" w:ascii="宋体" w:hAnsi="宋体" w:eastAsia="宋体" w:cs="宋体"/>
          <w:bCs/>
          <w:color w:val="auto"/>
          <w:sz w:val="24"/>
          <w:szCs w:val="20"/>
          <w:highlight w:val="none"/>
        </w:rPr>
      </w:pPr>
    </w:p>
    <w:p w14:paraId="7000FE92">
      <w:pPr>
        <w:snapToGrid w:val="0"/>
        <w:spacing w:before="156" w:beforeLines="50" w:after="50"/>
        <w:rPr>
          <w:rFonts w:hint="eastAsia" w:ascii="仿宋_GB2312" w:hAnsi="仿宋_GB2312" w:eastAsia="仿宋_GB2312" w:cs="仿宋_GB2312"/>
          <w:bCs/>
          <w:color w:val="auto"/>
          <w:sz w:val="32"/>
          <w:szCs w:val="32"/>
          <w:highlight w:val="none"/>
        </w:rPr>
      </w:pPr>
    </w:p>
    <w:p w14:paraId="78B85244">
      <w:pPr>
        <w:snapToGrid w:val="0"/>
        <w:spacing w:before="156" w:beforeLines="50" w:after="50"/>
        <w:ind w:firstLine="640" w:firstLineChars="200"/>
        <w:rPr>
          <w:rFonts w:hint="eastAsia" w:ascii="宋体" w:hAnsi="宋体" w:cs="仿宋_GB2312" w:eastAsiaTheme="minorEastAsia"/>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昆仑镇九塘社区大塘坡水稻灌溉工程</w:t>
      </w:r>
    </w:p>
    <w:p w14:paraId="6D1901E8">
      <w:pPr>
        <w:snapToGrid w:val="0"/>
        <w:spacing w:before="156" w:beforeLines="50" w:after="50"/>
        <w:ind w:firstLine="480" w:firstLineChars="150"/>
        <w:rPr>
          <w:rFonts w:hint="eastAsia" w:ascii="宋体" w:hAnsi="宋体" w:cs="仿宋_GB2312"/>
          <w:bCs/>
          <w:color w:val="auto"/>
          <w:sz w:val="32"/>
          <w:szCs w:val="32"/>
          <w:highlight w:val="none"/>
        </w:rPr>
      </w:pPr>
    </w:p>
    <w:p w14:paraId="5B1D1C06">
      <w:pPr>
        <w:snapToGrid w:val="0"/>
        <w:spacing w:before="156"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项目编号：[项目采购-项目编号_7]</w:t>
      </w:r>
    </w:p>
    <w:p w14:paraId="03A73341">
      <w:pPr>
        <w:snapToGrid w:val="0"/>
        <w:spacing w:before="156" w:beforeLines="50" w:after="50"/>
        <w:ind w:firstLine="720" w:firstLineChars="225"/>
        <w:rPr>
          <w:rFonts w:hint="eastAsia" w:ascii="宋体" w:hAnsi="宋体" w:cs="仿宋_GB2312"/>
          <w:bCs/>
          <w:color w:val="auto"/>
          <w:sz w:val="32"/>
          <w:szCs w:val="32"/>
          <w:highlight w:val="none"/>
        </w:rPr>
      </w:pPr>
    </w:p>
    <w:p w14:paraId="71D59C26">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085260C">
      <w:pPr>
        <w:snapToGrid w:val="0"/>
        <w:spacing w:before="156" w:beforeLines="50" w:after="50"/>
        <w:rPr>
          <w:rFonts w:hint="eastAsia" w:ascii="宋体" w:hAnsi="宋体" w:cs="仿宋_GB2312"/>
          <w:bCs/>
          <w:color w:val="auto"/>
          <w:sz w:val="32"/>
          <w:szCs w:val="32"/>
          <w:highlight w:val="none"/>
        </w:rPr>
      </w:pPr>
    </w:p>
    <w:p w14:paraId="2223A8B4">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FF7DF82">
      <w:pPr>
        <w:snapToGrid w:val="0"/>
        <w:spacing w:before="156" w:beforeLines="50" w:after="50"/>
        <w:rPr>
          <w:rFonts w:hint="eastAsia" w:ascii="宋体" w:hAnsi="宋体" w:cs="仿宋_GB2312"/>
          <w:bCs/>
          <w:color w:val="auto"/>
          <w:sz w:val="32"/>
          <w:szCs w:val="32"/>
          <w:highlight w:val="none"/>
        </w:rPr>
      </w:pPr>
    </w:p>
    <w:p w14:paraId="5E48C855">
      <w:pPr>
        <w:pStyle w:val="10"/>
        <w:widowControl/>
        <w:snapToGrid w:val="0"/>
        <w:spacing w:before="50" w:after="50"/>
        <w:ind w:firstLine="720" w:firstLineChars="225"/>
        <w:rPr>
          <w:rFonts w:hint="eastAsia" w:ascii="宋体" w:hAnsi="宋体" w:cs="仿宋_GB2312"/>
          <w:bCs/>
          <w:color w:val="auto"/>
          <w:sz w:val="32"/>
          <w:szCs w:val="32"/>
          <w:highlight w:val="none"/>
        </w:rPr>
      </w:pPr>
    </w:p>
    <w:p w14:paraId="78DFA3C4">
      <w:pPr>
        <w:pStyle w:val="10"/>
        <w:widowControl/>
        <w:snapToGrid w:val="0"/>
        <w:spacing w:before="50" w:after="50"/>
        <w:ind w:firstLine="720" w:firstLineChars="225"/>
        <w:rPr>
          <w:rFonts w:hint="eastAsia" w:ascii="宋体" w:hAnsi="宋体" w:cs="仿宋_GB2312"/>
          <w:bCs/>
          <w:color w:val="auto"/>
          <w:sz w:val="32"/>
          <w:szCs w:val="32"/>
          <w:highlight w:val="none"/>
        </w:rPr>
      </w:pPr>
    </w:p>
    <w:p w14:paraId="5EE8373C">
      <w:pPr>
        <w:pStyle w:val="10"/>
        <w:widowControl/>
        <w:snapToGrid w:val="0"/>
        <w:spacing w:before="50" w:after="50"/>
        <w:ind w:firstLine="720" w:firstLineChars="225"/>
        <w:rPr>
          <w:rFonts w:hint="eastAsia" w:ascii="宋体" w:hAnsi="宋体" w:cs="仿宋_GB2312"/>
          <w:bCs/>
          <w:color w:val="auto"/>
          <w:sz w:val="32"/>
          <w:szCs w:val="32"/>
          <w:highlight w:val="none"/>
        </w:rPr>
      </w:pPr>
    </w:p>
    <w:p w14:paraId="3EF5A8FD">
      <w:pPr>
        <w:pStyle w:val="10"/>
        <w:widowControl/>
        <w:snapToGrid w:val="0"/>
        <w:spacing w:before="50" w:after="50"/>
        <w:ind w:firstLine="1280" w:firstLineChars="400"/>
        <w:rPr>
          <w:rFonts w:hint="eastAsia" w:ascii="宋体" w:hAnsi="宋体" w:cs="仿宋_GB2312"/>
          <w:bCs/>
          <w:color w:val="auto"/>
          <w:sz w:val="32"/>
          <w:szCs w:val="32"/>
          <w:highlight w:val="none"/>
        </w:rPr>
      </w:pPr>
    </w:p>
    <w:p w14:paraId="7B556392">
      <w:pPr>
        <w:snapToGrid w:val="0"/>
        <w:spacing w:before="156"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lang w:bidi="ar"/>
        </w:rPr>
        <w:t>年    月    日</w:t>
      </w:r>
    </w:p>
    <w:p w14:paraId="7D353363">
      <w:pPr>
        <w:snapToGrid w:val="0"/>
        <w:spacing w:before="156" w:beforeLines="50" w:after="50" w:line="360" w:lineRule="auto"/>
        <w:jc w:val="left"/>
        <w:rPr>
          <w:rFonts w:hint="eastAsia" w:ascii="宋体" w:hAnsi="宋体" w:eastAsia="宋体" w:cs="宋体"/>
          <w:b/>
          <w:bCs/>
          <w:color w:val="auto"/>
          <w:sz w:val="32"/>
          <w:szCs w:val="32"/>
          <w:highlight w:val="none"/>
        </w:rPr>
      </w:pPr>
      <w:r>
        <w:rPr>
          <w:rFonts w:hint="eastAsia" w:ascii="宋体" w:hAnsi="宋体" w:eastAsia="宋体" w:cs="Times New Roman"/>
          <w:color w:val="auto"/>
          <w:sz w:val="24"/>
          <w:highlight w:val="none"/>
          <w:lang w:bidi="ar"/>
        </w:rPr>
        <w:br w:type="page"/>
      </w:r>
      <w:r>
        <w:rPr>
          <w:rFonts w:hint="eastAsia" w:ascii="宋体" w:hAnsi="宋体" w:eastAsia="宋体" w:cs="宋体"/>
          <w:b/>
          <w:bCs/>
          <w:color w:val="auto"/>
          <w:sz w:val="32"/>
          <w:szCs w:val="32"/>
          <w:highlight w:val="none"/>
          <w:lang w:bidi="ar"/>
        </w:rPr>
        <w:t xml:space="preserve"> </w:t>
      </w:r>
    </w:p>
    <w:p w14:paraId="2EFB0CA0">
      <w:pPr>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lang w:bidi="ar"/>
        </w:rPr>
        <w:t>资格证明文件目录</w:t>
      </w:r>
    </w:p>
    <w:p w14:paraId="7A20C263">
      <w:pPr>
        <w:snapToGrid w:val="0"/>
        <w:spacing w:line="360" w:lineRule="auto"/>
        <w:rPr>
          <w:rFonts w:hint="eastAsia" w:ascii="仿宋_GB2312" w:hAnsi="仿宋" w:eastAsia="仿宋_GB2312" w:cs="仿宋_GB2312"/>
          <w:color w:val="auto"/>
          <w:kern w:val="0"/>
          <w:sz w:val="24"/>
          <w:highlight w:val="none"/>
        </w:rPr>
      </w:pPr>
    </w:p>
    <w:p w14:paraId="25041ED4">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一、</w:t>
      </w:r>
      <w:r>
        <w:rPr>
          <w:rFonts w:hint="eastAsia" w:ascii="仿宋_GB2312" w:hAnsi="仿宋" w:eastAsia="仿宋_GB2312" w:cs="仿宋_GB2312"/>
          <w:color w:val="auto"/>
          <w:sz w:val="24"/>
          <w:highlight w:val="none"/>
          <w:lang w:bidi="ar"/>
        </w:rPr>
        <w:t>营业执照(或事业法人登记证或其他工商等登记证明材料)复印件（供应商为自然人的，须提供</w:t>
      </w:r>
      <w:r>
        <w:rPr>
          <w:rFonts w:hint="eastAsia" w:ascii="仿宋_GB2312" w:hAnsi="仿宋" w:eastAsia="仿宋_GB2312" w:cs="Helvetica"/>
          <w:color w:val="auto"/>
          <w:kern w:val="0"/>
          <w:sz w:val="24"/>
          <w:highlight w:val="none"/>
          <w:lang w:bidi="ar"/>
        </w:rPr>
        <w:t>自然人的身份证明</w:t>
      </w:r>
      <w:r>
        <w:rPr>
          <w:rFonts w:hint="eastAsia" w:ascii="仿宋_GB2312" w:hAnsi="仿宋" w:eastAsia="仿宋_GB2312" w:cs="仿宋_GB2312"/>
          <w:color w:val="auto"/>
          <w:sz w:val="24"/>
          <w:highlight w:val="none"/>
          <w:lang w:bidi="ar"/>
        </w:rPr>
        <w:t>）</w:t>
      </w:r>
      <w:r>
        <w:rPr>
          <w:rFonts w:hint="eastAsia" w:ascii="仿宋_GB2312" w:hAnsi="仿宋" w:eastAsia="仿宋_GB2312" w:cs="仿宋_GB2312"/>
          <w:color w:val="auto"/>
          <w:kern w:val="0"/>
          <w:sz w:val="24"/>
          <w:highlight w:val="none"/>
          <w:lang w:bidi="ar"/>
        </w:rPr>
        <w:t>…………………………………………（页码）</w:t>
      </w:r>
    </w:p>
    <w:p w14:paraId="1E9F90E7">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二、符合参与政府采购活动的资格条件依法缴纳税收、社会保障资金等方面的材料…………………………………………………………………………………（页码）</w:t>
      </w:r>
    </w:p>
    <w:p w14:paraId="33B3C9F0">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三、财务状况报告方面的材料…………………………………………………（页码）</w:t>
      </w:r>
    </w:p>
    <w:p w14:paraId="165628EA">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lang w:bidi="ar"/>
        </w:rPr>
        <w:t>四、供应商直接控股股东信息</w:t>
      </w:r>
      <w:r>
        <w:rPr>
          <w:rFonts w:hint="eastAsia" w:ascii="仿宋_GB2312" w:hAnsi="仿宋" w:eastAsia="仿宋_GB2312" w:cs="仿宋_GB2312"/>
          <w:color w:val="auto"/>
          <w:kern w:val="0"/>
          <w:sz w:val="24"/>
          <w:highlight w:val="none"/>
          <w:lang w:bidi="ar"/>
        </w:rPr>
        <w:t>…………………………………………………（页码）</w:t>
      </w:r>
    </w:p>
    <w:p w14:paraId="1FCA2840">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lang w:bidi="ar"/>
        </w:rPr>
        <w:t>五、供应商直接关联关系信息表</w:t>
      </w:r>
      <w:r>
        <w:rPr>
          <w:rFonts w:hint="eastAsia" w:ascii="仿宋_GB2312" w:hAnsi="仿宋" w:eastAsia="仿宋_GB2312" w:cs="仿宋_GB2312"/>
          <w:color w:val="auto"/>
          <w:kern w:val="0"/>
          <w:sz w:val="24"/>
          <w:highlight w:val="none"/>
          <w:lang w:bidi="ar"/>
        </w:rPr>
        <w:t>………………………………………………（页码）</w:t>
      </w:r>
    </w:p>
    <w:p w14:paraId="686D4B7B">
      <w:pPr>
        <w:snapToGrid w:val="0"/>
        <w:spacing w:line="360" w:lineRule="auto"/>
        <w:rPr>
          <w:rFonts w:hint="eastAsia" w:ascii="仿宋_GB2312" w:hAnsi="仿宋" w:eastAsia="仿宋_GB2312" w:cs="仿宋_GB2312"/>
          <w:color w:val="auto"/>
          <w:kern w:val="0"/>
          <w:sz w:val="24"/>
          <w:highlight w:val="none"/>
          <w:lang w:bidi="ar"/>
        </w:rPr>
      </w:pPr>
      <w:r>
        <w:rPr>
          <w:rFonts w:hint="eastAsia" w:ascii="仿宋_GB2312" w:hAnsi="仿宋" w:eastAsia="仿宋_GB2312" w:cs="仿宋_GB2312"/>
          <w:color w:val="auto"/>
          <w:kern w:val="0"/>
          <w:sz w:val="24"/>
          <w:highlight w:val="none"/>
          <w:lang w:bidi="ar"/>
        </w:rPr>
        <w:t>六、资格声明函…………………………………………………………………（页码）</w:t>
      </w:r>
    </w:p>
    <w:p w14:paraId="2EBE6305">
      <w:pPr>
        <w:snapToGrid w:val="0"/>
        <w:spacing w:line="360" w:lineRule="auto"/>
        <w:rPr>
          <w:rFonts w:hint="eastAsia" w:ascii="仿宋_GB2312" w:hAnsi="仿宋" w:eastAsia="仿宋_GB2312" w:cs="仿宋_GB2312"/>
          <w:color w:val="auto"/>
          <w:kern w:val="0"/>
          <w:sz w:val="24"/>
          <w:highlight w:val="none"/>
          <w:lang w:bidi="ar"/>
        </w:rPr>
      </w:pPr>
      <w:r>
        <w:rPr>
          <w:rFonts w:hint="eastAsia" w:ascii="仿宋_GB2312" w:hAnsi="仿宋" w:eastAsia="仿宋_GB2312" w:cs="仿宋_GB2312"/>
          <w:color w:val="auto"/>
          <w:kern w:val="0"/>
          <w:sz w:val="24"/>
          <w:highlight w:val="none"/>
          <w:lang w:eastAsia="zh-CN" w:bidi="ar"/>
        </w:rPr>
        <w:t>七</w:t>
      </w:r>
      <w:r>
        <w:rPr>
          <w:rFonts w:hint="eastAsia" w:ascii="仿宋_GB2312" w:hAnsi="仿宋" w:eastAsia="仿宋_GB2312" w:cs="仿宋_GB2312"/>
          <w:color w:val="auto"/>
          <w:kern w:val="0"/>
          <w:sz w:val="24"/>
          <w:highlight w:val="none"/>
          <w:lang w:bidi="ar"/>
        </w:rPr>
        <w:t>.联合体协议书……………………………………………………………………（页码）</w:t>
      </w:r>
    </w:p>
    <w:p w14:paraId="06DF932B">
      <w:pPr>
        <w:snapToGrid w:val="0"/>
        <w:spacing w:line="360" w:lineRule="auto"/>
        <w:rPr>
          <w:rFonts w:hint="eastAsia" w:ascii="仿宋_GB2312" w:hAnsi="仿宋" w:eastAsia="仿宋_GB2312" w:cs="仿宋_GB2312"/>
          <w:color w:val="auto"/>
          <w:kern w:val="0"/>
          <w:sz w:val="24"/>
          <w:highlight w:val="none"/>
          <w:lang w:bidi="ar"/>
        </w:rPr>
      </w:pPr>
      <w:r>
        <w:rPr>
          <w:rFonts w:hint="eastAsia" w:ascii="仿宋_GB2312" w:hAnsi="仿宋" w:eastAsia="仿宋_GB2312" w:cs="仿宋_GB2312"/>
          <w:color w:val="auto"/>
          <w:kern w:val="0"/>
          <w:sz w:val="24"/>
          <w:highlight w:val="none"/>
          <w:lang w:eastAsia="zh-CN" w:bidi="ar"/>
        </w:rPr>
        <w:t>八</w:t>
      </w:r>
      <w:r>
        <w:rPr>
          <w:rFonts w:hint="eastAsia" w:ascii="仿宋_GB2312" w:hAnsi="仿宋" w:eastAsia="仿宋_GB2312" w:cs="仿宋_GB2312"/>
          <w:color w:val="auto"/>
          <w:kern w:val="0"/>
          <w:sz w:val="24"/>
          <w:highlight w:val="none"/>
          <w:lang w:bidi="ar"/>
        </w:rPr>
        <w:t>.具有水利水电工程施工总承包叁级以上（含叁级）资质，在 人员、设备、资金等方面具有相应的施工能力，并具有省级(或以上级)建设行政主管部门颁发的建 筑施工安全生产许可证； 拟派项目经理具备水利水电工程专业贰级以上(含贰级)注册建造师 资格，具备有效的安全生产考核合格证书（B 类）；………………（页码）</w:t>
      </w:r>
      <w:r>
        <w:rPr>
          <w:rFonts w:hint="eastAsia" w:ascii="仿宋_GB2312" w:hAnsi="仿宋" w:eastAsia="仿宋_GB2312" w:cs="仿宋_GB2312"/>
          <w:color w:val="auto"/>
          <w:kern w:val="0"/>
          <w:sz w:val="24"/>
          <w:highlight w:val="none"/>
          <w:lang w:val="en-US" w:eastAsia="zh-CN" w:bidi="ar"/>
        </w:rPr>
        <w:t>九</w:t>
      </w:r>
      <w:r>
        <w:rPr>
          <w:rFonts w:hint="eastAsia" w:ascii="仿宋_GB2312" w:hAnsi="仿宋" w:eastAsia="仿宋_GB2312" w:cs="仿宋_GB2312"/>
          <w:color w:val="auto"/>
          <w:kern w:val="0"/>
          <w:sz w:val="24"/>
          <w:highlight w:val="none"/>
          <w:lang w:bidi="ar"/>
        </w:rPr>
        <w:t>.中小企业声明函或残疾人福利性单位声明函或投标人属于监狱企业的证明材料；………………………………………………………………………………（页码）</w:t>
      </w:r>
    </w:p>
    <w:p w14:paraId="4154D5A7">
      <w:pPr>
        <w:snapToGrid w:val="0"/>
        <w:spacing w:line="360" w:lineRule="auto"/>
        <w:rPr>
          <w:rFonts w:hint="eastAsia" w:ascii="仿宋_GB2312" w:hAnsi="仿宋" w:eastAsia="仿宋_GB2312" w:cs="仿宋_GB2312"/>
          <w:color w:val="auto"/>
          <w:kern w:val="0"/>
          <w:sz w:val="24"/>
          <w:highlight w:val="none"/>
          <w:lang w:bidi="ar"/>
        </w:rPr>
      </w:pPr>
      <w:r>
        <w:rPr>
          <w:rFonts w:hint="eastAsia" w:ascii="仿宋_GB2312" w:hAnsi="仿宋" w:eastAsia="仿宋_GB2312" w:cs="仿宋_GB2312"/>
          <w:color w:val="auto"/>
          <w:kern w:val="0"/>
          <w:sz w:val="24"/>
          <w:highlight w:val="none"/>
          <w:lang w:val="en-US" w:eastAsia="zh-CN" w:bidi="ar"/>
        </w:rPr>
        <w:t>十</w:t>
      </w:r>
      <w:r>
        <w:rPr>
          <w:rFonts w:hint="eastAsia" w:ascii="仿宋_GB2312" w:hAnsi="仿宋" w:eastAsia="仿宋_GB2312" w:cs="仿宋_GB2312"/>
          <w:color w:val="auto"/>
          <w:kern w:val="0"/>
          <w:sz w:val="24"/>
          <w:highlight w:val="none"/>
          <w:lang w:bidi="ar"/>
        </w:rPr>
        <w:t>.除磋商文件规定必须提供以外，供应商认为需要提供的其他证明材料；…（页码）</w:t>
      </w:r>
    </w:p>
    <w:p w14:paraId="3E05B2F1">
      <w:pPr>
        <w:snapToGrid w:val="0"/>
        <w:spacing w:line="360" w:lineRule="auto"/>
        <w:rPr>
          <w:rFonts w:hint="eastAsia" w:ascii="仿宋_GB2312" w:hAnsi="仿宋" w:eastAsia="仿宋_GB2312" w:cs="仿宋_GB2312"/>
          <w:color w:val="auto"/>
          <w:kern w:val="0"/>
          <w:sz w:val="24"/>
          <w:highlight w:val="none"/>
          <w:lang w:bidi="ar"/>
        </w:rPr>
      </w:pPr>
    </w:p>
    <w:p w14:paraId="26EF27ED">
      <w:pPr>
        <w:spacing w:line="360" w:lineRule="auto"/>
        <w:rPr>
          <w:rFonts w:hint="eastAsia" w:ascii="仿宋_GB2312" w:hAnsi="仿宋_GB2312" w:eastAsia="仿宋_GB2312" w:cs="仿宋_GB2312"/>
          <w:b/>
          <w:bCs/>
          <w:color w:val="auto"/>
          <w:sz w:val="24"/>
          <w:highlight w:val="none"/>
        </w:rPr>
      </w:pPr>
    </w:p>
    <w:p w14:paraId="1C4DD2D3">
      <w:pPr>
        <w:spacing w:line="360" w:lineRule="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bidi="ar"/>
        </w:rPr>
        <w:t>注：以上目录是编制供应商响应文件的基本格式要求，各供应商可根据自身情况进一步细化。</w:t>
      </w:r>
    </w:p>
    <w:p w14:paraId="0F6350D7">
      <w:pPr>
        <w:snapToGrid w:val="0"/>
        <w:spacing w:before="156" w:beforeLines="50" w:after="50" w:line="360" w:lineRule="auto"/>
        <w:ind w:left="142" w:firstLine="420" w:firstLineChars="200"/>
        <w:jc w:val="left"/>
        <w:rPr>
          <w:rFonts w:hint="eastAsia" w:ascii="宋体" w:hAnsi="宋体" w:eastAsia="宋体" w:cs="宋体"/>
          <w:color w:val="auto"/>
          <w:szCs w:val="21"/>
          <w:highlight w:val="none"/>
        </w:rPr>
      </w:pPr>
    </w:p>
    <w:p w14:paraId="111263DD">
      <w:pPr>
        <w:spacing w:line="300" w:lineRule="auto"/>
        <w:rPr>
          <w:rFonts w:hint="eastAsia" w:ascii="宋体" w:hAnsi="宋体" w:eastAsia="宋体" w:cs="宋体"/>
          <w:color w:val="auto"/>
          <w:szCs w:val="21"/>
          <w:highlight w:val="none"/>
        </w:rPr>
      </w:pPr>
    </w:p>
    <w:p w14:paraId="080D87C4">
      <w:pPr>
        <w:spacing w:line="300" w:lineRule="auto"/>
        <w:rPr>
          <w:rFonts w:hint="eastAsia" w:ascii="宋体" w:hAnsi="宋体" w:eastAsia="宋体" w:cs="宋体"/>
          <w:color w:val="auto"/>
          <w:szCs w:val="21"/>
          <w:highlight w:val="none"/>
        </w:rPr>
      </w:pPr>
    </w:p>
    <w:p w14:paraId="004F4619">
      <w:pPr>
        <w:spacing w:line="300" w:lineRule="auto"/>
        <w:rPr>
          <w:rFonts w:hint="eastAsia" w:ascii="宋体" w:hAnsi="宋体" w:eastAsia="宋体" w:cs="宋体"/>
          <w:color w:val="auto"/>
          <w:szCs w:val="21"/>
          <w:highlight w:val="none"/>
        </w:rPr>
      </w:pPr>
    </w:p>
    <w:p w14:paraId="5E062AE2">
      <w:pPr>
        <w:spacing w:line="300" w:lineRule="auto"/>
        <w:rPr>
          <w:rFonts w:hint="eastAsia" w:ascii="宋体" w:hAnsi="宋体" w:eastAsia="宋体" w:cs="宋体"/>
          <w:color w:val="auto"/>
          <w:szCs w:val="21"/>
          <w:highlight w:val="none"/>
        </w:rPr>
      </w:pPr>
    </w:p>
    <w:p w14:paraId="30D041B9">
      <w:pPr>
        <w:spacing w:line="300" w:lineRule="auto"/>
        <w:rPr>
          <w:rFonts w:hint="eastAsia" w:ascii="宋体" w:hAnsi="宋体" w:eastAsia="宋体" w:cs="宋体"/>
          <w:color w:val="auto"/>
          <w:szCs w:val="21"/>
          <w:highlight w:val="none"/>
        </w:rPr>
      </w:pPr>
    </w:p>
    <w:p w14:paraId="4D011C84">
      <w:pPr>
        <w:spacing w:line="300" w:lineRule="auto"/>
        <w:rPr>
          <w:rFonts w:hint="eastAsia" w:ascii="宋体" w:hAnsi="宋体" w:eastAsia="宋体" w:cs="宋体"/>
          <w:color w:val="auto"/>
          <w:szCs w:val="21"/>
          <w:highlight w:val="none"/>
        </w:rPr>
      </w:pPr>
    </w:p>
    <w:p w14:paraId="17A8F668">
      <w:pPr>
        <w:spacing w:line="300" w:lineRule="auto"/>
        <w:rPr>
          <w:rFonts w:hint="eastAsia" w:ascii="宋体" w:hAnsi="宋体" w:eastAsia="宋体" w:cs="宋体"/>
          <w:color w:val="auto"/>
          <w:szCs w:val="21"/>
          <w:highlight w:val="none"/>
        </w:rPr>
      </w:pPr>
    </w:p>
    <w:p w14:paraId="7AF67272">
      <w:pPr>
        <w:pStyle w:val="18"/>
        <w:widowControl/>
        <w:spacing w:line="360" w:lineRule="auto"/>
        <w:ind w:firstLine="400" w:firstLineChars="200"/>
        <w:rPr>
          <w:rFonts w:ascii="仿宋" w:hAnsi="仿宋" w:eastAsia="仿宋" w:cs="仿宋_GB2312"/>
          <w:b/>
          <w:color w:val="auto"/>
          <w:sz w:val="30"/>
          <w:szCs w:val="30"/>
          <w:highlight w:val="none"/>
        </w:rPr>
      </w:pPr>
      <w:r>
        <w:rPr>
          <w:rFonts w:hAnsi="宋体"/>
          <w:color w:val="auto"/>
          <w:highlight w:val="none"/>
        </w:rPr>
        <w:t xml:space="preserve">   </w:t>
      </w:r>
      <w:r>
        <w:rPr>
          <w:rFonts w:ascii="仿宋" w:hAnsi="仿宋" w:eastAsia="仿宋" w:cs="仿宋_GB2312"/>
          <w:b/>
          <w:color w:val="auto"/>
          <w:sz w:val="30"/>
          <w:szCs w:val="30"/>
          <w:highlight w:val="none"/>
        </w:rPr>
        <w:t>一、营业执照(或事业法人登记证或其他工商等登记证明材料)复印件（供应商为自然人的，提供自然人的身份证明）</w:t>
      </w:r>
    </w:p>
    <w:p w14:paraId="38DCE92C">
      <w:pPr>
        <w:pStyle w:val="18"/>
        <w:widowControl/>
        <w:spacing w:line="360" w:lineRule="auto"/>
        <w:ind w:firstLine="602" w:firstLineChars="200"/>
        <w:rPr>
          <w:rFonts w:ascii="仿宋" w:hAnsi="仿宋" w:eastAsia="仿宋" w:cs="仿宋_GB2312"/>
          <w:b/>
          <w:color w:val="auto"/>
          <w:sz w:val="30"/>
          <w:szCs w:val="30"/>
          <w:highlight w:val="none"/>
        </w:rPr>
      </w:pPr>
    </w:p>
    <w:p w14:paraId="5BB5A6F9">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194FF18E">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790F3C6D">
      <w:pPr>
        <w:snapToGrid w:val="0"/>
        <w:spacing w:before="156" w:beforeLines="50" w:after="50"/>
        <w:rPr>
          <w:rFonts w:hint="eastAsia" w:ascii="宋体" w:hAnsi="宋体" w:eastAsia="宋体" w:cs="宋体"/>
          <w:color w:val="auto"/>
          <w:sz w:val="24"/>
          <w:szCs w:val="20"/>
          <w:highlight w:val="none"/>
        </w:rPr>
      </w:pPr>
    </w:p>
    <w:p w14:paraId="21B7A9F8">
      <w:pPr>
        <w:pStyle w:val="18"/>
        <w:widowControl/>
        <w:spacing w:line="360" w:lineRule="auto"/>
        <w:ind w:firstLine="602" w:firstLineChars="200"/>
        <w:rPr>
          <w:rFonts w:ascii="仿宋" w:hAnsi="仿宋" w:eastAsia="仿宋" w:cs="仿宋_GB2312"/>
          <w:b/>
          <w:color w:val="auto"/>
          <w:sz w:val="30"/>
          <w:szCs w:val="30"/>
          <w:highlight w:val="none"/>
        </w:rPr>
      </w:pPr>
      <w:r>
        <w:rPr>
          <w:rFonts w:ascii="仿宋" w:hAnsi="仿宋" w:eastAsia="仿宋" w:cs="仿宋_GB2312"/>
          <w:b/>
          <w:color w:val="auto"/>
          <w:sz w:val="30"/>
          <w:szCs w:val="30"/>
          <w:highlight w:val="none"/>
        </w:rPr>
        <w:t>二、符合参与政府采购活动的资格条件依法缴纳税收、社会保障资金等方面的材料</w:t>
      </w:r>
    </w:p>
    <w:p w14:paraId="75242062">
      <w:pPr>
        <w:spacing w:line="300" w:lineRule="auto"/>
        <w:rPr>
          <w:rFonts w:hint="eastAsia" w:ascii="宋体" w:hAnsi="宋体" w:eastAsia="宋体" w:cs="宋体"/>
          <w:color w:val="auto"/>
          <w:szCs w:val="21"/>
          <w:highlight w:val="none"/>
        </w:rPr>
      </w:pPr>
    </w:p>
    <w:p w14:paraId="7E25D25F">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358A141F">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0396D53B">
      <w:pPr>
        <w:spacing w:line="300" w:lineRule="auto"/>
        <w:rPr>
          <w:rFonts w:hint="eastAsia" w:ascii="宋体" w:hAnsi="宋体" w:eastAsia="宋体" w:cs="宋体"/>
          <w:color w:val="auto"/>
          <w:szCs w:val="21"/>
          <w:highlight w:val="none"/>
        </w:rPr>
      </w:pPr>
    </w:p>
    <w:p w14:paraId="6E462D9A">
      <w:pPr>
        <w:spacing w:line="300" w:lineRule="auto"/>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lang w:bidi="ar"/>
        </w:rPr>
        <w:t>三、财务状况报告方面的材料</w:t>
      </w:r>
    </w:p>
    <w:p w14:paraId="16705A8E">
      <w:pPr>
        <w:spacing w:line="300" w:lineRule="auto"/>
        <w:rPr>
          <w:rFonts w:hint="eastAsia" w:ascii="宋体" w:hAnsi="宋体" w:eastAsia="宋体" w:cs="宋体"/>
          <w:color w:val="auto"/>
          <w:szCs w:val="21"/>
          <w:highlight w:val="none"/>
        </w:rPr>
      </w:pPr>
    </w:p>
    <w:p w14:paraId="7745149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360F7C4B">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5E99D1DA">
      <w:pPr>
        <w:spacing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14E9D8CB">
      <w:pPr>
        <w:snapToGrid w:val="0"/>
        <w:spacing w:before="156" w:beforeLines="50" w:after="50" w:line="360" w:lineRule="auto"/>
        <w:jc w:val="center"/>
        <w:rPr>
          <w:rFonts w:hint="eastAsia" w:ascii="宋体" w:hAnsi="宋体" w:eastAsia="宋体" w:cs="宋体"/>
          <w:b/>
          <w:color w:val="auto"/>
          <w:sz w:val="24"/>
          <w:highlight w:val="none"/>
        </w:rPr>
      </w:pPr>
    </w:p>
    <w:p w14:paraId="53069E78">
      <w:pPr>
        <w:spacing w:line="360" w:lineRule="auto"/>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lang w:bidi="ar"/>
        </w:rPr>
        <w:t>四、供应商直接控股股东信息</w:t>
      </w:r>
    </w:p>
    <w:p w14:paraId="7C77F972">
      <w:pPr>
        <w:spacing w:line="360" w:lineRule="auto"/>
        <w:jc w:val="center"/>
        <w:rPr>
          <w:rFonts w:hint="eastAsia" w:ascii="宋体" w:hAnsi="宋体" w:eastAsia="宋体" w:cs="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3BC6D03">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9D30EF">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370513">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FFA832">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F93297">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5D7E0C">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备注</w:t>
            </w:r>
          </w:p>
        </w:tc>
      </w:tr>
      <w:tr w14:paraId="678E501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A8EEBD">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0F716A">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343CFD">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C89E23">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99BDBC">
            <w:pPr>
              <w:widowControl/>
              <w:spacing w:line="360" w:lineRule="auto"/>
              <w:jc w:val="center"/>
              <w:rPr>
                <w:rFonts w:hint="eastAsia" w:ascii="宋体" w:hAnsi="宋体" w:eastAsia="宋体" w:cs="宋体"/>
                <w:color w:val="auto"/>
                <w:kern w:val="0"/>
                <w:sz w:val="24"/>
                <w:highlight w:val="none"/>
              </w:rPr>
            </w:pPr>
          </w:p>
        </w:tc>
      </w:tr>
      <w:tr w14:paraId="31B0017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37355F">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260E67">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46D289">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51F801">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FF3600">
            <w:pPr>
              <w:widowControl/>
              <w:spacing w:line="360" w:lineRule="auto"/>
              <w:jc w:val="center"/>
              <w:rPr>
                <w:rFonts w:hint="eastAsia" w:ascii="宋体" w:hAnsi="宋体" w:eastAsia="宋体" w:cs="宋体"/>
                <w:color w:val="auto"/>
                <w:kern w:val="0"/>
                <w:sz w:val="24"/>
                <w:highlight w:val="none"/>
              </w:rPr>
            </w:pPr>
          </w:p>
        </w:tc>
      </w:tr>
      <w:tr w14:paraId="5DB3F49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102C2E">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037D96">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64AD9E">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CF7A9F">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A3126A">
            <w:pPr>
              <w:widowControl/>
              <w:spacing w:line="360" w:lineRule="auto"/>
              <w:jc w:val="center"/>
              <w:rPr>
                <w:rFonts w:hint="eastAsia" w:ascii="宋体" w:hAnsi="宋体" w:eastAsia="宋体" w:cs="宋体"/>
                <w:color w:val="auto"/>
                <w:kern w:val="0"/>
                <w:sz w:val="24"/>
                <w:highlight w:val="none"/>
              </w:rPr>
            </w:pPr>
          </w:p>
        </w:tc>
      </w:tr>
      <w:tr w14:paraId="5FFC626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C8F8FC">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384DD1">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9162B6">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5BC5CB">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67A702">
            <w:pPr>
              <w:widowControl/>
              <w:spacing w:line="360" w:lineRule="auto"/>
              <w:jc w:val="center"/>
              <w:rPr>
                <w:rFonts w:hint="eastAsia" w:ascii="宋体" w:hAnsi="宋体" w:eastAsia="宋体" w:cs="宋体"/>
                <w:color w:val="auto"/>
                <w:kern w:val="0"/>
                <w:sz w:val="24"/>
                <w:highlight w:val="none"/>
              </w:rPr>
            </w:pPr>
          </w:p>
        </w:tc>
      </w:tr>
    </w:tbl>
    <w:p w14:paraId="49BF3E0D">
      <w:pPr>
        <w:spacing w:line="360" w:lineRule="auto"/>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注：</w:t>
      </w:r>
    </w:p>
    <w:p w14:paraId="53B01DB1">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DCFDE5">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2.本表所指的控股关系仅限于直接控股关系，不包括间接的控股关系。公司实际控制人与公司之间的关系不属于本表所指的直接控股关系。</w:t>
      </w:r>
    </w:p>
    <w:p w14:paraId="471BB043">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3.供应商不存在直接控股股东的，则填“无”。</w:t>
      </w:r>
    </w:p>
    <w:p w14:paraId="2B2CE640">
      <w:pPr>
        <w:snapToGrid w:val="0"/>
        <w:spacing w:line="360" w:lineRule="auto"/>
        <w:jc w:val="left"/>
        <w:rPr>
          <w:rFonts w:hint="eastAsia" w:ascii="宋体" w:hAnsi="宋体" w:eastAsia="宋体" w:cs="宋体"/>
          <w:color w:val="auto"/>
          <w:sz w:val="24"/>
          <w:highlight w:val="none"/>
        </w:rPr>
      </w:pPr>
    </w:p>
    <w:p w14:paraId="4C6298D7">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1E3A9F99">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770DBBE1">
      <w:pPr>
        <w:snapToGrid w:val="0"/>
        <w:rPr>
          <w:rFonts w:hint="eastAsia" w:ascii="仿宋" w:hAnsi="仿宋" w:eastAsia="仿宋" w:cs="仿宋_GB2312"/>
          <w:b/>
          <w:color w:val="auto"/>
          <w:kern w:val="0"/>
          <w:sz w:val="30"/>
          <w:szCs w:val="30"/>
          <w:highlight w:val="none"/>
        </w:rPr>
      </w:pPr>
    </w:p>
    <w:p w14:paraId="4715FF8A">
      <w:pPr>
        <w:snapToGrid w:val="0"/>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lang w:bidi="ar"/>
        </w:rPr>
        <w:t>五、供应商直接管理关系信息表</w:t>
      </w:r>
    </w:p>
    <w:p w14:paraId="5DF33386">
      <w:pPr>
        <w:snapToGrid w:val="0"/>
        <w:spacing w:line="360" w:lineRule="auto"/>
        <w:jc w:val="center"/>
        <w:rPr>
          <w:rFonts w:hint="eastAsia" w:ascii="宋体" w:hAnsi="宋体" w:eastAsia="宋体" w:cs="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495683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BBA0DC">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140DEE">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6F7213">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59D103">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备注</w:t>
            </w:r>
          </w:p>
        </w:tc>
      </w:tr>
      <w:tr w14:paraId="4B49AE2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5CAD2">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9C40B2">
            <w:pPr>
              <w:widowControl/>
              <w:spacing w:line="360" w:lineRule="auto"/>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79C05B">
            <w:pPr>
              <w:widowControl/>
              <w:spacing w:line="360" w:lineRule="auto"/>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11B28C">
            <w:pPr>
              <w:widowControl/>
              <w:spacing w:line="360" w:lineRule="auto"/>
              <w:jc w:val="center"/>
              <w:rPr>
                <w:rFonts w:hint="eastAsia" w:ascii="宋体" w:hAnsi="宋体" w:eastAsia="宋体" w:cs="宋体"/>
                <w:color w:val="auto"/>
                <w:kern w:val="0"/>
                <w:sz w:val="24"/>
                <w:highlight w:val="none"/>
              </w:rPr>
            </w:pPr>
          </w:p>
        </w:tc>
      </w:tr>
      <w:tr w14:paraId="0E0A8FE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30E501">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7DA14D">
            <w:pPr>
              <w:widowControl/>
              <w:spacing w:line="360" w:lineRule="auto"/>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4F19C5">
            <w:pPr>
              <w:widowControl/>
              <w:spacing w:line="360" w:lineRule="auto"/>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4DE188">
            <w:pPr>
              <w:widowControl/>
              <w:spacing w:line="360" w:lineRule="auto"/>
              <w:jc w:val="center"/>
              <w:rPr>
                <w:rFonts w:hint="eastAsia" w:ascii="宋体" w:hAnsi="宋体" w:eastAsia="宋体" w:cs="宋体"/>
                <w:color w:val="auto"/>
                <w:kern w:val="0"/>
                <w:sz w:val="24"/>
                <w:highlight w:val="none"/>
              </w:rPr>
            </w:pPr>
          </w:p>
        </w:tc>
      </w:tr>
      <w:tr w14:paraId="4076905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C7AF0F">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0B7A54">
            <w:pPr>
              <w:widowControl/>
              <w:spacing w:line="360" w:lineRule="auto"/>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DF2FB0">
            <w:pPr>
              <w:widowControl/>
              <w:spacing w:line="360" w:lineRule="auto"/>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5EB369">
            <w:pPr>
              <w:widowControl/>
              <w:spacing w:line="360" w:lineRule="auto"/>
              <w:jc w:val="center"/>
              <w:rPr>
                <w:rFonts w:hint="eastAsia" w:ascii="宋体" w:hAnsi="宋体" w:eastAsia="宋体" w:cs="宋体"/>
                <w:color w:val="auto"/>
                <w:kern w:val="0"/>
                <w:sz w:val="24"/>
                <w:highlight w:val="none"/>
              </w:rPr>
            </w:pPr>
          </w:p>
        </w:tc>
      </w:tr>
      <w:tr w14:paraId="4CBDB73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3B35EE">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E6C23A">
            <w:pPr>
              <w:widowControl/>
              <w:spacing w:line="360" w:lineRule="auto"/>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A7D974">
            <w:pPr>
              <w:widowControl/>
              <w:spacing w:line="360" w:lineRule="auto"/>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4D7C66">
            <w:pPr>
              <w:widowControl/>
              <w:spacing w:line="360" w:lineRule="auto"/>
              <w:jc w:val="center"/>
              <w:rPr>
                <w:rFonts w:hint="eastAsia" w:ascii="宋体" w:hAnsi="宋体" w:eastAsia="宋体" w:cs="宋体"/>
                <w:color w:val="auto"/>
                <w:kern w:val="0"/>
                <w:sz w:val="24"/>
                <w:highlight w:val="none"/>
              </w:rPr>
            </w:pPr>
          </w:p>
        </w:tc>
      </w:tr>
    </w:tbl>
    <w:p w14:paraId="08937DBE">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注：</w:t>
      </w:r>
    </w:p>
    <w:p w14:paraId="4F48E54F">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1.管理关系：是指不具有出资持股关系的其他单位之间存在的管理与被管理关系，如一些上下级关系的事业单位和团体组织。</w:t>
      </w:r>
    </w:p>
    <w:p w14:paraId="3BD645A3">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2.本表所指的管理关系仅限于直接管理关系，不包括间接的管理关系。</w:t>
      </w:r>
    </w:p>
    <w:p w14:paraId="049443EF">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3.供应商不存在直接管理关系的，则填“无”。</w:t>
      </w:r>
    </w:p>
    <w:p w14:paraId="0F9D2F71">
      <w:pPr>
        <w:spacing w:line="360" w:lineRule="auto"/>
        <w:jc w:val="left"/>
        <w:rPr>
          <w:color w:val="auto"/>
          <w:sz w:val="24"/>
          <w:highlight w:val="none"/>
        </w:rPr>
      </w:pPr>
    </w:p>
    <w:p w14:paraId="4E7384CA">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7976ED6E">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0E30BC02">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Times New Roman"/>
          <w:color w:val="auto"/>
          <w:sz w:val="28"/>
          <w:szCs w:val="28"/>
          <w:highlight w:val="none"/>
          <w:lang w:bidi="ar"/>
        </w:rPr>
        <w:br w:type="page"/>
      </w:r>
      <w:r>
        <w:rPr>
          <w:rFonts w:hint="eastAsia" w:ascii="仿宋" w:hAnsi="仿宋" w:eastAsia="仿宋" w:cs="仿宋_GB2312"/>
          <w:b/>
          <w:color w:val="auto"/>
          <w:kern w:val="0"/>
          <w:sz w:val="30"/>
          <w:szCs w:val="30"/>
          <w:highlight w:val="none"/>
          <w:lang w:bidi="ar"/>
        </w:rPr>
        <w:t>六、资格声明函</w:t>
      </w:r>
    </w:p>
    <w:p w14:paraId="46BB188B">
      <w:pPr>
        <w:spacing w:line="320" w:lineRule="exact"/>
        <w:jc w:val="center"/>
        <w:rPr>
          <w:rFonts w:hint="eastAsia" w:ascii="宋体" w:hAnsi="宋体" w:eastAsia="宋体" w:cs="宋体"/>
          <w:b/>
          <w:color w:val="auto"/>
          <w:sz w:val="32"/>
          <w:szCs w:val="32"/>
          <w:highlight w:val="none"/>
        </w:rPr>
      </w:pPr>
    </w:p>
    <w:p w14:paraId="78A13F68">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bidi="ar"/>
        </w:rPr>
        <w:t>资格声明函</w:t>
      </w:r>
    </w:p>
    <w:p w14:paraId="76F60DE7">
      <w:pPr>
        <w:spacing w:line="320" w:lineRule="exact"/>
        <w:jc w:val="center"/>
        <w:rPr>
          <w:rFonts w:hint="eastAsia" w:ascii="宋体" w:hAnsi="宋体" w:eastAsia="宋体" w:cs="宋体"/>
          <w:color w:val="auto"/>
          <w:sz w:val="24"/>
          <w:szCs w:val="20"/>
          <w:highlight w:val="none"/>
        </w:rPr>
      </w:pPr>
    </w:p>
    <w:p w14:paraId="2291F9C0">
      <w:pPr>
        <w:spacing w:line="360" w:lineRule="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致：</w:t>
      </w:r>
      <w:bookmarkStart w:id="66" w:name="PO_3000001868_PM031_6"/>
      <w:r>
        <w:rPr>
          <w:rFonts w:hint="eastAsia" w:ascii="仿宋_GB2312" w:hAnsi="宋体" w:eastAsia="仿宋_GB2312" w:cs="宋体"/>
          <w:color w:val="auto"/>
          <w:sz w:val="24"/>
          <w:highlight w:val="none"/>
          <w:u w:val="single"/>
          <w:lang w:bidi="ar"/>
        </w:rPr>
        <w:t>[项目采购-采购组织机构_6]</w:t>
      </w:r>
      <w:bookmarkEnd w:id="66"/>
      <w:r>
        <w:rPr>
          <w:rFonts w:hint="eastAsia" w:ascii="仿宋_GB2312" w:hAnsi="宋体" w:eastAsia="仿宋_GB2312" w:cs="宋体"/>
          <w:color w:val="auto"/>
          <w:sz w:val="24"/>
          <w:highlight w:val="none"/>
          <w:lang w:bidi="ar"/>
        </w:rPr>
        <w:t>：</w:t>
      </w:r>
    </w:p>
    <w:p w14:paraId="7F948024">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lang w:bidi="ar"/>
        </w:rPr>
        <w:t>（供应商名称）</w:t>
      </w:r>
      <w:r>
        <w:rPr>
          <w:rFonts w:hint="eastAsia" w:ascii="仿宋_GB2312" w:hAnsi="宋体" w:eastAsia="仿宋_GB2312" w:cs="宋体"/>
          <w:color w:val="auto"/>
          <w:sz w:val="24"/>
          <w:highlight w:val="none"/>
          <w:lang w:bidi="ar"/>
        </w:rPr>
        <w:t>系中华人民共和国合法供应商，经营地址</w:t>
      </w:r>
      <w:r>
        <w:rPr>
          <w:rFonts w:hint="eastAsia" w:ascii="仿宋_GB2312" w:hAnsi="宋体" w:eastAsia="仿宋_GB2312" w:cs="宋体"/>
          <w:color w:val="auto"/>
          <w:sz w:val="24"/>
          <w:highlight w:val="none"/>
          <w:u w:val="single"/>
          <w:lang w:bidi="ar"/>
        </w:rPr>
        <w:t xml:space="preserve">                              </w:t>
      </w:r>
      <w:r>
        <w:rPr>
          <w:rFonts w:hint="eastAsia" w:ascii="仿宋_GB2312" w:hAnsi="宋体" w:eastAsia="仿宋_GB2312" w:cs="宋体"/>
          <w:color w:val="auto"/>
          <w:sz w:val="24"/>
          <w:highlight w:val="none"/>
          <w:lang w:bidi="ar"/>
        </w:rPr>
        <w:t>。</w:t>
      </w:r>
    </w:p>
    <w:p w14:paraId="03AC641E">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我方愿意参加贵方组织的</w:t>
      </w:r>
      <w:bookmarkStart w:id="67" w:name="PO_3000001868_PM002_4"/>
      <w:r>
        <w:rPr>
          <w:rFonts w:hint="eastAsia" w:ascii="仿宋_GB2312" w:hAnsi="宋体" w:eastAsia="仿宋_GB2312" w:cs="宋体"/>
          <w:color w:val="auto"/>
          <w:sz w:val="24"/>
          <w:highlight w:val="none"/>
          <w:u w:val="single"/>
          <w:lang w:bidi="ar"/>
        </w:rPr>
        <w:t>[项目采购-项目名称_4]</w:t>
      </w:r>
      <w:bookmarkEnd w:id="67"/>
      <w:r>
        <w:rPr>
          <w:rFonts w:hint="eastAsia" w:ascii="仿宋_GB2312" w:hAnsi="宋体" w:eastAsia="仿宋_GB2312" w:cs="宋体"/>
          <w:color w:val="auto"/>
          <w:sz w:val="24"/>
          <w:highlight w:val="none"/>
          <w:u w:val="single"/>
          <w:lang w:bidi="ar"/>
        </w:rPr>
        <w:t>）</w:t>
      </w:r>
      <w:r>
        <w:rPr>
          <w:rFonts w:hint="eastAsia" w:ascii="仿宋_GB2312" w:hAnsi="宋体" w:eastAsia="仿宋_GB2312" w:cs="宋体"/>
          <w:color w:val="auto"/>
          <w:sz w:val="24"/>
          <w:highlight w:val="none"/>
          <w:lang w:bidi="ar"/>
        </w:rPr>
        <w:t>项目的竞标，为便于贵方公正、择优地确定成交供应商及其竞标产品和服务，我方就本次竞标有关事项郑重声明如下：</w:t>
      </w:r>
    </w:p>
    <w:p w14:paraId="4D10B00B">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1.我方向贵方提交的所有响应文件、资料都是准确的和真实的。</w:t>
      </w:r>
    </w:p>
    <w:p w14:paraId="63400F59">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56B36A2">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3.在此，我方宣布同意如下：</w:t>
      </w:r>
    </w:p>
    <w:p w14:paraId="200C5327">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（1）将按磋商文件的约定履行合同责任和义务；</w:t>
      </w:r>
    </w:p>
    <w:p w14:paraId="41555B0F">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（2）已详细审查全部磋商文件，包括澄清或者更正公告（如有）；</w:t>
      </w:r>
    </w:p>
    <w:p w14:paraId="5C46ABED">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（3）同意提供按照贵方可能要求的与谈判有关的一切数据或者资料；</w:t>
      </w:r>
    </w:p>
    <w:p w14:paraId="4419EC2A">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（4）响应磋商文件规定的竞标有效期。</w:t>
      </w:r>
    </w:p>
    <w:p w14:paraId="0A6E1332">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308A0B35">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934C109">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DD0CC30">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□我方本次响应文件</w:t>
      </w:r>
      <w:r>
        <w:rPr>
          <w:rFonts w:hint="eastAsia" w:ascii="仿宋_GB2312" w:hAnsi="宋体" w:eastAsia="仿宋_GB2312" w:cs="宋体"/>
          <w:color w:val="auto"/>
          <w:kern w:val="0"/>
          <w:sz w:val="24"/>
          <w:highlight w:val="none"/>
          <w:lang w:bidi="ar"/>
        </w:rPr>
        <w:t>内容中</w:t>
      </w:r>
      <w:r>
        <w:rPr>
          <w:rFonts w:hint="eastAsia" w:ascii="仿宋_GB2312" w:hAnsi="宋体" w:eastAsia="仿宋_GB2312" w:cs="宋体"/>
          <w:color w:val="auto"/>
          <w:sz w:val="24"/>
          <w:highlight w:val="none"/>
          <w:lang w:bidi="ar"/>
        </w:rPr>
        <w:t>未</w:t>
      </w:r>
      <w:r>
        <w:rPr>
          <w:rFonts w:hint="eastAsia" w:ascii="仿宋_GB2312" w:hAnsi="宋体" w:eastAsia="仿宋_GB2312" w:cs="宋体"/>
          <w:color w:val="auto"/>
          <w:kern w:val="0"/>
          <w:sz w:val="24"/>
          <w:highlight w:val="none"/>
          <w:lang w:bidi="ar"/>
        </w:rPr>
        <w:t>涉及商业秘密；</w:t>
      </w:r>
    </w:p>
    <w:p w14:paraId="7720DE91">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lang w:bidi="ar"/>
        </w:rPr>
        <w:t>□我方本次响应文件</w:t>
      </w:r>
      <w:r>
        <w:rPr>
          <w:rFonts w:hint="eastAsia" w:ascii="仿宋_GB2312" w:hAnsi="宋体" w:eastAsia="仿宋_GB2312" w:cs="宋体"/>
          <w:color w:val="auto"/>
          <w:kern w:val="0"/>
          <w:sz w:val="24"/>
          <w:highlight w:val="none"/>
          <w:lang w:bidi="ar"/>
        </w:rPr>
        <w:t>涉及商业秘密的内容有：</w:t>
      </w:r>
      <w:r>
        <w:rPr>
          <w:rFonts w:hint="eastAsia" w:ascii="仿宋_GB2312" w:hAnsi="宋体" w:eastAsia="仿宋_GB2312" w:cs="宋体"/>
          <w:color w:val="auto"/>
          <w:kern w:val="0"/>
          <w:sz w:val="24"/>
          <w:highlight w:val="none"/>
          <w:u w:val="single"/>
          <w:lang w:bidi="ar"/>
        </w:rPr>
        <w:t xml:space="preserve">                         </w:t>
      </w:r>
      <w:r>
        <w:rPr>
          <w:rFonts w:hint="eastAsia" w:ascii="仿宋_GB2312" w:hAnsi="宋体" w:eastAsia="仿宋_GB2312" w:cs="宋体"/>
          <w:color w:val="auto"/>
          <w:kern w:val="0"/>
          <w:sz w:val="24"/>
          <w:highlight w:val="none"/>
          <w:lang w:bidi="ar"/>
        </w:rPr>
        <w:t>；</w:t>
      </w:r>
    </w:p>
    <w:p w14:paraId="379A63F2">
      <w:pPr>
        <w:pStyle w:val="18"/>
        <w:widowControl/>
        <w:spacing w:line="360" w:lineRule="auto"/>
        <w:ind w:firstLine="480" w:firstLineChars="200"/>
        <w:rPr>
          <w:rFonts w:ascii="仿宋_GB2312" w:hAnsi="宋体" w:eastAsia="仿宋_GB2312" w:cs="宋体"/>
          <w:color w:val="auto"/>
          <w:sz w:val="24"/>
          <w:szCs w:val="24"/>
          <w:highlight w:val="none"/>
          <w:u w:val="single"/>
        </w:rPr>
      </w:pPr>
      <w:r>
        <w:rPr>
          <w:rFonts w:ascii="仿宋_GB2312" w:hAnsi="宋体" w:eastAsia="仿宋_GB2312" w:cs="宋体"/>
          <w:color w:val="auto"/>
          <w:sz w:val="24"/>
          <w:szCs w:val="24"/>
          <w:highlight w:val="none"/>
        </w:rPr>
        <w:t>7.与本磋商有关的一切正式往来信函请寄：</w:t>
      </w:r>
      <w:r>
        <w:rPr>
          <w:rFonts w:ascii="仿宋_GB2312" w:hAnsi="宋体" w:eastAsia="仿宋_GB2312" w:cs="宋体"/>
          <w:color w:val="auto"/>
          <w:sz w:val="24"/>
          <w:szCs w:val="24"/>
          <w:highlight w:val="none"/>
          <w:u w:val="single"/>
        </w:rPr>
        <w:t xml:space="preserve">                  </w:t>
      </w:r>
      <w:r>
        <w:rPr>
          <w:rFonts w:ascii="仿宋_GB2312" w:hAnsi="宋体" w:eastAsia="仿宋_GB2312" w:cs="宋体"/>
          <w:color w:val="auto"/>
          <w:sz w:val="24"/>
          <w:szCs w:val="24"/>
          <w:highlight w:val="none"/>
        </w:rPr>
        <w:t>邮政编号：</w:t>
      </w:r>
      <w:r>
        <w:rPr>
          <w:rFonts w:ascii="仿宋_GB2312" w:hAnsi="宋体" w:eastAsia="仿宋_GB2312" w:cs="宋体"/>
          <w:color w:val="auto"/>
          <w:sz w:val="24"/>
          <w:szCs w:val="24"/>
          <w:highlight w:val="none"/>
          <w:u w:val="single"/>
        </w:rPr>
        <w:t xml:space="preserve">        </w:t>
      </w:r>
    </w:p>
    <w:p w14:paraId="21F99090">
      <w:pPr>
        <w:pStyle w:val="18"/>
        <w:widowControl/>
        <w:spacing w:line="360" w:lineRule="auto"/>
        <w:ind w:firstLine="480" w:firstLineChars="200"/>
        <w:rPr>
          <w:rFonts w:ascii="仿宋_GB2312" w:hAnsi="宋体" w:eastAsia="仿宋_GB2312" w:cs="宋体"/>
          <w:color w:val="auto"/>
          <w:sz w:val="24"/>
          <w:szCs w:val="24"/>
          <w:highlight w:val="none"/>
        </w:rPr>
      </w:pPr>
      <w:r>
        <w:rPr>
          <w:rFonts w:ascii="仿宋_GB2312" w:hAnsi="宋体" w:eastAsia="仿宋_GB2312" w:cs="宋体"/>
          <w:color w:val="auto"/>
          <w:sz w:val="24"/>
          <w:szCs w:val="24"/>
          <w:highlight w:val="none"/>
        </w:rPr>
        <w:t>电话/传真：</w:t>
      </w:r>
      <w:r>
        <w:rPr>
          <w:rFonts w:ascii="仿宋_GB2312" w:hAnsi="宋体" w:eastAsia="仿宋_GB2312" w:cs="宋体"/>
          <w:color w:val="auto"/>
          <w:sz w:val="24"/>
          <w:szCs w:val="24"/>
          <w:highlight w:val="none"/>
          <w:u w:val="single"/>
        </w:rPr>
        <w:t xml:space="preserve">                        </w:t>
      </w:r>
      <w:r>
        <w:rPr>
          <w:rFonts w:ascii="仿宋_GB2312" w:hAnsi="宋体" w:eastAsia="仿宋_GB2312" w:cs="宋体"/>
          <w:color w:val="auto"/>
          <w:sz w:val="24"/>
          <w:szCs w:val="24"/>
          <w:highlight w:val="none"/>
        </w:rPr>
        <w:t xml:space="preserve"> 电子函件：</w:t>
      </w:r>
      <w:r>
        <w:rPr>
          <w:rFonts w:ascii="仿宋_GB2312" w:hAnsi="宋体" w:eastAsia="仿宋_GB2312" w:cs="宋体"/>
          <w:color w:val="auto"/>
          <w:sz w:val="24"/>
          <w:szCs w:val="24"/>
          <w:highlight w:val="none"/>
          <w:u w:val="single"/>
        </w:rPr>
        <w:t xml:space="preserve">                            </w:t>
      </w:r>
      <w:r>
        <w:rPr>
          <w:rFonts w:ascii="仿宋_GB2312" w:hAnsi="宋体" w:eastAsia="仿宋_GB2312" w:cs="宋体"/>
          <w:color w:val="auto"/>
          <w:sz w:val="24"/>
          <w:szCs w:val="24"/>
          <w:highlight w:val="none"/>
        </w:rPr>
        <w:t xml:space="preserve">    </w:t>
      </w:r>
    </w:p>
    <w:p w14:paraId="4B04ECA7">
      <w:pPr>
        <w:pStyle w:val="28"/>
        <w:widowControl/>
        <w:tabs>
          <w:tab w:val="left" w:pos="939"/>
        </w:tabs>
        <w:spacing w:line="360" w:lineRule="auto"/>
        <w:ind w:left="141" w:leftChars="67" w:firstLine="360" w:firstLineChars="150"/>
        <w:contextualSpacing/>
        <w:rPr>
          <w:rFonts w:hint="eastAsia" w:ascii="仿宋_GB2312" w:hAnsi="宋体" w:eastAsia="仿宋_GB2312" w:cs="宋体"/>
          <w:color w:val="auto"/>
          <w:highlight w:val="none"/>
        </w:rPr>
      </w:pPr>
      <w:r>
        <w:rPr>
          <w:rFonts w:hint="eastAsia" w:ascii="仿宋_GB2312" w:hAnsi="宋体" w:eastAsia="仿宋_GB2312" w:cs="宋体"/>
          <w:color w:val="auto"/>
          <w:highlight w:val="none"/>
        </w:rPr>
        <w:t>开户银行：</w:t>
      </w:r>
      <w:r>
        <w:rPr>
          <w:rFonts w:hint="eastAsia" w:ascii="仿宋_GB2312" w:hAnsi="宋体" w:eastAsia="仿宋_GB2312" w:cs="宋体"/>
          <w:color w:val="auto"/>
          <w:highlight w:val="none"/>
          <w:u w:val="single"/>
        </w:rPr>
        <w:t xml:space="preserve">                         </w:t>
      </w:r>
      <w:r>
        <w:rPr>
          <w:rFonts w:hint="eastAsia" w:ascii="仿宋_GB2312" w:hAnsi="宋体" w:eastAsia="仿宋_GB2312" w:cs="宋体"/>
          <w:color w:val="auto"/>
          <w:highlight w:val="none"/>
        </w:rPr>
        <w:t xml:space="preserve">  帐号：</w:t>
      </w:r>
      <w:r>
        <w:rPr>
          <w:rFonts w:hint="eastAsia" w:ascii="仿宋_GB2312" w:hAnsi="宋体" w:eastAsia="仿宋_GB2312" w:cs="宋体"/>
          <w:color w:val="auto"/>
          <w:highlight w:val="none"/>
          <w:u w:val="single"/>
        </w:rPr>
        <w:t xml:space="preserve">                               </w:t>
      </w:r>
    </w:p>
    <w:p w14:paraId="0397D7C0">
      <w:pPr>
        <w:pStyle w:val="28"/>
        <w:widowControl/>
        <w:tabs>
          <w:tab w:val="left" w:pos="939"/>
        </w:tabs>
        <w:spacing w:line="360" w:lineRule="auto"/>
        <w:ind w:firstLine="480" w:firstLineChars="200"/>
        <w:contextualSpacing/>
        <w:rPr>
          <w:rFonts w:hint="eastAsia" w:ascii="仿宋_GB2312" w:hAnsi="宋体" w:eastAsia="仿宋_GB2312" w:cs="宋体"/>
          <w:color w:val="auto"/>
          <w:highlight w:val="none"/>
        </w:rPr>
      </w:pPr>
      <w:r>
        <w:rPr>
          <w:rFonts w:hint="eastAsia" w:ascii="仿宋_GB2312" w:hAnsi="宋体" w:eastAsia="仿宋_GB2312" w:cs="宋体"/>
          <w:color w:val="auto"/>
          <w:highlight w:val="none"/>
        </w:rPr>
        <w:t>8.以上事项如有虚假或者隐瞒，我方愿意承担一切后果，并不再寻求任何旨在减轻或者免除法律责任的辩解。</w:t>
      </w:r>
    </w:p>
    <w:p w14:paraId="7D2E79B8">
      <w:pPr>
        <w:pStyle w:val="28"/>
        <w:widowControl/>
        <w:tabs>
          <w:tab w:val="left" w:pos="939"/>
        </w:tabs>
        <w:spacing w:line="360" w:lineRule="auto"/>
        <w:ind w:left="141" w:leftChars="67" w:firstLine="360" w:firstLineChars="150"/>
        <w:contextualSpacing/>
        <w:rPr>
          <w:rFonts w:hint="eastAsia" w:ascii="仿宋_GB2312" w:hAnsi="宋体" w:eastAsia="仿宋_GB2312" w:cs="宋体"/>
          <w:color w:val="auto"/>
          <w:highlight w:val="none"/>
        </w:rPr>
      </w:pPr>
      <w:r>
        <w:rPr>
          <w:rFonts w:hint="eastAsia" w:ascii="仿宋_GB2312" w:hAnsi="宋体" w:eastAsia="仿宋_GB2312" w:cs="宋体"/>
          <w:color w:val="auto"/>
          <w:highlight w:val="none"/>
        </w:rPr>
        <w:t>特此承诺。</w:t>
      </w:r>
    </w:p>
    <w:p w14:paraId="1B856B49">
      <w:pPr>
        <w:pStyle w:val="28"/>
        <w:widowControl/>
        <w:tabs>
          <w:tab w:val="left" w:pos="939"/>
        </w:tabs>
        <w:spacing w:line="360" w:lineRule="auto"/>
        <w:ind w:firstLine="480" w:firstLineChars="200"/>
        <w:contextualSpacing/>
        <w:rPr>
          <w:rFonts w:hint="eastAsia" w:ascii="宋体" w:hAnsi="宋体" w:cs="宋体"/>
          <w:color w:val="auto"/>
          <w:highlight w:val="none"/>
        </w:rPr>
      </w:pPr>
      <w:r>
        <w:rPr>
          <w:rFonts w:hint="eastAsia" w:ascii="仿宋_GB2312" w:hAnsi="宋体" w:eastAsia="仿宋_GB2312" w:cs="宋体"/>
          <w:color w:val="auto"/>
          <w:highlight w:val="none"/>
        </w:rPr>
        <w:t>注：如为联合体竞标，盖章处须加盖联合体各方公章并由联合体各方法定代表人签署，否则其响应文件按无效响应处理。</w:t>
      </w:r>
    </w:p>
    <w:p w14:paraId="7FB1EED1">
      <w:pPr>
        <w:pStyle w:val="28"/>
        <w:widowControl/>
        <w:tabs>
          <w:tab w:val="left" w:pos="939"/>
        </w:tabs>
        <w:spacing w:line="360" w:lineRule="auto"/>
        <w:ind w:firstLine="480" w:firstLineChars="200"/>
        <w:contextualSpacing/>
        <w:rPr>
          <w:rFonts w:hint="eastAsia" w:ascii="宋体" w:hAnsi="宋体" w:cs="宋体"/>
          <w:color w:val="auto"/>
          <w:highlight w:val="none"/>
        </w:rPr>
      </w:pPr>
    </w:p>
    <w:p w14:paraId="5F78B675">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619EADB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bidi="ar"/>
        </w:rPr>
        <w:t>日期：  年  月   日</w:t>
      </w:r>
    </w:p>
    <w:p w14:paraId="52DD28BB">
      <w:pPr>
        <w:spacing w:line="360" w:lineRule="auto"/>
        <w:rPr>
          <w:rFonts w:hint="eastAsia" w:ascii="仿宋_GB2312" w:hAnsi="仿宋" w:eastAsia="仿宋_GB2312" w:cs="仿宋_GB2312"/>
          <w:color w:val="auto"/>
          <w:sz w:val="24"/>
          <w:highlight w:val="none"/>
          <w:lang w:val="zh-CN" w:bidi="ar"/>
        </w:rPr>
        <w:sectPr>
          <w:pgSz w:w="11910" w:h="16840"/>
          <w:pgMar w:top="1340" w:right="1500" w:bottom="1134" w:left="1587" w:header="720" w:footer="720" w:gutter="0"/>
          <w:pgNumType w:fmt="decimal"/>
          <w:cols w:space="425" w:num="1"/>
          <w:docGrid w:type="lines" w:linePitch="312" w:charSpace="0"/>
        </w:sectPr>
      </w:pPr>
    </w:p>
    <w:p w14:paraId="3E4A8A2D">
      <w:pPr>
        <w:pStyle w:val="10"/>
        <w:widowControl/>
        <w:overflowPunct w:val="0"/>
        <w:spacing w:line="520" w:lineRule="exact"/>
        <w:ind w:firstLine="0"/>
        <w:rPr>
          <w:rFonts w:hint="eastAsia" w:ascii="宋体" w:hAnsi="宋体" w:cs="宋体"/>
          <w:b/>
          <w:bCs/>
          <w:color w:val="auto"/>
          <w:sz w:val="32"/>
          <w:szCs w:val="32"/>
          <w:highlight w:val="none"/>
        </w:rPr>
      </w:pPr>
      <w:r>
        <w:rPr>
          <w:rFonts w:hint="eastAsia" w:ascii="仿宋" w:hAnsi="仿宋" w:eastAsia="仿宋" w:cs="仿宋_GB2312"/>
          <w:b/>
          <w:color w:val="auto"/>
          <w:kern w:val="0"/>
          <w:sz w:val="30"/>
          <w:szCs w:val="30"/>
          <w:highlight w:val="none"/>
        </w:rPr>
        <w:t>七、联合体协议书（如有）</w:t>
      </w:r>
    </w:p>
    <w:p w14:paraId="78307F59">
      <w:pPr>
        <w:pStyle w:val="18"/>
        <w:widowControl/>
        <w:spacing w:line="600" w:lineRule="exact"/>
        <w:jc w:val="center"/>
        <w:rPr>
          <w:rFonts w:ascii="方正小标宋简体" w:hAnsi="方正小标宋简体" w:eastAsia="方正小标宋简体" w:cs="方正小标宋简体"/>
          <w:color w:val="auto"/>
          <w:kern w:val="2"/>
          <w:sz w:val="44"/>
          <w:szCs w:val="44"/>
          <w:highlight w:val="none"/>
        </w:rPr>
      </w:pPr>
    </w:p>
    <w:p w14:paraId="7A2E85F0">
      <w:pPr>
        <w:pStyle w:val="18"/>
        <w:widowControl/>
        <w:spacing w:line="600" w:lineRule="exact"/>
        <w:jc w:val="center"/>
        <w:rPr>
          <w:rFonts w:ascii="方正小标宋简体" w:hAnsi="方正小标宋简体" w:eastAsia="方正小标宋简体" w:cs="方正小标宋简体"/>
          <w:color w:val="auto"/>
          <w:kern w:val="2"/>
          <w:sz w:val="44"/>
          <w:szCs w:val="44"/>
          <w:highlight w:val="none"/>
        </w:rPr>
      </w:pPr>
      <w:r>
        <w:rPr>
          <w:rFonts w:ascii="方正小标宋简体" w:hAnsi="方正小标宋简体" w:eastAsia="方正小标宋简体" w:cs="方正小标宋简体"/>
          <w:color w:val="auto"/>
          <w:kern w:val="2"/>
          <w:sz w:val="44"/>
          <w:szCs w:val="44"/>
          <w:highlight w:val="none"/>
        </w:rPr>
        <w:t>联合体竞标协议书（格式）</w:t>
      </w:r>
    </w:p>
    <w:p w14:paraId="5FA7D562">
      <w:pPr>
        <w:autoSpaceDE w:val="0"/>
        <w:autoSpaceDN w:val="0"/>
        <w:adjustRightInd w:val="0"/>
        <w:spacing w:line="360" w:lineRule="auto"/>
        <w:jc w:val="left"/>
        <w:rPr>
          <w:rFonts w:ascii="宋体" w:hAnsi="Times New Roman" w:eastAsia="宋体" w:cs="宋体"/>
          <w:color w:val="auto"/>
          <w:kern w:val="0"/>
          <w:szCs w:val="21"/>
          <w:highlight w:val="none"/>
          <w:u w:val="single"/>
        </w:rPr>
      </w:pPr>
    </w:p>
    <w:p w14:paraId="5641AA01">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（所有成员单位名称）自愿组成联合体，共同参加</w:t>
      </w:r>
      <w:r>
        <w:rPr>
          <w:rFonts w:hint="eastAsia" w:ascii="仿宋_GB2312" w:hAnsi="仿宋_GB2312" w:eastAsia="仿宋_GB2312" w:cs="宋体"/>
          <w:color w:val="auto"/>
          <w:kern w:val="0"/>
          <w:sz w:val="24"/>
          <w:highlight w:val="none"/>
          <w:u w:val="single"/>
          <w:lang w:bidi="ar"/>
        </w:rPr>
        <w:t xml:space="preserve">    </w:t>
      </w:r>
      <w:bookmarkStart w:id="68" w:name="PO_3000001868_PM031"/>
      <w:r>
        <w:rPr>
          <w:rFonts w:hint="eastAsia" w:ascii="仿宋_GB2312" w:hAnsi="仿宋_GB2312" w:eastAsia="仿宋_GB2312" w:cs="宋体"/>
          <w:color w:val="auto"/>
          <w:kern w:val="0"/>
          <w:sz w:val="24"/>
          <w:highlight w:val="none"/>
          <w:u w:val="single"/>
          <w:lang w:bidi="ar"/>
        </w:rPr>
        <w:t>[项目采购-采购组织机构]</w:t>
      </w:r>
      <w:bookmarkEnd w:id="68"/>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组织的</w:t>
      </w:r>
      <w:r>
        <w:rPr>
          <w:rFonts w:hint="eastAsia" w:ascii="仿宋_GB2312" w:hAnsi="仿宋_GB2312" w:eastAsia="仿宋_GB2312" w:cs="宋体"/>
          <w:color w:val="auto"/>
          <w:kern w:val="0"/>
          <w:sz w:val="24"/>
          <w:highlight w:val="none"/>
          <w:u w:val="single"/>
          <w:lang w:bidi="ar"/>
        </w:rPr>
        <w:t xml:space="preserve">       </w:t>
      </w:r>
      <w:bookmarkStart w:id="69" w:name="PO_3000001868_PM002_5"/>
      <w:r>
        <w:rPr>
          <w:rFonts w:hint="eastAsia" w:ascii="仿宋_GB2312" w:hAnsi="仿宋_GB2312" w:eastAsia="仿宋_GB2312" w:cs="宋体"/>
          <w:color w:val="auto"/>
          <w:kern w:val="0"/>
          <w:sz w:val="24"/>
          <w:highlight w:val="none"/>
          <w:u w:val="single"/>
          <w:lang w:bidi="ar"/>
        </w:rPr>
        <w:t>[项目采购-项目名称_5]</w:t>
      </w:r>
      <w:bookmarkEnd w:id="69"/>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（项目编号：</w:t>
      </w:r>
      <w:r>
        <w:rPr>
          <w:rFonts w:hint="eastAsia" w:ascii="仿宋_GB2312" w:hAnsi="仿宋_GB2312" w:eastAsia="仿宋_GB2312" w:cs="宋体"/>
          <w:color w:val="auto"/>
          <w:kern w:val="0"/>
          <w:sz w:val="24"/>
          <w:highlight w:val="none"/>
          <w:u w:val="single"/>
          <w:lang w:bidi="ar"/>
        </w:rPr>
        <w:t xml:space="preserve">  </w:t>
      </w:r>
      <w:bookmarkStart w:id="70" w:name="PO_3000001868_PM001_6"/>
      <w:r>
        <w:rPr>
          <w:rFonts w:hint="eastAsia" w:ascii="仿宋_GB2312" w:hAnsi="仿宋_GB2312" w:eastAsia="仿宋_GB2312" w:cs="宋体"/>
          <w:color w:val="auto"/>
          <w:kern w:val="0"/>
          <w:sz w:val="24"/>
          <w:highlight w:val="none"/>
          <w:u w:val="single"/>
          <w:lang w:bidi="ar"/>
        </w:rPr>
        <w:t>[项目采购-项目编号_6]</w:t>
      </w:r>
      <w:bookmarkEnd w:id="70"/>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）竞争性磋商采购。现就联合体竞标事宜订立如下协议：</w:t>
      </w:r>
    </w:p>
    <w:p w14:paraId="33F21912">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lang w:bidi="ar"/>
        </w:rPr>
        <w:t>1</w:t>
      </w:r>
      <w:r>
        <w:rPr>
          <w:rFonts w:hint="eastAsia" w:ascii="仿宋_GB2312" w:hAnsi="宋体" w:eastAsia="仿宋_GB2312" w:cs="宋体"/>
          <w:color w:val="auto"/>
          <w:kern w:val="0"/>
          <w:sz w:val="24"/>
          <w:highlight w:val="none"/>
          <w:lang w:bidi="ar"/>
        </w:rPr>
        <w:t>、</w:t>
      </w:r>
      <w:r>
        <w:rPr>
          <w:rFonts w:hint="eastAsia" w:ascii="仿宋_GB2312" w:hAnsi="仿宋_GB2312" w:eastAsia="仿宋_GB2312" w:cs="仿宋_GB2312"/>
          <w:color w:val="auto"/>
          <w:sz w:val="24"/>
          <w:highlight w:val="none"/>
          <w:lang w:bidi="ar"/>
        </w:rPr>
        <w:t>________________________</w:t>
      </w:r>
      <w:r>
        <w:rPr>
          <w:rFonts w:hint="eastAsia" w:ascii="仿宋_GB2312" w:hAnsi="宋体" w:eastAsia="仿宋_GB2312" w:cs="宋体"/>
          <w:color w:val="auto"/>
          <w:kern w:val="0"/>
          <w:sz w:val="24"/>
          <w:highlight w:val="none"/>
          <w:lang w:bidi="ar"/>
        </w:rPr>
        <w:t>（某成员单位名称）为联合体名称牵头人。</w:t>
      </w:r>
    </w:p>
    <w:p w14:paraId="2B1A7B4E">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lang w:bidi="ar"/>
        </w:rPr>
        <w:t>2</w:t>
      </w:r>
      <w:r>
        <w:rPr>
          <w:rFonts w:hint="eastAsia" w:ascii="仿宋_GB2312" w:hAnsi="宋体" w:eastAsia="仿宋_GB2312" w:cs="宋体"/>
          <w:color w:val="auto"/>
          <w:kern w:val="0"/>
          <w:sz w:val="24"/>
          <w:highlight w:val="none"/>
          <w:lang w:bidi="ar"/>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2BE08821">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lang w:bidi="ar"/>
        </w:rPr>
        <w:t>3、联合体牵头人在本项目中签署和盖章的一切文件和处理的一切事宜，联合体各成员均予以承认。 联合体各成员将严格按照磋商文件、响应文件和合同的要求全面履行义务，并向采购人承担连带责任。</w:t>
      </w:r>
    </w:p>
    <w:p w14:paraId="68CACD97">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lang w:bidi="ar"/>
        </w:rPr>
        <w:t>4</w:t>
      </w:r>
      <w:r>
        <w:rPr>
          <w:rFonts w:hint="eastAsia" w:ascii="仿宋_GB2312" w:hAnsi="宋体" w:eastAsia="仿宋_GB2312" w:cs="宋体"/>
          <w:color w:val="auto"/>
          <w:kern w:val="0"/>
          <w:sz w:val="24"/>
          <w:highlight w:val="none"/>
          <w:lang w:bidi="ar"/>
        </w:rPr>
        <w:t>、联合体各成员单位内部的职责分工如下</w:t>
      </w:r>
      <w:r>
        <w:rPr>
          <w:rFonts w:hint="eastAsia" w:ascii="仿宋_GB2312" w:hAnsi="宋体" w:eastAsia="仿宋_GB2312" w:cs="宋体"/>
          <w:color w:val="auto"/>
          <w:kern w:val="0"/>
          <w:sz w:val="24"/>
          <w:highlight w:val="none"/>
          <w:u w:val="single"/>
          <w:lang w:bidi="ar"/>
        </w:rPr>
        <w:t>：</w:t>
      </w:r>
      <w:r>
        <w:rPr>
          <w:rFonts w:hint="eastAsia" w:ascii="仿宋_GB2312" w:hAnsi="仿宋_GB2312" w:eastAsia="仿宋_GB2312" w:cs="仿宋_GB2312"/>
          <w:color w:val="auto"/>
          <w:sz w:val="24"/>
          <w:highlight w:val="none"/>
          <w:u w:val="single"/>
          <w:lang w:bidi="ar"/>
        </w:rPr>
        <w:t>________________________________________________</w:t>
      </w:r>
      <w:r>
        <w:rPr>
          <w:rFonts w:hint="eastAsia" w:ascii="仿宋_GB2312" w:hAnsi="宋体" w:eastAsia="仿宋_GB2312" w:cs="宋体"/>
          <w:color w:val="auto"/>
          <w:kern w:val="0"/>
          <w:sz w:val="24"/>
          <w:highlight w:val="none"/>
          <w:lang w:bidi="ar"/>
        </w:rPr>
        <w:t>。</w:t>
      </w:r>
    </w:p>
    <w:p w14:paraId="2D56D73C">
      <w:pPr>
        <w:pStyle w:val="18"/>
        <w:widowControl/>
        <w:spacing w:line="360" w:lineRule="auto"/>
        <w:ind w:firstLine="480" w:firstLineChars="200"/>
        <w:rPr>
          <w:rFonts w:hint="default" w:ascii="仿宋_GB2312" w:hAnsi="Times New Roman" w:eastAsia="仿宋_GB2312" w:cs="仿宋_GB2312"/>
          <w:color w:val="auto"/>
          <w:sz w:val="24"/>
          <w:szCs w:val="24"/>
          <w:highlight w:val="none"/>
        </w:rPr>
      </w:pPr>
      <w:r>
        <w:rPr>
          <w:rFonts w:ascii="仿宋_GB2312" w:hAnsi="宋体" w:eastAsia="仿宋_GB2312" w:cs="宋体"/>
          <w:color w:val="auto"/>
          <w:sz w:val="24"/>
          <w:szCs w:val="24"/>
          <w:highlight w:val="none"/>
        </w:rPr>
        <w:t>5、本联合体中</w:t>
      </w:r>
      <w:r>
        <w:rPr>
          <w:rFonts w:ascii="仿宋_GB2312" w:hAnsi="宋体" w:eastAsia="仿宋_GB2312" w:cs="宋体"/>
          <w:color w:val="auto"/>
          <w:sz w:val="24"/>
          <w:szCs w:val="24"/>
          <w:highlight w:val="none"/>
          <w:u w:val="single"/>
        </w:rPr>
        <w:t>，</w:t>
      </w:r>
      <w:r>
        <w:rPr>
          <w:rFonts w:ascii="仿宋_GB2312" w:hAnsi="仿宋_GB2312" w:eastAsia="仿宋_GB2312" w:cs="仿宋_GB2312"/>
          <w:color w:val="auto"/>
          <w:sz w:val="24"/>
          <w:szCs w:val="24"/>
          <w:highlight w:val="none"/>
          <w:u w:val="single"/>
        </w:rPr>
        <w:t>________________________</w:t>
      </w:r>
      <w:r>
        <w:rPr>
          <w:rFonts w:ascii="仿宋_GB2312" w:hAnsi="宋体" w:eastAsia="仿宋_GB2312" w:cs="宋体"/>
          <w:color w:val="auto"/>
          <w:sz w:val="24"/>
          <w:szCs w:val="24"/>
          <w:highlight w:val="none"/>
          <w:u w:val="single"/>
        </w:rPr>
        <w:t>（某成员单位名称）为</w:t>
      </w:r>
      <w:r>
        <w:rPr>
          <w:rFonts w:ascii="仿宋_GB2312" w:hAnsi="仿宋_GB2312" w:eastAsia="仿宋_GB2312" w:cs="仿宋_GB2312"/>
          <w:color w:val="auto"/>
          <w:sz w:val="24"/>
          <w:szCs w:val="24"/>
          <w:highlight w:val="none"/>
          <w:u w:val="single"/>
        </w:rPr>
        <w:t>______</w:t>
      </w:r>
      <w:r>
        <w:rPr>
          <w:rFonts w:ascii="仿宋_GB2312" w:hAnsi="仿宋_GB2312" w:eastAsia="仿宋_GB2312" w:cs="仿宋_GB2312"/>
          <w:color w:val="auto"/>
          <w:sz w:val="24"/>
          <w:szCs w:val="24"/>
          <w:highlight w:val="none"/>
        </w:rPr>
        <w:t>（请填写：中型、小型、微型）企业，其协议合同金额占联合体协议合同总金额的</w:t>
      </w:r>
      <w:r>
        <w:rPr>
          <w:rFonts w:ascii="仿宋_GB2312" w:hAnsi="仿宋_GB2312" w:eastAsia="仿宋_GB2312" w:cs="仿宋_GB2312"/>
          <w:color w:val="auto"/>
          <w:sz w:val="24"/>
          <w:szCs w:val="24"/>
          <w:highlight w:val="none"/>
          <w:u w:val="single"/>
        </w:rPr>
        <w:t>______</w:t>
      </w:r>
      <w:r>
        <w:rPr>
          <w:rFonts w:ascii="仿宋_GB2312" w:hAnsi="仿宋_GB2312" w:eastAsia="仿宋_GB2312" w:cs="仿宋_GB2312"/>
          <w:color w:val="auto"/>
          <w:sz w:val="24"/>
          <w:szCs w:val="24"/>
          <w:highlight w:val="none"/>
        </w:rPr>
        <w:t>%。【如联合体成员中有小型、微型企业的，请填写此条，否则无需填写；如联合体成员中有多个小型、微型企业的，请逐一列出。】</w:t>
      </w:r>
    </w:p>
    <w:p w14:paraId="410CF00A">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lang w:bidi="ar"/>
        </w:rPr>
        <w:t>6</w:t>
      </w:r>
      <w:r>
        <w:rPr>
          <w:rFonts w:hint="eastAsia" w:ascii="仿宋_GB2312" w:hAnsi="宋体" w:eastAsia="仿宋_GB2312" w:cs="宋体"/>
          <w:color w:val="auto"/>
          <w:kern w:val="0"/>
          <w:sz w:val="24"/>
          <w:highlight w:val="none"/>
          <w:lang w:bidi="ar"/>
        </w:rPr>
        <w:t>、本协议书自签署之日起生效，合同履行完毕后自动失效。</w:t>
      </w:r>
    </w:p>
    <w:p w14:paraId="51C80253">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lang w:bidi="ar"/>
        </w:rPr>
        <w:t>7</w:t>
      </w:r>
      <w:r>
        <w:rPr>
          <w:rFonts w:hint="eastAsia" w:ascii="仿宋_GB2312" w:hAnsi="宋体" w:eastAsia="仿宋_GB2312" w:cs="宋体"/>
          <w:color w:val="auto"/>
          <w:kern w:val="0"/>
          <w:sz w:val="24"/>
          <w:highlight w:val="none"/>
          <w:lang w:bidi="ar"/>
        </w:rPr>
        <w:t>、本协议书一式</w:t>
      </w:r>
      <w:r>
        <w:rPr>
          <w:rFonts w:hint="eastAsia" w:ascii="仿宋_GB2312" w:hAnsi="宋体" w:eastAsia="仿宋_GB2312" w:cs="宋体"/>
          <w:color w:val="auto"/>
          <w:kern w:val="0"/>
          <w:sz w:val="24"/>
          <w:highlight w:val="none"/>
          <w:u w:val="single"/>
          <w:lang w:bidi="ar"/>
        </w:rPr>
        <w:t xml:space="preserve">    </w:t>
      </w:r>
      <w:r>
        <w:rPr>
          <w:rFonts w:hint="eastAsia" w:ascii="仿宋_GB2312" w:hAnsi="宋体" w:eastAsia="仿宋_GB2312" w:cs="宋体"/>
          <w:color w:val="auto"/>
          <w:kern w:val="0"/>
          <w:sz w:val="24"/>
          <w:highlight w:val="none"/>
          <w:lang w:bidi="ar"/>
        </w:rPr>
        <w:t>份，联合体成员和采购代理机构各执一份。</w:t>
      </w:r>
    </w:p>
    <w:p w14:paraId="022D9464">
      <w:pPr>
        <w:autoSpaceDE w:val="0"/>
        <w:autoSpaceDN w:val="0"/>
        <w:adjustRightInd w:val="0"/>
        <w:spacing w:line="360" w:lineRule="auto"/>
        <w:ind w:firstLine="420"/>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注：本协议书由法定代表人签字的，应附法定代表人身份证明；本协议书由委托代理人签字的，应附法定代表人授权委托书。</w:t>
      </w:r>
    </w:p>
    <w:p w14:paraId="58F8B0ED">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牵头人名称：</w:t>
      </w:r>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（盖单位公章）</w:t>
      </w:r>
    </w:p>
    <w:p w14:paraId="68B0FE9E">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法定代表人或其委托代理人：</w:t>
      </w:r>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（签字或盖章）</w:t>
      </w:r>
    </w:p>
    <w:p w14:paraId="73043A12">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p>
    <w:p w14:paraId="2418B3E6">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成员一名称：</w:t>
      </w:r>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（盖单位公章）</w:t>
      </w:r>
    </w:p>
    <w:p w14:paraId="16D3FF7E">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法定代表人或其委托代理人：</w:t>
      </w:r>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（签字或盖章）</w:t>
      </w:r>
    </w:p>
    <w:p w14:paraId="4A98B709">
      <w:pPr>
        <w:autoSpaceDE w:val="0"/>
        <w:autoSpaceDN w:val="0"/>
        <w:adjustRightInd w:val="0"/>
        <w:spacing w:line="360" w:lineRule="auto"/>
        <w:jc w:val="left"/>
        <w:rPr>
          <w:rFonts w:ascii="宋体" w:hAnsi="Times New Roman" w:eastAsia="宋体" w:cs="宋体"/>
          <w:color w:val="auto"/>
          <w:kern w:val="0"/>
          <w:szCs w:val="21"/>
          <w:highlight w:val="none"/>
        </w:rPr>
      </w:pPr>
    </w:p>
    <w:p w14:paraId="1A18A11C">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成员二名称：</w:t>
      </w:r>
      <w:r>
        <w:rPr>
          <w:rFonts w:hint="eastAsia" w:ascii="仿宋_GB2312" w:hAnsi="仿宋_GB2312" w:eastAsia="仿宋_GB2312" w:cs="宋体"/>
          <w:color w:val="auto"/>
          <w:kern w:val="0"/>
          <w:sz w:val="24"/>
          <w:highlight w:val="none"/>
          <w:u w:val="single"/>
          <w:lang w:bidi="ar"/>
        </w:rPr>
        <w:t xml:space="preserve">                                       </w:t>
      </w:r>
      <w:r>
        <w:rPr>
          <w:rFonts w:hint="eastAsia" w:ascii="仿宋_GB2312" w:hAnsi="仿宋_GB2312" w:eastAsia="仿宋_GB2312" w:cs="宋体"/>
          <w:color w:val="auto"/>
          <w:kern w:val="0"/>
          <w:sz w:val="24"/>
          <w:highlight w:val="none"/>
          <w:lang w:bidi="ar"/>
        </w:rPr>
        <w:t>（盖单位公章）</w:t>
      </w:r>
    </w:p>
    <w:p w14:paraId="7BC50CEE">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lang w:bidi="ar"/>
        </w:rPr>
        <w:t>法定代表人或其委托代理人：                         （签字或盖章）</w:t>
      </w:r>
    </w:p>
    <w:p w14:paraId="3ADB46DD">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p>
    <w:p w14:paraId="64D749F8">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p>
    <w:p w14:paraId="22F819C8">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3E0D95D6">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bidi="ar"/>
        </w:rPr>
      </w:pPr>
      <w:r>
        <w:rPr>
          <w:rFonts w:hint="eastAsia" w:ascii="仿宋_GB2312" w:hAnsi="仿宋" w:eastAsia="仿宋_GB2312" w:cs="仿宋_GB2312"/>
          <w:color w:val="auto"/>
          <w:kern w:val="0"/>
          <w:sz w:val="24"/>
          <w:highlight w:val="none"/>
          <w:lang w:val="zh-CN" w:bidi="ar"/>
        </w:rPr>
        <w:t>日期：  年  月   日</w:t>
      </w:r>
    </w:p>
    <w:p w14:paraId="46AB73EC">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bidi="ar"/>
        </w:rPr>
      </w:pPr>
    </w:p>
    <w:p w14:paraId="6BC862D2">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bidi="ar"/>
        </w:rPr>
      </w:pPr>
    </w:p>
    <w:p w14:paraId="2E89F07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3F897EBE">
      <w:pPr>
        <w:numPr>
          <w:ilvl w:val="0"/>
          <w:numId w:val="4"/>
        </w:numPr>
        <w:snapToGrid w:val="0"/>
        <w:spacing w:line="360" w:lineRule="auto"/>
        <w:ind w:firstLine="602" w:firstLineChars="200"/>
        <w:rPr>
          <w:rFonts w:hint="eastAsia" w:ascii="仿宋" w:hAnsi="仿宋" w:eastAsia="仿宋" w:cs="仿宋_GB2312"/>
          <w:b/>
          <w:color w:val="auto"/>
          <w:sz w:val="30"/>
          <w:szCs w:val="30"/>
          <w:highlight w:val="none"/>
          <w:lang w:bidi="ar"/>
        </w:rPr>
      </w:pPr>
      <w:r>
        <w:rPr>
          <w:rFonts w:hint="eastAsia" w:ascii="仿宋" w:hAnsi="仿宋" w:eastAsia="仿宋" w:cs="仿宋_GB2312"/>
          <w:b/>
          <w:color w:val="auto"/>
          <w:sz w:val="30"/>
          <w:szCs w:val="30"/>
          <w:highlight w:val="none"/>
          <w:lang w:bidi="ar"/>
        </w:rPr>
        <w:t>具有水利水电工程施工总承包叁级以上（含叁级）资质，在 人员、设备、资金等方面具有相应的施工能力，并具有省级(或以上级)建设行政主管部门颁发的建 筑施工安全生产许可证； 拟派项目经理具备水利水电工程专业贰级以上(含贰级)注册建造师 资格，具备有效的安全生产考核合格证书（B 类）；</w:t>
      </w:r>
    </w:p>
    <w:p w14:paraId="43C6FDBF">
      <w:pPr>
        <w:numPr>
          <w:ilvl w:val="0"/>
          <w:numId w:val="0"/>
        </w:numPr>
        <w:snapToGrid w:val="0"/>
        <w:spacing w:line="360" w:lineRule="auto"/>
        <w:rPr>
          <w:rFonts w:hint="eastAsia" w:ascii="仿宋" w:hAnsi="仿宋" w:eastAsia="仿宋" w:cs="仿宋_GB2312"/>
          <w:b/>
          <w:color w:val="auto"/>
          <w:sz w:val="30"/>
          <w:szCs w:val="30"/>
          <w:highlight w:val="none"/>
          <w:lang w:bidi="ar"/>
        </w:rPr>
      </w:pPr>
    </w:p>
    <w:p w14:paraId="0E612647">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2DDA666F">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bidi="ar"/>
        </w:rPr>
        <w:t>日期：  年  月   日</w:t>
      </w:r>
    </w:p>
    <w:p w14:paraId="2138B794">
      <w:pPr>
        <w:spacing w:line="360" w:lineRule="auto"/>
        <w:rPr>
          <w:rFonts w:hint="eastAsia" w:ascii="仿宋_GB2312" w:hAnsi="仿宋" w:eastAsia="仿宋_GB2312" w:cs="仿宋_GB2312"/>
          <w:color w:val="auto"/>
          <w:sz w:val="24"/>
          <w:highlight w:val="none"/>
          <w:lang w:val="zh-CN" w:bidi="ar"/>
        </w:rPr>
        <w:sectPr>
          <w:pgSz w:w="11910" w:h="16840"/>
          <w:pgMar w:top="1340" w:right="1500" w:bottom="1134" w:left="1587" w:header="720" w:footer="720" w:gutter="0"/>
          <w:pgNumType w:fmt="decimal"/>
          <w:cols w:space="425" w:num="1"/>
          <w:docGrid w:type="lines" w:linePitch="312" w:charSpace="0"/>
        </w:sectPr>
      </w:pPr>
    </w:p>
    <w:p w14:paraId="2DA95E3B">
      <w:pPr>
        <w:numPr>
          <w:ilvl w:val="0"/>
          <w:numId w:val="0"/>
        </w:numPr>
        <w:snapToGrid w:val="0"/>
        <w:spacing w:line="360" w:lineRule="auto"/>
        <w:rPr>
          <w:rFonts w:hint="eastAsia" w:ascii="仿宋" w:hAnsi="仿宋" w:eastAsia="仿宋" w:cs="仿宋_GB2312"/>
          <w:b/>
          <w:color w:val="auto"/>
          <w:sz w:val="30"/>
          <w:szCs w:val="30"/>
          <w:highlight w:val="none"/>
          <w:lang w:bidi="ar"/>
        </w:rPr>
      </w:pPr>
    </w:p>
    <w:p w14:paraId="52160DE3">
      <w:pPr>
        <w:numPr>
          <w:ilvl w:val="0"/>
          <w:numId w:val="4"/>
        </w:numPr>
        <w:snapToGrid w:val="0"/>
        <w:spacing w:line="360" w:lineRule="auto"/>
        <w:ind w:left="0" w:leftChars="0" w:firstLine="602" w:firstLineChars="200"/>
        <w:rPr>
          <w:rFonts w:hint="eastAsia" w:ascii="仿宋" w:hAnsi="仿宋" w:eastAsia="仿宋" w:cs="仿宋_GB2312"/>
          <w:b/>
          <w:color w:val="auto"/>
          <w:sz w:val="30"/>
          <w:szCs w:val="30"/>
          <w:highlight w:val="none"/>
          <w:lang w:bidi="ar"/>
        </w:rPr>
      </w:pPr>
      <w:r>
        <w:rPr>
          <w:rFonts w:hint="eastAsia" w:ascii="仿宋" w:hAnsi="仿宋" w:eastAsia="仿宋" w:cs="仿宋_GB2312"/>
          <w:b/>
          <w:color w:val="auto"/>
          <w:sz w:val="30"/>
          <w:szCs w:val="30"/>
          <w:highlight w:val="none"/>
          <w:lang w:bidi="ar"/>
        </w:rPr>
        <w:t>中小企业声明函或残疾人福利性单位声明函或投标人属于监狱企业的证明材料；</w:t>
      </w:r>
    </w:p>
    <w:p w14:paraId="4B521962">
      <w:pPr>
        <w:spacing w:after="165" w:afterLines="50"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中小企业声明函（工程类）</w:t>
      </w:r>
    </w:p>
    <w:p w14:paraId="0A9A179A">
      <w:pPr>
        <w:pStyle w:val="14"/>
        <w:spacing w:after="0" w:line="360" w:lineRule="auto"/>
        <w:ind w:left="-426" w:right="142" w:firstLine="640"/>
        <w:contextualSpacing/>
        <w:rPr>
          <w:rFonts w:hint="eastAsia" w:ascii="宋体" w:hAnsi="宋体" w:cs="宋体"/>
          <w:color w:val="auto"/>
          <w:sz w:val="24"/>
          <w:highlight w:val="none"/>
        </w:rPr>
      </w:pPr>
      <w:r>
        <w:rPr>
          <w:rFonts w:hint="eastAsia" w:ascii="宋体" w:hAnsi="宋体" w:cs="宋体"/>
          <w:color w:val="auto"/>
          <w:sz w:val="24"/>
          <w:highlight w:val="none"/>
        </w:rPr>
        <w:t>本公司郑重声明，根据《政府采购促进中小企业发展管理办法》（财库﹝2020﹞46号）的规定，本公司参加</w:t>
      </w:r>
      <w:r>
        <w:rPr>
          <w:rFonts w:hint="eastAsia" w:ascii="宋体" w:hAnsi="宋体" w:cs="宋体"/>
          <w:color w:val="auto"/>
          <w:sz w:val="24"/>
          <w:highlight w:val="none"/>
          <w:u w:val="single"/>
          <w:lang w:eastAsia="zh-CN"/>
        </w:rPr>
        <w:t>南宁市兴宁区昆仑镇人民政府</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2210CD9">
      <w:pPr>
        <w:tabs>
          <w:tab w:val="left" w:pos="1384"/>
          <w:tab w:val="left" w:pos="4562"/>
          <w:tab w:val="left" w:pos="6803"/>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行业；承建（承接）企业为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F6FD493">
      <w:pPr>
        <w:pStyle w:val="14"/>
        <w:spacing w:after="0" w:line="360" w:lineRule="auto"/>
        <w:ind w:left="-405" w:leftChars="-193" w:right="142" w:firstLine="453" w:firstLineChars="189"/>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4DE2F3E">
      <w:pPr>
        <w:pStyle w:val="14"/>
        <w:spacing w:after="0" w:line="360" w:lineRule="auto"/>
        <w:ind w:left="-426" w:right="142" w:firstLine="567"/>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47B18FE9">
      <w:pPr>
        <w:pStyle w:val="14"/>
        <w:spacing w:after="0" w:line="360" w:lineRule="auto"/>
        <w:ind w:left="3960" w:right="1808"/>
        <w:contextualSpacing/>
        <w:rPr>
          <w:rFonts w:hint="eastAsia" w:ascii="宋体" w:hAnsi="宋体" w:cs="宋体"/>
          <w:color w:val="auto"/>
          <w:sz w:val="24"/>
          <w:highlight w:val="none"/>
        </w:rPr>
      </w:pPr>
    </w:p>
    <w:p w14:paraId="0120AD16">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B4FACD0">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127F8421">
      <w:pPr>
        <w:pStyle w:val="14"/>
        <w:spacing w:after="0" w:line="360" w:lineRule="auto"/>
        <w:ind w:left="3960" w:right="1808"/>
        <w:contextualSpacing/>
        <w:rPr>
          <w:rFonts w:hint="eastAsia" w:ascii="宋体" w:hAnsi="宋体" w:cs="宋体"/>
          <w:color w:val="auto"/>
          <w:highlight w:val="none"/>
        </w:rPr>
      </w:pPr>
    </w:p>
    <w:p w14:paraId="54922734">
      <w:pPr>
        <w:spacing w:line="360" w:lineRule="auto"/>
        <w:jc w:val="left"/>
        <w:rPr>
          <w:rFonts w:hint="eastAsia" w:ascii="宋体" w:hAnsi="宋体" w:cs="宋体"/>
          <w:b/>
          <w:color w:val="auto"/>
          <w:sz w:val="32"/>
          <w:szCs w:val="32"/>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4EF662C">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72CCA1B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
        </w:rPr>
      </w:pPr>
    </w:p>
    <w:p w14:paraId="636E43E2">
      <w:pPr>
        <w:numPr>
          <w:ilvl w:val="0"/>
          <w:numId w:val="0"/>
        </w:numPr>
        <w:snapToGrid w:val="0"/>
        <w:spacing w:line="360" w:lineRule="auto"/>
        <w:ind w:leftChars="200"/>
        <w:rPr>
          <w:rFonts w:hint="eastAsia" w:ascii="仿宋" w:hAnsi="仿宋" w:eastAsia="仿宋" w:cs="仿宋_GB2312"/>
          <w:b/>
          <w:color w:val="auto"/>
          <w:sz w:val="30"/>
          <w:szCs w:val="30"/>
          <w:highlight w:val="none"/>
          <w:lang w:bidi="ar"/>
        </w:rPr>
      </w:pPr>
    </w:p>
    <w:p w14:paraId="0C202EEA">
      <w:pPr>
        <w:numPr>
          <w:ilvl w:val="0"/>
          <w:numId w:val="0"/>
        </w:numPr>
        <w:snapToGrid w:val="0"/>
        <w:spacing w:line="360" w:lineRule="auto"/>
        <w:ind w:leftChars="200"/>
        <w:rPr>
          <w:rFonts w:hint="eastAsia" w:ascii="仿宋" w:hAnsi="仿宋" w:eastAsia="仿宋" w:cs="仿宋_GB2312"/>
          <w:b/>
          <w:color w:val="auto"/>
          <w:sz w:val="30"/>
          <w:szCs w:val="30"/>
          <w:highlight w:val="none"/>
          <w:lang w:bidi="ar"/>
        </w:rPr>
      </w:pPr>
    </w:p>
    <w:p w14:paraId="4A66C022">
      <w:pPr>
        <w:numPr>
          <w:ilvl w:val="0"/>
          <w:numId w:val="0"/>
        </w:numPr>
        <w:snapToGrid w:val="0"/>
        <w:spacing w:line="360" w:lineRule="auto"/>
        <w:ind w:leftChars="200"/>
        <w:rPr>
          <w:rFonts w:hint="eastAsia" w:ascii="仿宋" w:hAnsi="仿宋" w:eastAsia="仿宋" w:cs="仿宋_GB2312"/>
          <w:b/>
          <w:color w:val="auto"/>
          <w:sz w:val="30"/>
          <w:szCs w:val="30"/>
          <w:highlight w:val="none"/>
          <w:lang w:bidi="ar"/>
        </w:rPr>
      </w:pPr>
    </w:p>
    <w:p w14:paraId="3E7F5B42">
      <w:pPr>
        <w:numPr>
          <w:ilvl w:val="0"/>
          <w:numId w:val="0"/>
        </w:numPr>
        <w:snapToGrid w:val="0"/>
        <w:spacing w:line="360" w:lineRule="auto"/>
        <w:ind w:leftChars="200"/>
        <w:rPr>
          <w:rFonts w:hint="eastAsia" w:ascii="仿宋" w:hAnsi="仿宋" w:eastAsia="仿宋" w:cs="仿宋_GB2312"/>
          <w:b/>
          <w:color w:val="auto"/>
          <w:sz w:val="30"/>
          <w:szCs w:val="30"/>
          <w:highlight w:val="none"/>
          <w:lang w:bidi="ar"/>
        </w:rPr>
      </w:pPr>
    </w:p>
    <w:p w14:paraId="1E7CB980">
      <w:pPr>
        <w:spacing w:line="520" w:lineRule="exact"/>
        <w:jc w:val="center"/>
        <w:rPr>
          <w:rFonts w:hint="eastAsia" w:ascii="宋体" w:hAnsi="宋体" w:cs="宋体"/>
          <w:color w:val="auto"/>
          <w:sz w:val="32"/>
          <w:szCs w:val="32"/>
          <w:highlight w:val="none"/>
        </w:rPr>
      </w:pPr>
      <w:r>
        <w:rPr>
          <w:rFonts w:hint="eastAsia" w:ascii="宋体" w:hAnsi="宋体" w:cs="宋体"/>
          <w:b/>
          <w:bCs/>
          <w:color w:val="auto"/>
          <w:sz w:val="30"/>
          <w:szCs w:val="30"/>
          <w:highlight w:val="none"/>
        </w:rPr>
        <w:t>残疾人福利性单位声明函</w:t>
      </w:r>
    </w:p>
    <w:p w14:paraId="14214230">
      <w:pPr>
        <w:spacing w:line="520" w:lineRule="exact"/>
        <w:rPr>
          <w:rFonts w:hint="eastAsia" w:ascii="宋体" w:hAnsi="宋体" w:cs="宋体"/>
          <w:color w:val="auto"/>
          <w:sz w:val="32"/>
          <w:szCs w:val="32"/>
          <w:highlight w:val="none"/>
        </w:rPr>
      </w:pPr>
    </w:p>
    <w:p w14:paraId="43D9EF7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采购活动由本单位提供服务。</w:t>
      </w:r>
    </w:p>
    <w:p w14:paraId="2032985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1973E9AC">
      <w:pPr>
        <w:spacing w:line="360" w:lineRule="auto"/>
        <w:rPr>
          <w:rFonts w:hint="eastAsia" w:ascii="宋体" w:hAnsi="宋体" w:cs="宋体"/>
          <w:color w:val="auto"/>
          <w:sz w:val="24"/>
          <w:highlight w:val="none"/>
        </w:rPr>
      </w:pPr>
    </w:p>
    <w:p w14:paraId="7943DDE4">
      <w:pPr>
        <w:spacing w:line="360" w:lineRule="auto"/>
        <w:ind w:firstLine="2400" w:firstLineChars="1000"/>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1A67453B">
      <w:pPr>
        <w:spacing w:line="360" w:lineRule="auto"/>
        <w:ind w:firstLine="4320" w:firstLineChars="1800"/>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77AF1C2C">
      <w:pPr>
        <w:spacing w:line="360" w:lineRule="auto"/>
        <w:rPr>
          <w:rFonts w:hint="eastAsia" w:ascii="宋体" w:hAnsi="宋体" w:cs="宋体"/>
          <w:color w:val="auto"/>
          <w:sz w:val="24"/>
          <w:highlight w:val="none"/>
        </w:rPr>
      </w:pPr>
    </w:p>
    <w:p w14:paraId="20807D22">
      <w:pPr>
        <w:spacing w:line="360" w:lineRule="auto"/>
        <w:rPr>
          <w:rFonts w:hint="eastAsia" w:ascii="宋体" w:hAnsi="宋体" w:cs="宋体"/>
          <w:color w:val="auto"/>
          <w:sz w:val="24"/>
          <w:highlight w:val="none"/>
        </w:rPr>
      </w:pPr>
    </w:p>
    <w:p w14:paraId="62384C49">
      <w:pPr>
        <w:spacing w:line="360" w:lineRule="auto"/>
        <w:rPr>
          <w:rFonts w:hint="eastAsia" w:ascii="宋体" w:hAnsi="宋体" w:cs="宋体"/>
          <w:color w:val="auto"/>
          <w:sz w:val="24"/>
          <w:highlight w:val="none"/>
        </w:rPr>
      </w:pPr>
    </w:p>
    <w:p w14:paraId="72531D4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B09B3B9">
      <w:pPr>
        <w:snapToGrid w:val="0"/>
        <w:spacing w:line="360" w:lineRule="auto"/>
        <w:ind w:firstLine="602" w:firstLineChars="200"/>
        <w:rPr>
          <w:rFonts w:hint="eastAsia" w:ascii="仿宋" w:hAnsi="仿宋" w:eastAsia="仿宋" w:cs="仿宋_GB2312"/>
          <w:b/>
          <w:color w:val="auto"/>
          <w:sz w:val="30"/>
          <w:szCs w:val="30"/>
          <w:highlight w:val="none"/>
          <w:lang w:val="en-US" w:eastAsia="zh-CN" w:bidi="ar"/>
        </w:rPr>
      </w:pPr>
    </w:p>
    <w:p w14:paraId="250B59D3">
      <w:pPr>
        <w:snapToGrid w:val="0"/>
        <w:spacing w:line="360" w:lineRule="auto"/>
        <w:ind w:firstLine="602" w:firstLineChars="200"/>
        <w:rPr>
          <w:rFonts w:hint="eastAsia" w:ascii="仿宋" w:hAnsi="仿宋" w:eastAsia="仿宋" w:cs="仿宋_GB2312"/>
          <w:b/>
          <w:color w:val="auto"/>
          <w:sz w:val="30"/>
          <w:szCs w:val="30"/>
          <w:highlight w:val="none"/>
          <w:lang w:val="zh-CN" w:bidi="ar"/>
        </w:rPr>
      </w:pPr>
      <w:r>
        <w:rPr>
          <w:rFonts w:hint="eastAsia" w:ascii="仿宋" w:hAnsi="仿宋" w:eastAsia="仿宋" w:cs="仿宋_GB2312"/>
          <w:b/>
          <w:color w:val="auto"/>
          <w:sz w:val="30"/>
          <w:szCs w:val="30"/>
          <w:highlight w:val="none"/>
          <w:lang w:val="en-US" w:eastAsia="zh-CN" w:bidi="ar"/>
        </w:rPr>
        <w:t>十</w:t>
      </w:r>
      <w:r>
        <w:rPr>
          <w:rFonts w:hint="eastAsia" w:ascii="仿宋" w:hAnsi="仿宋" w:eastAsia="仿宋" w:cs="仿宋_GB2312"/>
          <w:b/>
          <w:color w:val="auto"/>
          <w:sz w:val="30"/>
          <w:szCs w:val="30"/>
          <w:highlight w:val="none"/>
          <w:lang w:bidi="ar"/>
        </w:rPr>
        <w:t>.除磋商文件规定必须提供以外，供应商认为需要提供的其他证明材料；…（页码）</w:t>
      </w:r>
    </w:p>
    <w:p w14:paraId="6CE8C9B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2952ED94">
      <w:pPr>
        <w:snapToGrid w:val="0"/>
        <w:spacing w:line="360" w:lineRule="auto"/>
        <w:ind w:firstLine="602" w:firstLineChars="200"/>
        <w:rPr>
          <w:rFonts w:hint="eastAsia" w:ascii="仿宋" w:hAnsi="仿宋" w:eastAsia="仿宋" w:cs="仿宋_GB2312"/>
          <w:b/>
          <w:color w:val="auto"/>
          <w:sz w:val="30"/>
          <w:szCs w:val="30"/>
          <w:highlight w:val="none"/>
        </w:rPr>
      </w:pPr>
    </w:p>
    <w:p w14:paraId="4AB6FE6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25810123">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bidi="ar"/>
        </w:rPr>
        <w:t>日期：  年  月   日</w:t>
      </w:r>
    </w:p>
    <w:p w14:paraId="1A85251A">
      <w:pPr>
        <w:spacing w:line="360" w:lineRule="auto"/>
        <w:rPr>
          <w:rFonts w:hint="eastAsia" w:ascii="仿宋_GB2312" w:hAnsi="仿宋" w:eastAsia="仿宋_GB2312" w:cs="仿宋_GB2312"/>
          <w:color w:val="auto"/>
          <w:sz w:val="24"/>
          <w:highlight w:val="none"/>
          <w:lang w:val="zh-CN" w:bidi="ar"/>
        </w:rPr>
        <w:sectPr>
          <w:pgSz w:w="11910" w:h="16840"/>
          <w:pgMar w:top="1340" w:right="1500" w:bottom="1134" w:left="1587" w:header="720" w:footer="720" w:gutter="0"/>
          <w:pgNumType w:fmt="decimal"/>
          <w:cols w:space="425" w:num="1"/>
          <w:docGrid w:type="lines" w:linePitch="312" w:charSpace="0"/>
        </w:sectPr>
      </w:pPr>
    </w:p>
    <w:p w14:paraId="793AA23E">
      <w:pPr>
        <w:pStyle w:val="3"/>
        <w:widowControl/>
        <w:jc w:val="center"/>
        <w:rPr>
          <w:rFonts w:hint="eastAsia" w:ascii="宋体" w:hAnsi="宋体" w:eastAsia="宋体" w:cs="宋体"/>
          <w:b w:val="0"/>
          <w:color w:val="auto"/>
          <w:highlight w:val="none"/>
        </w:rPr>
      </w:pPr>
      <w:bookmarkStart w:id="71" w:name="_Toc80205940"/>
      <w:bookmarkStart w:id="72" w:name="_Toc8432"/>
      <w:r>
        <w:rPr>
          <w:rFonts w:hint="eastAsia" w:ascii="宋体" w:hAnsi="宋体" w:eastAsia="宋体" w:cs="宋体"/>
          <w:b w:val="0"/>
          <w:bCs w:val="0"/>
          <w:color w:val="auto"/>
          <w:highlight w:val="none"/>
        </w:rPr>
        <w:t xml:space="preserve">第三节 </w:t>
      </w:r>
      <w:r>
        <w:rPr>
          <w:rFonts w:hint="eastAsia" w:ascii="宋体" w:hAnsi="宋体" w:eastAsia="宋体" w:cs="宋体"/>
          <w:b w:val="0"/>
          <w:color w:val="auto"/>
          <w:highlight w:val="none"/>
        </w:rPr>
        <w:t>商务技术文件格式</w:t>
      </w:r>
      <w:bookmarkEnd w:id="71"/>
      <w:bookmarkEnd w:id="72"/>
    </w:p>
    <w:p w14:paraId="55BD81DE">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lang w:bidi="ar"/>
        </w:rPr>
        <w:t xml:space="preserve">                                                    </w:t>
      </w:r>
      <w:r>
        <w:rPr>
          <w:rFonts w:hint="eastAsia" w:ascii="宋体" w:hAnsi="宋体" w:eastAsia="宋体" w:cs="宋体"/>
          <w:bCs/>
          <w:color w:val="auto"/>
          <w:highlight w:val="none"/>
          <w:lang w:bidi="ar"/>
        </w:rPr>
        <w:t>全流程电子文件</w:t>
      </w:r>
    </w:p>
    <w:p w14:paraId="2411F4C6">
      <w:pPr>
        <w:snapToGrid w:val="0"/>
        <w:spacing w:before="156" w:beforeLines="50" w:after="50"/>
        <w:rPr>
          <w:rFonts w:hint="eastAsia" w:ascii="宋体" w:hAnsi="宋体" w:eastAsia="宋体" w:cs="宋体"/>
          <w:color w:val="auto"/>
          <w:sz w:val="24"/>
          <w:szCs w:val="20"/>
          <w:highlight w:val="none"/>
        </w:rPr>
      </w:pPr>
    </w:p>
    <w:p w14:paraId="582954F2">
      <w:pPr>
        <w:snapToGrid w:val="0"/>
        <w:spacing w:before="156" w:beforeLines="50" w:after="50"/>
        <w:rPr>
          <w:rFonts w:hint="eastAsia" w:ascii="宋体" w:hAnsi="宋体" w:eastAsia="宋体" w:cs="宋体"/>
          <w:color w:val="auto"/>
          <w:sz w:val="24"/>
          <w:szCs w:val="20"/>
          <w:highlight w:val="none"/>
        </w:rPr>
      </w:pPr>
    </w:p>
    <w:p w14:paraId="787F4827">
      <w:pPr>
        <w:snapToGrid w:val="0"/>
        <w:spacing w:before="156" w:beforeLines="50" w:after="50"/>
        <w:rPr>
          <w:rFonts w:hint="eastAsia" w:ascii="宋体" w:hAnsi="宋体" w:eastAsia="宋体" w:cs="宋体"/>
          <w:color w:val="auto"/>
          <w:sz w:val="24"/>
          <w:szCs w:val="20"/>
          <w:highlight w:val="none"/>
        </w:rPr>
      </w:pPr>
    </w:p>
    <w:p w14:paraId="4C67A5CE">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lang w:bidi="ar"/>
        </w:rPr>
        <w:t>商  务  技  术  文  件（封面）</w:t>
      </w:r>
    </w:p>
    <w:p w14:paraId="5DF283EA">
      <w:pPr>
        <w:snapToGrid w:val="0"/>
        <w:spacing w:before="156" w:beforeLines="50" w:after="50"/>
        <w:rPr>
          <w:rFonts w:hint="eastAsia" w:ascii="宋体" w:hAnsi="宋体" w:eastAsia="宋体" w:cs="宋体"/>
          <w:bCs/>
          <w:color w:val="auto"/>
          <w:sz w:val="24"/>
          <w:szCs w:val="20"/>
          <w:highlight w:val="none"/>
        </w:rPr>
      </w:pPr>
    </w:p>
    <w:p w14:paraId="343092BA">
      <w:pPr>
        <w:snapToGrid w:val="0"/>
        <w:spacing w:before="156" w:beforeLines="50" w:after="50"/>
        <w:rPr>
          <w:rFonts w:hint="eastAsia" w:ascii="宋体" w:hAnsi="宋体" w:eastAsia="宋体" w:cs="宋体"/>
          <w:bCs/>
          <w:color w:val="auto"/>
          <w:sz w:val="24"/>
          <w:szCs w:val="20"/>
          <w:highlight w:val="none"/>
        </w:rPr>
      </w:pPr>
    </w:p>
    <w:p w14:paraId="0B076DB7">
      <w:pPr>
        <w:snapToGrid w:val="0"/>
        <w:spacing w:before="156" w:beforeLines="50" w:after="50"/>
        <w:rPr>
          <w:rFonts w:hint="eastAsia" w:ascii="宋体" w:hAnsi="宋体" w:eastAsia="宋体" w:cs="宋体"/>
          <w:bCs/>
          <w:color w:val="auto"/>
          <w:sz w:val="24"/>
          <w:szCs w:val="20"/>
          <w:highlight w:val="none"/>
        </w:rPr>
      </w:pPr>
    </w:p>
    <w:p w14:paraId="08EC8E75">
      <w:pPr>
        <w:snapToGrid w:val="0"/>
        <w:spacing w:before="156" w:beforeLines="50" w:after="50"/>
        <w:rPr>
          <w:rFonts w:hint="eastAsia" w:ascii="宋体" w:hAnsi="宋体" w:eastAsia="宋体" w:cs="宋体"/>
          <w:bCs/>
          <w:color w:val="auto"/>
          <w:sz w:val="24"/>
          <w:szCs w:val="20"/>
          <w:highlight w:val="none"/>
        </w:rPr>
      </w:pPr>
    </w:p>
    <w:p w14:paraId="3EFFCD9C">
      <w:pPr>
        <w:snapToGrid w:val="0"/>
        <w:spacing w:before="156" w:beforeLines="50" w:after="50"/>
        <w:rPr>
          <w:rFonts w:hint="eastAsia" w:ascii="宋体" w:hAnsi="宋体" w:eastAsia="宋体" w:cs="宋体"/>
          <w:bCs/>
          <w:color w:val="auto"/>
          <w:sz w:val="24"/>
          <w:szCs w:val="20"/>
          <w:highlight w:val="none"/>
        </w:rPr>
      </w:pPr>
    </w:p>
    <w:p w14:paraId="7FA0B6AB">
      <w:pPr>
        <w:snapToGrid w:val="0"/>
        <w:spacing w:before="156"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lang w:bidi="ar"/>
        </w:rPr>
        <w:t>项目名称：</w:t>
      </w:r>
      <w:r>
        <w:rPr>
          <w:rFonts w:hint="eastAsia" w:ascii="宋体" w:hAnsi="宋体" w:eastAsia="宋体" w:cs="仿宋_GB2312"/>
          <w:bCs/>
          <w:color w:val="auto"/>
          <w:sz w:val="32"/>
          <w:szCs w:val="32"/>
          <w:highlight w:val="none"/>
          <w:lang w:eastAsia="zh-CN" w:bidi="ar"/>
        </w:rPr>
        <w:t>昆仑镇九塘社区大塘坡水稻灌溉工程</w:t>
      </w:r>
    </w:p>
    <w:p w14:paraId="6D402E62">
      <w:pPr>
        <w:snapToGrid w:val="0"/>
        <w:spacing w:before="156" w:beforeLines="50" w:after="50"/>
        <w:ind w:firstLine="720" w:firstLineChars="225"/>
        <w:rPr>
          <w:rFonts w:hint="eastAsia" w:ascii="宋体" w:hAnsi="宋体" w:eastAsia="宋体" w:cs="仿宋_GB2312"/>
          <w:bCs/>
          <w:color w:val="auto"/>
          <w:sz w:val="32"/>
          <w:szCs w:val="32"/>
          <w:highlight w:val="none"/>
        </w:rPr>
      </w:pPr>
    </w:p>
    <w:p w14:paraId="49EB9AB7">
      <w:pPr>
        <w:snapToGrid w:val="0"/>
        <w:spacing w:before="156"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项目编号：</w:t>
      </w:r>
      <w:bookmarkStart w:id="73" w:name="PO_3000001868_PM001_7"/>
      <w:r>
        <w:rPr>
          <w:rFonts w:hint="eastAsia" w:ascii="宋体" w:hAnsi="宋体" w:eastAsia="宋体" w:cs="仿宋_GB2312"/>
          <w:bCs/>
          <w:color w:val="auto"/>
          <w:sz w:val="32"/>
          <w:szCs w:val="32"/>
          <w:highlight w:val="none"/>
          <w:lang w:bidi="ar"/>
        </w:rPr>
        <w:t>[项目采购-项目编号_7]</w:t>
      </w:r>
      <w:bookmarkEnd w:id="73"/>
    </w:p>
    <w:p w14:paraId="4D7CDAAF">
      <w:pPr>
        <w:snapToGrid w:val="0"/>
        <w:spacing w:before="156"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 xml:space="preserve"> </w:t>
      </w:r>
    </w:p>
    <w:p w14:paraId="19E93049">
      <w:pPr>
        <w:snapToGrid w:val="0"/>
        <w:spacing w:before="156"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所竞分标（如有则填写，无分标时填写“无”或者留空）：</w:t>
      </w:r>
    </w:p>
    <w:p w14:paraId="515DE671">
      <w:pPr>
        <w:snapToGrid w:val="0"/>
        <w:spacing w:before="156" w:beforeLines="50" w:after="50"/>
        <w:ind w:firstLine="720" w:firstLineChars="225"/>
        <w:rPr>
          <w:rFonts w:hint="eastAsia" w:ascii="宋体" w:hAnsi="宋体" w:eastAsia="宋体" w:cs="仿宋_GB2312"/>
          <w:bCs/>
          <w:color w:val="auto"/>
          <w:sz w:val="32"/>
          <w:szCs w:val="32"/>
          <w:highlight w:val="none"/>
        </w:rPr>
      </w:pPr>
    </w:p>
    <w:p w14:paraId="555F8BB7">
      <w:pPr>
        <w:pStyle w:val="10"/>
        <w:widowControl/>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AAF060B">
      <w:pPr>
        <w:pStyle w:val="10"/>
        <w:widowControl/>
        <w:snapToGrid w:val="0"/>
        <w:spacing w:before="50" w:after="50"/>
        <w:ind w:firstLine="720" w:firstLineChars="225"/>
        <w:rPr>
          <w:rFonts w:hint="eastAsia" w:ascii="宋体" w:hAnsi="宋体" w:cs="仿宋_GB2312"/>
          <w:bCs/>
          <w:color w:val="auto"/>
          <w:sz w:val="32"/>
          <w:szCs w:val="32"/>
          <w:highlight w:val="none"/>
        </w:rPr>
      </w:pPr>
    </w:p>
    <w:p w14:paraId="352D52F5">
      <w:pPr>
        <w:pStyle w:val="10"/>
        <w:widowControl/>
        <w:snapToGrid w:val="0"/>
        <w:spacing w:before="50" w:after="50"/>
        <w:ind w:firstLine="720" w:firstLineChars="225"/>
        <w:rPr>
          <w:rFonts w:hint="eastAsia" w:ascii="宋体" w:hAnsi="宋体" w:cs="仿宋_GB2312"/>
          <w:bCs/>
          <w:color w:val="auto"/>
          <w:sz w:val="32"/>
          <w:szCs w:val="32"/>
          <w:highlight w:val="none"/>
        </w:rPr>
      </w:pPr>
    </w:p>
    <w:p w14:paraId="0256BEC6">
      <w:pPr>
        <w:pStyle w:val="10"/>
        <w:widowControl/>
        <w:snapToGrid w:val="0"/>
        <w:spacing w:before="50" w:after="50"/>
        <w:ind w:firstLine="1280" w:firstLineChars="400"/>
        <w:rPr>
          <w:rFonts w:hint="eastAsia" w:ascii="宋体" w:hAnsi="宋体" w:cs="仿宋_GB2312"/>
          <w:bCs/>
          <w:color w:val="auto"/>
          <w:sz w:val="32"/>
          <w:szCs w:val="32"/>
          <w:highlight w:val="none"/>
        </w:rPr>
      </w:pPr>
    </w:p>
    <w:p w14:paraId="6B6D5446">
      <w:pPr>
        <w:snapToGrid w:val="0"/>
        <w:spacing w:before="156"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lang w:bidi="ar"/>
        </w:rPr>
        <w:t>年    月    日</w:t>
      </w:r>
    </w:p>
    <w:p w14:paraId="2471F7A5">
      <w:pPr>
        <w:spacing w:line="360" w:lineRule="auto"/>
        <w:rPr>
          <w:rFonts w:hint="eastAsia" w:ascii="宋体" w:hAnsi="宋体" w:eastAsia="宋体" w:cs="Times New Roman"/>
          <w:b/>
          <w:bCs/>
          <w:color w:val="auto"/>
          <w:sz w:val="32"/>
          <w:szCs w:val="32"/>
          <w:highlight w:val="none"/>
          <w:lang w:bidi="ar"/>
        </w:rPr>
        <w:sectPr>
          <w:pgSz w:w="11910" w:h="16840"/>
          <w:pgMar w:top="1340" w:right="1500" w:bottom="1134" w:left="1587" w:header="720" w:footer="720" w:gutter="0"/>
          <w:pgNumType w:fmt="decimal"/>
          <w:cols w:space="425" w:num="1"/>
          <w:docGrid w:type="lines" w:linePitch="312" w:charSpace="0"/>
        </w:sectPr>
      </w:pPr>
    </w:p>
    <w:p w14:paraId="64FCCEA2">
      <w:pPr>
        <w:jc w:val="center"/>
        <w:rPr>
          <w:rFonts w:hint="eastAsia"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lang w:bidi="ar"/>
        </w:rPr>
        <w:t>商务技术文件目录</w:t>
      </w:r>
    </w:p>
    <w:p w14:paraId="56D6607A">
      <w:pPr>
        <w:jc w:val="center"/>
        <w:rPr>
          <w:rFonts w:hint="eastAsia" w:ascii="仿宋_GB2312" w:hAnsi="仿宋" w:eastAsia="仿宋_GB2312" w:cs="仿宋_GB2312"/>
          <w:b/>
          <w:color w:val="auto"/>
          <w:kern w:val="0"/>
          <w:sz w:val="28"/>
          <w:szCs w:val="28"/>
          <w:highlight w:val="none"/>
        </w:rPr>
      </w:pPr>
    </w:p>
    <w:p w14:paraId="4436468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一、无串标行为承诺函………………………………………………………（页码）</w:t>
      </w:r>
    </w:p>
    <w:p w14:paraId="1F92DF7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二、法定代表人身份证明及法定代表人有效身份证正反面复印件………（页码）</w:t>
      </w:r>
    </w:p>
    <w:p w14:paraId="4231AE80">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三、法定代表人授权委托书（如有委托时）………………………………（页码）</w:t>
      </w:r>
    </w:p>
    <w:p w14:paraId="0EFC25F3">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四、商务条款偏离表…………………………………………………………（页码）</w:t>
      </w:r>
    </w:p>
    <w:p w14:paraId="22035A7C">
      <w:pPr>
        <w:spacing w:line="480" w:lineRule="exact"/>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五、供应商认为需要提供的其他有关资料（比如：</w:t>
      </w:r>
      <w:r>
        <w:rPr>
          <w:rFonts w:hint="default" w:ascii="宋体" w:hAnsi="宋体" w:eastAsia="宋体" w:cs="宋体"/>
          <w:color w:val="auto"/>
          <w:sz w:val="24"/>
          <w:szCs w:val="24"/>
          <w:highlight w:val="none"/>
          <w:lang w:val="zh-CN"/>
        </w:rPr>
        <w:t>供应商类似的业绩证明文件</w:t>
      </w:r>
      <w:r>
        <w:rPr>
          <w:rFonts w:hint="default" w:ascii="宋体" w:hAnsi="宋体" w:eastAsia="宋体" w:cs="宋体"/>
          <w:color w:val="auto"/>
          <w:sz w:val="24"/>
          <w:szCs w:val="24"/>
          <w:highlight w:val="none"/>
        </w:rPr>
        <w:t>）</w:t>
      </w:r>
    </w:p>
    <w:p w14:paraId="7413D79A">
      <w:pPr>
        <w:pStyle w:val="14"/>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…………………………（页码）</w:t>
      </w:r>
    </w:p>
    <w:p w14:paraId="7A66E78F">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六、</w:t>
      </w:r>
      <w:r>
        <w:rPr>
          <w:rFonts w:hint="eastAsia" w:ascii="宋体" w:hAnsi="宋体" w:eastAsia="宋体" w:cs="宋体"/>
          <w:color w:val="auto"/>
          <w:sz w:val="24"/>
          <w:szCs w:val="24"/>
          <w:highlight w:val="none"/>
          <w:lang w:eastAsia="zh-CN"/>
        </w:rPr>
        <w:t>磋商人情况介绍</w:t>
      </w:r>
      <w:r>
        <w:rPr>
          <w:rFonts w:hint="default" w:ascii="宋体" w:hAnsi="宋体" w:eastAsia="宋体" w:cs="宋体"/>
          <w:color w:val="auto"/>
          <w:sz w:val="24"/>
          <w:szCs w:val="24"/>
          <w:highlight w:val="none"/>
        </w:rPr>
        <w:t>…………………………………………………………（页码）</w:t>
      </w:r>
    </w:p>
    <w:p w14:paraId="7BA555D2">
      <w:pPr>
        <w:adjustRightInd w:val="0"/>
        <w:spacing w:line="360" w:lineRule="auto"/>
        <w:ind w:left="2" w:firstLine="480" w:firstLineChars="200"/>
        <w:rPr>
          <w:rFonts w:hint="eastAsia"/>
          <w:color w:val="auto"/>
          <w:sz w:val="21"/>
          <w:szCs w:val="24"/>
          <w:highlight w:val="none"/>
        </w:rPr>
      </w:pPr>
      <w:r>
        <w:rPr>
          <w:rFonts w:hint="default" w:ascii="宋体" w:hAnsi="宋体" w:eastAsia="宋体" w:cs="宋体"/>
          <w:color w:val="auto"/>
          <w:sz w:val="24"/>
          <w:szCs w:val="24"/>
          <w:highlight w:val="none"/>
        </w:rPr>
        <w:t>七、技术需求偏离表…………………………………………………………（页码）</w:t>
      </w:r>
    </w:p>
    <w:p w14:paraId="0C9115F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八、项目经理简历表…………………………………………………………（页码）</w:t>
      </w:r>
    </w:p>
    <w:p w14:paraId="46819091">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九、主要施工管理人员表……………………………………………………（页码）</w:t>
      </w:r>
    </w:p>
    <w:p w14:paraId="6AEBD1A0">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十、项目经理未在其他在施建设工程项目中任职的承诺函……………（页码）</w:t>
      </w:r>
    </w:p>
    <w:p w14:paraId="6A2E0971">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十一、安全员未在其他在施建设工程项目中任专职安全员的承诺函……（页码）</w:t>
      </w:r>
    </w:p>
    <w:p w14:paraId="1F790144">
      <w:pPr>
        <w:pStyle w:val="14"/>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十二、农民工工资保证金的交纳与使用的承诺书…………………………（页码）</w:t>
      </w:r>
    </w:p>
    <w:p w14:paraId="34DA01B6">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十三、施工组织设计…………………………………………………………（页码）</w:t>
      </w:r>
    </w:p>
    <w:p w14:paraId="5FDA5ECC">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十四、按本竞争性磋商文件规定提交的其它资料</w:t>
      </w:r>
      <w:r>
        <w:rPr>
          <w:rFonts w:hint="default" w:ascii="宋体" w:hAnsi="宋体" w:eastAsia="宋体" w:cs="宋体"/>
          <w:color w:val="auto"/>
          <w:sz w:val="24"/>
          <w:szCs w:val="24"/>
          <w:highlight w:val="none"/>
          <w:lang w:val="zh-CN"/>
        </w:rPr>
        <w:t>……………………</w:t>
      </w:r>
      <w:r>
        <w:rPr>
          <w:rFonts w:hint="default" w:ascii="宋体" w:hAnsi="宋体" w:eastAsia="宋体" w:cs="宋体"/>
          <w:color w:val="auto"/>
          <w:sz w:val="24"/>
          <w:szCs w:val="24"/>
          <w:highlight w:val="none"/>
        </w:rPr>
        <w:t>……（页码）</w:t>
      </w:r>
    </w:p>
    <w:p w14:paraId="24D93EF7">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注：以上目录是基本格式要求，各供应商可根据自身情况进一步向下增加内容或细化。</w:t>
      </w:r>
    </w:p>
    <w:p w14:paraId="258E6F66">
      <w:pPr>
        <w:spacing w:line="400" w:lineRule="exact"/>
        <w:rPr>
          <w:rFonts w:hint="eastAsia" w:ascii="宋体" w:hAnsi="宋体" w:cs="宋体"/>
          <w:color w:val="auto"/>
          <w:sz w:val="32"/>
          <w:szCs w:val="32"/>
          <w:highlight w:val="none"/>
        </w:rPr>
      </w:pPr>
    </w:p>
    <w:p w14:paraId="09ADB85E">
      <w:pPr>
        <w:spacing w:line="520" w:lineRule="exact"/>
        <w:ind w:firstLine="880" w:firstLineChars="20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br w:type="page"/>
      </w:r>
      <w:r>
        <w:rPr>
          <w:rFonts w:hint="eastAsia" w:ascii="仿宋" w:hAnsi="仿宋" w:eastAsia="仿宋" w:cs="仿宋_GB2312"/>
          <w:b/>
          <w:color w:val="auto"/>
          <w:sz w:val="30"/>
          <w:szCs w:val="30"/>
          <w:highlight w:val="none"/>
          <w:lang w:bidi="ar"/>
        </w:rPr>
        <w:t>一、无串标行为承诺函</w:t>
      </w:r>
    </w:p>
    <w:p w14:paraId="265F513F">
      <w:pPr>
        <w:spacing w:line="520" w:lineRule="exact"/>
        <w:jc w:val="center"/>
        <w:rPr>
          <w:rFonts w:hint="eastAsia" w:ascii="方正小标宋简体" w:hAnsi="方正小标宋简体" w:eastAsia="方正小标宋简体" w:cs="方正小标宋简体"/>
          <w:color w:val="auto"/>
          <w:sz w:val="44"/>
          <w:szCs w:val="44"/>
          <w:highlight w:val="none"/>
        </w:rPr>
      </w:pPr>
    </w:p>
    <w:p w14:paraId="7B89404C">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lang w:bidi="ar"/>
        </w:rPr>
        <w:t>无串通竞标行为的承诺函</w:t>
      </w:r>
    </w:p>
    <w:p w14:paraId="1D9C326A">
      <w:pPr>
        <w:spacing w:line="520" w:lineRule="exact"/>
        <w:ind w:firstLine="640" w:firstLineChars="200"/>
        <w:rPr>
          <w:rFonts w:hint="eastAsia" w:ascii="仿宋_GB2312" w:hAnsi="仿宋_GB2312" w:eastAsia="仿宋_GB2312" w:cs="仿宋_GB2312"/>
          <w:color w:val="auto"/>
          <w:sz w:val="32"/>
          <w:szCs w:val="32"/>
          <w:highlight w:val="none"/>
        </w:rPr>
      </w:pPr>
    </w:p>
    <w:p w14:paraId="6745DB79">
      <w:pPr>
        <w:spacing w:line="360" w:lineRule="auto"/>
        <w:ind w:firstLine="482" w:firstLineChars="200"/>
        <w:rPr>
          <w:rFonts w:hint="eastAsia" w:ascii="宋体" w:hAnsi="宋体" w:eastAsia="宋体" w:cs="仿宋_GB2312"/>
          <w:b/>
          <w:bCs/>
          <w:color w:val="auto"/>
          <w:sz w:val="24"/>
          <w:highlight w:val="none"/>
        </w:rPr>
      </w:pPr>
      <w:r>
        <w:rPr>
          <w:rFonts w:hint="eastAsia" w:ascii="宋体" w:hAnsi="宋体" w:eastAsia="宋体" w:cs="仿宋_GB2312"/>
          <w:b/>
          <w:bCs/>
          <w:color w:val="auto"/>
          <w:sz w:val="24"/>
          <w:highlight w:val="none"/>
          <w:lang w:bidi="ar"/>
        </w:rPr>
        <w:t>一、我方承诺无下列相互串通竞标的情形：</w:t>
      </w:r>
    </w:p>
    <w:p w14:paraId="76646656">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1.不同供应商的响应文件由同一单位或者个人编制；</w:t>
      </w:r>
      <w:r>
        <w:rPr>
          <w:rFonts w:hint="eastAsia" w:ascii="宋体" w:hAnsi="宋体" w:eastAsia="宋体" w:cs="宋体"/>
          <w:color w:val="auto"/>
          <w:sz w:val="24"/>
          <w:highlight w:val="none"/>
          <w:lang w:bidi="ar"/>
        </w:rPr>
        <w:t>或者不同供应商报名的IP地址一致的；或者编制响应文件硬件设备CPU编号、硬盘编号、网卡地址一致的情况。</w:t>
      </w:r>
      <w:r>
        <w:rPr>
          <w:rFonts w:hint="eastAsia" w:ascii="宋体" w:hAnsi="宋体" w:eastAsia="宋体" w:cs="仿宋_GB2312"/>
          <w:color w:val="auto"/>
          <w:sz w:val="24"/>
          <w:highlight w:val="none"/>
          <w:lang w:bidi="ar"/>
        </w:rPr>
        <w:t xml:space="preserve">  </w:t>
      </w:r>
    </w:p>
    <w:p w14:paraId="04C46393">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2.不同供应商委托同一单位或者个人办理竞标事宜；</w:t>
      </w:r>
    </w:p>
    <w:p w14:paraId="59B93945">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3.不同供应商的响应文件载明的项目管理员为同一个人；</w:t>
      </w:r>
    </w:p>
    <w:p w14:paraId="0783FFBA">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4.不</w:t>
      </w:r>
      <w:r>
        <w:rPr>
          <w:rFonts w:hint="eastAsia" w:ascii="宋体" w:hAnsi="宋体" w:eastAsia="宋体" w:cs="仿宋_GB2312"/>
          <w:color w:val="auto"/>
          <w:spacing w:val="-6"/>
          <w:sz w:val="24"/>
          <w:highlight w:val="none"/>
          <w:lang w:bidi="ar"/>
        </w:rPr>
        <w:t>同供应商的响应文件异常一致或者响应报价呈规律性差异；</w:t>
      </w:r>
    </w:p>
    <w:p w14:paraId="59A8469D">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5.不同供应商的响应文件相互混装；</w:t>
      </w:r>
    </w:p>
    <w:p w14:paraId="28C506D3">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6.不同供应商的磋商保证金从同一单位或者个人账户转出。</w:t>
      </w:r>
    </w:p>
    <w:p w14:paraId="4FE602A3">
      <w:pPr>
        <w:spacing w:line="360" w:lineRule="auto"/>
        <w:ind w:firstLine="482" w:firstLineChars="200"/>
        <w:rPr>
          <w:rFonts w:hint="eastAsia" w:ascii="宋体" w:hAnsi="宋体" w:eastAsia="宋体" w:cs="仿宋_GB2312"/>
          <w:b/>
          <w:bCs/>
          <w:color w:val="auto"/>
          <w:sz w:val="24"/>
          <w:highlight w:val="none"/>
        </w:rPr>
      </w:pPr>
      <w:r>
        <w:rPr>
          <w:rFonts w:hint="eastAsia" w:ascii="宋体" w:hAnsi="宋体" w:eastAsia="宋体" w:cs="仿宋_GB2312"/>
          <w:b/>
          <w:bCs/>
          <w:color w:val="auto"/>
          <w:sz w:val="24"/>
          <w:highlight w:val="none"/>
          <w:lang w:bidi="ar"/>
        </w:rPr>
        <w:t>二、我方承诺无下列恶意串通的情形：</w:t>
      </w:r>
    </w:p>
    <w:p w14:paraId="5AA8495B">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1.供应商直接或者间接从采购人或者采购代理机构处获得其他供应商的相关信息并修改其响应文件；</w:t>
      </w:r>
    </w:p>
    <w:p w14:paraId="6888F12D">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2.供应商按照采购人或者采购代理机构的授意撤换、修改响应文件；</w:t>
      </w:r>
    </w:p>
    <w:p w14:paraId="35B6A6C3">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3.供</w:t>
      </w:r>
      <w:r>
        <w:rPr>
          <w:rFonts w:hint="eastAsia" w:ascii="宋体" w:hAnsi="宋体" w:eastAsia="宋体" w:cs="仿宋_GB2312"/>
          <w:color w:val="auto"/>
          <w:spacing w:val="-6"/>
          <w:sz w:val="24"/>
          <w:highlight w:val="none"/>
          <w:lang w:bidi="ar"/>
        </w:rPr>
        <w:t>应商之间协商报价、技术方案等响应文件的实质性内容；</w:t>
      </w:r>
    </w:p>
    <w:p w14:paraId="5DF72B4B">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4.属于同一集团、协会、商会等组织成员的供应商按照该组织要求协同参加政府采购活动；</w:t>
      </w:r>
    </w:p>
    <w:p w14:paraId="559B1CC1">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5.供应商之间事先约定一致抬高或者压低响应报价，或者在竞争性磋商项目中事先约定轮流以高价位或者低价位成交，或者事先约定由某一特定供应商成交，然后再参加竞标；</w:t>
      </w:r>
    </w:p>
    <w:p w14:paraId="236FE8D9">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6.供应商之间商定部分供应商放弃参加政府采购活动或者放弃成交；</w:t>
      </w:r>
    </w:p>
    <w:p w14:paraId="07302713">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7.供应商与采购人或者采购代理机构之间、供应商相互之间，为</w:t>
      </w:r>
      <w:r>
        <w:rPr>
          <w:rFonts w:hint="eastAsia" w:ascii="宋体" w:hAnsi="宋体" w:eastAsia="宋体" w:cs="仿宋_GB2312"/>
          <w:color w:val="auto"/>
          <w:spacing w:val="-6"/>
          <w:sz w:val="24"/>
          <w:highlight w:val="none"/>
          <w:lang w:bidi="ar"/>
        </w:rPr>
        <w:t>谋求特定供应商成交或者排斥其他供应商的其他串通行为。</w:t>
      </w:r>
    </w:p>
    <w:p w14:paraId="4EC71307">
      <w:pPr>
        <w:spacing w:line="360" w:lineRule="auto"/>
        <w:ind w:firstLine="482" w:firstLineChars="200"/>
        <w:rPr>
          <w:rFonts w:hint="eastAsia" w:ascii="宋体" w:hAnsi="宋体" w:eastAsia="宋体" w:cs="仿宋_GB2312"/>
          <w:b/>
          <w:bCs/>
          <w:color w:val="auto"/>
          <w:sz w:val="24"/>
          <w:highlight w:val="none"/>
        </w:rPr>
      </w:pPr>
      <w:r>
        <w:rPr>
          <w:rFonts w:hint="eastAsia" w:ascii="宋体" w:hAnsi="宋体" w:eastAsia="宋体" w:cs="仿宋_GB2312"/>
          <w:b/>
          <w:bCs/>
          <w:color w:val="auto"/>
          <w:sz w:val="24"/>
          <w:highlight w:val="none"/>
          <w:lang w:bidi="ar"/>
        </w:rPr>
        <w:t>以上情形一经核查属实，接受政府采购监管部门对我方认定存在围标串标行为，我方愿意承担一切后果，并不再寻求任何旨在减轻或者免除法律责任的辩解。</w:t>
      </w:r>
    </w:p>
    <w:p w14:paraId="5284DF6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0E87A5D2">
      <w:pPr>
        <w:spacing w:line="520" w:lineRule="exact"/>
        <w:ind w:left="237" w:leftChars="113" w:firstLine="6120" w:firstLineChars="2550"/>
        <w:jc w:val="left"/>
        <w:rPr>
          <w:rFonts w:hint="eastAsia"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kern w:val="0"/>
          <w:sz w:val="24"/>
          <w:highlight w:val="none"/>
          <w:lang w:val="zh-CN" w:bidi="ar"/>
        </w:rPr>
        <w:t xml:space="preserve">日期：  年  月   日   </w:t>
      </w:r>
      <w:r>
        <w:rPr>
          <w:rFonts w:hint="eastAsia" w:ascii="宋体" w:hAnsi="宋体" w:eastAsia="宋体" w:cs="宋体"/>
          <w:b/>
          <w:bCs/>
          <w:color w:val="auto"/>
          <w:sz w:val="32"/>
          <w:szCs w:val="32"/>
          <w:highlight w:val="none"/>
          <w:lang w:bidi="ar"/>
        </w:rPr>
        <w:br w:type="page"/>
      </w:r>
      <w:r>
        <w:rPr>
          <w:rFonts w:hint="eastAsia" w:ascii="仿宋" w:hAnsi="仿宋" w:eastAsia="仿宋" w:cs="仿宋_GB2312"/>
          <w:b/>
          <w:color w:val="auto"/>
          <w:sz w:val="30"/>
          <w:szCs w:val="30"/>
          <w:highlight w:val="none"/>
          <w:lang w:bidi="ar"/>
        </w:rPr>
        <w:t>二、法定代表人身份证明及法定代表人有效身份证正反面复印件</w:t>
      </w:r>
    </w:p>
    <w:p w14:paraId="371BDE5E">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
        </w:rPr>
        <w:t>法定代表人证明书</w:t>
      </w:r>
    </w:p>
    <w:p w14:paraId="2A153137">
      <w:pPr>
        <w:pStyle w:val="28"/>
        <w:spacing w:line="360" w:lineRule="auto"/>
        <w:ind w:left="540"/>
        <w:contextualSpacing/>
        <w:rPr>
          <w:rFonts w:hint="eastAsia" w:ascii="仿宋_GB2312" w:hAnsi="仿宋_GB2312" w:eastAsia="仿宋_GB2312" w:cs="仿宋_GB2312"/>
          <w:color w:val="auto"/>
          <w:sz w:val="32"/>
          <w:szCs w:val="32"/>
          <w:highlight w:val="none"/>
        </w:rPr>
      </w:pPr>
    </w:p>
    <w:p w14:paraId="2CD1C2D4">
      <w:pPr>
        <w:pStyle w:val="28"/>
        <w:spacing w:line="360" w:lineRule="auto"/>
        <w:ind w:left="540"/>
        <w:contextualSpacing/>
        <w:rPr>
          <w:rFonts w:hint="eastAsia" w:ascii="宋体" w:hAnsi="宋体" w:cs="仿宋_GB2312"/>
          <w:color w:val="auto"/>
          <w:highlight w:val="none"/>
        </w:rPr>
      </w:pPr>
      <w:r>
        <w:rPr>
          <w:rFonts w:hint="eastAsia" w:ascii="宋体" w:hAnsi="宋体" w:cs="仿宋_GB2312"/>
          <w:color w:val="auto"/>
          <w:highlight w:val="none"/>
        </w:rPr>
        <w:t>供应商名称：</w:t>
      </w:r>
      <w:r>
        <w:rPr>
          <w:rFonts w:hint="eastAsia" w:ascii="宋体" w:hAnsi="宋体" w:cs="仿宋_GB2312"/>
          <w:color w:val="auto"/>
          <w:highlight w:val="none"/>
          <w:u w:val="single"/>
        </w:rPr>
        <w:t xml:space="preserve">                                                        </w:t>
      </w:r>
    </w:p>
    <w:p w14:paraId="6B875802">
      <w:pPr>
        <w:pStyle w:val="28"/>
        <w:spacing w:line="360" w:lineRule="auto"/>
        <w:ind w:left="540"/>
        <w:contextualSpacing/>
        <w:rPr>
          <w:rFonts w:hint="eastAsia" w:ascii="宋体" w:hAnsi="宋体" w:cs="仿宋_GB2312"/>
          <w:color w:val="auto"/>
          <w:highlight w:val="none"/>
        </w:rPr>
      </w:pPr>
      <w:r>
        <w:rPr>
          <w:rFonts w:hint="eastAsia" w:ascii="宋体" w:hAnsi="宋体" w:cs="仿宋_GB2312"/>
          <w:color w:val="auto"/>
          <w:highlight w:val="none"/>
        </w:rPr>
        <w:t>地    址：</w:t>
      </w:r>
      <w:r>
        <w:rPr>
          <w:rFonts w:hint="eastAsia" w:ascii="宋体" w:hAnsi="宋体" w:cs="仿宋_GB2312"/>
          <w:color w:val="auto"/>
          <w:highlight w:val="none"/>
          <w:u w:val="single"/>
        </w:rPr>
        <w:t xml:space="preserve">                                                        </w:t>
      </w:r>
    </w:p>
    <w:p w14:paraId="1EFE22E8">
      <w:pPr>
        <w:pStyle w:val="28"/>
        <w:spacing w:line="360" w:lineRule="auto"/>
        <w:ind w:left="540"/>
        <w:contextualSpacing/>
        <w:rPr>
          <w:rFonts w:hint="eastAsia" w:ascii="宋体" w:hAnsi="宋体" w:cs="仿宋_GB2312"/>
          <w:color w:val="auto"/>
          <w:highlight w:val="none"/>
        </w:rPr>
      </w:pPr>
      <w:r>
        <w:rPr>
          <w:rFonts w:hint="eastAsia" w:ascii="宋体" w:hAnsi="宋体" w:cs="仿宋_GB2312"/>
          <w:color w:val="auto"/>
          <w:highlight w:val="none"/>
        </w:rPr>
        <w:t>姓    名：</w:t>
      </w:r>
      <w:r>
        <w:rPr>
          <w:rFonts w:hint="eastAsia" w:ascii="宋体" w:hAnsi="宋体" w:cs="仿宋_GB2312"/>
          <w:color w:val="auto"/>
          <w:highlight w:val="none"/>
          <w:u w:val="single"/>
        </w:rPr>
        <w:t xml:space="preserve">                </w:t>
      </w:r>
      <w:r>
        <w:rPr>
          <w:rFonts w:hint="eastAsia" w:ascii="宋体" w:hAnsi="宋体" w:cs="仿宋_GB2312"/>
          <w:color w:val="auto"/>
          <w:highlight w:val="none"/>
        </w:rPr>
        <w:t>性     别：</w:t>
      </w:r>
      <w:r>
        <w:rPr>
          <w:rFonts w:hint="eastAsia" w:ascii="宋体" w:hAnsi="宋体" w:cs="仿宋_GB2312"/>
          <w:color w:val="auto"/>
          <w:highlight w:val="none"/>
          <w:u w:val="single"/>
        </w:rPr>
        <w:t xml:space="preserve">                </w:t>
      </w:r>
    </w:p>
    <w:p w14:paraId="7FD17CFB">
      <w:pPr>
        <w:pStyle w:val="28"/>
        <w:spacing w:line="360" w:lineRule="auto"/>
        <w:ind w:left="540"/>
        <w:contextualSpacing/>
        <w:rPr>
          <w:rFonts w:hint="eastAsia" w:ascii="宋体" w:hAnsi="宋体" w:cs="仿宋_GB2312"/>
          <w:color w:val="auto"/>
          <w:highlight w:val="none"/>
          <w:u w:val="single"/>
        </w:rPr>
      </w:pPr>
      <w:r>
        <w:rPr>
          <w:rFonts w:hint="eastAsia" w:ascii="宋体" w:hAnsi="宋体" w:cs="仿宋_GB2312"/>
          <w:color w:val="auto"/>
          <w:highlight w:val="none"/>
        </w:rPr>
        <w:t>年    龄：</w:t>
      </w:r>
      <w:r>
        <w:rPr>
          <w:rFonts w:hint="eastAsia" w:ascii="宋体" w:hAnsi="宋体" w:cs="仿宋_GB2312"/>
          <w:color w:val="auto"/>
          <w:highlight w:val="none"/>
          <w:u w:val="single"/>
        </w:rPr>
        <w:t xml:space="preserve">                </w:t>
      </w:r>
      <w:r>
        <w:rPr>
          <w:rFonts w:hint="eastAsia" w:ascii="宋体" w:hAnsi="宋体" w:cs="仿宋_GB2312"/>
          <w:color w:val="auto"/>
          <w:highlight w:val="none"/>
        </w:rPr>
        <w:t>职     务：</w:t>
      </w:r>
      <w:r>
        <w:rPr>
          <w:rFonts w:hint="eastAsia" w:ascii="宋体" w:hAnsi="宋体" w:cs="仿宋_GB2312"/>
          <w:color w:val="auto"/>
          <w:highlight w:val="none"/>
          <w:u w:val="single"/>
        </w:rPr>
        <w:t xml:space="preserve">                </w:t>
      </w:r>
    </w:p>
    <w:p w14:paraId="2CB0CE5A">
      <w:pPr>
        <w:pStyle w:val="28"/>
        <w:spacing w:line="360" w:lineRule="auto"/>
        <w:ind w:left="540"/>
        <w:contextualSpacing/>
        <w:rPr>
          <w:rFonts w:hint="eastAsia" w:ascii="宋体" w:hAnsi="宋体" w:cs="仿宋_GB2312"/>
          <w:color w:val="auto"/>
          <w:highlight w:val="none"/>
        </w:rPr>
      </w:pPr>
      <w:r>
        <w:rPr>
          <w:rFonts w:hint="eastAsia" w:ascii="宋体" w:hAnsi="宋体" w:cs="仿宋_GB2312"/>
          <w:color w:val="auto"/>
          <w:highlight w:val="none"/>
        </w:rPr>
        <w:t>身份证号码：</w:t>
      </w:r>
      <w:r>
        <w:rPr>
          <w:rFonts w:hint="eastAsia" w:ascii="宋体" w:hAnsi="宋体" w:cs="仿宋_GB2312"/>
          <w:color w:val="auto"/>
          <w:highlight w:val="none"/>
          <w:u w:val="single"/>
        </w:rPr>
        <w:t xml:space="preserve">                                        </w:t>
      </w:r>
    </w:p>
    <w:p w14:paraId="69266B8B">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系</w:t>
      </w:r>
      <w:r>
        <w:rPr>
          <w:rFonts w:hint="eastAsia" w:ascii="宋体" w:hAnsi="宋体" w:eastAsia="宋体" w:cs="仿宋_GB2312"/>
          <w:color w:val="auto"/>
          <w:sz w:val="24"/>
          <w:highlight w:val="none"/>
          <w:u w:val="single"/>
          <w:lang w:bidi="ar"/>
        </w:rPr>
        <w:t>（供应商名称）</w:t>
      </w:r>
      <w:r>
        <w:rPr>
          <w:rFonts w:hint="eastAsia" w:ascii="宋体" w:hAnsi="宋体" w:eastAsia="宋体" w:cs="仿宋_GB2312"/>
          <w:color w:val="auto"/>
          <w:sz w:val="24"/>
          <w:highlight w:val="none"/>
          <w:lang w:bidi="ar"/>
        </w:rPr>
        <w:t>的法定代表人。</w:t>
      </w:r>
    </w:p>
    <w:p w14:paraId="1D9FC705">
      <w:pPr>
        <w:pStyle w:val="28"/>
        <w:spacing w:line="360" w:lineRule="auto"/>
        <w:ind w:left="540"/>
        <w:contextualSpacing/>
        <w:rPr>
          <w:rFonts w:hint="eastAsia" w:ascii="宋体" w:hAnsi="宋体" w:cs="仿宋_GB2312"/>
          <w:color w:val="auto"/>
          <w:highlight w:val="none"/>
        </w:rPr>
      </w:pPr>
      <w:r>
        <w:rPr>
          <w:rFonts w:hint="eastAsia" w:ascii="宋体" w:hAnsi="宋体" w:cs="仿宋_GB2312"/>
          <w:color w:val="auto"/>
          <w:highlight w:val="none"/>
        </w:rPr>
        <w:t>特此证明。</w:t>
      </w:r>
    </w:p>
    <w:p w14:paraId="31E48B54">
      <w:pPr>
        <w:pStyle w:val="28"/>
        <w:spacing w:line="360" w:lineRule="auto"/>
        <w:ind w:left="540"/>
        <w:contextualSpacing/>
        <w:rPr>
          <w:rFonts w:hint="eastAsia" w:ascii="宋体" w:hAnsi="宋体" w:cs="仿宋_GB2312"/>
          <w:color w:val="auto"/>
          <w:highlight w:val="none"/>
        </w:rPr>
      </w:pPr>
    </w:p>
    <w:p w14:paraId="11A9D2F0">
      <w:pPr>
        <w:pStyle w:val="28"/>
        <w:spacing w:line="360" w:lineRule="auto"/>
        <w:ind w:left="540"/>
        <w:contextualSpacing/>
        <w:rPr>
          <w:rFonts w:hint="eastAsia" w:ascii="宋体" w:hAnsi="宋体" w:cs="仿宋_GB2312"/>
          <w:color w:val="auto"/>
          <w:highlight w:val="none"/>
        </w:rPr>
      </w:pPr>
    </w:p>
    <w:p w14:paraId="3B1B07DF">
      <w:pPr>
        <w:pStyle w:val="28"/>
        <w:spacing w:line="360" w:lineRule="auto"/>
        <w:ind w:left="540"/>
        <w:contextualSpacing/>
        <w:rPr>
          <w:rFonts w:hint="eastAsia" w:ascii="宋体" w:hAnsi="宋体" w:cs="仿宋_GB2312"/>
          <w:color w:val="auto"/>
          <w:highlight w:val="none"/>
        </w:rPr>
      </w:pPr>
    </w:p>
    <w:p w14:paraId="7F4A2322">
      <w:pPr>
        <w:pStyle w:val="28"/>
        <w:spacing w:line="360" w:lineRule="auto"/>
        <w:ind w:left="540"/>
        <w:contextualSpacing/>
        <w:rPr>
          <w:rFonts w:hint="eastAsia" w:ascii="宋体" w:hAnsi="宋体" w:cs="仿宋_GB2312"/>
          <w:color w:val="auto"/>
          <w:highlight w:val="none"/>
        </w:rPr>
      </w:pPr>
      <w:r>
        <w:rPr>
          <w:rFonts w:hint="eastAsia" w:ascii="宋体" w:hAnsi="宋体" w:cs="仿宋_GB2312"/>
          <w:color w:val="auto"/>
          <w:highlight w:val="none"/>
        </w:rPr>
        <w:t>附件：法定代表人有效身份证正反面复印件</w:t>
      </w:r>
    </w:p>
    <w:p w14:paraId="15949805">
      <w:pPr>
        <w:pStyle w:val="28"/>
        <w:spacing w:line="360" w:lineRule="auto"/>
        <w:ind w:left="540"/>
        <w:contextualSpacing/>
        <w:rPr>
          <w:rFonts w:hint="eastAsia" w:ascii="宋体" w:hAnsi="宋体" w:cs="仿宋_GB2312"/>
          <w:color w:val="auto"/>
          <w:highlight w:val="none"/>
        </w:rPr>
      </w:pPr>
    </w:p>
    <w:p w14:paraId="3637DE3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22E7F912">
      <w:pPr>
        <w:spacing w:line="360" w:lineRule="auto"/>
        <w:jc w:val="center"/>
        <w:rPr>
          <w:rFonts w:hint="eastAsia" w:ascii="宋体" w:hAnsi="宋体" w:eastAsia="宋体" w:cs="仿宋_GB2312"/>
          <w:b/>
          <w:color w:val="auto"/>
          <w:sz w:val="24"/>
          <w:highlight w:val="none"/>
        </w:rPr>
      </w:pPr>
      <w:r>
        <w:rPr>
          <w:rFonts w:hint="eastAsia" w:ascii="仿宋_GB2312" w:hAnsi="仿宋" w:eastAsia="仿宋_GB2312" w:cs="仿宋_GB2312"/>
          <w:color w:val="auto"/>
          <w:kern w:val="0"/>
          <w:sz w:val="24"/>
          <w:highlight w:val="none"/>
          <w:lang w:val="zh-CN" w:bidi="ar"/>
        </w:rPr>
        <w:t xml:space="preserve">                                                   日期：  年  月   日</w:t>
      </w:r>
    </w:p>
    <w:p w14:paraId="67FD0EDC">
      <w:pPr>
        <w:spacing w:line="360" w:lineRule="auto"/>
        <w:jc w:val="left"/>
        <w:rPr>
          <w:rFonts w:hint="eastAsia" w:ascii="宋体" w:hAnsi="宋体" w:eastAsia="宋体" w:cs="仿宋_GB2312"/>
          <w:color w:val="auto"/>
          <w:sz w:val="24"/>
          <w:highlight w:val="none"/>
        </w:rPr>
      </w:pPr>
    </w:p>
    <w:p w14:paraId="32BE2B8D">
      <w:pPr>
        <w:spacing w:line="360" w:lineRule="auto"/>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注：1.自然人竞标的无需提供，联合体竞标的只需牵头人出具。</w:t>
      </w:r>
    </w:p>
    <w:p w14:paraId="3E2C4DC6">
      <w:pPr>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8F5C961">
      <w:pPr>
        <w:spacing w:line="360" w:lineRule="auto"/>
        <w:rPr>
          <w:rFonts w:hint="eastAsia" w:ascii="宋体" w:hAnsi="宋体" w:eastAsia="宋体" w:cs="仿宋_GB2312"/>
          <w:color w:val="auto"/>
          <w:sz w:val="24"/>
          <w:highlight w:val="none"/>
          <w:lang w:bidi="ar"/>
        </w:rPr>
        <w:sectPr>
          <w:pgSz w:w="11910" w:h="16840"/>
          <w:pgMar w:top="1340" w:right="1500" w:bottom="1134" w:left="1587" w:header="720" w:footer="720" w:gutter="0"/>
          <w:pgNumType w:fmt="decimal"/>
          <w:cols w:space="425" w:num="1"/>
          <w:docGrid w:type="lines" w:linePitch="312" w:charSpace="0"/>
        </w:sectPr>
      </w:pPr>
    </w:p>
    <w:tbl>
      <w:tblPr>
        <w:tblStyle w:val="3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F09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shd w:val="clear" w:color="auto" w:fill="auto"/>
          </w:tcPr>
          <w:p w14:paraId="30FA35A9">
            <w:pPr>
              <w:spacing w:line="360" w:lineRule="auto"/>
              <w:rPr>
                <w:rFonts w:ascii="宋体" w:hAnsi="Times New Roman" w:eastAsia="宋体" w:cs="宋体"/>
                <w:b/>
                <w:color w:val="auto"/>
                <w:sz w:val="24"/>
                <w:highlight w:val="none"/>
              </w:rPr>
            </w:pPr>
          </w:p>
          <w:p w14:paraId="17D31DDC">
            <w:pPr>
              <w:spacing w:line="360" w:lineRule="auto"/>
              <w:rPr>
                <w:rFonts w:ascii="宋体" w:hAnsi="Times New Roman" w:eastAsia="宋体" w:cs="宋体"/>
                <w:b/>
                <w:color w:val="auto"/>
                <w:sz w:val="24"/>
                <w:highlight w:val="none"/>
              </w:rPr>
            </w:pPr>
            <w:r>
              <w:rPr>
                <w:rFonts w:hint="eastAsia" w:ascii="宋体" w:hAnsi="Times New Roman" w:eastAsia="宋体" w:cs="宋体"/>
                <w:b/>
                <w:color w:val="auto"/>
                <w:sz w:val="24"/>
                <w:highlight w:val="none"/>
                <w:lang w:bidi="ar"/>
              </w:rPr>
              <w:t>法定代表身份证复印件粘帖处（正、反面）</w:t>
            </w:r>
          </w:p>
        </w:tc>
      </w:tr>
    </w:tbl>
    <w:p w14:paraId="32218755">
      <w:pPr>
        <w:spacing w:line="360" w:lineRule="auto"/>
        <w:ind w:firstLine="482" w:firstLineChars="200"/>
        <w:jc w:val="left"/>
        <w:rPr>
          <w:rFonts w:hint="eastAsia" w:ascii="仿宋_GB2312" w:hAnsi="仿宋_GB2312" w:eastAsia="仿宋_GB2312" w:cs="仿宋_GB2312"/>
          <w:b/>
          <w:color w:val="auto"/>
          <w:sz w:val="32"/>
          <w:szCs w:val="32"/>
          <w:highlight w:val="none"/>
        </w:rPr>
      </w:pPr>
      <w:r>
        <w:rPr>
          <w:rFonts w:hint="eastAsia" w:ascii="Times New Roman" w:hAnsi="宋体" w:eastAsia="宋体" w:cs="宋体"/>
          <w:b/>
          <w:color w:val="auto"/>
          <w:sz w:val="24"/>
          <w:highlight w:val="none"/>
          <w:lang w:bidi="ar"/>
        </w:rPr>
        <w:t>附件：</w:t>
      </w:r>
    </w:p>
    <w:p w14:paraId="3E8EA653">
      <w:pPr>
        <w:adjustRightInd w:val="0"/>
        <w:snapToGrid w:val="0"/>
        <w:spacing w:line="300" w:lineRule="auto"/>
        <w:jc w:val="left"/>
        <w:rPr>
          <w:rFonts w:hint="eastAsia" w:ascii="宋体" w:hAnsi="宋体" w:eastAsia="宋体" w:cs="宋体"/>
          <w:b/>
          <w:color w:val="auto"/>
          <w:szCs w:val="21"/>
          <w:highlight w:val="none"/>
        </w:rPr>
      </w:pPr>
    </w:p>
    <w:p w14:paraId="2B101690">
      <w:pPr>
        <w:spacing w:line="520" w:lineRule="exact"/>
        <w:ind w:firstLine="880"/>
        <w:jc w:val="left"/>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br w:type="page"/>
      </w:r>
      <w:r>
        <w:rPr>
          <w:rFonts w:hint="eastAsia" w:ascii="仿宋" w:hAnsi="仿宋" w:eastAsia="仿宋" w:cs="仿宋_GB2312"/>
          <w:b/>
          <w:color w:val="auto"/>
          <w:sz w:val="30"/>
          <w:szCs w:val="30"/>
          <w:highlight w:val="none"/>
          <w:lang w:bidi="ar"/>
        </w:rPr>
        <w:t>三、法定代表人授权委托书</w:t>
      </w:r>
    </w:p>
    <w:p w14:paraId="687F91C8">
      <w:pPr>
        <w:spacing w:line="500" w:lineRule="exact"/>
        <w:jc w:val="center"/>
        <w:rPr>
          <w:rFonts w:hint="eastAsia" w:ascii="方正小标宋简体" w:hAnsi="方正小标宋简体" w:eastAsia="方正小标宋简体" w:cs="方正小标宋简体"/>
          <w:color w:val="auto"/>
          <w:sz w:val="44"/>
          <w:szCs w:val="44"/>
          <w:highlight w:val="none"/>
        </w:rPr>
      </w:pPr>
    </w:p>
    <w:p w14:paraId="6AA42DBF">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t>授权委托书（非联合体竞标格式）</w:t>
      </w:r>
    </w:p>
    <w:p w14:paraId="22B72EF7">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t>（如有委托时）</w:t>
      </w:r>
    </w:p>
    <w:p w14:paraId="12AB3D77">
      <w:pPr>
        <w:spacing w:line="520" w:lineRule="exact"/>
        <w:rPr>
          <w:rFonts w:hint="eastAsia" w:ascii="仿宋_GB2312" w:hAnsi="仿宋_GB2312" w:eastAsia="仿宋_GB2312" w:cs="仿宋_GB2312"/>
          <w:color w:val="auto"/>
          <w:sz w:val="32"/>
          <w:szCs w:val="32"/>
          <w:highlight w:val="none"/>
        </w:rPr>
      </w:pPr>
    </w:p>
    <w:p w14:paraId="1774920E">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致：</w:t>
      </w:r>
      <w:r>
        <w:rPr>
          <w:rFonts w:hint="eastAsia" w:ascii="宋体" w:hAnsi="宋体" w:cs="仿宋_GB2312"/>
          <w:color w:val="auto"/>
          <w:sz w:val="24"/>
          <w:highlight w:val="none"/>
          <w:u w:val="single"/>
        </w:rPr>
        <w:t>广西翔正项目管理有限公司</w:t>
      </w:r>
      <w:r>
        <w:rPr>
          <w:rFonts w:hint="eastAsia" w:ascii="宋体" w:hAnsi="宋体" w:eastAsia="宋体" w:cs="仿宋_GB2312"/>
          <w:color w:val="auto"/>
          <w:sz w:val="24"/>
          <w:highlight w:val="none"/>
          <w:lang w:bidi="ar"/>
        </w:rPr>
        <w:t>：</w:t>
      </w:r>
    </w:p>
    <w:p w14:paraId="67F592EE">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我</w:t>
      </w:r>
      <w:r>
        <w:rPr>
          <w:rFonts w:hint="eastAsia" w:ascii="宋体" w:hAnsi="宋体" w:eastAsia="宋体" w:cs="仿宋_GB2312"/>
          <w:color w:val="auto"/>
          <w:sz w:val="24"/>
          <w:highlight w:val="none"/>
          <w:u w:val="single"/>
          <w:lang w:bidi="ar"/>
        </w:rPr>
        <w:t xml:space="preserve">  （姓名）  </w:t>
      </w:r>
      <w:r>
        <w:rPr>
          <w:rFonts w:hint="eastAsia" w:ascii="宋体" w:hAnsi="宋体" w:eastAsia="宋体" w:cs="仿宋_GB2312"/>
          <w:color w:val="auto"/>
          <w:sz w:val="24"/>
          <w:highlight w:val="none"/>
          <w:lang w:bidi="ar"/>
        </w:rPr>
        <w:t>系</w:t>
      </w:r>
      <w:r>
        <w:rPr>
          <w:rFonts w:hint="eastAsia" w:ascii="宋体" w:hAnsi="宋体" w:eastAsia="宋体" w:cs="仿宋_GB2312"/>
          <w:color w:val="auto"/>
          <w:sz w:val="24"/>
          <w:highlight w:val="none"/>
          <w:u w:val="single"/>
          <w:lang w:bidi="ar"/>
        </w:rPr>
        <w:t xml:space="preserve">  （供应商名称）  </w:t>
      </w:r>
      <w:r>
        <w:rPr>
          <w:rFonts w:hint="eastAsia" w:ascii="宋体" w:hAnsi="宋体" w:eastAsia="宋体" w:cs="仿宋_GB2312"/>
          <w:color w:val="auto"/>
          <w:sz w:val="24"/>
          <w:highlight w:val="none"/>
          <w:lang w:bidi="ar"/>
        </w:rPr>
        <w:t>的（</w:t>
      </w:r>
      <w:r>
        <w:rPr>
          <w:rFonts w:hint="eastAsia" w:ascii="宋体" w:hAnsi="宋体" w:eastAsia="宋体" w:cs="仿宋_GB2312"/>
          <w:color w:val="auto"/>
          <w:sz w:val="24"/>
          <w:highlight w:val="none"/>
          <w:u w:val="single"/>
          <w:lang w:bidi="ar"/>
        </w:rPr>
        <w:t>□法定代表人/□负责人/□自然人本人</w:t>
      </w:r>
      <w:r>
        <w:rPr>
          <w:rFonts w:hint="eastAsia" w:ascii="宋体" w:hAnsi="宋体" w:eastAsia="宋体" w:cs="仿宋_GB2312"/>
          <w:color w:val="auto"/>
          <w:sz w:val="24"/>
          <w:highlight w:val="none"/>
          <w:lang w:bidi="ar"/>
        </w:rPr>
        <w:t>），现授权</w:t>
      </w:r>
      <w:r>
        <w:rPr>
          <w:rFonts w:hint="eastAsia" w:ascii="宋体" w:hAnsi="宋体" w:eastAsia="宋体" w:cs="仿宋_GB2312"/>
          <w:color w:val="auto"/>
          <w:sz w:val="24"/>
          <w:highlight w:val="none"/>
          <w:u w:val="single"/>
          <w:lang w:bidi="ar"/>
        </w:rPr>
        <w:t xml:space="preserve"> （姓名） </w:t>
      </w:r>
      <w:r>
        <w:rPr>
          <w:rFonts w:hint="eastAsia" w:ascii="宋体" w:hAnsi="宋体" w:eastAsia="宋体" w:cs="仿宋_GB2312"/>
          <w:color w:val="auto"/>
          <w:sz w:val="24"/>
          <w:highlight w:val="none"/>
          <w:lang w:bidi="ar"/>
        </w:rPr>
        <w:t>以我方的名义参加</w:t>
      </w:r>
      <w:r>
        <w:rPr>
          <w:rFonts w:hint="eastAsia" w:ascii="宋体" w:hAnsi="宋体" w:eastAsia="宋体" w:cs="仿宋_GB2312"/>
          <w:color w:val="auto"/>
          <w:sz w:val="24"/>
          <w:highlight w:val="none"/>
          <w:u w:val="single"/>
          <w:lang w:eastAsia="zh-CN"/>
        </w:rPr>
        <w:t>昆仑镇九塘社区大塘坡水稻灌溉工程</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lang w:bidi="ar"/>
        </w:rPr>
        <w:t>项目的竞标活动，并代表我方全权办理针对上述项目的所有采购程序和环节的具体事务和签署相关文件。</w:t>
      </w:r>
    </w:p>
    <w:p w14:paraId="59A73576">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 xml:space="preserve">    我方对委托代理人的签字事项负全部责任。</w:t>
      </w:r>
    </w:p>
    <w:p w14:paraId="45A0E155">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本授权书自签署之日起生效，在撤销授权的书面通知以前，本授权书一直有效。委托代理人在授权书有效期内签署的所有文件不因授权的撤销而失效。</w:t>
      </w:r>
    </w:p>
    <w:p w14:paraId="7B37129F">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委托代理人无转委托权，特此委托。</w:t>
      </w:r>
    </w:p>
    <w:p w14:paraId="7AE5F021">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附：法定代表人身份证明书及委托代理人有效身份证正反面复印件</w:t>
      </w:r>
    </w:p>
    <w:p w14:paraId="62FEFD97">
      <w:pPr>
        <w:spacing w:line="360" w:lineRule="auto"/>
        <w:rPr>
          <w:rFonts w:hint="eastAsia" w:ascii="宋体" w:hAnsi="宋体" w:eastAsia="宋体" w:cs="仿宋_GB2312"/>
          <w:color w:val="auto"/>
          <w:sz w:val="24"/>
          <w:highlight w:val="none"/>
        </w:rPr>
      </w:pPr>
    </w:p>
    <w:p w14:paraId="3C17CD3B">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 xml:space="preserve">委托代理人（签字）：         法定代表人（签字或盖章）：                    </w:t>
      </w:r>
    </w:p>
    <w:p w14:paraId="0F75EF4A">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 xml:space="preserve">委托代理人身份证号码：                              </w:t>
      </w:r>
    </w:p>
    <w:p w14:paraId="06211896">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 xml:space="preserve">                                </w:t>
      </w:r>
    </w:p>
    <w:p w14:paraId="6F2E8861">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 xml:space="preserve">                         </w:t>
      </w:r>
      <w:r>
        <w:rPr>
          <w:rFonts w:hint="eastAsia" w:ascii="仿宋_GB2312" w:hAnsi="仿宋" w:eastAsia="仿宋_GB2312" w:cs="仿宋_GB2312"/>
          <w:color w:val="auto"/>
          <w:kern w:val="0"/>
          <w:sz w:val="24"/>
          <w:highlight w:val="none"/>
          <w:lang w:bidi="ar"/>
        </w:rPr>
        <w:t>供应商名称（电子签章）：</w:t>
      </w:r>
    </w:p>
    <w:p w14:paraId="6B10A380">
      <w:pPr>
        <w:spacing w:line="360" w:lineRule="auto"/>
        <w:jc w:val="center"/>
        <w:rPr>
          <w:rFonts w:hint="eastAsia" w:ascii="宋体" w:hAnsi="宋体" w:eastAsia="宋体" w:cs="仿宋_GB2312"/>
          <w:b/>
          <w:color w:val="auto"/>
          <w:sz w:val="24"/>
          <w:highlight w:val="none"/>
        </w:rPr>
      </w:pPr>
      <w:r>
        <w:rPr>
          <w:rFonts w:hint="eastAsia" w:ascii="仿宋_GB2312" w:hAnsi="仿宋" w:eastAsia="仿宋_GB2312" w:cs="仿宋_GB2312"/>
          <w:color w:val="auto"/>
          <w:kern w:val="0"/>
          <w:sz w:val="24"/>
          <w:highlight w:val="none"/>
          <w:lang w:val="zh-CN" w:bidi="ar"/>
        </w:rPr>
        <w:t xml:space="preserve">                                                   日期：  年  月   日</w:t>
      </w:r>
    </w:p>
    <w:p w14:paraId="79D8C8B4">
      <w:pPr>
        <w:spacing w:line="360" w:lineRule="auto"/>
        <w:rPr>
          <w:rFonts w:hint="eastAsia" w:ascii="宋体" w:hAnsi="宋体" w:eastAsia="宋体" w:cs="仿宋_GB2312"/>
          <w:color w:val="auto"/>
          <w:sz w:val="24"/>
          <w:highlight w:val="none"/>
        </w:rPr>
      </w:pPr>
    </w:p>
    <w:p w14:paraId="49008BC3">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注：1. 法定代表人必须在授权委托书上亲笔签字或盖章，委托代理人必须在授权委托书上亲笔签字，</w:t>
      </w:r>
      <w:r>
        <w:rPr>
          <w:rFonts w:hint="eastAsia" w:ascii="宋体" w:hAnsi="宋体" w:eastAsia="宋体" w:cs="仿宋_GB2312"/>
          <w:b/>
          <w:color w:val="auto"/>
          <w:sz w:val="24"/>
          <w:highlight w:val="none"/>
          <w:lang w:bidi="ar"/>
        </w:rPr>
        <w:t>否则其响应文件按无效响应处理。</w:t>
      </w:r>
    </w:p>
    <w:p w14:paraId="5FE30EA5">
      <w:pPr>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7E4D85D">
      <w:pP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eastAsia="宋体" w:cs="仿宋_GB2312"/>
          <w:color w:val="auto"/>
          <w:sz w:val="24"/>
          <w:highlight w:val="none"/>
          <w:lang w:bidi="ar"/>
        </w:rPr>
        <w:t>3. 法人、其他组织竞标时“我方”是指“我单位”，自然人竞标时“我方”是指“本人”。</w:t>
      </w:r>
    </w:p>
    <w:p w14:paraId="49BAFF46">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仿宋_GB2312" w:hAnsi="仿宋_GB2312" w:eastAsia="仿宋_GB2312" w:cs="仿宋_GB2312"/>
          <w:color w:val="auto"/>
          <w:szCs w:val="21"/>
          <w:highlight w:val="none"/>
          <w:lang w:bidi="ar"/>
        </w:rPr>
        <w:br w:type="page"/>
      </w:r>
      <w:r>
        <w:rPr>
          <w:rFonts w:hint="eastAsia" w:ascii="方正小标宋简体" w:hAnsi="方正小标宋简体" w:eastAsia="方正小标宋简体" w:cs="方正小标宋简体"/>
          <w:color w:val="auto"/>
          <w:sz w:val="44"/>
          <w:szCs w:val="44"/>
          <w:highlight w:val="none"/>
          <w:lang w:bidi="ar"/>
        </w:rPr>
        <w:t>授权委托书（联合体竞标格式）</w:t>
      </w:r>
    </w:p>
    <w:p w14:paraId="12A26ECD">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t>（如有委托时）</w:t>
      </w:r>
    </w:p>
    <w:p w14:paraId="45F5EEE3">
      <w:pPr>
        <w:spacing w:line="500" w:lineRule="exact"/>
        <w:jc w:val="center"/>
        <w:rPr>
          <w:rFonts w:hint="eastAsia" w:ascii="方正小标宋简体" w:hAnsi="方正小标宋简体" w:eastAsia="方正小标宋简体" w:cs="方正小标宋简体"/>
          <w:color w:val="auto"/>
          <w:sz w:val="44"/>
          <w:szCs w:val="44"/>
          <w:highlight w:val="none"/>
        </w:rPr>
      </w:pPr>
    </w:p>
    <w:p w14:paraId="6B877F1A">
      <w:pPr>
        <w:spacing w:line="500" w:lineRule="exact"/>
        <w:jc w:val="center"/>
        <w:rPr>
          <w:rFonts w:hint="eastAsia" w:ascii="仿宋_GB2312" w:hAnsi="仿宋_GB2312" w:eastAsia="仿宋_GB2312" w:cs="仿宋_GB2312"/>
          <w:color w:val="auto"/>
          <w:sz w:val="32"/>
          <w:szCs w:val="32"/>
          <w:highlight w:val="none"/>
        </w:rPr>
      </w:pPr>
    </w:p>
    <w:p w14:paraId="620C29B0">
      <w:pPr>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本授权委托书声明：根据</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lang w:bidi="ar"/>
        </w:rPr>
        <w:t>（牵头人名称）与</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lang w:bidi="ar"/>
        </w:rPr>
        <w:t>（联合体其他成员名称）签订的《联合体竞标协议书》的内容，</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lang w:bidi="ar"/>
        </w:rPr>
        <w:t>（牵头人名称）的法定代表人</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lang w:bidi="ar"/>
        </w:rPr>
        <w:t>（姓名）现授权</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lang w:bidi="ar"/>
        </w:rPr>
        <w:t>（姓名）为联合委托代理人，并代表我方全权办理针对上述项目的所有采购程序和环节的具体事务和签署相关文件。</w:t>
      </w:r>
    </w:p>
    <w:p w14:paraId="1A602661">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我方对委托代理人的签字事项负全部责任。</w:t>
      </w:r>
    </w:p>
    <w:p w14:paraId="35A31607">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本授权书自签署之日起生效，在撤销授权的书面通知以前，本授权书一直有效。委托代理人在授权书有效期内签署的所有文件不因授权的撤销而失效。</w:t>
      </w:r>
    </w:p>
    <w:p w14:paraId="5704EF7B">
      <w:pPr>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委托代理人无转委托权，特此委托。</w:t>
      </w:r>
    </w:p>
    <w:p w14:paraId="232F01D4">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 xml:space="preserve">    </w:t>
      </w:r>
    </w:p>
    <w:p w14:paraId="60AD1818">
      <w:pPr>
        <w:spacing w:line="360" w:lineRule="auto"/>
        <w:ind w:firstLine="1560" w:firstLineChars="65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牵头人法定代表人（签字或盖章）：</w:t>
      </w:r>
    </w:p>
    <w:p w14:paraId="0E5D4104">
      <w:pPr>
        <w:spacing w:line="360" w:lineRule="auto"/>
        <w:ind w:firstLine="3120" w:firstLineChars="13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牵头人（电子签章）：</w:t>
      </w:r>
    </w:p>
    <w:p w14:paraId="2452EBDF">
      <w:pPr>
        <w:spacing w:line="360" w:lineRule="auto"/>
        <w:ind w:firstLine="3840" w:firstLineChars="16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日期：    年   月   日</w:t>
      </w:r>
    </w:p>
    <w:p w14:paraId="2DDCB7F4">
      <w:pPr>
        <w:spacing w:line="360" w:lineRule="auto"/>
        <w:rPr>
          <w:rFonts w:hint="eastAsia" w:ascii="宋体" w:hAnsi="宋体" w:eastAsia="宋体" w:cs="仿宋_GB2312"/>
          <w:color w:val="auto"/>
          <w:sz w:val="24"/>
          <w:highlight w:val="none"/>
        </w:rPr>
      </w:pPr>
    </w:p>
    <w:p w14:paraId="593B327B">
      <w:pPr>
        <w:spacing w:line="360" w:lineRule="auto"/>
        <w:ind w:firstLine="3120" w:firstLineChars="13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被授权人（签字）：</w:t>
      </w:r>
    </w:p>
    <w:p w14:paraId="210CE030">
      <w:pPr>
        <w:spacing w:line="360" w:lineRule="auto"/>
        <w:ind w:firstLine="3840" w:firstLineChars="16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日期：    年   月   日</w:t>
      </w:r>
    </w:p>
    <w:p w14:paraId="000FC66B">
      <w:pPr>
        <w:spacing w:line="360" w:lineRule="auto"/>
        <w:rPr>
          <w:rFonts w:hint="eastAsia" w:ascii="宋体" w:hAnsi="宋体" w:eastAsia="宋体" w:cs="仿宋_GB2312"/>
          <w:color w:val="auto"/>
          <w:sz w:val="24"/>
          <w:highlight w:val="none"/>
        </w:rPr>
      </w:pPr>
    </w:p>
    <w:p w14:paraId="03FDA58B">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注：1. 法定代表人必须在授权委托书上亲笔签字或盖章，委托代理人必须在授权委托书上亲笔签字，</w:t>
      </w:r>
      <w:r>
        <w:rPr>
          <w:rFonts w:hint="eastAsia" w:ascii="宋体" w:hAnsi="宋体" w:eastAsia="宋体" w:cs="仿宋_GB2312"/>
          <w:b/>
          <w:color w:val="auto"/>
          <w:sz w:val="24"/>
          <w:highlight w:val="none"/>
          <w:lang w:bidi="ar"/>
        </w:rPr>
        <w:t>否则其响应文件按无效响应处理。</w:t>
      </w:r>
    </w:p>
    <w:p w14:paraId="6BA47E8D">
      <w:pPr>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2.本授权委托书应由联合体牵头人的法定代表人按上述规定签署。</w:t>
      </w:r>
    </w:p>
    <w:p w14:paraId="0DD33585">
      <w:pPr>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3037688">
      <w:pPr>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4.法人、其他组织竞标时“我方”是指“我单位”，自然人竞标时“我方”是指“本人”。</w:t>
      </w:r>
    </w:p>
    <w:p w14:paraId="4FADDF52">
      <w:pPr>
        <w:spacing w:line="360" w:lineRule="auto"/>
        <w:ind w:firstLine="420" w:firstLineChars="200"/>
        <w:jc w:val="left"/>
        <w:rPr>
          <w:rFonts w:hint="eastAsia" w:ascii="仿宋_GB2312" w:hAnsi="仿宋_GB2312" w:eastAsia="仿宋_GB2312" w:cs="仿宋_GB2312"/>
          <w:color w:val="auto"/>
          <w:szCs w:val="21"/>
          <w:highlight w:val="none"/>
        </w:rPr>
      </w:pPr>
    </w:p>
    <w:p w14:paraId="43618EB8">
      <w:pPr>
        <w:spacing w:line="520" w:lineRule="exact"/>
        <w:ind w:firstLine="640" w:firstLineChars="200"/>
        <w:jc w:val="left"/>
        <w:rPr>
          <w:rFonts w:hint="eastAsia" w:ascii="仿宋" w:hAnsi="仿宋" w:eastAsia="仿宋" w:cs="仿宋_GB2312"/>
          <w:b/>
          <w:color w:val="auto"/>
          <w:sz w:val="30"/>
          <w:szCs w:val="30"/>
          <w:highlight w:val="none"/>
        </w:rPr>
      </w:pPr>
      <w:r>
        <w:rPr>
          <w:rFonts w:hint="eastAsia" w:ascii="仿宋_GB2312" w:hAnsi="仿宋_GB2312" w:eastAsia="仿宋_GB2312" w:cs="仿宋_GB2312"/>
          <w:color w:val="auto"/>
          <w:sz w:val="32"/>
          <w:szCs w:val="32"/>
          <w:highlight w:val="none"/>
          <w:lang w:bidi="ar"/>
        </w:rPr>
        <w:br w:type="page"/>
      </w:r>
      <w:r>
        <w:rPr>
          <w:rFonts w:hint="eastAsia" w:ascii="仿宋" w:hAnsi="仿宋" w:eastAsia="仿宋" w:cs="仿宋_GB2312"/>
          <w:b/>
          <w:color w:val="auto"/>
          <w:sz w:val="30"/>
          <w:szCs w:val="30"/>
          <w:highlight w:val="none"/>
          <w:lang w:bidi="ar"/>
        </w:rPr>
        <w:t>四、商务条款偏离表</w:t>
      </w:r>
    </w:p>
    <w:p w14:paraId="2547C847">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lang w:bidi="ar"/>
        </w:rPr>
        <w:t>商务条款偏离表</w:t>
      </w:r>
    </w:p>
    <w:p w14:paraId="0672C1BA">
      <w:pPr>
        <w:spacing w:line="520" w:lineRule="exact"/>
        <w:rPr>
          <w:rFonts w:hint="eastAsia" w:ascii="仿宋_GB2312" w:hAnsi="仿宋_GB2312" w:eastAsia="仿宋_GB2312" w:cs="仿宋_GB2312"/>
          <w:color w:val="auto"/>
          <w:sz w:val="32"/>
          <w:szCs w:val="32"/>
          <w:highlight w:val="none"/>
        </w:rPr>
      </w:pPr>
    </w:p>
    <w:p w14:paraId="4A82537B">
      <w:pPr>
        <w:spacing w:line="360" w:lineRule="auto"/>
        <w:rPr>
          <w:rFonts w:hint="eastAsia" w:ascii="宋体" w:hAnsi="宋体" w:cs="仿宋_GB2312"/>
          <w:color w:val="auto"/>
          <w:sz w:val="24"/>
          <w:highlight w:val="none"/>
          <w:u w:val="single"/>
        </w:rPr>
      </w:pPr>
      <w:r>
        <w:rPr>
          <w:rFonts w:hint="eastAsia" w:ascii="宋体" w:hAnsi="宋体" w:eastAsia="宋体" w:cs="仿宋_GB2312"/>
          <w:color w:val="auto"/>
          <w:sz w:val="24"/>
          <w:highlight w:val="none"/>
          <w:lang w:bidi="ar"/>
        </w:rPr>
        <w:t>采购项目编号：</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u w:val="single"/>
          <w:lang w:val="en-US" w:eastAsia="zh-CN" w:bidi="ar"/>
        </w:rPr>
        <w:t xml:space="preserve">            </w:t>
      </w:r>
      <w:r>
        <w:rPr>
          <w:rFonts w:hint="eastAsia" w:ascii="宋体" w:hAnsi="宋体" w:cs="仿宋_GB2312"/>
          <w:color w:val="auto"/>
          <w:sz w:val="24"/>
          <w:highlight w:val="none"/>
          <w:u w:val="single"/>
        </w:rPr>
        <w:t xml:space="preserve"> </w:t>
      </w:r>
    </w:p>
    <w:p w14:paraId="52BB3BDC">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bidi="ar"/>
        </w:rPr>
        <w:t>采购项目名称：</w:t>
      </w:r>
      <w:r>
        <w:rPr>
          <w:rFonts w:hint="eastAsia" w:ascii="宋体" w:hAnsi="宋体" w:eastAsia="宋体" w:cs="仿宋_GB2312"/>
          <w:color w:val="auto"/>
          <w:sz w:val="24"/>
          <w:highlight w:val="none"/>
          <w:u w:val="single"/>
          <w:lang w:bidi="ar"/>
        </w:rPr>
        <w:t xml:space="preserve"> </w:t>
      </w:r>
      <w:r>
        <w:rPr>
          <w:rFonts w:hint="eastAsia" w:ascii="宋体" w:hAnsi="宋体" w:eastAsia="宋体" w:cs="仿宋_GB2312"/>
          <w:color w:val="auto"/>
          <w:sz w:val="24"/>
          <w:highlight w:val="none"/>
          <w:u w:val="single"/>
          <w:lang w:eastAsia="zh-CN"/>
        </w:rPr>
        <w:t>昆仑镇九塘社区大塘坡水稻灌溉工程</w:t>
      </w:r>
      <w:r>
        <w:rPr>
          <w:rFonts w:hint="eastAsia" w:ascii="宋体" w:hAnsi="宋体" w:eastAsia="宋体" w:cs="仿宋_GB2312"/>
          <w:color w:val="auto"/>
          <w:sz w:val="24"/>
          <w:highlight w:val="none"/>
          <w:u w:val="single"/>
          <w:lang w:bidi="ar"/>
        </w:rPr>
        <w:t xml:space="preserve"> </w:t>
      </w:r>
    </w:p>
    <w:p w14:paraId="518D1B0E">
      <w:pPr>
        <w:spacing w:line="360" w:lineRule="auto"/>
        <w:rPr>
          <w:rFonts w:hint="eastAsia" w:ascii="宋体" w:hAnsi="宋体" w:eastAsia="宋体" w:cs="仿宋_GB2312"/>
          <w:color w:val="auto"/>
          <w:sz w:val="24"/>
          <w:highlight w:val="none"/>
          <w:u w:val="single"/>
        </w:rPr>
      </w:pPr>
      <w:r>
        <w:rPr>
          <w:rFonts w:hint="eastAsia" w:ascii="宋体" w:hAnsi="宋体" w:eastAsia="宋体" w:cs="仿宋_GB2312"/>
          <w:color w:val="auto"/>
          <w:sz w:val="24"/>
          <w:highlight w:val="none"/>
          <w:lang w:bidi="ar"/>
        </w:rPr>
        <w:t>分标号</w:t>
      </w:r>
      <w:r>
        <w:rPr>
          <w:rFonts w:hint="eastAsia" w:ascii="宋体" w:hAnsi="宋体" w:eastAsia="宋体" w:cs="宋体"/>
          <w:color w:val="auto"/>
          <w:szCs w:val="21"/>
          <w:highlight w:val="none"/>
          <w:lang w:bidi="ar"/>
        </w:rPr>
        <w:t>（此处有分标时填写具体分标号，无分标时填写“无”）</w:t>
      </w:r>
      <w:r>
        <w:rPr>
          <w:rFonts w:hint="eastAsia" w:ascii="宋体" w:hAnsi="宋体" w:eastAsia="宋体" w:cs="仿宋_GB2312"/>
          <w:color w:val="auto"/>
          <w:sz w:val="24"/>
          <w:highlight w:val="none"/>
          <w:lang w:bidi="ar"/>
        </w:rPr>
        <w:t>：</w:t>
      </w:r>
      <w:r>
        <w:rPr>
          <w:rFonts w:hint="eastAsia" w:ascii="宋体" w:hAnsi="宋体" w:eastAsia="宋体" w:cs="仿宋_GB2312"/>
          <w:color w:val="auto"/>
          <w:sz w:val="24"/>
          <w:highlight w:val="none"/>
          <w:u w:val="single"/>
          <w:lang w:bidi="ar"/>
        </w:rPr>
        <w:t xml:space="preserve">                       </w:t>
      </w:r>
    </w:p>
    <w:tbl>
      <w:tblPr>
        <w:tblStyle w:val="3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9BF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6338D85B">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项号</w:t>
            </w:r>
          </w:p>
        </w:tc>
        <w:tc>
          <w:tcPr>
            <w:tcW w:w="3926" w:type="dxa"/>
            <w:tcBorders>
              <w:top w:val="single" w:color="auto" w:sz="4" w:space="0"/>
              <w:left w:val="single" w:color="auto" w:sz="4" w:space="0"/>
              <w:bottom w:val="single" w:color="auto" w:sz="4" w:space="0"/>
              <w:right w:val="single" w:color="auto" w:sz="4" w:space="0"/>
            </w:tcBorders>
            <w:shd w:val="clear" w:color="auto" w:fill="auto"/>
            <w:vAlign w:val="center"/>
          </w:tcPr>
          <w:p w14:paraId="0B484F52">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shd w:val="clear" w:color="auto" w:fill="auto"/>
            <w:vAlign w:val="center"/>
          </w:tcPr>
          <w:p w14:paraId="6849CB15">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响应文件承诺的商务条款</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25ED2400">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偏离说明</w:t>
            </w:r>
          </w:p>
        </w:tc>
      </w:tr>
      <w:tr w14:paraId="70B5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shd w:val="clear" w:color="auto" w:fill="auto"/>
          </w:tcPr>
          <w:p w14:paraId="5A260050">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w:t>
            </w:r>
          </w:p>
        </w:tc>
        <w:tc>
          <w:tcPr>
            <w:tcW w:w="3926" w:type="dxa"/>
            <w:tcBorders>
              <w:top w:val="single" w:color="auto" w:sz="4" w:space="0"/>
              <w:left w:val="single" w:color="auto" w:sz="4" w:space="0"/>
              <w:bottom w:val="single" w:color="auto" w:sz="4" w:space="0"/>
              <w:right w:val="single" w:color="auto" w:sz="4" w:space="0"/>
            </w:tcBorders>
            <w:shd w:val="clear" w:color="auto" w:fill="auto"/>
          </w:tcPr>
          <w:p w14:paraId="48D7790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w:t>
            </w:r>
          </w:p>
          <w:p w14:paraId="3A8FA58B">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  ……</w:t>
            </w:r>
          </w:p>
          <w:p w14:paraId="5C4CAA6A">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  ……</w:t>
            </w:r>
          </w:p>
          <w:p w14:paraId="7BB5DB39">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3589" w:type="dxa"/>
            <w:tcBorders>
              <w:top w:val="single" w:color="auto" w:sz="4" w:space="0"/>
              <w:left w:val="single" w:color="auto" w:sz="4" w:space="0"/>
              <w:bottom w:val="single" w:color="auto" w:sz="4" w:space="0"/>
              <w:right w:val="single" w:color="auto" w:sz="4" w:space="0"/>
            </w:tcBorders>
            <w:shd w:val="clear" w:color="auto" w:fill="auto"/>
          </w:tcPr>
          <w:p w14:paraId="11F594C1">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w:t>
            </w:r>
          </w:p>
          <w:p w14:paraId="2D5342EC">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  ……</w:t>
            </w:r>
          </w:p>
          <w:p w14:paraId="6FE31763">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  ……</w:t>
            </w:r>
          </w:p>
          <w:p w14:paraId="5793619B">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1274" w:type="dxa"/>
            <w:tcBorders>
              <w:top w:val="single" w:color="auto" w:sz="4" w:space="0"/>
              <w:left w:val="single" w:color="auto" w:sz="4" w:space="0"/>
              <w:bottom w:val="single" w:color="auto" w:sz="4" w:space="0"/>
              <w:right w:val="single" w:color="auto" w:sz="4" w:space="0"/>
            </w:tcBorders>
            <w:shd w:val="clear" w:color="auto" w:fill="auto"/>
          </w:tcPr>
          <w:p w14:paraId="6FC5A579">
            <w:pPr>
              <w:spacing w:line="300" w:lineRule="exact"/>
              <w:rPr>
                <w:rFonts w:hint="eastAsia" w:ascii="宋体" w:hAnsi="宋体" w:eastAsia="宋体" w:cs="宋体"/>
                <w:color w:val="auto"/>
                <w:szCs w:val="21"/>
                <w:highlight w:val="none"/>
              </w:rPr>
            </w:pPr>
          </w:p>
        </w:tc>
      </w:tr>
      <w:tr w14:paraId="6E91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shd w:val="clear" w:color="auto" w:fill="auto"/>
          </w:tcPr>
          <w:p w14:paraId="5DCEB7A5">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w:t>
            </w:r>
          </w:p>
        </w:tc>
        <w:tc>
          <w:tcPr>
            <w:tcW w:w="3926" w:type="dxa"/>
            <w:tcBorders>
              <w:top w:val="single" w:color="auto" w:sz="4" w:space="0"/>
              <w:left w:val="single" w:color="auto" w:sz="4" w:space="0"/>
              <w:bottom w:val="single" w:color="auto" w:sz="4" w:space="0"/>
              <w:right w:val="single" w:color="auto" w:sz="4" w:space="0"/>
            </w:tcBorders>
            <w:shd w:val="clear" w:color="auto" w:fill="auto"/>
          </w:tcPr>
          <w:p w14:paraId="400FF3A9">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w:t>
            </w:r>
          </w:p>
          <w:p w14:paraId="6C4C8AE6">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  ……</w:t>
            </w:r>
          </w:p>
          <w:p w14:paraId="66C29499">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  ……</w:t>
            </w:r>
          </w:p>
          <w:p w14:paraId="47796E08">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3589" w:type="dxa"/>
            <w:tcBorders>
              <w:top w:val="single" w:color="auto" w:sz="4" w:space="0"/>
              <w:left w:val="single" w:color="auto" w:sz="4" w:space="0"/>
              <w:bottom w:val="single" w:color="auto" w:sz="4" w:space="0"/>
              <w:right w:val="single" w:color="auto" w:sz="4" w:space="0"/>
            </w:tcBorders>
            <w:shd w:val="clear" w:color="auto" w:fill="auto"/>
          </w:tcPr>
          <w:p w14:paraId="450CF656">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w:t>
            </w:r>
          </w:p>
          <w:p w14:paraId="5F4889C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  ……</w:t>
            </w:r>
          </w:p>
          <w:p w14:paraId="330D655A">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  ……</w:t>
            </w:r>
          </w:p>
          <w:p w14:paraId="62B83261">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1274" w:type="dxa"/>
            <w:tcBorders>
              <w:top w:val="single" w:color="auto" w:sz="4" w:space="0"/>
              <w:left w:val="single" w:color="auto" w:sz="4" w:space="0"/>
              <w:bottom w:val="single" w:color="auto" w:sz="4" w:space="0"/>
              <w:right w:val="single" w:color="auto" w:sz="4" w:space="0"/>
            </w:tcBorders>
            <w:shd w:val="clear" w:color="auto" w:fill="auto"/>
          </w:tcPr>
          <w:p w14:paraId="01B1AE30">
            <w:pPr>
              <w:spacing w:line="300" w:lineRule="exact"/>
              <w:rPr>
                <w:rFonts w:hint="eastAsia" w:ascii="宋体" w:hAnsi="宋体" w:eastAsia="宋体" w:cs="宋体"/>
                <w:color w:val="auto"/>
                <w:szCs w:val="21"/>
                <w:highlight w:val="none"/>
              </w:rPr>
            </w:pPr>
          </w:p>
        </w:tc>
      </w:tr>
      <w:tr w14:paraId="72E7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shd w:val="clear" w:color="auto" w:fill="auto"/>
          </w:tcPr>
          <w:p w14:paraId="0DD29570">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3926" w:type="dxa"/>
            <w:tcBorders>
              <w:top w:val="single" w:color="auto" w:sz="4" w:space="0"/>
              <w:left w:val="single" w:color="auto" w:sz="4" w:space="0"/>
              <w:bottom w:val="single" w:color="auto" w:sz="4" w:space="0"/>
              <w:right w:val="single" w:color="auto" w:sz="4" w:space="0"/>
            </w:tcBorders>
            <w:shd w:val="clear" w:color="auto" w:fill="auto"/>
          </w:tcPr>
          <w:p w14:paraId="3917A514">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w:t>
            </w:r>
          </w:p>
          <w:p w14:paraId="122FBD2C">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  ……</w:t>
            </w:r>
          </w:p>
          <w:p w14:paraId="52C13FE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  ……</w:t>
            </w:r>
          </w:p>
          <w:p w14:paraId="0DF0E1EC">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3589" w:type="dxa"/>
            <w:tcBorders>
              <w:top w:val="single" w:color="auto" w:sz="4" w:space="0"/>
              <w:left w:val="single" w:color="auto" w:sz="4" w:space="0"/>
              <w:bottom w:val="single" w:color="auto" w:sz="4" w:space="0"/>
              <w:right w:val="single" w:color="auto" w:sz="4" w:space="0"/>
            </w:tcBorders>
            <w:shd w:val="clear" w:color="auto" w:fill="auto"/>
          </w:tcPr>
          <w:p w14:paraId="75130924">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  ……</w:t>
            </w:r>
          </w:p>
          <w:p w14:paraId="6B6DCB3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  ……</w:t>
            </w:r>
          </w:p>
          <w:p w14:paraId="2D23CE20">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  ……</w:t>
            </w:r>
          </w:p>
          <w:p w14:paraId="60C7F7D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w:t>
            </w:r>
          </w:p>
        </w:tc>
        <w:tc>
          <w:tcPr>
            <w:tcW w:w="1274" w:type="dxa"/>
            <w:tcBorders>
              <w:top w:val="single" w:color="auto" w:sz="4" w:space="0"/>
              <w:left w:val="single" w:color="auto" w:sz="4" w:space="0"/>
              <w:bottom w:val="single" w:color="auto" w:sz="4" w:space="0"/>
              <w:right w:val="single" w:color="auto" w:sz="4" w:space="0"/>
            </w:tcBorders>
            <w:shd w:val="clear" w:color="auto" w:fill="auto"/>
          </w:tcPr>
          <w:p w14:paraId="15F7162B">
            <w:pPr>
              <w:spacing w:line="300" w:lineRule="exact"/>
              <w:rPr>
                <w:rFonts w:hint="eastAsia" w:ascii="宋体" w:hAnsi="宋体" w:eastAsia="宋体" w:cs="宋体"/>
                <w:color w:val="auto"/>
                <w:szCs w:val="21"/>
                <w:highlight w:val="none"/>
              </w:rPr>
            </w:pPr>
          </w:p>
        </w:tc>
      </w:tr>
    </w:tbl>
    <w:p w14:paraId="1D21EDEE">
      <w:pPr>
        <w:pStyle w:val="15"/>
        <w:widowControl/>
        <w:spacing w:line="400" w:lineRule="exact"/>
        <w:ind w:firstLine="0" w:firstLineChars="0"/>
        <w:rPr>
          <w:rFonts w:ascii="宋体" w:hAnsi="宋体" w:eastAsia="宋体" w:cs="仿宋_GB2312"/>
          <w:color w:val="auto"/>
          <w:sz w:val="24"/>
          <w:szCs w:val="24"/>
          <w:highlight w:val="none"/>
        </w:rPr>
      </w:pPr>
      <w:r>
        <w:rPr>
          <w:rFonts w:ascii="宋体" w:hAnsi="宋体" w:eastAsia="宋体" w:cs="仿宋_GB2312"/>
          <w:color w:val="auto"/>
          <w:sz w:val="24"/>
          <w:szCs w:val="24"/>
          <w:highlight w:val="none"/>
        </w:rPr>
        <w:t>注：</w:t>
      </w:r>
    </w:p>
    <w:p w14:paraId="153D213F">
      <w:pPr>
        <w:pStyle w:val="15"/>
        <w:widowControl/>
        <w:spacing w:line="400" w:lineRule="exact"/>
        <w:ind w:firstLine="0" w:firstLineChars="0"/>
        <w:rPr>
          <w:rFonts w:ascii="宋体" w:hAnsi="宋体" w:eastAsia="宋体" w:cs="仿宋_GB2312"/>
          <w:color w:val="auto"/>
          <w:sz w:val="24"/>
          <w:szCs w:val="24"/>
          <w:highlight w:val="none"/>
        </w:rPr>
      </w:pPr>
      <w:r>
        <w:rPr>
          <w:rFonts w:ascii="宋体" w:hAnsi="宋体" w:eastAsia="宋体" w:cs="仿宋_GB2312"/>
          <w:color w:val="auto"/>
          <w:sz w:val="24"/>
          <w:szCs w:val="24"/>
          <w:highlight w:val="none"/>
        </w:rPr>
        <w:t>1.说明：应对照磋商文件“第二章 采购需求”中的商务条款逐条作出明确响应，并作出偏离说明。</w:t>
      </w:r>
    </w:p>
    <w:p w14:paraId="6579F6B3">
      <w:pPr>
        <w:pStyle w:val="15"/>
        <w:widowControl/>
        <w:spacing w:line="400" w:lineRule="exact"/>
        <w:ind w:firstLine="0" w:firstLineChars="0"/>
        <w:rPr>
          <w:rFonts w:ascii="宋体" w:hAnsi="宋体" w:eastAsia="宋体" w:cs="仿宋_GB2312"/>
          <w:color w:val="auto"/>
          <w:sz w:val="24"/>
          <w:szCs w:val="24"/>
          <w:highlight w:val="none"/>
        </w:rPr>
      </w:pPr>
      <w:r>
        <w:rPr>
          <w:rFonts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r>
        <w:rPr>
          <w:rFonts w:ascii="宋体" w:hAnsi="宋体" w:cs="仿宋_GB2312"/>
          <w:color w:val="auto"/>
          <w:sz w:val="24"/>
          <w:szCs w:val="24"/>
          <w:highlight w:val="none"/>
        </w:rPr>
        <w:t xml:space="preserve"> 当响应文件的</w:t>
      </w:r>
      <w:r>
        <w:rPr>
          <w:rFonts w:ascii="宋体" w:hAnsi="宋体" w:eastAsia="宋体" w:cs="仿宋_GB2312"/>
          <w:color w:val="auto"/>
          <w:sz w:val="24"/>
          <w:szCs w:val="24"/>
          <w:highlight w:val="none"/>
        </w:rPr>
        <w:t>商务内容低于竞争性磋商采购文件要求时，竞标人应当如实写明“负偏离”，否则视为虚假应标</w:t>
      </w:r>
    </w:p>
    <w:p w14:paraId="7CD50B1C">
      <w:pPr>
        <w:spacing w:line="400" w:lineRule="exact"/>
        <w:rPr>
          <w:rFonts w:hint="eastAsia" w:ascii="宋体" w:hAnsi="宋体" w:eastAsia="宋体" w:cs="仿宋_GB2312"/>
          <w:color w:val="auto"/>
          <w:kern w:val="0"/>
          <w:sz w:val="24"/>
          <w:highlight w:val="none"/>
        </w:rPr>
      </w:pPr>
      <w:r>
        <w:rPr>
          <w:rFonts w:hint="eastAsia" w:ascii="宋体" w:hAnsi="宋体" w:eastAsia="宋体" w:cs="仿宋_GB2312"/>
          <w:color w:val="auto"/>
          <w:kern w:val="0"/>
          <w:sz w:val="24"/>
          <w:highlight w:val="none"/>
          <w:lang w:bidi="ar"/>
        </w:rPr>
        <w:t>3.表格内容均需按要求填写，不得留空，否则按竞标无效处理。</w:t>
      </w:r>
    </w:p>
    <w:p w14:paraId="6ECEACDF">
      <w:pPr>
        <w:pStyle w:val="18"/>
        <w:widowControl/>
        <w:spacing w:line="400" w:lineRule="exact"/>
        <w:rPr>
          <w:rFonts w:hAnsi="宋体" w:cs="仿宋_GB2312"/>
          <w:color w:val="auto"/>
          <w:sz w:val="24"/>
          <w:highlight w:val="none"/>
        </w:rPr>
      </w:pPr>
      <w:r>
        <w:rPr>
          <w:rFonts w:hAnsi="宋体" w:cs="仿宋_GB2312"/>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795E5D4E">
      <w:pPr>
        <w:spacing w:line="360" w:lineRule="auto"/>
        <w:ind w:firstLine="3840" w:firstLineChars="1600"/>
        <w:rPr>
          <w:rFonts w:hint="eastAsia" w:ascii="宋体" w:hAnsi="宋体" w:eastAsia="宋体" w:cs="仿宋_GB2312"/>
          <w:color w:val="auto"/>
          <w:sz w:val="24"/>
          <w:highlight w:val="none"/>
        </w:rPr>
      </w:pPr>
      <w:r>
        <w:rPr>
          <w:rFonts w:hint="eastAsia" w:ascii="仿宋_GB2312" w:hAnsi="仿宋" w:eastAsia="仿宋_GB2312" w:cs="仿宋_GB2312"/>
          <w:color w:val="auto"/>
          <w:kern w:val="0"/>
          <w:sz w:val="24"/>
          <w:highlight w:val="none"/>
          <w:lang w:bidi="ar"/>
        </w:rPr>
        <w:t>供应商名称（电子签章）：</w:t>
      </w:r>
    </w:p>
    <w:p w14:paraId="37C26A10">
      <w:pPr>
        <w:spacing w:line="360" w:lineRule="auto"/>
        <w:jc w:val="center"/>
        <w:rPr>
          <w:rFonts w:hint="eastAsia" w:ascii="宋体" w:hAnsi="宋体" w:eastAsia="宋体" w:cs="仿宋_GB2312"/>
          <w:b/>
          <w:color w:val="auto"/>
          <w:sz w:val="24"/>
          <w:highlight w:val="none"/>
        </w:rPr>
      </w:pPr>
      <w:r>
        <w:rPr>
          <w:rFonts w:hint="eastAsia" w:ascii="仿宋_GB2312" w:hAnsi="仿宋" w:eastAsia="仿宋_GB2312" w:cs="仿宋_GB2312"/>
          <w:color w:val="auto"/>
          <w:kern w:val="0"/>
          <w:sz w:val="24"/>
          <w:highlight w:val="none"/>
          <w:lang w:val="zh-CN" w:bidi="ar"/>
        </w:rPr>
        <w:t xml:space="preserve">                                                   日期：  年  月   日</w:t>
      </w:r>
    </w:p>
    <w:p w14:paraId="44EA2981">
      <w:pPr>
        <w:snapToGrid w:val="0"/>
        <w:spacing w:line="360" w:lineRule="auto"/>
        <w:ind w:firstLine="602" w:firstLineChars="200"/>
        <w:rPr>
          <w:rFonts w:hint="eastAsia" w:ascii="仿宋" w:hAnsi="仿宋" w:eastAsia="仿宋" w:cs="仿宋_GB2312"/>
          <w:b/>
          <w:color w:val="auto"/>
          <w:sz w:val="30"/>
          <w:szCs w:val="30"/>
          <w:highlight w:val="none"/>
          <w:lang w:bidi="ar"/>
        </w:rPr>
      </w:pPr>
    </w:p>
    <w:p w14:paraId="058D76E3">
      <w:pPr>
        <w:snapToGrid w:val="0"/>
        <w:spacing w:line="360" w:lineRule="auto"/>
        <w:ind w:firstLine="602" w:firstLineChars="200"/>
        <w:rPr>
          <w:rFonts w:hint="eastAsia" w:ascii="仿宋" w:hAnsi="仿宋" w:eastAsia="仿宋" w:cs="仿宋_GB2312"/>
          <w:b/>
          <w:color w:val="auto"/>
          <w:sz w:val="30"/>
          <w:szCs w:val="30"/>
          <w:highlight w:val="none"/>
          <w:lang w:bidi="ar"/>
        </w:rPr>
      </w:pPr>
    </w:p>
    <w:p w14:paraId="71D98E22">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bidi="ar"/>
        </w:rPr>
        <w:t>五、竞标人情况介绍</w:t>
      </w:r>
    </w:p>
    <w:p w14:paraId="7BEFD6E5">
      <w:pPr>
        <w:snapToGrid w:val="0"/>
        <w:spacing w:line="360" w:lineRule="auto"/>
        <w:ind w:firstLine="602" w:firstLineChars="200"/>
        <w:rPr>
          <w:rFonts w:hint="eastAsia" w:ascii="仿宋" w:hAnsi="仿宋" w:eastAsia="仿宋" w:cs="仿宋_GB2312"/>
          <w:b/>
          <w:color w:val="auto"/>
          <w:sz w:val="30"/>
          <w:szCs w:val="30"/>
          <w:highlight w:val="none"/>
        </w:rPr>
      </w:pPr>
    </w:p>
    <w:p w14:paraId="332B2054">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7254A34E">
      <w:pPr>
        <w:autoSpaceDE w:val="0"/>
        <w:autoSpaceDN w:val="0"/>
        <w:spacing w:line="360" w:lineRule="auto"/>
        <w:ind w:firstLine="6480" w:firstLineChars="270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67B40EFE">
      <w:pPr>
        <w:rPr>
          <w:rFonts w:hint="eastAsia" w:ascii="仿宋" w:hAnsi="仿宋" w:eastAsia="仿宋" w:cs="仿宋_GB2312"/>
          <w:b/>
          <w:color w:val="auto"/>
          <w:sz w:val="30"/>
          <w:szCs w:val="30"/>
          <w:highlight w:val="none"/>
          <w:lang w:bidi="ar"/>
        </w:rPr>
      </w:pPr>
      <w:r>
        <w:rPr>
          <w:rFonts w:hint="eastAsia" w:ascii="仿宋" w:hAnsi="仿宋" w:eastAsia="仿宋" w:cs="仿宋_GB2312"/>
          <w:b/>
          <w:color w:val="auto"/>
          <w:sz w:val="30"/>
          <w:szCs w:val="30"/>
          <w:highlight w:val="none"/>
          <w:lang w:bidi="ar"/>
        </w:rPr>
        <w:br w:type="page"/>
      </w:r>
    </w:p>
    <w:p w14:paraId="2CE58F53">
      <w:pPr>
        <w:pageBreakBefore w:val="0"/>
        <w:widowControl w:val="0"/>
        <w:numPr>
          <w:ilvl w:val="0"/>
          <w:numId w:val="5"/>
        </w:numPr>
        <w:kinsoku/>
        <w:wordWrap/>
        <w:overflowPunct/>
        <w:topLinePunct w:val="0"/>
        <w:autoSpaceDE/>
        <w:autoSpaceDN/>
        <w:bidi w:val="0"/>
        <w:adjustRightInd/>
        <w:snapToGrid w:val="0"/>
        <w:spacing w:before="156" w:beforeLines="50" w:after="50"/>
        <w:ind w:firstLine="602" w:firstLineChars="200"/>
        <w:textAlignment w:val="auto"/>
        <w:outlineLvl w:val="9"/>
        <w:rPr>
          <w:rFonts w:hint="eastAsia" w:ascii="仿宋" w:hAnsi="仿宋" w:eastAsia="仿宋" w:cs="仿宋_GB2312"/>
          <w:b/>
          <w:color w:val="auto"/>
          <w:sz w:val="30"/>
          <w:szCs w:val="30"/>
          <w:highlight w:val="none"/>
          <w:lang w:bidi="ar"/>
        </w:rPr>
      </w:pPr>
      <w:r>
        <w:rPr>
          <w:rFonts w:hint="eastAsia" w:ascii="仿宋" w:hAnsi="仿宋" w:eastAsia="仿宋" w:cs="仿宋_GB2312"/>
          <w:b/>
          <w:color w:val="auto"/>
          <w:sz w:val="30"/>
          <w:szCs w:val="30"/>
          <w:highlight w:val="none"/>
          <w:lang w:bidi="ar"/>
        </w:rPr>
        <w:t>供应商类似的业绩证明文件</w:t>
      </w:r>
    </w:p>
    <w:p w14:paraId="73869335">
      <w:pPr>
        <w:keepNext/>
        <w:keepLines/>
        <w:pageBreakBefore w:val="0"/>
        <w:widowControl w:val="0"/>
        <w:kinsoku/>
        <w:wordWrap/>
        <w:overflowPunct/>
        <w:topLinePunct w:val="0"/>
        <w:autoSpaceDE/>
        <w:autoSpaceDN/>
        <w:bidi w:val="0"/>
        <w:adjustRightInd/>
        <w:spacing w:before="240" w:beforeLines="0" w:after="120" w:afterLines="0" w:line="240" w:lineRule="auto"/>
        <w:jc w:val="center"/>
        <w:textAlignment w:val="auto"/>
        <w:outlineLvl w:val="9"/>
        <w:rPr>
          <w:rStyle w:val="32"/>
          <w:rFonts w:ascii="宋体" w:hAnsi="宋体" w:eastAsia="宋体" w:cs="Times New Roman"/>
          <w:b/>
          <w:color w:val="auto"/>
          <w:sz w:val="28"/>
          <w:szCs w:val="28"/>
          <w:highlight w:val="none"/>
          <w:lang w:val="en-US" w:eastAsia="zh-CN" w:bidi="ar-SA"/>
        </w:rPr>
      </w:pPr>
      <w:r>
        <w:rPr>
          <w:rStyle w:val="32"/>
          <w:rFonts w:ascii="宋体" w:hAnsi="宋体" w:eastAsia="宋体" w:cs="Times New Roman"/>
          <w:b/>
          <w:color w:val="auto"/>
          <w:sz w:val="28"/>
          <w:szCs w:val="28"/>
          <w:highlight w:val="none"/>
          <w:lang w:val="en-US" w:eastAsia="zh-CN" w:bidi="ar-SA"/>
        </w:rPr>
        <w:t>完成的类似项目情况表</w:t>
      </w:r>
    </w:p>
    <w:tbl>
      <w:tblPr>
        <w:tblStyle w:val="30"/>
        <w:tblW w:w="8352" w:type="dxa"/>
        <w:jc w:val="center"/>
        <w:tblLayout w:type="fixed"/>
        <w:tblCellMar>
          <w:top w:w="0" w:type="dxa"/>
          <w:left w:w="10" w:type="dxa"/>
          <w:bottom w:w="0" w:type="dxa"/>
          <w:right w:w="10" w:type="dxa"/>
        </w:tblCellMar>
      </w:tblPr>
      <w:tblGrid>
        <w:gridCol w:w="2275"/>
        <w:gridCol w:w="6077"/>
      </w:tblGrid>
      <w:tr w14:paraId="1849161A">
        <w:tblPrEx>
          <w:tblCellMar>
            <w:top w:w="0" w:type="dxa"/>
            <w:left w:w="10" w:type="dxa"/>
            <w:bottom w:w="0" w:type="dxa"/>
            <w:right w:w="10" w:type="dxa"/>
          </w:tblCellMar>
        </w:tblPrEx>
        <w:trPr>
          <w:trHeight w:val="571" w:hRule="exact"/>
          <w:jc w:val="center"/>
        </w:trPr>
        <w:tc>
          <w:tcPr>
            <w:tcW w:w="2275" w:type="dxa"/>
            <w:tcBorders>
              <w:top w:val="single" w:color="auto" w:sz="4" w:space="0"/>
              <w:left w:val="single" w:color="auto" w:sz="4" w:space="0"/>
            </w:tcBorders>
            <w:shd w:val="clear" w:color="auto" w:fill="FFFFFF"/>
            <w:noWrap w:val="0"/>
            <w:vAlign w:val="center"/>
          </w:tcPr>
          <w:p w14:paraId="1731D310">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项目名称</w:t>
            </w:r>
          </w:p>
        </w:tc>
        <w:tc>
          <w:tcPr>
            <w:tcW w:w="6077" w:type="dxa"/>
            <w:tcBorders>
              <w:top w:val="single" w:color="auto" w:sz="4" w:space="0"/>
              <w:left w:val="single" w:color="auto" w:sz="4" w:space="0"/>
              <w:right w:val="single" w:color="auto" w:sz="4" w:space="0"/>
            </w:tcBorders>
            <w:shd w:val="clear" w:color="auto" w:fill="FFFFFF"/>
            <w:noWrap w:val="0"/>
            <w:vAlign w:val="top"/>
          </w:tcPr>
          <w:p w14:paraId="323CC62F">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3883DA81">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52564455">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项目所在地</w:t>
            </w:r>
          </w:p>
        </w:tc>
        <w:tc>
          <w:tcPr>
            <w:tcW w:w="6077" w:type="dxa"/>
            <w:tcBorders>
              <w:top w:val="single" w:color="auto" w:sz="4" w:space="0"/>
              <w:left w:val="single" w:color="auto" w:sz="4" w:space="0"/>
              <w:right w:val="single" w:color="auto" w:sz="4" w:space="0"/>
            </w:tcBorders>
            <w:shd w:val="clear" w:color="auto" w:fill="FFFFFF"/>
            <w:noWrap w:val="0"/>
            <w:vAlign w:val="top"/>
          </w:tcPr>
          <w:p w14:paraId="44D4ECA0">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122069CB">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4493BAC4">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发包人名称</w:t>
            </w:r>
          </w:p>
        </w:tc>
        <w:tc>
          <w:tcPr>
            <w:tcW w:w="6077" w:type="dxa"/>
            <w:tcBorders>
              <w:top w:val="single" w:color="auto" w:sz="4" w:space="0"/>
              <w:left w:val="single" w:color="auto" w:sz="4" w:space="0"/>
              <w:right w:val="single" w:color="auto" w:sz="4" w:space="0"/>
            </w:tcBorders>
            <w:shd w:val="clear" w:color="auto" w:fill="FFFFFF"/>
            <w:noWrap w:val="0"/>
            <w:vAlign w:val="top"/>
          </w:tcPr>
          <w:p w14:paraId="2D3A90AB">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5DAE4BD3">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5175BE33">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发包人地址</w:t>
            </w:r>
          </w:p>
        </w:tc>
        <w:tc>
          <w:tcPr>
            <w:tcW w:w="6077" w:type="dxa"/>
            <w:tcBorders>
              <w:top w:val="single" w:color="auto" w:sz="4" w:space="0"/>
              <w:left w:val="single" w:color="auto" w:sz="4" w:space="0"/>
              <w:right w:val="single" w:color="auto" w:sz="4" w:space="0"/>
            </w:tcBorders>
            <w:shd w:val="clear" w:color="auto" w:fill="FFFFFF"/>
            <w:noWrap w:val="0"/>
            <w:vAlign w:val="top"/>
          </w:tcPr>
          <w:p w14:paraId="27235112">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2F672CA2">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201DA11B">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发包人电话</w:t>
            </w:r>
          </w:p>
        </w:tc>
        <w:tc>
          <w:tcPr>
            <w:tcW w:w="6077" w:type="dxa"/>
            <w:tcBorders>
              <w:top w:val="single" w:color="auto" w:sz="4" w:space="0"/>
              <w:left w:val="single" w:color="auto" w:sz="4" w:space="0"/>
              <w:right w:val="single" w:color="auto" w:sz="4" w:space="0"/>
            </w:tcBorders>
            <w:shd w:val="clear" w:color="auto" w:fill="FFFFFF"/>
            <w:noWrap w:val="0"/>
            <w:vAlign w:val="top"/>
          </w:tcPr>
          <w:p w14:paraId="6533FEB3">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14788C5E">
        <w:tblPrEx>
          <w:tblCellMar>
            <w:top w:w="0" w:type="dxa"/>
            <w:left w:w="10" w:type="dxa"/>
            <w:bottom w:w="0" w:type="dxa"/>
            <w:right w:w="10" w:type="dxa"/>
          </w:tblCellMar>
        </w:tblPrEx>
        <w:trPr>
          <w:trHeight w:val="571" w:hRule="exact"/>
          <w:jc w:val="center"/>
        </w:trPr>
        <w:tc>
          <w:tcPr>
            <w:tcW w:w="2275" w:type="dxa"/>
            <w:tcBorders>
              <w:top w:val="single" w:color="auto" w:sz="4" w:space="0"/>
              <w:left w:val="single" w:color="auto" w:sz="4" w:space="0"/>
            </w:tcBorders>
            <w:shd w:val="clear" w:color="auto" w:fill="FFFFFF"/>
            <w:noWrap w:val="0"/>
            <w:vAlign w:val="center"/>
          </w:tcPr>
          <w:p w14:paraId="6D03E8D3">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签约合同价</w:t>
            </w:r>
          </w:p>
        </w:tc>
        <w:tc>
          <w:tcPr>
            <w:tcW w:w="6077" w:type="dxa"/>
            <w:tcBorders>
              <w:top w:val="single" w:color="auto" w:sz="4" w:space="0"/>
              <w:left w:val="single" w:color="auto" w:sz="4" w:space="0"/>
              <w:right w:val="single" w:color="auto" w:sz="4" w:space="0"/>
            </w:tcBorders>
            <w:shd w:val="clear" w:color="auto" w:fill="FFFFFF"/>
            <w:noWrap w:val="0"/>
            <w:vAlign w:val="top"/>
          </w:tcPr>
          <w:p w14:paraId="3ADA3C96">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3FBF1A38">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2A24B4EB">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开工日期</w:t>
            </w:r>
          </w:p>
        </w:tc>
        <w:tc>
          <w:tcPr>
            <w:tcW w:w="6077" w:type="dxa"/>
            <w:tcBorders>
              <w:top w:val="single" w:color="auto" w:sz="4" w:space="0"/>
              <w:left w:val="single" w:color="auto" w:sz="4" w:space="0"/>
              <w:right w:val="single" w:color="auto" w:sz="4" w:space="0"/>
            </w:tcBorders>
            <w:shd w:val="clear" w:color="auto" w:fill="FFFFFF"/>
            <w:noWrap w:val="0"/>
            <w:vAlign w:val="top"/>
          </w:tcPr>
          <w:p w14:paraId="2C956901">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50995182">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529D32DE">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完工日期</w:t>
            </w:r>
          </w:p>
        </w:tc>
        <w:tc>
          <w:tcPr>
            <w:tcW w:w="6077" w:type="dxa"/>
            <w:tcBorders>
              <w:top w:val="single" w:color="auto" w:sz="4" w:space="0"/>
              <w:left w:val="single" w:color="auto" w:sz="4" w:space="0"/>
              <w:right w:val="single" w:color="auto" w:sz="4" w:space="0"/>
            </w:tcBorders>
            <w:shd w:val="clear" w:color="auto" w:fill="FFFFFF"/>
            <w:noWrap w:val="0"/>
            <w:vAlign w:val="top"/>
          </w:tcPr>
          <w:p w14:paraId="6108D32B">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1CF53A8B">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311B89F8">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承担的工作</w:t>
            </w:r>
          </w:p>
        </w:tc>
        <w:tc>
          <w:tcPr>
            <w:tcW w:w="6077" w:type="dxa"/>
            <w:tcBorders>
              <w:top w:val="single" w:color="auto" w:sz="4" w:space="0"/>
              <w:left w:val="single" w:color="auto" w:sz="4" w:space="0"/>
              <w:right w:val="single" w:color="auto" w:sz="4" w:space="0"/>
            </w:tcBorders>
            <w:shd w:val="clear" w:color="auto" w:fill="FFFFFF"/>
            <w:noWrap w:val="0"/>
            <w:vAlign w:val="top"/>
          </w:tcPr>
          <w:p w14:paraId="0BE2C31F">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443A989C">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086D4191">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工程质量</w:t>
            </w:r>
          </w:p>
        </w:tc>
        <w:tc>
          <w:tcPr>
            <w:tcW w:w="6077" w:type="dxa"/>
            <w:tcBorders>
              <w:top w:val="single" w:color="auto" w:sz="4" w:space="0"/>
              <w:left w:val="single" w:color="auto" w:sz="4" w:space="0"/>
              <w:right w:val="single" w:color="auto" w:sz="4" w:space="0"/>
            </w:tcBorders>
            <w:shd w:val="clear" w:color="auto" w:fill="FFFFFF"/>
            <w:noWrap w:val="0"/>
            <w:vAlign w:val="top"/>
          </w:tcPr>
          <w:p w14:paraId="6456596B">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152076B">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5CDA13B0">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项目经理</w:t>
            </w:r>
          </w:p>
        </w:tc>
        <w:tc>
          <w:tcPr>
            <w:tcW w:w="6077" w:type="dxa"/>
            <w:tcBorders>
              <w:top w:val="single" w:color="auto" w:sz="4" w:space="0"/>
              <w:left w:val="single" w:color="auto" w:sz="4" w:space="0"/>
              <w:right w:val="single" w:color="auto" w:sz="4" w:space="0"/>
            </w:tcBorders>
            <w:shd w:val="clear" w:color="auto" w:fill="FFFFFF"/>
            <w:noWrap w:val="0"/>
            <w:vAlign w:val="top"/>
          </w:tcPr>
          <w:p w14:paraId="6F72092F">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3AB7197">
        <w:tblPrEx>
          <w:tblCellMar>
            <w:top w:w="0" w:type="dxa"/>
            <w:left w:w="10" w:type="dxa"/>
            <w:bottom w:w="0" w:type="dxa"/>
            <w:right w:w="10" w:type="dxa"/>
          </w:tblCellMar>
        </w:tblPrEx>
        <w:trPr>
          <w:trHeight w:val="566" w:hRule="exact"/>
          <w:jc w:val="center"/>
        </w:trPr>
        <w:tc>
          <w:tcPr>
            <w:tcW w:w="2275" w:type="dxa"/>
            <w:tcBorders>
              <w:top w:val="single" w:color="auto" w:sz="4" w:space="0"/>
              <w:left w:val="single" w:color="auto" w:sz="4" w:space="0"/>
            </w:tcBorders>
            <w:shd w:val="clear" w:color="auto" w:fill="FFFFFF"/>
            <w:noWrap w:val="0"/>
            <w:vAlign w:val="center"/>
          </w:tcPr>
          <w:p w14:paraId="02CDBDCD">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技术负责人</w:t>
            </w:r>
          </w:p>
        </w:tc>
        <w:tc>
          <w:tcPr>
            <w:tcW w:w="6077" w:type="dxa"/>
            <w:tcBorders>
              <w:top w:val="single" w:color="auto" w:sz="4" w:space="0"/>
              <w:left w:val="single" w:color="auto" w:sz="4" w:space="0"/>
              <w:right w:val="single" w:color="auto" w:sz="4" w:space="0"/>
            </w:tcBorders>
            <w:shd w:val="clear" w:color="auto" w:fill="FFFFFF"/>
            <w:noWrap w:val="0"/>
            <w:vAlign w:val="top"/>
          </w:tcPr>
          <w:p w14:paraId="2C014684">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A0EC32C">
        <w:tblPrEx>
          <w:tblCellMar>
            <w:top w:w="0" w:type="dxa"/>
            <w:left w:w="10" w:type="dxa"/>
            <w:bottom w:w="0" w:type="dxa"/>
            <w:right w:w="10" w:type="dxa"/>
          </w:tblCellMar>
        </w:tblPrEx>
        <w:trPr>
          <w:trHeight w:val="850" w:hRule="exact"/>
          <w:jc w:val="center"/>
        </w:trPr>
        <w:tc>
          <w:tcPr>
            <w:tcW w:w="2275" w:type="dxa"/>
            <w:tcBorders>
              <w:top w:val="single" w:color="auto" w:sz="4" w:space="0"/>
              <w:left w:val="single" w:color="auto" w:sz="4" w:space="0"/>
            </w:tcBorders>
            <w:shd w:val="clear" w:color="auto" w:fill="FFFFFF"/>
            <w:noWrap w:val="0"/>
            <w:vAlign w:val="center"/>
          </w:tcPr>
          <w:p w14:paraId="72D31483">
            <w:pPr>
              <w:pageBreakBefore w:val="0"/>
              <w:widowControl w:val="0"/>
              <w:kinsoku/>
              <w:wordWrap/>
              <w:overflowPunct/>
              <w:topLinePunct w:val="0"/>
              <w:autoSpaceDE/>
              <w:autoSpaceDN/>
              <w:bidi w:val="0"/>
              <w:adjustRightInd/>
              <w:spacing w:line="266" w:lineRule="exact"/>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监理人和总监理工程师以及电话</w:t>
            </w:r>
          </w:p>
        </w:tc>
        <w:tc>
          <w:tcPr>
            <w:tcW w:w="6077" w:type="dxa"/>
            <w:tcBorders>
              <w:top w:val="single" w:color="auto" w:sz="4" w:space="0"/>
              <w:left w:val="single" w:color="auto" w:sz="4" w:space="0"/>
              <w:right w:val="single" w:color="auto" w:sz="4" w:space="0"/>
            </w:tcBorders>
            <w:shd w:val="clear" w:color="auto" w:fill="FFFFFF"/>
            <w:noWrap w:val="0"/>
            <w:vAlign w:val="top"/>
          </w:tcPr>
          <w:p w14:paraId="6D006199">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zh-CN" w:bidi="en-US"/>
              </w:rPr>
            </w:pPr>
          </w:p>
        </w:tc>
      </w:tr>
      <w:tr w14:paraId="47A719A2">
        <w:tblPrEx>
          <w:tblCellMar>
            <w:top w:w="0" w:type="dxa"/>
            <w:left w:w="10" w:type="dxa"/>
            <w:bottom w:w="0" w:type="dxa"/>
            <w:right w:w="10" w:type="dxa"/>
          </w:tblCellMar>
        </w:tblPrEx>
        <w:trPr>
          <w:trHeight w:val="1704" w:hRule="exact"/>
          <w:jc w:val="center"/>
        </w:trPr>
        <w:tc>
          <w:tcPr>
            <w:tcW w:w="2275" w:type="dxa"/>
            <w:tcBorders>
              <w:top w:val="single" w:color="auto" w:sz="4" w:space="0"/>
              <w:left w:val="single" w:color="auto" w:sz="4" w:space="0"/>
            </w:tcBorders>
            <w:shd w:val="clear" w:color="auto" w:fill="FFFFFF"/>
            <w:noWrap w:val="0"/>
            <w:vAlign w:val="center"/>
          </w:tcPr>
          <w:p w14:paraId="2FB53075">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合同项目描述</w:t>
            </w:r>
          </w:p>
        </w:tc>
        <w:tc>
          <w:tcPr>
            <w:tcW w:w="6077" w:type="dxa"/>
            <w:tcBorders>
              <w:top w:val="single" w:color="auto" w:sz="4" w:space="0"/>
              <w:left w:val="single" w:color="auto" w:sz="4" w:space="0"/>
              <w:right w:val="single" w:color="auto" w:sz="4" w:space="0"/>
            </w:tcBorders>
            <w:shd w:val="clear" w:color="auto" w:fill="FFFFFF"/>
            <w:noWrap w:val="0"/>
            <w:vAlign w:val="top"/>
          </w:tcPr>
          <w:p w14:paraId="10CD8C93">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283227D4">
        <w:tblPrEx>
          <w:tblCellMar>
            <w:top w:w="0" w:type="dxa"/>
            <w:left w:w="10" w:type="dxa"/>
            <w:bottom w:w="0" w:type="dxa"/>
            <w:right w:w="10" w:type="dxa"/>
          </w:tblCellMar>
        </w:tblPrEx>
        <w:trPr>
          <w:trHeight w:val="864" w:hRule="exact"/>
          <w:jc w:val="center"/>
        </w:trPr>
        <w:tc>
          <w:tcPr>
            <w:tcW w:w="2275" w:type="dxa"/>
            <w:tcBorders>
              <w:top w:val="single" w:color="auto" w:sz="4" w:space="0"/>
              <w:left w:val="single" w:color="auto" w:sz="4" w:space="0"/>
              <w:bottom w:val="single" w:color="auto" w:sz="4" w:space="0"/>
            </w:tcBorders>
            <w:shd w:val="clear" w:color="auto" w:fill="FFFFFF"/>
            <w:noWrap w:val="0"/>
            <w:vAlign w:val="center"/>
          </w:tcPr>
          <w:p w14:paraId="2698F993">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备注</w:t>
            </w:r>
          </w:p>
        </w:tc>
        <w:tc>
          <w:tcPr>
            <w:tcW w:w="60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A4B3F7">
            <w:pPr>
              <w:pageBreakBefore w:val="0"/>
              <w:widowControl w:val="0"/>
              <w:kinsoku/>
              <w:wordWrap/>
              <w:overflowPunct/>
              <w:topLinePunct w:val="0"/>
              <w:autoSpaceDE/>
              <w:autoSpaceDN/>
              <w:bidi w:val="0"/>
              <w:adjustRightInd/>
              <w:spacing w:line="264" w:lineRule="exact"/>
              <w:ind w:firstLine="0"/>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合同项目描述内容至少包括项目概况、本合同在项目中的地位（部位、合同价格所占比例）和合同工程完工、竣工验收鉴定书有关验收结论。</w:t>
            </w:r>
          </w:p>
        </w:tc>
      </w:tr>
    </w:tbl>
    <w:p w14:paraId="5027ABDE">
      <w:pPr>
        <w:pageBreakBefore w:val="0"/>
        <w:widowControl w:val="0"/>
        <w:kinsoku/>
        <w:wordWrap/>
        <w:overflowPunct/>
        <w:topLinePunct w:val="0"/>
        <w:autoSpaceDE/>
        <w:autoSpaceDN/>
        <w:bidi w:val="0"/>
        <w:adjustRightInd/>
        <w:spacing w:after="319" w:line="1" w:lineRule="exact"/>
        <w:textAlignment w:val="auto"/>
        <w:outlineLvl w:val="9"/>
        <w:rPr>
          <w:rStyle w:val="32"/>
          <w:rFonts w:ascii="Times New Roman" w:hAnsi="Times New Roman" w:eastAsia="Times New Roman" w:cs="Times New Roman"/>
          <w:color w:val="auto"/>
          <w:sz w:val="24"/>
          <w:szCs w:val="24"/>
          <w:highlight w:val="none"/>
          <w:lang w:val="en-US" w:eastAsia="zh-CN" w:bidi="en-US"/>
        </w:rPr>
      </w:pPr>
    </w:p>
    <w:p w14:paraId="5BA15BF5">
      <w:pPr>
        <w:pageBreakBefore w:val="0"/>
        <w:widowControl w:val="0"/>
        <w:kinsoku/>
        <w:wordWrap/>
        <w:overflowPunct/>
        <w:topLinePunct w:val="0"/>
        <w:autoSpaceDE/>
        <w:autoSpaceDN/>
        <w:bidi w:val="0"/>
        <w:adjustRightInd/>
        <w:spacing w:after="200" w:line="334" w:lineRule="exact"/>
        <w:ind w:firstLine="420"/>
        <w:textAlignment w:val="auto"/>
        <w:outlineLvl w:val="9"/>
        <w:rPr>
          <w:rStyle w:val="32"/>
          <w:rFonts w:hint="eastAsia" w:ascii="Times New Roman" w:hAnsi="Times New Roman" w:eastAsia="宋体" w:cs="Times New Roman"/>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注：每个项目填写一张表（可扩展为多页），</w:t>
      </w:r>
      <w:r>
        <w:rPr>
          <w:rStyle w:val="32"/>
          <w:rFonts w:hint="eastAsia" w:ascii="Times New Roman" w:hAnsi="Times New Roman" w:eastAsia="宋体" w:cs="Times New Roman"/>
          <w:color w:val="auto"/>
          <w:sz w:val="24"/>
          <w:szCs w:val="24"/>
          <w:highlight w:val="none"/>
          <w:lang w:val="zh-CN" w:eastAsia="zh-CN" w:bidi="zh-CN"/>
        </w:rPr>
        <w:t>应附中标通知书或合同协议书</w:t>
      </w:r>
      <w:r>
        <w:rPr>
          <w:rStyle w:val="32"/>
          <w:rFonts w:hint="eastAsia" w:ascii="Times New Roman" w:hAnsi="Times New Roman" w:eastAsia="宋体" w:cs="Times New Roman"/>
          <w:color w:val="auto"/>
          <w:sz w:val="24"/>
          <w:szCs w:val="24"/>
          <w:highlight w:val="none"/>
          <w:lang w:val="en-US" w:eastAsia="zh-CN" w:bidi="zh-CN"/>
        </w:rPr>
        <w:t>或</w:t>
      </w:r>
      <w:r>
        <w:rPr>
          <w:rStyle w:val="32"/>
          <w:rFonts w:hint="eastAsia" w:ascii="Times New Roman" w:hAnsi="Times New Roman" w:eastAsia="宋体" w:cs="Times New Roman"/>
          <w:color w:val="auto"/>
          <w:sz w:val="24"/>
          <w:szCs w:val="24"/>
          <w:highlight w:val="none"/>
          <w:lang w:val="zh-CN" w:eastAsia="zh-CN" w:bidi="zh-CN"/>
        </w:rPr>
        <w:t>工程竣（完）工验收证明的扫描件。</w:t>
      </w:r>
    </w:p>
    <w:p w14:paraId="27173E83">
      <w:pPr>
        <w:widowControl w:val="0"/>
        <w:spacing w:after="200" w:line="334" w:lineRule="exact"/>
        <w:ind w:firstLine="420"/>
        <w:rPr>
          <w:rStyle w:val="32"/>
          <w:rFonts w:hint="eastAsia" w:ascii="Times New Roman" w:hAnsi="Times New Roman" w:eastAsia="宋体" w:cs="Times New Roman"/>
          <w:color w:val="auto"/>
          <w:sz w:val="24"/>
          <w:szCs w:val="24"/>
          <w:highlight w:val="none"/>
          <w:lang w:val="zh-CN" w:eastAsia="zh-CN" w:bidi="zh-CN"/>
        </w:rPr>
      </w:pPr>
    </w:p>
    <w:p w14:paraId="7CA57296">
      <w:pPr>
        <w:widowControl w:val="0"/>
        <w:spacing w:after="200" w:line="334" w:lineRule="exact"/>
        <w:ind w:firstLine="420"/>
        <w:rPr>
          <w:rStyle w:val="32"/>
          <w:rFonts w:hint="eastAsia" w:ascii="Times New Roman" w:hAnsi="Times New Roman" w:eastAsia="宋体" w:cs="Times New Roman"/>
          <w:color w:val="auto"/>
          <w:sz w:val="24"/>
          <w:szCs w:val="24"/>
          <w:highlight w:val="none"/>
          <w:lang w:val="en-US" w:eastAsia="zh-CN" w:bidi="zh-CN"/>
        </w:rPr>
      </w:pPr>
      <w:r>
        <w:rPr>
          <w:rStyle w:val="32"/>
          <w:rFonts w:hint="eastAsia" w:ascii="Times New Roman" w:hAnsi="Times New Roman" w:eastAsia="宋体" w:cs="Times New Roman"/>
          <w:color w:val="auto"/>
          <w:sz w:val="24"/>
          <w:szCs w:val="24"/>
          <w:highlight w:val="none"/>
          <w:lang w:val="en-US" w:eastAsia="zh-CN" w:bidi="zh-CN"/>
        </w:rPr>
        <w:t xml:space="preserve">                                          供应商名称（电子签章）：</w:t>
      </w:r>
    </w:p>
    <w:p w14:paraId="35A1EA9C">
      <w:pPr>
        <w:widowControl w:val="0"/>
        <w:spacing w:after="200" w:line="334" w:lineRule="exact"/>
        <w:ind w:firstLine="420"/>
        <w:rPr>
          <w:rStyle w:val="32"/>
          <w:rFonts w:hint="default" w:ascii="Times New Roman" w:hAnsi="Times New Roman" w:eastAsia="宋体" w:cs="Times New Roman"/>
          <w:color w:val="auto"/>
          <w:sz w:val="24"/>
          <w:szCs w:val="24"/>
          <w:highlight w:val="none"/>
          <w:lang w:val="en-US" w:eastAsia="zh-CN" w:bidi="zh-CN"/>
        </w:rPr>
      </w:pPr>
      <w:r>
        <w:rPr>
          <w:rStyle w:val="32"/>
          <w:rFonts w:hint="eastAsia" w:ascii="Times New Roman" w:hAnsi="Times New Roman" w:eastAsia="宋体" w:cs="Times New Roman"/>
          <w:color w:val="auto"/>
          <w:sz w:val="24"/>
          <w:szCs w:val="24"/>
          <w:highlight w:val="none"/>
          <w:lang w:val="en-US" w:eastAsia="zh-CN" w:bidi="zh-CN"/>
        </w:rPr>
        <w:t xml:space="preserve">                                         日期：  年  月   日</w:t>
      </w:r>
    </w:p>
    <w:p w14:paraId="180FA015">
      <w:pPr>
        <w:rPr>
          <w:rFonts w:hint="eastAsia" w:ascii="仿宋" w:hAnsi="仿宋" w:eastAsia="仿宋" w:cs="仿宋_GB2312"/>
          <w:b/>
          <w:color w:val="auto"/>
          <w:sz w:val="30"/>
          <w:szCs w:val="30"/>
          <w:highlight w:val="none"/>
          <w:lang w:bidi="ar"/>
        </w:rPr>
      </w:pPr>
      <w:r>
        <w:rPr>
          <w:rFonts w:hint="eastAsia" w:ascii="仿宋" w:hAnsi="仿宋" w:eastAsia="仿宋" w:cs="仿宋_GB2312"/>
          <w:b/>
          <w:color w:val="auto"/>
          <w:sz w:val="30"/>
          <w:szCs w:val="30"/>
          <w:highlight w:val="none"/>
          <w:lang w:bidi="ar"/>
        </w:rPr>
        <w:br w:type="page"/>
      </w:r>
    </w:p>
    <w:p w14:paraId="235BCD0E">
      <w:pPr>
        <w:snapToGrid w:val="0"/>
        <w:spacing w:line="360" w:lineRule="auto"/>
        <w:ind w:firstLine="602" w:firstLineChars="200"/>
        <w:rPr>
          <w:rFonts w:hint="eastAsia" w:ascii="仿宋" w:hAnsi="仿宋" w:eastAsia="仿宋" w:cs="仿宋_GB2312"/>
          <w:b/>
          <w:color w:val="auto"/>
          <w:sz w:val="30"/>
          <w:szCs w:val="30"/>
          <w:highlight w:val="none"/>
          <w:lang w:bidi="ar"/>
        </w:rPr>
        <w:sectPr>
          <w:pgSz w:w="11900" w:h="16839"/>
          <w:pgMar w:top="1304" w:right="1474" w:bottom="1134" w:left="1621" w:header="969" w:footer="502" w:gutter="0"/>
          <w:cols w:space="720" w:num="1"/>
        </w:sectPr>
      </w:pPr>
    </w:p>
    <w:p w14:paraId="04FC6C41">
      <w:pPr>
        <w:keepNext/>
        <w:keepLines/>
        <w:pageBreakBefore w:val="0"/>
        <w:widowControl w:val="0"/>
        <w:kinsoku/>
        <w:wordWrap/>
        <w:overflowPunct/>
        <w:topLinePunct w:val="0"/>
        <w:autoSpaceDE/>
        <w:autoSpaceDN/>
        <w:bidi w:val="0"/>
        <w:adjustRightInd/>
        <w:spacing w:before="240" w:beforeLines="0" w:after="120" w:afterLines="0" w:line="240" w:lineRule="auto"/>
        <w:jc w:val="center"/>
        <w:textAlignment w:val="auto"/>
        <w:outlineLvl w:val="9"/>
        <w:rPr>
          <w:rStyle w:val="32"/>
          <w:rFonts w:ascii="宋体" w:hAnsi="宋体" w:eastAsia="宋体" w:cs="Times New Roman"/>
          <w:b/>
          <w:color w:val="auto"/>
          <w:sz w:val="28"/>
          <w:szCs w:val="28"/>
          <w:highlight w:val="none"/>
          <w:lang w:val="en-US" w:eastAsia="zh-CN" w:bidi="ar-SA"/>
        </w:rPr>
      </w:pPr>
      <w:r>
        <w:rPr>
          <w:rStyle w:val="32"/>
          <w:rFonts w:ascii="宋体" w:hAnsi="宋体" w:eastAsia="宋体" w:cs="Times New Roman"/>
          <w:b/>
          <w:color w:val="auto"/>
          <w:sz w:val="28"/>
          <w:szCs w:val="28"/>
          <w:highlight w:val="none"/>
          <w:lang w:val="en-US" w:eastAsia="zh-CN" w:bidi="ar-SA"/>
        </w:rPr>
        <w:t>正在施工的和新承接的项目情况表</w:t>
      </w:r>
    </w:p>
    <w:tbl>
      <w:tblPr>
        <w:tblStyle w:val="30"/>
        <w:tblW w:w="0" w:type="auto"/>
        <w:jc w:val="center"/>
        <w:tblLayout w:type="fixed"/>
        <w:tblCellMar>
          <w:top w:w="0" w:type="dxa"/>
          <w:left w:w="10" w:type="dxa"/>
          <w:bottom w:w="0" w:type="dxa"/>
          <w:right w:w="10" w:type="dxa"/>
        </w:tblCellMar>
      </w:tblPr>
      <w:tblGrid>
        <w:gridCol w:w="2249"/>
        <w:gridCol w:w="6450"/>
      </w:tblGrid>
      <w:tr w14:paraId="130F34B0">
        <w:tblPrEx>
          <w:tblCellMar>
            <w:top w:w="0" w:type="dxa"/>
            <w:left w:w="10" w:type="dxa"/>
            <w:bottom w:w="0" w:type="dxa"/>
            <w:right w:w="10" w:type="dxa"/>
          </w:tblCellMar>
        </w:tblPrEx>
        <w:trPr>
          <w:trHeight w:val="571" w:hRule="exact"/>
          <w:jc w:val="center"/>
        </w:trPr>
        <w:tc>
          <w:tcPr>
            <w:tcW w:w="2249" w:type="dxa"/>
            <w:tcBorders>
              <w:top w:val="single" w:color="auto" w:sz="4" w:space="0"/>
              <w:left w:val="single" w:color="auto" w:sz="4" w:space="0"/>
            </w:tcBorders>
            <w:shd w:val="clear" w:color="auto" w:fill="FFFFFF"/>
            <w:noWrap w:val="0"/>
            <w:vAlign w:val="center"/>
          </w:tcPr>
          <w:p w14:paraId="6F9613F0">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项目名称</w:t>
            </w:r>
          </w:p>
        </w:tc>
        <w:tc>
          <w:tcPr>
            <w:tcW w:w="6450" w:type="dxa"/>
            <w:tcBorders>
              <w:top w:val="single" w:color="auto" w:sz="4" w:space="0"/>
              <w:left w:val="single" w:color="auto" w:sz="4" w:space="0"/>
              <w:right w:val="single" w:color="auto" w:sz="4" w:space="0"/>
            </w:tcBorders>
            <w:shd w:val="clear" w:color="auto" w:fill="FFFFFF"/>
            <w:noWrap w:val="0"/>
            <w:vAlign w:val="top"/>
          </w:tcPr>
          <w:p w14:paraId="2B856E1E">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E41F059">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6B776806">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项目所在地</w:t>
            </w:r>
          </w:p>
        </w:tc>
        <w:tc>
          <w:tcPr>
            <w:tcW w:w="6450" w:type="dxa"/>
            <w:tcBorders>
              <w:top w:val="single" w:color="auto" w:sz="4" w:space="0"/>
              <w:left w:val="single" w:color="auto" w:sz="4" w:space="0"/>
              <w:right w:val="single" w:color="auto" w:sz="4" w:space="0"/>
            </w:tcBorders>
            <w:shd w:val="clear" w:color="auto" w:fill="FFFFFF"/>
            <w:noWrap w:val="0"/>
            <w:vAlign w:val="top"/>
          </w:tcPr>
          <w:p w14:paraId="78FB9729">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69E0348">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7D02BF5A">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发包人名称</w:t>
            </w:r>
          </w:p>
        </w:tc>
        <w:tc>
          <w:tcPr>
            <w:tcW w:w="6450" w:type="dxa"/>
            <w:tcBorders>
              <w:top w:val="single" w:color="auto" w:sz="4" w:space="0"/>
              <w:left w:val="single" w:color="auto" w:sz="4" w:space="0"/>
              <w:right w:val="single" w:color="auto" w:sz="4" w:space="0"/>
            </w:tcBorders>
            <w:shd w:val="clear" w:color="auto" w:fill="FFFFFF"/>
            <w:noWrap w:val="0"/>
            <w:vAlign w:val="top"/>
          </w:tcPr>
          <w:p w14:paraId="1340ACA3">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28815359">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1ED216CA">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发包人地址</w:t>
            </w:r>
          </w:p>
        </w:tc>
        <w:tc>
          <w:tcPr>
            <w:tcW w:w="6450" w:type="dxa"/>
            <w:tcBorders>
              <w:top w:val="single" w:color="auto" w:sz="4" w:space="0"/>
              <w:left w:val="single" w:color="auto" w:sz="4" w:space="0"/>
              <w:right w:val="single" w:color="auto" w:sz="4" w:space="0"/>
            </w:tcBorders>
            <w:shd w:val="clear" w:color="auto" w:fill="FFFFFF"/>
            <w:noWrap w:val="0"/>
            <w:vAlign w:val="top"/>
          </w:tcPr>
          <w:p w14:paraId="586265DF">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5B562095">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490F8DB4">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发包人电话</w:t>
            </w:r>
          </w:p>
        </w:tc>
        <w:tc>
          <w:tcPr>
            <w:tcW w:w="6450" w:type="dxa"/>
            <w:tcBorders>
              <w:top w:val="single" w:color="auto" w:sz="4" w:space="0"/>
              <w:left w:val="single" w:color="auto" w:sz="4" w:space="0"/>
              <w:right w:val="single" w:color="auto" w:sz="4" w:space="0"/>
            </w:tcBorders>
            <w:shd w:val="clear" w:color="auto" w:fill="FFFFFF"/>
            <w:noWrap w:val="0"/>
            <w:vAlign w:val="top"/>
          </w:tcPr>
          <w:p w14:paraId="585DE34A">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3F61594E">
        <w:tblPrEx>
          <w:tblCellMar>
            <w:top w:w="0" w:type="dxa"/>
            <w:left w:w="10" w:type="dxa"/>
            <w:bottom w:w="0" w:type="dxa"/>
            <w:right w:w="10" w:type="dxa"/>
          </w:tblCellMar>
        </w:tblPrEx>
        <w:trPr>
          <w:trHeight w:val="571" w:hRule="exact"/>
          <w:jc w:val="center"/>
        </w:trPr>
        <w:tc>
          <w:tcPr>
            <w:tcW w:w="2249" w:type="dxa"/>
            <w:tcBorders>
              <w:top w:val="single" w:color="auto" w:sz="4" w:space="0"/>
              <w:left w:val="single" w:color="auto" w:sz="4" w:space="0"/>
            </w:tcBorders>
            <w:shd w:val="clear" w:color="auto" w:fill="FFFFFF"/>
            <w:noWrap w:val="0"/>
            <w:vAlign w:val="center"/>
          </w:tcPr>
          <w:p w14:paraId="067DEBE4">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签约合同价</w:t>
            </w:r>
          </w:p>
        </w:tc>
        <w:tc>
          <w:tcPr>
            <w:tcW w:w="6450" w:type="dxa"/>
            <w:tcBorders>
              <w:top w:val="single" w:color="auto" w:sz="4" w:space="0"/>
              <w:left w:val="single" w:color="auto" w:sz="4" w:space="0"/>
              <w:right w:val="single" w:color="auto" w:sz="4" w:space="0"/>
            </w:tcBorders>
            <w:shd w:val="clear" w:color="auto" w:fill="FFFFFF"/>
            <w:noWrap w:val="0"/>
            <w:vAlign w:val="top"/>
          </w:tcPr>
          <w:p w14:paraId="7266A347">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395C8EA2">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01470EF5">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开工日期</w:t>
            </w:r>
          </w:p>
        </w:tc>
        <w:tc>
          <w:tcPr>
            <w:tcW w:w="6450" w:type="dxa"/>
            <w:tcBorders>
              <w:top w:val="single" w:color="auto" w:sz="4" w:space="0"/>
              <w:left w:val="single" w:color="auto" w:sz="4" w:space="0"/>
              <w:right w:val="single" w:color="auto" w:sz="4" w:space="0"/>
            </w:tcBorders>
            <w:shd w:val="clear" w:color="auto" w:fill="FFFFFF"/>
            <w:noWrap w:val="0"/>
            <w:vAlign w:val="top"/>
          </w:tcPr>
          <w:p w14:paraId="28097090">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F180542">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00E41E85">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计划竣工日期</w:t>
            </w:r>
          </w:p>
        </w:tc>
        <w:tc>
          <w:tcPr>
            <w:tcW w:w="6450" w:type="dxa"/>
            <w:tcBorders>
              <w:top w:val="single" w:color="auto" w:sz="4" w:space="0"/>
              <w:left w:val="single" w:color="auto" w:sz="4" w:space="0"/>
              <w:right w:val="single" w:color="auto" w:sz="4" w:space="0"/>
            </w:tcBorders>
            <w:shd w:val="clear" w:color="auto" w:fill="FFFFFF"/>
            <w:noWrap w:val="0"/>
            <w:vAlign w:val="top"/>
          </w:tcPr>
          <w:p w14:paraId="4D416971">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0764CCDD">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43002D05">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承担的工作</w:t>
            </w:r>
          </w:p>
        </w:tc>
        <w:tc>
          <w:tcPr>
            <w:tcW w:w="6450" w:type="dxa"/>
            <w:tcBorders>
              <w:top w:val="single" w:color="auto" w:sz="4" w:space="0"/>
              <w:left w:val="single" w:color="auto" w:sz="4" w:space="0"/>
              <w:right w:val="single" w:color="auto" w:sz="4" w:space="0"/>
            </w:tcBorders>
            <w:shd w:val="clear" w:color="auto" w:fill="FFFFFF"/>
            <w:noWrap w:val="0"/>
            <w:vAlign w:val="top"/>
          </w:tcPr>
          <w:p w14:paraId="674FDF57">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08C5F54">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543419A1">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工程质量</w:t>
            </w:r>
          </w:p>
        </w:tc>
        <w:tc>
          <w:tcPr>
            <w:tcW w:w="6450" w:type="dxa"/>
            <w:tcBorders>
              <w:top w:val="single" w:color="auto" w:sz="4" w:space="0"/>
              <w:left w:val="single" w:color="auto" w:sz="4" w:space="0"/>
              <w:right w:val="single" w:color="auto" w:sz="4" w:space="0"/>
            </w:tcBorders>
            <w:shd w:val="clear" w:color="auto" w:fill="FFFFFF"/>
            <w:noWrap w:val="0"/>
            <w:vAlign w:val="top"/>
          </w:tcPr>
          <w:p w14:paraId="7485E635">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4C2D5B60">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1D343EDA">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项目经理</w:t>
            </w:r>
          </w:p>
        </w:tc>
        <w:tc>
          <w:tcPr>
            <w:tcW w:w="6450" w:type="dxa"/>
            <w:tcBorders>
              <w:top w:val="single" w:color="auto" w:sz="4" w:space="0"/>
              <w:left w:val="single" w:color="auto" w:sz="4" w:space="0"/>
              <w:right w:val="single" w:color="auto" w:sz="4" w:space="0"/>
            </w:tcBorders>
            <w:shd w:val="clear" w:color="auto" w:fill="FFFFFF"/>
            <w:noWrap w:val="0"/>
            <w:vAlign w:val="top"/>
          </w:tcPr>
          <w:p w14:paraId="6E5907E4">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0EC67898">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1DBE71A8">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技术负责人</w:t>
            </w:r>
          </w:p>
        </w:tc>
        <w:tc>
          <w:tcPr>
            <w:tcW w:w="6450" w:type="dxa"/>
            <w:tcBorders>
              <w:top w:val="single" w:color="auto" w:sz="4" w:space="0"/>
              <w:left w:val="single" w:color="auto" w:sz="4" w:space="0"/>
              <w:right w:val="single" w:color="auto" w:sz="4" w:space="0"/>
            </w:tcBorders>
            <w:shd w:val="clear" w:color="auto" w:fill="FFFFFF"/>
            <w:noWrap w:val="0"/>
            <w:vAlign w:val="top"/>
          </w:tcPr>
          <w:p w14:paraId="402BCC95">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6F918835">
        <w:tblPrEx>
          <w:tblCellMar>
            <w:top w:w="0" w:type="dxa"/>
            <w:left w:w="10" w:type="dxa"/>
            <w:bottom w:w="0" w:type="dxa"/>
            <w:right w:w="10" w:type="dxa"/>
          </w:tblCellMar>
        </w:tblPrEx>
        <w:trPr>
          <w:trHeight w:val="566" w:hRule="exact"/>
          <w:jc w:val="center"/>
        </w:trPr>
        <w:tc>
          <w:tcPr>
            <w:tcW w:w="2249" w:type="dxa"/>
            <w:tcBorders>
              <w:top w:val="single" w:color="auto" w:sz="4" w:space="0"/>
              <w:left w:val="single" w:color="auto" w:sz="4" w:space="0"/>
            </w:tcBorders>
            <w:shd w:val="clear" w:color="auto" w:fill="FFFFFF"/>
            <w:noWrap w:val="0"/>
            <w:vAlign w:val="center"/>
          </w:tcPr>
          <w:p w14:paraId="7E15F108">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总监理工程师及电话</w:t>
            </w:r>
          </w:p>
        </w:tc>
        <w:tc>
          <w:tcPr>
            <w:tcW w:w="6450" w:type="dxa"/>
            <w:tcBorders>
              <w:top w:val="single" w:color="auto" w:sz="4" w:space="0"/>
              <w:left w:val="single" w:color="auto" w:sz="4" w:space="0"/>
              <w:right w:val="single" w:color="auto" w:sz="4" w:space="0"/>
            </w:tcBorders>
            <w:shd w:val="clear" w:color="auto" w:fill="FFFFFF"/>
            <w:noWrap w:val="0"/>
            <w:vAlign w:val="top"/>
          </w:tcPr>
          <w:p w14:paraId="6605D063">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2BD26F68">
        <w:tblPrEx>
          <w:tblCellMar>
            <w:top w:w="0" w:type="dxa"/>
            <w:left w:w="10" w:type="dxa"/>
            <w:bottom w:w="0" w:type="dxa"/>
            <w:right w:w="10" w:type="dxa"/>
          </w:tblCellMar>
        </w:tblPrEx>
        <w:trPr>
          <w:trHeight w:val="1704" w:hRule="exact"/>
          <w:jc w:val="center"/>
        </w:trPr>
        <w:tc>
          <w:tcPr>
            <w:tcW w:w="2249" w:type="dxa"/>
            <w:tcBorders>
              <w:top w:val="single" w:color="auto" w:sz="4" w:space="0"/>
              <w:left w:val="single" w:color="auto" w:sz="4" w:space="0"/>
            </w:tcBorders>
            <w:shd w:val="clear" w:color="auto" w:fill="FFFFFF"/>
            <w:noWrap w:val="0"/>
            <w:vAlign w:val="center"/>
          </w:tcPr>
          <w:p w14:paraId="160902E9">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项目描述</w:t>
            </w:r>
          </w:p>
        </w:tc>
        <w:tc>
          <w:tcPr>
            <w:tcW w:w="6450" w:type="dxa"/>
            <w:tcBorders>
              <w:top w:val="single" w:color="auto" w:sz="4" w:space="0"/>
              <w:left w:val="single" w:color="auto" w:sz="4" w:space="0"/>
              <w:right w:val="single" w:color="auto" w:sz="4" w:space="0"/>
            </w:tcBorders>
            <w:shd w:val="clear" w:color="auto" w:fill="FFFFFF"/>
            <w:noWrap w:val="0"/>
            <w:vAlign w:val="top"/>
          </w:tcPr>
          <w:p w14:paraId="2E32151D">
            <w:pPr>
              <w:pageBreakBefore w:val="0"/>
              <w:widowControl w:val="0"/>
              <w:kinsoku/>
              <w:wordWrap/>
              <w:overflowPunct/>
              <w:topLinePunct w:val="0"/>
              <w:autoSpaceDE/>
              <w:autoSpaceDN/>
              <w:bidi w:val="0"/>
              <w:adjustRightInd/>
              <w:textAlignment w:val="auto"/>
              <w:outlineLvl w:val="9"/>
              <w:rPr>
                <w:rStyle w:val="32"/>
                <w:rFonts w:ascii="Times New Roman" w:hAnsi="Times New Roman" w:eastAsia="Times New Roman" w:cs="Times New Roman"/>
                <w:color w:val="auto"/>
                <w:sz w:val="24"/>
                <w:szCs w:val="24"/>
                <w:highlight w:val="none"/>
                <w:lang w:val="en-US" w:eastAsia="en-US" w:bidi="en-US"/>
              </w:rPr>
            </w:pPr>
          </w:p>
        </w:tc>
      </w:tr>
      <w:tr w14:paraId="5FDD1BA7">
        <w:tblPrEx>
          <w:tblCellMar>
            <w:top w:w="0" w:type="dxa"/>
            <w:left w:w="10" w:type="dxa"/>
            <w:bottom w:w="0" w:type="dxa"/>
            <w:right w:w="10" w:type="dxa"/>
          </w:tblCellMar>
        </w:tblPrEx>
        <w:trPr>
          <w:trHeight w:val="864" w:hRule="exact"/>
          <w:jc w:val="center"/>
        </w:trPr>
        <w:tc>
          <w:tcPr>
            <w:tcW w:w="2249" w:type="dxa"/>
            <w:tcBorders>
              <w:top w:val="single" w:color="auto" w:sz="4" w:space="0"/>
              <w:left w:val="single" w:color="auto" w:sz="4" w:space="0"/>
              <w:bottom w:val="single" w:color="auto" w:sz="4" w:space="0"/>
            </w:tcBorders>
            <w:shd w:val="clear" w:color="auto" w:fill="FFFFFF"/>
            <w:noWrap w:val="0"/>
            <w:vAlign w:val="center"/>
          </w:tcPr>
          <w:p w14:paraId="39A2E7D1">
            <w:pPr>
              <w:pageBreakBefore w:val="0"/>
              <w:widowControl w:val="0"/>
              <w:kinsoku/>
              <w:wordWrap/>
              <w:overflowPunct/>
              <w:topLinePunct w:val="0"/>
              <w:autoSpaceDE/>
              <w:autoSpaceDN/>
              <w:bidi w:val="0"/>
              <w:adjustRightInd/>
              <w:spacing w:line="240" w:lineRule="auto"/>
              <w:ind w:firstLine="0"/>
              <w:jc w:val="center"/>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备注</w:t>
            </w:r>
          </w:p>
        </w:tc>
        <w:tc>
          <w:tcPr>
            <w:tcW w:w="6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F01D5F">
            <w:pPr>
              <w:pageBreakBefore w:val="0"/>
              <w:widowControl w:val="0"/>
              <w:kinsoku/>
              <w:wordWrap/>
              <w:overflowPunct/>
              <w:topLinePunct w:val="0"/>
              <w:autoSpaceDE/>
              <w:autoSpaceDN/>
              <w:bidi w:val="0"/>
              <w:adjustRightInd/>
              <w:spacing w:line="266" w:lineRule="exact"/>
              <w:ind w:firstLine="0"/>
              <w:jc w:val="both"/>
              <w:textAlignment w:val="auto"/>
              <w:outlineLvl w:val="9"/>
              <w:rPr>
                <w:rStyle w:val="32"/>
                <w:rFonts w:ascii="宋体" w:hAnsi="宋体" w:eastAsia="宋体" w:cs="宋体"/>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合同项目描述内容至少包括项目概况、本合同在项目中的地位（部位、合同价格所占比例）。</w:t>
            </w:r>
          </w:p>
        </w:tc>
      </w:tr>
    </w:tbl>
    <w:p w14:paraId="01DEFE3F">
      <w:pPr>
        <w:pageBreakBefore w:val="0"/>
        <w:widowControl w:val="0"/>
        <w:kinsoku/>
        <w:wordWrap/>
        <w:overflowPunct/>
        <w:topLinePunct w:val="0"/>
        <w:autoSpaceDE/>
        <w:autoSpaceDN/>
        <w:bidi w:val="0"/>
        <w:adjustRightInd/>
        <w:spacing w:after="319" w:line="1" w:lineRule="exact"/>
        <w:textAlignment w:val="auto"/>
        <w:outlineLvl w:val="9"/>
        <w:rPr>
          <w:rStyle w:val="32"/>
          <w:rFonts w:ascii="Times New Roman" w:hAnsi="Times New Roman" w:eastAsia="Times New Roman" w:cs="Times New Roman"/>
          <w:color w:val="auto"/>
          <w:sz w:val="24"/>
          <w:szCs w:val="24"/>
          <w:highlight w:val="none"/>
          <w:lang w:val="en-US" w:eastAsia="zh-CN" w:bidi="en-US"/>
        </w:rPr>
      </w:pPr>
    </w:p>
    <w:p w14:paraId="3FEA291B">
      <w:pPr>
        <w:pageBreakBefore w:val="0"/>
        <w:widowControl w:val="0"/>
        <w:kinsoku/>
        <w:wordWrap/>
        <w:overflowPunct/>
        <w:topLinePunct w:val="0"/>
        <w:autoSpaceDE/>
        <w:autoSpaceDN/>
        <w:bidi w:val="0"/>
        <w:adjustRightInd/>
        <w:spacing w:line="360" w:lineRule="auto"/>
        <w:textAlignment w:val="auto"/>
        <w:outlineLvl w:val="9"/>
        <w:rPr>
          <w:rStyle w:val="32"/>
          <w:rFonts w:hint="eastAsia" w:ascii="Times New Roman" w:hAnsi="Times New Roman" w:eastAsia="宋体" w:cs="Times New Roman"/>
          <w:color w:val="auto"/>
          <w:sz w:val="24"/>
          <w:szCs w:val="24"/>
          <w:highlight w:val="none"/>
          <w:lang w:val="zh-CN" w:eastAsia="zh-CN" w:bidi="zh-CN"/>
        </w:rPr>
      </w:pPr>
      <w:r>
        <w:rPr>
          <w:rStyle w:val="32"/>
          <w:rFonts w:ascii="Times New Roman" w:hAnsi="Times New Roman" w:eastAsia="宋体" w:cs="Times New Roman"/>
          <w:color w:val="auto"/>
          <w:sz w:val="24"/>
          <w:szCs w:val="24"/>
          <w:highlight w:val="none"/>
          <w:lang w:val="zh-CN" w:eastAsia="zh-CN" w:bidi="zh-CN"/>
        </w:rPr>
        <w:t>注：每个项目填写一张表（可扩展为多页），</w:t>
      </w:r>
      <w:r>
        <w:rPr>
          <w:rStyle w:val="32"/>
          <w:rFonts w:hint="eastAsia" w:ascii="Times New Roman" w:hAnsi="Times New Roman" w:eastAsia="宋体" w:cs="Times New Roman"/>
          <w:color w:val="auto"/>
          <w:sz w:val="24"/>
          <w:szCs w:val="24"/>
          <w:highlight w:val="none"/>
          <w:lang w:val="zh-CN" w:eastAsia="zh-CN" w:bidi="zh-CN"/>
        </w:rPr>
        <w:t>应附中标通知书或合同协议书的扫描件。</w:t>
      </w:r>
    </w:p>
    <w:p w14:paraId="06211C58">
      <w:pPr>
        <w:pageBreakBefore w:val="0"/>
        <w:widowControl w:val="0"/>
        <w:kinsoku/>
        <w:wordWrap/>
        <w:overflowPunct/>
        <w:topLinePunct w:val="0"/>
        <w:autoSpaceDE/>
        <w:autoSpaceDN/>
        <w:bidi w:val="0"/>
        <w:adjustRightInd/>
        <w:spacing w:line="360" w:lineRule="auto"/>
        <w:ind w:firstLine="3840" w:firstLineChars="1600"/>
        <w:textAlignment w:val="auto"/>
        <w:outlineLvl w:val="9"/>
        <w:rPr>
          <w:rStyle w:val="32"/>
          <w:rFonts w:hint="eastAsia" w:ascii="Times New Roman" w:hAnsi="Times New Roman" w:eastAsia="宋体" w:cs="Times New Roman"/>
          <w:color w:val="auto"/>
          <w:sz w:val="24"/>
          <w:szCs w:val="24"/>
          <w:highlight w:val="none"/>
          <w:lang w:val="zh-CN" w:eastAsia="zh-CN" w:bidi="zh-CN"/>
        </w:rPr>
      </w:pPr>
    </w:p>
    <w:p w14:paraId="4147C33E">
      <w:pPr>
        <w:pageBreakBefore w:val="0"/>
        <w:widowControl w:val="0"/>
        <w:kinsoku/>
        <w:wordWrap/>
        <w:overflowPunct/>
        <w:topLinePunct w:val="0"/>
        <w:autoSpaceDE/>
        <w:autoSpaceDN/>
        <w:bidi w:val="0"/>
        <w:adjustRightInd/>
        <w:spacing w:line="360" w:lineRule="auto"/>
        <w:ind w:firstLine="6000" w:firstLineChars="25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供应商名称（电子签章）：</w:t>
      </w:r>
    </w:p>
    <w:p w14:paraId="382C8339">
      <w:pPr>
        <w:pageBreakBefore w:val="0"/>
        <w:widowControl w:val="0"/>
        <w:kinsoku/>
        <w:wordWrap/>
        <w:overflowPunct/>
        <w:topLinePunct w:val="0"/>
        <w:autoSpaceDE/>
        <w:autoSpaceDN/>
        <w:bidi w:val="0"/>
        <w:adjustRightInd/>
        <w:spacing w:line="360" w:lineRule="auto"/>
        <w:jc w:val="center"/>
        <w:textAlignment w:val="auto"/>
        <w:outlineLvl w:val="9"/>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 xml:space="preserve">                                                   日期：  年  月   日</w:t>
      </w:r>
    </w:p>
    <w:p w14:paraId="06E59C03">
      <w:pPr>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9"/>
        <w:rPr>
          <w:rFonts w:hint="eastAsia" w:ascii="仿宋" w:hAnsi="仿宋" w:eastAsia="仿宋" w:cs="仿宋_GB2312"/>
          <w:b/>
          <w:color w:val="auto"/>
          <w:sz w:val="30"/>
          <w:szCs w:val="30"/>
          <w:highlight w:val="none"/>
          <w:lang w:bidi="ar"/>
        </w:rPr>
        <w:sectPr>
          <w:pgSz w:w="11900" w:h="16839"/>
          <w:pgMar w:top="1304" w:right="1474" w:bottom="1134" w:left="1621" w:header="969" w:footer="502" w:gutter="0"/>
          <w:cols w:space="720" w:num="1"/>
        </w:sectPr>
      </w:pPr>
    </w:p>
    <w:p w14:paraId="7AFCD497">
      <w:pPr>
        <w:snapToGrid w:val="0"/>
        <w:spacing w:line="360" w:lineRule="auto"/>
        <w:ind w:firstLine="602" w:firstLineChars="200"/>
        <w:rPr>
          <w:rFonts w:hint="eastAsia" w:ascii="仿宋_GB2312" w:hAnsi="仿宋_GB2312" w:eastAsia="仿宋_GB2312" w:cs="仿宋_GB2312"/>
          <w:color w:val="auto"/>
          <w:sz w:val="32"/>
          <w:szCs w:val="32"/>
          <w:highlight w:val="none"/>
        </w:rPr>
      </w:pPr>
      <w:r>
        <w:rPr>
          <w:rFonts w:hint="eastAsia" w:ascii="仿宋" w:hAnsi="仿宋" w:eastAsia="仿宋" w:cs="仿宋_GB2312"/>
          <w:b/>
          <w:color w:val="auto"/>
          <w:sz w:val="30"/>
          <w:szCs w:val="30"/>
          <w:highlight w:val="none"/>
          <w:lang w:bidi="ar"/>
        </w:rPr>
        <w:t>七、技术偏离表</w:t>
      </w:r>
    </w:p>
    <w:p w14:paraId="0057C740">
      <w:pPr>
        <w:spacing w:line="500" w:lineRule="exact"/>
        <w:jc w:val="center"/>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技术需求偏离表</w:t>
      </w:r>
    </w:p>
    <w:p w14:paraId="215EF0D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16DAD51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xml:space="preserve">                 </w:t>
      </w:r>
    </w:p>
    <w:p w14:paraId="25C5E620">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w:t>
      </w:r>
      <w:r>
        <w:rPr>
          <w:rFonts w:hint="default" w:ascii="宋体" w:hAnsi="宋体" w:eastAsia="宋体" w:cs="宋体"/>
          <w:color w:val="auto"/>
          <w:sz w:val="21"/>
          <w:szCs w:val="21"/>
          <w:highlight w:val="none"/>
        </w:rPr>
        <w:t>（此处有分标时填写具体分标号，无分标时填写“无”）</w:t>
      </w:r>
      <w:r>
        <w:rPr>
          <w:rFonts w:hint="default" w:ascii="宋体" w:hAnsi="宋体" w:eastAsia="宋体" w:cs="宋体"/>
          <w:color w:val="auto"/>
          <w:sz w:val="24"/>
          <w:szCs w:val="24"/>
          <w:highlight w:val="none"/>
        </w:rPr>
        <w:t>：</w:t>
      </w:r>
      <w:r>
        <w:rPr>
          <w:rFonts w:hint="default" w:ascii="宋体" w:hAnsi="宋体" w:eastAsia="宋体" w:cs="宋体"/>
          <w:color w:val="auto"/>
          <w:sz w:val="24"/>
          <w:szCs w:val="24"/>
          <w:highlight w:val="none"/>
          <w:u w:val="single"/>
        </w:rPr>
        <w:t xml:space="preserve">        </w:t>
      </w:r>
    </w:p>
    <w:p w14:paraId="5D7B42A3">
      <w:pPr>
        <w:pStyle w:val="28"/>
        <w:spacing w:line="360" w:lineRule="auto"/>
        <w:contextualSpacing/>
        <w:rPr>
          <w:rFonts w:hint="eastAsia" w:ascii="宋体" w:hAnsi="宋体" w:cs="宋体"/>
          <w:color w:val="auto"/>
          <w:highlight w:val="none"/>
        </w:rPr>
      </w:pPr>
    </w:p>
    <w:tbl>
      <w:tblPr>
        <w:tblStyle w:val="30"/>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631"/>
        <w:gridCol w:w="3210"/>
        <w:gridCol w:w="1274"/>
      </w:tblGrid>
      <w:tr w14:paraId="56E9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C249481">
            <w:pP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项号</w:t>
            </w:r>
          </w:p>
        </w:tc>
        <w:tc>
          <w:tcPr>
            <w:tcW w:w="3631" w:type="dxa"/>
            <w:tcBorders>
              <w:top w:val="single" w:color="auto" w:sz="4" w:space="0"/>
              <w:left w:val="single" w:color="auto" w:sz="4" w:space="0"/>
              <w:bottom w:val="single" w:color="auto" w:sz="4" w:space="0"/>
              <w:right w:val="single" w:color="auto" w:sz="4" w:space="0"/>
            </w:tcBorders>
            <w:noWrap w:val="0"/>
            <w:vAlign w:val="center"/>
          </w:tcPr>
          <w:p w14:paraId="1E950C93">
            <w:pP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竞争性磋商文件采购需求</w:t>
            </w:r>
          </w:p>
        </w:tc>
        <w:tc>
          <w:tcPr>
            <w:tcW w:w="3210" w:type="dxa"/>
            <w:tcBorders>
              <w:top w:val="single" w:color="auto" w:sz="4" w:space="0"/>
              <w:left w:val="single" w:color="auto" w:sz="4" w:space="0"/>
              <w:bottom w:val="single" w:color="auto" w:sz="4" w:space="0"/>
              <w:right w:val="single" w:color="auto" w:sz="4" w:space="0"/>
            </w:tcBorders>
            <w:noWrap w:val="0"/>
            <w:vAlign w:val="center"/>
          </w:tcPr>
          <w:p w14:paraId="2C986A9B">
            <w:pP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响应文件采购需求承诺</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D5386BB">
            <w:pP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4F24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0B4D010">
            <w:pP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一</w:t>
            </w:r>
          </w:p>
        </w:tc>
        <w:tc>
          <w:tcPr>
            <w:tcW w:w="3631" w:type="dxa"/>
            <w:tcBorders>
              <w:top w:val="single" w:color="auto" w:sz="4" w:space="0"/>
              <w:left w:val="single" w:color="auto" w:sz="4" w:space="0"/>
              <w:bottom w:val="single" w:color="auto" w:sz="4" w:space="0"/>
              <w:right w:val="single" w:color="auto" w:sz="4" w:space="0"/>
            </w:tcBorders>
            <w:noWrap w:val="0"/>
            <w:vAlign w:val="top"/>
          </w:tcPr>
          <w:p w14:paraId="6DB12F45">
            <w:pP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3045A682">
            <w:pP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18F745AC">
            <w:pP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3504A2DE">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210" w:type="dxa"/>
            <w:tcBorders>
              <w:top w:val="single" w:color="auto" w:sz="4" w:space="0"/>
              <w:left w:val="single" w:color="auto" w:sz="4" w:space="0"/>
              <w:bottom w:val="single" w:color="auto" w:sz="4" w:space="0"/>
              <w:right w:val="single" w:color="auto" w:sz="4" w:space="0"/>
            </w:tcBorders>
            <w:noWrap w:val="0"/>
            <w:vAlign w:val="top"/>
          </w:tcPr>
          <w:p w14:paraId="1D7224AE">
            <w:pP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5DC17392">
            <w:pP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3CF472D9">
            <w:pP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247250A0">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BD2806E">
            <w:pPr>
              <w:spacing w:line="300" w:lineRule="exact"/>
              <w:rPr>
                <w:rFonts w:hint="eastAsia" w:ascii="宋体" w:hAnsi="宋体" w:cs="宋体"/>
                <w:color w:val="auto"/>
                <w:sz w:val="24"/>
                <w:highlight w:val="none"/>
              </w:rPr>
            </w:pPr>
          </w:p>
        </w:tc>
      </w:tr>
      <w:tr w14:paraId="6FBB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6E3AA83">
            <w:pP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二</w:t>
            </w:r>
          </w:p>
        </w:tc>
        <w:tc>
          <w:tcPr>
            <w:tcW w:w="3631" w:type="dxa"/>
            <w:tcBorders>
              <w:top w:val="single" w:color="auto" w:sz="4" w:space="0"/>
              <w:left w:val="single" w:color="auto" w:sz="4" w:space="0"/>
              <w:bottom w:val="single" w:color="auto" w:sz="4" w:space="0"/>
              <w:right w:val="single" w:color="auto" w:sz="4" w:space="0"/>
            </w:tcBorders>
            <w:noWrap w:val="0"/>
            <w:vAlign w:val="top"/>
          </w:tcPr>
          <w:p w14:paraId="033AD585">
            <w:pP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5ECA8DDF">
            <w:pP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1F789683">
            <w:pP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2AFAD65E">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210" w:type="dxa"/>
            <w:tcBorders>
              <w:top w:val="single" w:color="auto" w:sz="4" w:space="0"/>
              <w:left w:val="single" w:color="auto" w:sz="4" w:space="0"/>
              <w:bottom w:val="single" w:color="auto" w:sz="4" w:space="0"/>
              <w:right w:val="single" w:color="auto" w:sz="4" w:space="0"/>
            </w:tcBorders>
            <w:noWrap w:val="0"/>
            <w:vAlign w:val="top"/>
          </w:tcPr>
          <w:p w14:paraId="2860AAE4">
            <w:pP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72F203C3">
            <w:pP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2D53914E">
            <w:pP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32BEF555">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AA88CDC">
            <w:pPr>
              <w:spacing w:line="300" w:lineRule="exact"/>
              <w:rPr>
                <w:rFonts w:hint="eastAsia" w:ascii="宋体" w:hAnsi="宋体" w:cs="宋体"/>
                <w:color w:val="auto"/>
                <w:sz w:val="24"/>
                <w:highlight w:val="none"/>
              </w:rPr>
            </w:pPr>
          </w:p>
        </w:tc>
      </w:tr>
      <w:tr w14:paraId="218E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7EB8A7D0">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631" w:type="dxa"/>
            <w:tcBorders>
              <w:top w:val="single" w:color="auto" w:sz="4" w:space="0"/>
              <w:left w:val="single" w:color="auto" w:sz="4" w:space="0"/>
              <w:bottom w:val="single" w:color="auto" w:sz="4" w:space="0"/>
              <w:right w:val="single" w:color="auto" w:sz="4" w:space="0"/>
            </w:tcBorders>
            <w:noWrap w:val="0"/>
            <w:vAlign w:val="top"/>
          </w:tcPr>
          <w:p w14:paraId="5F4C064F">
            <w:pP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4B14CF4F">
            <w:pP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1D2603EF">
            <w:pP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2E5BA68C">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210" w:type="dxa"/>
            <w:tcBorders>
              <w:top w:val="single" w:color="auto" w:sz="4" w:space="0"/>
              <w:left w:val="single" w:color="auto" w:sz="4" w:space="0"/>
              <w:bottom w:val="single" w:color="auto" w:sz="4" w:space="0"/>
              <w:right w:val="single" w:color="auto" w:sz="4" w:space="0"/>
            </w:tcBorders>
            <w:noWrap w:val="0"/>
            <w:vAlign w:val="top"/>
          </w:tcPr>
          <w:p w14:paraId="4327A1A0">
            <w:pP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68D84CBF">
            <w:pP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15778B07">
            <w:pP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2195257C">
            <w:pP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65DF9C5">
            <w:pPr>
              <w:spacing w:line="300" w:lineRule="exact"/>
              <w:rPr>
                <w:rFonts w:hint="eastAsia" w:ascii="宋体" w:hAnsi="宋体" w:cs="宋体"/>
                <w:color w:val="auto"/>
                <w:sz w:val="24"/>
                <w:highlight w:val="none"/>
              </w:rPr>
            </w:pPr>
          </w:p>
        </w:tc>
      </w:tr>
    </w:tbl>
    <w:p w14:paraId="6DCFBE3A">
      <w:pPr>
        <w:pStyle w:val="28"/>
        <w:spacing w:line="360" w:lineRule="auto"/>
        <w:contextualSpacing/>
        <w:rPr>
          <w:rFonts w:hint="eastAsia" w:ascii="宋体" w:hAnsi="宋体" w:cs="宋体"/>
          <w:color w:val="auto"/>
          <w:sz w:val="21"/>
          <w:szCs w:val="21"/>
          <w:highlight w:val="none"/>
        </w:rPr>
      </w:pPr>
    </w:p>
    <w:p w14:paraId="543BE528">
      <w:pPr>
        <w:pStyle w:val="13"/>
        <w:spacing w:after="0" w:line="360" w:lineRule="exact"/>
        <w:ind w:left="840" w:hanging="420"/>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546E16FA">
      <w:pPr>
        <w:pStyle w:val="15"/>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1.说明：应对照磋商文件“第二章”中“采购需求”的采购清单及技术参数条款逐条作出明确响应，并作出偏离说明。</w:t>
      </w:r>
    </w:p>
    <w:p w14:paraId="054DF53E">
      <w:pPr>
        <w:pStyle w:val="15"/>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当响应文件的商务内容低于竞争性磋商文件要求时，竞标人应当如实写明“负偏离”，否则视为虚假应标</w:t>
      </w:r>
    </w:p>
    <w:p w14:paraId="339060D2">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3.表格内容均需按要求填写并盖章，不得留空，否则按竞标无效处理。</w:t>
      </w:r>
    </w:p>
    <w:p w14:paraId="34550994">
      <w:pPr>
        <w:snapToGrid w:val="0"/>
        <w:spacing w:line="360" w:lineRule="auto"/>
        <w:ind w:firstLine="602" w:firstLineChars="200"/>
        <w:rPr>
          <w:rFonts w:hint="eastAsia" w:ascii="仿宋" w:hAnsi="仿宋" w:eastAsia="仿宋" w:cs="仿宋_GB2312"/>
          <w:b/>
          <w:color w:val="auto"/>
          <w:sz w:val="30"/>
          <w:szCs w:val="30"/>
          <w:highlight w:val="none"/>
        </w:rPr>
      </w:pPr>
    </w:p>
    <w:p w14:paraId="5939673C">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643CD180">
      <w:pPr>
        <w:autoSpaceDE w:val="0"/>
        <w:autoSpaceDN w:val="0"/>
        <w:spacing w:line="360" w:lineRule="auto"/>
        <w:ind w:firstLine="6480" w:firstLineChars="270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bidi="ar"/>
        </w:rPr>
        <w:t>日期：  年  月   日</w:t>
      </w:r>
    </w:p>
    <w:p w14:paraId="5530F212">
      <w:pPr>
        <w:adjustRightInd w:val="0"/>
        <w:snapToGrid w:val="0"/>
        <w:spacing w:line="520" w:lineRule="exact"/>
        <w:jc w:val="center"/>
        <w:rPr>
          <w:rFonts w:hint="eastAsia" w:ascii="方正小标宋简体" w:hAnsi="方正小标宋简体" w:eastAsia="方正小标宋简体" w:cs="方正小标宋简体"/>
          <w:bCs/>
          <w:color w:val="auto"/>
          <w:sz w:val="44"/>
          <w:szCs w:val="44"/>
          <w:highlight w:val="none"/>
        </w:rPr>
      </w:pPr>
    </w:p>
    <w:p w14:paraId="3EB6746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
        </w:rPr>
      </w:pPr>
    </w:p>
    <w:p w14:paraId="770A1466">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
        </w:rPr>
      </w:pPr>
    </w:p>
    <w:p w14:paraId="388FE9C9">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
        </w:rPr>
      </w:pPr>
    </w:p>
    <w:p w14:paraId="4CA3CB45">
      <w:pPr>
        <w:keepNext w:val="0"/>
        <w:keepLines w:val="0"/>
        <w:pageBreakBefore/>
        <w:widowControl w:val="0"/>
        <w:kinsoku/>
        <w:wordWrap/>
        <w:overflowPunct/>
        <w:topLinePunct w:val="0"/>
        <w:autoSpaceDE/>
        <w:autoSpaceDN/>
        <w:bidi w:val="0"/>
        <w:adjustRightInd/>
        <w:snapToGrid/>
        <w:jc w:val="left"/>
        <w:textAlignment w:val="auto"/>
        <w:rPr>
          <w:rFonts w:hint="default" w:ascii="宋体" w:hAnsi="宋体" w:eastAsia="宋体" w:cs="宋体"/>
          <w:b/>
          <w:color w:val="auto"/>
          <w:sz w:val="32"/>
          <w:szCs w:val="24"/>
          <w:highlight w:val="none"/>
        </w:rPr>
      </w:pPr>
      <w:r>
        <w:rPr>
          <w:rFonts w:hint="eastAsia" w:ascii="宋体" w:hAnsi="宋体" w:eastAsia="宋体" w:cs="宋体"/>
          <w:b/>
          <w:color w:val="auto"/>
          <w:sz w:val="32"/>
          <w:szCs w:val="24"/>
          <w:highlight w:val="none"/>
          <w:lang w:eastAsia="zh-CN"/>
        </w:rPr>
        <w:t>八、</w:t>
      </w:r>
      <w:r>
        <w:rPr>
          <w:rFonts w:hint="default" w:ascii="宋体" w:hAnsi="宋体" w:eastAsia="宋体" w:cs="宋体"/>
          <w:b/>
          <w:color w:val="auto"/>
          <w:sz w:val="32"/>
          <w:szCs w:val="24"/>
          <w:highlight w:val="none"/>
        </w:rPr>
        <w:t>项目经理简历表</w:t>
      </w:r>
    </w:p>
    <w:p w14:paraId="582D1392">
      <w:pPr>
        <w:jc w:val="center"/>
        <w:rPr>
          <w:rFonts w:hint="default" w:ascii="宋体" w:hAnsi="宋体" w:eastAsia="宋体" w:cs="宋体"/>
          <w:color w:val="auto"/>
          <w:sz w:val="21"/>
          <w:szCs w:val="24"/>
          <w:highlight w:val="none"/>
        </w:rPr>
      </w:pPr>
    </w:p>
    <w:tbl>
      <w:tblPr>
        <w:tblStyle w:val="3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5"/>
        <w:gridCol w:w="1878"/>
        <w:gridCol w:w="1317"/>
        <w:gridCol w:w="1403"/>
        <w:gridCol w:w="1060"/>
        <w:gridCol w:w="1670"/>
      </w:tblGrid>
      <w:tr w14:paraId="2A42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D02006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A82CEC4">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D3F0A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性别</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C0BEA9B">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99124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年龄</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666BB2A">
            <w:pPr>
              <w:jc w:val="center"/>
              <w:rPr>
                <w:rFonts w:hint="default" w:ascii="宋体" w:hAnsi="宋体" w:eastAsia="宋体" w:cs="宋体"/>
                <w:color w:val="auto"/>
                <w:sz w:val="24"/>
                <w:szCs w:val="24"/>
                <w:highlight w:val="none"/>
              </w:rPr>
            </w:pPr>
          </w:p>
        </w:tc>
      </w:tr>
      <w:tr w14:paraId="3C222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E893AF8">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693F2B">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EA9E1A">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47BC3E7">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1F8875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学历</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1DD4F5E">
            <w:pPr>
              <w:jc w:val="center"/>
              <w:rPr>
                <w:rFonts w:hint="default" w:ascii="宋体" w:hAnsi="宋体" w:eastAsia="宋体" w:cs="宋体"/>
                <w:color w:val="auto"/>
                <w:sz w:val="24"/>
                <w:szCs w:val="24"/>
                <w:highlight w:val="none"/>
              </w:rPr>
            </w:pPr>
          </w:p>
        </w:tc>
      </w:tr>
      <w:tr w14:paraId="730BE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BA316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参加工作时间</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025D555">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8809B6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从事项目经理（或建造师）年限</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56B87B8">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F2C20D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资质等级</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9B1500">
            <w:pPr>
              <w:jc w:val="center"/>
              <w:rPr>
                <w:rFonts w:hint="default" w:ascii="宋体" w:hAnsi="宋体" w:eastAsia="宋体" w:cs="宋体"/>
                <w:color w:val="auto"/>
                <w:sz w:val="24"/>
                <w:szCs w:val="24"/>
                <w:highlight w:val="none"/>
              </w:rPr>
            </w:pPr>
          </w:p>
        </w:tc>
      </w:tr>
      <w:tr w14:paraId="579F5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269C2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747F0A">
            <w:pPr>
              <w:jc w:val="center"/>
              <w:rPr>
                <w:rFonts w:hint="default" w:ascii="宋体" w:hAnsi="宋体" w:eastAsia="宋体" w:cs="宋体"/>
                <w:color w:val="auto"/>
                <w:sz w:val="24"/>
                <w:szCs w:val="24"/>
                <w:highlight w:val="none"/>
              </w:rPr>
            </w:pPr>
          </w:p>
        </w:tc>
      </w:tr>
      <w:tr w14:paraId="1966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2C2374A">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已 完 工 程 项 目 情 况</w:t>
            </w:r>
          </w:p>
        </w:tc>
      </w:tr>
      <w:tr w14:paraId="7DBE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E7B711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建设单位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755FE2E">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项目名称</w:t>
            </w: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588AAB8">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建筑规模</w:t>
            </w: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FC63E1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开竣工日期</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D36D1B8">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质量等级</w:t>
            </w:r>
          </w:p>
        </w:tc>
      </w:tr>
      <w:tr w14:paraId="26CFA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945F93D">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EF9106">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9E24801">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E7A7F33">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42DE08E">
            <w:pPr>
              <w:jc w:val="center"/>
              <w:rPr>
                <w:rFonts w:hint="default" w:ascii="宋体" w:hAnsi="宋体" w:eastAsia="宋体" w:cs="宋体"/>
                <w:color w:val="auto"/>
                <w:sz w:val="24"/>
                <w:szCs w:val="24"/>
                <w:highlight w:val="none"/>
              </w:rPr>
            </w:pPr>
          </w:p>
        </w:tc>
      </w:tr>
      <w:tr w14:paraId="3FAFE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2AA6930">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E2A8098">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B8C390E">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2BF872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6140E11">
            <w:pPr>
              <w:jc w:val="center"/>
              <w:rPr>
                <w:rFonts w:hint="default" w:ascii="宋体" w:hAnsi="宋体" w:eastAsia="宋体" w:cs="宋体"/>
                <w:color w:val="auto"/>
                <w:sz w:val="24"/>
                <w:szCs w:val="24"/>
                <w:highlight w:val="none"/>
              </w:rPr>
            </w:pPr>
          </w:p>
        </w:tc>
      </w:tr>
      <w:tr w14:paraId="62B6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D050D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40C8EA4">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A3DCB5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FE8CB3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3BC0CEE">
            <w:pPr>
              <w:jc w:val="center"/>
              <w:rPr>
                <w:rFonts w:hint="default" w:ascii="宋体" w:hAnsi="宋体" w:eastAsia="宋体" w:cs="宋体"/>
                <w:color w:val="auto"/>
                <w:sz w:val="24"/>
                <w:szCs w:val="24"/>
                <w:highlight w:val="none"/>
              </w:rPr>
            </w:pPr>
          </w:p>
        </w:tc>
      </w:tr>
      <w:tr w14:paraId="5565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52C7200">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09C9F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60417B8">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D2EA545">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521572">
            <w:pPr>
              <w:jc w:val="center"/>
              <w:rPr>
                <w:rFonts w:hint="default" w:ascii="宋体" w:hAnsi="宋体" w:eastAsia="宋体" w:cs="宋体"/>
                <w:color w:val="auto"/>
                <w:sz w:val="24"/>
                <w:szCs w:val="24"/>
                <w:highlight w:val="none"/>
              </w:rPr>
            </w:pPr>
          </w:p>
        </w:tc>
      </w:tr>
      <w:tr w14:paraId="6AB46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3EA1603">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DC217">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B02135A">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E216FB3">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95247C">
            <w:pPr>
              <w:jc w:val="center"/>
              <w:rPr>
                <w:rFonts w:hint="default" w:ascii="宋体" w:hAnsi="宋体" w:eastAsia="宋体" w:cs="宋体"/>
                <w:color w:val="auto"/>
                <w:sz w:val="24"/>
                <w:szCs w:val="24"/>
                <w:highlight w:val="none"/>
              </w:rPr>
            </w:pPr>
          </w:p>
        </w:tc>
      </w:tr>
      <w:tr w14:paraId="4F0D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F5DA687">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CE5E58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B3572FC">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E0CDABC">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1E66B20">
            <w:pPr>
              <w:jc w:val="center"/>
              <w:rPr>
                <w:rFonts w:hint="default" w:ascii="宋体" w:hAnsi="宋体" w:eastAsia="宋体" w:cs="宋体"/>
                <w:color w:val="auto"/>
                <w:sz w:val="24"/>
                <w:szCs w:val="24"/>
                <w:highlight w:val="none"/>
              </w:rPr>
            </w:pPr>
          </w:p>
        </w:tc>
      </w:tr>
      <w:tr w14:paraId="6E097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7A5938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F781D">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636DF1">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6CE96B2">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ED0F92">
            <w:pPr>
              <w:jc w:val="center"/>
              <w:rPr>
                <w:rFonts w:hint="default" w:ascii="宋体" w:hAnsi="宋体" w:eastAsia="宋体" w:cs="宋体"/>
                <w:color w:val="auto"/>
                <w:sz w:val="24"/>
                <w:szCs w:val="24"/>
                <w:highlight w:val="none"/>
              </w:rPr>
            </w:pPr>
          </w:p>
        </w:tc>
      </w:tr>
      <w:tr w14:paraId="5B5F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46CFB0C">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2EEE78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994845">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1041759">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CAD75B">
            <w:pPr>
              <w:jc w:val="center"/>
              <w:rPr>
                <w:rFonts w:hint="default" w:ascii="宋体" w:hAnsi="宋体" w:eastAsia="宋体" w:cs="宋体"/>
                <w:color w:val="auto"/>
                <w:sz w:val="24"/>
                <w:szCs w:val="24"/>
                <w:highlight w:val="none"/>
              </w:rPr>
            </w:pPr>
          </w:p>
        </w:tc>
      </w:tr>
      <w:tr w14:paraId="0ED9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80CA0FA">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1BAEEF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D125C96">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46D7BE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48F754">
            <w:pPr>
              <w:jc w:val="center"/>
              <w:rPr>
                <w:rFonts w:hint="default" w:ascii="宋体" w:hAnsi="宋体" w:eastAsia="宋体" w:cs="宋体"/>
                <w:color w:val="auto"/>
                <w:sz w:val="24"/>
                <w:szCs w:val="24"/>
                <w:highlight w:val="none"/>
              </w:rPr>
            </w:pPr>
          </w:p>
        </w:tc>
      </w:tr>
      <w:tr w14:paraId="15F48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D9E0EAF">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CEFB564">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2EC7DDF">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3024D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1C76711">
            <w:pPr>
              <w:jc w:val="center"/>
              <w:rPr>
                <w:rFonts w:hint="default" w:ascii="宋体" w:hAnsi="宋体" w:eastAsia="宋体" w:cs="宋体"/>
                <w:color w:val="auto"/>
                <w:sz w:val="24"/>
                <w:szCs w:val="24"/>
                <w:highlight w:val="none"/>
              </w:rPr>
            </w:pPr>
          </w:p>
        </w:tc>
      </w:tr>
      <w:tr w14:paraId="10F7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98E5901">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23FDCB2">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7B2C9AF">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392B97">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2BAC26">
            <w:pPr>
              <w:jc w:val="center"/>
              <w:rPr>
                <w:rFonts w:hint="default" w:ascii="宋体" w:hAnsi="宋体" w:eastAsia="宋体" w:cs="宋体"/>
                <w:color w:val="auto"/>
                <w:sz w:val="24"/>
                <w:szCs w:val="24"/>
                <w:highlight w:val="none"/>
              </w:rPr>
            </w:pPr>
          </w:p>
        </w:tc>
      </w:tr>
      <w:tr w14:paraId="721E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F7DFAC4">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04667E5">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F7C55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CD78EA">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5D7FE99">
            <w:pPr>
              <w:jc w:val="center"/>
              <w:rPr>
                <w:rFonts w:hint="default" w:ascii="宋体" w:hAnsi="宋体" w:eastAsia="宋体" w:cs="宋体"/>
                <w:color w:val="auto"/>
                <w:sz w:val="24"/>
                <w:szCs w:val="24"/>
                <w:highlight w:val="none"/>
              </w:rPr>
            </w:pPr>
          </w:p>
        </w:tc>
      </w:tr>
    </w:tbl>
    <w:p w14:paraId="540303A3">
      <w:pPr>
        <w:rPr>
          <w:rFonts w:hint="default" w:ascii="宋体" w:hAnsi="宋体" w:eastAsia="宋体" w:cs="宋体"/>
          <w:color w:val="auto"/>
          <w:sz w:val="21"/>
          <w:szCs w:val="20"/>
          <w:highlight w:val="none"/>
        </w:rPr>
      </w:pPr>
    </w:p>
    <w:p w14:paraId="43FA14BE">
      <w:pPr>
        <w:rPr>
          <w:rFonts w:hint="default" w:ascii="宋体" w:hAnsi="宋体" w:eastAsia="宋体" w:cs="宋体"/>
          <w:b/>
          <w:color w:val="auto"/>
          <w:sz w:val="21"/>
          <w:szCs w:val="24"/>
          <w:highlight w:val="none"/>
        </w:rPr>
      </w:pPr>
      <w:r>
        <w:rPr>
          <w:rFonts w:hint="default" w:ascii="宋体" w:hAnsi="宋体" w:eastAsia="宋体" w:cs="宋体"/>
          <w:color w:val="auto"/>
          <w:sz w:val="21"/>
          <w:szCs w:val="24"/>
          <w:highlight w:val="none"/>
        </w:rPr>
        <w:t xml:space="preserve"> </w:t>
      </w:r>
      <w:r>
        <w:rPr>
          <w:rFonts w:hint="default" w:ascii="宋体" w:hAnsi="宋体" w:eastAsia="宋体" w:cs="宋体"/>
          <w:b/>
          <w:color w:val="auto"/>
          <w:sz w:val="21"/>
          <w:szCs w:val="24"/>
          <w:highlight w:val="none"/>
        </w:rPr>
        <w:t>备注：1. 附以上人员的资格证件等相关证明材料扫描件，以及供应商认为需要增加的其他证明材料扫描件，以上扫描件均须加盖供应商电子签章。</w:t>
      </w:r>
    </w:p>
    <w:p w14:paraId="5C89A5A1">
      <w:pPr>
        <w:rPr>
          <w:rFonts w:hint="default" w:ascii="宋体" w:hAnsi="宋体" w:eastAsia="宋体" w:cs="宋体"/>
          <w:b/>
          <w:color w:val="auto"/>
          <w:sz w:val="21"/>
          <w:szCs w:val="24"/>
          <w:highlight w:val="none"/>
        </w:rPr>
      </w:pPr>
    </w:p>
    <w:p w14:paraId="53674656">
      <w:pPr>
        <w:rPr>
          <w:rFonts w:hint="default" w:ascii="宋体" w:hAnsi="宋体" w:eastAsia="宋体" w:cs="宋体"/>
          <w:b/>
          <w:color w:val="auto"/>
          <w:sz w:val="21"/>
          <w:szCs w:val="24"/>
          <w:highlight w:val="none"/>
        </w:rPr>
      </w:pPr>
    </w:p>
    <w:p w14:paraId="18ADB182">
      <w:pPr>
        <w:rPr>
          <w:rFonts w:hint="default" w:ascii="宋体" w:hAnsi="宋体" w:eastAsia="宋体" w:cs="宋体"/>
          <w:b/>
          <w:color w:val="auto"/>
          <w:sz w:val="21"/>
          <w:szCs w:val="24"/>
          <w:highlight w:val="none"/>
        </w:rPr>
      </w:pPr>
    </w:p>
    <w:p w14:paraId="57F4FBED">
      <w:pPr>
        <w:rPr>
          <w:rFonts w:hint="default" w:ascii="宋体" w:hAnsi="宋体" w:eastAsia="宋体" w:cs="宋体"/>
          <w:b/>
          <w:color w:val="auto"/>
          <w:sz w:val="21"/>
          <w:szCs w:val="24"/>
          <w:highlight w:val="none"/>
        </w:rPr>
      </w:pPr>
    </w:p>
    <w:p w14:paraId="7B319F3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5C8D728B">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221514D5">
      <w:pPr>
        <w:autoSpaceDE w:val="0"/>
        <w:autoSpaceDN w:val="0"/>
        <w:spacing w:line="360" w:lineRule="auto"/>
        <w:ind w:left="4335" w:leftChars="1950" w:hanging="240" w:hangingChars="100"/>
        <w:rPr>
          <w:rFonts w:hint="default" w:ascii="仿宋_GB2312" w:hAnsi="仿宋" w:eastAsia="仿宋_GB2312" w:cs="仿宋_GB2312"/>
          <w:color w:val="auto"/>
          <w:kern w:val="0"/>
          <w:sz w:val="24"/>
          <w:highlight w:val="none"/>
          <w:lang w:val="en-US" w:eastAsia="zh-CN" w:bidi="ar"/>
        </w:rPr>
      </w:pPr>
    </w:p>
    <w:p w14:paraId="2448C0F8">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
        </w:rPr>
      </w:pPr>
    </w:p>
    <w:p w14:paraId="224C9CC9">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
        </w:rPr>
      </w:pPr>
    </w:p>
    <w:p w14:paraId="23F28498">
      <w:pPr>
        <w:spacing w:line="500" w:lineRule="exact"/>
        <w:rPr>
          <w:rFonts w:hint="eastAsia" w:ascii="仿宋_GB2312" w:hAnsi="仿宋_GB2312" w:eastAsia="仿宋_GB2312" w:cs="仿宋_GB2312"/>
          <w:color w:val="auto"/>
          <w:sz w:val="32"/>
          <w:szCs w:val="32"/>
          <w:highlight w:val="none"/>
        </w:rPr>
      </w:pPr>
    </w:p>
    <w:p w14:paraId="38B041ED">
      <w:pPr>
        <w:rPr>
          <w:rFonts w:hint="default" w:ascii="宋体" w:hAnsi="宋体" w:eastAsia="宋体" w:cs="宋体"/>
          <w:b/>
          <w:color w:val="auto"/>
          <w:sz w:val="32"/>
          <w:szCs w:val="24"/>
          <w:highlight w:val="none"/>
        </w:rPr>
      </w:pPr>
      <w:r>
        <w:rPr>
          <w:rFonts w:hint="eastAsia" w:ascii="仿宋" w:hAnsi="仿宋" w:eastAsia="仿宋" w:cs="仿宋_GB2312"/>
          <w:b/>
          <w:color w:val="auto"/>
          <w:sz w:val="30"/>
          <w:szCs w:val="30"/>
          <w:highlight w:val="none"/>
          <w:lang w:bidi="ar"/>
        </w:rPr>
        <w:t>九、</w:t>
      </w:r>
      <w:bookmarkStart w:id="74" w:name="_Toc173579006"/>
      <w:bookmarkStart w:id="75" w:name="_Toc153274948"/>
      <w:bookmarkStart w:id="76" w:name="_Toc172364026"/>
      <w:bookmarkStart w:id="77" w:name="_Toc251052200"/>
      <w:bookmarkStart w:id="78" w:name="_Toc389065364"/>
      <w:r>
        <w:rPr>
          <w:rFonts w:hint="default" w:ascii="宋体" w:hAnsi="宋体" w:eastAsia="宋体" w:cs="宋体"/>
          <w:b/>
          <w:color w:val="auto"/>
          <w:sz w:val="32"/>
          <w:szCs w:val="24"/>
          <w:highlight w:val="none"/>
        </w:rPr>
        <w:t>主要施工管理人员表</w:t>
      </w:r>
    </w:p>
    <w:p w14:paraId="0C7E8434">
      <w:pPr>
        <w:jc w:val="center"/>
        <w:rPr>
          <w:rFonts w:hint="default" w:ascii="宋体" w:hAnsi="宋体" w:eastAsia="宋体" w:cs="宋体"/>
          <w:color w:val="auto"/>
          <w:sz w:val="21"/>
          <w:szCs w:val="24"/>
          <w:highlight w:val="none"/>
        </w:rPr>
      </w:pPr>
    </w:p>
    <w:tbl>
      <w:tblPr>
        <w:tblStyle w:val="30"/>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5"/>
        <w:gridCol w:w="1155"/>
        <w:gridCol w:w="1155"/>
        <w:gridCol w:w="1155"/>
        <w:gridCol w:w="4010"/>
      </w:tblGrid>
      <w:tr w14:paraId="180D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D2EBC7E">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B2216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A61C09">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19F8F1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2674B3E">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现任职务及资格经历</w:t>
            </w:r>
          </w:p>
        </w:tc>
      </w:tr>
      <w:tr w14:paraId="688F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87F997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50749F">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2AB08F">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EFBD80">
            <w:pPr>
              <w:jc w:val="cente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075BA3D">
            <w:pPr>
              <w:jc w:val="center"/>
              <w:rPr>
                <w:rFonts w:hint="default" w:ascii="宋体" w:hAnsi="宋体" w:eastAsia="宋体" w:cs="宋体"/>
                <w:color w:val="auto"/>
                <w:sz w:val="24"/>
                <w:szCs w:val="24"/>
                <w:highlight w:val="none"/>
              </w:rPr>
            </w:pPr>
          </w:p>
        </w:tc>
      </w:tr>
      <w:tr w14:paraId="39465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BEC18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507DF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A80FFC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DDA4B3">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E4867A7">
            <w:pPr>
              <w:rPr>
                <w:rFonts w:hint="default" w:ascii="宋体" w:hAnsi="宋体" w:eastAsia="宋体" w:cs="宋体"/>
                <w:color w:val="auto"/>
                <w:sz w:val="24"/>
                <w:szCs w:val="24"/>
                <w:highlight w:val="none"/>
              </w:rPr>
            </w:pPr>
          </w:p>
        </w:tc>
      </w:tr>
      <w:tr w14:paraId="43DA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197A51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080E5B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468497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D1C0EC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83E6DAC">
            <w:pPr>
              <w:rPr>
                <w:rFonts w:hint="default" w:ascii="宋体" w:hAnsi="宋体" w:eastAsia="宋体" w:cs="宋体"/>
                <w:color w:val="auto"/>
                <w:sz w:val="24"/>
                <w:szCs w:val="24"/>
                <w:highlight w:val="none"/>
              </w:rPr>
            </w:pPr>
          </w:p>
        </w:tc>
      </w:tr>
      <w:tr w14:paraId="7C85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66C18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36ADC0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EF79E8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9CF7054">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40AE135">
            <w:pPr>
              <w:rPr>
                <w:rFonts w:hint="default" w:ascii="宋体" w:hAnsi="宋体" w:eastAsia="宋体" w:cs="宋体"/>
                <w:color w:val="auto"/>
                <w:sz w:val="24"/>
                <w:szCs w:val="24"/>
                <w:highlight w:val="none"/>
              </w:rPr>
            </w:pPr>
          </w:p>
        </w:tc>
      </w:tr>
      <w:tr w14:paraId="11DF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0BCED39">
            <w:pPr>
              <w:ind w:firstLine="377"/>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FAA9D3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25B7C69">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673517">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92F2A4">
            <w:pPr>
              <w:rPr>
                <w:rFonts w:hint="default" w:ascii="宋体" w:hAnsi="宋体" w:eastAsia="宋体" w:cs="宋体"/>
                <w:color w:val="auto"/>
                <w:sz w:val="24"/>
                <w:szCs w:val="24"/>
                <w:highlight w:val="none"/>
              </w:rPr>
            </w:pPr>
          </w:p>
        </w:tc>
      </w:tr>
      <w:tr w14:paraId="48173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7F4E3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9FE469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FE0C98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ADED7F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54071E4">
            <w:pPr>
              <w:rPr>
                <w:rFonts w:hint="default" w:ascii="宋体" w:hAnsi="宋体" w:eastAsia="宋体" w:cs="宋体"/>
                <w:color w:val="auto"/>
                <w:sz w:val="24"/>
                <w:szCs w:val="24"/>
                <w:highlight w:val="none"/>
              </w:rPr>
            </w:pPr>
          </w:p>
        </w:tc>
      </w:tr>
      <w:tr w14:paraId="517DF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08D0A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95D93E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3F752A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33F2BC4">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389435C">
            <w:pPr>
              <w:rPr>
                <w:rFonts w:hint="default" w:ascii="宋体" w:hAnsi="宋体" w:eastAsia="宋体" w:cs="宋体"/>
                <w:color w:val="auto"/>
                <w:sz w:val="24"/>
                <w:szCs w:val="24"/>
                <w:highlight w:val="none"/>
              </w:rPr>
            </w:pPr>
          </w:p>
        </w:tc>
      </w:tr>
      <w:tr w14:paraId="1B9C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38D6F0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B39CF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6DDF5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FF71E8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C2A20D">
            <w:pPr>
              <w:rPr>
                <w:rFonts w:hint="default" w:ascii="宋体" w:hAnsi="宋体" w:eastAsia="宋体" w:cs="宋体"/>
                <w:color w:val="auto"/>
                <w:sz w:val="24"/>
                <w:szCs w:val="24"/>
                <w:highlight w:val="none"/>
              </w:rPr>
            </w:pPr>
          </w:p>
        </w:tc>
      </w:tr>
      <w:tr w14:paraId="396F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0FBA15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6D6AED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D3E83A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9073E1D">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523E95D">
            <w:pPr>
              <w:rPr>
                <w:rFonts w:hint="default" w:ascii="宋体" w:hAnsi="宋体" w:eastAsia="宋体" w:cs="宋体"/>
                <w:color w:val="auto"/>
                <w:sz w:val="24"/>
                <w:szCs w:val="24"/>
                <w:highlight w:val="none"/>
              </w:rPr>
            </w:pPr>
          </w:p>
        </w:tc>
      </w:tr>
      <w:tr w14:paraId="30548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B10529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CD73A8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B73E63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EC35C8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C3E8513">
            <w:pPr>
              <w:rPr>
                <w:rFonts w:hint="default" w:ascii="宋体" w:hAnsi="宋体" w:eastAsia="宋体" w:cs="宋体"/>
                <w:color w:val="auto"/>
                <w:sz w:val="24"/>
                <w:szCs w:val="24"/>
                <w:highlight w:val="none"/>
              </w:rPr>
            </w:pPr>
          </w:p>
        </w:tc>
      </w:tr>
      <w:tr w14:paraId="230E5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57D35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93AAA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5CFF1C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88BB8AA">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2304B81">
            <w:pPr>
              <w:rPr>
                <w:rFonts w:hint="default" w:ascii="宋体" w:hAnsi="宋体" w:eastAsia="宋体" w:cs="宋体"/>
                <w:color w:val="auto"/>
                <w:sz w:val="24"/>
                <w:szCs w:val="24"/>
                <w:highlight w:val="none"/>
              </w:rPr>
            </w:pPr>
          </w:p>
        </w:tc>
      </w:tr>
      <w:tr w14:paraId="1C90B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18C72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2BAB6E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5673C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64C40F7">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E3F1FBA">
            <w:pPr>
              <w:rPr>
                <w:rFonts w:hint="default" w:ascii="宋体" w:hAnsi="宋体" w:eastAsia="宋体" w:cs="宋体"/>
                <w:color w:val="auto"/>
                <w:sz w:val="24"/>
                <w:szCs w:val="24"/>
                <w:highlight w:val="none"/>
              </w:rPr>
            </w:pPr>
          </w:p>
        </w:tc>
      </w:tr>
      <w:tr w14:paraId="62D39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7A1183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20FEA0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C1CE6E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54D169C">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E04E675">
            <w:pPr>
              <w:rPr>
                <w:rFonts w:hint="default" w:ascii="宋体" w:hAnsi="宋体" w:eastAsia="宋体" w:cs="宋体"/>
                <w:color w:val="auto"/>
                <w:sz w:val="24"/>
                <w:szCs w:val="24"/>
                <w:highlight w:val="none"/>
              </w:rPr>
            </w:pPr>
          </w:p>
        </w:tc>
      </w:tr>
      <w:tr w14:paraId="1FCEB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1C80F7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F1B8DD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67BAC1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477C8F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8CF91B4">
            <w:pPr>
              <w:rPr>
                <w:rFonts w:hint="default" w:ascii="宋体" w:hAnsi="宋体" w:eastAsia="宋体" w:cs="宋体"/>
                <w:color w:val="auto"/>
                <w:sz w:val="24"/>
                <w:szCs w:val="24"/>
                <w:highlight w:val="none"/>
              </w:rPr>
            </w:pPr>
          </w:p>
        </w:tc>
      </w:tr>
      <w:tr w14:paraId="6E8C7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CC05E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69FE1E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38BE9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6934923">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8991AA0">
            <w:pPr>
              <w:rPr>
                <w:rFonts w:hint="default" w:ascii="宋体" w:hAnsi="宋体" w:eastAsia="宋体" w:cs="宋体"/>
                <w:color w:val="auto"/>
                <w:sz w:val="24"/>
                <w:szCs w:val="24"/>
                <w:highlight w:val="none"/>
              </w:rPr>
            </w:pPr>
          </w:p>
        </w:tc>
      </w:tr>
      <w:tr w14:paraId="75B6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98009ED">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35389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F75A77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3386E0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92320AF">
            <w:pPr>
              <w:rPr>
                <w:rFonts w:hint="default" w:ascii="宋体" w:hAnsi="宋体" w:eastAsia="宋体" w:cs="宋体"/>
                <w:color w:val="auto"/>
                <w:sz w:val="24"/>
                <w:szCs w:val="24"/>
                <w:highlight w:val="none"/>
              </w:rPr>
            </w:pPr>
          </w:p>
        </w:tc>
      </w:tr>
      <w:tr w14:paraId="21086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925D87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4D3380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48C09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EC42CF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BBCE71A">
            <w:pPr>
              <w:rPr>
                <w:rFonts w:hint="default" w:ascii="宋体" w:hAnsi="宋体" w:eastAsia="宋体" w:cs="宋体"/>
                <w:color w:val="auto"/>
                <w:sz w:val="24"/>
                <w:szCs w:val="24"/>
                <w:highlight w:val="none"/>
              </w:rPr>
            </w:pPr>
          </w:p>
        </w:tc>
      </w:tr>
      <w:tr w14:paraId="1AD2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723E4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50DE98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0F52D2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346A84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3C93FC3">
            <w:pPr>
              <w:rPr>
                <w:rFonts w:hint="default" w:ascii="宋体" w:hAnsi="宋体" w:eastAsia="宋体" w:cs="宋体"/>
                <w:color w:val="auto"/>
                <w:sz w:val="24"/>
                <w:szCs w:val="24"/>
                <w:highlight w:val="none"/>
              </w:rPr>
            </w:pPr>
          </w:p>
        </w:tc>
      </w:tr>
    </w:tbl>
    <w:p w14:paraId="5E4B0171">
      <w:pPr>
        <w:spacing w:line="440" w:lineRule="exact"/>
        <w:jc w:val="left"/>
        <w:rPr>
          <w:rFonts w:hint="default" w:ascii="宋体" w:hAnsi="宋体" w:eastAsia="宋体" w:cs="宋体"/>
          <w:color w:val="auto"/>
          <w:sz w:val="24"/>
          <w:szCs w:val="24"/>
          <w:highlight w:val="none"/>
        </w:rPr>
      </w:pPr>
    </w:p>
    <w:p w14:paraId="1C25ADE5">
      <w:pPr>
        <w:spacing w:line="440" w:lineRule="exact"/>
        <w:jc w:val="left"/>
        <w:rPr>
          <w:rFonts w:hint="default" w:ascii="宋体" w:hAnsi="宋体" w:eastAsia="宋体" w:cs="宋体"/>
          <w:b/>
          <w:color w:val="auto"/>
          <w:sz w:val="48"/>
          <w:szCs w:val="24"/>
          <w:highlight w:val="none"/>
        </w:rPr>
      </w:pPr>
      <w:r>
        <w:rPr>
          <w:rFonts w:hint="default" w:ascii="宋体" w:hAnsi="宋体" w:eastAsia="宋体" w:cs="宋体"/>
          <w:color w:val="auto"/>
          <w:sz w:val="24"/>
          <w:szCs w:val="24"/>
          <w:highlight w:val="none"/>
        </w:rPr>
        <w:t>备注：按采购文件要求附以上各岗位人员资格证件等证明材料扫描件，以及供应商认为需要增加的其他证明材料扫描件，以上扫描件须加盖供应商电子签章。</w:t>
      </w:r>
    </w:p>
    <w:p w14:paraId="6F87E7F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280BBF22">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2379ACB">
      <w:pPr>
        <w:keepNext w:val="0"/>
        <w:keepLines w:val="0"/>
        <w:pageBreakBefore w:val="0"/>
        <w:widowControl w:val="0"/>
        <w:kinsoku/>
        <w:wordWrap/>
        <w:overflowPunct/>
        <w:topLinePunct w:val="0"/>
        <w:autoSpaceDE/>
        <w:autoSpaceDN/>
        <w:bidi w:val="0"/>
        <w:adjustRightInd/>
        <w:snapToGrid/>
        <w:spacing w:before="101" w:line="480" w:lineRule="auto"/>
        <w:ind w:firstLine="480" w:firstLineChars="200"/>
        <w:jc w:val="right"/>
        <w:textAlignment w:val="auto"/>
        <w:outlineLvl w:val="9"/>
        <w:rPr>
          <w:rFonts w:hint="eastAsia" w:ascii="宋体" w:hAnsi="宋体" w:cs="宋体"/>
          <w:b/>
          <w:bCs/>
          <w:color w:val="auto"/>
          <w:szCs w:val="21"/>
          <w:highlight w:val="none"/>
          <w:lang w:val="zh-CN" w:bidi="zh-CN"/>
        </w:rPr>
      </w:pPr>
      <w:bookmarkStart w:id="79" w:name="_Toc11572"/>
      <w:bookmarkStart w:id="80" w:name="_Toc28202"/>
      <w:r>
        <w:rPr>
          <w:rFonts w:hint="eastAsia" w:ascii="宋体" w:hAnsi="宋体" w:cs="宋体"/>
          <w:color w:val="auto"/>
          <w:kern w:val="0"/>
          <w:sz w:val="24"/>
          <w:highlight w:val="none"/>
          <w:lang w:val="zh-CN"/>
        </w:rPr>
        <w:t>日期：  年  月   日</w:t>
      </w:r>
      <w:bookmarkEnd w:id="79"/>
      <w:bookmarkEnd w:id="80"/>
    </w:p>
    <w:p w14:paraId="16868AC3">
      <w:pPr>
        <w:spacing w:line="480" w:lineRule="auto"/>
        <w:rPr>
          <w:rFonts w:hint="eastAsia" w:ascii="宋体" w:hAnsi="宋体" w:cs="宋体"/>
          <w:b/>
          <w:bCs/>
          <w:color w:val="auto"/>
          <w:szCs w:val="21"/>
          <w:highlight w:val="none"/>
          <w:lang w:val="zh-CN" w:bidi="zh-CN"/>
        </w:rPr>
        <w:sectPr>
          <w:pgSz w:w="11900" w:h="16839"/>
          <w:pgMar w:top="983" w:right="1620" w:bottom="679" w:left="1621" w:header="969" w:footer="502" w:gutter="0"/>
          <w:cols w:space="720" w:num="1"/>
        </w:sectPr>
      </w:pPr>
    </w:p>
    <w:bookmarkEnd w:id="74"/>
    <w:bookmarkEnd w:id="75"/>
    <w:bookmarkEnd w:id="76"/>
    <w:bookmarkEnd w:id="77"/>
    <w:bookmarkEnd w:id="78"/>
    <w:p w14:paraId="52CC9B80">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2BEF8D80">
      <w:pPr>
        <w:numPr>
          <w:ilvl w:val="0"/>
          <w:numId w:val="0"/>
        </w:numPr>
        <w:spacing w:line="600" w:lineRule="exact"/>
        <w:ind w:left="210"/>
        <w:jc w:val="left"/>
        <w:rPr>
          <w:rFonts w:hint="default" w:ascii="宋体" w:hAnsi="宋体" w:eastAsia="宋体" w:cs="宋体"/>
          <w:b/>
          <w:color w:val="auto"/>
          <w:sz w:val="32"/>
          <w:szCs w:val="24"/>
          <w:highlight w:val="none"/>
        </w:rPr>
      </w:pPr>
      <w:r>
        <w:rPr>
          <w:rFonts w:hint="eastAsia" w:ascii="宋体" w:hAnsi="宋体" w:cs="宋体"/>
          <w:b/>
          <w:color w:val="auto"/>
          <w:sz w:val="30"/>
          <w:szCs w:val="30"/>
          <w:highlight w:val="none"/>
        </w:rPr>
        <w:t>十、</w:t>
      </w:r>
      <w:r>
        <w:rPr>
          <w:rFonts w:hint="default" w:ascii="宋体" w:hAnsi="宋体" w:eastAsia="宋体" w:cs="宋体"/>
          <w:b/>
          <w:color w:val="auto"/>
          <w:sz w:val="32"/>
          <w:szCs w:val="24"/>
          <w:highlight w:val="none"/>
        </w:rPr>
        <w:t>项目经理未在其他在施建设工程项目中任职的承诺函</w:t>
      </w:r>
    </w:p>
    <w:p w14:paraId="21ECD04F">
      <w:pPr>
        <w:numPr>
          <w:ilvl w:val="0"/>
          <w:numId w:val="0"/>
        </w:numPr>
        <w:spacing w:line="600" w:lineRule="exact"/>
        <w:jc w:val="cente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（格式自拟）</w:t>
      </w:r>
    </w:p>
    <w:p w14:paraId="3F05A552">
      <w:pPr>
        <w:pStyle w:val="14"/>
        <w:rPr>
          <w:rFonts w:hint="default" w:ascii="宋体" w:hAnsi="宋体" w:eastAsia="宋体" w:cs="宋体"/>
          <w:b/>
          <w:color w:val="auto"/>
          <w:sz w:val="32"/>
          <w:szCs w:val="24"/>
          <w:highlight w:val="none"/>
        </w:rPr>
      </w:pPr>
    </w:p>
    <w:p w14:paraId="7FC56A4A">
      <w:pPr>
        <w:pStyle w:val="14"/>
        <w:spacing w:line="480" w:lineRule="exact"/>
        <w:rPr>
          <w:rFonts w:hint="default" w:ascii="宋体" w:hAnsi="宋体" w:eastAsia="宋体" w:cs="宋体"/>
          <w:b/>
          <w:color w:val="auto"/>
          <w:sz w:val="32"/>
          <w:szCs w:val="24"/>
          <w:highlight w:val="none"/>
        </w:rPr>
      </w:pPr>
    </w:p>
    <w:p w14:paraId="1E01EB43">
      <w:pPr>
        <w:pStyle w:val="27"/>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7F516489">
      <w:pPr>
        <w:pStyle w:val="27"/>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5E7581CA">
      <w:pPr>
        <w:pStyle w:val="92"/>
        <w:spacing w:line="360" w:lineRule="auto"/>
        <w:rPr>
          <w:rFonts w:hint="eastAsia" w:ascii="宋体" w:hAnsi="宋体" w:cs="Arial"/>
          <w:b/>
          <w:color w:val="auto"/>
          <w:highlight w:val="none"/>
        </w:rPr>
      </w:pPr>
    </w:p>
    <w:p w14:paraId="2184354A">
      <w:pPr>
        <w:snapToGrid w:val="0"/>
        <w:spacing w:line="360" w:lineRule="auto"/>
        <w:rPr>
          <w:rFonts w:hint="eastAsia" w:ascii="宋体" w:hAnsi="宋体" w:cs="宋体"/>
          <w:b/>
          <w:color w:val="auto"/>
          <w:sz w:val="30"/>
          <w:szCs w:val="30"/>
          <w:highlight w:val="none"/>
        </w:rPr>
      </w:pPr>
    </w:p>
    <w:p w14:paraId="665B632B">
      <w:pPr>
        <w:snapToGrid w:val="0"/>
        <w:spacing w:line="360" w:lineRule="auto"/>
        <w:rPr>
          <w:rFonts w:hint="eastAsia" w:ascii="宋体" w:hAnsi="宋体" w:cs="宋体"/>
          <w:b/>
          <w:color w:val="auto"/>
          <w:sz w:val="30"/>
          <w:szCs w:val="30"/>
          <w:highlight w:val="none"/>
        </w:rPr>
      </w:pPr>
    </w:p>
    <w:p w14:paraId="29ACB81D">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eastAsia" w:ascii="宋体" w:hAnsi="宋体" w:cs="宋体"/>
          <w:b/>
          <w:color w:val="auto"/>
          <w:sz w:val="30"/>
          <w:szCs w:val="30"/>
          <w:highlight w:val="none"/>
        </w:rPr>
        <w:t>十一、</w:t>
      </w:r>
      <w:r>
        <w:rPr>
          <w:rFonts w:hint="default" w:ascii="宋体" w:hAnsi="宋体" w:eastAsia="宋体" w:cs="宋体"/>
          <w:b/>
          <w:color w:val="auto"/>
          <w:sz w:val="36"/>
          <w:szCs w:val="24"/>
          <w:highlight w:val="none"/>
        </w:rPr>
        <w:t>安全员未在其他在施建设工程项目中任专职安全员的承诺函（格式自拟）</w:t>
      </w:r>
    </w:p>
    <w:p w14:paraId="2116070A">
      <w:pPr>
        <w:pStyle w:val="14"/>
        <w:numPr>
          <w:ilvl w:val="0"/>
          <w:numId w:val="0"/>
        </w:numPr>
        <w:rPr>
          <w:rFonts w:hint="eastAsia"/>
          <w:color w:val="auto"/>
          <w:sz w:val="21"/>
          <w:szCs w:val="24"/>
          <w:highlight w:val="none"/>
        </w:rPr>
      </w:pPr>
    </w:p>
    <w:p w14:paraId="15E5067A">
      <w:pPr>
        <w:pStyle w:val="27"/>
        <w:rPr>
          <w:rFonts w:hint="eastAsia"/>
          <w:color w:val="auto"/>
          <w:sz w:val="21"/>
          <w:szCs w:val="24"/>
          <w:highlight w:val="none"/>
        </w:rPr>
      </w:pPr>
    </w:p>
    <w:p w14:paraId="0DEACE97">
      <w:pPr>
        <w:pStyle w:val="27"/>
        <w:rPr>
          <w:rFonts w:hint="eastAsia"/>
          <w:color w:val="auto"/>
          <w:sz w:val="21"/>
          <w:szCs w:val="24"/>
          <w:highlight w:val="none"/>
        </w:rPr>
      </w:pPr>
    </w:p>
    <w:p w14:paraId="08919634">
      <w:pPr>
        <w:pStyle w:val="27"/>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7F393908">
      <w:pPr>
        <w:pStyle w:val="27"/>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42538DD9">
      <w:pPr>
        <w:rPr>
          <w:rFonts w:hint="eastAsia"/>
          <w:color w:val="auto"/>
          <w:sz w:val="21"/>
          <w:szCs w:val="24"/>
          <w:highlight w:val="none"/>
        </w:rPr>
      </w:pPr>
    </w:p>
    <w:p w14:paraId="1476BF2D">
      <w:pPr>
        <w:jc w:val="right"/>
        <w:rPr>
          <w:rFonts w:hint="eastAsia" w:ascii="宋体" w:hAnsi="宋体" w:cs="宋体"/>
          <w:color w:val="auto"/>
          <w:kern w:val="0"/>
          <w:sz w:val="24"/>
          <w:highlight w:val="none"/>
          <w:lang w:val="zh-CN"/>
        </w:rPr>
      </w:pPr>
    </w:p>
    <w:p w14:paraId="740C3DD3">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十二 、农民工工资保证金的交纳与使用的承诺书</w:t>
      </w:r>
    </w:p>
    <w:p w14:paraId="3C8AE22C">
      <w:pPr>
        <w:spacing w:line="357" w:lineRule="atLeast"/>
        <w:jc w:val="center"/>
        <w:textAlignment w:val="baseline"/>
        <w:rPr>
          <w:rFonts w:hint="default" w:ascii="宋体" w:eastAsia="宋体"/>
          <w:color w:val="auto"/>
          <w:sz w:val="21"/>
          <w:szCs w:val="24"/>
          <w:highlight w:val="none"/>
          <w:u w:val="none" w:color="000000"/>
        </w:rPr>
      </w:pPr>
    </w:p>
    <w:p w14:paraId="39CFC6FB">
      <w:pPr>
        <w:widowControl/>
        <w:spacing w:line="440" w:lineRule="exact"/>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致：</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none" w:color="000000"/>
        </w:rPr>
        <w:t xml:space="preserve">（采购人名称）  </w:t>
      </w:r>
    </w:p>
    <w:p w14:paraId="79992024">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根据《关于建立交通行业农民工工资保证金制度的通知》（桂劳社发﹝2007﹞147号）、《关于明确农民工工资保证金制度有关问题的通知》（桂薪联发﹝2016﹞2号），在</w:t>
      </w:r>
      <w:r>
        <w:rPr>
          <w:rFonts w:hint="default" w:ascii="宋体" w:hAnsi="宋体" w:eastAsia="宋体" w:cs="宋体"/>
          <w:color w:val="auto"/>
          <w:kern w:val="0"/>
          <w:sz w:val="24"/>
          <w:szCs w:val="24"/>
          <w:highlight w:val="none"/>
          <w:u w:val="single" w:color="auto"/>
        </w:rPr>
        <w:t xml:space="preserve">        （项目名称）</w:t>
      </w:r>
      <w:r>
        <w:rPr>
          <w:rFonts w:hint="default" w:ascii="宋体" w:hAnsi="宋体" w:eastAsia="宋体" w:cs="宋体"/>
          <w:color w:val="auto"/>
          <w:kern w:val="0"/>
          <w:sz w:val="24"/>
          <w:szCs w:val="24"/>
          <w:highlight w:val="none"/>
          <w:u w:val="none" w:color="000000"/>
        </w:rPr>
        <w:t>施工的竞标中，我单位对农民工工资的支付作出以下郑重承诺：</w:t>
      </w:r>
    </w:p>
    <w:p w14:paraId="4DCBC7A8">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（一）我单位在本项目响应文件递交截止时间</w:t>
      </w:r>
      <w:r>
        <w:rPr>
          <w:rFonts w:hint="default" w:ascii="宋体" w:hAnsi="宋体" w:eastAsia="宋体" w:cs="宋体"/>
          <w:color w:val="auto"/>
          <w:kern w:val="0"/>
          <w:sz w:val="24"/>
          <w:szCs w:val="24"/>
          <w:highlight w:val="none"/>
          <w:u w:val="single" w:color="000000"/>
        </w:rPr>
        <w:t xml:space="preserve">      年    月   日</w:t>
      </w:r>
      <w:r>
        <w:rPr>
          <w:rFonts w:hint="default" w:ascii="宋体" w:hAnsi="宋体" w:eastAsia="宋体" w:cs="宋体"/>
          <w:color w:val="auto"/>
          <w:kern w:val="0"/>
          <w:sz w:val="24"/>
          <w:szCs w:val="24"/>
          <w:highlight w:val="none"/>
          <w:u w:val="none" w:color="000000"/>
        </w:rPr>
        <w:t>（开标日）前所承建的工程项目，不存在拖欠或克扣农民工工资的行为。</w:t>
      </w:r>
    </w:p>
    <w:p w14:paraId="1B350429">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60C204CA">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（三）在项目实施过程中，若出现成交价与结算价不一致时，以实际结算金额按采购文件规定的计算额度存入农民工工资保证金。</w:t>
      </w:r>
    </w:p>
    <w:p w14:paraId="308C0F7F">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（四）我单位向建设单位承诺依法足额支付农民工工资，一旦我单位（包含我单位的分包商）承建的</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single" w:color="000000"/>
        </w:rPr>
        <w:t xml:space="preserve">项目名称）     </w:t>
      </w:r>
      <w:r>
        <w:rPr>
          <w:rFonts w:hint="default" w:ascii="宋体" w:hAnsi="宋体" w:eastAsia="宋体" w:cs="宋体"/>
          <w:color w:val="auto"/>
          <w:kern w:val="0"/>
          <w:sz w:val="24"/>
          <w:szCs w:val="24"/>
          <w:highlight w:val="none"/>
          <w:u w:val="none" w:color="000000"/>
        </w:rPr>
        <w:t>施工出现拖欠农民工工资情况的，可由劳动保障、交通主管部门（或授权机构）及建设单位根据相关规定从其农民工工资保证金中先予支取。</w:t>
      </w:r>
    </w:p>
    <w:p w14:paraId="54284674">
      <w:pPr>
        <w:widowControl/>
        <w:spacing w:line="440" w:lineRule="exact"/>
        <w:ind w:left="-10" w:firstLine="520" w:firstLineChars="217"/>
        <w:jc w:val="left"/>
        <w:textAlignment w:val="baseline"/>
        <w:rPr>
          <w:rFonts w:hint="default" w:ascii="宋体" w:hAnsi="宋体" w:eastAsia="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五）其它未尽事宜按《关于建立交通行业农民工工资保证金制度的通知》（桂劳社发﹝2007﹞147号）、《关于明确农民工工资保证金制度有关问题的通知》（桂薪联发﹝2016﹞2号）的有关规定执行、《关于印发广西壮族自治区公路管理局公路工程建设农民工管理实施细则（修订）的通知》(桂路工程发[2014]300号)等有关规定执行。</w:t>
      </w:r>
    </w:p>
    <w:p w14:paraId="5455232F">
      <w:pPr>
        <w:widowControl/>
        <w:spacing w:line="440" w:lineRule="exact"/>
        <w:ind w:left="-10" w:firstLine="520" w:firstLineChars="217"/>
        <w:jc w:val="left"/>
        <w:textAlignment w:val="baseline"/>
        <w:rPr>
          <w:rFonts w:hint="default" w:ascii="宋体" w:hAnsi="宋体" w:eastAsia="宋体" w:cs="宋体"/>
          <w:color w:val="auto"/>
          <w:kern w:val="0"/>
          <w:sz w:val="24"/>
          <w:szCs w:val="24"/>
          <w:highlight w:val="none"/>
          <w:u w:val="none" w:color="000000"/>
        </w:rPr>
      </w:pPr>
    </w:p>
    <w:p w14:paraId="44FA0B37">
      <w:pPr>
        <w:pStyle w:val="14"/>
        <w:rPr>
          <w:rFonts w:hint="default" w:ascii="宋体" w:eastAsia="宋体"/>
          <w:color w:val="auto"/>
          <w:sz w:val="24"/>
          <w:szCs w:val="24"/>
          <w:highlight w:val="none"/>
        </w:rPr>
      </w:pPr>
    </w:p>
    <w:p w14:paraId="60F26E59">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供应商名称（电子签章）：</w:t>
      </w:r>
    </w:p>
    <w:p w14:paraId="0CA1C65D">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日期：  年  月   日</w:t>
      </w:r>
    </w:p>
    <w:p w14:paraId="4B66FF3F">
      <w:pPr>
        <w:pageBreakBefore/>
        <w:numPr>
          <w:ilvl w:val="0"/>
          <w:numId w:val="0"/>
        </w:numPr>
        <w:spacing w:line="560" w:lineRule="exact"/>
        <w:jc w:val="left"/>
        <w:rPr>
          <w:rFonts w:hint="eastAsia" w:ascii="宋体" w:hAnsi="宋体" w:eastAsia="宋体" w:cs="宋体"/>
          <w:b/>
          <w:color w:val="auto"/>
          <w:sz w:val="36"/>
          <w:szCs w:val="24"/>
          <w:highlight w:val="none"/>
          <w:lang w:eastAsia="zh-CN"/>
        </w:rPr>
      </w:pPr>
      <w:r>
        <w:rPr>
          <w:rFonts w:hint="eastAsia" w:ascii="宋体" w:hAnsi="宋体" w:eastAsia="宋体" w:cs="宋体"/>
          <w:b/>
          <w:color w:val="auto"/>
          <w:sz w:val="36"/>
          <w:szCs w:val="24"/>
          <w:highlight w:val="none"/>
        </w:rPr>
        <w:t>十三、</w:t>
      </w:r>
      <w:r>
        <w:rPr>
          <w:rFonts w:hint="default" w:ascii="宋体" w:hAnsi="宋体" w:eastAsia="宋体" w:cs="宋体"/>
          <w:b/>
          <w:color w:val="auto"/>
          <w:sz w:val="36"/>
          <w:szCs w:val="24"/>
          <w:highlight w:val="none"/>
          <w:lang w:eastAsia="zh-CN"/>
        </w:rPr>
        <w:t>施工组织设计</w:t>
      </w:r>
    </w:p>
    <w:p w14:paraId="0395051F">
      <w:pPr>
        <w:pStyle w:val="109"/>
        <w:spacing w:beforeLines="0" w:afterLines="0" w:line="360" w:lineRule="exact"/>
        <w:ind w:firstLine="480" w:firstLineChars="200"/>
        <w:jc w:val="both"/>
        <w:rPr>
          <w:rStyle w:val="32"/>
          <w:rFonts w:hint="eastAsia" w:ascii="Times New Roman" w:hAnsi="Times New Roman" w:eastAsia="Times New Roman" w:cs="Times New Roman"/>
          <w:color w:val="auto"/>
          <w:sz w:val="24"/>
          <w:szCs w:val="24"/>
          <w:highlight w:val="none"/>
          <w:lang w:val="en-US"/>
        </w:rPr>
      </w:pPr>
      <w:bookmarkStart w:id="81" w:name="bookmark2220"/>
      <w:bookmarkEnd w:id="81"/>
    </w:p>
    <w:p w14:paraId="211730EB">
      <w:pPr>
        <w:pStyle w:val="14"/>
        <w:spacing w:before="166" w:line="387" w:lineRule="auto"/>
        <w:ind w:firstLine="431"/>
        <w:rPr>
          <w:color w:val="auto"/>
          <w:sz w:val="21"/>
          <w:szCs w:val="21"/>
          <w:highlight w:val="none"/>
        </w:rPr>
      </w:pPr>
      <w:bookmarkStart w:id="82" w:name="bookmark2229"/>
      <w:bookmarkStart w:id="83" w:name="bookmark2228"/>
      <w:bookmarkStart w:id="84" w:name="bookmark2230"/>
      <w:r>
        <w:rPr>
          <w:color w:val="auto"/>
          <w:spacing w:val="-2"/>
          <w:sz w:val="21"/>
          <w:szCs w:val="21"/>
          <w:highlight w:val="none"/>
        </w:rPr>
        <w:t>1.施工组织设计应以下内容顺序编制，可采用文字并结合图表形式说明施工方法，施工组织设计具体内容如下：</w:t>
      </w:r>
    </w:p>
    <w:p w14:paraId="0C60FC42">
      <w:pPr>
        <w:pStyle w:val="14"/>
        <w:spacing w:line="220" w:lineRule="auto"/>
        <w:ind w:left="422"/>
        <w:rPr>
          <w:color w:val="auto"/>
          <w:sz w:val="21"/>
          <w:szCs w:val="21"/>
          <w:highlight w:val="none"/>
        </w:rPr>
      </w:pPr>
      <w:r>
        <w:rPr>
          <w:color w:val="auto"/>
          <w:spacing w:val="-3"/>
          <w:sz w:val="21"/>
          <w:szCs w:val="21"/>
          <w:highlight w:val="none"/>
        </w:rPr>
        <w:t>（1）概述</w:t>
      </w:r>
    </w:p>
    <w:p w14:paraId="72758F06">
      <w:pPr>
        <w:pStyle w:val="14"/>
        <w:spacing w:before="188" w:line="222" w:lineRule="auto"/>
        <w:ind w:left="422"/>
        <w:rPr>
          <w:color w:val="auto"/>
          <w:sz w:val="21"/>
          <w:szCs w:val="21"/>
          <w:highlight w:val="none"/>
        </w:rPr>
      </w:pPr>
      <w:r>
        <w:rPr>
          <w:color w:val="auto"/>
          <w:spacing w:val="-2"/>
          <w:sz w:val="21"/>
          <w:szCs w:val="21"/>
          <w:highlight w:val="none"/>
        </w:rPr>
        <w:t>（2）主要施工方法；</w:t>
      </w:r>
    </w:p>
    <w:p w14:paraId="32DAA6D8">
      <w:pPr>
        <w:pStyle w:val="14"/>
        <w:spacing w:before="188" w:line="220" w:lineRule="auto"/>
        <w:ind w:left="422"/>
        <w:rPr>
          <w:color w:val="auto"/>
          <w:sz w:val="21"/>
          <w:szCs w:val="21"/>
          <w:highlight w:val="none"/>
        </w:rPr>
      </w:pPr>
      <w:r>
        <w:rPr>
          <w:color w:val="auto"/>
          <w:spacing w:val="-1"/>
          <w:sz w:val="21"/>
          <w:szCs w:val="21"/>
          <w:highlight w:val="none"/>
        </w:rPr>
        <w:t>（3）拟投入的主要物资计划</w:t>
      </w:r>
    </w:p>
    <w:p w14:paraId="6E254AC3">
      <w:pPr>
        <w:pStyle w:val="14"/>
        <w:spacing w:before="190" w:line="220" w:lineRule="auto"/>
        <w:ind w:left="422"/>
        <w:rPr>
          <w:color w:val="auto"/>
          <w:sz w:val="21"/>
          <w:szCs w:val="21"/>
          <w:highlight w:val="none"/>
        </w:rPr>
      </w:pPr>
      <w:r>
        <w:rPr>
          <w:color w:val="auto"/>
          <w:spacing w:val="-2"/>
          <w:sz w:val="21"/>
          <w:szCs w:val="21"/>
          <w:highlight w:val="none"/>
        </w:rPr>
        <w:t>（4）劳动力安排计划；</w:t>
      </w:r>
    </w:p>
    <w:p w14:paraId="3A41C002">
      <w:pPr>
        <w:pStyle w:val="14"/>
        <w:spacing w:before="189" w:line="220" w:lineRule="auto"/>
        <w:ind w:left="422"/>
        <w:rPr>
          <w:color w:val="auto"/>
          <w:sz w:val="21"/>
          <w:szCs w:val="21"/>
          <w:highlight w:val="none"/>
        </w:rPr>
      </w:pPr>
      <w:r>
        <w:rPr>
          <w:color w:val="auto"/>
          <w:spacing w:val="-1"/>
          <w:sz w:val="21"/>
          <w:szCs w:val="21"/>
          <w:highlight w:val="none"/>
        </w:rPr>
        <w:t>（5）确保工程质量的技术组织措施；</w:t>
      </w:r>
    </w:p>
    <w:p w14:paraId="00E37BBC">
      <w:pPr>
        <w:pStyle w:val="14"/>
        <w:spacing w:before="191" w:line="220" w:lineRule="auto"/>
        <w:ind w:left="422"/>
        <w:rPr>
          <w:color w:val="auto"/>
          <w:sz w:val="21"/>
          <w:szCs w:val="21"/>
          <w:highlight w:val="none"/>
        </w:rPr>
      </w:pPr>
      <w:r>
        <w:rPr>
          <w:color w:val="auto"/>
          <w:spacing w:val="-1"/>
          <w:sz w:val="21"/>
          <w:szCs w:val="21"/>
          <w:highlight w:val="none"/>
        </w:rPr>
        <w:t>（6）确保安全生产的技术组织措施；</w:t>
      </w:r>
    </w:p>
    <w:p w14:paraId="3A0DCD99">
      <w:pPr>
        <w:pStyle w:val="14"/>
        <w:spacing w:before="189" w:line="220" w:lineRule="auto"/>
        <w:ind w:left="422"/>
        <w:rPr>
          <w:color w:val="auto"/>
          <w:sz w:val="21"/>
          <w:szCs w:val="21"/>
          <w:highlight w:val="none"/>
        </w:rPr>
      </w:pPr>
      <w:r>
        <w:rPr>
          <w:color w:val="auto"/>
          <w:spacing w:val="-1"/>
          <w:sz w:val="21"/>
          <w:szCs w:val="21"/>
          <w:highlight w:val="none"/>
        </w:rPr>
        <w:t>（7）确保工期的技术组织措施；</w:t>
      </w:r>
    </w:p>
    <w:p w14:paraId="0893F53C">
      <w:pPr>
        <w:pStyle w:val="14"/>
        <w:spacing w:before="189" w:line="220" w:lineRule="auto"/>
        <w:ind w:left="422"/>
        <w:rPr>
          <w:color w:val="auto"/>
          <w:sz w:val="21"/>
          <w:szCs w:val="21"/>
          <w:highlight w:val="none"/>
        </w:rPr>
      </w:pPr>
      <w:r>
        <w:rPr>
          <w:color w:val="auto"/>
          <w:spacing w:val="-1"/>
          <w:sz w:val="21"/>
          <w:szCs w:val="21"/>
          <w:highlight w:val="none"/>
        </w:rPr>
        <w:t>（8）确保文明施工的技术组织措施；</w:t>
      </w:r>
    </w:p>
    <w:p w14:paraId="20410D7E">
      <w:pPr>
        <w:pStyle w:val="14"/>
        <w:spacing w:before="191" w:line="221" w:lineRule="auto"/>
        <w:ind w:left="422"/>
        <w:rPr>
          <w:color w:val="auto"/>
          <w:sz w:val="21"/>
          <w:szCs w:val="21"/>
          <w:highlight w:val="none"/>
        </w:rPr>
      </w:pPr>
      <w:r>
        <w:rPr>
          <w:color w:val="auto"/>
          <w:spacing w:val="-1"/>
          <w:sz w:val="21"/>
          <w:szCs w:val="21"/>
          <w:highlight w:val="none"/>
        </w:rPr>
        <w:t>（9）工程施工的重点和难点及保证措施；</w:t>
      </w:r>
    </w:p>
    <w:p w14:paraId="6ED5ABB6">
      <w:pPr>
        <w:pStyle w:val="14"/>
        <w:spacing w:before="187" w:line="220" w:lineRule="auto"/>
        <w:ind w:left="422"/>
        <w:rPr>
          <w:color w:val="auto"/>
          <w:sz w:val="21"/>
          <w:szCs w:val="21"/>
          <w:highlight w:val="none"/>
        </w:rPr>
      </w:pPr>
      <w:r>
        <w:rPr>
          <w:color w:val="auto"/>
          <w:spacing w:val="-1"/>
          <w:sz w:val="21"/>
          <w:szCs w:val="21"/>
          <w:highlight w:val="none"/>
        </w:rPr>
        <w:t>（10）施工总平面布置图；</w:t>
      </w:r>
    </w:p>
    <w:p w14:paraId="76070145">
      <w:pPr>
        <w:pStyle w:val="14"/>
        <w:spacing w:before="189" w:line="220" w:lineRule="auto"/>
        <w:ind w:left="422"/>
        <w:rPr>
          <w:color w:val="auto"/>
          <w:sz w:val="21"/>
          <w:szCs w:val="21"/>
          <w:highlight w:val="none"/>
        </w:rPr>
      </w:pPr>
      <w:r>
        <w:rPr>
          <w:color w:val="auto"/>
          <w:spacing w:val="1"/>
          <w:sz w:val="21"/>
          <w:szCs w:val="21"/>
          <w:highlight w:val="none"/>
        </w:rPr>
        <w:t>（11）其他（如有</w:t>
      </w:r>
      <w:r>
        <w:rPr>
          <w:color w:val="auto"/>
          <w:spacing w:val="-16"/>
          <w:sz w:val="21"/>
          <w:szCs w:val="21"/>
          <w:highlight w:val="none"/>
        </w:rPr>
        <w:t>）（</w:t>
      </w:r>
      <w:r>
        <w:rPr>
          <w:color w:val="auto"/>
          <w:spacing w:val="1"/>
          <w:sz w:val="21"/>
          <w:szCs w:val="21"/>
          <w:highlight w:val="none"/>
        </w:rPr>
        <w:t>与第四章“评审程序、评审方</w:t>
      </w:r>
      <w:r>
        <w:rPr>
          <w:color w:val="auto"/>
          <w:sz w:val="21"/>
          <w:szCs w:val="21"/>
          <w:highlight w:val="none"/>
        </w:rPr>
        <w:t>法和评审标准”中的评审标准一致）</w:t>
      </w:r>
    </w:p>
    <w:p w14:paraId="371D709C">
      <w:pPr>
        <w:pStyle w:val="14"/>
        <w:spacing w:before="192" w:line="220" w:lineRule="auto"/>
        <w:ind w:left="418"/>
        <w:rPr>
          <w:color w:val="auto"/>
          <w:sz w:val="21"/>
          <w:szCs w:val="21"/>
          <w:highlight w:val="none"/>
        </w:rPr>
      </w:pPr>
      <w:r>
        <w:rPr>
          <w:color w:val="auto"/>
          <w:sz w:val="21"/>
          <w:szCs w:val="21"/>
          <w:highlight w:val="none"/>
        </w:rPr>
        <w:t>2. 技术标施工组织设计除采用文字表述外可附下列图表，图</w:t>
      </w:r>
      <w:r>
        <w:rPr>
          <w:color w:val="auto"/>
          <w:spacing w:val="-1"/>
          <w:sz w:val="21"/>
          <w:szCs w:val="21"/>
          <w:highlight w:val="none"/>
        </w:rPr>
        <w:t>表及格式要求附后。</w:t>
      </w:r>
    </w:p>
    <w:p w14:paraId="79314446">
      <w:pPr>
        <w:pStyle w:val="14"/>
        <w:spacing w:before="189" w:line="220" w:lineRule="auto"/>
        <w:ind w:left="432"/>
        <w:rPr>
          <w:color w:val="auto"/>
          <w:sz w:val="21"/>
          <w:szCs w:val="21"/>
          <w:highlight w:val="none"/>
        </w:rPr>
      </w:pPr>
      <w:r>
        <w:rPr>
          <w:color w:val="auto"/>
          <w:spacing w:val="-2"/>
          <w:sz w:val="21"/>
          <w:szCs w:val="21"/>
          <w:highlight w:val="none"/>
        </w:rPr>
        <w:t>附表一  劳动力计划表</w:t>
      </w:r>
    </w:p>
    <w:p w14:paraId="019935F0">
      <w:pPr>
        <w:pStyle w:val="14"/>
        <w:spacing w:before="189" w:line="220" w:lineRule="auto"/>
        <w:ind w:left="432"/>
        <w:rPr>
          <w:color w:val="auto"/>
          <w:sz w:val="21"/>
          <w:szCs w:val="21"/>
          <w:highlight w:val="none"/>
        </w:rPr>
      </w:pPr>
      <w:r>
        <w:rPr>
          <w:color w:val="auto"/>
          <w:spacing w:val="-1"/>
          <w:sz w:val="21"/>
          <w:szCs w:val="21"/>
          <w:highlight w:val="none"/>
        </w:rPr>
        <w:t>附表二  计划开、竣工日期和施工进度计划（网络图或横道图）</w:t>
      </w:r>
    </w:p>
    <w:p w14:paraId="7C1D28EC">
      <w:pPr>
        <w:pStyle w:val="14"/>
        <w:spacing w:before="191" w:line="220" w:lineRule="auto"/>
        <w:ind w:left="432"/>
        <w:rPr>
          <w:color w:val="auto"/>
          <w:sz w:val="21"/>
          <w:szCs w:val="21"/>
          <w:highlight w:val="none"/>
        </w:rPr>
      </w:pPr>
      <w:r>
        <w:rPr>
          <w:color w:val="auto"/>
          <w:spacing w:val="-2"/>
          <w:sz w:val="21"/>
          <w:szCs w:val="21"/>
          <w:highlight w:val="none"/>
        </w:rPr>
        <w:t>附表三  施工总平面图</w:t>
      </w:r>
    </w:p>
    <w:p w14:paraId="6069EDAE">
      <w:pPr>
        <w:pStyle w:val="14"/>
        <w:spacing w:before="189" w:line="220" w:lineRule="auto"/>
        <w:ind w:left="432"/>
        <w:rPr>
          <w:color w:val="auto"/>
          <w:sz w:val="21"/>
          <w:szCs w:val="21"/>
          <w:highlight w:val="none"/>
        </w:rPr>
      </w:pPr>
      <w:r>
        <w:rPr>
          <w:color w:val="auto"/>
          <w:spacing w:val="-5"/>
          <w:sz w:val="21"/>
          <w:szCs w:val="21"/>
          <w:highlight w:val="none"/>
        </w:rPr>
        <w:t>附表四</w:t>
      </w:r>
      <w:r>
        <w:rPr>
          <w:color w:val="auto"/>
          <w:spacing w:val="9"/>
          <w:sz w:val="21"/>
          <w:szCs w:val="21"/>
          <w:highlight w:val="none"/>
        </w:rPr>
        <w:t xml:space="preserve">  </w:t>
      </w:r>
      <w:r>
        <w:rPr>
          <w:color w:val="auto"/>
          <w:spacing w:val="-5"/>
          <w:sz w:val="21"/>
          <w:szCs w:val="21"/>
          <w:highlight w:val="none"/>
        </w:rPr>
        <w:t>临时用地表</w:t>
      </w:r>
    </w:p>
    <w:p w14:paraId="0C13B506">
      <w:pPr>
        <w:spacing w:line="280" w:lineRule="auto"/>
        <w:rPr>
          <w:rFonts w:ascii="Arial"/>
          <w:color w:val="auto"/>
          <w:sz w:val="21"/>
          <w:highlight w:val="none"/>
        </w:rPr>
      </w:pPr>
    </w:p>
    <w:p w14:paraId="25527FC4">
      <w:pPr>
        <w:pStyle w:val="14"/>
        <w:spacing w:before="68" w:line="220" w:lineRule="auto"/>
        <w:ind w:left="3554"/>
        <w:rPr>
          <w:color w:val="auto"/>
          <w:sz w:val="21"/>
          <w:szCs w:val="21"/>
          <w:highlight w:val="none"/>
        </w:rPr>
      </w:pPr>
      <w:r>
        <w:rPr>
          <w:rStyle w:val="32"/>
          <w:rFonts w:hint="default"/>
          <w:color w:val="auto"/>
          <w:sz w:val="24"/>
          <w:szCs w:val="24"/>
          <w:highlight w:val="none"/>
          <w:lang w:eastAsia="zh-CN"/>
        </w:rPr>
        <w:br w:type="page"/>
      </w:r>
      <w:bookmarkEnd w:id="82"/>
      <w:bookmarkEnd w:id="83"/>
      <w:bookmarkEnd w:id="84"/>
      <w:r>
        <w:rPr>
          <w:b/>
          <w:bCs/>
          <w:color w:val="auto"/>
          <w:spacing w:val="-4"/>
          <w:sz w:val="21"/>
          <w:szCs w:val="21"/>
          <w:highlight w:val="none"/>
        </w:rPr>
        <w:t>附表一：劳动力计划表</w:t>
      </w:r>
    </w:p>
    <w:p w14:paraId="3CE3001C">
      <w:pPr>
        <w:pStyle w:val="14"/>
        <w:spacing w:before="188" w:line="221" w:lineRule="auto"/>
        <w:ind w:left="7665"/>
        <w:rPr>
          <w:color w:val="auto"/>
          <w:sz w:val="21"/>
          <w:szCs w:val="21"/>
          <w:highlight w:val="none"/>
        </w:rPr>
      </w:pPr>
      <w:r>
        <w:rPr>
          <w:color w:val="auto"/>
          <w:spacing w:val="-1"/>
          <w:sz w:val="21"/>
          <w:szCs w:val="21"/>
          <w:highlight w:val="none"/>
        </w:rPr>
        <w:t>单位：人</w:t>
      </w:r>
    </w:p>
    <w:p w14:paraId="3FA97549">
      <w:pPr>
        <w:spacing w:line="16" w:lineRule="exact"/>
        <w:rPr>
          <w:color w:val="auto"/>
          <w:highlight w:val="none"/>
        </w:rPr>
      </w:pPr>
    </w:p>
    <w:tbl>
      <w:tblPr>
        <w:tblStyle w:val="89"/>
        <w:tblW w:w="8476" w:type="dxa"/>
        <w:tblInd w:w="3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959"/>
        <w:gridCol w:w="1257"/>
        <w:gridCol w:w="1257"/>
        <w:gridCol w:w="1257"/>
        <w:gridCol w:w="1257"/>
        <w:gridCol w:w="1261"/>
      </w:tblGrid>
      <w:tr w14:paraId="21088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28" w:type="dxa"/>
            <w:vAlign w:val="top"/>
          </w:tcPr>
          <w:p w14:paraId="259D0B82">
            <w:pPr>
              <w:pStyle w:val="88"/>
              <w:spacing w:before="176" w:line="221" w:lineRule="auto"/>
              <w:ind w:left="411"/>
              <w:rPr>
                <w:color w:val="auto"/>
                <w:highlight w:val="none"/>
              </w:rPr>
            </w:pPr>
            <w:r>
              <w:rPr>
                <w:color w:val="auto"/>
                <w:spacing w:val="-5"/>
                <w:highlight w:val="none"/>
              </w:rPr>
              <w:t>工种</w:t>
            </w:r>
          </w:p>
        </w:tc>
        <w:tc>
          <w:tcPr>
            <w:tcW w:w="7248" w:type="dxa"/>
            <w:gridSpan w:val="6"/>
            <w:vAlign w:val="top"/>
          </w:tcPr>
          <w:p w14:paraId="7CC2A211">
            <w:pPr>
              <w:pStyle w:val="88"/>
              <w:spacing w:before="176" w:line="220" w:lineRule="auto"/>
              <w:ind w:left="2158"/>
              <w:rPr>
                <w:color w:val="auto"/>
                <w:highlight w:val="none"/>
              </w:rPr>
            </w:pPr>
            <w:r>
              <w:rPr>
                <w:color w:val="auto"/>
                <w:spacing w:val="-1"/>
                <w:highlight w:val="none"/>
              </w:rPr>
              <w:t>按工程施工阶段投入劳动力情况</w:t>
            </w:r>
          </w:p>
        </w:tc>
      </w:tr>
      <w:tr w14:paraId="189C8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228" w:type="dxa"/>
            <w:vAlign w:val="top"/>
          </w:tcPr>
          <w:p w14:paraId="07BB3340">
            <w:pPr>
              <w:rPr>
                <w:rFonts w:ascii="Arial"/>
                <w:color w:val="auto"/>
                <w:sz w:val="21"/>
                <w:highlight w:val="none"/>
              </w:rPr>
            </w:pPr>
          </w:p>
        </w:tc>
        <w:tc>
          <w:tcPr>
            <w:tcW w:w="959" w:type="dxa"/>
            <w:vAlign w:val="top"/>
          </w:tcPr>
          <w:p w14:paraId="781D3D06">
            <w:pPr>
              <w:rPr>
                <w:rFonts w:ascii="Arial"/>
                <w:color w:val="auto"/>
                <w:sz w:val="21"/>
                <w:highlight w:val="none"/>
              </w:rPr>
            </w:pPr>
          </w:p>
        </w:tc>
        <w:tc>
          <w:tcPr>
            <w:tcW w:w="1257" w:type="dxa"/>
            <w:vAlign w:val="top"/>
          </w:tcPr>
          <w:p w14:paraId="280DB0B4">
            <w:pPr>
              <w:rPr>
                <w:rFonts w:ascii="Arial"/>
                <w:color w:val="auto"/>
                <w:sz w:val="21"/>
                <w:highlight w:val="none"/>
              </w:rPr>
            </w:pPr>
          </w:p>
        </w:tc>
        <w:tc>
          <w:tcPr>
            <w:tcW w:w="1257" w:type="dxa"/>
            <w:vAlign w:val="top"/>
          </w:tcPr>
          <w:p w14:paraId="1D5420A3">
            <w:pPr>
              <w:rPr>
                <w:rFonts w:ascii="Arial"/>
                <w:color w:val="auto"/>
                <w:sz w:val="21"/>
                <w:highlight w:val="none"/>
              </w:rPr>
            </w:pPr>
          </w:p>
        </w:tc>
        <w:tc>
          <w:tcPr>
            <w:tcW w:w="1257" w:type="dxa"/>
            <w:vAlign w:val="top"/>
          </w:tcPr>
          <w:p w14:paraId="7F1D316A">
            <w:pPr>
              <w:rPr>
                <w:rFonts w:ascii="Arial"/>
                <w:color w:val="auto"/>
                <w:sz w:val="21"/>
                <w:highlight w:val="none"/>
              </w:rPr>
            </w:pPr>
          </w:p>
        </w:tc>
        <w:tc>
          <w:tcPr>
            <w:tcW w:w="1257" w:type="dxa"/>
            <w:vAlign w:val="top"/>
          </w:tcPr>
          <w:p w14:paraId="616240A2">
            <w:pPr>
              <w:rPr>
                <w:rFonts w:ascii="Arial"/>
                <w:color w:val="auto"/>
                <w:sz w:val="21"/>
                <w:highlight w:val="none"/>
              </w:rPr>
            </w:pPr>
          </w:p>
        </w:tc>
        <w:tc>
          <w:tcPr>
            <w:tcW w:w="1261" w:type="dxa"/>
            <w:vAlign w:val="top"/>
          </w:tcPr>
          <w:p w14:paraId="2A95FF6D">
            <w:pPr>
              <w:rPr>
                <w:rFonts w:ascii="Arial"/>
                <w:color w:val="auto"/>
                <w:sz w:val="21"/>
                <w:highlight w:val="none"/>
              </w:rPr>
            </w:pPr>
          </w:p>
        </w:tc>
      </w:tr>
      <w:tr w14:paraId="15EA6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228" w:type="dxa"/>
            <w:vAlign w:val="top"/>
          </w:tcPr>
          <w:p w14:paraId="48AFDDDD">
            <w:pPr>
              <w:rPr>
                <w:rFonts w:ascii="Arial"/>
                <w:color w:val="auto"/>
                <w:sz w:val="21"/>
                <w:highlight w:val="none"/>
              </w:rPr>
            </w:pPr>
          </w:p>
        </w:tc>
        <w:tc>
          <w:tcPr>
            <w:tcW w:w="959" w:type="dxa"/>
            <w:vAlign w:val="top"/>
          </w:tcPr>
          <w:p w14:paraId="3268476C">
            <w:pPr>
              <w:rPr>
                <w:rFonts w:ascii="Arial"/>
                <w:color w:val="auto"/>
                <w:sz w:val="21"/>
                <w:highlight w:val="none"/>
              </w:rPr>
            </w:pPr>
          </w:p>
        </w:tc>
        <w:tc>
          <w:tcPr>
            <w:tcW w:w="1257" w:type="dxa"/>
            <w:vAlign w:val="top"/>
          </w:tcPr>
          <w:p w14:paraId="45907574">
            <w:pPr>
              <w:rPr>
                <w:rFonts w:ascii="Arial"/>
                <w:color w:val="auto"/>
                <w:sz w:val="21"/>
                <w:highlight w:val="none"/>
              </w:rPr>
            </w:pPr>
          </w:p>
        </w:tc>
        <w:tc>
          <w:tcPr>
            <w:tcW w:w="1257" w:type="dxa"/>
            <w:vAlign w:val="top"/>
          </w:tcPr>
          <w:p w14:paraId="473EF646">
            <w:pPr>
              <w:rPr>
                <w:rFonts w:ascii="Arial"/>
                <w:color w:val="auto"/>
                <w:sz w:val="21"/>
                <w:highlight w:val="none"/>
              </w:rPr>
            </w:pPr>
          </w:p>
        </w:tc>
        <w:tc>
          <w:tcPr>
            <w:tcW w:w="1257" w:type="dxa"/>
            <w:vAlign w:val="top"/>
          </w:tcPr>
          <w:p w14:paraId="6BC9CCE1">
            <w:pPr>
              <w:rPr>
                <w:rFonts w:ascii="Arial"/>
                <w:color w:val="auto"/>
                <w:sz w:val="21"/>
                <w:highlight w:val="none"/>
              </w:rPr>
            </w:pPr>
          </w:p>
        </w:tc>
        <w:tc>
          <w:tcPr>
            <w:tcW w:w="1257" w:type="dxa"/>
            <w:vAlign w:val="top"/>
          </w:tcPr>
          <w:p w14:paraId="12C2062F">
            <w:pPr>
              <w:rPr>
                <w:rFonts w:ascii="Arial"/>
                <w:color w:val="auto"/>
                <w:sz w:val="21"/>
                <w:highlight w:val="none"/>
              </w:rPr>
            </w:pPr>
          </w:p>
        </w:tc>
        <w:tc>
          <w:tcPr>
            <w:tcW w:w="1261" w:type="dxa"/>
            <w:vAlign w:val="top"/>
          </w:tcPr>
          <w:p w14:paraId="2DA7E4B1">
            <w:pPr>
              <w:rPr>
                <w:rFonts w:ascii="Arial"/>
                <w:color w:val="auto"/>
                <w:sz w:val="21"/>
                <w:highlight w:val="none"/>
              </w:rPr>
            </w:pPr>
          </w:p>
        </w:tc>
      </w:tr>
      <w:tr w14:paraId="59950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228" w:type="dxa"/>
            <w:vAlign w:val="top"/>
          </w:tcPr>
          <w:p w14:paraId="49FBD3ED">
            <w:pPr>
              <w:rPr>
                <w:rFonts w:ascii="Arial"/>
                <w:color w:val="auto"/>
                <w:sz w:val="21"/>
                <w:highlight w:val="none"/>
              </w:rPr>
            </w:pPr>
          </w:p>
        </w:tc>
        <w:tc>
          <w:tcPr>
            <w:tcW w:w="959" w:type="dxa"/>
            <w:vAlign w:val="top"/>
          </w:tcPr>
          <w:p w14:paraId="1E8B45C8">
            <w:pPr>
              <w:rPr>
                <w:rFonts w:ascii="Arial"/>
                <w:color w:val="auto"/>
                <w:sz w:val="21"/>
                <w:highlight w:val="none"/>
              </w:rPr>
            </w:pPr>
          </w:p>
        </w:tc>
        <w:tc>
          <w:tcPr>
            <w:tcW w:w="1257" w:type="dxa"/>
            <w:vAlign w:val="top"/>
          </w:tcPr>
          <w:p w14:paraId="1F83312C">
            <w:pPr>
              <w:rPr>
                <w:rFonts w:ascii="Arial"/>
                <w:color w:val="auto"/>
                <w:sz w:val="21"/>
                <w:highlight w:val="none"/>
              </w:rPr>
            </w:pPr>
          </w:p>
        </w:tc>
        <w:tc>
          <w:tcPr>
            <w:tcW w:w="1257" w:type="dxa"/>
            <w:vAlign w:val="top"/>
          </w:tcPr>
          <w:p w14:paraId="76C43547">
            <w:pPr>
              <w:rPr>
                <w:rFonts w:ascii="Arial"/>
                <w:color w:val="auto"/>
                <w:sz w:val="21"/>
                <w:highlight w:val="none"/>
              </w:rPr>
            </w:pPr>
          </w:p>
        </w:tc>
        <w:tc>
          <w:tcPr>
            <w:tcW w:w="1257" w:type="dxa"/>
            <w:vAlign w:val="top"/>
          </w:tcPr>
          <w:p w14:paraId="57CC3EC1">
            <w:pPr>
              <w:rPr>
                <w:rFonts w:ascii="Arial"/>
                <w:color w:val="auto"/>
                <w:sz w:val="21"/>
                <w:highlight w:val="none"/>
              </w:rPr>
            </w:pPr>
          </w:p>
        </w:tc>
        <w:tc>
          <w:tcPr>
            <w:tcW w:w="1257" w:type="dxa"/>
            <w:vAlign w:val="top"/>
          </w:tcPr>
          <w:p w14:paraId="100084DB">
            <w:pPr>
              <w:rPr>
                <w:rFonts w:ascii="Arial"/>
                <w:color w:val="auto"/>
                <w:sz w:val="21"/>
                <w:highlight w:val="none"/>
              </w:rPr>
            </w:pPr>
          </w:p>
        </w:tc>
        <w:tc>
          <w:tcPr>
            <w:tcW w:w="1261" w:type="dxa"/>
            <w:vAlign w:val="top"/>
          </w:tcPr>
          <w:p w14:paraId="785302B6">
            <w:pPr>
              <w:rPr>
                <w:rFonts w:ascii="Arial"/>
                <w:color w:val="auto"/>
                <w:sz w:val="21"/>
                <w:highlight w:val="none"/>
              </w:rPr>
            </w:pPr>
          </w:p>
        </w:tc>
      </w:tr>
      <w:tr w14:paraId="54255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228" w:type="dxa"/>
            <w:vAlign w:val="top"/>
          </w:tcPr>
          <w:p w14:paraId="78BEA7A2">
            <w:pPr>
              <w:rPr>
                <w:rFonts w:ascii="Arial"/>
                <w:color w:val="auto"/>
                <w:sz w:val="21"/>
                <w:highlight w:val="none"/>
              </w:rPr>
            </w:pPr>
          </w:p>
        </w:tc>
        <w:tc>
          <w:tcPr>
            <w:tcW w:w="959" w:type="dxa"/>
            <w:vAlign w:val="top"/>
          </w:tcPr>
          <w:p w14:paraId="22D1EF1A">
            <w:pPr>
              <w:rPr>
                <w:rFonts w:ascii="Arial"/>
                <w:color w:val="auto"/>
                <w:sz w:val="21"/>
                <w:highlight w:val="none"/>
              </w:rPr>
            </w:pPr>
          </w:p>
        </w:tc>
        <w:tc>
          <w:tcPr>
            <w:tcW w:w="1257" w:type="dxa"/>
            <w:vAlign w:val="top"/>
          </w:tcPr>
          <w:p w14:paraId="6939928C">
            <w:pPr>
              <w:rPr>
                <w:rFonts w:ascii="Arial"/>
                <w:color w:val="auto"/>
                <w:sz w:val="21"/>
                <w:highlight w:val="none"/>
              </w:rPr>
            </w:pPr>
          </w:p>
        </w:tc>
        <w:tc>
          <w:tcPr>
            <w:tcW w:w="1257" w:type="dxa"/>
            <w:vAlign w:val="top"/>
          </w:tcPr>
          <w:p w14:paraId="7EB8BB9E">
            <w:pPr>
              <w:rPr>
                <w:rFonts w:ascii="Arial"/>
                <w:color w:val="auto"/>
                <w:sz w:val="21"/>
                <w:highlight w:val="none"/>
              </w:rPr>
            </w:pPr>
          </w:p>
        </w:tc>
        <w:tc>
          <w:tcPr>
            <w:tcW w:w="1257" w:type="dxa"/>
            <w:vAlign w:val="top"/>
          </w:tcPr>
          <w:p w14:paraId="7D6B90E4">
            <w:pPr>
              <w:rPr>
                <w:rFonts w:ascii="Arial"/>
                <w:color w:val="auto"/>
                <w:sz w:val="21"/>
                <w:highlight w:val="none"/>
              </w:rPr>
            </w:pPr>
          </w:p>
        </w:tc>
        <w:tc>
          <w:tcPr>
            <w:tcW w:w="1257" w:type="dxa"/>
            <w:vAlign w:val="top"/>
          </w:tcPr>
          <w:p w14:paraId="0A94E775">
            <w:pPr>
              <w:rPr>
                <w:rFonts w:ascii="Arial"/>
                <w:color w:val="auto"/>
                <w:sz w:val="21"/>
                <w:highlight w:val="none"/>
              </w:rPr>
            </w:pPr>
          </w:p>
        </w:tc>
        <w:tc>
          <w:tcPr>
            <w:tcW w:w="1261" w:type="dxa"/>
            <w:vAlign w:val="top"/>
          </w:tcPr>
          <w:p w14:paraId="0D2D9D63">
            <w:pPr>
              <w:rPr>
                <w:rFonts w:ascii="Arial"/>
                <w:color w:val="auto"/>
                <w:sz w:val="21"/>
                <w:highlight w:val="none"/>
              </w:rPr>
            </w:pPr>
          </w:p>
        </w:tc>
      </w:tr>
      <w:tr w14:paraId="21235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228" w:type="dxa"/>
            <w:vAlign w:val="top"/>
          </w:tcPr>
          <w:p w14:paraId="33FC7585">
            <w:pPr>
              <w:rPr>
                <w:rFonts w:ascii="Arial"/>
                <w:color w:val="auto"/>
                <w:sz w:val="21"/>
                <w:highlight w:val="none"/>
              </w:rPr>
            </w:pPr>
          </w:p>
        </w:tc>
        <w:tc>
          <w:tcPr>
            <w:tcW w:w="959" w:type="dxa"/>
            <w:vAlign w:val="top"/>
          </w:tcPr>
          <w:p w14:paraId="691003C9">
            <w:pPr>
              <w:rPr>
                <w:rFonts w:ascii="Arial"/>
                <w:color w:val="auto"/>
                <w:sz w:val="21"/>
                <w:highlight w:val="none"/>
              </w:rPr>
            </w:pPr>
          </w:p>
        </w:tc>
        <w:tc>
          <w:tcPr>
            <w:tcW w:w="1257" w:type="dxa"/>
            <w:vAlign w:val="top"/>
          </w:tcPr>
          <w:p w14:paraId="1C941308">
            <w:pPr>
              <w:rPr>
                <w:rFonts w:ascii="Arial"/>
                <w:color w:val="auto"/>
                <w:sz w:val="21"/>
                <w:highlight w:val="none"/>
              </w:rPr>
            </w:pPr>
          </w:p>
        </w:tc>
        <w:tc>
          <w:tcPr>
            <w:tcW w:w="1257" w:type="dxa"/>
            <w:vAlign w:val="top"/>
          </w:tcPr>
          <w:p w14:paraId="173B6AEB">
            <w:pPr>
              <w:rPr>
                <w:rFonts w:ascii="Arial"/>
                <w:color w:val="auto"/>
                <w:sz w:val="21"/>
                <w:highlight w:val="none"/>
              </w:rPr>
            </w:pPr>
          </w:p>
        </w:tc>
        <w:tc>
          <w:tcPr>
            <w:tcW w:w="1257" w:type="dxa"/>
            <w:vAlign w:val="top"/>
          </w:tcPr>
          <w:p w14:paraId="2C4FF330">
            <w:pPr>
              <w:rPr>
                <w:rFonts w:ascii="Arial"/>
                <w:color w:val="auto"/>
                <w:sz w:val="21"/>
                <w:highlight w:val="none"/>
              </w:rPr>
            </w:pPr>
          </w:p>
        </w:tc>
        <w:tc>
          <w:tcPr>
            <w:tcW w:w="1257" w:type="dxa"/>
            <w:vAlign w:val="top"/>
          </w:tcPr>
          <w:p w14:paraId="22102287">
            <w:pPr>
              <w:rPr>
                <w:rFonts w:ascii="Arial"/>
                <w:color w:val="auto"/>
                <w:sz w:val="21"/>
                <w:highlight w:val="none"/>
              </w:rPr>
            </w:pPr>
          </w:p>
        </w:tc>
        <w:tc>
          <w:tcPr>
            <w:tcW w:w="1261" w:type="dxa"/>
            <w:vAlign w:val="top"/>
          </w:tcPr>
          <w:p w14:paraId="71AE5069">
            <w:pPr>
              <w:rPr>
                <w:rFonts w:ascii="Arial"/>
                <w:color w:val="auto"/>
                <w:sz w:val="21"/>
                <w:highlight w:val="none"/>
              </w:rPr>
            </w:pPr>
          </w:p>
        </w:tc>
      </w:tr>
      <w:tr w14:paraId="4D773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28" w:type="dxa"/>
            <w:vAlign w:val="top"/>
          </w:tcPr>
          <w:p w14:paraId="51CB1EC1">
            <w:pPr>
              <w:rPr>
                <w:rFonts w:ascii="Arial"/>
                <w:color w:val="auto"/>
                <w:sz w:val="21"/>
                <w:highlight w:val="none"/>
              </w:rPr>
            </w:pPr>
          </w:p>
        </w:tc>
        <w:tc>
          <w:tcPr>
            <w:tcW w:w="959" w:type="dxa"/>
            <w:vAlign w:val="top"/>
          </w:tcPr>
          <w:p w14:paraId="00932802">
            <w:pPr>
              <w:rPr>
                <w:rFonts w:ascii="Arial"/>
                <w:color w:val="auto"/>
                <w:sz w:val="21"/>
                <w:highlight w:val="none"/>
              </w:rPr>
            </w:pPr>
          </w:p>
        </w:tc>
        <w:tc>
          <w:tcPr>
            <w:tcW w:w="1257" w:type="dxa"/>
            <w:vAlign w:val="top"/>
          </w:tcPr>
          <w:p w14:paraId="3127E66E">
            <w:pPr>
              <w:rPr>
                <w:rFonts w:ascii="Arial"/>
                <w:color w:val="auto"/>
                <w:sz w:val="21"/>
                <w:highlight w:val="none"/>
              </w:rPr>
            </w:pPr>
          </w:p>
        </w:tc>
        <w:tc>
          <w:tcPr>
            <w:tcW w:w="1257" w:type="dxa"/>
            <w:vAlign w:val="top"/>
          </w:tcPr>
          <w:p w14:paraId="5ED1AF91">
            <w:pPr>
              <w:rPr>
                <w:rFonts w:ascii="Arial"/>
                <w:color w:val="auto"/>
                <w:sz w:val="21"/>
                <w:highlight w:val="none"/>
              </w:rPr>
            </w:pPr>
          </w:p>
        </w:tc>
        <w:tc>
          <w:tcPr>
            <w:tcW w:w="1257" w:type="dxa"/>
            <w:vAlign w:val="top"/>
          </w:tcPr>
          <w:p w14:paraId="048A2336">
            <w:pPr>
              <w:rPr>
                <w:rFonts w:ascii="Arial"/>
                <w:color w:val="auto"/>
                <w:sz w:val="21"/>
                <w:highlight w:val="none"/>
              </w:rPr>
            </w:pPr>
          </w:p>
        </w:tc>
        <w:tc>
          <w:tcPr>
            <w:tcW w:w="1257" w:type="dxa"/>
            <w:vAlign w:val="top"/>
          </w:tcPr>
          <w:p w14:paraId="4B62799B">
            <w:pPr>
              <w:rPr>
                <w:rFonts w:ascii="Arial"/>
                <w:color w:val="auto"/>
                <w:sz w:val="21"/>
                <w:highlight w:val="none"/>
              </w:rPr>
            </w:pPr>
          </w:p>
        </w:tc>
        <w:tc>
          <w:tcPr>
            <w:tcW w:w="1261" w:type="dxa"/>
            <w:vAlign w:val="top"/>
          </w:tcPr>
          <w:p w14:paraId="4CB0932E">
            <w:pPr>
              <w:rPr>
                <w:rFonts w:ascii="Arial"/>
                <w:color w:val="auto"/>
                <w:sz w:val="21"/>
                <w:highlight w:val="none"/>
              </w:rPr>
            </w:pPr>
          </w:p>
        </w:tc>
      </w:tr>
    </w:tbl>
    <w:p w14:paraId="2F2D0C49">
      <w:pPr>
        <w:rPr>
          <w:rFonts w:ascii="Arial"/>
          <w:color w:val="auto"/>
          <w:sz w:val="21"/>
          <w:highlight w:val="none"/>
        </w:rPr>
      </w:pPr>
    </w:p>
    <w:p w14:paraId="4560C22D">
      <w:pPr>
        <w:pStyle w:val="14"/>
        <w:spacing w:before="41" w:line="220" w:lineRule="auto"/>
        <w:ind w:left="1683"/>
        <w:rPr>
          <w:b/>
          <w:bCs/>
          <w:color w:val="auto"/>
          <w:spacing w:val="-2"/>
          <w:sz w:val="21"/>
          <w:szCs w:val="21"/>
          <w:highlight w:val="none"/>
        </w:rPr>
      </w:pPr>
    </w:p>
    <w:p w14:paraId="3D4BC779">
      <w:pPr>
        <w:pStyle w:val="14"/>
        <w:spacing w:before="41" w:line="220" w:lineRule="auto"/>
        <w:ind w:left="1683"/>
        <w:rPr>
          <w:color w:val="auto"/>
          <w:sz w:val="21"/>
          <w:szCs w:val="21"/>
          <w:highlight w:val="none"/>
        </w:rPr>
      </w:pPr>
      <w:r>
        <w:rPr>
          <w:b/>
          <w:bCs/>
          <w:color w:val="auto"/>
          <w:spacing w:val="-2"/>
          <w:sz w:val="21"/>
          <w:szCs w:val="21"/>
          <w:highlight w:val="none"/>
        </w:rPr>
        <w:t>附表二：计划开、竣工日期和施工进度计划</w:t>
      </w:r>
      <w:r>
        <w:rPr>
          <w:b/>
          <w:bCs/>
          <w:color w:val="auto"/>
          <w:spacing w:val="-3"/>
          <w:sz w:val="21"/>
          <w:szCs w:val="21"/>
          <w:highlight w:val="none"/>
        </w:rPr>
        <w:t>（网络图或横道图）</w:t>
      </w:r>
    </w:p>
    <w:p w14:paraId="2112EA57">
      <w:pPr>
        <w:pStyle w:val="14"/>
        <w:spacing w:before="187" w:line="387" w:lineRule="auto"/>
        <w:ind w:left="15" w:right="14" w:firstLine="435"/>
        <w:rPr>
          <w:color w:val="auto"/>
          <w:sz w:val="21"/>
          <w:szCs w:val="21"/>
          <w:highlight w:val="none"/>
        </w:rPr>
      </w:pPr>
      <w:r>
        <w:rPr>
          <w:color w:val="auto"/>
          <w:spacing w:val="1"/>
          <w:sz w:val="21"/>
          <w:szCs w:val="21"/>
          <w:highlight w:val="none"/>
        </w:rPr>
        <w:t>1. 供应商应提交施工进度计划，说明按磋商文件要求的工期进行施工的各</w:t>
      </w:r>
      <w:r>
        <w:rPr>
          <w:color w:val="auto"/>
          <w:sz w:val="21"/>
          <w:szCs w:val="21"/>
          <w:highlight w:val="none"/>
        </w:rPr>
        <w:t>个关键日期。成交的供应商还应按合同条件有关条款的要求提交详细的施工</w:t>
      </w:r>
      <w:r>
        <w:rPr>
          <w:color w:val="auto"/>
          <w:spacing w:val="-1"/>
          <w:sz w:val="21"/>
          <w:szCs w:val="21"/>
          <w:highlight w:val="none"/>
        </w:rPr>
        <w:t>进度计划。</w:t>
      </w:r>
    </w:p>
    <w:p w14:paraId="34AFF375">
      <w:pPr>
        <w:pStyle w:val="14"/>
        <w:spacing w:line="386" w:lineRule="auto"/>
        <w:ind w:left="17" w:right="14" w:firstLine="420"/>
        <w:rPr>
          <w:color w:val="auto"/>
          <w:sz w:val="21"/>
          <w:szCs w:val="21"/>
          <w:highlight w:val="none"/>
        </w:rPr>
      </w:pPr>
      <w:r>
        <w:rPr>
          <w:color w:val="auto"/>
          <w:spacing w:val="1"/>
          <w:sz w:val="21"/>
          <w:szCs w:val="21"/>
          <w:highlight w:val="none"/>
        </w:rPr>
        <w:t>2. 施工进度计划可采用网络图（或横道图）表示，说明计划开工日期和各分项工程各阶段的完</w:t>
      </w:r>
      <w:r>
        <w:rPr>
          <w:color w:val="auto"/>
          <w:spacing w:val="-1"/>
          <w:sz w:val="21"/>
          <w:szCs w:val="21"/>
          <w:highlight w:val="none"/>
        </w:rPr>
        <w:t>工日期和分包合同签订的日期。</w:t>
      </w:r>
    </w:p>
    <w:p w14:paraId="17608AE2">
      <w:pPr>
        <w:pStyle w:val="14"/>
        <w:spacing w:line="221" w:lineRule="auto"/>
        <w:ind w:left="439"/>
        <w:rPr>
          <w:color w:val="auto"/>
          <w:sz w:val="21"/>
          <w:szCs w:val="21"/>
          <w:highlight w:val="none"/>
        </w:rPr>
      </w:pPr>
      <w:r>
        <w:rPr>
          <w:color w:val="auto"/>
          <w:spacing w:val="-1"/>
          <w:sz w:val="21"/>
          <w:szCs w:val="21"/>
          <w:highlight w:val="none"/>
        </w:rPr>
        <w:t>3. 施工进度计划应与施工组织设计相适应。</w:t>
      </w:r>
    </w:p>
    <w:p w14:paraId="0317F9AB">
      <w:pPr>
        <w:spacing w:line="279" w:lineRule="auto"/>
        <w:rPr>
          <w:rFonts w:ascii="Arial"/>
          <w:color w:val="auto"/>
          <w:sz w:val="21"/>
          <w:highlight w:val="none"/>
        </w:rPr>
      </w:pPr>
    </w:p>
    <w:p w14:paraId="10787CCE">
      <w:pPr>
        <w:spacing w:line="280" w:lineRule="auto"/>
        <w:rPr>
          <w:rFonts w:ascii="Arial"/>
          <w:color w:val="auto"/>
          <w:sz w:val="21"/>
          <w:highlight w:val="none"/>
        </w:rPr>
      </w:pPr>
    </w:p>
    <w:p w14:paraId="3C6EC5CE">
      <w:pPr>
        <w:pStyle w:val="14"/>
        <w:spacing w:before="68" w:line="220" w:lineRule="auto"/>
        <w:ind w:left="3581"/>
        <w:rPr>
          <w:color w:val="auto"/>
          <w:sz w:val="21"/>
          <w:szCs w:val="21"/>
          <w:highlight w:val="none"/>
        </w:rPr>
      </w:pPr>
      <w:r>
        <w:rPr>
          <w:b/>
          <w:bCs/>
          <w:color w:val="auto"/>
          <w:spacing w:val="-4"/>
          <w:sz w:val="21"/>
          <w:szCs w:val="21"/>
          <w:highlight w:val="none"/>
        </w:rPr>
        <w:t>附表三：施工总平面图</w:t>
      </w:r>
    </w:p>
    <w:p w14:paraId="73FD7394">
      <w:pPr>
        <w:pStyle w:val="14"/>
        <w:spacing w:before="186" w:line="390" w:lineRule="auto"/>
        <w:ind w:left="25" w:right="9" w:firstLine="417"/>
        <w:rPr>
          <w:color w:val="auto"/>
          <w:sz w:val="21"/>
          <w:szCs w:val="21"/>
          <w:highlight w:val="none"/>
        </w:rPr>
      </w:pPr>
      <w:r>
        <w:rPr>
          <w:color w:val="auto"/>
          <w:spacing w:val="-1"/>
          <w:sz w:val="21"/>
          <w:szCs w:val="21"/>
          <w:highlight w:val="none"/>
        </w:rPr>
        <w:t>供应商应递交一份施工总平面图，绘出现场临时设施布置图</w:t>
      </w:r>
      <w:r>
        <w:rPr>
          <w:color w:val="auto"/>
          <w:spacing w:val="-2"/>
          <w:sz w:val="21"/>
          <w:szCs w:val="21"/>
          <w:highlight w:val="none"/>
        </w:rPr>
        <w:t>表并附文字说明，说明临时设施、加</w:t>
      </w:r>
      <w:r>
        <w:rPr>
          <w:color w:val="auto"/>
          <w:sz w:val="21"/>
          <w:szCs w:val="21"/>
          <w:highlight w:val="none"/>
        </w:rPr>
        <w:t>工车间、现场办公、设备及仓储、供电、供水、卫生、生活、道路、消防等设施的</w:t>
      </w:r>
      <w:r>
        <w:rPr>
          <w:color w:val="auto"/>
          <w:spacing w:val="-1"/>
          <w:sz w:val="21"/>
          <w:szCs w:val="21"/>
          <w:highlight w:val="none"/>
        </w:rPr>
        <w:t>情况和布置。</w:t>
      </w:r>
    </w:p>
    <w:p w14:paraId="6F622B01">
      <w:pPr>
        <w:spacing w:line="267" w:lineRule="auto"/>
        <w:rPr>
          <w:rFonts w:ascii="Arial"/>
          <w:color w:val="auto"/>
          <w:sz w:val="21"/>
          <w:highlight w:val="none"/>
        </w:rPr>
      </w:pPr>
    </w:p>
    <w:p w14:paraId="37B45945">
      <w:pPr>
        <w:spacing w:line="268" w:lineRule="auto"/>
        <w:rPr>
          <w:rFonts w:ascii="Arial"/>
          <w:color w:val="auto"/>
          <w:sz w:val="21"/>
          <w:highlight w:val="none"/>
        </w:rPr>
      </w:pPr>
    </w:p>
    <w:p w14:paraId="35A9A9C2">
      <w:pPr>
        <w:spacing w:line="268" w:lineRule="auto"/>
        <w:rPr>
          <w:rFonts w:ascii="Arial"/>
          <w:color w:val="auto"/>
          <w:sz w:val="21"/>
          <w:highlight w:val="none"/>
        </w:rPr>
      </w:pPr>
    </w:p>
    <w:p w14:paraId="25A832AB">
      <w:pPr>
        <w:pStyle w:val="14"/>
        <w:spacing w:before="69" w:line="220" w:lineRule="auto"/>
        <w:ind w:left="3684"/>
        <w:rPr>
          <w:color w:val="auto"/>
          <w:sz w:val="21"/>
          <w:szCs w:val="21"/>
          <w:highlight w:val="none"/>
        </w:rPr>
      </w:pPr>
      <w:r>
        <w:rPr>
          <w:b/>
          <w:bCs/>
          <w:color w:val="auto"/>
          <w:spacing w:val="-4"/>
          <w:sz w:val="21"/>
          <w:szCs w:val="21"/>
          <w:highlight w:val="none"/>
        </w:rPr>
        <w:t>附表四：临时用地表</w:t>
      </w:r>
    </w:p>
    <w:p w14:paraId="2BD003D1">
      <w:pPr>
        <w:spacing w:line="16" w:lineRule="exact"/>
        <w:rPr>
          <w:color w:val="auto"/>
          <w:highlight w:val="none"/>
        </w:rPr>
      </w:pPr>
    </w:p>
    <w:tbl>
      <w:tblPr>
        <w:tblStyle w:val="89"/>
        <w:tblW w:w="92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60"/>
        <w:gridCol w:w="2355"/>
        <w:gridCol w:w="2355"/>
        <w:gridCol w:w="2140"/>
      </w:tblGrid>
      <w:tr w14:paraId="1BFCE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360" w:type="dxa"/>
            <w:vAlign w:val="top"/>
          </w:tcPr>
          <w:p w14:paraId="7A165512">
            <w:pPr>
              <w:pStyle w:val="88"/>
              <w:spacing w:before="264" w:line="222" w:lineRule="auto"/>
              <w:ind w:left="979"/>
              <w:rPr>
                <w:color w:val="auto"/>
                <w:highlight w:val="none"/>
              </w:rPr>
            </w:pPr>
            <w:r>
              <w:rPr>
                <w:b/>
                <w:bCs/>
                <w:color w:val="auto"/>
                <w:spacing w:val="-7"/>
                <w:highlight w:val="none"/>
              </w:rPr>
              <w:t>用途</w:t>
            </w:r>
          </w:p>
        </w:tc>
        <w:tc>
          <w:tcPr>
            <w:tcW w:w="2355" w:type="dxa"/>
            <w:vAlign w:val="top"/>
          </w:tcPr>
          <w:p w14:paraId="470C9D3C">
            <w:pPr>
              <w:pStyle w:val="88"/>
              <w:spacing w:before="265" w:line="220" w:lineRule="auto"/>
              <w:ind w:left="447"/>
              <w:rPr>
                <w:color w:val="auto"/>
                <w:highlight w:val="none"/>
              </w:rPr>
            </w:pPr>
            <w:r>
              <w:rPr>
                <w:b/>
                <w:bCs/>
                <w:color w:val="auto"/>
                <w:spacing w:val="-3"/>
                <w:highlight w:val="none"/>
              </w:rPr>
              <w:t>面积（平方米）</w:t>
            </w:r>
          </w:p>
        </w:tc>
        <w:tc>
          <w:tcPr>
            <w:tcW w:w="2355" w:type="dxa"/>
            <w:vAlign w:val="top"/>
          </w:tcPr>
          <w:p w14:paraId="763E0C51">
            <w:pPr>
              <w:pStyle w:val="88"/>
              <w:spacing w:before="264" w:line="222" w:lineRule="auto"/>
              <w:ind w:left="976"/>
              <w:rPr>
                <w:color w:val="auto"/>
                <w:highlight w:val="none"/>
              </w:rPr>
            </w:pPr>
            <w:r>
              <w:rPr>
                <w:b/>
                <w:bCs/>
                <w:color w:val="auto"/>
                <w:spacing w:val="-6"/>
                <w:highlight w:val="none"/>
              </w:rPr>
              <w:t>位置</w:t>
            </w:r>
          </w:p>
        </w:tc>
        <w:tc>
          <w:tcPr>
            <w:tcW w:w="2140" w:type="dxa"/>
            <w:vAlign w:val="top"/>
          </w:tcPr>
          <w:p w14:paraId="06F5FBA6">
            <w:pPr>
              <w:pStyle w:val="88"/>
              <w:spacing w:before="264" w:line="221" w:lineRule="auto"/>
              <w:ind w:left="665"/>
              <w:rPr>
                <w:color w:val="auto"/>
                <w:highlight w:val="none"/>
              </w:rPr>
            </w:pPr>
            <w:r>
              <w:rPr>
                <w:b/>
                <w:bCs/>
                <w:color w:val="auto"/>
                <w:spacing w:val="-6"/>
                <w:highlight w:val="none"/>
              </w:rPr>
              <w:t>需用时间</w:t>
            </w:r>
          </w:p>
        </w:tc>
      </w:tr>
      <w:tr w14:paraId="72771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360" w:type="dxa"/>
            <w:vAlign w:val="top"/>
          </w:tcPr>
          <w:p w14:paraId="52985965">
            <w:pPr>
              <w:rPr>
                <w:rFonts w:ascii="Arial"/>
                <w:color w:val="auto"/>
                <w:sz w:val="21"/>
                <w:highlight w:val="none"/>
              </w:rPr>
            </w:pPr>
          </w:p>
        </w:tc>
        <w:tc>
          <w:tcPr>
            <w:tcW w:w="2355" w:type="dxa"/>
            <w:vAlign w:val="top"/>
          </w:tcPr>
          <w:p w14:paraId="6C78D5C4">
            <w:pPr>
              <w:rPr>
                <w:rFonts w:ascii="Arial"/>
                <w:color w:val="auto"/>
                <w:sz w:val="21"/>
                <w:highlight w:val="none"/>
              </w:rPr>
            </w:pPr>
          </w:p>
        </w:tc>
        <w:tc>
          <w:tcPr>
            <w:tcW w:w="2355" w:type="dxa"/>
            <w:vAlign w:val="top"/>
          </w:tcPr>
          <w:p w14:paraId="5ACA3D9C">
            <w:pPr>
              <w:rPr>
                <w:rFonts w:ascii="Arial"/>
                <w:color w:val="auto"/>
                <w:sz w:val="21"/>
                <w:highlight w:val="none"/>
              </w:rPr>
            </w:pPr>
          </w:p>
        </w:tc>
        <w:tc>
          <w:tcPr>
            <w:tcW w:w="2140" w:type="dxa"/>
            <w:vAlign w:val="top"/>
          </w:tcPr>
          <w:p w14:paraId="0A52F97D">
            <w:pPr>
              <w:rPr>
                <w:rFonts w:ascii="Arial"/>
                <w:color w:val="auto"/>
                <w:sz w:val="21"/>
                <w:highlight w:val="none"/>
              </w:rPr>
            </w:pPr>
          </w:p>
        </w:tc>
      </w:tr>
      <w:tr w14:paraId="3341B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60" w:type="dxa"/>
            <w:vAlign w:val="top"/>
          </w:tcPr>
          <w:p w14:paraId="294ABE9B">
            <w:pPr>
              <w:rPr>
                <w:rFonts w:ascii="Arial"/>
                <w:color w:val="auto"/>
                <w:sz w:val="21"/>
                <w:highlight w:val="none"/>
              </w:rPr>
            </w:pPr>
          </w:p>
        </w:tc>
        <w:tc>
          <w:tcPr>
            <w:tcW w:w="2355" w:type="dxa"/>
            <w:vAlign w:val="top"/>
          </w:tcPr>
          <w:p w14:paraId="16BD37D4">
            <w:pPr>
              <w:rPr>
                <w:rFonts w:ascii="Arial"/>
                <w:color w:val="auto"/>
                <w:sz w:val="21"/>
                <w:highlight w:val="none"/>
              </w:rPr>
            </w:pPr>
          </w:p>
        </w:tc>
        <w:tc>
          <w:tcPr>
            <w:tcW w:w="2355" w:type="dxa"/>
            <w:vAlign w:val="top"/>
          </w:tcPr>
          <w:p w14:paraId="0AC9EE96">
            <w:pPr>
              <w:rPr>
                <w:rFonts w:ascii="Arial"/>
                <w:color w:val="auto"/>
                <w:sz w:val="21"/>
                <w:highlight w:val="none"/>
              </w:rPr>
            </w:pPr>
          </w:p>
        </w:tc>
        <w:tc>
          <w:tcPr>
            <w:tcW w:w="2140" w:type="dxa"/>
            <w:vAlign w:val="top"/>
          </w:tcPr>
          <w:p w14:paraId="247BE481">
            <w:pPr>
              <w:rPr>
                <w:rFonts w:ascii="Arial"/>
                <w:color w:val="auto"/>
                <w:sz w:val="21"/>
                <w:highlight w:val="none"/>
              </w:rPr>
            </w:pPr>
          </w:p>
        </w:tc>
      </w:tr>
      <w:tr w14:paraId="3ED2F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360" w:type="dxa"/>
            <w:vAlign w:val="top"/>
          </w:tcPr>
          <w:p w14:paraId="1A76DC40">
            <w:pPr>
              <w:rPr>
                <w:rFonts w:ascii="Arial"/>
                <w:color w:val="auto"/>
                <w:sz w:val="21"/>
                <w:highlight w:val="none"/>
              </w:rPr>
            </w:pPr>
          </w:p>
        </w:tc>
        <w:tc>
          <w:tcPr>
            <w:tcW w:w="2355" w:type="dxa"/>
            <w:vAlign w:val="top"/>
          </w:tcPr>
          <w:p w14:paraId="049705C5">
            <w:pPr>
              <w:rPr>
                <w:rFonts w:ascii="Arial"/>
                <w:color w:val="auto"/>
                <w:sz w:val="21"/>
                <w:highlight w:val="none"/>
              </w:rPr>
            </w:pPr>
          </w:p>
        </w:tc>
        <w:tc>
          <w:tcPr>
            <w:tcW w:w="2355" w:type="dxa"/>
            <w:vAlign w:val="top"/>
          </w:tcPr>
          <w:p w14:paraId="58325CB5">
            <w:pPr>
              <w:rPr>
                <w:rFonts w:ascii="Arial"/>
                <w:color w:val="auto"/>
                <w:sz w:val="21"/>
                <w:highlight w:val="none"/>
              </w:rPr>
            </w:pPr>
          </w:p>
        </w:tc>
        <w:tc>
          <w:tcPr>
            <w:tcW w:w="2140" w:type="dxa"/>
            <w:vAlign w:val="top"/>
          </w:tcPr>
          <w:p w14:paraId="0D8D7CA4">
            <w:pPr>
              <w:rPr>
                <w:rFonts w:ascii="Arial"/>
                <w:color w:val="auto"/>
                <w:sz w:val="21"/>
                <w:highlight w:val="none"/>
              </w:rPr>
            </w:pPr>
          </w:p>
        </w:tc>
      </w:tr>
      <w:tr w14:paraId="65B2F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360" w:type="dxa"/>
            <w:vAlign w:val="top"/>
          </w:tcPr>
          <w:p w14:paraId="63FED89F">
            <w:pPr>
              <w:rPr>
                <w:rFonts w:ascii="Arial"/>
                <w:color w:val="auto"/>
                <w:sz w:val="21"/>
                <w:highlight w:val="none"/>
              </w:rPr>
            </w:pPr>
          </w:p>
        </w:tc>
        <w:tc>
          <w:tcPr>
            <w:tcW w:w="2355" w:type="dxa"/>
            <w:vAlign w:val="top"/>
          </w:tcPr>
          <w:p w14:paraId="10147307">
            <w:pPr>
              <w:rPr>
                <w:rFonts w:ascii="Arial"/>
                <w:color w:val="auto"/>
                <w:sz w:val="21"/>
                <w:highlight w:val="none"/>
              </w:rPr>
            </w:pPr>
          </w:p>
        </w:tc>
        <w:tc>
          <w:tcPr>
            <w:tcW w:w="2355" w:type="dxa"/>
            <w:vAlign w:val="top"/>
          </w:tcPr>
          <w:p w14:paraId="3C330DC0">
            <w:pPr>
              <w:rPr>
                <w:rFonts w:ascii="Arial"/>
                <w:color w:val="auto"/>
                <w:sz w:val="21"/>
                <w:highlight w:val="none"/>
              </w:rPr>
            </w:pPr>
          </w:p>
        </w:tc>
        <w:tc>
          <w:tcPr>
            <w:tcW w:w="2140" w:type="dxa"/>
            <w:vAlign w:val="top"/>
          </w:tcPr>
          <w:p w14:paraId="616791F0">
            <w:pPr>
              <w:rPr>
                <w:rFonts w:ascii="Arial"/>
                <w:color w:val="auto"/>
                <w:sz w:val="21"/>
                <w:highlight w:val="none"/>
              </w:rPr>
            </w:pPr>
          </w:p>
        </w:tc>
      </w:tr>
    </w:tbl>
    <w:p w14:paraId="17E63BB2">
      <w:pPr>
        <w:rPr>
          <w:rFonts w:ascii="Arial"/>
          <w:color w:val="auto"/>
          <w:sz w:val="21"/>
          <w:highlight w:val="none"/>
        </w:rPr>
      </w:pPr>
    </w:p>
    <w:p w14:paraId="1C9DC0D2">
      <w:pPr>
        <w:rPr>
          <w:rFonts w:ascii="Arial" w:hAnsi="Arial" w:eastAsia="Arial" w:cs="Arial"/>
          <w:color w:val="auto"/>
          <w:sz w:val="21"/>
          <w:szCs w:val="21"/>
          <w:highlight w:val="none"/>
        </w:rPr>
        <w:sectPr>
          <w:footerReference r:id="rId4" w:type="default"/>
          <w:pgSz w:w="11900" w:h="16840"/>
          <w:pgMar w:top="1379" w:right="1280" w:bottom="848" w:left="1403" w:header="0" w:footer="648" w:gutter="0"/>
          <w:cols w:space="720" w:num="1"/>
        </w:sectPr>
      </w:pPr>
    </w:p>
    <w:p w14:paraId="198440A7">
      <w:pPr>
        <w:spacing w:line="296" w:lineRule="auto"/>
        <w:rPr>
          <w:rFonts w:ascii="Arial"/>
          <w:color w:val="auto"/>
          <w:sz w:val="21"/>
          <w:highlight w:val="none"/>
        </w:rPr>
      </w:pPr>
    </w:p>
    <w:p w14:paraId="4C498132">
      <w:pPr>
        <w:pStyle w:val="14"/>
        <w:spacing w:before="101" w:line="224" w:lineRule="auto"/>
        <w:ind w:left="3389"/>
        <w:rPr>
          <w:color w:val="auto"/>
          <w:highlight w:val="none"/>
        </w:rPr>
      </w:pPr>
      <w:r>
        <w:rPr>
          <w:b/>
          <w:bCs/>
          <w:color w:val="auto"/>
          <w:spacing w:val="6"/>
          <w:highlight w:val="none"/>
        </w:rPr>
        <w:t>拟分包项目情况表</w:t>
      </w:r>
    </w:p>
    <w:p w14:paraId="57A2BA52">
      <w:pPr>
        <w:spacing w:line="292" w:lineRule="auto"/>
        <w:rPr>
          <w:rFonts w:ascii="Arial"/>
          <w:color w:val="auto"/>
          <w:sz w:val="21"/>
          <w:highlight w:val="none"/>
        </w:rPr>
      </w:pPr>
    </w:p>
    <w:p w14:paraId="2111C823">
      <w:pPr>
        <w:spacing w:line="292" w:lineRule="auto"/>
        <w:rPr>
          <w:rFonts w:ascii="Arial"/>
          <w:color w:val="auto"/>
          <w:sz w:val="21"/>
          <w:highlight w:val="none"/>
        </w:rPr>
      </w:pPr>
    </w:p>
    <w:p w14:paraId="6503DDF0">
      <w:pPr>
        <w:pStyle w:val="14"/>
        <w:spacing w:before="78" w:line="220" w:lineRule="auto"/>
        <w:ind w:left="79"/>
        <w:rPr>
          <w:color w:val="auto"/>
          <w:sz w:val="24"/>
          <w:szCs w:val="24"/>
          <w:highlight w:val="none"/>
        </w:rPr>
      </w:pPr>
      <w:r>
        <w:rPr>
          <w:color w:val="auto"/>
          <w:spacing w:val="-3"/>
          <w:sz w:val="24"/>
          <w:szCs w:val="24"/>
          <w:highlight w:val="none"/>
        </w:rPr>
        <w:t>分标（如有</w:t>
      </w:r>
      <w:r>
        <w:rPr>
          <w:color w:val="auto"/>
          <w:sz w:val="24"/>
          <w:szCs w:val="24"/>
          <w:highlight w:val="none"/>
        </w:rPr>
        <w:t>）：</w:t>
      </w:r>
      <w:r>
        <w:rPr>
          <w:color w:val="auto"/>
          <w:sz w:val="24"/>
          <w:szCs w:val="24"/>
          <w:highlight w:val="none"/>
          <w:u w:val="single" w:color="auto"/>
        </w:rPr>
        <w:t xml:space="preserve">                 </w:t>
      </w:r>
    </w:p>
    <w:p w14:paraId="23FEB646">
      <w:pPr>
        <w:spacing w:line="93" w:lineRule="auto"/>
        <w:rPr>
          <w:rFonts w:ascii="Arial"/>
          <w:color w:val="auto"/>
          <w:sz w:val="2"/>
          <w:highlight w:val="none"/>
        </w:rPr>
      </w:pPr>
    </w:p>
    <w:tbl>
      <w:tblPr>
        <w:tblStyle w:val="89"/>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50"/>
        <w:gridCol w:w="1123"/>
        <w:gridCol w:w="1089"/>
        <w:gridCol w:w="1194"/>
        <w:gridCol w:w="1269"/>
        <w:gridCol w:w="676"/>
      </w:tblGrid>
      <w:tr w14:paraId="5F93E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textDirection w:val="tbRlV"/>
            <w:vAlign w:val="top"/>
          </w:tcPr>
          <w:p w14:paraId="662F3F06">
            <w:pPr>
              <w:pStyle w:val="88"/>
              <w:spacing w:before="177" w:line="211" w:lineRule="auto"/>
              <w:ind w:left="199"/>
              <w:rPr>
                <w:color w:val="auto"/>
                <w:highlight w:val="none"/>
              </w:rPr>
            </w:pPr>
            <w:r>
              <w:rPr>
                <w:color w:val="auto"/>
                <w:highlight w:val="none"/>
              </w:rPr>
              <w:t>序</w:t>
            </w:r>
            <w:r>
              <w:rPr>
                <w:color w:val="auto"/>
                <w:spacing w:val="85"/>
                <w:highlight w:val="none"/>
              </w:rPr>
              <w:t xml:space="preserve"> </w:t>
            </w:r>
            <w:r>
              <w:rPr>
                <w:color w:val="auto"/>
                <w:highlight w:val="none"/>
              </w:rPr>
              <w:t>号</w:t>
            </w:r>
          </w:p>
        </w:tc>
        <w:tc>
          <w:tcPr>
            <w:tcW w:w="1693" w:type="dxa"/>
            <w:vMerge w:val="restart"/>
            <w:tcBorders>
              <w:bottom w:val="nil"/>
            </w:tcBorders>
            <w:vAlign w:val="top"/>
          </w:tcPr>
          <w:p w14:paraId="5DE350DC">
            <w:pPr>
              <w:pStyle w:val="88"/>
              <w:spacing w:before="200" w:line="314" w:lineRule="auto"/>
              <w:ind w:left="112" w:right="108" w:firstLine="106"/>
              <w:rPr>
                <w:color w:val="auto"/>
                <w:highlight w:val="none"/>
              </w:rPr>
            </w:pPr>
            <w:r>
              <w:rPr>
                <w:color w:val="auto"/>
                <w:spacing w:val="-1"/>
                <w:highlight w:val="none"/>
              </w:rPr>
              <w:t>拟分包项目名称、范围及理由</w:t>
            </w:r>
          </w:p>
        </w:tc>
        <w:tc>
          <w:tcPr>
            <w:tcW w:w="6376" w:type="dxa"/>
            <w:gridSpan w:val="6"/>
            <w:vAlign w:val="top"/>
          </w:tcPr>
          <w:p w14:paraId="303DF16B">
            <w:pPr>
              <w:pStyle w:val="88"/>
              <w:spacing w:before="168" w:line="220" w:lineRule="auto"/>
              <w:ind w:left="2668"/>
              <w:rPr>
                <w:color w:val="auto"/>
                <w:highlight w:val="none"/>
              </w:rPr>
            </w:pPr>
            <w:r>
              <w:rPr>
                <w:color w:val="auto"/>
                <w:spacing w:val="-1"/>
                <w:highlight w:val="none"/>
              </w:rPr>
              <w:t>拟选分包人</w:t>
            </w:r>
          </w:p>
        </w:tc>
        <w:tc>
          <w:tcPr>
            <w:tcW w:w="676" w:type="dxa"/>
            <w:vMerge w:val="restart"/>
            <w:tcBorders>
              <w:bottom w:val="nil"/>
            </w:tcBorders>
            <w:vAlign w:val="top"/>
          </w:tcPr>
          <w:p w14:paraId="1EB9198E">
            <w:pPr>
              <w:spacing w:line="331" w:lineRule="auto"/>
              <w:rPr>
                <w:rFonts w:ascii="Arial"/>
                <w:color w:val="auto"/>
                <w:sz w:val="21"/>
                <w:highlight w:val="none"/>
              </w:rPr>
            </w:pPr>
          </w:p>
          <w:p w14:paraId="287BB371">
            <w:pPr>
              <w:pStyle w:val="88"/>
              <w:spacing w:before="68" w:line="222" w:lineRule="auto"/>
              <w:ind w:left="135"/>
              <w:rPr>
                <w:color w:val="auto"/>
                <w:highlight w:val="none"/>
              </w:rPr>
            </w:pPr>
            <w:r>
              <w:rPr>
                <w:color w:val="auto"/>
                <w:spacing w:val="-5"/>
                <w:highlight w:val="none"/>
              </w:rPr>
              <w:t>备注</w:t>
            </w:r>
          </w:p>
        </w:tc>
      </w:tr>
      <w:tr w14:paraId="7FF5E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textDirection w:val="tbRlV"/>
            <w:vAlign w:val="top"/>
          </w:tcPr>
          <w:p w14:paraId="0463EE17">
            <w:pPr>
              <w:rPr>
                <w:rFonts w:ascii="Arial"/>
                <w:color w:val="auto"/>
                <w:sz w:val="21"/>
                <w:highlight w:val="none"/>
              </w:rPr>
            </w:pPr>
          </w:p>
        </w:tc>
        <w:tc>
          <w:tcPr>
            <w:tcW w:w="1693" w:type="dxa"/>
            <w:vMerge w:val="continue"/>
            <w:tcBorders>
              <w:top w:val="nil"/>
            </w:tcBorders>
            <w:vAlign w:val="top"/>
          </w:tcPr>
          <w:p w14:paraId="2E63EC0A">
            <w:pPr>
              <w:rPr>
                <w:rFonts w:ascii="Arial"/>
                <w:color w:val="auto"/>
                <w:sz w:val="21"/>
                <w:highlight w:val="none"/>
              </w:rPr>
            </w:pPr>
          </w:p>
        </w:tc>
        <w:tc>
          <w:tcPr>
            <w:tcW w:w="1701" w:type="dxa"/>
            <w:gridSpan w:val="2"/>
            <w:vAlign w:val="top"/>
          </w:tcPr>
          <w:p w14:paraId="03E7CBEA">
            <w:pPr>
              <w:pStyle w:val="88"/>
              <w:spacing w:before="164" w:line="220" w:lineRule="auto"/>
              <w:ind w:left="120"/>
              <w:rPr>
                <w:color w:val="auto"/>
                <w:highlight w:val="none"/>
              </w:rPr>
            </w:pPr>
            <w:r>
              <w:rPr>
                <w:color w:val="auto"/>
                <w:spacing w:val="-1"/>
                <w:highlight w:val="none"/>
              </w:rPr>
              <w:t>拟选分包人名称</w:t>
            </w:r>
          </w:p>
        </w:tc>
        <w:tc>
          <w:tcPr>
            <w:tcW w:w="1123" w:type="dxa"/>
            <w:vAlign w:val="top"/>
          </w:tcPr>
          <w:p w14:paraId="6FC8308E">
            <w:pPr>
              <w:pStyle w:val="88"/>
              <w:spacing w:before="165" w:line="221" w:lineRule="auto"/>
              <w:ind w:left="144"/>
              <w:rPr>
                <w:color w:val="auto"/>
                <w:highlight w:val="none"/>
              </w:rPr>
            </w:pPr>
            <w:r>
              <w:rPr>
                <w:color w:val="auto"/>
                <w:spacing w:val="-2"/>
                <w:highlight w:val="none"/>
              </w:rPr>
              <w:t>注册地点</w:t>
            </w:r>
          </w:p>
        </w:tc>
        <w:tc>
          <w:tcPr>
            <w:tcW w:w="1089" w:type="dxa"/>
            <w:vAlign w:val="top"/>
          </w:tcPr>
          <w:p w14:paraId="5A05D11D">
            <w:pPr>
              <w:pStyle w:val="88"/>
              <w:spacing w:before="164" w:line="219" w:lineRule="auto"/>
              <w:ind w:left="131"/>
              <w:rPr>
                <w:color w:val="auto"/>
                <w:highlight w:val="none"/>
              </w:rPr>
            </w:pPr>
            <w:r>
              <w:rPr>
                <w:color w:val="auto"/>
                <w:spacing w:val="-3"/>
                <w:highlight w:val="none"/>
              </w:rPr>
              <w:t>企业资质</w:t>
            </w:r>
          </w:p>
        </w:tc>
        <w:tc>
          <w:tcPr>
            <w:tcW w:w="1194" w:type="dxa"/>
            <w:vAlign w:val="top"/>
          </w:tcPr>
          <w:p w14:paraId="7D495351">
            <w:pPr>
              <w:pStyle w:val="88"/>
              <w:spacing w:before="164" w:line="218" w:lineRule="auto"/>
              <w:ind w:left="182"/>
              <w:rPr>
                <w:color w:val="auto"/>
                <w:highlight w:val="none"/>
              </w:rPr>
            </w:pPr>
            <w:r>
              <w:rPr>
                <w:color w:val="auto"/>
                <w:spacing w:val="-2"/>
                <w:highlight w:val="none"/>
              </w:rPr>
              <w:t>有关业绩</w:t>
            </w:r>
          </w:p>
        </w:tc>
        <w:tc>
          <w:tcPr>
            <w:tcW w:w="1269" w:type="dxa"/>
            <w:vAlign w:val="top"/>
          </w:tcPr>
          <w:p w14:paraId="4C0C2CEF">
            <w:pPr>
              <w:pStyle w:val="88"/>
              <w:spacing w:before="164" w:line="219" w:lineRule="auto"/>
              <w:ind w:left="115"/>
              <w:rPr>
                <w:color w:val="auto"/>
                <w:highlight w:val="none"/>
              </w:rPr>
            </w:pPr>
            <w:r>
              <w:rPr>
                <w:color w:val="auto"/>
                <w:spacing w:val="-1"/>
                <w:highlight w:val="none"/>
              </w:rPr>
              <w:t>拟分包金额</w:t>
            </w:r>
          </w:p>
        </w:tc>
        <w:tc>
          <w:tcPr>
            <w:tcW w:w="676" w:type="dxa"/>
            <w:vMerge w:val="continue"/>
            <w:tcBorders>
              <w:top w:val="nil"/>
            </w:tcBorders>
            <w:vAlign w:val="top"/>
          </w:tcPr>
          <w:p w14:paraId="798C3471">
            <w:pPr>
              <w:rPr>
                <w:rFonts w:ascii="Arial"/>
                <w:color w:val="auto"/>
                <w:sz w:val="21"/>
                <w:highlight w:val="none"/>
              </w:rPr>
            </w:pPr>
          </w:p>
        </w:tc>
      </w:tr>
      <w:tr w14:paraId="080AC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vAlign w:val="top"/>
          </w:tcPr>
          <w:p w14:paraId="38F050CA">
            <w:pPr>
              <w:rPr>
                <w:rFonts w:ascii="Arial"/>
                <w:color w:val="auto"/>
                <w:sz w:val="21"/>
                <w:highlight w:val="none"/>
              </w:rPr>
            </w:pPr>
          </w:p>
        </w:tc>
        <w:tc>
          <w:tcPr>
            <w:tcW w:w="1693" w:type="dxa"/>
            <w:vMerge w:val="restart"/>
            <w:tcBorders>
              <w:bottom w:val="nil"/>
            </w:tcBorders>
            <w:vAlign w:val="top"/>
          </w:tcPr>
          <w:p w14:paraId="5CC80CD5">
            <w:pPr>
              <w:rPr>
                <w:rFonts w:ascii="Arial"/>
                <w:color w:val="auto"/>
                <w:sz w:val="21"/>
                <w:highlight w:val="none"/>
              </w:rPr>
            </w:pPr>
          </w:p>
        </w:tc>
        <w:tc>
          <w:tcPr>
            <w:tcW w:w="751" w:type="dxa"/>
            <w:vAlign w:val="top"/>
          </w:tcPr>
          <w:p w14:paraId="51387535">
            <w:pPr>
              <w:pStyle w:val="88"/>
              <w:spacing w:before="167" w:line="242" w:lineRule="auto"/>
              <w:ind w:left="342"/>
              <w:rPr>
                <w:color w:val="auto"/>
                <w:highlight w:val="none"/>
              </w:rPr>
            </w:pPr>
            <w:r>
              <w:rPr>
                <w:color w:val="auto"/>
                <w:highlight w:val="none"/>
              </w:rPr>
              <w:t>1</w:t>
            </w:r>
          </w:p>
        </w:tc>
        <w:tc>
          <w:tcPr>
            <w:tcW w:w="950" w:type="dxa"/>
            <w:vAlign w:val="top"/>
          </w:tcPr>
          <w:p w14:paraId="4077695C">
            <w:pPr>
              <w:rPr>
                <w:rFonts w:ascii="Arial"/>
                <w:color w:val="auto"/>
                <w:sz w:val="21"/>
                <w:highlight w:val="none"/>
              </w:rPr>
            </w:pPr>
          </w:p>
        </w:tc>
        <w:tc>
          <w:tcPr>
            <w:tcW w:w="1123" w:type="dxa"/>
            <w:vAlign w:val="top"/>
          </w:tcPr>
          <w:p w14:paraId="12AAAC97">
            <w:pPr>
              <w:rPr>
                <w:rFonts w:ascii="Arial"/>
                <w:color w:val="auto"/>
                <w:sz w:val="21"/>
                <w:highlight w:val="none"/>
              </w:rPr>
            </w:pPr>
          </w:p>
        </w:tc>
        <w:tc>
          <w:tcPr>
            <w:tcW w:w="1089" w:type="dxa"/>
            <w:vAlign w:val="top"/>
          </w:tcPr>
          <w:p w14:paraId="20EC482B">
            <w:pPr>
              <w:rPr>
                <w:rFonts w:ascii="Arial"/>
                <w:color w:val="auto"/>
                <w:sz w:val="21"/>
                <w:highlight w:val="none"/>
              </w:rPr>
            </w:pPr>
          </w:p>
        </w:tc>
        <w:tc>
          <w:tcPr>
            <w:tcW w:w="1194" w:type="dxa"/>
            <w:vAlign w:val="top"/>
          </w:tcPr>
          <w:p w14:paraId="1C9A4A04">
            <w:pPr>
              <w:rPr>
                <w:rFonts w:ascii="Arial"/>
                <w:color w:val="auto"/>
                <w:sz w:val="21"/>
                <w:highlight w:val="none"/>
              </w:rPr>
            </w:pPr>
          </w:p>
        </w:tc>
        <w:tc>
          <w:tcPr>
            <w:tcW w:w="1269" w:type="dxa"/>
            <w:vAlign w:val="top"/>
          </w:tcPr>
          <w:p w14:paraId="1F10663B">
            <w:pPr>
              <w:rPr>
                <w:rFonts w:ascii="Arial"/>
                <w:color w:val="auto"/>
                <w:sz w:val="21"/>
                <w:highlight w:val="none"/>
              </w:rPr>
            </w:pPr>
          </w:p>
        </w:tc>
        <w:tc>
          <w:tcPr>
            <w:tcW w:w="676" w:type="dxa"/>
            <w:vAlign w:val="top"/>
          </w:tcPr>
          <w:p w14:paraId="4F6BFE97">
            <w:pPr>
              <w:rPr>
                <w:rFonts w:ascii="Arial"/>
                <w:color w:val="auto"/>
                <w:sz w:val="21"/>
                <w:highlight w:val="none"/>
              </w:rPr>
            </w:pPr>
          </w:p>
        </w:tc>
      </w:tr>
      <w:tr w14:paraId="56DC8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bottom w:val="nil"/>
            </w:tcBorders>
            <w:vAlign w:val="top"/>
          </w:tcPr>
          <w:p w14:paraId="72022860">
            <w:pPr>
              <w:rPr>
                <w:rFonts w:ascii="Arial"/>
                <w:color w:val="auto"/>
                <w:sz w:val="21"/>
                <w:highlight w:val="none"/>
              </w:rPr>
            </w:pPr>
          </w:p>
        </w:tc>
        <w:tc>
          <w:tcPr>
            <w:tcW w:w="1693" w:type="dxa"/>
            <w:vMerge w:val="continue"/>
            <w:tcBorders>
              <w:top w:val="nil"/>
              <w:bottom w:val="nil"/>
            </w:tcBorders>
            <w:vAlign w:val="top"/>
          </w:tcPr>
          <w:p w14:paraId="204A51B8">
            <w:pPr>
              <w:rPr>
                <w:rFonts w:ascii="Arial"/>
                <w:color w:val="auto"/>
                <w:sz w:val="21"/>
                <w:highlight w:val="none"/>
              </w:rPr>
            </w:pPr>
          </w:p>
        </w:tc>
        <w:tc>
          <w:tcPr>
            <w:tcW w:w="751" w:type="dxa"/>
            <w:vAlign w:val="top"/>
          </w:tcPr>
          <w:p w14:paraId="4BEF76C4">
            <w:pPr>
              <w:pStyle w:val="88"/>
              <w:spacing w:before="165" w:line="242" w:lineRule="auto"/>
              <w:ind w:left="328"/>
              <w:rPr>
                <w:color w:val="auto"/>
                <w:highlight w:val="none"/>
              </w:rPr>
            </w:pPr>
            <w:r>
              <w:rPr>
                <w:color w:val="auto"/>
                <w:highlight w:val="none"/>
              </w:rPr>
              <w:t>2</w:t>
            </w:r>
          </w:p>
        </w:tc>
        <w:tc>
          <w:tcPr>
            <w:tcW w:w="950" w:type="dxa"/>
            <w:vAlign w:val="top"/>
          </w:tcPr>
          <w:p w14:paraId="0DEA3377">
            <w:pPr>
              <w:rPr>
                <w:rFonts w:ascii="Arial"/>
                <w:color w:val="auto"/>
                <w:sz w:val="21"/>
                <w:highlight w:val="none"/>
              </w:rPr>
            </w:pPr>
          </w:p>
        </w:tc>
        <w:tc>
          <w:tcPr>
            <w:tcW w:w="1123" w:type="dxa"/>
            <w:vAlign w:val="top"/>
          </w:tcPr>
          <w:p w14:paraId="023A0752">
            <w:pPr>
              <w:rPr>
                <w:rFonts w:ascii="Arial"/>
                <w:color w:val="auto"/>
                <w:sz w:val="21"/>
                <w:highlight w:val="none"/>
              </w:rPr>
            </w:pPr>
          </w:p>
        </w:tc>
        <w:tc>
          <w:tcPr>
            <w:tcW w:w="1089" w:type="dxa"/>
            <w:vAlign w:val="top"/>
          </w:tcPr>
          <w:p w14:paraId="58F58ACE">
            <w:pPr>
              <w:rPr>
                <w:rFonts w:ascii="Arial"/>
                <w:color w:val="auto"/>
                <w:sz w:val="21"/>
                <w:highlight w:val="none"/>
              </w:rPr>
            </w:pPr>
          </w:p>
        </w:tc>
        <w:tc>
          <w:tcPr>
            <w:tcW w:w="1194" w:type="dxa"/>
            <w:vAlign w:val="top"/>
          </w:tcPr>
          <w:p w14:paraId="07B10CE1">
            <w:pPr>
              <w:rPr>
                <w:rFonts w:ascii="Arial"/>
                <w:color w:val="auto"/>
                <w:sz w:val="21"/>
                <w:highlight w:val="none"/>
              </w:rPr>
            </w:pPr>
          </w:p>
        </w:tc>
        <w:tc>
          <w:tcPr>
            <w:tcW w:w="1269" w:type="dxa"/>
            <w:vAlign w:val="top"/>
          </w:tcPr>
          <w:p w14:paraId="3D811D0C">
            <w:pPr>
              <w:rPr>
                <w:rFonts w:ascii="Arial"/>
                <w:color w:val="auto"/>
                <w:sz w:val="21"/>
                <w:highlight w:val="none"/>
              </w:rPr>
            </w:pPr>
          </w:p>
        </w:tc>
        <w:tc>
          <w:tcPr>
            <w:tcW w:w="676" w:type="dxa"/>
            <w:vAlign w:val="top"/>
          </w:tcPr>
          <w:p w14:paraId="6B6D853A">
            <w:pPr>
              <w:rPr>
                <w:rFonts w:ascii="Arial"/>
                <w:color w:val="auto"/>
                <w:sz w:val="21"/>
                <w:highlight w:val="none"/>
              </w:rPr>
            </w:pPr>
          </w:p>
        </w:tc>
      </w:tr>
      <w:tr w14:paraId="702CC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vAlign w:val="top"/>
          </w:tcPr>
          <w:p w14:paraId="196F9917">
            <w:pPr>
              <w:rPr>
                <w:rFonts w:ascii="Arial"/>
                <w:color w:val="auto"/>
                <w:sz w:val="21"/>
                <w:highlight w:val="none"/>
              </w:rPr>
            </w:pPr>
          </w:p>
        </w:tc>
        <w:tc>
          <w:tcPr>
            <w:tcW w:w="1693" w:type="dxa"/>
            <w:vMerge w:val="continue"/>
            <w:tcBorders>
              <w:top w:val="nil"/>
            </w:tcBorders>
            <w:vAlign w:val="top"/>
          </w:tcPr>
          <w:p w14:paraId="72BEBCBD">
            <w:pPr>
              <w:rPr>
                <w:rFonts w:ascii="Arial"/>
                <w:color w:val="auto"/>
                <w:sz w:val="21"/>
                <w:highlight w:val="none"/>
              </w:rPr>
            </w:pPr>
          </w:p>
        </w:tc>
        <w:tc>
          <w:tcPr>
            <w:tcW w:w="751" w:type="dxa"/>
            <w:vAlign w:val="top"/>
          </w:tcPr>
          <w:p w14:paraId="216039D8">
            <w:pPr>
              <w:pStyle w:val="88"/>
              <w:spacing w:before="166" w:line="241" w:lineRule="auto"/>
              <w:ind w:left="330"/>
              <w:rPr>
                <w:color w:val="auto"/>
                <w:highlight w:val="none"/>
              </w:rPr>
            </w:pPr>
            <w:r>
              <w:rPr>
                <w:color w:val="auto"/>
                <w:highlight w:val="none"/>
              </w:rPr>
              <w:t>3</w:t>
            </w:r>
          </w:p>
        </w:tc>
        <w:tc>
          <w:tcPr>
            <w:tcW w:w="950" w:type="dxa"/>
            <w:vAlign w:val="top"/>
          </w:tcPr>
          <w:p w14:paraId="65557B7D">
            <w:pPr>
              <w:rPr>
                <w:rFonts w:ascii="Arial"/>
                <w:color w:val="auto"/>
                <w:sz w:val="21"/>
                <w:highlight w:val="none"/>
              </w:rPr>
            </w:pPr>
          </w:p>
        </w:tc>
        <w:tc>
          <w:tcPr>
            <w:tcW w:w="1123" w:type="dxa"/>
            <w:vAlign w:val="top"/>
          </w:tcPr>
          <w:p w14:paraId="4B8913FE">
            <w:pPr>
              <w:rPr>
                <w:rFonts w:ascii="Arial"/>
                <w:color w:val="auto"/>
                <w:sz w:val="21"/>
                <w:highlight w:val="none"/>
              </w:rPr>
            </w:pPr>
          </w:p>
        </w:tc>
        <w:tc>
          <w:tcPr>
            <w:tcW w:w="1089" w:type="dxa"/>
            <w:vAlign w:val="top"/>
          </w:tcPr>
          <w:p w14:paraId="1ECA5501">
            <w:pPr>
              <w:rPr>
                <w:rFonts w:ascii="Arial"/>
                <w:color w:val="auto"/>
                <w:sz w:val="21"/>
                <w:highlight w:val="none"/>
              </w:rPr>
            </w:pPr>
          </w:p>
        </w:tc>
        <w:tc>
          <w:tcPr>
            <w:tcW w:w="1194" w:type="dxa"/>
            <w:vAlign w:val="top"/>
          </w:tcPr>
          <w:p w14:paraId="683AB952">
            <w:pPr>
              <w:rPr>
                <w:rFonts w:ascii="Arial"/>
                <w:color w:val="auto"/>
                <w:sz w:val="21"/>
                <w:highlight w:val="none"/>
              </w:rPr>
            </w:pPr>
          </w:p>
        </w:tc>
        <w:tc>
          <w:tcPr>
            <w:tcW w:w="1269" w:type="dxa"/>
            <w:vAlign w:val="top"/>
          </w:tcPr>
          <w:p w14:paraId="70E5CEF8">
            <w:pPr>
              <w:rPr>
                <w:rFonts w:ascii="Arial"/>
                <w:color w:val="auto"/>
                <w:sz w:val="21"/>
                <w:highlight w:val="none"/>
              </w:rPr>
            </w:pPr>
          </w:p>
        </w:tc>
        <w:tc>
          <w:tcPr>
            <w:tcW w:w="676" w:type="dxa"/>
            <w:vAlign w:val="top"/>
          </w:tcPr>
          <w:p w14:paraId="681ECDA7">
            <w:pPr>
              <w:rPr>
                <w:rFonts w:ascii="Arial"/>
                <w:color w:val="auto"/>
                <w:sz w:val="21"/>
                <w:highlight w:val="none"/>
              </w:rPr>
            </w:pPr>
          </w:p>
        </w:tc>
      </w:tr>
      <w:tr w14:paraId="3024B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vAlign w:val="top"/>
          </w:tcPr>
          <w:p w14:paraId="780ACA23">
            <w:pPr>
              <w:rPr>
                <w:rFonts w:ascii="Arial"/>
                <w:color w:val="auto"/>
                <w:sz w:val="21"/>
                <w:highlight w:val="none"/>
              </w:rPr>
            </w:pPr>
          </w:p>
        </w:tc>
        <w:tc>
          <w:tcPr>
            <w:tcW w:w="1693" w:type="dxa"/>
            <w:vMerge w:val="restart"/>
            <w:tcBorders>
              <w:bottom w:val="nil"/>
            </w:tcBorders>
            <w:vAlign w:val="top"/>
          </w:tcPr>
          <w:p w14:paraId="5436E8B5">
            <w:pPr>
              <w:rPr>
                <w:rFonts w:ascii="Arial"/>
                <w:color w:val="auto"/>
                <w:sz w:val="21"/>
                <w:highlight w:val="none"/>
              </w:rPr>
            </w:pPr>
          </w:p>
        </w:tc>
        <w:tc>
          <w:tcPr>
            <w:tcW w:w="751" w:type="dxa"/>
            <w:vAlign w:val="top"/>
          </w:tcPr>
          <w:p w14:paraId="16B32533">
            <w:pPr>
              <w:pStyle w:val="88"/>
              <w:spacing w:before="170" w:line="242" w:lineRule="auto"/>
              <w:ind w:left="342"/>
              <w:rPr>
                <w:color w:val="auto"/>
                <w:highlight w:val="none"/>
              </w:rPr>
            </w:pPr>
            <w:r>
              <w:rPr>
                <w:color w:val="auto"/>
                <w:highlight w:val="none"/>
              </w:rPr>
              <w:t>1</w:t>
            </w:r>
          </w:p>
        </w:tc>
        <w:tc>
          <w:tcPr>
            <w:tcW w:w="950" w:type="dxa"/>
            <w:vAlign w:val="top"/>
          </w:tcPr>
          <w:p w14:paraId="402CC4EF">
            <w:pPr>
              <w:rPr>
                <w:rFonts w:ascii="Arial"/>
                <w:color w:val="auto"/>
                <w:sz w:val="21"/>
                <w:highlight w:val="none"/>
              </w:rPr>
            </w:pPr>
          </w:p>
        </w:tc>
        <w:tc>
          <w:tcPr>
            <w:tcW w:w="1123" w:type="dxa"/>
            <w:vAlign w:val="top"/>
          </w:tcPr>
          <w:p w14:paraId="36985F34">
            <w:pPr>
              <w:rPr>
                <w:rFonts w:ascii="Arial"/>
                <w:color w:val="auto"/>
                <w:sz w:val="21"/>
                <w:highlight w:val="none"/>
              </w:rPr>
            </w:pPr>
          </w:p>
        </w:tc>
        <w:tc>
          <w:tcPr>
            <w:tcW w:w="1089" w:type="dxa"/>
            <w:vAlign w:val="top"/>
          </w:tcPr>
          <w:p w14:paraId="501AA3B8">
            <w:pPr>
              <w:rPr>
                <w:rFonts w:ascii="Arial"/>
                <w:color w:val="auto"/>
                <w:sz w:val="21"/>
                <w:highlight w:val="none"/>
              </w:rPr>
            </w:pPr>
          </w:p>
        </w:tc>
        <w:tc>
          <w:tcPr>
            <w:tcW w:w="1194" w:type="dxa"/>
            <w:vAlign w:val="top"/>
          </w:tcPr>
          <w:p w14:paraId="1723E67D">
            <w:pPr>
              <w:rPr>
                <w:rFonts w:ascii="Arial"/>
                <w:color w:val="auto"/>
                <w:sz w:val="21"/>
                <w:highlight w:val="none"/>
              </w:rPr>
            </w:pPr>
          </w:p>
        </w:tc>
        <w:tc>
          <w:tcPr>
            <w:tcW w:w="1269" w:type="dxa"/>
            <w:vAlign w:val="top"/>
          </w:tcPr>
          <w:p w14:paraId="03729864">
            <w:pPr>
              <w:rPr>
                <w:rFonts w:ascii="Arial"/>
                <w:color w:val="auto"/>
                <w:sz w:val="21"/>
                <w:highlight w:val="none"/>
              </w:rPr>
            </w:pPr>
          </w:p>
        </w:tc>
        <w:tc>
          <w:tcPr>
            <w:tcW w:w="676" w:type="dxa"/>
            <w:vAlign w:val="top"/>
          </w:tcPr>
          <w:p w14:paraId="234CA64D">
            <w:pPr>
              <w:rPr>
                <w:rFonts w:ascii="Arial"/>
                <w:color w:val="auto"/>
                <w:sz w:val="21"/>
                <w:highlight w:val="none"/>
              </w:rPr>
            </w:pPr>
          </w:p>
        </w:tc>
      </w:tr>
      <w:tr w14:paraId="476BA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vAlign w:val="top"/>
          </w:tcPr>
          <w:p w14:paraId="5DAE79AA">
            <w:pPr>
              <w:rPr>
                <w:rFonts w:ascii="Arial"/>
                <w:color w:val="auto"/>
                <w:sz w:val="21"/>
                <w:highlight w:val="none"/>
              </w:rPr>
            </w:pPr>
          </w:p>
        </w:tc>
        <w:tc>
          <w:tcPr>
            <w:tcW w:w="1693" w:type="dxa"/>
            <w:vMerge w:val="continue"/>
            <w:tcBorders>
              <w:top w:val="nil"/>
              <w:bottom w:val="nil"/>
            </w:tcBorders>
            <w:vAlign w:val="top"/>
          </w:tcPr>
          <w:p w14:paraId="766714E1">
            <w:pPr>
              <w:rPr>
                <w:rFonts w:ascii="Arial"/>
                <w:color w:val="auto"/>
                <w:sz w:val="21"/>
                <w:highlight w:val="none"/>
              </w:rPr>
            </w:pPr>
          </w:p>
        </w:tc>
        <w:tc>
          <w:tcPr>
            <w:tcW w:w="751" w:type="dxa"/>
            <w:vAlign w:val="top"/>
          </w:tcPr>
          <w:p w14:paraId="10326C1B">
            <w:pPr>
              <w:pStyle w:val="88"/>
              <w:spacing w:before="168" w:line="242" w:lineRule="auto"/>
              <w:ind w:left="328"/>
              <w:rPr>
                <w:color w:val="auto"/>
                <w:highlight w:val="none"/>
              </w:rPr>
            </w:pPr>
            <w:r>
              <w:rPr>
                <w:color w:val="auto"/>
                <w:highlight w:val="none"/>
              </w:rPr>
              <w:t>2</w:t>
            </w:r>
          </w:p>
        </w:tc>
        <w:tc>
          <w:tcPr>
            <w:tcW w:w="950" w:type="dxa"/>
            <w:vAlign w:val="top"/>
          </w:tcPr>
          <w:p w14:paraId="635ABA0C">
            <w:pPr>
              <w:rPr>
                <w:rFonts w:ascii="Arial"/>
                <w:color w:val="auto"/>
                <w:sz w:val="21"/>
                <w:highlight w:val="none"/>
              </w:rPr>
            </w:pPr>
          </w:p>
        </w:tc>
        <w:tc>
          <w:tcPr>
            <w:tcW w:w="1123" w:type="dxa"/>
            <w:vAlign w:val="top"/>
          </w:tcPr>
          <w:p w14:paraId="0623C347">
            <w:pPr>
              <w:rPr>
                <w:rFonts w:ascii="Arial"/>
                <w:color w:val="auto"/>
                <w:sz w:val="21"/>
                <w:highlight w:val="none"/>
              </w:rPr>
            </w:pPr>
          </w:p>
        </w:tc>
        <w:tc>
          <w:tcPr>
            <w:tcW w:w="1089" w:type="dxa"/>
            <w:vAlign w:val="top"/>
          </w:tcPr>
          <w:p w14:paraId="7E4C0369">
            <w:pPr>
              <w:rPr>
                <w:rFonts w:ascii="Arial"/>
                <w:color w:val="auto"/>
                <w:sz w:val="21"/>
                <w:highlight w:val="none"/>
              </w:rPr>
            </w:pPr>
          </w:p>
        </w:tc>
        <w:tc>
          <w:tcPr>
            <w:tcW w:w="1194" w:type="dxa"/>
            <w:vAlign w:val="top"/>
          </w:tcPr>
          <w:p w14:paraId="7C4410EF">
            <w:pPr>
              <w:rPr>
                <w:rFonts w:ascii="Arial"/>
                <w:color w:val="auto"/>
                <w:sz w:val="21"/>
                <w:highlight w:val="none"/>
              </w:rPr>
            </w:pPr>
          </w:p>
        </w:tc>
        <w:tc>
          <w:tcPr>
            <w:tcW w:w="1269" w:type="dxa"/>
            <w:vAlign w:val="top"/>
          </w:tcPr>
          <w:p w14:paraId="0C6B5C10">
            <w:pPr>
              <w:rPr>
                <w:rFonts w:ascii="Arial"/>
                <w:color w:val="auto"/>
                <w:sz w:val="21"/>
                <w:highlight w:val="none"/>
              </w:rPr>
            </w:pPr>
          </w:p>
        </w:tc>
        <w:tc>
          <w:tcPr>
            <w:tcW w:w="676" w:type="dxa"/>
            <w:vAlign w:val="top"/>
          </w:tcPr>
          <w:p w14:paraId="5264CD6B">
            <w:pPr>
              <w:rPr>
                <w:rFonts w:ascii="Arial"/>
                <w:color w:val="auto"/>
                <w:sz w:val="21"/>
                <w:highlight w:val="none"/>
              </w:rPr>
            </w:pPr>
          </w:p>
        </w:tc>
      </w:tr>
      <w:tr w14:paraId="32368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vAlign w:val="top"/>
          </w:tcPr>
          <w:p w14:paraId="2C7C5E5A">
            <w:pPr>
              <w:rPr>
                <w:rFonts w:ascii="Arial"/>
                <w:color w:val="auto"/>
                <w:sz w:val="21"/>
                <w:highlight w:val="none"/>
              </w:rPr>
            </w:pPr>
          </w:p>
        </w:tc>
        <w:tc>
          <w:tcPr>
            <w:tcW w:w="1693" w:type="dxa"/>
            <w:vMerge w:val="continue"/>
            <w:tcBorders>
              <w:top w:val="nil"/>
            </w:tcBorders>
            <w:vAlign w:val="top"/>
          </w:tcPr>
          <w:p w14:paraId="70277978">
            <w:pPr>
              <w:rPr>
                <w:rFonts w:ascii="Arial"/>
                <w:color w:val="auto"/>
                <w:sz w:val="21"/>
                <w:highlight w:val="none"/>
              </w:rPr>
            </w:pPr>
          </w:p>
        </w:tc>
        <w:tc>
          <w:tcPr>
            <w:tcW w:w="751" w:type="dxa"/>
            <w:vAlign w:val="top"/>
          </w:tcPr>
          <w:p w14:paraId="3C9F3E7B">
            <w:pPr>
              <w:pStyle w:val="88"/>
              <w:spacing w:before="168" w:line="241" w:lineRule="auto"/>
              <w:ind w:left="330"/>
              <w:rPr>
                <w:color w:val="auto"/>
                <w:highlight w:val="none"/>
              </w:rPr>
            </w:pPr>
            <w:r>
              <w:rPr>
                <w:color w:val="auto"/>
                <w:highlight w:val="none"/>
              </w:rPr>
              <w:t>3</w:t>
            </w:r>
          </w:p>
        </w:tc>
        <w:tc>
          <w:tcPr>
            <w:tcW w:w="950" w:type="dxa"/>
            <w:vAlign w:val="top"/>
          </w:tcPr>
          <w:p w14:paraId="27D62451">
            <w:pPr>
              <w:rPr>
                <w:rFonts w:ascii="Arial"/>
                <w:color w:val="auto"/>
                <w:sz w:val="21"/>
                <w:highlight w:val="none"/>
              </w:rPr>
            </w:pPr>
          </w:p>
        </w:tc>
        <w:tc>
          <w:tcPr>
            <w:tcW w:w="1123" w:type="dxa"/>
            <w:vAlign w:val="top"/>
          </w:tcPr>
          <w:p w14:paraId="55AD83C6">
            <w:pPr>
              <w:rPr>
                <w:rFonts w:ascii="Arial"/>
                <w:color w:val="auto"/>
                <w:sz w:val="21"/>
                <w:highlight w:val="none"/>
              </w:rPr>
            </w:pPr>
          </w:p>
        </w:tc>
        <w:tc>
          <w:tcPr>
            <w:tcW w:w="1089" w:type="dxa"/>
            <w:vAlign w:val="top"/>
          </w:tcPr>
          <w:p w14:paraId="571A8C9E">
            <w:pPr>
              <w:rPr>
                <w:rFonts w:ascii="Arial"/>
                <w:color w:val="auto"/>
                <w:sz w:val="21"/>
                <w:highlight w:val="none"/>
              </w:rPr>
            </w:pPr>
          </w:p>
        </w:tc>
        <w:tc>
          <w:tcPr>
            <w:tcW w:w="1194" w:type="dxa"/>
            <w:vAlign w:val="top"/>
          </w:tcPr>
          <w:p w14:paraId="365C14F2">
            <w:pPr>
              <w:rPr>
                <w:rFonts w:ascii="Arial"/>
                <w:color w:val="auto"/>
                <w:sz w:val="21"/>
                <w:highlight w:val="none"/>
              </w:rPr>
            </w:pPr>
          </w:p>
        </w:tc>
        <w:tc>
          <w:tcPr>
            <w:tcW w:w="1269" w:type="dxa"/>
            <w:vAlign w:val="top"/>
          </w:tcPr>
          <w:p w14:paraId="136B5FC3">
            <w:pPr>
              <w:rPr>
                <w:rFonts w:ascii="Arial"/>
                <w:color w:val="auto"/>
                <w:sz w:val="21"/>
                <w:highlight w:val="none"/>
              </w:rPr>
            </w:pPr>
          </w:p>
        </w:tc>
        <w:tc>
          <w:tcPr>
            <w:tcW w:w="676" w:type="dxa"/>
            <w:vAlign w:val="top"/>
          </w:tcPr>
          <w:p w14:paraId="2E68C0D5">
            <w:pPr>
              <w:rPr>
                <w:rFonts w:ascii="Arial"/>
                <w:color w:val="auto"/>
                <w:sz w:val="21"/>
                <w:highlight w:val="none"/>
              </w:rPr>
            </w:pPr>
          </w:p>
        </w:tc>
      </w:tr>
    </w:tbl>
    <w:p w14:paraId="3C3A96BF">
      <w:pPr>
        <w:pStyle w:val="14"/>
        <w:spacing w:before="147" w:line="216" w:lineRule="auto"/>
        <w:ind w:left="559"/>
        <w:rPr>
          <w:color w:val="auto"/>
          <w:sz w:val="24"/>
          <w:szCs w:val="24"/>
          <w:highlight w:val="none"/>
        </w:rPr>
      </w:pPr>
      <w:r>
        <w:rPr>
          <w:color w:val="auto"/>
          <w:spacing w:val="-1"/>
          <w:sz w:val="24"/>
          <w:szCs w:val="24"/>
          <w:highlight w:val="none"/>
        </w:rPr>
        <w:t>备注：1.若无分包计划，则供应商应在本表填写“无”。</w:t>
      </w:r>
    </w:p>
    <w:p w14:paraId="1BC11C05">
      <w:pPr>
        <w:pStyle w:val="14"/>
        <w:spacing w:before="159" w:line="219" w:lineRule="auto"/>
        <w:ind w:left="1279"/>
        <w:rPr>
          <w:color w:val="auto"/>
          <w:sz w:val="24"/>
          <w:szCs w:val="24"/>
          <w:highlight w:val="none"/>
        </w:rPr>
      </w:pPr>
      <w:r>
        <w:rPr>
          <w:color w:val="auto"/>
          <w:spacing w:val="-1"/>
          <w:sz w:val="24"/>
          <w:szCs w:val="24"/>
          <w:highlight w:val="none"/>
        </w:rPr>
        <w:t>2.本表所列分包仅限于承包人自行施工范围内的非主体、非关键工程。</w:t>
      </w:r>
    </w:p>
    <w:p w14:paraId="16285263">
      <w:pPr>
        <w:spacing w:line="277" w:lineRule="auto"/>
        <w:rPr>
          <w:rFonts w:ascii="Arial"/>
          <w:color w:val="auto"/>
          <w:sz w:val="21"/>
          <w:highlight w:val="none"/>
        </w:rPr>
      </w:pPr>
    </w:p>
    <w:p w14:paraId="6065C33D">
      <w:pPr>
        <w:spacing w:line="277" w:lineRule="auto"/>
        <w:rPr>
          <w:rFonts w:ascii="Arial"/>
          <w:color w:val="auto"/>
          <w:sz w:val="21"/>
          <w:highlight w:val="none"/>
        </w:rPr>
      </w:pPr>
    </w:p>
    <w:p w14:paraId="29E3B8B9">
      <w:pPr>
        <w:spacing w:line="277" w:lineRule="auto"/>
        <w:rPr>
          <w:rFonts w:ascii="Arial"/>
          <w:color w:val="auto"/>
          <w:sz w:val="21"/>
          <w:highlight w:val="none"/>
        </w:rPr>
      </w:pPr>
    </w:p>
    <w:p w14:paraId="201D1F73">
      <w:pPr>
        <w:spacing w:line="278" w:lineRule="auto"/>
        <w:rPr>
          <w:rFonts w:ascii="Arial"/>
          <w:color w:val="auto"/>
          <w:sz w:val="21"/>
          <w:highlight w:val="none"/>
        </w:rPr>
      </w:pPr>
    </w:p>
    <w:p w14:paraId="15A6D267">
      <w:pPr>
        <w:spacing w:line="278" w:lineRule="auto"/>
        <w:rPr>
          <w:rFonts w:ascii="Arial"/>
          <w:color w:val="auto"/>
          <w:sz w:val="21"/>
          <w:highlight w:val="none"/>
        </w:rPr>
      </w:pPr>
    </w:p>
    <w:p w14:paraId="67150CAF">
      <w:pPr>
        <w:pStyle w:val="14"/>
        <w:spacing w:before="79" w:line="219" w:lineRule="auto"/>
        <w:ind w:left="5356"/>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09A0BC2D">
      <w:pPr>
        <w:pStyle w:val="14"/>
        <w:spacing w:before="155" w:line="219" w:lineRule="auto"/>
        <w:ind w:left="5397"/>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E3DB587">
      <w:pPr>
        <w:spacing w:line="219" w:lineRule="auto"/>
        <w:rPr>
          <w:color w:val="auto"/>
          <w:sz w:val="24"/>
          <w:szCs w:val="24"/>
          <w:highlight w:val="none"/>
        </w:rPr>
        <w:sectPr>
          <w:footerReference r:id="rId5" w:type="default"/>
          <w:pgSz w:w="11900" w:h="16840"/>
          <w:pgMar w:top="1431" w:right="1227" w:bottom="848" w:left="1351" w:header="0" w:footer="648" w:gutter="0"/>
          <w:cols w:space="720" w:num="1"/>
        </w:sectPr>
      </w:pPr>
    </w:p>
    <w:p w14:paraId="76D56FE8">
      <w:pPr>
        <w:pStyle w:val="14"/>
        <w:spacing w:before="63" w:line="224" w:lineRule="auto"/>
        <w:ind w:left="1903"/>
        <w:rPr>
          <w:color w:val="auto"/>
          <w:highlight w:val="none"/>
        </w:rPr>
      </w:pPr>
      <w:r>
        <w:rPr>
          <w:b/>
          <w:bCs/>
          <w:color w:val="auto"/>
          <w:spacing w:val="7"/>
          <w:highlight w:val="none"/>
        </w:rPr>
        <w:t>项目管理机构配备情况表及主要人员简历表</w:t>
      </w:r>
    </w:p>
    <w:p w14:paraId="57321C53">
      <w:pPr>
        <w:pStyle w:val="14"/>
        <w:spacing w:before="142" w:line="224" w:lineRule="auto"/>
        <w:ind w:left="2715"/>
        <w:rPr>
          <w:color w:val="auto"/>
          <w:highlight w:val="none"/>
        </w:rPr>
      </w:pPr>
      <w:r>
        <w:rPr>
          <w:b/>
          <w:bCs/>
          <w:color w:val="auto"/>
          <w:spacing w:val="6"/>
          <w:highlight w:val="none"/>
        </w:rPr>
        <w:t>（一）项目管理机构配备情况表</w:t>
      </w:r>
    </w:p>
    <w:p w14:paraId="005485B3">
      <w:pPr>
        <w:pStyle w:val="14"/>
        <w:spacing w:before="114" w:line="220" w:lineRule="auto"/>
        <w:ind w:left="355"/>
        <w:rPr>
          <w:color w:val="auto"/>
          <w:sz w:val="24"/>
          <w:szCs w:val="24"/>
          <w:highlight w:val="none"/>
        </w:rPr>
      </w:pPr>
      <w:r>
        <w:rPr>
          <w:color w:val="auto"/>
          <w:spacing w:val="-3"/>
          <w:sz w:val="24"/>
          <w:szCs w:val="24"/>
          <w:highlight w:val="none"/>
        </w:rPr>
        <w:t>分标（如有</w:t>
      </w:r>
      <w:r>
        <w:rPr>
          <w:color w:val="auto"/>
          <w:sz w:val="24"/>
          <w:szCs w:val="24"/>
          <w:highlight w:val="none"/>
        </w:rPr>
        <w:t>）：</w:t>
      </w:r>
      <w:r>
        <w:rPr>
          <w:color w:val="auto"/>
          <w:sz w:val="24"/>
          <w:szCs w:val="24"/>
          <w:highlight w:val="none"/>
          <w:u w:val="single" w:color="auto"/>
        </w:rPr>
        <w:t xml:space="preserve">         </w:t>
      </w:r>
    </w:p>
    <w:p w14:paraId="6CABE288">
      <w:pPr>
        <w:spacing w:line="18" w:lineRule="auto"/>
        <w:rPr>
          <w:rFonts w:ascii="Arial"/>
          <w:color w:val="auto"/>
          <w:sz w:val="2"/>
          <w:highlight w:val="none"/>
        </w:rPr>
      </w:pPr>
    </w:p>
    <w:tbl>
      <w:tblPr>
        <w:tblStyle w:val="89"/>
        <w:tblW w:w="98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669"/>
        <w:gridCol w:w="830"/>
        <w:gridCol w:w="815"/>
        <w:gridCol w:w="1147"/>
        <w:gridCol w:w="1146"/>
        <w:gridCol w:w="1149"/>
        <w:gridCol w:w="744"/>
        <w:gridCol w:w="1166"/>
        <w:gridCol w:w="1281"/>
      </w:tblGrid>
      <w:tr w14:paraId="674B7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923" w:type="dxa"/>
            <w:vMerge w:val="restart"/>
            <w:tcBorders>
              <w:bottom w:val="nil"/>
            </w:tcBorders>
            <w:vAlign w:val="top"/>
          </w:tcPr>
          <w:p w14:paraId="3C43772A">
            <w:pPr>
              <w:spacing w:line="253" w:lineRule="auto"/>
              <w:rPr>
                <w:rFonts w:ascii="Arial"/>
                <w:color w:val="auto"/>
                <w:sz w:val="21"/>
                <w:highlight w:val="none"/>
              </w:rPr>
            </w:pPr>
          </w:p>
          <w:p w14:paraId="49DCA24D">
            <w:pPr>
              <w:spacing w:line="254" w:lineRule="auto"/>
              <w:rPr>
                <w:rFonts w:ascii="Arial"/>
                <w:color w:val="auto"/>
                <w:sz w:val="21"/>
                <w:highlight w:val="none"/>
              </w:rPr>
            </w:pPr>
          </w:p>
          <w:p w14:paraId="3D5C1E5B">
            <w:pPr>
              <w:pStyle w:val="88"/>
              <w:spacing w:before="69" w:line="221" w:lineRule="auto"/>
              <w:ind w:left="280"/>
              <w:rPr>
                <w:color w:val="auto"/>
                <w:highlight w:val="none"/>
              </w:rPr>
            </w:pPr>
            <w:r>
              <w:rPr>
                <w:color w:val="auto"/>
                <w:spacing w:val="-15"/>
                <w:highlight w:val="none"/>
              </w:rPr>
              <w:t>岗位</w:t>
            </w:r>
          </w:p>
        </w:tc>
        <w:tc>
          <w:tcPr>
            <w:tcW w:w="669" w:type="dxa"/>
            <w:vMerge w:val="restart"/>
            <w:tcBorders>
              <w:bottom w:val="nil"/>
            </w:tcBorders>
            <w:vAlign w:val="top"/>
          </w:tcPr>
          <w:p w14:paraId="2392D428">
            <w:pPr>
              <w:spacing w:line="254" w:lineRule="auto"/>
              <w:rPr>
                <w:rFonts w:ascii="Arial"/>
                <w:color w:val="auto"/>
                <w:sz w:val="21"/>
                <w:highlight w:val="none"/>
              </w:rPr>
            </w:pPr>
          </w:p>
          <w:p w14:paraId="1494E13C">
            <w:pPr>
              <w:spacing w:line="254" w:lineRule="auto"/>
              <w:rPr>
                <w:rFonts w:ascii="Arial"/>
                <w:color w:val="auto"/>
                <w:sz w:val="21"/>
                <w:highlight w:val="none"/>
              </w:rPr>
            </w:pPr>
          </w:p>
          <w:p w14:paraId="14477A2D">
            <w:pPr>
              <w:pStyle w:val="88"/>
              <w:spacing w:before="68" w:line="220" w:lineRule="auto"/>
              <w:ind w:left="129"/>
              <w:rPr>
                <w:color w:val="auto"/>
                <w:highlight w:val="none"/>
              </w:rPr>
            </w:pPr>
            <w:r>
              <w:rPr>
                <w:color w:val="auto"/>
                <w:spacing w:val="-3"/>
                <w:highlight w:val="none"/>
              </w:rPr>
              <w:t>姓名</w:t>
            </w:r>
          </w:p>
        </w:tc>
        <w:tc>
          <w:tcPr>
            <w:tcW w:w="830" w:type="dxa"/>
            <w:vMerge w:val="restart"/>
            <w:tcBorders>
              <w:bottom w:val="nil"/>
            </w:tcBorders>
            <w:vAlign w:val="top"/>
          </w:tcPr>
          <w:p w14:paraId="72E0F9AD">
            <w:pPr>
              <w:spacing w:line="309" w:lineRule="auto"/>
              <w:rPr>
                <w:rFonts w:ascii="Arial"/>
                <w:color w:val="auto"/>
                <w:sz w:val="21"/>
                <w:highlight w:val="none"/>
              </w:rPr>
            </w:pPr>
          </w:p>
          <w:p w14:paraId="046609CD">
            <w:pPr>
              <w:pStyle w:val="88"/>
              <w:spacing w:before="69" w:line="355" w:lineRule="auto"/>
              <w:ind w:left="208" w:right="202" w:firstLine="5"/>
              <w:rPr>
                <w:color w:val="auto"/>
                <w:highlight w:val="none"/>
              </w:rPr>
            </w:pPr>
            <w:r>
              <w:rPr>
                <w:color w:val="auto"/>
                <w:spacing w:val="-6"/>
                <w:highlight w:val="none"/>
              </w:rPr>
              <w:t>身份</w:t>
            </w:r>
            <w:r>
              <w:rPr>
                <w:color w:val="auto"/>
                <w:spacing w:val="-3"/>
                <w:highlight w:val="none"/>
              </w:rPr>
              <w:t>证号</w:t>
            </w:r>
          </w:p>
        </w:tc>
        <w:tc>
          <w:tcPr>
            <w:tcW w:w="815" w:type="dxa"/>
            <w:vMerge w:val="restart"/>
            <w:tcBorders>
              <w:bottom w:val="nil"/>
            </w:tcBorders>
            <w:vAlign w:val="top"/>
          </w:tcPr>
          <w:p w14:paraId="13528873">
            <w:pPr>
              <w:spacing w:line="253" w:lineRule="auto"/>
              <w:rPr>
                <w:rFonts w:ascii="Arial"/>
                <w:color w:val="auto"/>
                <w:sz w:val="21"/>
                <w:highlight w:val="none"/>
              </w:rPr>
            </w:pPr>
          </w:p>
          <w:p w14:paraId="40B6A93E">
            <w:pPr>
              <w:spacing w:line="254" w:lineRule="auto"/>
              <w:rPr>
                <w:rFonts w:ascii="Arial"/>
                <w:color w:val="auto"/>
                <w:sz w:val="21"/>
                <w:highlight w:val="none"/>
              </w:rPr>
            </w:pPr>
          </w:p>
          <w:p w14:paraId="368524D8">
            <w:pPr>
              <w:pStyle w:val="88"/>
              <w:spacing w:before="68" w:line="223" w:lineRule="auto"/>
              <w:ind w:left="200"/>
              <w:rPr>
                <w:color w:val="auto"/>
                <w:highlight w:val="none"/>
              </w:rPr>
            </w:pPr>
            <w:r>
              <w:rPr>
                <w:color w:val="auto"/>
                <w:spacing w:val="-4"/>
                <w:highlight w:val="none"/>
              </w:rPr>
              <w:t>职称</w:t>
            </w:r>
          </w:p>
        </w:tc>
        <w:tc>
          <w:tcPr>
            <w:tcW w:w="4186" w:type="dxa"/>
            <w:gridSpan w:val="4"/>
            <w:vAlign w:val="top"/>
          </w:tcPr>
          <w:p w14:paraId="7D448928">
            <w:pPr>
              <w:pStyle w:val="88"/>
              <w:spacing w:before="176" w:line="220" w:lineRule="auto"/>
              <w:ind w:left="1362"/>
              <w:rPr>
                <w:color w:val="auto"/>
                <w:highlight w:val="none"/>
              </w:rPr>
            </w:pPr>
            <w:r>
              <w:rPr>
                <w:color w:val="auto"/>
                <w:spacing w:val="-1"/>
                <w:highlight w:val="none"/>
              </w:rPr>
              <w:t>执业或职业资格</w:t>
            </w:r>
          </w:p>
        </w:tc>
        <w:tc>
          <w:tcPr>
            <w:tcW w:w="2447" w:type="dxa"/>
            <w:gridSpan w:val="2"/>
            <w:vAlign w:val="top"/>
          </w:tcPr>
          <w:p w14:paraId="5473C291">
            <w:pPr>
              <w:pStyle w:val="88"/>
              <w:spacing w:before="176" w:line="220" w:lineRule="auto"/>
              <w:ind w:left="113"/>
              <w:rPr>
                <w:color w:val="auto"/>
                <w:highlight w:val="none"/>
              </w:rPr>
            </w:pPr>
            <w:r>
              <w:rPr>
                <w:color w:val="auto"/>
                <w:spacing w:val="-9"/>
                <w:highlight w:val="none"/>
              </w:rPr>
              <w:t>承担完工、在建工程情况</w:t>
            </w:r>
          </w:p>
        </w:tc>
      </w:tr>
      <w:tr w14:paraId="0DC37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23" w:type="dxa"/>
            <w:vMerge w:val="continue"/>
            <w:tcBorders>
              <w:top w:val="nil"/>
            </w:tcBorders>
            <w:vAlign w:val="top"/>
          </w:tcPr>
          <w:p w14:paraId="6470A8F9">
            <w:pPr>
              <w:rPr>
                <w:rFonts w:ascii="Arial"/>
                <w:color w:val="auto"/>
                <w:sz w:val="21"/>
                <w:highlight w:val="none"/>
              </w:rPr>
            </w:pPr>
          </w:p>
        </w:tc>
        <w:tc>
          <w:tcPr>
            <w:tcW w:w="669" w:type="dxa"/>
            <w:vMerge w:val="continue"/>
            <w:tcBorders>
              <w:top w:val="nil"/>
            </w:tcBorders>
            <w:vAlign w:val="top"/>
          </w:tcPr>
          <w:p w14:paraId="21C86998">
            <w:pPr>
              <w:rPr>
                <w:rFonts w:ascii="Arial"/>
                <w:color w:val="auto"/>
                <w:sz w:val="21"/>
                <w:highlight w:val="none"/>
              </w:rPr>
            </w:pPr>
          </w:p>
        </w:tc>
        <w:tc>
          <w:tcPr>
            <w:tcW w:w="830" w:type="dxa"/>
            <w:vMerge w:val="continue"/>
            <w:tcBorders>
              <w:top w:val="nil"/>
            </w:tcBorders>
            <w:vAlign w:val="top"/>
          </w:tcPr>
          <w:p w14:paraId="55BBF6DF">
            <w:pPr>
              <w:rPr>
                <w:rFonts w:ascii="Arial"/>
                <w:color w:val="auto"/>
                <w:sz w:val="21"/>
                <w:highlight w:val="none"/>
              </w:rPr>
            </w:pPr>
          </w:p>
        </w:tc>
        <w:tc>
          <w:tcPr>
            <w:tcW w:w="815" w:type="dxa"/>
            <w:vMerge w:val="continue"/>
            <w:tcBorders>
              <w:top w:val="nil"/>
            </w:tcBorders>
            <w:vAlign w:val="top"/>
          </w:tcPr>
          <w:p w14:paraId="5CA01BB7">
            <w:pPr>
              <w:rPr>
                <w:rFonts w:ascii="Arial"/>
                <w:color w:val="auto"/>
                <w:sz w:val="21"/>
                <w:highlight w:val="none"/>
              </w:rPr>
            </w:pPr>
          </w:p>
        </w:tc>
        <w:tc>
          <w:tcPr>
            <w:tcW w:w="1147" w:type="dxa"/>
            <w:vAlign w:val="top"/>
          </w:tcPr>
          <w:p w14:paraId="2CADBF1D">
            <w:pPr>
              <w:spacing w:line="268" w:lineRule="auto"/>
              <w:rPr>
                <w:rFonts w:ascii="Arial"/>
                <w:color w:val="auto"/>
                <w:sz w:val="21"/>
                <w:highlight w:val="none"/>
              </w:rPr>
            </w:pPr>
          </w:p>
          <w:p w14:paraId="51A7F2C4">
            <w:pPr>
              <w:pStyle w:val="88"/>
              <w:spacing w:before="69" w:line="220" w:lineRule="auto"/>
              <w:ind w:left="157"/>
              <w:rPr>
                <w:color w:val="auto"/>
                <w:highlight w:val="none"/>
              </w:rPr>
            </w:pPr>
            <w:r>
              <w:rPr>
                <w:color w:val="auto"/>
                <w:spacing w:val="-2"/>
                <w:highlight w:val="none"/>
              </w:rPr>
              <w:t>证书名称</w:t>
            </w:r>
          </w:p>
        </w:tc>
        <w:tc>
          <w:tcPr>
            <w:tcW w:w="1146" w:type="dxa"/>
            <w:vAlign w:val="top"/>
          </w:tcPr>
          <w:p w14:paraId="40EF45A8">
            <w:pPr>
              <w:spacing w:line="269" w:lineRule="auto"/>
              <w:rPr>
                <w:rFonts w:ascii="Arial"/>
                <w:color w:val="auto"/>
                <w:sz w:val="21"/>
                <w:highlight w:val="none"/>
              </w:rPr>
            </w:pPr>
          </w:p>
          <w:p w14:paraId="3D942FFD">
            <w:pPr>
              <w:pStyle w:val="88"/>
              <w:spacing w:before="68" w:line="221" w:lineRule="auto"/>
              <w:ind w:left="372"/>
              <w:rPr>
                <w:color w:val="auto"/>
                <w:highlight w:val="none"/>
              </w:rPr>
            </w:pPr>
            <w:r>
              <w:rPr>
                <w:color w:val="auto"/>
                <w:spacing w:val="-5"/>
                <w:highlight w:val="none"/>
              </w:rPr>
              <w:t>级别</w:t>
            </w:r>
          </w:p>
        </w:tc>
        <w:tc>
          <w:tcPr>
            <w:tcW w:w="1149" w:type="dxa"/>
            <w:vAlign w:val="top"/>
          </w:tcPr>
          <w:p w14:paraId="36499AB4">
            <w:pPr>
              <w:spacing w:line="269" w:lineRule="auto"/>
              <w:rPr>
                <w:rFonts w:ascii="Arial"/>
                <w:color w:val="auto"/>
                <w:sz w:val="21"/>
                <w:highlight w:val="none"/>
              </w:rPr>
            </w:pPr>
          </w:p>
          <w:p w14:paraId="23A25539">
            <w:pPr>
              <w:pStyle w:val="88"/>
              <w:spacing w:before="68" w:line="222" w:lineRule="auto"/>
              <w:ind w:left="370"/>
              <w:rPr>
                <w:color w:val="auto"/>
                <w:highlight w:val="none"/>
              </w:rPr>
            </w:pPr>
            <w:r>
              <w:rPr>
                <w:color w:val="auto"/>
                <w:spacing w:val="-3"/>
                <w:highlight w:val="none"/>
              </w:rPr>
              <w:t>证号</w:t>
            </w:r>
          </w:p>
        </w:tc>
        <w:tc>
          <w:tcPr>
            <w:tcW w:w="744" w:type="dxa"/>
            <w:vAlign w:val="top"/>
          </w:tcPr>
          <w:p w14:paraId="6ABB4872">
            <w:pPr>
              <w:spacing w:line="269" w:lineRule="auto"/>
              <w:rPr>
                <w:rFonts w:ascii="Arial"/>
                <w:color w:val="auto"/>
                <w:sz w:val="21"/>
                <w:highlight w:val="none"/>
              </w:rPr>
            </w:pPr>
          </w:p>
          <w:p w14:paraId="75A51A0A">
            <w:pPr>
              <w:pStyle w:val="88"/>
              <w:spacing w:before="68" w:line="221" w:lineRule="auto"/>
              <w:ind w:left="167"/>
              <w:rPr>
                <w:color w:val="auto"/>
                <w:highlight w:val="none"/>
              </w:rPr>
            </w:pPr>
            <w:r>
              <w:rPr>
                <w:color w:val="auto"/>
                <w:spacing w:val="-4"/>
                <w:highlight w:val="none"/>
              </w:rPr>
              <w:t>专业</w:t>
            </w:r>
          </w:p>
        </w:tc>
        <w:tc>
          <w:tcPr>
            <w:tcW w:w="1166" w:type="dxa"/>
            <w:vAlign w:val="top"/>
          </w:tcPr>
          <w:p w14:paraId="4775E13A">
            <w:pPr>
              <w:spacing w:line="269" w:lineRule="auto"/>
              <w:rPr>
                <w:rFonts w:ascii="Arial"/>
                <w:color w:val="auto"/>
                <w:sz w:val="21"/>
                <w:highlight w:val="none"/>
              </w:rPr>
            </w:pPr>
          </w:p>
          <w:p w14:paraId="5A5DEC7E">
            <w:pPr>
              <w:pStyle w:val="88"/>
              <w:spacing w:before="68" w:line="220" w:lineRule="auto"/>
              <w:ind w:left="117"/>
              <w:rPr>
                <w:color w:val="auto"/>
                <w:highlight w:val="none"/>
              </w:rPr>
            </w:pPr>
            <w:r>
              <w:rPr>
                <w:color w:val="auto"/>
                <w:spacing w:val="-2"/>
                <w:highlight w:val="none"/>
              </w:rPr>
              <w:t>完工/在建</w:t>
            </w:r>
          </w:p>
        </w:tc>
        <w:tc>
          <w:tcPr>
            <w:tcW w:w="1281" w:type="dxa"/>
            <w:vAlign w:val="top"/>
          </w:tcPr>
          <w:p w14:paraId="4A60B1BB">
            <w:pPr>
              <w:pStyle w:val="88"/>
              <w:spacing w:before="140" w:line="288" w:lineRule="auto"/>
              <w:ind w:left="437" w:right="214" w:hanging="209"/>
              <w:rPr>
                <w:color w:val="auto"/>
                <w:highlight w:val="none"/>
              </w:rPr>
            </w:pPr>
            <w:r>
              <w:rPr>
                <w:color w:val="auto"/>
                <w:spacing w:val="-2"/>
                <w:highlight w:val="none"/>
              </w:rPr>
              <w:t>主要项目</w:t>
            </w:r>
            <w:r>
              <w:rPr>
                <w:color w:val="auto"/>
                <w:spacing w:val="-5"/>
                <w:highlight w:val="none"/>
              </w:rPr>
              <w:t>名称</w:t>
            </w:r>
          </w:p>
        </w:tc>
      </w:tr>
      <w:tr w14:paraId="173FD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923" w:type="dxa"/>
            <w:vAlign w:val="top"/>
          </w:tcPr>
          <w:p w14:paraId="6EFE6BE1">
            <w:pPr>
              <w:pStyle w:val="88"/>
              <w:spacing w:before="137" w:line="288" w:lineRule="auto"/>
              <w:ind w:left="117" w:right="176" w:firstLine="13"/>
              <w:rPr>
                <w:color w:val="auto"/>
                <w:highlight w:val="none"/>
              </w:rPr>
            </w:pPr>
            <w:r>
              <w:rPr>
                <w:color w:val="auto"/>
                <w:spacing w:val="-6"/>
                <w:highlight w:val="none"/>
              </w:rPr>
              <w:t>1.项目</w:t>
            </w:r>
            <w:r>
              <w:rPr>
                <w:color w:val="auto"/>
                <w:spacing w:val="-4"/>
                <w:highlight w:val="none"/>
              </w:rPr>
              <w:t>经理</w:t>
            </w:r>
          </w:p>
        </w:tc>
        <w:tc>
          <w:tcPr>
            <w:tcW w:w="669" w:type="dxa"/>
            <w:vAlign w:val="top"/>
          </w:tcPr>
          <w:p w14:paraId="28327DD7">
            <w:pPr>
              <w:rPr>
                <w:rFonts w:ascii="Arial"/>
                <w:color w:val="auto"/>
                <w:sz w:val="21"/>
                <w:highlight w:val="none"/>
              </w:rPr>
            </w:pPr>
          </w:p>
        </w:tc>
        <w:tc>
          <w:tcPr>
            <w:tcW w:w="830" w:type="dxa"/>
            <w:vAlign w:val="top"/>
          </w:tcPr>
          <w:p w14:paraId="4DBF8A83">
            <w:pPr>
              <w:rPr>
                <w:rFonts w:ascii="Arial"/>
                <w:color w:val="auto"/>
                <w:sz w:val="21"/>
                <w:highlight w:val="none"/>
              </w:rPr>
            </w:pPr>
          </w:p>
        </w:tc>
        <w:tc>
          <w:tcPr>
            <w:tcW w:w="815" w:type="dxa"/>
            <w:vAlign w:val="top"/>
          </w:tcPr>
          <w:p w14:paraId="0C99C794">
            <w:pPr>
              <w:rPr>
                <w:rFonts w:ascii="Arial"/>
                <w:color w:val="auto"/>
                <w:sz w:val="21"/>
                <w:highlight w:val="none"/>
              </w:rPr>
            </w:pPr>
          </w:p>
        </w:tc>
        <w:tc>
          <w:tcPr>
            <w:tcW w:w="1147" w:type="dxa"/>
            <w:vAlign w:val="top"/>
          </w:tcPr>
          <w:p w14:paraId="1629B603">
            <w:pPr>
              <w:rPr>
                <w:rFonts w:ascii="Arial"/>
                <w:color w:val="auto"/>
                <w:sz w:val="21"/>
                <w:highlight w:val="none"/>
              </w:rPr>
            </w:pPr>
          </w:p>
        </w:tc>
        <w:tc>
          <w:tcPr>
            <w:tcW w:w="1146" w:type="dxa"/>
            <w:vAlign w:val="top"/>
          </w:tcPr>
          <w:p w14:paraId="6F17911B">
            <w:pPr>
              <w:rPr>
                <w:rFonts w:ascii="Arial"/>
                <w:color w:val="auto"/>
                <w:sz w:val="21"/>
                <w:highlight w:val="none"/>
              </w:rPr>
            </w:pPr>
          </w:p>
        </w:tc>
        <w:tc>
          <w:tcPr>
            <w:tcW w:w="1149" w:type="dxa"/>
            <w:vAlign w:val="top"/>
          </w:tcPr>
          <w:p w14:paraId="1BD0DADD">
            <w:pPr>
              <w:rPr>
                <w:rFonts w:ascii="Arial"/>
                <w:color w:val="auto"/>
                <w:sz w:val="21"/>
                <w:highlight w:val="none"/>
              </w:rPr>
            </w:pPr>
          </w:p>
        </w:tc>
        <w:tc>
          <w:tcPr>
            <w:tcW w:w="744" w:type="dxa"/>
            <w:vAlign w:val="top"/>
          </w:tcPr>
          <w:p w14:paraId="5AD888F0">
            <w:pPr>
              <w:rPr>
                <w:rFonts w:ascii="Arial"/>
                <w:color w:val="auto"/>
                <w:sz w:val="21"/>
                <w:highlight w:val="none"/>
              </w:rPr>
            </w:pPr>
          </w:p>
        </w:tc>
        <w:tc>
          <w:tcPr>
            <w:tcW w:w="1166" w:type="dxa"/>
            <w:vAlign w:val="top"/>
          </w:tcPr>
          <w:p w14:paraId="7F39B546">
            <w:pPr>
              <w:rPr>
                <w:rFonts w:ascii="Arial"/>
                <w:color w:val="auto"/>
                <w:sz w:val="21"/>
                <w:highlight w:val="none"/>
              </w:rPr>
            </w:pPr>
          </w:p>
        </w:tc>
        <w:tc>
          <w:tcPr>
            <w:tcW w:w="1281" w:type="dxa"/>
            <w:vAlign w:val="top"/>
          </w:tcPr>
          <w:p w14:paraId="2EA8054F">
            <w:pPr>
              <w:rPr>
                <w:rFonts w:ascii="Arial"/>
                <w:color w:val="auto"/>
                <w:sz w:val="21"/>
                <w:highlight w:val="none"/>
              </w:rPr>
            </w:pPr>
          </w:p>
        </w:tc>
      </w:tr>
      <w:tr w14:paraId="298CD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23" w:type="dxa"/>
            <w:vAlign w:val="top"/>
          </w:tcPr>
          <w:p w14:paraId="3AB2BF21">
            <w:pPr>
              <w:pStyle w:val="88"/>
              <w:spacing w:before="141" w:line="351" w:lineRule="auto"/>
              <w:ind w:left="123" w:right="176" w:hanging="5"/>
              <w:rPr>
                <w:color w:val="auto"/>
                <w:highlight w:val="none"/>
              </w:rPr>
            </w:pPr>
            <w:r>
              <w:rPr>
                <w:color w:val="auto"/>
                <w:spacing w:val="-2"/>
                <w:highlight w:val="none"/>
              </w:rPr>
              <w:t>2.技术</w:t>
            </w:r>
            <w:r>
              <w:rPr>
                <w:color w:val="auto"/>
                <w:spacing w:val="-5"/>
                <w:highlight w:val="none"/>
              </w:rPr>
              <w:t>负责人</w:t>
            </w:r>
          </w:p>
          <w:p w14:paraId="0236C865">
            <w:pPr>
              <w:pStyle w:val="88"/>
              <w:spacing w:line="221" w:lineRule="auto"/>
              <w:ind w:left="122"/>
              <w:rPr>
                <w:color w:val="auto"/>
                <w:highlight w:val="none"/>
              </w:rPr>
            </w:pPr>
            <w:r>
              <w:rPr>
                <w:color w:val="auto"/>
                <w:spacing w:val="-5"/>
                <w:highlight w:val="none"/>
              </w:rPr>
              <w:t>（项目</w:t>
            </w:r>
          </w:p>
          <w:p w14:paraId="4E3CFDF5">
            <w:pPr>
              <w:pStyle w:val="88"/>
              <w:spacing w:before="149" w:line="222" w:lineRule="auto"/>
              <w:ind w:left="121"/>
              <w:rPr>
                <w:color w:val="auto"/>
                <w:highlight w:val="none"/>
              </w:rPr>
            </w:pPr>
            <w:r>
              <w:rPr>
                <w:color w:val="auto"/>
                <w:spacing w:val="-4"/>
                <w:highlight w:val="none"/>
              </w:rPr>
              <w:t>总工）</w:t>
            </w:r>
          </w:p>
        </w:tc>
        <w:tc>
          <w:tcPr>
            <w:tcW w:w="669" w:type="dxa"/>
            <w:vAlign w:val="top"/>
          </w:tcPr>
          <w:p w14:paraId="65747020">
            <w:pPr>
              <w:rPr>
                <w:rFonts w:ascii="Arial"/>
                <w:color w:val="auto"/>
                <w:sz w:val="21"/>
                <w:highlight w:val="none"/>
              </w:rPr>
            </w:pPr>
          </w:p>
        </w:tc>
        <w:tc>
          <w:tcPr>
            <w:tcW w:w="830" w:type="dxa"/>
            <w:vAlign w:val="top"/>
          </w:tcPr>
          <w:p w14:paraId="2B4946CA">
            <w:pPr>
              <w:rPr>
                <w:rFonts w:ascii="Arial"/>
                <w:color w:val="auto"/>
                <w:sz w:val="21"/>
                <w:highlight w:val="none"/>
              </w:rPr>
            </w:pPr>
          </w:p>
        </w:tc>
        <w:tc>
          <w:tcPr>
            <w:tcW w:w="815" w:type="dxa"/>
            <w:vAlign w:val="top"/>
          </w:tcPr>
          <w:p w14:paraId="3CD57033">
            <w:pPr>
              <w:rPr>
                <w:rFonts w:ascii="Arial"/>
                <w:color w:val="auto"/>
                <w:sz w:val="21"/>
                <w:highlight w:val="none"/>
              </w:rPr>
            </w:pPr>
          </w:p>
        </w:tc>
        <w:tc>
          <w:tcPr>
            <w:tcW w:w="1147" w:type="dxa"/>
            <w:vAlign w:val="top"/>
          </w:tcPr>
          <w:p w14:paraId="2C73E932">
            <w:pPr>
              <w:rPr>
                <w:rFonts w:ascii="Arial"/>
                <w:color w:val="auto"/>
                <w:sz w:val="21"/>
                <w:highlight w:val="none"/>
              </w:rPr>
            </w:pPr>
          </w:p>
        </w:tc>
        <w:tc>
          <w:tcPr>
            <w:tcW w:w="1146" w:type="dxa"/>
            <w:vAlign w:val="top"/>
          </w:tcPr>
          <w:p w14:paraId="4C8DAA62">
            <w:pPr>
              <w:rPr>
                <w:rFonts w:ascii="Arial"/>
                <w:color w:val="auto"/>
                <w:sz w:val="21"/>
                <w:highlight w:val="none"/>
              </w:rPr>
            </w:pPr>
          </w:p>
        </w:tc>
        <w:tc>
          <w:tcPr>
            <w:tcW w:w="1149" w:type="dxa"/>
            <w:vAlign w:val="top"/>
          </w:tcPr>
          <w:p w14:paraId="3C3D2CED">
            <w:pPr>
              <w:rPr>
                <w:rFonts w:ascii="Arial"/>
                <w:color w:val="auto"/>
                <w:sz w:val="21"/>
                <w:highlight w:val="none"/>
              </w:rPr>
            </w:pPr>
          </w:p>
        </w:tc>
        <w:tc>
          <w:tcPr>
            <w:tcW w:w="744" w:type="dxa"/>
            <w:vAlign w:val="top"/>
          </w:tcPr>
          <w:p w14:paraId="14640EA7">
            <w:pPr>
              <w:rPr>
                <w:rFonts w:ascii="Arial"/>
                <w:color w:val="auto"/>
                <w:sz w:val="21"/>
                <w:highlight w:val="none"/>
              </w:rPr>
            </w:pPr>
          </w:p>
        </w:tc>
        <w:tc>
          <w:tcPr>
            <w:tcW w:w="1166" w:type="dxa"/>
            <w:vAlign w:val="top"/>
          </w:tcPr>
          <w:p w14:paraId="23728F44">
            <w:pPr>
              <w:rPr>
                <w:rFonts w:ascii="Arial"/>
                <w:color w:val="auto"/>
                <w:sz w:val="21"/>
                <w:highlight w:val="none"/>
              </w:rPr>
            </w:pPr>
          </w:p>
        </w:tc>
        <w:tc>
          <w:tcPr>
            <w:tcW w:w="1281" w:type="dxa"/>
            <w:vAlign w:val="top"/>
          </w:tcPr>
          <w:p w14:paraId="2F632CD0">
            <w:pPr>
              <w:rPr>
                <w:rFonts w:ascii="Arial"/>
                <w:color w:val="auto"/>
                <w:sz w:val="21"/>
                <w:highlight w:val="none"/>
              </w:rPr>
            </w:pPr>
          </w:p>
        </w:tc>
      </w:tr>
      <w:tr w14:paraId="75839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6" w:hRule="atLeast"/>
        </w:trPr>
        <w:tc>
          <w:tcPr>
            <w:tcW w:w="923" w:type="dxa"/>
            <w:vAlign w:val="top"/>
          </w:tcPr>
          <w:p w14:paraId="6F2467EC">
            <w:pPr>
              <w:pStyle w:val="88"/>
              <w:spacing w:before="140" w:line="288" w:lineRule="auto"/>
              <w:ind w:left="118" w:right="282" w:firstLine="1"/>
              <w:rPr>
                <w:color w:val="auto"/>
                <w:highlight w:val="none"/>
              </w:rPr>
            </w:pPr>
            <w:r>
              <w:rPr>
                <w:color w:val="auto"/>
                <w:spacing w:val="-6"/>
                <w:highlight w:val="none"/>
              </w:rPr>
              <w:t>3.</w:t>
            </w:r>
            <w:r>
              <w:rPr>
                <w:color w:val="auto"/>
                <w:spacing w:val="8"/>
                <w:highlight w:val="none"/>
              </w:rPr>
              <w:t xml:space="preserve"> </w:t>
            </w:r>
            <w:r>
              <w:rPr>
                <w:color w:val="auto"/>
                <w:spacing w:val="-6"/>
                <w:highlight w:val="none"/>
              </w:rPr>
              <w:t>施</w:t>
            </w:r>
            <w:r>
              <w:rPr>
                <w:color w:val="auto"/>
                <w:spacing w:val="-5"/>
                <w:highlight w:val="none"/>
              </w:rPr>
              <w:t>工员</w:t>
            </w:r>
          </w:p>
        </w:tc>
        <w:tc>
          <w:tcPr>
            <w:tcW w:w="669" w:type="dxa"/>
            <w:vAlign w:val="top"/>
          </w:tcPr>
          <w:p w14:paraId="4504B4B5">
            <w:pPr>
              <w:rPr>
                <w:rFonts w:ascii="Arial"/>
                <w:color w:val="auto"/>
                <w:sz w:val="21"/>
                <w:highlight w:val="none"/>
              </w:rPr>
            </w:pPr>
          </w:p>
        </w:tc>
        <w:tc>
          <w:tcPr>
            <w:tcW w:w="830" w:type="dxa"/>
            <w:vAlign w:val="top"/>
          </w:tcPr>
          <w:p w14:paraId="2270D5CC">
            <w:pPr>
              <w:rPr>
                <w:rFonts w:ascii="Arial"/>
                <w:color w:val="auto"/>
                <w:sz w:val="21"/>
                <w:highlight w:val="none"/>
              </w:rPr>
            </w:pPr>
          </w:p>
        </w:tc>
        <w:tc>
          <w:tcPr>
            <w:tcW w:w="815" w:type="dxa"/>
            <w:vAlign w:val="top"/>
          </w:tcPr>
          <w:p w14:paraId="60293359">
            <w:pPr>
              <w:rPr>
                <w:rFonts w:ascii="Arial"/>
                <w:color w:val="auto"/>
                <w:sz w:val="21"/>
                <w:highlight w:val="none"/>
              </w:rPr>
            </w:pPr>
          </w:p>
        </w:tc>
        <w:tc>
          <w:tcPr>
            <w:tcW w:w="1147" w:type="dxa"/>
            <w:vAlign w:val="top"/>
          </w:tcPr>
          <w:p w14:paraId="016E6B2F">
            <w:pPr>
              <w:rPr>
                <w:rFonts w:ascii="Arial"/>
                <w:color w:val="auto"/>
                <w:sz w:val="21"/>
                <w:highlight w:val="none"/>
              </w:rPr>
            </w:pPr>
          </w:p>
        </w:tc>
        <w:tc>
          <w:tcPr>
            <w:tcW w:w="1146" w:type="dxa"/>
            <w:vAlign w:val="top"/>
          </w:tcPr>
          <w:p w14:paraId="59B029CB">
            <w:pPr>
              <w:rPr>
                <w:rFonts w:ascii="Arial"/>
                <w:color w:val="auto"/>
                <w:sz w:val="21"/>
                <w:highlight w:val="none"/>
              </w:rPr>
            </w:pPr>
          </w:p>
        </w:tc>
        <w:tc>
          <w:tcPr>
            <w:tcW w:w="1149" w:type="dxa"/>
            <w:vAlign w:val="top"/>
          </w:tcPr>
          <w:p w14:paraId="5CE53F48">
            <w:pPr>
              <w:rPr>
                <w:rFonts w:ascii="Arial"/>
                <w:color w:val="auto"/>
                <w:sz w:val="21"/>
                <w:highlight w:val="none"/>
              </w:rPr>
            </w:pPr>
          </w:p>
        </w:tc>
        <w:tc>
          <w:tcPr>
            <w:tcW w:w="744" w:type="dxa"/>
            <w:vAlign w:val="top"/>
          </w:tcPr>
          <w:p w14:paraId="214A02C0">
            <w:pPr>
              <w:rPr>
                <w:rFonts w:ascii="Arial"/>
                <w:color w:val="auto"/>
                <w:sz w:val="21"/>
                <w:highlight w:val="none"/>
              </w:rPr>
            </w:pPr>
          </w:p>
        </w:tc>
        <w:tc>
          <w:tcPr>
            <w:tcW w:w="1166" w:type="dxa"/>
            <w:vAlign w:val="top"/>
          </w:tcPr>
          <w:p w14:paraId="194EC9AF">
            <w:pPr>
              <w:rPr>
                <w:rFonts w:ascii="Arial"/>
                <w:color w:val="auto"/>
                <w:sz w:val="21"/>
                <w:highlight w:val="none"/>
              </w:rPr>
            </w:pPr>
          </w:p>
        </w:tc>
        <w:tc>
          <w:tcPr>
            <w:tcW w:w="1281" w:type="dxa"/>
            <w:vAlign w:val="top"/>
          </w:tcPr>
          <w:p w14:paraId="32A32888">
            <w:pPr>
              <w:rPr>
                <w:rFonts w:ascii="Arial"/>
                <w:color w:val="auto"/>
                <w:sz w:val="21"/>
                <w:highlight w:val="none"/>
              </w:rPr>
            </w:pPr>
          </w:p>
        </w:tc>
      </w:tr>
      <w:tr w14:paraId="5AA46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923" w:type="dxa"/>
            <w:vAlign w:val="top"/>
          </w:tcPr>
          <w:p w14:paraId="3B0C45FE">
            <w:pPr>
              <w:pStyle w:val="88"/>
              <w:spacing w:before="140" w:line="287" w:lineRule="auto"/>
              <w:ind w:left="124" w:right="176" w:hanging="9"/>
              <w:rPr>
                <w:color w:val="auto"/>
                <w:highlight w:val="none"/>
              </w:rPr>
            </w:pPr>
            <w:r>
              <w:rPr>
                <w:color w:val="auto"/>
                <w:spacing w:val="-1"/>
                <w:highlight w:val="none"/>
              </w:rPr>
              <w:t>4.安全</w:t>
            </w:r>
            <w:r>
              <w:rPr>
                <w:color w:val="auto"/>
                <w:highlight w:val="none"/>
              </w:rPr>
              <w:t>员</w:t>
            </w:r>
          </w:p>
        </w:tc>
        <w:tc>
          <w:tcPr>
            <w:tcW w:w="669" w:type="dxa"/>
            <w:vAlign w:val="top"/>
          </w:tcPr>
          <w:p w14:paraId="6080DCA2">
            <w:pPr>
              <w:rPr>
                <w:rFonts w:ascii="Arial"/>
                <w:color w:val="auto"/>
                <w:sz w:val="21"/>
                <w:highlight w:val="none"/>
              </w:rPr>
            </w:pPr>
          </w:p>
        </w:tc>
        <w:tc>
          <w:tcPr>
            <w:tcW w:w="830" w:type="dxa"/>
            <w:vAlign w:val="top"/>
          </w:tcPr>
          <w:p w14:paraId="7D9686AB">
            <w:pPr>
              <w:rPr>
                <w:rFonts w:ascii="Arial"/>
                <w:color w:val="auto"/>
                <w:sz w:val="21"/>
                <w:highlight w:val="none"/>
              </w:rPr>
            </w:pPr>
          </w:p>
        </w:tc>
        <w:tc>
          <w:tcPr>
            <w:tcW w:w="815" w:type="dxa"/>
            <w:vAlign w:val="top"/>
          </w:tcPr>
          <w:p w14:paraId="236BB3D6">
            <w:pPr>
              <w:rPr>
                <w:rFonts w:ascii="Arial"/>
                <w:color w:val="auto"/>
                <w:sz w:val="21"/>
                <w:highlight w:val="none"/>
              </w:rPr>
            </w:pPr>
          </w:p>
        </w:tc>
        <w:tc>
          <w:tcPr>
            <w:tcW w:w="1147" w:type="dxa"/>
            <w:vAlign w:val="top"/>
          </w:tcPr>
          <w:p w14:paraId="45015BCA">
            <w:pPr>
              <w:rPr>
                <w:rFonts w:ascii="Arial"/>
                <w:color w:val="auto"/>
                <w:sz w:val="21"/>
                <w:highlight w:val="none"/>
              </w:rPr>
            </w:pPr>
          </w:p>
        </w:tc>
        <w:tc>
          <w:tcPr>
            <w:tcW w:w="1146" w:type="dxa"/>
            <w:vAlign w:val="top"/>
          </w:tcPr>
          <w:p w14:paraId="155A0CC6">
            <w:pPr>
              <w:rPr>
                <w:rFonts w:ascii="Arial"/>
                <w:color w:val="auto"/>
                <w:sz w:val="21"/>
                <w:highlight w:val="none"/>
              </w:rPr>
            </w:pPr>
          </w:p>
        </w:tc>
        <w:tc>
          <w:tcPr>
            <w:tcW w:w="1149" w:type="dxa"/>
            <w:vAlign w:val="top"/>
          </w:tcPr>
          <w:p w14:paraId="332C39BA">
            <w:pPr>
              <w:rPr>
                <w:rFonts w:ascii="Arial"/>
                <w:color w:val="auto"/>
                <w:sz w:val="21"/>
                <w:highlight w:val="none"/>
              </w:rPr>
            </w:pPr>
          </w:p>
        </w:tc>
        <w:tc>
          <w:tcPr>
            <w:tcW w:w="744" w:type="dxa"/>
            <w:vAlign w:val="top"/>
          </w:tcPr>
          <w:p w14:paraId="7A9457DC">
            <w:pPr>
              <w:rPr>
                <w:rFonts w:ascii="Arial"/>
                <w:color w:val="auto"/>
                <w:sz w:val="21"/>
                <w:highlight w:val="none"/>
              </w:rPr>
            </w:pPr>
          </w:p>
        </w:tc>
        <w:tc>
          <w:tcPr>
            <w:tcW w:w="1166" w:type="dxa"/>
            <w:vAlign w:val="top"/>
          </w:tcPr>
          <w:p w14:paraId="355D771B">
            <w:pPr>
              <w:rPr>
                <w:rFonts w:ascii="Arial"/>
                <w:color w:val="auto"/>
                <w:sz w:val="21"/>
                <w:highlight w:val="none"/>
              </w:rPr>
            </w:pPr>
          </w:p>
        </w:tc>
        <w:tc>
          <w:tcPr>
            <w:tcW w:w="1281" w:type="dxa"/>
            <w:vAlign w:val="top"/>
          </w:tcPr>
          <w:p w14:paraId="655631AE">
            <w:pPr>
              <w:rPr>
                <w:rFonts w:ascii="Arial"/>
                <w:color w:val="auto"/>
                <w:sz w:val="21"/>
                <w:highlight w:val="none"/>
              </w:rPr>
            </w:pPr>
          </w:p>
        </w:tc>
      </w:tr>
      <w:tr w14:paraId="41FC5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23" w:type="dxa"/>
            <w:vAlign w:val="top"/>
          </w:tcPr>
          <w:p w14:paraId="52D51C92">
            <w:pPr>
              <w:pStyle w:val="88"/>
              <w:spacing w:before="140" w:line="288" w:lineRule="auto"/>
              <w:ind w:left="116" w:right="282" w:firstLine="4"/>
              <w:rPr>
                <w:color w:val="auto"/>
                <w:highlight w:val="none"/>
              </w:rPr>
            </w:pPr>
            <w:r>
              <w:rPr>
                <w:color w:val="auto"/>
                <w:spacing w:val="-7"/>
                <w:highlight w:val="none"/>
              </w:rPr>
              <w:t>5.</w:t>
            </w:r>
            <w:r>
              <w:rPr>
                <w:color w:val="auto"/>
                <w:spacing w:val="10"/>
                <w:highlight w:val="none"/>
              </w:rPr>
              <w:t xml:space="preserve"> </w:t>
            </w:r>
            <w:r>
              <w:rPr>
                <w:color w:val="auto"/>
                <w:spacing w:val="-7"/>
                <w:highlight w:val="none"/>
              </w:rPr>
              <w:t>质</w:t>
            </w:r>
            <w:r>
              <w:rPr>
                <w:color w:val="auto"/>
                <w:spacing w:val="-3"/>
                <w:highlight w:val="none"/>
              </w:rPr>
              <w:t>量员</w:t>
            </w:r>
          </w:p>
        </w:tc>
        <w:tc>
          <w:tcPr>
            <w:tcW w:w="669" w:type="dxa"/>
            <w:vAlign w:val="top"/>
          </w:tcPr>
          <w:p w14:paraId="5E142EE5">
            <w:pPr>
              <w:rPr>
                <w:rFonts w:ascii="Arial"/>
                <w:color w:val="auto"/>
                <w:sz w:val="21"/>
                <w:highlight w:val="none"/>
              </w:rPr>
            </w:pPr>
          </w:p>
        </w:tc>
        <w:tc>
          <w:tcPr>
            <w:tcW w:w="830" w:type="dxa"/>
            <w:vAlign w:val="top"/>
          </w:tcPr>
          <w:p w14:paraId="39424437">
            <w:pPr>
              <w:rPr>
                <w:rFonts w:ascii="Arial"/>
                <w:color w:val="auto"/>
                <w:sz w:val="21"/>
                <w:highlight w:val="none"/>
              </w:rPr>
            </w:pPr>
          </w:p>
        </w:tc>
        <w:tc>
          <w:tcPr>
            <w:tcW w:w="815" w:type="dxa"/>
            <w:vAlign w:val="top"/>
          </w:tcPr>
          <w:p w14:paraId="548E640E">
            <w:pPr>
              <w:rPr>
                <w:rFonts w:ascii="Arial"/>
                <w:color w:val="auto"/>
                <w:sz w:val="21"/>
                <w:highlight w:val="none"/>
              </w:rPr>
            </w:pPr>
          </w:p>
        </w:tc>
        <w:tc>
          <w:tcPr>
            <w:tcW w:w="1147" w:type="dxa"/>
            <w:vAlign w:val="top"/>
          </w:tcPr>
          <w:p w14:paraId="2466B38A">
            <w:pPr>
              <w:rPr>
                <w:rFonts w:ascii="Arial"/>
                <w:color w:val="auto"/>
                <w:sz w:val="21"/>
                <w:highlight w:val="none"/>
              </w:rPr>
            </w:pPr>
          </w:p>
        </w:tc>
        <w:tc>
          <w:tcPr>
            <w:tcW w:w="1146" w:type="dxa"/>
            <w:vAlign w:val="top"/>
          </w:tcPr>
          <w:p w14:paraId="457338C7">
            <w:pPr>
              <w:rPr>
                <w:rFonts w:ascii="Arial"/>
                <w:color w:val="auto"/>
                <w:sz w:val="21"/>
                <w:highlight w:val="none"/>
              </w:rPr>
            </w:pPr>
          </w:p>
        </w:tc>
        <w:tc>
          <w:tcPr>
            <w:tcW w:w="1149" w:type="dxa"/>
            <w:vAlign w:val="top"/>
          </w:tcPr>
          <w:p w14:paraId="0AD9AC30">
            <w:pPr>
              <w:rPr>
                <w:rFonts w:ascii="Arial"/>
                <w:color w:val="auto"/>
                <w:sz w:val="21"/>
                <w:highlight w:val="none"/>
              </w:rPr>
            </w:pPr>
          </w:p>
        </w:tc>
        <w:tc>
          <w:tcPr>
            <w:tcW w:w="744" w:type="dxa"/>
            <w:vAlign w:val="top"/>
          </w:tcPr>
          <w:p w14:paraId="6F70CA5A">
            <w:pPr>
              <w:rPr>
                <w:rFonts w:ascii="Arial"/>
                <w:color w:val="auto"/>
                <w:sz w:val="21"/>
                <w:highlight w:val="none"/>
              </w:rPr>
            </w:pPr>
          </w:p>
        </w:tc>
        <w:tc>
          <w:tcPr>
            <w:tcW w:w="1166" w:type="dxa"/>
            <w:vAlign w:val="top"/>
          </w:tcPr>
          <w:p w14:paraId="24FC8C7F">
            <w:pPr>
              <w:rPr>
                <w:rFonts w:ascii="Arial"/>
                <w:color w:val="auto"/>
                <w:sz w:val="21"/>
                <w:highlight w:val="none"/>
              </w:rPr>
            </w:pPr>
          </w:p>
        </w:tc>
        <w:tc>
          <w:tcPr>
            <w:tcW w:w="1281" w:type="dxa"/>
            <w:vAlign w:val="top"/>
          </w:tcPr>
          <w:p w14:paraId="342CFE69">
            <w:pPr>
              <w:rPr>
                <w:rFonts w:ascii="Arial"/>
                <w:color w:val="auto"/>
                <w:sz w:val="21"/>
                <w:highlight w:val="none"/>
              </w:rPr>
            </w:pPr>
          </w:p>
        </w:tc>
      </w:tr>
      <w:tr w14:paraId="69C60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923" w:type="dxa"/>
            <w:vAlign w:val="top"/>
          </w:tcPr>
          <w:p w14:paraId="7B69B6DE">
            <w:pPr>
              <w:pStyle w:val="88"/>
              <w:spacing w:before="140" w:line="287" w:lineRule="auto"/>
              <w:ind w:left="123" w:right="176" w:hanging="6"/>
              <w:rPr>
                <w:color w:val="auto"/>
                <w:highlight w:val="none"/>
              </w:rPr>
            </w:pPr>
            <w:r>
              <w:rPr>
                <w:color w:val="auto"/>
                <w:spacing w:val="-2"/>
                <w:highlight w:val="none"/>
              </w:rPr>
              <w:t>6.材料</w:t>
            </w:r>
            <w:r>
              <w:rPr>
                <w:color w:val="auto"/>
                <w:highlight w:val="none"/>
              </w:rPr>
              <w:t>员</w:t>
            </w:r>
          </w:p>
        </w:tc>
        <w:tc>
          <w:tcPr>
            <w:tcW w:w="669" w:type="dxa"/>
            <w:vAlign w:val="top"/>
          </w:tcPr>
          <w:p w14:paraId="11D7B267">
            <w:pPr>
              <w:rPr>
                <w:rFonts w:ascii="Arial"/>
                <w:color w:val="auto"/>
                <w:sz w:val="21"/>
                <w:highlight w:val="none"/>
              </w:rPr>
            </w:pPr>
          </w:p>
        </w:tc>
        <w:tc>
          <w:tcPr>
            <w:tcW w:w="830" w:type="dxa"/>
            <w:vAlign w:val="top"/>
          </w:tcPr>
          <w:p w14:paraId="33F07D1A">
            <w:pPr>
              <w:rPr>
                <w:rFonts w:ascii="Arial"/>
                <w:color w:val="auto"/>
                <w:sz w:val="21"/>
                <w:highlight w:val="none"/>
              </w:rPr>
            </w:pPr>
          </w:p>
        </w:tc>
        <w:tc>
          <w:tcPr>
            <w:tcW w:w="815" w:type="dxa"/>
            <w:vAlign w:val="top"/>
          </w:tcPr>
          <w:p w14:paraId="3F180AE1">
            <w:pPr>
              <w:rPr>
                <w:rFonts w:ascii="Arial"/>
                <w:color w:val="auto"/>
                <w:sz w:val="21"/>
                <w:highlight w:val="none"/>
              </w:rPr>
            </w:pPr>
          </w:p>
        </w:tc>
        <w:tc>
          <w:tcPr>
            <w:tcW w:w="1147" w:type="dxa"/>
            <w:vAlign w:val="top"/>
          </w:tcPr>
          <w:p w14:paraId="4FEB8AE2">
            <w:pPr>
              <w:rPr>
                <w:rFonts w:ascii="Arial"/>
                <w:color w:val="auto"/>
                <w:sz w:val="21"/>
                <w:highlight w:val="none"/>
              </w:rPr>
            </w:pPr>
          </w:p>
        </w:tc>
        <w:tc>
          <w:tcPr>
            <w:tcW w:w="1146" w:type="dxa"/>
            <w:vAlign w:val="top"/>
          </w:tcPr>
          <w:p w14:paraId="4935F3D0">
            <w:pPr>
              <w:rPr>
                <w:rFonts w:ascii="Arial"/>
                <w:color w:val="auto"/>
                <w:sz w:val="21"/>
                <w:highlight w:val="none"/>
              </w:rPr>
            </w:pPr>
          </w:p>
        </w:tc>
        <w:tc>
          <w:tcPr>
            <w:tcW w:w="1149" w:type="dxa"/>
            <w:vAlign w:val="top"/>
          </w:tcPr>
          <w:p w14:paraId="7FDD4F15">
            <w:pPr>
              <w:rPr>
                <w:rFonts w:ascii="Arial"/>
                <w:color w:val="auto"/>
                <w:sz w:val="21"/>
                <w:highlight w:val="none"/>
              </w:rPr>
            </w:pPr>
          </w:p>
        </w:tc>
        <w:tc>
          <w:tcPr>
            <w:tcW w:w="744" w:type="dxa"/>
            <w:vAlign w:val="top"/>
          </w:tcPr>
          <w:p w14:paraId="5AA839F6">
            <w:pPr>
              <w:rPr>
                <w:rFonts w:ascii="Arial"/>
                <w:color w:val="auto"/>
                <w:sz w:val="21"/>
                <w:highlight w:val="none"/>
              </w:rPr>
            </w:pPr>
          </w:p>
        </w:tc>
        <w:tc>
          <w:tcPr>
            <w:tcW w:w="1166" w:type="dxa"/>
            <w:vAlign w:val="top"/>
          </w:tcPr>
          <w:p w14:paraId="60FADF0A">
            <w:pPr>
              <w:rPr>
                <w:rFonts w:ascii="Arial"/>
                <w:color w:val="auto"/>
                <w:sz w:val="21"/>
                <w:highlight w:val="none"/>
              </w:rPr>
            </w:pPr>
          </w:p>
        </w:tc>
        <w:tc>
          <w:tcPr>
            <w:tcW w:w="1281" w:type="dxa"/>
            <w:vAlign w:val="top"/>
          </w:tcPr>
          <w:p w14:paraId="4A3602C4">
            <w:pPr>
              <w:rPr>
                <w:rFonts w:ascii="Arial"/>
                <w:color w:val="auto"/>
                <w:sz w:val="21"/>
                <w:highlight w:val="none"/>
              </w:rPr>
            </w:pPr>
          </w:p>
        </w:tc>
      </w:tr>
      <w:tr w14:paraId="48BC7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23" w:type="dxa"/>
            <w:vAlign w:val="top"/>
          </w:tcPr>
          <w:p w14:paraId="55F994F3">
            <w:pPr>
              <w:rPr>
                <w:rFonts w:ascii="Arial"/>
                <w:color w:val="auto"/>
                <w:sz w:val="21"/>
                <w:highlight w:val="none"/>
              </w:rPr>
            </w:pPr>
          </w:p>
        </w:tc>
        <w:tc>
          <w:tcPr>
            <w:tcW w:w="669" w:type="dxa"/>
            <w:vAlign w:val="top"/>
          </w:tcPr>
          <w:p w14:paraId="4FFEF835">
            <w:pPr>
              <w:rPr>
                <w:rFonts w:ascii="Arial"/>
                <w:color w:val="auto"/>
                <w:sz w:val="21"/>
                <w:highlight w:val="none"/>
              </w:rPr>
            </w:pPr>
          </w:p>
        </w:tc>
        <w:tc>
          <w:tcPr>
            <w:tcW w:w="830" w:type="dxa"/>
            <w:vAlign w:val="top"/>
          </w:tcPr>
          <w:p w14:paraId="2179C8BB">
            <w:pPr>
              <w:rPr>
                <w:rFonts w:ascii="Arial"/>
                <w:color w:val="auto"/>
                <w:sz w:val="21"/>
                <w:highlight w:val="none"/>
              </w:rPr>
            </w:pPr>
          </w:p>
        </w:tc>
        <w:tc>
          <w:tcPr>
            <w:tcW w:w="815" w:type="dxa"/>
            <w:vAlign w:val="top"/>
          </w:tcPr>
          <w:p w14:paraId="27F2013A">
            <w:pPr>
              <w:rPr>
                <w:rFonts w:ascii="Arial"/>
                <w:color w:val="auto"/>
                <w:sz w:val="21"/>
                <w:highlight w:val="none"/>
              </w:rPr>
            </w:pPr>
          </w:p>
        </w:tc>
        <w:tc>
          <w:tcPr>
            <w:tcW w:w="1147" w:type="dxa"/>
            <w:vAlign w:val="top"/>
          </w:tcPr>
          <w:p w14:paraId="698FA96F">
            <w:pPr>
              <w:rPr>
                <w:rFonts w:ascii="Arial"/>
                <w:color w:val="auto"/>
                <w:sz w:val="21"/>
                <w:highlight w:val="none"/>
              </w:rPr>
            </w:pPr>
          </w:p>
        </w:tc>
        <w:tc>
          <w:tcPr>
            <w:tcW w:w="1146" w:type="dxa"/>
            <w:vAlign w:val="top"/>
          </w:tcPr>
          <w:p w14:paraId="40CD522A">
            <w:pPr>
              <w:rPr>
                <w:rFonts w:ascii="Arial"/>
                <w:color w:val="auto"/>
                <w:sz w:val="21"/>
                <w:highlight w:val="none"/>
              </w:rPr>
            </w:pPr>
          </w:p>
        </w:tc>
        <w:tc>
          <w:tcPr>
            <w:tcW w:w="1149" w:type="dxa"/>
            <w:vAlign w:val="top"/>
          </w:tcPr>
          <w:p w14:paraId="4889171C">
            <w:pPr>
              <w:rPr>
                <w:rFonts w:ascii="Arial"/>
                <w:color w:val="auto"/>
                <w:sz w:val="21"/>
                <w:highlight w:val="none"/>
              </w:rPr>
            </w:pPr>
          </w:p>
        </w:tc>
        <w:tc>
          <w:tcPr>
            <w:tcW w:w="744" w:type="dxa"/>
            <w:vAlign w:val="top"/>
          </w:tcPr>
          <w:p w14:paraId="0E27ECA3">
            <w:pPr>
              <w:rPr>
                <w:rFonts w:ascii="Arial"/>
                <w:color w:val="auto"/>
                <w:sz w:val="21"/>
                <w:highlight w:val="none"/>
              </w:rPr>
            </w:pPr>
          </w:p>
        </w:tc>
        <w:tc>
          <w:tcPr>
            <w:tcW w:w="1166" w:type="dxa"/>
            <w:vAlign w:val="top"/>
          </w:tcPr>
          <w:p w14:paraId="0708E4F5">
            <w:pPr>
              <w:rPr>
                <w:rFonts w:ascii="Arial"/>
                <w:color w:val="auto"/>
                <w:sz w:val="21"/>
                <w:highlight w:val="none"/>
              </w:rPr>
            </w:pPr>
          </w:p>
        </w:tc>
        <w:tc>
          <w:tcPr>
            <w:tcW w:w="1281" w:type="dxa"/>
            <w:vAlign w:val="top"/>
          </w:tcPr>
          <w:p w14:paraId="11990450">
            <w:pPr>
              <w:rPr>
                <w:rFonts w:ascii="Arial"/>
                <w:color w:val="auto"/>
                <w:sz w:val="21"/>
                <w:highlight w:val="none"/>
              </w:rPr>
            </w:pPr>
          </w:p>
        </w:tc>
      </w:tr>
      <w:tr w14:paraId="3B7A0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0" w:hRule="atLeast"/>
        </w:trPr>
        <w:tc>
          <w:tcPr>
            <w:tcW w:w="9870" w:type="dxa"/>
            <w:gridSpan w:val="10"/>
            <w:vAlign w:val="top"/>
          </w:tcPr>
          <w:p w14:paraId="33BFB896">
            <w:pPr>
              <w:pStyle w:val="88"/>
              <w:spacing w:before="144" w:line="220" w:lineRule="auto"/>
              <w:ind w:left="119"/>
              <w:rPr>
                <w:color w:val="auto"/>
                <w:highlight w:val="none"/>
              </w:rPr>
            </w:pPr>
            <w:r>
              <w:rPr>
                <w:color w:val="auto"/>
                <w:highlight w:val="none"/>
              </w:rPr>
              <w:t>一旦我单位成交，将实行项目经理负责制，我方保证并配备上述</w:t>
            </w:r>
            <w:r>
              <w:rPr>
                <w:color w:val="auto"/>
                <w:spacing w:val="-1"/>
                <w:highlight w:val="none"/>
              </w:rPr>
              <w:t>项目管理机构。上述填报内容真实，若不</w:t>
            </w:r>
          </w:p>
          <w:p w14:paraId="6D90900C">
            <w:pPr>
              <w:pStyle w:val="88"/>
              <w:spacing w:before="148" w:line="220" w:lineRule="auto"/>
              <w:ind w:left="958"/>
              <w:rPr>
                <w:color w:val="auto"/>
                <w:highlight w:val="none"/>
              </w:rPr>
            </w:pPr>
            <w:r>
              <w:rPr>
                <w:color w:val="auto"/>
                <w:highlight w:val="none"/>
              </w:rPr>
              <w:t>真实，愿按有关规定接受处理。项目管理班子机构设置、职责分工等情况另附</w:t>
            </w:r>
            <w:r>
              <w:rPr>
                <w:color w:val="auto"/>
                <w:spacing w:val="-1"/>
                <w:highlight w:val="none"/>
              </w:rPr>
              <w:t>资料说明。</w:t>
            </w:r>
          </w:p>
        </w:tc>
      </w:tr>
    </w:tbl>
    <w:p w14:paraId="03296D4A">
      <w:pPr>
        <w:pStyle w:val="14"/>
        <w:spacing w:before="112" w:line="221" w:lineRule="auto"/>
        <w:ind w:left="355"/>
        <w:rPr>
          <w:color w:val="auto"/>
          <w:sz w:val="24"/>
          <w:szCs w:val="24"/>
          <w:highlight w:val="none"/>
        </w:rPr>
      </w:pPr>
      <w:r>
        <w:rPr>
          <w:color w:val="auto"/>
          <w:spacing w:val="-5"/>
          <w:sz w:val="24"/>
          <w:szCs w:val="24"/>
          <w:highlight w:val="none"/>
        </w:rPr>
        <w:t>备注：</w:t>
      </w:r>
    </w:p>
    <w:p w14:paraId="54D69701">
      <w:pPr>
        <w:pStyle w:val="14"/>
        <w:spacing w:before="114" w:line="307" w:lineRule="auto"/>
        <w:ind w:left="359" w:right="412" w:firstLine="491"/>
        <w:rPr>
          <w:color w:val="auto"/>
          <w:sz w:val="24"/>
          <w:szCs w:val="24"/>
          <w:highlight w:val="none"/>
        </w:rPr>
      </w:pPr>
      <w:r>
        <w:rPr>
          <w:color w:val="auto"/>
          <w:spacing w:val="-1"/>
          <w:sz w:val="24"/>
          <w:szCs w:val="24"/>
          <w:highlight w:val="none"/>
        </w:rPr>
        <w:t>1.本表所列岗位的所有管理人员的情况均应如实填写。可按以上格式扩展为多页填</w:t>
      </w:r>
      <w:r>
        <w:rPr>
          <w:color w:val="auto"/>
          <w:spacing w:val="-8"/>
          <w:sz w:val="24"/>
          <w:szCs w:val="24"/>
          <w:highlight w:val="none"/>
        </w:rPr>
        <w:t>写。</w:t>
      </w:r>
    </w:p>
    <w:p w14:paraId="1E6950EC">
      <w:pPr>
        <w:pStyle w:val="14"/>
        <w:spacing w:before="1" w:line="310" w:lineRule="auto"/>
        <w:ind w:left="352" w:right="412" w:firstLine="482"/>
        <w:rPr>
          <w:color w:val="auto"/>
          <w:sz w:val="24"/>
          <w:szCs w:val="24"/>
          <w:highlight w:val="none"/>
        </w:rPr>
      </w:pPr>
      <w:r>
        <w:rPr>
          <w:color w:val="auto"/>
          <w:sz w:val="24"/>
          <w:szCs w:val="24"/>
          <w:highlight w:val="none"/>
        </w:rPr>
        <w:t>2.供应商应当在本表后附所有管理人员的身份证、</w:t>
      </w:r>
      <w:r>
        <w:rPr>
          <w:color w:val="auto"/>
          <w:spacing w:val="-1"/>
          <w:sz w:val="24"/>
          <w:szCs w:val="24"/>
          <w:highlight w:val="none"/>
        </w:rPr>
        <w:t>执业或职业资格证书的复印件并</w:t>
      </w:r>
      <w:r>
        <w:rPr>
          <w:color w:val="auto"/>
          <w:spacing w:val="-2"/>
          <w:sz w:val="24"/>
          <w:szCs w:val="24"/>
          <w:highlight w:val="none"/>
        </w:rPr>
        <w:t>加盖供应商公章。</w:t>
      </w:r>
    </w:p>
    <w:p w14:paraId="60C1010E">
      <w:pPr>
        <w:spacing w:line="346" w:lineRule="auto"/>
        <w:rPr>
          <w:rFonts w:ascii="Arial"/>
          <w:color w:val="auto"/>
          <w:sz w:val="21"/>
          <w:highlight w:val="none"/>
        </w:rPr>
      </w:pPr>
    </w:p>
    <w:p w14:paraId="04FF7E75">
      <w:pPr>
        <w:pStyle w:val="14"/>
        <w:spacing w:before="78" w:line="219" w:lineRule="auto"/>
        <w:ind w:left="5632"/>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4107BF0E">
      <w:pPr>
        <w:pStyle w:val="14"/>
        <w:spacing w:before="156" w:line="219" w:lineRule="auto"/>
        <w:ind w:left="5673"/>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3276915">
      <w:pPr>
        <w:spacing w:line="219" w:lineRule="auto"/>
        <w:rPr>
          <w:color w:val="auto"/>
          <w:sz w:val="24"/>
          <w:szCs w:val="24"/>
          <w:highlight w:val="none"/>
        </w:rPr>
        <w:sectPr>
          <w:footerReference r:id="rId6" w:type="default"/>
          <w:pgSz w:w="11900" w:h="16840"/>
          <w:pgMar w:top="1327" w:right="948" w:bottom="848" w:left="1075" w:header="0" w:footer="648" w:gutter="0"/>
          <w:cols w:space="720" w:num="1"/>
        </w:sectPr>
      </w:pPr>
    </w:p>
    <w:p w14:paraId="7FBCCE64">
      <w:pPr>
        <w:pStyle w:val="14"/>
        <w:spacing w:before="62" w:line="267" w:lineRule="auto"/>
        <w:ind w:right="2563"/>
        <w:jc w:val="center"/>
        <w:rPr>
          <w:rFonts w:hint="eastAsia" w:eastAsia="宋体"/>
          <w:color w:val="auto"/>
          <w:highlight w:val="none"/>
          <w:lang w:eastAsia="zh-CN"/>
        </w:rPr>
      </w:pPr>
      <w:r>
        <w:rPr>
          <w:b/>
          <w:bCs/>
          <w:color w:val="auto"/>
          <w:spacing w:val="6"/>
          <w:highlight w:val="none"/>
        </w:rPr>
        <w:t>（二）拟投入的主要人员简历表</w:t>
      </w:r>
      <w:r>
        <w:rPr>
          <w:b/>
          <w:bCs/>
          <w:color w:val="auto"/>
          <w:spacing w:val="5"/>
          <w:highlight w:val="none"/>
        </w:rPr>
        <w:t>项目经理简历</w:t>
      </w:r>
      <w:r>
        <w:rPr>
          <w:rFonts w:hint="eastAsia"/>
          <w:b/>
          <w:bCs/>
          <w:color w:val="auto"/>
          <w:spacing w:val="5"/>
          <w:highlight w:val="none"/>
          <w:lang w:eastAsia="zh-CN"/>
        </w:rPr>
        <w:t>表</w:t>
      </w:r>
    </w:p>
    <w:tbl>
      <w:tblPr>
        <w:tblStyle w:val="89"/>
        <w:tblW w:w="9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8"/>
        <w:gridCol w:w="168"/>
        <w:gridCol w:w="276"/>
        <w:gridCol w:w="888"/>
        <w:gridCol w:w="660"/>
        <w:gridCol w:w="326"/>
        <w:gridCol w:w="235"/>
        <w:gridCol w:w="1269"/>
        <w:gridCol w:w="126"/>
        <w:gridCol w:w="264"/>
        <w:gridCol w:w="1082"/>
        <w:gridCol w:w="73"/>
        <w:gridCol w:w="430"/>
        <w:gridCol w:w="1132"/>
        <w:gridCol w:w="70"/>
        <w:gridCol w:w="1436"/>
      </w:tblGrid>
      <w:tr w14:paraId="15BC5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188" w:type="dxa"/>
            <w:vAlign w:val="top"/>
          </w:tcPr>
          <w:p w14:paraId="7411F408">
            <w:pPr>
              <w:pStyle w:val="88"/>
              <w:spacing w:before="243" w:line="220" w:lineRule="auto"/>
              <w:ind w:left="392"/>
              <w:rPr>
                <w:color w:val="auto"/>
                <w:highlight w:val="none"/>
              </w:rPr>
            </w:pPr>
            <w:r>
              <w:rPr>
                <w:color w:val="auto"/>
                <w:spacing w:val="-3"/>
                <w:highlight w:val="none"/>
              </w:rPr>
              <w:t>姓名</w:t>
            </w:r>
          </w:p>
        </w:tc>
        <w:tc>
          <w:tcPr>
            <w:tcW w:w="2318" w:type="dxa"/>
            <w:gridSpan w:val="5"/>
            <w:vAlign w:val="top"/>
          </w:tcPr>
          <w:p w14:paraId="1289A02F">
            <w:pPr>
              <w:rPr>
                <w:rFonts w:ascii="Arial"/>
                <w:color w:val="auto"/>
                <w:sz w:val="21"/>
                <w:highlight w:val="none"/>
              </w:rPr>
            </w:pPr>
          </w:p>
        </w:tc>
        <w:tc>
          <w:tcPr>
            <w:tcW w:w="1894" w:type="dxa"/>
            <w:gridSpan w:val="4"/>
            <w:vAlign w:val="top"/>
          </w:tcPr>
          <w:p w14:paraId="632187C5">
            <w:pPr>
              <w:pStyle w:val="88"/>
              <w:spacing w:before="243" w:line="221" w:lineRule="auto"/>
              <w:ind w:left="742"/>
              <w:rPr>
                <w:color w:val="auto"/>
                <w:highlight w:val="none"/>
              </w:rPr>
            </w:pPr>
            <w:r>
              <w:rPr>
                <w:color w:val="auto"/>
                <w:spacing w:val="-5"/>
                <w:highlight w:val="none"/>
              </w:rPr>
              <w:t>性别</w:t>
            </w:r>
          </w:p>
        </w:tc>
        <w:tc>
          <w:tcPr>
            <w:tcW w:w="1585" w:type="dxa"/>
            <w:gridSpan w:val="3"/>
            <w:vAlign w:val="top"/>
          </w:tcPr>
          <w:p w14:paraId="2B6A8AB7">
            <w:pPr>
              <w:rPr>
                <w:rFonts w:ascii="Arial"/>
                <w:color w:val="auto"/>
                <w:sz w:val="21"/>
                <w:highlight w:val="none"/>
              </w:rPr>
            </w:pPr>
          </w:p>
        </w:tc>
        <w:tc>
          <w:tcPr>
            <w:tcW w:w="1132" w:type="dxa"/>
            <w:vAlign w:val="top"/>
          </w:tcPr>
          <w:p w14:paraId="534AAD85">
            <w:pPr>
              <w:pStyle w:val="88"/>
              <w:spacing w:before="243" w:line="220" w:lineRule="auto"/>
              <w:ind w:left="346"/>
              <w:rPr>
                <w:color w:val="auto"/>
                <w:highlight w:val="none"/>
              </w:rPr>
            </w:pPr>
            <w:r>
              <w:rPr>
                <w:color w:val="auto"/>
                <w:spacing w:val="-4"/>
                <w:highlight w:val="none"/>
              </w:rPr>
              <w:t>年龄</w:t>
            </w:r>
          </w:p>
        </w:tc>
        <w:tc>
          <w:tcPr>
            <w:tcW w:w="1506" w:type="dxa"/>
            <w:gridSpan w:val="2"/>
            <w:vAlign w:val="top"/>
          </w:tcPr>
          <w:p w14:paraId="454A1B7C">
            <w:pPr>
              <w:rPr>
                <w:rFonts w:ascii="Arial"/>
                <w:color w:val="auto"/>
                <w:sz w:val="21"/>
                <w:highlight w:val="none"/>
              </w:rPr>
            </w:pPr>
          </w:p>
        </w:tc>
      </w:tr>
      <w:tr w14:paraId="757A9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88" w:type="dxa"/>
            <w:vAlign w:val="top"/>
          </w:tcPr>
          <w:p w14:paraId="7551B314">
            <w:pPr>
              <w:pStyle w:val="88"/>
              <w:spacing w:before="250" w:line="221" w:lineRule="auto"/>
              <w:ind w:left="415"/>
              <w:rPr>
                <w:color w:val="auto"/>
                <w:highlight w:val="none"/>
              </w:rPr>
            </w:pPr>
            <w:r>
              <w:rPr>
                <w:color w:val="auto"/>
                <w:spacing w:val="-15"/>
                <w:highlight w:val="none"/>
              </w:rPr>
              <w:t>岗位</w:t>
            </w:r>
          </w:p>
        </w:tc>
        <w:tc>
          <w:tcPr>
            <w:tcW w:w="2318" w:type="dxa"/>
            <w:gridSpan w:val="5"/>
            <w:vAlign w:val="top"/>
          </w:tcPr>
          <w:p w14:paraId="7456B3DA">
            <w:pPr>
              <w:pStyle w:val="88"/>
              <w:spacing w:before="250" w:line="221" w:lineRule="auto"/>
              <w:ind w:left="745"/>
              <w:rPr>
                <w:color w:val="auto"/>
                <w:highlight w:val="none"/>
              </w:rPr>
            </w:pPr>
            <w:r>
              <w:rPr>
                <w:color w:val="auto"/>
                <w:spacing w:val="-3"/>
                <w:highlight w:val="none"/>
              </w:rPr>
              <w:t>项目经理</w:t>
            </w:r>
          </w:p>
        </w:tc>
        <w:tc>
          <w:tcPr>
            <w:tcW w:w="1894" w:type="dxa"/>
            <w:gridSpan w:val="4"/>
            <w:vAlign w:val="top"/>
          </w:tcPr>
          <w:p w14:paraId="1F4BF5D2">
            <w:pPr>
              <w:pStyle w:val="88"/>
              <w:spacing w:before="250" w:line="223" w:lineRule="auto"/>
              <w:ind w:left="741"/>
              <w:rPr>
                <w:color w:val="auto"/>
                <w:highlight w:val="none"/>
              </w:rPr>
            </w:pPr>
            <w:r>
              <w:rPr>
                <w:color w:val="auto"/>
                <w:spacing w:val="-4"/>
                <w:highlight w:val="none"/>
              </w:rPr>
              <w:t>职称</w:t>
            </w:r>
          </w:p>
        </w:tc>
        <w:tc>
          <w:tcPr>
            <w:tcW w:w="1585" w:type="dxa"/>
            <w:gridSpan w:val="3"/>
            <w:vAlign w:val="top"/>
          </w:tcPr>
          <w:p w14:paraId="2F9D3302">
            <w:pPr>
              <w:rPr>
                <w:rFonts w:ascii="Arial"/>
                <w:color w:val="auto"/>
                <w:sz w:val="21"/>
                <w:highlight w:val="none"/>
              </w:rPr>
            </w:pPr>
          </w:p>
        </w:tc>
        <w:tc>
          <w:tcPr>
            <w:tcW w:w="1132" w:type="dxa"/>
            <w:vAlign w:val="top"/>
          </w:tcPr>
          <w:p w14:paraId="765C12A7">
            <w:pPr>
              <w:pStyle w:val="88"/>
              <w:spacing w:before="250" w:line="222" w:lineRule="auto"/>
              <w:ind w:left="349"/>
              <w:rPr>
                <w:color w:val="auto"/>
                <w:highlight w:val="none"/>
              </w:rPr>
            </w:pPr>
            <w:r>
              <w:rPr>
                <w:color w:val="auto"/>
                <w:spacing w:val="-6"/>
                <w:highlight w:val="none"/>
              </w:rPr>
              <w:t>学历</w:t>
            </w:r>
          </w:p>
        </w:tc>
        <w:tc>
          <w:tcPr>
            <w:tcW w:w="1506" w:type="dxa"/>
            <w:gridSpan w:val="2"/>
            <w:vAlign w:val="top"/>
          </w:tcPr>
          <w:p w14:paraId="469E2C46">
            <w:pPr>
              <w:rPr>
                <w:rFonts w:ascii="Arial"/>
                <w:color w:val="auto"/>
                <w:sz w:val="21"/>
                <w:highlight w:val="none"/>
              </w:rPr>
            </w:pPr>
          </w:p>
        </w:tc>
      </w:tr>
      <w:tr w14:paraId="00BB0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188" w:type="dxa"/>
            <w:vAlign w:val="top"/>
          </w:tcPr>
          <w:p w14:paraId="7385A9F2">
            <w:pPr>
              <w:pStyle w:val="88"/>
              <w:spacing w:before="137" w:line="288" w:lineRule="auto"/>
              <w:ind w:left="401" w:right="165" w:hanging="216"/>
              <w:rPr>
                <w:color w:val="auto"/>
                <w:highlight w:val="none"/>
              </w:rPr>
            </w:pPr>
            <w:r>
              <w:rPr>
                <w:color w:val="auto"/>
                <w:spacing w:val="-3"/>
                <w:highlight w:val="none"/>
              </w:rPr>
              <w:t>从业开始</w:t>
            </w:r>
            <w:r>
              <w:rPr>
                <w:color w:val="auto"/>
                <w:spacing w:val="-8"/>
                <w:highlight w:val="none"/>
              </w:rPr>
              <w:t>时间</w:t>
            </w:r>
          </w:p>
        </w:tc>
        <w:tc>
          <w:tcPr>
            <w:tcW w:w="2318" w:type="dxa"/>
            <w:gridSpan w:val="5"/>
            <w:vAlign w:val="top"/>
          </w:tcPr>
          <w:p w14:paraId="0E1E8DED">
            <w:pPr>
              <w:rPr>
                <w:rFonts w:ascii="Arial"/>
                <w:color w:val="auto"/>
                <w:sz w:val="21"/>
                <w:highlight w:val="none"/>
              </w:rPr>
            </w:pPr>
          </w:p>
        </w:tc>
        <w:tc>
          <w:tcPr>
            <w:tcW w:w="1894" w:type="dxa"/>
            <w:gridSpan w:val="4"/>
            <w:vAlign w:val="top"/>
          </w:tcPr>
          <w:p w14:paraId="3A5F5D47">
            <w:pPr>
              <w:spacing w:line="268" w:lineRule="auto"/>
              <w:rPr>
                <w:rFonts w:ascii="Arial"/>
                <w:color w:val="auto"/>
                <w:sz w:val="21"/>
                <w:highlight w:val="none"/>
              </w:rPr>
            </w:pPr>
          </w:p>
          <w:p w14:paraId="75DF5D42">
            <w:pPr>
              <w:pStyle w:val="88"/>
              <w:spacing w:before="68" w:line="220" w:lineRule="auto"/>
              <w:ind w:left="321"/>
              <w:rPr>
                <w:color w:val="auto"/>
                <w:highlight w:val="none"/>
              </w:rPr>
            </w:pPr>
            <w:r>
              <w:rPr>
                <w:color w:val="auto"/>
                <w:spacing w:val="-1"/>
                <w:highlight w:val="none"/>
              </w:rPr>
              <w:t>职称获得时间</w:t>
            </w:r>
          </w:p>
        </w:tc>
        <w:tc>
          <w:tcPr>
            <w:tcW w:w="1585" w:type="dxa"/>
            <w:gridSpan w:val="3"/>
            <w:vAlign w:val="top"/>
          </w:tcPr>
          <w:p w14:paraId="67653A52">
            <w:pPr>
              <w:rPr>
                <w:rFonts w:ascii="Arial"/>
                <w:color w:val="auto"/>
                <w:sz w:val="21"/>
                <w:highlight w:val="none"/>
              </w:rPr>
            </w:pPr>
          </w:p>
        </w:tc>
        <w:tc>
          <w:tcPr>
            <w:tcW w:w="1132" w:type="dxa"/>
            <w:vAlign w:val="top"/>
          </w:tcPr>
          <w:p w14:paraId="6FB4803C">
            <w:pPr>
              <w:spacing w:line="268" w:lineRule="auto"/>
              <w:rPr>
                <w:rFonts w:ascii="Arial"/>
                <w:color w:val="auto"/>
                <w:sz w:val="21"/>
                <w:highlight w:val="none"/>
              </w:rPr>
            </w:pPr>
          </w:p>
          <w:p w14:paraId="042D2E5F">
            <w:pPr>
              <w:pStyle w:val="88"/>
              <w:spacing w:before="68" w:line="220" w:lineRule="auto"/>
              <w:ind w:left="140"/>
              <w:rPr>
                <w:color w:val="auto"/>
                <w:highlight w:val="none"/>
              </w:rPr>
            </w:pPr>
            <w:r>
              <w:rPr>
                <w:color w:val="auto"/>
                <w:spacing w:val="-3"/>
                <w:highlight w:val="none"/>
              </w:rPr>
              <w:t>毕业时间</w:t>
            </w:r>
          </w:p>
        </w:tc>
        <w:tc>
          <w:tcPr>
            <w:tcW w:w="1506" w:type="dxa"/>
            <w:gridSpan w:val="2"/>
            <w:vAlign w:val="top"/>
          </w:tcPr>
          <w:p w14:paraId="4646BA0E">
            <w:pPr>
              <w:rPr>
                <w:rFonts w:ascii="Arial"/>
                <w:color w:val="auto"/>
                <w:sz w:val="21"/>
                <w:highlight w:val="none"/>
              </w:rPr>
            </w:pPr>
          </w:p>
        </w:tc>
      </w:tr>
      <w:tr w14:paraId="2D5B8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356" w:type="dxa"/>
            <w:gridSpan w:val="2"/>
            <w:vAlign w:val="top"/>
          </w:tcPr>
          <w:p w14:paraId="05CA2F5F">
            <w:pPr>
              <w:pStyle w:val="88"/>
              <w:spacing w:before="140" w:line="288" w:lineRule="auto"/>
              <w:ind w:left="372" w:right="146" w:hanging="212"/>
              <w:rPr>
                <w:color w:val="auto"/>
                <w:highlight w:val="none"/>
              </w:rPr>
            </w:pPr>
            <w:r>
              <w:rPr>
                <w:color w:val="auto"/>
                <w:spacing w:val="-2"/>
                <w:highlight w:val="none"/>
              </w:rPr>
              <w:t>担任项目经</w:t>
            </w:r>
            <w:r>
              <w:rPr>
                <w:color w:val="auto"/>
                <w:spacing w:val="-3"/>
                <w:highlight w:val="none"/>
              </w:rPr>
              <w:t>理年限</w:t>
            </w:r>
          </w:p>
        </w:tc>
        <w:tc>
          <w:tcPr>
            <w:tcW w:w="2385" w:type="dxa"/>
            <w:gridSpan w:val="5"/>
            <w:vAlign w:val="top"/>
          </w:tcPr>
          <w:p w14:paraId="38707414">
            <w:pPr>
              <w:rPr>
                <w:rFonts w:ascii="Arial"/>
                <w:color w:val="auto"/>
                <w:sz w:val="21"/>
                <w:highlight w:val="none"/>
              </w:rPr>
            </w:pPr>
          </w:p>
        </w:tc>
        <w:tc>
          <w:tcPr>
            <w:tcW w:w="1269" w:type="dxa"/>
            <w:vAlign w:val="top"/>
          </w:tcPr>
          <w:p w14:paraId="1B23AC0A">
            <w:pPr>
              <w:pStyle w:val="88"/>
              <w:spacing w:before="140" w:line="288" w:lineRule="auto"/>
              <w:ind w:left="566" w:right="176" w:hanging="307"/>
              <w:rPr>
                <w:color w:val="auto"/>
                <w:highlight w:val="none"/>
              </w:rPr>
            </w:pPr>
            <w:r>
              <w:rPr>
                <w:color w:val="auto"/>
                <w:spacing w:val="-3"/>
                <w:highlight w:val="none"/>
              </w:rPr>
              <w:t>身份证号</w:t>
            </w:r>
            <w:r>
              <w:rPr>
                <w:color w:val="auto"/>
                <w:highlight w:val="none"/>
              </w:rPr>
              <w:t>码</w:t>
            </w:r>
          </w:p>
        </w:tc>
        <w:tc>
          <w:tcPr>
            <w:tcW w:w="4613" w:type="dxa"/>
            <w:gridSpan w:val="8"/>
            <w:vAlign w:val="top"/>
          </w:tcPr>
          <w:p w14:paraId="21F57A74">
            <w:pPr>
              <w:rPr>
                <w:rFonts w:ascii="Arial"/>
                <w:color w:val="auto"/>
                <w:sz w:val="21"/>
                <w:highlight w:val="none"/>
              </w:rPr>
            </w:pPr>
          </w:p>
        </w:tc>
      </w:tr>
      <w:tr w14:paraId="7BF92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356" w:type="dxa"/>
            <w:gridSpan w:val="2"/>
            <w:vAlign w:val="top"/>
          </w:tcPr>
          <w:p w14:paraId="34377D26">
            <w:pPr>
              <w:pStyle w:val="88"/>
              <w:spacing w:before="239" w:line="220" w:lineRule="auto"/>
              <w:ind w:left="264"/>
              <w:rPr>
                <w:color w:val="auto"/>
                <w:highlight w:val="none"/>
              </w:rPr>
            </w:pPr>
            <w:r>
              <w:rPr>
                <w:color w:val="auto"/>
                <w:spacing w:val="-2"/>
                <w:highlight w:val="none"/>
              </w:rPr>
              <w:t>证书名称</w:t>
            </w:r>
          </w:p>
        </w:tc>
        <w:tc>
          <w:tcPr>
            <w:tcW w:w="1164" w:type="dxa"/>
            <w:gridSpan w:val="2"/>
            <w:vAlign w:val="top"/>
          </w:tcPr>
          <w:p w14:paraId="6A6B9192">
            <w:pPr>
              <w:pStyle w:val="88"/>
              <w:spacing w:before="240" w:line="221" w:lineRule="auto"/>
              <w:ind w:left="161"/>
              <w:rPr>
                <w:color w:val="auto"/>
                <w:highlight w:val="none"/>
              </w:rPr>
            </w:pPr>
            <w:r>
              <w:rPr>
                <w:color w:val="auto"/>
                <w:spacing w:val="-2"/>
                <w:highlight w:val="none"/>
              </w:rPr>
              <w:t>注册专业</w:t>
            </w:r>
          </w:p>
        </w:tc>
        <w:tc>
          <w:tcPr>
            <w:tcW w:w="1221" w:type="dxa"/>
            <w:gridSpan w:val="3"/>
            <w:vAlign w:val="top"/>
          </w:tcPr>
          <w:p w14:paraId="1BA7C9D6">
            <w:pPr>
              <w:pStyle w:val="88"/>
              <w:spacing w:before="240" w:line="221" w:lineRule="auto"/>
              <w:ind w:left="405"/>
              <w:rPr>
                <w:color w:val="auto"/>
                <w:highlight w:val="none"/>
              </w:rPr>
            </w:pPr>
            <w:r>
              <w:rPr>
                <w:color w:val="auto"/>
                <w:spacing w:val="-5"/>
                <w:highlight w:val="none"/>
              </w:rPr>
              <w:t>级别</w:t>
            </w:r>
          </w:p>
        </w:tc>
        <w:tc>
          <w:tcPr>
            <w:tcW w:w="1395" w:type="dxa"/>
            <w:gridSpan w:val="2"/>
            <w:vAlign w:val="top"/>
          </w:tcPr>
          <w:p w14:paraId="4A964433">
            <w:pPr>
              <w:pStyle w:val="88"/>
              <w:spacing w:before="239" w:line="220" w:lineRule="auto"/>
              <w:ind w:left="289"/>
              <w:rPr>
                <w:color w:val="auto"/>
                <w:highlight w:val="none"/>
              </w:rPr>
            </w:pPr>
            <w:r>
              <w:rPr>
                <w:color w:val="auto"/>
                <w:spacing w:val="-2"/>
                <w:highlight w:val="none"/>
              </w:rPr>
              <w:t>证书编号</w:t>
            </w:r>
          </w:p>
        </w:tc>
        <w:tc>
          <w:tcPr>
            <w:tcW w:w="1419" w:type="dxa"/>
            <w:gridSpan w:val="3"/>
            <w:vAlign w:val="top"/>
          </w:tcPr>
          <w:p w14:paraId="3C673B2C">
            <w:pPr>
              <w:pStyle w:val="88"/>
              <w:spacing w:before="240" w:line="222" w:lineRule="auto"/>
              <w:ind w:left="312"/>
              <w:rPr>
                <w:color w:val="auto"/>
                <w:highlight w:val="none"/>
              </w:rPr>
            </w:pPr>
            <w:r>
              <w:rPr>
                <w:color w:val="auto"/>
                <w:spacing w:val="-2"/>
                <w:highlight w:val="none"/>
              </w:rPr>
              <w:t>注册时间</w:t>
            </w:r>
          </w:p>
        </w:tc>
        <w:tc>
          <w:tcPr>
            <w:tcW w:w="1632" w:type="dxa"/>
            <w:gridSpan w:val="3"/>
            <w:vAlign w:val="top"/>
          </w:tcPr>
          <w:p w14:paraId="2BD35133">
            <w:pPr>
              <w:pStyle w:val="88"/>
              <w:spacing w:before="240" w:line="221" w:lineRule="auto"/>
              <w:ind w:left="420"/>
              <w:rPr>
                <w:color w:val="auto"/>
                <w:highlight w:val="none"/>
              </w:rPr>
            </w:pPr>
            <w:r>
              <w:rPr>
                <w:color w:val="auto"/>
                <w:spacing w:val="-2"/>
                <w:highlight w:val="none"/>
              </w:rPr>
              <w:t>注册单位</w:t>
            </w:r>
          </w:p>
        </w:tc>
        <w:tc>
          <w:tcPr>
            <w:tcW w:w="1436" w:type="dxa"/>
            <w:vAlign w:val="top"/>
          </w:tcPr>
          <w:p w14:paraId="1E197C44">
            <w:pPr>
              <w:pStyle w:val="88"/>
              <w:spacing w:before="240" w:line="221" w:lineRule="auto"/>
              <w:ind w:left="206"/>
              <w:rPr>
                <w:color w:val="auto"/>
                <w:highlight w:val="none"/>
              </w:rPr>
            </w:pPr>
            <w:r>
              <w:rPr>
                <w:color w:val="auto"/>
                <w:spacing w:val="-1"/>
                <w:highlight w:val="none"/>
              </w:rPr>
              <w:t>注册有效期</w:t>
            </w:r>
          </w:p>
        </w:tc>
      </w:tr>
      <w:tr w14:paraId="03E9C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356" w:type="dxa"/>
            <w:gridSpan w:val="2"/>
            <w:vAlign w:val="top"/>
          </w:tcPr>
          <w:p w14:paraId="41F787C1">
            <w:pPr>
              <w:rPr>
                <w:rFonts w:ascii="Arial"/>
                <w:color w:val="auto"/>
                <w:sz w:val="21"/>
                <w:highlight w:val="none"/>
              </w:rPr>
            </w:pPr>
          </w:p>
        </w:tc>
        <w:tc>
          <w:tcPr>
            <w:tcW w:w="1164" w:type="dxa"/>
            <w:gridSpan w:val="2"/>
            <w:vAlign w:val="top"/>
          </w:tcPr>
          <w:p w14:paraId="0ADA9A86">
            <w:pPr>
              <w:rPr>
                <w:rFonts w:ascii="Arial"/>
                <w:color w:val="auto"/>
                <w:sz w:val="21"/>
                <w:highlight w:val="none"/>
              </w:rPr>
            </w:pPr>
          </w:p>
        </w:tc>
        <w:tc>
          <w:tcPr>
            <w:tcW w:w="1221" w:type="dxa"/>
            <w:gridSpan w:val="3"/>
            <w:vAlign w:val="top"/>
          </w:tcPr>
          <w:p w14:paraId="23DCD8D8">
            <w:pPr>
              <w:rPr>
                <w:rFonts w:ascii="Arial"/>
                <w:color w:val="auto"/>
                <w:sz w:val="21"/>
                <w:highlight w:val="none"/>
              </w:rPr>
            </w:pPr>
          </w:p>
        </w:tc>
        <w:tc>
          <w:tcPr>
            <w:tcW w:w="1395" w:type="dxa"/>
            <w:gridSpan w:val="2"/>
            <w:vAlign w:val="top"/>
          </w:tcPr>
          <w:p w14:paraId="391A3FAA">
            <w:pPr>
              <w:rPr>
                <w:rFonts w:ascii="Arial"/>
                <w:color w:val="auto"/>
                <w:sz w:val="21"/>
                <w:highlight w:val="none"/>
              </w:rPr>
            </w:pPr>
          </w:p>
        </w:tc>
        <w:tc>
          <w:tcPr>
            <w:tcW w:w="1419" w:type="dxa"/>
            <w:gridSpan w:val="3"/>
            <w:vAlign w:val="top"/>
          </w:tcPr>
          <w:p w14:paraId="47BA703D">
            <w:pPr>
              <w:rPr>
                <w:rFonts w:ascii="Arial"/>
                <w:color w:val="auto"/>
                <w:sz w:val="21"/>
                <w:highlight w:val="none"/>
              </w:rPr>
            </w:pPr>
          </w:p>
        </w:tc>
        <w:tc>
          <w:tcPr>
            <w:tcW w:w="1632" w:type="dxa"/>
            <w:gridSpan w:val="3"/>
            <w:vAlign w:val="top"/>
          </w:tcPr>
          <w:p w14:paraId="09EFC8C9">
            <w:pPr>
              <w:rPr>
                <w:rFonts w:ascii="Arial"/>
                <w:color w:val="auto"/>
                <w:sz w:val="21"/>
                <w:highlight w:val="none"/>
              </w:rPr>
            </w:pPr>
          </w:p>
        </w:tc>
        <w:tc>
          <w:tcPr>
            <w:tcW w:w="1436" w:type="dxa"/>
            <w:vAlign w:val="top"/>
          </w:tcPr>
          <w:p w14:paraId="4BC6B071">
            <w:pPr>
              <w:rPr>
                <w:rFonts w:ascii="Arial"/>
                <w:color w:val="auto"/>
                <w:sz w:val="21"/>
                <w:highlight w:val="none"/>
              </w:rPr>
            </w:pPr>
          </w:p>
        </w:tc>
      </w:tr>
      <w:tr w14:paraId="1C272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356" w:type="dxa"/>
            <w:gridSpan w:val="2"/>
            <w:vAlign w:val="top"/>
          </w:tcPr>
          <w:p w14:paraId="679A739D">
            <w:pPr>
              <w:pStyle w:val="88"/>
              <w:spacing w:before="141" w:line="220" w:lineRule="auto"/>
              <w:ind w:left="163"/>
              <w:rPr>
                <w:color w:val="auto"/>
                <w:highlight w:val="none"/>
              </w:rPr>
            </w:pPr>
            <w:r>
              <w:rPr>
                <w:color w:val="auto"/>
                <w:spacing w:val="-2"/>
                <w:highlight w:val="none"/>
              </w:rPr>
              <w:t>安全生产考</w:t>
            </w:r>
          </w:p>
          <w:p w14:paraId="1CDAFB13">
            <w:pPr>
              <w:pStyle w:val="88"/>
              <w:spacing w:before="149" w:line="220" w:lineRule="auto"/>
              <w:ind w:left="161"/>
              <w:rPr>
                <w:color w:val="auto"/>
                <w:highlight w:val="none"/>
              </w:rPr>
            </w:pPr>
            <w:r>
              <w:rPr>
                <w:color w:val="auto"/>
                <w:spacing w:val="-2"/>
                <w:highlight w:val="none"/>
              </w:rPr>
              <w:t>核合格证书</w:t>
            </w:r>
          </w:p>
        </w:tc>
        <w:tc>
          <w:tcPr>
            <w:tcW w:w="1164" w:type="dxa"/>
            <w:gridSpan w:val="2"/>
            <w:vAlign w:val="top"/>
          </w:tcPr>
          <w:p w14:paraId="5597A3E8">
            <w:pPr>
              <w:rPr>
                <w:rFonts w:ascii="Arial"/>
                <w:color w:val="auto"/>
                <w:sz w:val="21"/>
                <w:highlight w:val="none"/>
              </w:rPr>
            </w:pPr>
          </w:p>
        </w:tc>
        <w:tc>
          <w:tcPr>
            <w:tcW w:w="1221" w:type="dxa"/>
            <w:gridSpan w:val="3"/>
            <w:vAlign w:val="top"/>
          </w:tcPr>
          <w:p w14:paraId="149E51BE">
            <w:pPr>
              <w:spacing w:line="272" w:lineRule="auto"/>
              <w:rPr>
                <w:rFonts w:ascii="Arial"/>
                <w:color w:val="auto"/>
                <w:sz w:val="21"/>
                <w:highlight w:val="none"/>
              </w:rPr>
            </w:pPr>
          </w:p>
          <w:p w14:paraId="0DC61E12">
            <w:pPr>
              <w:pStyle w:val="88"/>
              <w:spacing w:before="69" w:line="220" w:lineRule="auto"/>
              <w:ind w:left="423"/>
              <w:rPr>
                <w:color w:val="auto"/>
                <w:highlight w:val="none"/>
              </w:rPr>
            </w:pPr>
            <w:r>
              <w:rPr>
                <w:color w:val="auto"/>
                <w:spacing w:val="-2"/>
                <w:highlight w:val="none"/>
              </w:rPr>
              <w:t>B</w:t>
            </w:r>
            <w:r>
              <w:rPr>
                <w:color w:val="auto"/>
                <w:spacing w:val="-44"/>
                <w:highlight w:val="none"/>
              </w:rPr>
              <w:t xml:space="preserve"> </w:t>
            </w:r>
            <w:r>
              <w:rPr>
                <w:color w:val="auto"/>
                <w:spacing w:val="-2"/>
                <w:highlight w:val="none"/>
              </w:rPr>
              <w:t>类</w:t>
            </w:r>
          </w:p>
        </w:tc>
        <w:tc>
          <w:tcPr>
            <w:tcW w:w="1395" w:type="dxa"/>
            <w:gridSpan w:val="2"/>
            <w:vAlign w:val="top"/>
          </w:tcPr>
          <w:p w14:paraId="422CE622">
            <w:pPr>
              <w:rPr>
                <w:rFonts w:ascii="Arial"/>
                <w:color w:val="auto"/>
                <w:sz w:val="21"/>
                <w:highlight w:val="none"/>
              </w:rPr>
            </w:pPr>
          </w:p>
        </w:tc>
        <w:tc>
          <w:tcPr>
            <w:tcW w:w="1419" w:type="dxa"/>
            <w:gridSpan w:val="3"/>
            <w:vAlign w:val="top"/>
          </w:tcPr>
          <w:p w14:paraId="3CCD58AE">
            <w:pPr>
              <w:rPr>
                <w:rFonts w:ascii="Arial"/>
                <w:color w:val="auto"/>
                <w:sz w:val="21"/>
                <w:highlight w:val="none"/>
              </w:rPr>
            </w:pPr>
          </w:p>
        </w:tc>
        <w:tc>
          <w:tcPr>
            <w:tcW w:w="1632" w:type="dxa"/>
            <w:gridSpan w:val="3"/>
            <w:vAlign w:val="top"/>
          </w:tcPr>
          <w:p w14:paraId="768817EF">
            <w:pPr>
              <w:rPr>
                <w:rFonts w:ascii="Arial"/>
                <w:color w:val="auto"/>
                <w:sz w:val="21"/>
                <w:highlight w:val="none"/>
              </w:rPr>
            </w:pPr>
          </w:p>
        </w:tc>
        <w:tc>
          <w:tcPr>
            <w:tcW w:w="1436" w:type="dxa"/>
            <w:vAlign w:val="top"/>
          </w:tcPr>
          <w:p w14:paraId="2481ADB9">
            <w:pPr>
              <w:rPr>
                <w:rFonts w:ascii="Arial"/>
                <w:color w:val="auto"/>
                <w:sz w:val="21"/>
                <w:highlight w:val="none"/>
              </w:rPr>
            </w:pPr>
          </w:p>
        </w:tc>
      </w:tr>
      <w:tr w14:paraId="5EC4B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623" w:type="dxa"/>
            <w:gridSpan w:val="16"/>
            <w:vAlign w:val="top"/>
          </w:tcPr>
          <w:p w14:paraId="604EEF35">
            <w:pPr>
              <w:pStyle w:val="88"/>
              <w:spacing w:before="251" w:line="220" w:lineRule="auto"/>
              <w:ind w:left="3664"/>
              <w:rPr>
                <w:color w:val="auto"/>
                <w:highlight w:val="none"/>
              </w:rPr>
            </w:pPr>
            <w:r>
              <w:rPr>
                <w:color w:val="auto"/>
                <w:spacing w:val="-1"/>
                <w:highlight w:val="none"/>
              </w:rPr>
              <w:t>在建和已完工程项目情况</w:t>
            </w:r>
          </w:p>
        </w:tc>
      </w:tr>
      <w:tr w14:paraId="68A8C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632" w:type="dxa"/>
            <w:gridSpan w:val="3"/>
            <w:vAlign w:val="top"/>
          </w:tcPr>
          <w:p w14:paraId="26E1DDCE">
            <w:pPr>
              <w:rPr>
                <w:rFonts w:ascii="Arial"/>
                <w:color w:val="auto"/>
                <w:sz w:val="21"/>
                <w:highlight w:val="none"/>
              </w:rPr>
            </w:pPr>
          </w:p>
        </w:tc>
        <w:tc>
          <w:tcPr>
            <w:tcW w:w="1548" w:type="dxa"/>
            <w:gridSpan w:val="2"/>
            <w:vAlign w:val="top"/>
          </w:tcPr>
          <w:p w14:paraId="3ADB92BA">
            <w:pPr>
              <w:pStyle w:val="88"/>
              <w:spacing w:before="241" w:line="221" w:lineRule="auto"/>
              <w:ind w:left="489"/>
              <w:rPr>
                <w:color w:val="auto"/>
                <w:highlight w:val="none"/>
              </w:rPr>
            </w:pPr>
            <w:r>
              <w:rPr>
                <w:color w:val="auto"/>
                <w:spacing w:val="-4"/>
                <w:highlight w:val="none"/>
              </w:rPr>
              <w:t>项目</w:t>
            </w:r>
            <w:r>
              <w:rPr>
                <w:color w:val="auto"/>
                <w:spacing w:val="-27"/>
                <w:highlight w:val="none"/>
              </w:rPr>
              <w:t xml:space="preserve"> </w:t>
            </w:r>
            <w:r>
              <w:rPr>
                <w:color w:val="auto"/>
                <w:spacing w:val="-4"/>
                <w:highlight w:val="none"/>
              </w:rPr>
              <w:t>1</w:t>
            </w:r>
          </w:p>
        </w:tc>
        <w:tc>
          <w:tcPr>
            <w:tcW w:w="1830" w:type="dxa"/>
            <w:gridSpan w:val="3"/>
            <w:vAlign w:val="top"/>
          </w:tcPr>
          <w:p w14:paraId="69797791">
            <w:pPr>
              <w:pStyle w:val="88"/>
              <w:spacing w:before="241" w:line="221" w:lineRule="auto"/>
              <w:ind w:left="633"/>
              <w:rPr>
                <w:color w:val="auto"/>
                <w:highlight w:val="none"/>
              </w:rPr>
            </w:pPr>
            <w:r>
              <w:rPr>
                <w:color w:val="auto"/>
                <w:spacing w:val="-4"/>
                <w:highlight w:val="none"/>
              </w:rPr>
              <w:t>项目</w:t>
            </w:r>
            <w:r>
              <w:rPr>
                <w:color w:val="auto"/>
                <w:spacing w:val="-40"/>
                <w:highlight w:val="none"/>
              </w:rPr>
              <w:t xml:space="preserve"> </w:t>
            </w:r>
            <w:r>
              <w:rPr>
                <w:color w:val="auto"/>
                <w:spacing w:val="-4"/>
                <w:highlight w:val="none"/>
              </w:rPr>
              <w:t>2</w:t>
            </w:r>
          </w:p>
        </w:tc>
        <w:tc>
          <w:tcPr>
            <w:tcW w:w="1472" w:type="dxa"/>
            <w:gridSpan w:val="3"/>
            <w:vAlign w:val="top"/>
          </w:tcPr>
          <w:p w14:paraId="4A636858">
            <w:pPr>
              <w:pStyle w:val="88"/>
              <w:spacing w:before="241" w:line="221" w:lineRule="auto"/>
              <w:ind w:left="459"/>
              <w:rPr>
                <w:color w:val="auto"/>
                <w:highlight w:val="none"/>
              </w:rPr>
            </w:pPr>
            <w:r>
              <w:rPr>
                <w:color w:val="auto"/>
                <w:spacing w:val="-4"/>
                <w:highlight w:val="none"/>
              </w:rPr>
              <w:t>项目</w:t>
            </w:r>
            <w:r>
              <w:rPr>
                <w:color w:val="auto"/>
                <w:spacing w:val="-38"/>
                <w:highlight w:val="none"/>
              </w:rPr>
              <w:t xml:space="preserve"> </w:t>
            </w:r>
            <w:r>
              <w:rPr>
                <w:color w:val="auto"/>
                <w:spacing w:val="-4"/>
                <w:highlight w:val="none"/>
              </w:rPr>
              <w:t>3</w:t>
            </w:r>
          </w:p>
        </w:tc>
        <w:tc>
          <w:tcPr>
            <w:tcW w:w="1635" w:type="dxa"/>
            <w:gridSpan w:val="3"/>
            <w:vAlign w:val="top"/>
          </w:tcPr>
          <w:p w14:paraId="0FA21269">
            <w:pPr>
              <w:pStyle w:val="88"/>
              <w:spacing w:before="241" w:line="221" w:lineRule="auto"/>
              <w:ind w:left="542"/>
              <w:rPr>
                <w:color w:val="auto"/>
                <w:highlight w:val="none"/>
              </w:rPr>
            </w:pPr>
            <w:r>
              <w:rPr>
                <w:color w:val="auto"/>
                <w:spacing w:val="-4"/>
                <w:highlight w:val="none"/>
              </w:rPr>
              <w:t>项目</w:t>
            </w:r>
            <w:r>
              <w:rPr>
                <w:color w:val="auto"/>
                <w:spacing w:val="-44"/>
                <w:highlight w:val="none"/>
              </w:rPr>
              <w:t xml:space="preserve"> </w:t>
            </w:r>
            <w:r>
              <w:rPr>
                <w:color w:val="auto"/>
                <w:spacing w:val="-4"/>
                <w:highlight w:val="none"/>
              </w:rPr>
              <w:t>4</w:t>
            </w:r>
          </w:p>
        </w:tc>
        <w:tc>
          <w:tcPr>
            <w:tcW w:w="1506" w:type="dxa"/>
            <w:gridSpan w:val="2"/>
            <w:vAlign w:val="top"/>
          </w:tcPr>
          <w:p w14:paraId="3377E0E7">
            <w:pPr>
              <w:pStyle w:val="88"/>
              <w:spacing w:before="241" w:line="332" w:lineRule="exact"/>
              <w:ind w:left="558"/>
              <w:rPr>
                <w:color w:val="auto"/>
                <w:highlight w:val="none"/>
              </w:rPr>
            </w:pPr>
            <w:r>
              <w:rPr>
                <w:color w:val="auto"/>
                <w:spacing w:val="-10"/>
                <w:position w:val="2"/>
                <w:highlight w:val="none"/>
              </w:rPr>
              <w:t>……</w:t>
            </w:r>
          </w:p>
        </w:tc>
      </w:tr>
      <w:tr w14:paraId="47CDC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632" w:type="dxa"/>
            <w:gridSpan w:val="3"/>
            <w:vAlign w:val="top"/>
          </w:tcPr>
          <w:p w14:paraId="7AF0B8A4">
            <w:pPr>
              <w:pStyle w:val="88"/>
              <w:spacing w:before="242" w:line="221" w:lineRule="auto"/>
              <w:ind w:left="405"/>
              <w:rPr>
                <w:color w:val="auto"/>
                <w:highlight w:val="none"/>
              </w:rPr>
            </w:pPr>
            <w:r>
              <w:rPr>
                <w:color w:val="auto"/>
                <w:spacing w:val="-3"/>
                <w:highlight w:val="none"/>
              </w:rPr>
              <w:t>项目名称</w:t>
            </w:r>
          </w:p>
        </w:tc>
        <w:tc>
          <w:tcPr>
            <w:tcW w:w="1548" w:type="dxa"/>
            <w:gridSpan w:val="2"/>
            <w:vAlign w:val="top"/>
          </w:tcPr>
          <w:p w14:paraId="1612BDCE">
            <w:pPr>
              <w:rPr>
                <w:rFonts w:ascii="Arial"/>
                <w:color w:val="auto"/>
                <w:sz w:val="21"/>
                <w:highlight w:val="none"/>
              </w:rPr>
            </w:pPr>
          </w:p>
        </w:tc>
        <w:tc>
          <w:tcPr>
            <w:tcW w:w="1830" w:type="dxa"/>
            <w:gridSpan w:val="3"/>
            <w:vAlign w:val="top"/>
          </w:tcPr>
          <w:p w14:paraId="5DFA2474">
            <w:pPr>
              <w:rPr>
                <w:rFonts w:ascii="Arial"/>
                <w:color w:val="auto"/>
                <w:sz w:val="21"/>
                <w:highlight w:val="none"/>
              </w:rPr>
            </w:pPr>
          </w:p>
        </w:tc>
        <w:tc>
          <w:tcPr>
            <w:tcW w:w="1472" w:type="dxa"/>
            <w:gridSpan w:val="3"/>
            <w:vAlign w:val="top"/>
          </w:tcPr>
          <w:p w14:paraId="708A24AD">
            <w:pPr>
              <w:rPr>
                <w:rFonts w:ascii="Arial"/>
                <w:color w:val="auto"/>
                <w:sz w:val="21"/>
                <w:highlight w:val="none"/>
              </w:rPr>
            </w:pPr>
          </w:p>
        </w:tc>
        <w:tc>
          <w:tcPr>
            <w:tcW w:w="1635" w:type="dxa"/>
            <w:gridSpan w:val="3"/>
            <w:vAlign w:val="top"/>
          </w:tcPr>
          <w:p w14:paraId="225113A9">
            <w:pPr>
              <w:rPr>
                <w:rFonts w:ascii="Arial"/>
                <w:color w:val="auto"/>
                <w:sz w:val="21"/>
                <w:highlight w:val="none"/>
              </w:rPr>
            </w:pPr>
          </w:p>
        </w:tc>
        <w:tc>
          <w:tcPr>
            <w:tcW w:w="1506" w:type="dxa"/>
            <w:gridSpan w:val="2"/>
            <w:tcBorders>
              <w:right w:val="nil"/>
            </w:tcBorders>
            <w:vAlign w:val="top"/>
          </w:tcPr>
          <w:p w14:paraId="70434F64">
            <w:pPr>
              <w:rPr>
                <w:rFonts w:ascii="Arial"/>
                <w:color w:val="auto"/>
                <w:sz w:val="21"/>
                <w:highlight w:val="none"/>
              </w:rPr>
            </w:pPr>
            <w:r>
              <w:rPr>
                <w:color w:val="auto"/>
                <w:highlight w:val="none"/>
              </w:rPr>
              <w:drawing>
                <wp:anchor distT="0" distB="0" distL="0" distR="0" simplePos="0" relativeHeight="251660288" behindDoc="0" locked="0" layoutInCell="1" allowOverlap="1">
                  <wp:simplePos x="0" y="0"/>
                  <wp:positionH relativeFrom="rightMargin">
                    <wp:posOffset>-11430</wp:posOffset>
                  </wp:positionH>
                  <wp:positionV relativeFrom="topMargin">
                    <wp:posOffset>1905</wp:posOffset>
                  </wp:positionV>
                  <wp:extent cx="6350" cy="382270"/>
                  <wp:effectExtent l="0" t="0" r="12700" b="17780"/>
                  <wp:wrapNone/>
                  <wp:docPr id="1" name="IM 6"/>
                  <wp:cNvGraphicFramePr/>
                  <a:graphic xmlns:a="http://schemas.openxmlformats.org/drawingml/2006/main">
                    <a:graphicData uri="http://schemas.openxmlformats.org/drawingml/2006/picture">
                      <pic:pic xmlns:pic="http://schemas.openxmlformats.org/drawingml/2006/picture">
                        <pic:nvPicPr>
                          <pic:cNvPr id="1" name="IM 6"/>
                          <pic:cNvPicPr/>
                        </pic:nvPicPr>
                        <pic:blipFill>
                          <a:blip r:embed="rId17"/>
                          <a:stretch>
                            <a:fillRect/>
                          </a:stretch>
                        </pic:blipFill>
                        <pic:spPr>
                          <a:xfrm>
                            <a:off x="0" y="0"/>
                            <a:ext cx="6350" cy="382524"/>
                          </a:xfrm>
                          <a:prstGeom prst="rect">
                            <a:avLst/>
                          </a:prstGeom>
                        </pic:spPr>
                      </pic:pic>
                    </a:graphicData>
                  </a:graphic>
                </wp:anchor>
              </w:drawing>
            </w:r>
          </w:p>
        </w:tc>
      </w:tr>
      <w:tr w14:paraId="5E8F9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632" w:type="dxa"/>
            <w:gridSpan w:val="3"/>
            <w:vAlign w:val="top"/>
          </w:tcPr>
          <w:p w14:paraId="076007A2">
            <w:pPr>
              <w:pStyle w:val="88"/>
              <w:spacing w:before="211" w:line="221" w:lineRule="auto"/>
              <w:ind w:left="404"/>
              <w:rPr>
                <w:color w:val="auto"/>
                <w:highlight w:val="none"/>
              </w:rPr>
            </w:pPr>
            <w:r>
              <w:rPr>
                <w:color w:val="auto"/>
                <w:spacing w:val="-2"/>
                <w:highlight w:val="none"/>
              </w:rPr>
              <w:t>建设单位</w:t>
            </w:r>
          </w:p>
        </w:tc>
        <w:tc>
          <w:tcPr>
            <w:tcW w:w="1548" w:type="dxa"/>
            <w:gridSpan w:val="2"/>
            <w:vAlign w:val="top"/>
          </w:tcPr>
          <w:p w14:paraId="5B215F9B">
            <w:pPr>
              <w:rPr>
                <w:rFonts w:ascii="Arial"/>
                <w:color w:val="auto"/>
                <w:sz w:val="21"/>
                <w:highlight w:val="none"/>
              </w:rPr>
            </w:pPr>
          </w:p>
        </w:tc>
        <w:tc>
          <w:tcPr>
            <w:tcW w:w="1830" w:type="dxa"/>
            <w:gridSpan w:val="3"/>
            <w:vAlign w:val="top"/>
          </w:tcPr>
          <w:p w14:paraId="502E2A24">
            <w:pPr>
              <w:rPr>
                <w:rFonts w:ascii="Arial"/>
                <w:color w:val="auto"/>
                <w:sz w:val="21"/>
                <w:highlight w:val="none"/>
              </w:rPr>
            </w:pPr>
          </w:p>
        </w:tc>
        <w:tc>
          <w:tcPr>
            <w:tcW w:w="1472" w:type="dxa"/>
            <w:gridSpan w:val="3"/>
            <w:vAlign w:val="top"/>
          </w:tcPr>
          <w:p w14:paraId="034CD0D2">
            <w:pPr>
              <w:rPr>
                <w:rFonts w:ascii="Arial"/>
                <w:color w:val="auto"/>
                <w:sz w:val="21"/>
                <w:highlight w:val="none"/>
              </w:rPr>
            </w:pPr>
          </w:p>
        </w:tc>
        <w:tc>
          <w:tcPr>
            <w:tcW w:w="1635" w:type="dxa"/>
            <w:gridSpan w:val="3"/>
            <w:vAlign w:val="top"/>
          </w:tcPr>
          <w:p w14:paraId="5189C70E">
            <w:pPr>
              <w:rPr>
                <w:rFonts w:ascii="Arial"/>
                <w:color w:val="auto"/>
                <w:sz w:val="21"/>
                <w:highlight w:val="none"/>
              </w:rPr>
            </w:pPr>
          </w:p>
        </w:tc>
        <w:tc>
          <w:tcPr>
            <w:tcW w:w="1506" w:type="dxa"/>
            <w:gridSpan w:val="2"/>
            <w:tcBorders>
              <w:right w:val="nil"/>
            </w:tcBorders>
            <w:vAlign w:val="top"/>
          </w:tcPr>
          <w:p w14:paraId="72BB799A">
            <w:pPr>
              <w:rPr>
                <w:rFonts w:ascii="Arial"/>
                <w:color w:val="auto"/>
                <w:sz w:val="21"/>
                <w:highlight w:val="none"/>
              </w:rPr>
            </w:pPr>
            <w:r>
              <w:rPr>
                <w:color w:val="auto"/>
                <w:highlight w:val="none"/>
              </w:rPr>
              <w:drawing>
                <wp:anchor distT="0" distB="0" distL="0" distR="0" simplePos="0" relativeHeight="251667456" behindDoc="0" locked="0" layoutInCell="1" allowOverlap="1">
                  <wp:simplePos x="0" y="0"/>
                  <wp:positionH relativeFrom="rightMargin">
                    <wp:posOffset>-11430</wp:posOffset>
                  </wp:positionH>
                  <wp:positionV relativeFrom="topMargin">
                    <wp:posOffset>1905</wp:posOffset>
                  </wp:positionV>
                  <wp:extent cx="6350" cy="342900"/>
                  <wp:effectExtent l="0" t="0" r="1270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8"/>
                          <a:stretch>
                            <a:fillRect/>
                          </a:stretch>
                        </pic:blipFill>
                        <pic:spPr>
                          <a:xfrm>
                            <a:off x="0" y="0"/>
                            <a:ext cx="6350" cy="342900"/>
                          </a:xfrm>
                          <a:prstGeom prst="rect">
                            <a:avLst/>
                          </a:prstGeom>
                        </pic:spPr>
                      </pic:pic>
                    </a:graphicData>
                  </a:graphic>
                </wp:anchor>
              </w:drawing>
            </w:r>
          </w:p>
        </w:tc>
      </w:tr>
      <w:tr w14:paraId="356CD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632" w:type="dxa"/>
            <w:gridSpan w:val="3"/>
            <w:vAlign w:val="top"/>
          </w:tcPr>
          <w:p w14:paraId="4CA284A0">
            <w:pPr>
              <w:pStyle w:val="88"/>
              <w:spacing w:before="214" w:line="220" w:lineRule="auto"/>
              <w:ind w:left="404"/>
              <w:rPr>
                <w:color w:val="auto"/>
                <w:highlight w:val="none"/>
              </w:rPr>
            </w:pPr>
            <w:r>
              <w:rPr>
                <w:color w:val="auto"/>
                <w:spacing w:val="-2"/>
                <w:highlight w:val="none"/>
              </w:rPr>
              <w:t>建设规模</w:t>
            </w:r>
          </w:p>
        </w:tc>
        <w:tc>
          <w:tcPr>
            <w:tcW w:w="1548" w:type="dxa"/>
            <w:gridSpan w:val="2"/>
            <w:vAlign w:val="top"/>
          </w:tcPr>
          <w:p w14:paraId="6D8B88CC">
            <w:pPr>
              <w:rPr>
                <w:rFonts w:ascii="Arial"/>
                <w:color w:val="auto"/>
                <w:sz w:val="21"/>
                <w:highlight w:val="none"/>
              </w:rPr>
            </w:pPr>
          </w:p>
        </w:tc>
        <w:tc>
          <w:tcPr>
            <w:tcW w:w="1830" w:type="dxa"/>
            <w:gridSpan w:val="3"/>
            <w:vAlign w:val="top"/>
          </w:tcPr>
          <w:p w14:paraId="3876E165">
            <w:pPr>
              <w:rPr>
                <w:rFonts w:ascii="Arial"/>
                <w:color w:val="auto"/>
                <w:sz w:val="21"/>
                <w:highlight w:val="none"/>
              </w:rPr>
            </w:pPr>
          </w:p>
        </w:tc>
        <w:tc>
          <w:tcPr>
            <w:tcW w:w="1472" w:type="dxa"/>
            <w:gridSpan w:val="3"/>
            <w:vAlign w:val="top"/>
          </w:tcPr>
          <w:p w14:paraId="6F44B72C">
            <w:pPr>
              <w:rPr>
                <w:rFonts w:ascii="Arial"/>
                <w:color w:val="auto"/>
                <w:sz w:val="21"/>
                <w:highlight w:val="none"/>
              </w:rPr>
            </w:pPr>
          </w:p>
        </w:tc>
        <w:tc>
          <w:tcPr>
            <w:tcW w:w="1635" w:type="dxa"/>
            <w:gridSpan w:val="3"/>
            <w:vAlign w:val="top"/>
          </w:tcPr>
          <w:p w14:paraId="7AA898CC">
            <w:pPr>
              <w:rPr>
                <w:rFonts w:ascii="Arial"/>
                <w:color w:val="auto"/>
                <w:sz w:val="21"/>
                <w:highlight w:val="none"/>
              </w:rPr>
            </w:pPr>
          </w:p>
        </w:tc>
        <w:tc>
          <w:tcPr>
            <w:tcW w:w="1506" w:type="dxa"/>
            <w:gridSpan w:val="2"/>
            <w:tcBorders>
              <w:right w:val="nil"/>
            </w:tcBorders>
            <w:vAlign w:val="top"/>
          </w:tcPr>
          <w:p w14:paraId="2309BFBD">
            <w:pPr>
              <w:rPr>
                <w:rFonts w:ascii="Arial"/>
                <w:color w:val="auto"/>
                <w:sz w:val="21"/>
                <w:highlight w:val="none"/>
              </w:rPr>
            </w:pPr>
            <w:r>
              <w:rPr>
                <w:color w:val="auto"/>
                <w:highlight w:val="none"/>
              </w:rPr>
              <w:drawing>
                <wp:anchor distT="0" distB="0" distL="0" distR="0" simplePos="0" relativeHeight="251666432" behindDoc="0" locked="0" layoutInCell="1" allowOverlap="1">
                  <wp:simplePos x="0" y="0"/>
                  <wp:positionH relativeFrom="rightMargin">
                    <wp:posOffset>-11430</wp:posOffset>
                  </wp:positionH>
                  <wp:positionV relativeFrom="topMargin">
                    <wp:posOffset>2540</wp:posOffset>
                  </wp:positionV>
                  <wp:extent cx="6350" cy="344170"/>
                  <wp:effectExtent l="0" t="0" r="12700" b="1778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8"/>
                          <a:stretch>
                            <a:fillRect/>
                          </a:stretch>
                        </pic:blipFill>
                        <pic:spPr>
                          <a:xfrm>
                            <a:off x="0" y="0"/>
                            <a:ext cx="6350" cy="344423"/>
                          </a:xfrm>
                          <a:prstGeom prst="rect">
                            <a:avLst/>
                          </a:prstGeom>
                        </pic:spPr>
                      </pic:pic>
                    </a:graphicData>
                  </a:graphic>
                </wp:anchor>
              </w:drawing>
            </w:r>
          </w:p>
        </w:tc>
      </w:tr>
      <w:tr w14:paraId="46524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632" w:type="dxa"/>
            <w:gridSpan w:val="3"/>
            <w:vAlign w:val="top"/>
          </w:tcPr>
          <w:p w14:paraId="3D66EFD7">
            <w:pPr>
              <w:pStyle w:val="88"/>
              <w:spacing w:before="211" w:line="221" w:lineRule="auto"/>
              <w:ind w:left="402"/>
              <w:rPr>
                <w:color w:val="auto"/>
                <w:highlight w:val="none"/>
              </w:rPr>
            </w:pPr>
            <w:r>
              <w:rPr>
                <w:color w:val="auto"/>
                <w:spacing w:val="-2"/>
                <w:highlight w:val="none"/>
              </w:rPr>
              <w:t>开工日期</w:t>
            </w:r>
          </w:p>
        </w:tc>
        <w:tc>
          <w:tcPr>
            <w:tcW w:w="1548" w:type="dxa"/>
            <w:gridSpan w:val="2"/>
            <w:vAlign w:val="top"/>
          </w:tcPr>
          <w:p w14:paraId="5FE2D8F9">
            <w:pPr>
              <w:rPr>
                <w:rFonts w:ascii="Arial"/>
                <w:color w:val="auto"/>
                <w:sz w:val="21"/>
                <w:highlight w:val="none"/>
              </w:rPr>
            </w:pPr>
          </w:p>
        </w:tc>
        <w:tc>
          <w:tcPr>
            <w:tcW w:w="1830" w:type="dxa"/>
            <w:gridSpan w:val="3"/>
            <w:vAlign w:val="top"/>
          </w:tcPr>
          <w:p w14:paraId="45713C17">
            <w:pPr>
              <w:rPr>
                <w:rFonts w:ascii="Arial"/>
                <w:color w:val="auto"/>
                <w:sz w:val="21"/>
                <w:highlight w:val="none"/>
              </w:rPr>
            </w:pPr>
          </w:p>
        </w:tc>
        <w:tc>
          <w:tcPr>
            <w:tcW w:w="1472" w:type="dxa"/>
            <w:gridSpan w:val="3"/>
            <w:vAlign w:val="top"/>
          </w:tcPr>
          <w:p w14:paraId="68C1779F">
            <w:pPr>
              <w:rPr>
                <w:rFonts w:ascii="Arial"/>
                <w:color w:val="auto"/>
                <w:sz w:val="21"/>
                <w:highlight w:val="none"/>
              </w:rPr>
            </w:pPr>
          </w:p>
        </w:tc>
        <w:tc>
          <w:tcPr>
            <w:tcW w:w="1635" w:type="dxa"/>
            <w:gridSpan w:val="3"/>
            <w:vAlign w:val="top"/>
          </w:tcPr>
          <w:p w14:paraId="6B592D10">
            <w:pPr>
              <w:rPr>
                <w:rFonts w:ascii="Arial"/>
                <w:color w:val="auto"/>
                <w:sz w:val="21"/>
                <w:highlight w:val="none"/>
              </w:rPr>
            </w:pPr>
          </w:p>
        </w:tc>
        <w:tc>
          <w:tcPr>
            <w:tcW w:w="1506" w:type="dxa"/>
            <w:gridSpan w:val="2"/>
            <w:tcBorders>
              <w:right w:val="nil"/>
            </w:tcBorders>
            <w:vAlign w:val="top"/>
          </w:tcPr>
          <w:p w14:paraId="4FD0DE69">
            <w:pPr>
              <w:rPr>
                <w:rFonts w:ascii="Arial"/>
                <w:color w:val="auto"/>
                <w:sz w:val="21"/>
                <w:highlight w:val="none"/>
              </w:rPr>
            </w:pPr>
            <w:r>
              <w:rPr>
                <w:color w:val="auto"/>
                <w:highlight w:val="none"/>
              </w:rPr>
              <w:drawing>
                <wp:anchor distT="0" distB="0" distL="0" distR="0" simplePos="0" relativeHeight="251668480" behindDoc="0" locked="0" layoutInCell="1" allowOverlap="1">
                  <wp:simplePos x="0" y="0"/>
                  <wp:positionH relativeFrom="rightMargin">
                    <wp:posOffset>-11430</wp:posOffset>
                  </wp:positionH>
                  <wp:positionV relativeFrom="topMargin">
                    <wp:posOffset>2540</wp:posOffset>
                  </wp:positionV>
                  <wp:extent cx="6350" cy="342900"/>
                  <wp:effectExtent l="0" t="0" r="1270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8"/>
                          <a:stretch>
                            <a:fillRect/>
                          </a:stretch>
                        </pic:blipFill>
                        <pic:spPr>
                          <a:xfrm>
                            <a:off x="0" y="0"/>
                            <a:ext cx="6350" cy="342900"/>
                          </a:xfrm>
                          <a:prstGeom prst="rect">
                            <a:avLst/>
                          </a:prstGeom>
                        </pic:spPr>
                      </pic:pic>
                    </a:graphicData>
                  </a:graphic>
                </wp:anchor>
              </w:drawing>
            </w:r>
          </w:p>
        </w:tc>
      </w:tr>
      <w:tr w14:paraId="3B629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2" w:type="dxa"/>
            <w:gridSpan w:val="3"/>
            <w:vAlign w:val="top"/>
          </w:tcPr>
          <w:p w14:paraId="39BD0ED2">
            <w:pPr>
              <w:pStyle w:val="88"/>
              <w:spacing w:before="217" w:line="220" w:lineRule="auto"/>
              <w:ind w:left="402"/>
              <w:rPr>
                <w:color w:val="auto"/>
                <w:highlight w:val="none"/>
              </w:rPr>
            </w:pPr>
            <w:r>
              <w:rPr>
                <w:color w:val="auto"/>
                <w:spacing w:val="-2"/>
                <w:highlight w:val="none"/>
              </w:rPr>
              <w:t>竣工日期</w:t>
            </w:r>
          </w:p>
        </w:tc>
        <w:tc>
          <w:tcPr>
            <w:tcW w:w="1548" w:type="dxa"/>
            <w:gridSpan w:val="2"/>
            <w:vAlign w:val="top"/>
          </w:tcPr>
          <w:p w14:paraId="2C5A12D4">
            <w:pPr>
              <w:rPr>
                <w:rFonts w:ascii="Arial"/>
                <w:color w:val="auto"/>
                <w:sz w:val="21"/>
                <w:highlight w:val="none"/>
              </w:rPr>
            </w:pPr>
          </w:p>
        </w:tc>
        <w:tc>
          <w:tcPr>
            <w:tcW w:w="1830" w:type="dxa"/>
            <w:gridSpan w:val="3"/>
            <w:vAlign w:val="top"/>
          </w:tcPr>
          <w:p w14:paraId="41706644">
            <w:pPr>
              <w:rPr>
                <w:rFonts w:ascii="Arial"/>
                <w:color w:val="auto"/>
                <w:sz w:val="21"/>
                <w:highlight w:val="none"/>
              </w:rPr>
            </w:pPr>
          </w:p>
        </w:tc>
        <w:tc>
          <w:tcPr>
            <w:tcW w:w="1472" w:type="dxa"/>
            <w:gridSpan w:val="3"/>
            <w:vAlign w:val="top"/>
          </w:tcPr>
          <w:p w14:paraId="05231F6F">
            <w:pPr>
              <w:rPr>
                <w:rFonts w:ascii="Arial"/>
                <w:color w:val="auto"/>
                <w:sz w:val="21"/>
                <w:highlight w:val="none"/>
              </w:rPr>
            </w:pPr>
          </w:p>
        </w:tc>
        <w:tc>
          <w:tcPr>
            <w:tcW w:w="1635" w:type="dxa"/>
            <w:gridSpan w:val="3"/>
            <w:vAlign w:val="top"/>
          </w:tcPr>
          <w:p w14:paraId="520ED9C6">
            <w:pPr>
              <w:rPr>
                <w:rFonts w:ascii="Arial"/>
                <w:color w:val="auto"/>
                <w:sz w:val="21"/>
                <w:highlight w:val="none"/>
              </w:rPr>
            </w:pPr>
          </w:p>
        </w:tc>
        <w:tc>
          <w:tcPr>
            <w:tcW w:w="1506" w:type="dxa"/>
            <w:gridSpan w:val="2"/>
            <w:tcBorders>
              <w:right w:val="nil"/>
            </w:tcBorders>
            <w:vAlign w:val="top"/>
          </w:tcPr>
          <w:p w14:paraId="5D4AB15B">
            <w:pPr>
              <w:rPr>
                <w:rFonts w:ascii="Arial"/>
                <w:color w:val="auto"/>
                <w:sz w:val="21"/>
                <w:highlight w:val="none"/>
              </w:rPr>
            </w:pPr>
            <w:r>
              <w:rPr>
                <w:color w:val="auto"/>
                <w:highlight w:val="none"/>
              </w:rPr>
              <w:drawing>
                <wp:anchor distT="0" distB="0" distL="0" distR="0" simplePos="0" relativeHeight="251661312" behindDoc="0" locked="0" layoutInCell="1" allowOverlap="1">
                  <wp:simplePos x="0" y="0"/>
                  <wp:positionH relativeFrom="rightMargin">
                    <wp:posOffset>-11430</wp:posOffset>
                  </wp:positionH>
                  <wp:positionV relativeFrom="topMargin">
                    <wp:posOffset>2540</wp:posOffset>
                  </wp:positionV>
                  <wp:extent cx="6350" cy="349250"/>
                  <wp:effectExtent l="0" t="0" r="12700" b="1270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8"/>
                          <a:stretch>
                            <a:fillRect/>
                          </a:stretch>
                        </pic:blipFill>
                        <pic:spPr>
                          <a:xfrm>
                            <a:off x="0" y="0"/>
                            <a:ext cx="6350" cy="348996"/>
                          </a:xfrm>
                          <a:prstGeom prst="rect">
                            <a:avLst/>
                          </a:prstGeom>
                        </pic:spPr>
                      </pic:pic>
                    </a:graphicData>
                  </a:graphic>
                </wp:anchor>
              </w:drawing>
            </w:r>
          </w:p>
        </w:tc>
      </w:tr>
      <w:tr w14:paraId="54ACF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2" w:type="dxa"/>
            <w:gridSpan w:val="3"/>
            <w:vAlign w:val="top"/>
          </w:tcPr>
          <w:p w14:paraId="57A9E930">
            <w:pPr>
              <w:pStyle w:val="88"/>
              <w:spacing w:before="216" w:line="220" w:lineRule="auto"/>
              <w:ind w:left="403"/>
              <w:rPr>
                <w:color w:val="auto"/>
                <w:highlight w:val="none"/>
              </w:rPr>
            </w:pPr>
            <w:r>
              <w:rPr>
                <w:color w:val="auto"/>
                <w:spacing w:val="-2"/>
                <w:highlight w:val="none"/>
              </w:rPr>
              <w:t>人员角色</w:t>
            </w:r>
          </w:p>
        </w:tc>
        <w:tc>
          <w:tcPr>
            <w:tcW w:w="1548" w:type="dxa"/>
            <w:gridSpan w:val="2"/>
            <w:vAlign w:val="top"/>
          </w:tcPr>
          <w:p w14:paraId="26565C96">
            <w:pPr>
              <w:rPr>
                <w:rFonts w:ascii="Arial"/>
                <w:color w:val="auto"/>
                <w:sz w:val="21"/>
                <w:highlight w:val="none"/>
              </w:rPr>
            </w:pPr>
          </w:p>
        </w:tc>
        <w:tc>
          <w:tcPr>
            <w:tcW w:w="1830" w:type="dxa"/>
            <w:gridSpan w:val="3"/>
            <w:vAlign w:val="top"/>
          </w:tcPr>
          <w:p w14:paraId="6B727029">
            <w:pPr>
              <w:rPr>
                <w:rFonts w:ascii="Arial"/>
                <w:color w:val="auto"/>
                <w:sz w:val="21"/>
                <w:highlight w:val="none"/>
              </w:rPr>
            </w:pPr>
          </w:p>
        </w:tc>
        <w:tc>
          <w:tcPr>
            <w:tcW w:w="1472" w:type="dxa"/>
            <w:gridSpan w:val="3"/>
            <w:vAlign w:val="top"/>
          </w:tcPr>
          <w:p w14:paraId="1E674A2D">
            <w:pPr>
              <w:rPr>
                <w:rFonts w:ascii="Arial"/>
                <w:color w:val="auto"/>
                <w:sz w:val="21"/>
                <w:highlight w:val="none"/>
              </w:rPr>
            </w:pPr>
          </w:p>
        </w:tc>
        <w:tc>
          <w:tcPr>
            <w:tcW w:w="1635" w:type="dxa"/>
            <w:gridSpan w:val="3"/>
            <w:vAlign w:val="top"/>
          </w:tcPr>
          <w:p w14:paraId="591E6760">
            <w:pPr>
              <w:rPr>
                <w:rFonts w:ascii="Arial"/>
                <w:color w:val="auto"/>
                <w:sz w:val="21"/>
                <w:highlight w:val="none"/>
              </w:rPr>
            </w:pPr>
          </w:p>
        </w:tc>
        <w:tc>
          <w:tcPr>
            <w:tcW w:w="1506" w:type="dxa"/>
            <w:gridSpan w:val="2"/>
            <w:tcBorders>
              <w:right w:val="nil"/>
            </w:tcBorders>
            <w:vAlign w:val="top"/>
          </w:tcPr>
          <w:p w14:paraId="3D84B3F6">
            <w:pPr>
              <w:rPr>
                <w:rFonts w:ascii="Arial"/>
                <w:color w:val="auto"/>
                <w:sz w:val="21"/>
                <w:highlight w:val="none"/>
              </w:rPr>
            </w:pPr>
            <w:r>
              <w:rPr>
                <w:color w:val="auto"/>
                <w:highlight w:val="none"/>
              </w:rPr>
              <w:drawing>
                <wp:anchor distT="0" distB="0" distL="0" distR="0" simplePos="0" relativeHeight="251662336" behindDoc="0" locked="0" layoutInCell="1" allowOverlap="1">
                  <wp:simplePos x="0" y="0"/>
                  <wp:positionH relativeFrom="rightMargin">
                    <wp:posOffset>-11430</wp:posOffset>
                  </wp:positionH>
                  <wp:positionV relativeFrom="topMargin">
                    <wp:posOffset>2540</wp:posOffset>
                  </wp:positionV>
                  <wp:extent cx="6350" cy="349250"/>
                  <wp:effectExtent l="0" t="0" r="12700" b="1270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9"/>
                          <a:stretch>
                            <a:fillRect/>
                          </a:stretch>
                        </pic:blipFill>
                        <pic:spPr>
                          <a:xfrm>
                            <a:off x="0" y="0"/>
                            <a:ext cx="6350" cy="348996"/>
                          </a:xfrm>
                          <a:prstGeom prst="rect">
                            <a:avLst/>
                          </a:prstGeom>
                        </pic:spPr>
                      </pic:pic>
                    </a:graphicData>
                  </a:graphic>
                </wp:anchor>
              </w:drawing>
            </w:r>
          </w:p>
        </w:tc>
      </w:tr>
      <w:tr w14:paraId="56668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2" w:type="dxa"/>
            <w:gridSpan w:val="3"/>
            <w:vAlign w:val="top"/>
          </w:tcPr>
          <w:p w14:paraId="7B666EA5">
            <w:pPr>
              <w:pStyle w:val="88"/>
              <w:spacing w:before="217" w:line="220" w:lineRule="auto"/>
              <w:ind w:left="295"/>
              <w:rPr>
                <w:color w:val="auto"/>
                <w:highlight w:val="none"/>
              </w:rPr>
            </w:pPr>
            <w:r>
              <w:rPr>
                <w:color w:val="auto"/>
                <w:spacing w:val="-1"/>
                <w:highlight w:val="none"/>
              </w:rPr>
              <w:t>在建或已完</w:t>
            </w:r>
          </w:p>
        </w:tc>
        <w:tc>
          <w:tcPr>
            <w:tcW w:w="1548" w:type="dxa"/>
            <w:gridSpan w:val="2"/>
            <w:vAlign w:val="top"/>
          </w:tcPr>
          <w:p w14:paraId="26E7AD12">
            <w:pPr>
              <w:rPr>
                <w:rFonts w:ascii="Arial"/>
                <w:color w:val="auto"/>
                <w:sz w:val="21"/>
                <w:highlight w:val="none"/>
              </w:rPr>
            </w:pPr>
          </w:p>
        </w:tc>
        <w:tc>
          <w:tcPr>
            <w:tcW w:w="1830" w:type="dxa"/>
            <w:gridSpan w:val="3"/>
            <w:vAlign w:val="top"/>
          </w:tcPr>
          <w:p w14:paraId="709FEB76">
            <w:pPr>
              <w:rPr>
                <w:rFonts w:ascii="Arial"/>
                <w:color w:val="auto"/>
                <w:sz w:val="21"/>
                <w:highlight w:val="none"/>
              </w:rPr>
            </w:pPr>
          </w:p>
        </w:tc>
        <w:tc>
          <w:tcPr>
            <w:tcW w:w="1472" w:type="dxa"/>
            <w:gridSpan w:val="3"/>
            <w:vAlign w:val="top"/>
          </w:tcPr>
          <w:p w14:paraId="0B90B1C5">
            <w:pPr>
              <w:rPr>
                <w:rFonts w:ascii="Arial"/>
                <w:color w:val="auto"/>
                <w:sz w:val="21"/>
                <w:highlight w:val="none"/>
              </w:rPr>
            </w:pPr>
          </w:p>
        </w:tc>
        <w:tc>
          <w:tcPr>
            <w:tcW w:w="1635" w:type="dxa"/>
            <w:gridSpan w:val="3"/>
            <w:vAlign w:val="top"/>
          </w:tcPr>
          <w:p w14:paraId="4505DF15">
            <w:pPr>
              <w:rPr>
                <w:rFonts w:ascii="Arial"/>
                <w:color w:val="auto"/>
                <w:sz w:val="21"/>
                <w:highlight w:val="none"/>
              </w:rPr>
            </w:pPr>
          </w:p>
        </w:tc>
        <w:tc>
          <w:tcPr>
            <w:tcW w:w="1506" w:type="dxa"/>
            <w:gridSpan w:val="2"/>
            <w:tcBorders>
              <w:right w:val="nil"/>
            </w:tcBorders>
            <w:vAlign w:val="top"/>
          </w:tcPr>
          <w:p w14:paraId="5E6DC01C">
            <w:pPr>
              <w:rPr>
                <w:rFonts w:ascii="Arial"/>
                <w:color w:val="auto"/>
                <w:sz w:val="21"/>
                <w:highlight w:val="none"/>
              </w:rPr>
            </w:pPr>
            <w:r>
              <w:rPr>
                <w:color w:val="auto"/>
                <w:highlight w:val="none"/>
              </w:rPr>
              <w:drawing>
                <wp:anchor distT="0" distB="0" distL="0" distR="0" simplePos="0" relativeHeight="251665408"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9"/>
                          <a:stretch>
                            <a:fillRect/>
                          </a:stretch>
                        </pic:blipFill>
                        <pic:spPr>
                          <a:xfrm>
                            <a:off x="0" y="0"/>
                            <a:ext cx="6350" cy="348995"/>
                          </a:xfrm>
                          <a:prstGeom prst="rect">
                            <a:avLst/>
                          </a:prstGeom>
                        </pic:spPr>
                      </pic:pic>
                    </a:graphicData>
                  </a:graphic>
                </wp:anchor>
              </w:drawing>
            </w:r>
          </w:p>
        </w:tc>
      </w:tr>
      <w:tr w14:paraId="31B43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2" w:type="dxa"/>
            <w:gridSpan w:val="3"/>
            <w:vAlign w:val="top"/>
          </w:tcPr>
          <w:p w14:paraId="3FBDB3EE">
            <w:pPr>
              <w:pStyle w:val="88"/>
              <w:spacing w:before="217" w:line="221" w:lineRule="auto"/>
              <w:ind w:left="404"/>
              <w:rPr>
                <w:color w:val="auto"/>
                <w:highlight w:val="none"/>
              </w:rPr>
            </w:pPr>
            <w:r>
              <w:rPr>
                <w:color w:val="auto"/>
                <w:spacing w:val="-2"/>
                <w:highlight w:val="none"/>
              </w:rPr>
              <w:t>工程质量</w:t>
            </w:r>
          </w:p>
        </w:tc>
        <w:tc>
          <w:tcPr>
            <w:tcW w:w="1548" w:type="dxa"/>
            <w:gridSpan w:val="2"/>
            <w:vAlign w:val="top"/>
          </w:tcPr>
          <w:p w14:paraId="205139BE">
            <w:pPr>
              <w:rPr>
                <w:rFonts w:ascii="Arial"/>
                <w:color w:val="auto"/>
                <w:sz w:val="21"/>
                <w:highlight w:val="none"/>
              </w:rPr>
            </w:pPr>
          </w:p>
        </w:tc>
        <w:tc>
          <w:tcPr>
            <w:tcW w:w="1830" w:type="dxa"/>
            <w:gridSpan w:val="3"/>
            <w:vAlign w:val="top"/>
          </w:tcPr>
          <w:p w14:paraId="41767B9F">
            <w:pPr>
              <w:rPr>
                <w:rFonts w:ascii="Arial"/>
                <w:color w:val="auto"/>
                <w:sz w:val="21"/>
                <w:highlight w:val="none"/>
              </w:rPr>
            </w:pPr>
          </w:p>
        </w:tc>
        <w:tc>
          <w:tcPr>
            <w:tcW w:w="1472" w:type="dxa"/>
            <w:gridSpan w:val="3"/>
            <w:vAlign w:val="top"/>
          </w:tcPr>
          <w:p w14:paraId="455A1666">
            <w:pPr>
              <w:rPr>
                <w:rFonts w:ascii="Arial"/>
                <w:color w:val="auto"/>
                <w:sz w:val="21"/>
                <w:highlight w:val="none"/>
              </w:rPr>
            </w:pPr>
          </w:p>
        </w:tc>
        <w:tc>
          <w:tcPr>
            <w:tcW w:w="1635" w:type="dxa"/>
            <w:gridSpan w:val="3"/>
            <w:vAlign w:val="top"/>
          </w:tcPr>
          <w:p w14:paraId="6286C788">
            <w:pPr>
              <w:rPr>
                <w:rFonts w:ascii="Arial"/>
                <w:color w:val="auto"/>
                <w:sz w:val="21"/>
                <w:highlight w:val="none"/>
              </w:rPr>
            </w:pPr>
          </w:p>
        </w:tc>
        <w:tc>
          <w:tcPr>
            <w:tcW w:w="1506" w:type="dxa"/>
            <w:gridSpan w:val="2"/>
            <w:tcBorders>
              <w:right w:val="nil"/>
            </w:tcBorders>
            <w:vAlign w:val="top"/>
          </w:tcPr>
          <w:p w14:paraId="53CAF9B0">
            <w:pPr>
              <w:rPr>
                <w:rFonts w:ascii="Arial"/>
                <w:color w:val="auto"/>
                <w:sz w:val="21"/>
                <w:highlight w:val="none"/>
              </w:rPr>
            </w:pPr>
            <w:r>
              <w:rPr>
                <w:color w:val="auto"/>
                <w:highlight w:val="none"/>
              </w:rPr>
              <w:drawing>
                <wp:anchor distT="0" distB="0" distL="0" distR="0" simplePos="0" relativeHeight="251664384"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9"/>
                          <a:stretch>
                            <a:fillRect/>
                          </a:stretch>
                        </pic:blipFill>
                        <pic:spPr>
                          <a:xfrm>
                            <a:off x="0" y="0"/>
                            <a:ext cx="6350" cy="348995"/>
                          </a:xfrm>
                          <a:prstGeom prst="rect">
                            <a:avLst/>
                          </a:prstGeom>
                        </pic:spPr>
                      </pic:pic>
                    </a:graphicData>
                  </a:graphic>
                </wp:anchor>
              </w:drawing>
            </w:r>
          </w:p>
        </w:tc>
      </w:tr>
      <w:tr w14:paraId="24475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632" w:type="dxa"/>
            <w:gridSpan w:val="3"/>
            <w:vAlign w:val="top"/>
          </w:tcPr>
          <w:p w14:paraId="52CA02CC">
            <w:pPr>
              <w:pStyle w:val="88"/>
              <w:spacing w:before="217" w:line="221" w:lineRule="auto"/>
              <w:ind w:left="405"/>
              <w:rPr>
                <w:color w:val="auto"/>
                <w:highlight w:val="none"/>
              </w:rPr>
            </w:pPr>
            <w:r>
              <w:rPr>
                <w:color w:val="auto"/>
                <w:spacing w:val="-3"/>
                <w:highlight w:val="none"/>
              </w:rPr>
              <w:t>受奖情况</w:t>
            </w:r>
          </w:p>
        </w:tc>
        <w:tc>
          <w:tcPr>
            <w:tcW w:w="1548" w:type="dxa"/>
            <w:gridSpan w:val="2"/>
            <w:vAlign w:val="top"/>
          </w:tcPr>
          <w:p w14:paraId="796EB54B">
            <w:pPr>
              <w:rPr>
                <w:rFonts w:ascii="Arial"/>
                <w:color w:val="auto"/>
                <w:sz w:val="21"/>
                <w:highlight w:val="none"/>
              </w:rPr>
            </w:pPr>
          </w:p>
        </w:tc>
        <w:tc>
          <w:tcPr>
            <w:tcW w:w="1830" w:type="dxa"/>
            <w:gridSpan w:val="3"/>
            <w:vAlign w:val="top"/>
          </w:tcPr>
          <w:p w14:paraId="08B7450E">
            <w:pPr>
              <w:rPr>
                <w:rFonts w:ascii="Arial"/>
                <w:color w:val="auto"/>
                <w:sz w:val="21"/>
                <w:highlight w:val="none"/>
              </w:rPr>
            </w:pPr>
          </w:p>
        </w:tc>
        <w:tc>
          <w:tcPr>
            <w:tcW w:w="1472" w:type="dxa"/>
            <w:gridSpan w:val="3"/>
            <w:vAlign w:val="top"/>
          </w:tcPr>
          <w:p w14:paraId="07580804">
            <w:pPr>
              <w:rPr>
                <w:rFonts w:ascii="Arial"/>
                <w:color w:val="auto"/>
                <w:sz w:val="21"/>
                <w:highlight w:val="none"/>
              </w:rPr>
            </w:pPr>
          </w:p>
        </w:tc>
        <w:tc>
          <w:tcPr>
            <w:tcW w:w="1635" w:type="dxa"/>
            <w:gridSpan w:val="3"/>
            <w:vAlign w:val="top"/>
          </w:tcPr>
          <w:p w14:paraId="641D9CF5">
            <w:pPr>
              <w:rPr>
                <w:rFonts w:ascii="Arial"/>
                <w:color w:val="auto"/>
                <w:sz w:val="21"/>
                <w:highlight w:val="none"/>
              </w:rPr>
            </w:pPr>
          </w:p>
        </w:tc>
        <w:tc>
          <w:tcPr>
            <w:tcW w:w="1506" w:type="dxa"/>
            <w:gridSpan w:val="2"/>
            <w:tcBorders>
              <w:right w:val="nil"/>
            </w:tcBorders>
            <w:vAlign w:val="top"/>
          </w:tcPr>
          <w:p w14:paraId="50AF8A08">
            <w:pPr>
              <w:rPr>
                <w:rFonts w:ascii="Arial"/>
                <w:color w:val="auto"/>
                <w:sz w:val="21"/>
                <w:highlight w:val="none"/>
              </w:rPr>
            </w:pPr>
            <w:r>
              <w:rPr>
                <w:color w:val="auto"/>
                <w:highlight w:val="none"/>
              </w:rPr>
              <w:drawing>
                <wp:anchor distT="0" distB="0" distL="0" distR="0" simplePos="0" relativeHeight="251663360"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8"/>
                          <a:stretch>
                            <a:fillRect/>
                          </a:stretch>
                        </pic:blipFill>
                        <pic:spPr>
                          <a:xfrm>
                            <a:off x="0" y="0"/>
                            <a:ext cx="6350" cy="348995"/>
                          </a:xfrm>
                          <a:prstGeom prst="rect">
                            <a:avLst/>
                          </a:prstGeom>
                        </pic:spPr>
                      </pic:pic>
                    </a:graphicData>
                  </a:graphic>
                </wp:anchor>
              </w:drawing>
            </w:r>
          </w:p>
        </w:tc>
      </w:tr>
    </w:tbl>
    <w:p w14:paraId="4DB2C8D7">
      <w:pPr>
        <w:pStyle w:val="14"/>
        <w:spacing w:before="29" w:line="222" w:lineRule="auto"/>
        <w:ind w:left="231"/>
        <w:rPr>
          <w:color w:val="auto"/>
          <w:sz w:val="21"/>
          <w:szCs w:val="21"/>
          <w:highlight w:val="none"/>
        </w:rPr>
      </w:pPr>
      <w:r>
        <w:rPr>
          <w:color w:val="auto"/>
          <w:spacing w:val="-3"/>
          <w:sz w:val="21"/>
          <w:szCs w:val="21"/>
          <w:highlight w:val="none"/>
        </w:rPr>
        <w:t>备注：</w:t>
      </w:r>
    </w:p>
    <w:p w14:paraId="2C26F07B">
      <w:pPr>
        <w:pStyle w:val="14"/>
        <w:spacing w:before="19" w:line="220" w:lineRule="auto"/>
        <w:ind w:left="664"/>
        <w:rPr>
          <w:color w:val="auto"/>
          <w:sz w:val="21"/>
          <w:szCs w:val="21"/>
          <w:highlight w:val="none"/>
        </w:rPr>
      </w:pPr>
      <w:r>
        <w:rPr>
          <w:color w:val="auto"/>
          <w:spacing w:val="-2"/>
          <w:sz w:val="21"/>
          <w:szCs w:val="21"/>
          <w:highlight w:val="none"/>
        </w:rPr>
        <w:t>1.项目数可以根据需要增加。</w:t>
      </w:r>
    </w:p>
    <w:p w14:paraId="234B782C">
      <w:pPr>
        <w:pStyle w:val="14"/>
        <w:spacing w:before="160" w:line="360" w:lineRule="auto"/>
        <w:ind w:left="233" w:right="216" w:firstLine="418"/>
        <w:rPr>
          <w:color w:val="auto"/>
          <w:sz w:val="21"/>
          <w:szCs w:val="21"/>
          <w:highlight w:val="none"/>
        </w:rPr>
      </w:pPr>
      <w:r>
        <w:rPr>
          <w:color w:val="auto"/>
          <w:sz w:val="21"/>
          <w:szCs w:val="21"/>
          <w:highlight w:val="none"/>
        </w:rPr>
        <w:t>2.本表后附项目经理的学历证、安全生产考核合格证（B</w:t>
      </w:r>
      <w:r>
        <w:rPr>
          <w:color w:val="auto"/>
          <w:spacing w:val="-46"/>
          <w:sz w:val="21"/>
          <w:szCs w:val="21"/>
          <w:highlight w:val="none"/>
        </w:rPr>
        <w:t xml:space="preserve"> </w:t>
      </w:r>
      <w:r>
        <w:rPr>
          <w:color w:val="auto"/>
          <w:sz w:val="21"/>
          <w:szCs w:val="21"/>
          <w:highlight w:val="none"/>
        </w:rPr>
        <w:t>类）、</w:t>
      </w:r>
      <w:r>
        <w:rPr>
          <w:color w:val="auto"/>
          <w:spacing w:val="-1"/>
          <w:sz w:val="21"/>
          <w:szCs w:val="21"/>
          <w:highlight w:val="none"/>
        </w:rPr>
        <w:t>本表所列证书复印件并加盖供应</w:t>
      </w:r>
      <w:r>
        <w:rPr>
          <w:color w:val="auto"/>
          <w:spacing w:val="-3"/>
          <w:sz w:val="21"/>
          <w:szCs w:val="21"/>
          <w:highlight w:val="none"/>
        </w:rPr>
        <w:t>商公章。</w:t>
      </w:r>
    </w:p>
    <w:p w14:paraId="15EAC38C">
      <w:pPr>
        <w:spacing w:line="360" w:lineRule="auto"/>
        <w:rPr>
          <w:color w:val="auto"/>
          <w:sz w:val="21"/>
          <w:szCs w:val="21"/>
          <w:highlight w:val="none"/>
        </w:rPr>
        <w:sectPr>
          <w:footerReference r:id="rId7" w:type="default"/>
          <w:pgSz w:w="11900" w:h="16840"/>
          <w:pgMar w:top="1327" w:right="1073" w:bottom="848" w:left="1197" w:header="0" w:footer="648" w:gutter="0"/>
          <w:cols w:space="720" w:num="1"/>
        </w:sectPr>
      </w:pPr>
    </w:p>
    <w:p w14:paraId="6FEE059C">
      <w:pPr>
        <w:pStyle w:val="14"/>
        <w:spacing w:before="64" w:line="223" w:lineRule="auto"/>
        <w:ind w:left="2263"/>
        <w:rPr>
          <w:color w:val="auto"/>
          <w:highlight w:val="none"/>
        </w:rPr>
      </w:pPr>
      <w:r>
        <w:rPr>
          <w:b/>
          <w:bCs/>
          <w:color w:val="auto"/>
          <w:spacing w:val="6"/>
          <w:highlight w:val="none"/>
        </w:rPr>
        <w:t>项目技术负责人（项目总工）简历表</w:t>
      </w:r>
    </w:p>
    <w:tbl>
      <w:tblPr>
        <w:tblStyle w:val="89"/>
        <w:tblW w:w="9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7"/>
        <w:gridCol w:w="166"/>
        <w:gridCol w:w="300"/>
        <w:gridCol w:w="888"/>
        <w:gridCol w:w="660"/>
        <w:gridCol w:w="326"/>
        <w:gridCol w:w="235"/>
        <w:gridCol w:w="1269"/>
        <w:gridCol w:w="126"/>
        <w:gridCol w:w="264"/>
        <w:gridCol w:w="1082"/>
        <w:gridCol w:w="73"/>
        <w:gridCol w:w="430"/>
        <w:gridCol w:w="1132"/>
        <w:gridCol w:w="70"/>
        <w:gridCol w:w="1435"/>
      </w:tblGrid>
      <w:tr w14:paraId="06508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167" w:type="dxa"/>
            <w:vAlign w:val="top"/>
          </w:tcPr>
          <w:p w14:paraId="1B1ADEB3">
            <w:pPr>
              <w:pStyle w:val="88"/>
              <w:spacing w:before="243" w:line="220" w:lineRule="auto"/>
              <w:ind w:left="382"/>
              <w:rPr>
                <w:color w:val="auto"/>
                <w:highlight w:val="none"/>
              </w:rPr>
            </w:pPr>
            <w:r>
              <w:rPr>
                <w:color w:val="auto"/>
                <w:spacing w:val="-3"/>
                <w:highlight w:val="none"/>
              </w:rPr>
              <w:t>姓名</w:t>
            </w:r>
          </w:p>
        </w:tc>
        <w:tc>
          <w:tcPr>
            <w:tcW w:w="2340" w:type="dxa"/>
            <w:gridSpan w:val="5"/>
            <w:vAlign w:val="top"/>
          </w:tcPr>
          <w:p w14:paraId="5C97512B">
            <w:pPr>
              <w:rPr>
                <w:rFonts w:ascii="Arial"/>
                <w:color w:val="auto"/>
                <w:sz w:val="21"/>
                <w:highlight w:val="none"/>
              </w:rPr>
            </w:pPr>
          </w:p>
        </w:tc>
        <w:tc>
          <w:tcPr>
            <w:tcW w:w="1894" w:type="dxa"/>
            <w:gridSpan w:val="4"/>
            <w:vAlign w:val="top"/>
          </w:tcPr>
          <w:p w14:paraId="66052871">
            <w:pPr>
              <w:pStyle w:val="88"/>
              <w:spacing w:before="243" w:line="221" w:lineRule="auto"/>
              <w:ind w:left="741"/>
              <w:rPr>
                <w:color w:val="auto"/>
                <w:highlight w:val="none"/>
              </w:rPr>
            </w:pPr>
            <w:r>
              <w:rPr>
                <w:color w:val="auto"/>
                <w:spacing w:val="-5"/>
                <w:highlight w:val="none"/>
              </w:rPr>
              <w:t>性别</w:t>
            </w:r>
          </w:p>
        </w:tc>
        <w:tc>
          <w:tcPr>
            <w:tcW w:w="1585" w:type="dxa"/>
            <w:gridSpan w:val="3"/>
            <w:vAlign w:val="top"/>
          </w:tcPr>
          <w:p w14:paraId="743D911B">
            <w:pPr>
              <w:rPr>
                <w:rFonts w:ascii="Arial"/>
                <w:color w:val="auto"/>
                <w:sz w:val="21"/>
                <w:highlight w:val="none"/>
              </w:rPr>
            </w:pPr>
          </w:p>
        </w:tc>
        <w:tc>
          <w:tcPr>
            <w:tcW w:w="1132" w:type="dxa"/>
            <w:vAlign w:val="top"/>
          </w:tcPr>
          <w:p w14:paraId="23B49CBB">
            <w:pPr>
              <w:pStyle w:val="88"/>
              <w:spacing w:before="243" w:line="220" w:lineRule="auto"/>
              <w:ind w:left="345"/>
              <w:rPr>
                <w:color w:val="auto"/>
                <w:highlight w:val="none"/>
              </w:rPr>
            </w:pPr>
            <w:r>
              <w:rPr>
                <w:color w:val="auto"/>
                <w:spacing w:val="-4"/>
                <w:highlight w:val="none"/>
              </w:rPr>
              <w:t>年龄</w:t>
            </w:r>
          </w:p>
        </w:tc>
        <w:tc>
          <w:tcPr>
            <w:tcW w:w="1505" w:type="dxa"/>
            <w:gridSpan w:val="2"/>
            <w:vAlign w:val="top"/>
          </w:tcPr>
          <w:p w14:paraId="11FD91C9">
            <w:pPr>
              <w:rPr>
                <w:rFonts w:ascii="Arial"/>
                <w:color w:val="auto"/>
                <w:sz w:val="21"/>
                <w:highlight w:val="none"/>
              </w:rPr>
            </w:pPr>
          </w:p>
        </w:tc>
      </w:tr>
      <w:tr w14:paraId="09FDD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167" w:type="dxa"/>
            <w:vAlign w:val="top"/>
          </w:tcPr>
          <w:p w14:paraId="72CAD513">
            <w:pPr>
              <w:spacing w:line="269" w:lineRule="auto"/>
              <w:rPr>
                <w:rFonts w:ascii="Arial"/>
                <w:color w:val="auto"/>
                <w:sz w:val="21"/>
                <w:highlight w:val="none"/>
              </w:rPr>
            </w:pPr>
          </w:p>
          <w:p w14:paraId="3160201C">
            <w:pPr>
              <w:pStyle w:val="88"/>
              <w:spacing w:before="68" w:line="221" w:lineRule="auto"/>
              <w:ind w:left="405"/>
              <w:rPr>
                <w:color w:val="auto"/>
                <w:highlight w:val="none"/>
              </w:rPr>
            </w:pPr>
            <w:r>
              <w:rPr>
                <w:color w:val="auto"/>
                <w:spacing w:val="-15"/>
                <w:highlight w:val="none"/>
              </w:rPr>
              <w:t>岗位</w:t>
            </w:r>
          </w:p>
        </w:tc>
        <w:tc>
          <w:tcPr>
            <w:tcW w:w="2340" w:type="dxa"/>
            <w:gridSpan w:val="5"/>
            <w:vAlign w:val="top"/>
          </w:tcPr>
          <w:p w14:paraId="3B7E4C3E">
            <w:pPr>
              <w:pStyle w:val="88"/>
              <w:spacing w:before="140" w:line="220" w:lineRule="auto"/>
              <w:ind w:left="126"/>
              <w:rPr>
                <w:color w:val="auto"/>
                <w:highlight w:val="none"/>
              </w:rPr>
            </w:pPr>
            <w:r>
              <w:rPr>
                <w:color w:val="auto"/>
                <w:spacing w:val="-1"/>
                <w:highlight w:val="none"/>
              </w:rPr>
              <w:t>项目技术负责人（项目</w:t>
            </w:r>
          </w:p>
          <w:p w14:paraId="506E6AD8">
            <w:pPr>
              <w:pStyle w:val="88"/>
              <w:spacing w:before="147" w:line="226" w:lineRule="auto"/>
              <w:ind w:left="862"/>
              <w:rPr>
                <w:color w:val="auto"/>
                <w:highlight w:val="none"/>
              </w:rPr>
            </w:pPr>
            <w:r>
              <w:rPr>
                <w:color w:val="auto"/>
                <w:spacing w:val="-4"/>
                <w:highlight w:val="none"/>
              </w:rPr>
              <w:t>总工）</w:t>
            </w:r>
          </w:p>
        </w:tc>
        <w:tc>
          <w:tcPr>
            <w:tcW w:w="1894" w:type="dxa"/>
            <w:gridSpan w:val="4"/>
            <w:vAlign w:val="top"/>
          </w:tcPr>
          <w:p w14:paraId="0583F739">
            <w:pPr>
              <w:spacing w:line="269" w:lineRule="auto"/>
              <w:rPr>
                <w:rFonts w:ascii="Arial"/>
                <w:color w:val="auto"/>
                <w:sz w:val="21"/>
                <w:highlight w:val="none"/>
              </w:rPr>
            </w:pPr>
          </w:p>
          <w:p w14:paraId="4FFFDA88">
            <w:pPr>
              <w:pStyle w:val="88"/>
              <w:spacing w:before="68" w:line="223" w:lineRule="auto"/>
              <w:ind w:left="740"/>
              <w:rPr>
                <w:color w:val="auto"/>
                <w:highlight w:val="none"/>
              </w:rPr>
            </w:pPr>
            <w:r>
              <w:rPr>
                <w:color w:val="auto"/>
                <w:spacing w:val="-4"/>
                <w:highlight w:val="none"/>
              </w:rPr>
              <w:t>职称</w:t>
            </w:r>
          </w:p>
        </w:tc>
        <w:tc>
          <w:tcPr>
            <w:tcW w:w="1585" w:type="dxa"/>
            <w:gridSpan w:val="3"/>
            <w:vAlign w:val="top"/>
          </w:tcPr>
          <w:p w14:paraId="78D48EE2">
            <w:pPr>
              <w:rPr>
                <w:rFonts w:ascii="Arial"/>
                <w:color w:val="auto"/>
                <w:sz w:val="21"/>
                <w:highlight w:val="none"/>
              </w:rPr>
            </w:pPr>
          </w:p>
        </w:tc>
        <w:tc>
          <w:tcPr>
            <w:tcW w:w="1132" w:type="dxa"/>
            <w:vAlign w:val="top"/>
          </w:tcPr>
          <w:p w14:paraId="613BA53B">
            <w:pPr>
              <w:spacing w:line="269" w:lineRule="auto"/>
              <w:rPr>
                <w:rFonts w:ascii="Arial"/>
                <w:color w:val="auto"/>
                <w:sz w:val="21"/>
                <w:highlight w:val="none"/>
              </w:rPr>
            </w:pPr>
          </w:p>
          <w:p w14:paraId="04842191">
            <w:pPr>
              <w:pStyle w:val="88"/>
              <w:spacing w:before="68" w:line="222" w:lineRule="auto"/>
              <w:ind w:left="348"/>
              <w:rPr>
                <w:color w:val="auto"/>
                <w:highlight w:val="none"/>
              </w:rPr>
            </w:pPr>
            <w:r>
              <w:rPr>
                <w:color w:val="auto"/>
                <w:spacing w:val="-6"/>
                <w:highlight w:val="none"/>
              </w:rPr>
              <w:t>学历</w:t>
            </w:r>
          </w:p>
        </w:tc>
        <w:tc>
          <w:tcPr>
            <w:tcW w:w="1505" w:type="dxa"/>
            <w:gridSpan w:val="2"/>
            <w:vAlign w:val="top"/>
          </w:tcPr>
          <w:p w14:paraId="0B297516">
            <w:pPr>
              <w:rPr>
                <w:rFonts w:ascii="Arial"/>
                <w:color w:val="auto"/>
                <w:sz w:val="21"/>
                <w:highlight w:val="none"/>
              </w:rPr>
            </w:pPr>
          </w:p>
        </w:tc>
      </w:tr>
      <w:tr w14:paraId="5CE9F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167" w:type="dxa"/>
            <w:vAlign w:val="top"/>
          </w:tcPr>
          <w:p w14:paraId="28E7817E">
            <w:pPr>
              <w:pStyle w:val="88"/>
              <w:spacing w:before="137" w:line="288" w:lineRule="auto"/>
              <w:ind w:left="391" w:right="156" w:hanging="218"/>
              <w:rPr>
                <w:color w:val="auto"/>
                <w:highlight w:val="none"/>
              </w:rPr>
            </w:pPr>
            <w:r>
              <w:rPr>
                <w:color w:val="auto"/>
                <w:spacing w:val="-3"/>
                <w:highlight w:val="none"/>
              </w:rPr>
              <w:t>从业开始</w:t>
            </w:r>
            <w:r>
              <w:rPr>
                <w:color w:val="auto"/>
                <w:spacing w:val="-8"/>
                <w:highlight w:val="none"/>
              </w:rPr>
              <w:t>时间</w:t>
            </w:r>
          </w:p>
        </w:tc>
        <w:tc>
          <w:tcPr>
            <w:tcW w:w="2340" w:type="dxa"/>
            <w:gridSpan w:val="5"/>
            <w:vAlign w:val="top"/>
          </w:tcPr>
          <w:p w14:paraId="15921763">
            <w:pPr>
              <w:rPr>
                <w:rFonts w:ascii="Arial"/>
                <w:color w:val="auto"/>
                <w:sz w:val="21"/>
                <w:highlight w:val="none"/>
              </w:rPr>
            </w:pPr>
          </w:p>
        </w:tc>
        <w:tc>
          <w:tcPr>
            <w:tcW w:w="1894" w:type="dxa"/>
            <w:gridSpan w:val="4"/>
            <w:vAlign w:val="top"/>
          </w:tcPr>
          <w:p w14:paraId="186A286E">
            <w:pPr>
              <w:spacing w:line="267" w:lineRule="auto"/>
              <w:rPr>
                <w:rFonts w:ascii="Arial"/>
                <w:color w:val="auto"/>
                <w:sz w:val="21"/>
                <w:highlight w:val="none"/>
              </w:rPr>
            </w:pPr>
          </w:p>
          <w:p w14:paraId="222541CE">
            <w:pPr>
              <w:pStyle w:val="88"/>
              <w:spacing w:before="69" w:line="220" w:lineRule="auto"/>
              <w:ind w:left="320"/>
              <w:rPr>
                <w:color w:val="auto"/>
                <w:highlight w:val="none"/>
              </w:rPr>
            </w:pPr>
            <w:r>
              <w:rPr>
                <w:color w:val="auto"/>
                <w:spacing w:val="-1"/>
                <w:highlight w:val="none"/>
              </w:rPr>
              <w:t>职称获得时间</w:t>
            </w:r>
          </w:p>
        </w:tc>
        <w:tc>
          <w:tcPr>
            <w:tcW w:w="1585" w:type="dxa"/>
            <w:gridSpan w:val="3"/>
            <w:vAlign w:val="top"/>
          </w:tcPr>
          <w:p w14:paraId="178CC277">
            <w:pPr>
              <w:rPr>
                <w:rFonts w:ascii="Arial"/>
                <w:color w:val="auto"/>
                <w:sz w:val="21"/>
                <w:highlight w:val="none"/>
              </w:rPr>
            </w:pPr>
          </w:p>
        </w:tc>
        <w:tc>
          <w:tcPr>
            <w:tcW w:w="1132" w:type="dxa"/>
            <w:vAlign w:val="top"/>
          </w:tcPr>
          <w:p w14:paraId="0FBB0446">
            <w:pPr>
              <w:spacing w:line="267" w:lineRule="auto"/>
              <w:rPr>
                <w:rFonts w:ascii="Arial"/>
                <w:color w:val="auto"/>
                <w:sz w:val="21"/>
                <w:highlight w:val="none"/>
              </w:rPr>
            </w:pPr>
          </w:p>
          <w:p w14:paraId="042EE5AA">
            <w:pPr>
              <w:pStyle w:val="88"/>
              <w:spacing w:before="69" w:line="220" w:lineRule="auto"/>
              <w:ind w:left="139"/>
              <w:rPr>
                <w:color w:val="auto"/>
                <w:highlight w:val="none"/>
              </w:rPr>
            </w:pPr>
            <w:r>
              <w:rPr>
                <w:color w:val="auto"/>
                <w:spacing w:val="-3"/>
                <w:highlight w:val="none"/>
              </w:rPr>
              <w:t>毕业时间</w:t>
            </w:r>
          </w:p>
        </w:tc>
        <w:tc>
          <w:tcPr>
            <w:tcW w:w="1505" w:type="dxa"/>
            <w:gridSpan w:val="2"/>
            <w:vAlign w:val="top"/>
          </w:tcPr>
          <w:p w14:paraId="6CEF45FC">
            <w:pPr>
              <w:rPr>
                <w:rFonts w:ascii="Arial"/>
                <w:color w:val="auto"/>
                <w:sz w:val="21"/>
                <w:highlight w:val="none"/>
              </w:rPr>
            </w:pPr>
          </w:p>
        </w:tc>
      </w:tr>
      <w:tr w14:paraId="4E276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333" w:type="dxa"/>
            <w:gridSpan w:val="2"/>
            <w:vAlign w:val="top"/>
          </w:tcPr>
          <w:p w14:paraId="529C362C">
            <w:pPr>
              <w:pStyle w:val="88"/>
              <w:spacing w:before="140" w:line="288" w:lineRule="auto"/>
              <w:ind w:left="581" w:right="135" w:hanging="433"/>
              <w:rPr>
                <w:color w:val="auto"/>
                <w:highlight w:val="none"/>
              </w:rPr>
            </w:pPr>
            <w:r>
              <w:rPr>
                <w:color w:val="auto"/>
                <w:spacing w:val="-2"/>
                <w:highlight w:val="none"/>
              </w:rPr>
              <w:t>担任年</w:t>
            </w:r>
            <w:r>
              <w:rPr>
                <w:color w:val="auto"/>
                <w:highlight w:val="none"/>
              </w:rPr>
              <w:t>限</w:t>
            </w:r>
          </w:p>
        </w:tc>
        <w:tc>
          <w:tcPr>
            <w:tcW w:w="2409" w:type="dxa"/>
            <w:gridSpan w:val="5"/>
            <w:vAlign w:val="top"/>
          </w:tcPr>
          <w:p w14:paraId="1C969018">
            <w:pPr>
              <w:rPr>
                <w:rFonts w:ascii="Arial"/>
                <w:color w:val="auto"/>
                <w:sz w:val="21"/>
                <w:highlight w:val="none"/>
              </w:rPr>
            </w:pPr>
          </w:p>
        </w:tc>
        <w:tc>
          <w:tcPr>
            <w:tcW w:w="1269" w:type="dxa"/>
            <w:vAlign w:val="top"/>
          </w:tcPr>
          <w:p w14:paraId="37A4DD38">
            <w:pPr>
              <w:pStyle w:val="88"/>
              <w:spacing w:before="140" w:line="288" w:lineRule="auto"/>
              <w:ind w:right="177"/>
              <w:rPr>
                <w:color w:val="auto"/>
                <w:highlight w:val="none"/>
              </w:rPr>
            </w:pPr>
            <w:r>
              <w:rPr>
                <w:color w:val="auto"/>
                <w:spacing w:val="-3"/>
                <w:highlight w:val="none"/>
              </w:rPr>
              <w:t>身份证号</w:t>
            </w:r>
            <w:r>
              <w:rPr>
                <w:color w:val="auto"/>
                <w:highlight w:val="none"/>
              </w:rPr>
              <w:t>码</w:t>
            </w:r>
          </w:p>
        </w:tc>
        <w:tc>
          <w:tcPr>
            <w:tcW w:w="4612" w:type="dxa"/>
            <w:gridSpan w:val="8"/>
            <w:vAlign w:val="top"/>
          </w:tcPr>
          <w:p w14:paraId="5D90EE87">
            <w:pPr>
              <w:rPr>
                <w:rFonts w:ascii="Arial"/>
                <w:color w:val="auto"/>
                <w:sz w:val="21"/>
                <w:highlight w:val="none"/>
              </w:rPr>
            </w:pPr>
          </w:p>
        </w:tc>
      </w:tr>
      <w:tr w14:paraId="0BD0A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333" w:type="dxa"/>
            <w:gridSpan w:val="2"/>
            <w:vAlign w:val="top"/>
          </w:tcPr>
          <w:p w14:paraId="737F5440">
            <w:pPr>
              <w:pStyle w:val="88"/>
              <w:spacing w:before="239" w:line="220" w:lineRule="auto"/>
              <w:ind w:left="252"/>
              <w:rPr>
                <w:color w:val="auto"/>
                <w:highlight w:val="none"/>
              </w:rPr>
            </w:pPr>
            <w:r>
              <w:rPr>
                <w:color w:val="auto"/>
                <w:spacing w:val="-2"/>
                <w:highlight w:val="none"/>
              </w:rPr>
              <w:t>证书名称</w:t>
            </w:r>
          </w:p>
        </w:tc>
        <w:tc>
          <w:tcPr>
            <w:tcW w:w="1188" w:type="dxa"/>
            <w:gridSpan w:val="2"/>
            <w:vAlign w:val="top"/>
          </w:tcPr>
          <w:p w14:paraId="2395312B">
            <w:pPr>
              <w:pStyle w:val="88"/>
              <w:spacing w:before="240" w:line="221" w:lineRule="auto"/>
              <w:ind w:left="172"/>
              <w:rPr>
                <w:color w:val="auto"/>
                <w:highlight w:val="none"/>
              </w:rPr>
            </w:pPr>
            <w:r>
              <w:rPr>
                <w:color w:val="auto"/>
                <w:spacing w:val="-2"/>
                <w:highlight w:val="none"/>
              </w:rPr>
              <w:t>注册专业</w:t>
            </w:r>
          </w:p>
        </w:tc>
        <w:tc>
          <w:tcPr>
            <w:tcW w:w="1221" w:type="dxa"/>
            <w:gridSpan w:val="3"/>
            <w:vAlign w:val="top"/>
          </w:tcPr>
          <w:p w14:paraId="23C95FDC">
            <w:pPr>
              <w:pStyle w:val="88"/>
              <w:spacing w:before="240" w:line="221" w:lineRule="auto"/>
              <w:ind w:left="404"/>
              <w:rPr>
                <w:color w:val="auto"/>
                <w:highlight w:val="none"/>
              </w:rPr>
            </w:pPr>
            <w:r>
              <w:rPr>
                <w:color w:val="auto"/>
                <w:spacing w:val="-5"/>
                <w:highlight w:val="none"/>
              </w:rPr>
              <w:t>级别</w:t>
            </w:r>
          </w:p>
        </w:tc>
        <w:tc>
          <w:tcPr>
            <w:tcW w:w="1395" w:type="dxa"/>
            <w:gridSpan w:val="2"/>
            <w:vAlign w:val="top"/>
          </w:tcPr>
          <w:p w14:paraId="1BFBD437">
            <w:pPr>
              <w:pStyle w:val="88"/>
              <w:spacing w:before="239" w:line="220" w:lineRule="auto"/>
              <w:ind w:left="288"/>
              <w:rPr>
                <w:color w:val="auto"/>
                <w:highlight w:val="none"/>
              </w:rPr>
            </w:pPr>
            <w:r>
              <w:rPr>
                <w:color w:val="auto"/>
                <w:spacing w:val="-2"/>
                <w:highlight w:val="none"/>
              </w:rPr>
              <w:t>证书编号</w:t>
            </w:r>
          </w:p>
        </w:tc>
        <w:tc>
          <w:tcPr>
            <w:tcW w:w="1419" w:type="dxa"/>
            <w:gridSpan w:val="3"/>
            <w:vAlign w:val="top"/>
          </w:tcPr>
          <w:p w14:paraId="03CF0E24">
            <w:pPr>
              <w:pStyle w:val="88"/>
              <w:spacing w:before="239" w:line="222" w:lineRule="auto"/>
              <w:ind w:left="311"/>
              <w:rPr>
                <w:color w:val="auto"/>
                <w:highlight w:val="none"/>
              </w:rPr>
            </w:pPr>
            <w:r>
              <w:rPr>
                <w:color w:val="auto"/>
                <w:spacing w:val="-2"/>
                <w:highlight w:val="none"/>
              </w:rPr>
              <w:t>注册时间</w:t>
            </w:r>
          </w:p>
        </w:tc>
        <w:tc>
          <w:tcPr>
            <w:tcW w:w="1632" w:type="dxa"/>
            <w:gridSpan w:val="3"/>
            <w:vAlign w:val="top"/>
          </w:tcPr>
          <w:p w14:paraId="2F78AA5C">
            <w:pPr>
              <w:pStyle w:val="88"/>
              <w:spacing w:before="240" w:line="221" w:lineRule="auto"/>
              <w:ind w:left="419"/>
              <w:rPr>
                <w:color w:val="auto"/>
                <w:highlight w:val="none"/>
              </w:rPr>
            </w:pPr>
            <w:r>
              <w:rPr>
                <w:color w:val="auto"/>
                <w:spacing w:val="-2"/>
                <w:highlight w:val="none"/>
              </w:rPr>
              <w:t>注册单位</w:t>
            </w:r>
          </w:p>
        </w:tc>
        <w:tc>
          <w:tcPr>
            <w:tcW w:w="1435" w:type="dxa"/>
            <w:vAlign w:val="top"/>
          </w:tcPr>
          <w:p w14:paraId="7480CD1D">
            <w:pPr>
              <w:pStyle w:val="88"/>
              <w:spacing w:before="240" w:line="221" w:lineRule="auto"/>
              <w:ind w:left="205"/>
              <w:rPr>
                <w:color w:val="auto"/>
                <w:highlight w:val="none"/>
              </w:rPr>
            </w:pPr>
            <w:r>
              <w:rPr>
                <w:color w:val="auto"/>
                <w:spacing w:val="-1"/>
                <w:highlight w:val="none"/>
              </w:rPr>
              <w:t>注册有效期</w:t>
            </w:r>
          </w:p>
        </w:tc>
      </w:tr>
      <w:tr w14:paraId="3EDCA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333" w:type="dxa"/>
            <w:gridSpan w:val="2"/>
            <w:vAlign w:val="top"/>
          </w:tcPr>
          <w:p w14:paraId="106A959F">
            <w:pPr>
              <w:rPr>
                <w:rFonts w:ascii="Arial"/>
                <w:color w:val="auto"/>
                <w:sz w:val="21"/>
                <w:highlight w:val="none"/>
              </w:rPr>
            </w:pPr>
          </w:p>
        </w:tc>
        <w:tc>
          <w:tcPr>
            <w:tcW w:w="1188" w:type="dxa"/>
            <w:gridSpan w:val="2"/>
            <w:vAlign w:val="top"/>
          </w:tcPr>
          <w:p w14:paraId="039583B0">
            <w:pPr>
              <w:rPr>
                <w:rFonts w:ascii="Arial"/>
                <w:color w:val="auto"/>
                <w:sz w:val="21"/>
                <w:highlight w:val="none"/>
              </w:rPr>
            </w:pPr>
          </w:p>
        </w:tc>
        <w:tc>
          <w:tcPr>
            <w:tcW w:w="1221" w:type="dxa"/>
            <w:gridSpan w:val="3"/>
            <w:vAlign w:val="top"/>
          </w:tcPr>
          <w:p w14:paraId="23EEFAF6">
            <w:pPr>
              <w:rPr>
                <w:rFonts w:ascii="Arial"/>
                <w:color w:val="auto"/>
                <w:sz w:val="21"/>
                <w:highlight w:val="none"/>
              </w:rPr>
            </w:pPr>
          </w:p>
        </w:tc>
        <w:tc>
          <w:tcPr>
            <w:tcW w:w="1395" w:type="dxa"/>
            <w:gridSpan w:val="2"/>
            <w:vAlign w:val="top"/>
          </w:tcPr>
          <w:p w14:paraId="2E08CD3D">
            <w:pPr>
              <w:rPr>
                <w:rFonts w:ascii="Arial"/>
                <w:color w:val="auto"/>
                <w:sz w:val="21"/>
                <w:highlight w:val="none"/>
              </w:rPr>
            </w:pPr>
          </w:p>
        </w:tc>
        <w:tc>
          <w:tcPr>
            <w:tcW w:w="1419" w:type="dxa"/>
            <w:gridSpan w:val="3"/>
            <w:vAlign w:val="top"/>
          </w:tcPr>
          <w:p w14:paraId="424DC007">
            <w:pPr>
              <w:rPr>
                <w:rFonts w:ascii="Arial"/>
                <w:color w:val="auto"/>
                <w:sz w:val="21"/>
                <w:highlight w:val="none"/>
              </w:rPr>
            </w:pPr>
          </w:p>
        </w:tc>
        <w:tc>
          <w:tcPr>
            <w:tcW w:w="1632" w:type="dxa"/>
            <w:gridSpan w:val="3"/>
            <w:vAlign w:val="top"/>
          </w:tcPr>
          <w:p w14:paraId="71F8A608">
            <w:pPr>
              <w:rPr>
                <w:rFonts w:ascii="Arial"/>
                <w:color w:val="auto"/>
                <w:sz w:val="21"/>
                <w:highlight w:val="none"/>
              </w:rPr>
            </w:pPr>
          </w:p>
        </w:tc>
        <w:tc>
          <w:tcPr>
            <w:tcW w:w="1435" w:type="dxa"/>
            <w:vAlign w:val="top"/>
          </w:tcPr>
          <w:p w14:paraId="1B6F85D3">
            <w:pPr>
              <w:rPr>
                <w:rFonts w:ascii="Arial"/>
                <w:color w:val="auto"/>
                <w:sz w:val="21"/>
                <w:highlight w:val="none"/>
              </w:rPr>
            </w:pPr>
          </w:p>
        </w:tc>
      </w:tr>
      <w:tr w14:paraId="3CA65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333" w:type="dxa"/>
            <w:gridSpan w:val="2"/>
            <w:vAlign w:val="top"/>
          </w:tcPr>
          <w:p w14:paraId="1C8470CF">
            <w:pPr>
              <w:rPr>
                <w:rFonts w:ascii="Arial"/>
                <w:color w:val="auto"/>
                <w:sz w:val="21"/>
                <w:highlight w:val="none"/>
              </w:rPr>
            </w:pPr>
          </w:p>
        </w:tc>
        <w:tc>
          <w:tcPr>
            <w:tcW w:w="1188" w:type="dxa"/>
            <w:gridSpan w:val="2"/>
            <w:vAlign w:val="top"/>
          </w:tcPr>
          <w:p w14:paraId="1FBC3BAF">
            <w:pPr>
              <w:rPr>
                <w:rFonts w:ascii="Arial"/>
                <w:color w:val="auto"/>
                <w:sz w:val="21"/>
                <w:highlight w:val="none"/>
              </w:rPr>
            </w:pPr>
          </w:p>
        </w:tc>
        <w:tc>
          <w:tcPr>
            <w:tcW w:w="1221" w:type="dxa"/>
            <w:gridSpan w:val="3"/>
            <w:vAlign w:val="top"/>
          </w:tcPr>
          <w:p w14:paraId="37D362CE">
            <w:pPr>
              <w:rPr>
                <w:rFonts w:ascii="Arial"/>
                <w:color w:val="auto"/>
                <w:sz w:val="21"/>
                <w:highlight w:val="none"/>
              </w:rPr>
            </w:pPr>
          </w:p>
        </w:tc>
        <w:tc>
          <w:tcPr>
            <w:tcW w:w="1395" w:type="dxa"/>
            <w:gridSpan w:val="2"/>
            <w:vAlign w:val="top"/>
          </w:tcPr>
          <w:p w14:paraId="64295549">
            <w:pPr>
              <w:rPr>
                <w:rFonts w:ascii="Arial"/>
                <w:color w:val="auto"/>
                <w:sz w:val="21"/>
                <w:highlight w:val="none"/>
              </w:rPr>
            </w:pPr>
          </w:p>
        </w:tc>
        <w:tc>
          <w:tcPr>
            <w:tcW w:w="1419" w:type="dxa"/>
            <w:gridSpan w:val="3"/>
            <w:vAlign w:val="top"/>
          </w:tcPr>
          <w:p w14:paraId="19EFB903">
            <w:pPr>
              <w:rPr>
                <w:rFonts w:ascii="Arial"/>
                <w:color w:val="auto"/>
                <w:sz w:val="21"/>
                <w:highlight w:val="none"/>
              </w:rPr>
            </w:pPr>
          </w:p>
        </w:tc>
        <w:tc>
          <w:tcPr>
            <w:tcW w:w="1632" w:type="dxa"/>
            <w:gridSpan w:val="3"/>
            <w:vAlign w:val="top"/>
          </w:tcPr>
          <w:p w14:paraId="33CC0FFC">
            <w:pPr>
              <w:rPr>
                <w:rFonts w:ascii="Arial"/>
                <w:color w:val="auto"/>
                <w:sz w:val="21"/>
                <w:highlight w:val="none"/>
              </w:rPr>
            </w:pPr>
          </w:p>
        </w:tc>
        <w:tc>
          <w:tcPr>
            <w:tcW w:w="1435" w:type="dxa"/>
            <w:vAlign w:val="top"/>
          </w:tcPr>
          <w:p w14:paraId="69C76C54">
            <w:pPr>
              <w:rPr>
                <w:rFonts w:ascii="Arial"/>
                <w:color w:val="auto"/>
                <w:sz w:val="21"/>
                <w:highlight w:val="none"/>
              </w:rPr>
            </w:pPr>
          </w:p>
        </w:tc>
      </w:tr>
      <w:tr w14:paraId="2A0E1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9623" w:type="dxa"/>
            <w:gridSpan w:val="16"/>
            <w:vAlign w:val="top"/>
          </w:tcPr>
          <w:p w14:paraId="65903065">
            <w:pPr>
              <w:pStyle w:val="88"/>
              <w:spacing w:before="251" w:line="220" w:lineRule="auto"/>
              <w:ind w:left="3664"/>
              <w:rPr>
                <w:color w:val="auto"/>
                <w:highlight w:val="none"/>
              </w:rPr>
            </w:pPr>
            <w:r>
              <w:rPr>
                <w:color w:val="auto"/>
                <w:spacing w:val="-1"/>
                <w:highlight w:val="none"/>
              </w:rPr>
              <w:t>在建和已完工程项目情况</w:t>
            </w:r>
          </w:p>
        </w:tc>
      </w:tr>
      <w:tr w14:paraId="4AB66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633" w:type="dxa"/>
            <w:gridSpan w:val="3"/>
            <w:vAlign w:val="top"/>
          </w:tcPr>
          <w:p w14:paraId="5C9F5820">
            <w:pPr>
              <w:rPr>
                <w:rFonts w:ascii="Arial"/>
                <w:color w:val="auto"/>
                <w:sz w:val="21"/>
                <w:highlight w:val="none"/>
              </w:rPr>
            </w:pPr>
          </w:p>
        </w:tc>
        <w:tc>
          <w:tcPr>
            <w:tcW w:w="1548" w:type="dxa"/>
            <w:gridSpan w:val="2"/>
            <w:vAlign w:val="top"/>
          </w:tcPr>
          <w:p w14:paraId="11068621">
            <w:pPr>
              <w:pStyle w:val="88"/>
              <w:spacing w:before="242" w:line="221" w:lineRule="auto"/>
              <w:ind w:left="488"/>
              <w:rPr>
                <w:color w:val="auto"/>
                <w:highlight w:val="none"/>
              </w:rPr>
            </w:pPr>
            <w:r>
              <w:rPr>
                <w:color w:val="auto"/>
                <w:spacing w:val="-4"/>
                <w:highlight w:val="none"/>
              </w:rPr>
              <w:t>项目</w:t>
            </w:r>
            <w:r>
              <w:rPr>
                <w:color w:val="auto"/>
                <w:spacing w:val="-27"/>
                <w:highlight w:val="none"/>
              </w:rPr>
              <w:t xml:space="preserve"> </w:t>
            </w:r>
            <w:r>
              <w:rPr>
                <w:color w:val="auto"/>
                <w:spacing w:val="-4"/>
                <w:highlight w:val="none"/>
              </w:rPr>
              <w:t>1</w:t>
            </w:r>
          </w:p>
        </w:tc>
        <w:tc>
          <w:tcPr>
            <w:tcW w:w="1830" w:type="dxa"/>
            <w:gridSpan w:val="3"/>
            <w:vAlign w:val="top"/>
          </w:tcPr>
          <w:p w14:paraId="5680FBA1">
            <w:pPr>
              <w:pStyle w:val="88"/>
              <w:spacing w:before="242" w:line="221" w:lineRule="auto"/>
              <w:ind w:left="632"/>
              <w:rPr>
                <w:color w:val="auto"/>
                <w:highlight w:val="none"/>
              </w:rPr>
            </w:pPr>
            <w:r>
              <w:rPr>
                <w:color w:val="auto"/>
                <w:spacing w:val="-4"/>
                <w:highlight w:val="none"/>
              </w:rPr>
              <w:t>项目</w:t>
            </w:r>
            <w:r>
              <w:rPr>
                <w:color w:val="auto"/>
                <w:spacing w:val="-40"/>
                <w:highlight w:val="none"/>
              </w:rPr>
              <w:t xml:space="preserve"> </w:t>
            </w:r>
            <w:r>
              <w:rPr>
                <w:color w:val="auto"/>
                <w:spacing w:val="-4"/>
                <w:highlight w:val="none"/>
              </w:rPr>
              <w:t>2</w:t>
            </w:r>
          </w:p>
        </w:tc>
        <w:tc>
          <w:tcPr>
            <w:tcW w:w="1472" w:type="dxa"/>
            <w:gridSpan w:val="3"/>
            <w:vAlign w:val="top"/>
          </w:tcPr>
          <w:p w14:paraId="2F1841F2">
            <w:pPr>
              <w:pStyle w:val="88"/>
              <w:spacing w:before="242" w:line="221" w:lineRule="auto"/>
              <w:ind w:left="458"/>
              <w:rPr>
                <w:color w:val="auto"/>
                <w:highlight w:val="none"/>
              </w:rPr>
            </w:pPr>
            <w:r>
              <w:rPr>
                <w:color w:val="auto"/>
                <w:spacing w:val="-4"/>
                <w:highlight w:val="none"/>
              </w:rPr>
              <w:t>项目</w:t>
            </w:r>
            <w:r>
              <w:rPr>
                <w:color w:val="auto"/>
                <w:spacing w:val="-38"/>
                <w:highlight w:val="none"/>
              </w:rPr>
              <w:t xml:space="preserve"> </w:t>
            </w:r>
            <w:r>
              <w:rPr>
                <w:color w:val="auto"/>
                <w:spacing w:val="-4"/>
                <w:highlight w:val="none"/>
              </w:rPr>
              <w:t>3</w:t>
            </w:r>
          </w:p>
        </w:tc>
        <w:tc>
          <w:tcPr>
            <w:tcW w:w="1635" w:type="dxa"/>
            <w:gridSpan w:val="3"/>
            <w:vAlign w:val="top"/>
          </w:tcPr>
          <w:p w14:paraId="08D24B00">
            <w:pPr>
              <w:pStyle w:val="88"/>
              <w:spacing w:before="242" w:line="221" w:lineRule="auto"/>
              <w:ind w:left="541"/>
              <w:rPr>
                <w:color w:val="auto"/>
                <w:highlight w:val="none"/>
              </w:rPr>
            </w:pPr>
            <w:r>
              <w:rPr>
                <w:color w:val="auto"/>
                <w:spacing w:val="-4"/>
                <w:highlight w:val="none"/>
              </w:rPr>
              <w:t>项目</w:t>
            </w:r>
            <w:r>
              <w:rPr>
                <w:color w:val="auto"/>
                <w:spacing w:val="-44"/>
                <w:highlight w:val="none"/>
              </w:rPr>
              <w:t xml:space="preserve"> </w:t>
            </w:r>
            <w:r>
              <w:rPr>
                <w:color w:val="auto"/>
                <w:spacing w:val="-4"/>
                <w:highlight w:val="none"/>
              </w:rPr>
              <w:t>4</w:t>
            </w:r>
          </w:p>
        </w:tc>
        <w:tc>
          <w:tcPr>
            <w:tcW w:w="1505" w:type="dxa"/>
            <w:gridSpan w:val="2"/>
            <w:vAlign w:val="top"/>
          </w:tcPr>
          <w:p w14:paraId="73C4DC27">
            <w:pPr>
              <w:pStyle w:val="88"/>
              <w:spacing w:before="241" w:line="332" w:lineRule="exact"/>
              <w:ind w:left="557"/>
              <w:rPr>
                <w:color w:val="auto"/>
                <w:highlight w:val="none"/>
              </w:rPr>
            </w:pPr>
            <w:r>
              <w:rPr>
                <w:color w:val="auto"/>
                <w:spacing w:val="-10"/>
                <w:position w:val="2"/>
                <w:highlight w:val="none"/>
              </w:rPr>
              <w:t>……</w:t>
            </w:r>
          </w:p>
        </w:tc>
      </w:tr>
      <w:tr w14:paraId="39220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633" w:type="dxa"/>
            <w:gridSpan w:val="3"/>
            <w:vAlign w:val="top"/>
          </w:tcPr>
          <w:p w14:paraId="45A67C54">
            <w:pPr>
              <w:pStyle w:val="88"/>
              <w:spacing w:before="242" w:line="221" w:lineRule="auto"/>
              <w:ind w:left="405"/>
              <w:rPr>
                <w:color w:val="auto"/>
                <w:highlight w:val="none"/>
              </w:rPr>
            </w:pPr>
            <w:r>
              <w:rPr>
                <w:color w:val="auto"/>
                <w:spacing w:val="-3"/>
                <w:highlight w:val="none"/>
              </w:rPr>
              <w:t>项目名称</w:t>
            </w:r>
          </w:p>
        </w:tc>
        <w:tc>
          <w:tcPr>
            <w:tcW w:w="1548" w:type="dxa"/>
            <w:gridSpan w:val="2"/>
            <w:vAlign w:val="top"/>
          </w:tcPr>
          <w:p w14:paraId="40CA3577">
            <w:pPr>
              <w:rPr>
                <w:rFonts w:ascii="Arial"/>
                <w:color w:val="auto"/>
                <w:sz w:val="21"/>
                <w:highlight w:val="none"/>
              </w:rPr>
            </w:pPr>
          </w:p>
        </w:tc>
        <w:tc>
          <w:tcPr>
            <w:tcW w:w="1830" w:type="dxa"/>
            <w:gridSpan w:val="3"/>
            <w:vAlign w:val="top"/>
          </w:tcPr>
          <w:p w14:paraId="27785EC2">
            <w:pPr>
              <w:rPr>
                <w:rFonts w:ascii="Arial"/>
                <w:color w:val="auto"/>
                <w:sz w:val="21"/>
                <w:highlight w:val="none"/>
              </w:rPr>
            </w:pPr>
          </w:p>
        </w:tc>
        <w:tc>
          <w:tcPr>
            <w:tcW w:w="1472" w:type="dxa"/>
            <w:gridSpan w:val="3"/>
            <w:vAlign w:val="top"/>
          </w:tcPr>
          <w:p w14:paraId="3A067135">
            <w:pPr>
              <w:rPr>
                <w:rFonts w:ascii="Arial"/>
                <w:color w:val="auto"/>
                <w:sz w:val="21"/>
                <w:highlight w:val="none"/>
              </w:rPr>
            </w:pPr>
          </w:p>
        </w:tc>
        <w:tc>
          <w:tcPr>
            <w:tcW w:w="1635" w:type="dxa"/>
            <w:gridSpan w:val="3"/>
            <w:vAlign w:val="top"/>
          </w:tcPr>
          <w:p w14:paraId="179E017F">
            <w:pPr>
              <w:rPr>
                <w:rFonts w:ascii="Arial"/>
                <w:color w:val="auto"/>
                <w:sz w:val="21"/>
                <w:highlight w:val="none"/>
              </w:rPr>
            </w:pPr>
          </w:p>
        </w:tc>
        <w:tc>
          <w:tcPr>
            <w:tcW w:w="1505" w:type="dxa"/>
            <w:gridSpan w:val="2"/>
            <w:tcBorders>
              <w:right w:val="nil"/>
            </w:tcBorders>
            <w:vAlign w:val="top"/>
          </w:tcPr>
          <w:p w14:paraId="574AF195">
            <w:pPr>
              <w:rPr>
                <w:rFonts w:ascii="Arial"/>
                <w:color w:val="auto"/>
                <w:sz w:val="21"/>
                <w:highlight w:val="none"/>
              </w:rPr>
            </w:pPr>
            <w:r>
              <w:rPr>
                <w:color w:val="auto"/>
                <w:highlight w:val="none"/>
              </w:rPr>
              <w:drawing>
                <wp:anchor distT="0" distB="0" distL="0" distR="0" simplePos="0" relativeHeight="251669504" behindDoc="0" locked="0" layoutInCell="1" allowOverlap="1">
                  <wp:simplePos x="0" y="0"/>
                  <wp:positionH relativeFrom="rightMargin">
                    <wp:posOffset>-11430</wp:posOffset>
                  </wp:positionH>
                  <wp:positionV relativeFrom="topMargin">
                    <wp:posOffset>1905</wp:posOffset>
                  </wp:positionV>
                  <wp:extent cx="6350" cy="381000"/>
                  <wp:effectExtent l="0" t="0" r="1270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7"/>
                          <a:stretch>
                            <a:fillRect/>
                          </a:stretch>
                        </pic:blipFill>
                        <pic:spPr>
                          <a:xfrm>
                            <a:off x="0" y="0"/>
                            <a:ext cx="6350" cy="381000"/>
                          </a:xfrm>
                          <a:prstGeom prst="rect">
                            <a:avLst/>
                          </a:prstGeom>
                        </pic:spPr>
                      </pic:pic>
                    </a:graphicData>
                  </a:graphic>
                </wp:anchor>
              </w:drawing>
            </w:r>
          </w:p>
        </w:tc>
      </w:tr>
      <w:tr w14:paraId="7F54C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633" w:type="dxa"/>
            <w:gridSpan w:val="3"/>
            <w:vAlign w:val="top"/>
          </w:tcPr>
          <w:p w14:paraId="784AAA8A">
            <w:pPr>
              <w:pStyle w:val="88"/>
              <w:spacing w:before="214" w:line="221" w:lineRule="auto"/>
              <w:ind w:left="404"/>
              <w:rPr>
                <w:color w:val="auto"/>
                <w:highlight w:val="none"/>
              </w:rPr>
            </w:pPr>
            <w:r>
              <w:rPr>
                <w:color w:val="auto"/>
                <w:spacing w:val="-2"/>
                <w:highlight w:val="none"/>
              </w:rPr>
              <w:t>建设单位</w:t>
            </w:r>
          </w:p>
        </w:tc>
        <w:tc>
          <w:tcPr>
            <w:tcW w:w="1548" w:type="dxa"/>
            <w:gridSpan w:val="2"/>
            <w:vAlign w:val="top"/>
          </w:tcPr>
          <w:p w14:paraId="2AB0F725">
            <w:pPr>
              <w:rPr>
                <w:rFonts w:ascii="Arial"/>
                <w:color w:val="auto"/>
                <w:sz w:val="21"/>
                <w:highlight w:val="none"/>
              </w:rPr>
            </w:pPr>
          </w:p>
        </w:tc>
        <w:tc>
          <w:tcPr>
            <w:tcW w:w="1830" w:type="dxa"/>
            <w:gridSpan w:val="3"/>
            <w:vAlign w:val="top"/>
          </w:tcPr>
          <w:p w14:paraId="41197D6A">
            <w:pPr>
              <w:rPr>
                <w:rFonts w:ascii="Arial"/>
                <w:color w:val="auto"/>
                <w:sz w:val="21"/>
                <w:highlight w:val="none"/>
              </w:rPr>
            </w:pPr>
          </w:p>
        </w:tc>
        <w:tc>
          <w:tcPr>
            <w:tcW w:w="1472" w:type="dxa"/>
            <w:gridSpan w:val="3"/>
            <w:vAlign w:val="top"/>
          </w:tcPr>
          <w:p w14:paraId="2206FBA6">
            <w:pPr>
              <w:rPr>
                <w:rFonts w:ascii="Arial"/>
                <w:color w:val="auto"/>
                <w:sz w:val="21"/>
                <w:highlight w:val="none"/>
              </w:rPr>
            </w:pPr>
          </w:p>
        </w:tc>
        <w:tc>
          <w:tcPr>
            <w:tcW w:w="1635" w:type="dxa"/>
            <w:gridSpan w:val="3"/>
            <w:vAlign w:val="top"/>
          </w:tcPr>
          <w:p w14:paraId="0E3837B4">
            <w:pPr>
              <w:rPr>
                <w:rFonts w:ascii="Arial"/>
                <w:color w:val="auto"/>
                <w:sz w:val="21"/>
                <w:highlight w:val="none"/>
              </w:rPr>
            </w:pPr>
          </w:p>
        </w:tc>
        <w:tc>
          <w:tcPr>
            <w:tcW w:w="1505" w:type="dxa"/>
            <w:gridSpan w:val="2"/>
            <w:tcBorders>
              <w:right w:val="nil"/>
            </w:tcBorders>
            <w:vAlign w:val="top"/>
          </w:tcPr>
          <w:p w14:paraId="1DC2973C">
            <w:pPr>
              <w:rPr>
                <w:rFonts w:ascii="Arial"/>
                <w:color w:val="auto"/>
                <w:sz w:val="21"/>
                <w:highlight w:val="none"/>
              </w:rPr>
            </w:pPr>
            <w:r>
              <w:rPr>
                <w:color w:val="auto"/>
                <w:highlight w:val="none"/>
              </w:rPr>
              <w:drawing>
                <wp:anchor distT="0" distB="0" distL="0" distR="0" simplePos="0" relativeHeight="251676672" behindDoc="0" locked="0" layoutInCell="1" allowOverlap="1">
                  <wp:simplePos x="0" y="0"/>
                  <wp:positionH relativeFrom="rightMargin">
                    <wp:posOffset>-11430</wp:posOffset>
                  </wp:positionH>
                  <wp:positionV relativeFrom="topMargin">
                    <wp:posOffset>2540</wp:posOffset>
                  </wp:positionV>
                  <wp:extent cx="6350" cy="344170"/>
                  <wp:effectExtent l="0" t="0" r="12700" b="1778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
                          <a:stretch>
                            <a:fillRect/>
                          </a:stretch>
                        </pic:blipFill>
                        <pic:spPr>
                          <a:xfrm>
                            <a:off x="0" y="0"/>
                            <a:ext cx="6350" cy="344423"/>
                          </a:xfrm>
                          <a:prstGeom prst="rect">
                            <a:avLst/>
                          </a:prstGeom>
                        </pic:spPr>
                      </pic:pic>
                    </a:graphicData>
                  </a:graphic>
                </wp:anchor>
              </w:drawing>
            </w:r>
          </w:p>
        </w:tc>
      </w:tr>
      <w:tr w14:paraId="45D8C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633" w:type="dxa"/>
            <w:gridSpan w:val="3"/>
            <w:vAlign w:val="top"/>
          </w:tcPr>
          <w:p w14:paraId="2240760E">
            <w:pPr>
              <w:pStyle w:val="88"/>
              <w:spacing w:before="212" w:line="220" w:lineRule="auto"/>
              <w:ind w:left="404"/>
              <w:rPr>
                <w:color w:val="auto"/>
                <w:highlight w:val="none"/>
              </w:rPr>
            </w:pPr>
            <w:r>
              <w:rPr>
                <w:color w:val="auto"/>
                <w:spacing w:val="-2"/>
                <w:highlight w:val="none"/>
              </w:rPr>
              <w:t>建设规模</w:t>
            </w:r>
          </w:p>
        </w:tc>
        <w:tc>
          <w:tcPr>
            <w:tcW w:w="1548" w:type="dxa"/>
            <w:gridSpan w:val="2"/>
            <w:vAlign w:val="top"/>
          </w:tcPr>
          <w:p w14:paraId="749B1215">
            <w:pPr>
              <w:rPr>
                <w:rFonts w:ascii="Arial"/>
                <w:color w:val="auto"/>
                <w:sz w:val="21"/>
                <w:highlight w:val="none"/>
              </w:rPr>
            </w:pPr>
          </w:p>
        </w:tc>
        <w:tc>
          <w:tcPr>
            <w:tcW w:w="1830" w:type="dxa"/>
            <w:gridSpan w:val="3"/>
            <w:vAlign w:val="top"/>
          </w:tcPr>
          <w:p w14:paraId="45927793">
            <w:pPr>
              <w:rPr>
                <w:rFonts w:ascii="Arial"/>
                <w:color w:val="auto"/>
                <w:sz w:val="21"/>
                <w:highlight w:val="none"/>
              </w:rPr>
            </w:pPr>
          </w:p>
        </w:tc>
        <w:tc>
          <w:tcPr>
            <w:tcW w:w="1472" w:type="dxa"/>
            <w:gridSpan w:val="3"/>
            <w:vAlign w:val="top"/>
          </w:tcPr>
          <w:p w14:paraId="4E8A81CA">
            <w:pPr>
              <w:rPr>
                <w:rFonts w:ascii="Arial"/>
                <w:color w:val="auto"/>
                <w:sz w:val="21"/>
                <w:highlight w:val="none"/>
              </w:rPr>
            </w:pPr>
          </w:p>
        </w:tc>
        <w:tc>
          <w:tcPr>
            <w:tcW w:w="1635" w:type="dxa"/>
            <w:gridSpan w:val="3"/>
            <w:vAlign w:val="top"/>
          </w:tcPr>
          <w:p w14:paraId="6E47AFA3">
            <w:pPr>
              <w:rPr>
                <w:rFonts w:ascii="Arial"/>
                <w:color w:val="auto"/>
                <w:sz w:val="21"/>
                <w:highlight w:val="none"/>
              </w:rPr>
            </w:pPr>
          </w:p>
        </w:tc>
        <w:tc>
          <w:tcPr>
            <w:tcW w:w="1505" w:type="dxa"/>
            <w:gridSpan w:val="2"/>
            <w:tcBorders>
              <w:right w:val="nil"/>
            </w:tcBorders>
            <w:vAlign w:val="top"/>
          </w:tcPr>
          <w:p w14:paraId="48FC6CCE">
            <w:pPr>
              <w:rPr>
                <w:rFonts w:ascii="Arial"/>
                <w:color w:val="auto"/>
                <w:sz w:val="21"/>
                <w:highlight w:val="none"/>
              </w:rPr>
            </w:pPr>
            <w:r>
              <w:rPr>
                <w:color w:val="auto"/>
                <w:highlight w:val="none"/>
              </w:rPr>
              <w:drawing>
                <wp:anchor distT="0" distB="0" distL="0" distR="0" simplePos="0" relativeHeight="251677696" behindDoc="0" locked="0" layoutInCell="1" allowOverlap="1">
                  <wp:simplePos x="0" y="0"/>
                  <wp:positionH relativeFrom="rightMargin">
                    <wp:posOffset>-11430</wp:posOffset>
                  </wp:positionH>
                  <wp:positionV relativeFrom="topMargin">
                    <wp:posOffset>2540</wp:posOffset>
                  </wp:positionV>
                  <wp:extent cx="6350" cy="342900"/>
                  <wp:effectExtent l="0" t="0" r="1270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8"/>
                          <a:stretch>
                            <a:fillRect/>
                          </a:stretch>
                        </pic:blipFill>
                        <pic:spPr>
                          <a:xfrm>
                            <a:off x="0" y="0"/>
                            <a:ext cx="6350" cy="342900"/>
                          </a:xfrm>
                          <a:prstGeom prst="rect">
                            <a:avLst/>
                          </a:prstGeom>
                        </pic:spPr>
                      </pic:pic>
                    </a:graphicData>
                  </a:graphic>
                </wp:anchor>
              </w:drawing>
            </w:r>
          </w:p>
        </w:tc>
      </w:tr>
      <w:tr w14:paraId="16034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633" w:type="dxa"/>
            <w:gridSpan w:val="3"/>
            <w:vAlign w:val="top"/>
          </w:tcPr>
          <w:p w14:paraId="4B3C89E2">
            <w:pPr>
              <w:pStyle w:val="88"/>
              <w:spacing w:before="215" w:line="221" w:lineRule="auto"/>
              <w:ind w:left="402"/>
              <w:rPr>
                <w:color w:val="auto"/>
                <w:highlight w:val="none"/>
              </w:rPr>
            </w:pPr>
            <w:r>
              <w:rPr>
                <w:color w:val="auto"/>
                <w:spacing w:val="-2"/>
                <w:highlight w:val="none"/>
              </w:rPr>
              <w:t>开工日期</w:t>
            </w:r>
          </w:p>
        </w:tc>
        <w:tc>
          <w:tcPr>
            <w:tcW w:w="1548" w:type="dxa"/>
            <w:gridSpan w:val="2"/>
            <w:vAlign w:val="top"/>
          </w:tcPr>
          <w:p w14:paraId="0E749671">
            <w:pPr>
              <w:rPr>
                <w:rFonts w:ascii="Arial"/>
                <w:color w:val="auto"/>
                <w:sz w:val="21"/>
                <w:highlight w:val="none"/>
              </w:rPr>
            </w:pPr>
          </w:p>
        </w:tc>
        <w:tc>
          <w:tcPr>
            <w:tcW w:w="1830" w:type="dxa"/>
            <w:gridSpan w:val="3"/>
            <w:vAlign w:val="top"/>
          </w:tcPr>
          <w:p w14:paraId="3370B924">
            <w:pPr>
              <w:rPr>
                <w:rFonts w:ascii="Arial"/>
                <w:color w:val="auto"/>
                <w:sz w:val="21"/>
                <w:highlight w:val="none"/>
              </w:rPr>
            </w:pPr>
          </w:p>
        </w:tc>
        <w:tc>
          <w:tcPr>
            <w:tcW w:w="1472" w:type="dxa"/>
            <w:gridSpan w:val="3"/>
            <w:vAlign w:val="top"/>
          </w:tcPr>
          <w:p w14:paraId="7F91EF92">
            <w:pPr>
              <w:rPr>
                <w:rFonts w:ascii="Arial"/>
                <w:color w:val="auto"/>
                <w:sz w:val="21"/>
                <w:highlight w:val="none"/>
              </w:rPr>
            </w:pPr>
          </w:p>
        </w:tc>
        <w:tc>
          <w:tcPr>
            <w:tcW w:w="1635" w:type="dxa"/>
            <w:gridSpan w:val="3"/>
            <w:vAlign w:val="top"/>
          </w:tcPr>
          <w:p w14:paraId="37F95591">
            <w:pPr>
              <w:rPr>
                <w:rFonts w:ascii="Arial"/>
                <w:color w:val="auto"/>
                <w:sz w:val="21"/>
                <w:highlight w:val="none"/>
              </w:rPr>
            </w:pPr>
          </w:p>
        </w:tc>
        <w:tc>
          <w:tcPr>
            <w:tcW w:w="1505" w:type="dxa"/>
            <w:gridSpan w:val="2"/>
            <w:tcBorders>
              <w:right w:val="nil"/>
            </w:tcBorders>
            <w:vAlign w:val="top"/>
          </w:tcPr>
          <w:p w14:paraId="728DF1E4">
            <w:pPr>
              <w:rPr>
                <w:rFonts w:ascii="Arial"/>
                <w:color w:val="auto"/>
                <w:sz w:val="21"/>
                <w:highlight w:val="none"/>
              </w:rPr>
            </w:pPr>
            <w:r>
              <w:rPr>
                <w:color w:val="auto"/>
                <w:highlight w:val="none"/>
              </w:rPr>
              <w:drawing>
                <wp:anchor distT="0" distB="0" distL="0" distR="0" simplePos="0" relativeHeight="251674624" behindDoc="0" locked="0" layoutInCell="1" allowOverlap="1">
                  <wp:simplePos x="0" y="0"/>
                  <wp:positionH relativeFrom="rightMargin">
                    <wp:posOffset>-11430</wp:posOffset>
                  </wp:positionH>
                  <wp:positionV relativeFrom="topMargin">
                    <wp:posOffset>3175</wp:posOffset>
                  </wp:positionV>
                  <wp:extent cx="6350" cy="344170"/>
                  <wp:effectExtent l="0" t="0" r="12700" b="1778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8"/>
                          <a:stretch>
                            <a:fillRect/>
                          </a:stretch>
                        </pic:blipFill>
                        <pic:spPr>
                          <a:xfrm>
                            <a:off x="0" y="0"/>
                            <a:ext cx="6350" cy="344423"/>
                          </a:xfrm>
                          <a:prstGeom prst="rect">
                            <a:avLst/>
                          </a:prstGeom>
                        </pic:spPr>
                      </pic:pic>
                    </a:graphicData>
                  </a:graphic>
                </wp:anchor>
              </w:drawing>
            </w:r>
          </w:p>
        </w:tc>
      </w:tr>
      <w:tr w14:paraId="3B26C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633" w:type="dxa"/>
            <w:gridSpan w:val="3"/>
            <w:vAlign w:val="top"/>
          </w:tcPr>
          <w:p w14:paraId="09401869">
            <w:pPr>
              <w:pStyle w:val="88"/>
              <w:spacing w:before="215" w:line="220" w:lineRule="auto"/>
              <w:ind w:left="402"/>
              <w:rPr>
                <w:color w:val="auto"/>
                <w:highlight w:val="none"/>
              </w:rPr>
            </w:pPr>
            <w:r>
              <w:rPr>
                <w:color w:val="auto"/>
                <w:spacing w:val="-2"/>
                <w:highlight w:val="none"/>
              </w:rPr>
              <w:t>竣工日期</w:t>
            </w:r>
          </w:p>
        </w:tc>
        <w:tc>
          <w:tcPr>
            <w:tcW w:w="1548" w:type="dxa"/>
            <w:gridSpan w:val="2"/>
            <w:vAlign w:val="top"/>
          </w:tcPr>
          <w:p w14:paraId="63648FEC">
            <w:pPr>
              <w:rPr>
                <w:rFonts w:ascii="Arial"/>
                <w:color w:val="auto"/>
                <w:sz w:val="21"/>
                <w:highlight w:val="none"/>
              </w:rPr>
            </w:pPr>
          </w:p>
        </w:tc>
        <w:tc>
          <w:tcPr>
            <w:tcW w:w="1830" w:type="dxa"/>
            <w:gridSpan w:val="3"/>
            <w:vAlign w:val="top"/>
          </w:tcPr>
          <w:p w14:paraId="786B4B70">
            <w:pPr>
              <w:rPr>
                <w:rFonts w:ascii="Arial"/>
                <w:color w:val="auto"/>
                <w:sz w:val="21"/>
                <w:highlight w:val="none"/>
              </w:rPr>
            </w:pPr>
          </w:p>
        </w:tc>
        <w:tc>
          <w:tcPr>
            <w:tcW w:w="1472" w:type="dxa"/>
            <w:gridSpan w:val="3"/>
            <w:vAlign w:val="top"/>
          </w:tcPr>
          <w:p w14:paraId="0E4576B4">
            <w:pPr>
              <w:rPr>
                <w:rFonts w:ascii="Arial"/>
                <w:color w:val="auto"/>
                <w:sz w:val="21"/>
                <w:highlight w:val="none"/>
              </w:rPr>
            </w:pPr>
          </w:p>
        </w:tc>
        <w:tc>
          <w:tcPr>
            <w:tcW w:w="1635" w:type="dxa"/>
            <w:gridSpan w:val="3"/>
            <w:vAlign w:val="top"/>
          </w:tcPr>
          <w:p w14:paraId="07B6F5DD">
            <w:pPr>
              <w:rPr>
                <w:rFonts w:ascii="Arial"/>
                <w:color w:val="auto"/>
                <w:sz w:val="21"/>
                <w:highlight w:val="none"/>
              </w:rPr>
            </w:pPr>
          </w:p>
        </w:tc>
        <w:tc>
          <w:tcPr>
            <w:tcW w:w="1505" w:type="dxa"/>
            <w:gridSpan w:val="2"/>
            <w:tcBorders>
              <w:right w:val="nil"/>
            </w:tcBorders>
            <w:vAlign w:val="top"/>
          </w:tcPr>
          <w:p w14:paraId="2AAE40B3">
            <w:pPr>
              <w:rPr>
                <w:rFonts w:ascii="Arial"/>
                <w:color w:val="auto"/>
                <w:sz w:val="21"/>
                <w:highlight w:val="none"/>
              </w:rPr>
            </w:pPr>
            <w:r>
              <w:rPr>
                <w:color w:val="auto"/>
                <w:highlight w:val="none"/>
              </w:rPr>
              <w:drawing>
                <wp:anchor distT="0" distB="0" distL="0" distR="0" simplePos="0" relativeHeight="251675648" behindDoc="0" locked="0" layoutInCell="1" allowOverlap="1">
                  <wp:simplePos x="0" y="0"/>
                  <wp:positionH relativeFrom="rightMargin">
                    <wp:posOffset>-11430</wp:posOffset>
                  </wp:positionH>
                  <wp:positionV relativeFrom="topMargin">
                    <wp:posOffset>3175</wp:posOffset>
                  </wp:positionV>
                  <wp:extent cx="6350" cy="344170"/>
                  <wp:effectExtent l="0" t="0" r="12700" b="1778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9"/>
                          <a:stretch>
                            <a:fillRect/>
                          </a:stretch>
                        </pic:blipFill>
                        <pic:spPr>
                          <a:xfrm>
                            <a:off x="0" y="0"/>
                            <a:ext cx="6350" cy="344423"/>
                          </a:xfrm>
                          <a:prstGeom prst="rect">
                            <a:avLst/>
                          </a:prstGeom>
                        </pic:spPr>
                      </pic:pic>
                    </a:graphicData>
                  </a:graphic>
                </wp:anchor>
              </w:drawing>
            </w:r>
          </w:p>
        </w:tc>
      </w:tr>
      <w:tr w14:paraId="6DBD4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3" w:type="dxa"/>
            <w:gridSpan w:val="3"/>
            <w:vAlign w:val="top"/>
          </w:tcPr>
          <w:p w14:paraId="3BBDB3DC">
            <w:pPr>
              <w:pStyle w:val="88"/>
              <w:spacing w:before="216" w:line="220" w:lineRule="auto"/>
              <w:ind w:left="403"/>
              <w:rPr>
                <w:color w:val="auto"/>
                <w:highlight w:val="none"/>
              </w:rPr>
            </w:pPr>
            <w:r>
              <w:rPr>
                <w:color w:val="auto"/>
                <w:spacing w:val="-2"/>
                <w:highlight w:val="none"/>
              </w:rPr>
              <w:t>人员角色</w:t>
            </w:r>
          </w:p>
        </w:tc>
        <w:tc>
          <w:tcPr>
            <w:tcW w:w="1548" w:type="dxa"/>
            <w:gridSpan w:val="2"/>
            <w:vAlign w:val="top"/>
          </w:tcPr>
          <w:p w14:paraId="4F53FA49">
            <w:pPr>
              <w:rPr>
                <w:rFonts w:ascii="Arial"/>
                <w:color w:val="auto"/>
                <w:sz w:val="21"/>
                <w:highlight w:val="none"/>
              </w:rPr>
            </w:pPr>
          </w:p>
        </w:tc>
        <w:tc>
          <w:tcPr>
            <w:tcW w:w="1830" w:type="dxa"/>
            <w:gridSpan w:val="3"/>
            <w:vAlign w:val="top"/>
          </w:tcPr>
          <w:p w14:paraId="2DC88071">
            <w:pPr>
              <w:rPr>
                <w:rFonts w:ascii="Arial"/>
                <w:color w:val="auto"/>
                <w:sz w:val="21"/>
                <w:highlight w:val="none"/>
              </w:rPr>
            </w:pPr>
          </w:p>
        </w:tc>
        <w:tc>
          <w:tcPr>
            <w:tcW w:w="1472" w:type="dxa"/>
            <w:gridSpan w:val="3"/>
            <w:vAlign w:val="top"/>
          </w:tcPr>
          <w:p w14:paraId="17B5C9D8">
            <w:pPr>
              <w:rPr>
                <w:rFonts w:ascii="Arial"/>
                <w:color w:val="auto"/>
                <w:sz w:val="21"/>
                <w:highlight w:val="none"/>
              </w:rPr>
            </w:pPr>
          </w:p>
        </w:tc>
        <w:tc>
          <w:tcPr>
            <w:tcW w:w="1635" w:type="dxa"/>
            <w:gridSpan w:val="3"/>
            <w:vAlign w:val="top"/>
          </w:tcPr>
          <w:p w14:paraId="0A6DD0FE">
            <w:pPr>
              <w:rPr>
                <w:rFonts w:ascii="Arial"/>
                <w:color w:val="auto"/>
                <w:sz w:val="21"/>
                <w:highlight w:val="none"/>
              </w:rPr>
            </w:pPr>
          </w:p>
        </w:tc>
        <w:tc>
          <w:tcPr>
            <w:tcW w:w="1505" w:type="dxa"/>
            <w:gridSpan w:val="2"/>
            <w:tcBorders>
              <w:right w:val="nil"/>
            </w:tcBorders>
            <w:vAlign w:val="top"/>
          </w:tcPr>
          <w:p w14:paraId="5AD761FB">
            <w:pPr>
              <w:rPr>
                <w:rFonts w:ascii="Arial"/>
                <w:color w:val="auto"/>
                <w:sz w:val="21"/>
                <w:highlight w:val="none"/>
              </w:rPr>
            </w:pPr>
            <w:r>
              <w:rPr>
                <w:color w:val="auto"/>
                <w:highlight w:val="none"/>
              </w:rPr>
              <w:drawing>
                <wp:anchor distT="0" distB="0" distL="0" distR="0" simplePos="0" relativeHeight="251672576"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9"/>
                          <a:stretch>
                            <a:fillRect/>
                          </a:stretch>
                        </pic:blipFill>
                        <pic:spPr>
                          <a:xfrm>
                            <a:off x="0" y="0"/>
                            <a:ext cx="6350" cy="348995"/>
                          </a:xfrm>
                          <a:prstGeom prst="rect">
                            <a:avLst/>
                          </a:prstGeom>
                        </pic:spPr>
                      </pic:pic>
                    </a:graphicData>
                  </a:graphic>
                </wp:anchor>
              </w:drawing>
            </w:r>
          </w:p>
        </w:tc>
      </w:tr>
      <w:tr w14:paraId="42AB9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633" w:type="dxa"/>
            <w:gridSpan w:val="3"/>
            <w:vAlign w:val="top"/>
          </w:tcPr>
          <w:p w14:paraId="679924EC">
            <w:pPr>
              <w:pStyle w:val="88"/>
              <w:spacing w:before="217" w:line="220" w:lineRule="auto"/>
              <w:ind w:left="295"/>
              <w:rPr>
                <w:color w:val="auto"/>
                <w:highlight w:val="none"/>
              </w:rPr>
            </w:pPr>
            <w:r>
              <w:rPr>
                <w:color w:val="auto"/>
                <w:spacing w:val="-1"/>
                <w:highlight w:val="none"/>
              </w:rPr>
              <w:t>在建或已完</w:t>
            </w:r>
          </w:p>
        </w:tc>
        <w:tc>
          <w:tcPr>
            <w:tcW w:w="1548" w:type="dxa"/>
            <w:gridSpan w:val="2"/>
            <w:vAlign w:val="top"/>
          </w:tcPr>
          <w:p w14:paraId="4C648907">
            <w:pPr>
              <w:rPr>
                <w:rFonts w:ascii="Arial"/>
                <w:color w:val="auto"/>
                <w:sz w:val="21"/>
                <w:highlight w:val="none"/>
              </w:rPr>
            </w:pPr>
          </w:p>
        </w:tc>
        <w:tc>
          <w:tcPr>
            <w:tcW w:w="1830" w:type="dxa"/>
            <w:gridSpan w:val="3"/>
            <w:vAlign w:val="top"/>
          </w:tcPr>
          <w:p w14:paraId="052638A1">
            <w:pPr>
              <w:rPr>
                <w:rFonts w:ascii="Arial"/>
                <w:color w:val="auto"/>
                <w:sz w:val="21"/>
                <w:highlight w:val="none"/>
              </w:rPr>
            </w:pPr>
          </w:p>
        </w:tc>
        <w:tc>
          <w:tcPr>
            <w:tcW w:w="1472" w:type="dxa"/>
            <w:gridSpan w:val="3"/>
            <w:vAlign w:val="top"/>
          </w:tcPr>
          <w:p w14:paraId="78EE3637">
            <w:pPr>
              <w:rPr>
                <w:rFonts w:ascii="Arial"/>
                <w:color w:val="auto"/>
                <w:sz w:val="21"/>
                <w:highlight w:val="none"/>
              </w:rPr>
            </w:pPr>
          </w:p>
        </w:tc>
        <w:tc>
          <w:tcPr>
            <w:tcW w:w="1635" w:type="dxa"/>
            <w:gridSpan w:val="3"/>
            <w:vAlign w:val="top"/>
          </w:tcPr>
          <w:p w14:paraId="231A67F0">
            <w:pPr>
              <w:rPr>
                <w:rFonts w:ascii="Arial"/>
                <w:color w:val="auto"/>
                <w:sz w:val="21"/>
                <w:highlight w:val="none"/>
              </w:rPr>
            </w:pPr>
          </w:p>
        </w:tc>
        <w:tc>
          <w:tcPr>
            <w:tcW w:w="1505" w:type="dxa"/>
            <w:gridSpan w:val="2"/>
            <w:tcBorders>
              <w:right w:val="nil"/>
            </w:tcBorders>
            <w:vAlign w:val="top"/>
          </w:tcPr>
          <w:p w14:paraId="4C36CA55">
            <w:pPr>
              <w:rPr>
                <w:rFonts w:ascii="Arial"/>
                <w:color w:val="auto"/>
                <w:sz w:val="21"/>
                <w:highlight w:val="none"/>
              </w:rPr>
            </w:pPr>
            <w:r>
              <w:rPr>
                <w:color w:val="auto"/>
                <w:highlight w:val="none"/>
              </w:rPr>
              <w:drawing>
                <wp:anchor distT="0" distB="0" distL="0" distR="0" simplePos="0" relativeHeight="251673600" behindDoc="0" locked="0" layoutInCell="1" allowOverlap="1">
                  <wp:simplePos x="0" y="0"/>
                  <wp:positionH relativeFrom="rightMargin">
                    <wp:posOffset>-11430</wp:posOffset>
                  </wp:positionH>
                  <wp:positionV relativeFrom="topMargin">
                    <wp:posOffset>3175</wp:posOffset>
                  </wp:positionV>
                  <wp:extent cx="6350" cy="347345"/>
                  <wp:effectExtent l="0" t="0" r="12700" b="14605"/>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8"/>
                          <a:stretch>
                            <a:fillRect/>
                          </a:stretch>
                        </pic:blipFill>
                        <pic:spPr>
                          <a:xfrm>
                            <a:off x="0" y="0"/>
                            <a:ext cx="6350" cy="347472"/>
                          </a:xfrm>
                          <a:prstGeom prst="rect">
                            <a:avLst/>
                          </a:prstGeom>
                        </pic:spPr>
                      </pic:pic>
                    </a:graphicData>
                  </a:graphic>
                </wp:anchor>
              </w:drawing>
            </w:r>
          </w:p>
        </w:tc>
      </w:tr>
      <w:tr w14:paraId="7C2FB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3" w:type="dxa"/>
            <w:gridSpan w:val="3"/>
            <w:vAlign w:val="top"/>
          </w:tcPr>
          <w:p w14:paraId="2BF0BC5D">
            <w:pPr>
              <w:pStyle w:val="88"/>
              <w:spacing w:before="219" w:line="221" w:lineRule="auto"/>
              <w:ind w:left="404"/>
              <w:rPr>
                <w:color w:val="auto"/>
                <w:highlight w:val="none"/>
              </w:rPr>
            </w:pPr>
            <w:r>
              <w:rPr>
                <w:color w:val="auto"/>
                <w:spacing w:val="-2"/>
                <w:highlight w:val="none"/>
              </w:rPr>
              <w:t>工程质量</w:t>
            </w:r>
          </w:p>
        </w:tc>
        <w:tc>
          <w:tcPr>
            <w:tcW w:w="1548" w:type="dxa"/>
            <w:gridSpan w:val="2"/>
            <w:vAlign w:val="top"/>
          </w:tcPr>
          <w:p w14:paraId="7E0BA39E">
            <w:pPr>
              <w:rPr>
                <w:rFonts w:ascii="Arial"/>
                <w:color w:val="auto"/>
                <w:sz w:val="21"/>
                <w:highlight w:val="none"/>
              </w:rPr>
            </w:pPr>
          </w:p>
        </w:tc>
        <w:tc>
          <w:tcPr>
            <w:tcW w:w="1830" w:type="dxa"/>
            <w:gridSpan w:val="3"/>
            <w:vAlign w:val="top"/>
          </w:tcPr>
          <w:p w14:paraId="71DAC077">
            <w:pPr>
              <w:rPr>
                <w:rFonts w:ascii="Arial"/>
                <w:color w:val="auto"/>
                <w:sz w:val="21"/>
                <w:highlight w:val="none"/>
              </w:rPr>
            </w:pPr>
          </w:p>
        </w:tc>
        <w:tc>
          <w:tcPr>
            <w:tcW w:w="1472" w:type="dxa"/>
            <w:gridSpan w:val="3"/>
            <w:vAlign w:val="top"/>
          </w:tcPr>
          <w:p w14:paraId="12199A5A">
            <w:pPr>
              <w:rPr>
                <w:rFonts w:ascii="Arial"/>
                <w:color w:val="auto"/>
                <w:sz w:val="21"/>
                <w:highlight w:val="none"/>
              </w:rPr>
            </w:pPr>
          </w:p>
        </w:tc>
        <w:tc>
          <w:tcPr>
            <w:tcW w:w="1635" w:type="dxa"/>
            <w:gridSpan w:val="3"/>
            <w:vAlign w:val="top"/>
          </w:tcPr>
          <w:p w14:paraId="02974F6D">
            <w:pPr>
              <w:rPr>
                <w:rFonts w:ascii="Arial"/>
                <w:color w:val="auto"/>
                <w:sz w:val="21"/>
                <w:highlight w:val="none"/>
              </w:rPr>
            </w:pPr>
          </w:p>
        </w:tc>
        <w:tc>
          <w:tcPr>
            <w:tcW w:w="1505" w:type="dxa"/>
            <w:gridSpan w:val="2"/>
            <w:tcBorders>
              <w:right w:val="nil"/>
            </w:tcBorders>
            <w:vAlign w:val="top"/>
          </w:tcPr>
          <w:p w14:paraId="1DF2AF70">
            <w:pPr>
              <w:rPr>
                <w:rFonts w:ascii="Arial"/>
                <w:color w:val="auto"/>
                <w:sz w:val="21"/>
                <w:highlight w:val="none"/>
              </w:rPr>
            </w:pPr>
            <w:r>
              <w:rPr>
                <w:color w:val="auto"/>
                <w:highlight w:val="none"/>
              </w:rPr>
              <w:drawing>
                <wp:anchor distT="0" distB="0" distL="0" distR="0" simplePos="0" relativeHeight="251671552"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8"/>
                          <a:stretch>
                            <a:fillRect/>
                          </a:stretch>
                        </pic:blipFill>
                        <pic:spPr>
                          <a:xfrm>
                            <a:off x="0" y="0"/>
                            <a:ext cx="6350" cy="348995"/>
                          </a:xfrm>
                          <a:prstGeom prst="rect">
                            <a:avLst/>
                          </a:prstGeom>
                        </pic:spPr>
                      </pic:pic>
                    </a:graphicData>
                  </a:graphic>
                </wp:anchor>
              </w:drawing>
            </w:r>
          </w:p>
        </w:tc>
      </w:tr>
      <w:tr w14:paraId="10C10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633" w:type="dxa"/>
            <w:gridSpan w:val="3"/>
            <w:vAlign w:val="top"/>
          </w:tcPr>
          <w:p w14:paraId="5EE2F567">
            <w:pPr>
              <w:pStyle w:val="88"/>
              <w:spacing w:before="220" w:line="221" w:lineRule="auto"/>
              <w:ind w:left="405"/>
              <w:rPr>
                <w:color w:val="auto"/>
                <w:highlight w:val="none"/>
              </w:rPr>
            </w:pPr>
            <w:r>
              <w:rPr>
                <w:color w:val="auto"/>
                <w:spacing w:val="-3"/>
                <w:highlight w:val="none"/>
              </w:rPr>
              <w:t>受奖情况</w:t>
            </w:r>
          </w:p>
        </w:tc>
        <w:tc>
          <w:tcPr>
            <w:tcW w:w="1548" w:type="dxa"/>
            <w:gridSpan w:val="2"/>
            <w:vAlign w:val="top"/>
          </w:tcPr>
          <w:p w14:paraId="11771297">
            <w:pPr>
              <w:rPr>
                <w:rFonts w:ascii="Arial"/>
                <w:color w:val="auto"/>
                <w:sz w:val="21"/>
                <w:highlight w:val="none"/>
              </w:rPr>
            </w:pPr>
          </w:p>
        </w:tc>
        <w:tc>
          <w:tcPr>
            <w:tcW w:w="1830" w:type="dxa"/>
            <w:gridSpan w:val="3"/>
            <w:vAlign w:val="top"/>
          </w:tcPr>
          <w:p w14:paraId="4A159503">
            <w:pPr>
              <w:rPr>
                <w:rFonts w:ascii="Arial"/>
                <w:color w:val="auto"/>
                <w:sz w:val="21"/>
                <w:highlight w:val="none"/>
              </w:rPr>
            </w:pPr>
          </w:p>
        </w:tc>
        <w:tc>
          <w:tcPr>
            <w:tcW w:w="1472" w:type="dxa"/>
            <w:gridSpan w:val="3"/>
            <w:vAlign w:val="top"/>
          </w:tcPr>
          <w:p w14:paraId="5C689AB9">
            <w:pPr>
              <w:rPr>
                <w:rFonts w:ascii="Arial"/>
                <w:color w:val="auto"/>
                <w:sz w:val="21"/>
                <w:highlight w:val="none"/>
              </w:rPr>
            </w:pPr>
          </w:p>
        </w:tc>
        <w:tc>
          <w:tcPr>
            <w:tcW w:w="1635" w:type="dxa"/>
            <w:gridSpan w:val="3"/>
            <w:vAlign w:val="top"/>
          </w:tcPr>
          <w:p w14:paraId="6127A164">
            <w:pPr>
              <w:rPr>
                <w:rFonts w:ascii="Arial"/>
                <w:color w:val="auto"/>
                <w:sz w:val="21"/>
                <w:highlight w:val="none"/>
              </w:rPr>
            </w:pPr>
          </w:p>
        </w:tc>
        <w:tc>
          <w:tcPr>
            <w:tcW w:w="1505" w:type="dxa"/>
            <w:gridSpan w:val="2"/>
            <w:tcBorders>
              <w:right w:val="nil"/>
            </w:tcBorders>
            <w:vAlign w:val="top"/>
          </w:tcPr>
          <w:p w14:paraId="294D7CAB">
            <w:pPr>
              <w:rPr>
                <w:rFonts w:ascii="Arial"/>
                <w:color w:val="auto"/>
                <w:sz w:val="21"/>
                <w:highlight w:val="none"/>
              </w:rPr>
            </w:pPr>
            <w:r>
              <w:rPr>
                <w:color w:val="auto"/>
                <w:highlight w:val="none"/>
              </w:rPr>
              <w:drawing>
                <wp:anchor distT="0" distB="0" distL="0" distR="0" simplePos="0" relativeHeight="251670528"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9"/>
                          <a:stretch>
                            <a:fillRect/>
                          </a:stretch>
                        </pic:blipFill>
                        <pic:spPr>
                          <a:xfrm>
                            <a:off x="0" y="0"/>
                            <a:ext cx="6350" cy="348995"/>
                          </a:xfrm>
                          <a:prstGeom prst="rect">
                            <a:avLst/>
                          </a:prstGeom>
                        </pic:spPr>
                      </pic:pic>
                    </a:graphicData>
                  </a:graphic>
                </wp:anchor>
              </w:drawing>
            </w:r>
          </w:p>
        </w:tc>
      </w:tr>
    </w:tbl>
    <w:p w14:paraId="02E7C245">
      <w:pPr>
        <w:pStyle w:val="14"/>
        <w:spacing w:before="29" w:line="222" w:lineRule="auto"/>
        <w:ind w:left="231"/>
        <w:rPr>
          <w:color w:val="auto"/>
          <w:sz w:val="21"/>
          <w:szCs w:val="21"/>
          <w:highlight w:val="none"/>
        </w:rPr>
      </w:pPr>
      <w:r>
        <w:rPr>
          <w:color w:val="auto"/>
          <w:spacing w:val="-3"/>
          <w:sz w:val="21"/>
          <w:szCs w:val="21"/>
          <w:highlight w:val="none"/>
        </w:rPr>
        <w:t>备注：</w:t>
      </w:r>
    </w:p>
    <w:p w14:paraId="52B89D66">
      <w:pPr>
        <w:pStyle w:val="14"/>
        <w:spacing w:before="158" w:line="220" w:lineRule="auto"/>
        <w:ind w:left="664"/>
        <w:rPr>
          <w:color w:val="auto"/>
          <w:sz w:val="21"/>
          <w:szCs w:val="21"/>
          <w:highlight w:val="none"/>
        </w:rPr>
      </w:pPr>
      <w:r>
        <w:rPr>
          <w:color w:val="auto"/>
          <w:spacing w:val="-2"/>
          <w:sz w:val="21"/>
          <w:szCs w:val="21"/>
          <w:highlight w:val="none"/>
        </w:rPr>
        <w:t>1.项目数可以根据需要增加。</w:t>
      </w:r>
    </w:p>
    <w:p w14:paraId="1BBB43A3">
      <w:pPr>
        <w:pStyle w:val="14"/>
        <w:spacing w:before="156" w:line="220" w:lineRule="auto"/>
        <w:ind w:left="651"/>
        <w:rPr>
          <w:color w:val="auto"/>
          <w:sz w:val="21"/>
          <w:szCs w:val="21"/>
          <w:highlight w:val="none"/>
        </w:rPr>
      </w:pPr>
      <w:r>
        <w:rPr>
          <w:color w:val="auto"/>
          <w:sz w:val="21"/>
          <w:szCs w:val="21"/>
          <w:highlight w:val="none"/>
        </w:rPr>
        <w:t>2.本表后附项目技术负责人（项目总工）的学历证、本表所列证书复印件并加盖供</w:t>
      </w:r>
      <w:r>
        <w:rPr>
          <w:color w:val="auto"/>
          <w:spacing w:val="-1"/>
          <w:sz w:val="21"/>
          <w:szCs w:val="21"/>
          <w:highlight w:val="none"/>
        </w:rPr>
        <w:t>应商公章。</w:t>
      </w:r>
    </w:p>
    <w:p w14:paraId="5D3AFB26">
      <w:pPr>
        <w:spacing w:line="220" w:lineRule="auto"/>
        <w:rPr>
          <w:color w:val="auto"/>
          <w:sz w:val="21"/>
          <w:szCs w:val="21"/>
          <w:highlight w:val="none"/>
        </w:rPr>
        <w:sectPr>
          <w:footerReference r:id="rId8" w:type="default"/>
          <w:pgSz w:w="11900" w:h="16840"/>
          <w:pgMar w:top="1327" w:right="1073" w:bottom="848" w:left="1197" w:header="0" w:footer="648" w:gutter="0"/>
          <w:cols w:space="720" w:num="1"/>
        </w:sectPr>
      </w:pPr>
    </w:p>
    <w:p w14:paraId="1B35ACF8">
      <w:pPr>
        <w:pStyle w:val="14"/>
        <w:spacing w:before="64" w:line="223" w:lineRule="auto"/>
        <w:ind w:left="3222"/>
        <w:rPr>
          <w:color w:val="auto"/>
          <w:highlight w:val="none"/>
        </w:rPr>
      </w:pPr>
      <w:r>
        <w:rPr>
          <w:b/>
          <w:bCs/>
          <w:color w:val="auto"/>
          <w:spacing w:val="6"/>
          <w:highlight w:val="none"/>
        </w:rPr>
        <w:t>专职安全生产管理人员</w:t>
      </w:r>
    </w:p>
    <w:tbl>
      <w:tblPr>
        <w:tblStyle w:val="89"/>
        <w:tblW w:w="9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7"/>
        <w:gridCol w:w="77"/>
        <w:gridCol w:w="389"/>
        <w:gridCol w:w="888"/>
        <w:gridCol w:w="660"/>
        <w:gridCol w:w="326"/>
        <w:gridCol w:w="235"/>
        <w:gridCol w:w="1269"/>
        <w:gridCol w:w="126"/>
        <w:gridCol w:w="264"/>
        <w:gridCol w:w="1082"/>
        <w:gridCol w:w="73"/>
        <w:gridCol w:w="430"/>
        <w:gridCol w:w="1132"/>
        <w:gridCol w:w="70"/>
        <w:gridCol w:w="1435"/>
      </w:tblGrid>
      <w:tr w14:paraId="6F941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167" w:type="dxa"/>
            <w:vAlign w:val="top"/>
          </w:tcPr>
          <w:p w14:paraId="3C5B1209">
            <w:pPr>
              <w:pStyle w:val="88"/>
              <w:spacing w:before="243" w:line="220" w:lineRule="auto"/>
              <w:ind w:left="382"/>
              <w:rPr>
                <w:color w:val="auto"/>
                <w:highlight w:val="none"/>
              </w:rPr>
            </w:pPr>
            <w:r>
              <w:rPr>
                <w:color w:val="auto"/>
                <w:spacing w:val="-3"/>
                <w:highlight w:val="none"/>
              </w:rPr>
              <w:t>姓名</w:t>
            </w:r>
          </w:p>
        </w:tc>
        <w:tc>
          <w:tcPr>
            <w:tcW w:w="2340" w:type="dxa"/>
            <w:gridSpan w:val="5"/>
            <w:vAlign w:val="top"/>
          </w:tcPr>
          <w:p w14:paraId="683A2C59">
            <w:pPr>
              <w:rPr>
                <w:rFonts w:ascii="Arial"/>
                <w:color w:val="auto"/>
                <w:sz w:val="21"/>
                <w:highlight w:val="none"/>
              </w:rPr>
            </w:pPr>
          </w:p>
        </w:tc>
        <w:tc>
          <w:tcPr>
            <w:tcW w:w="1894" w:type="dxa"/>
            <w:gridSpan w:val="4"/>
            <w:vAlign w:val="top"/>
          </w:tcPr>
          <w:p w14:paraId="35B20196">
            <w:pPr>
              <w:pStyle w:val="88"/>
              <w:spacing w:before="243" w:line="221" w:lineRule="auto"/>
              <w:ind w:left="741"/>
              <w:rPr>
                <w:color w:val="auto"/>
                <w:highlight w:val="none"/>
              </w:rPr>
            </w:pPr>
            <w:r>
              <w:rPr>
                <w:color w:val="auto"/>
                <w:spacing w:val="-5"/>
                <w:highlight w:val="none"/>
              </w:rPr>
              <w:t>性别</w:t>
            </w:r>
          </w:p>
        </w:tc>
        <w:tc>
          <w:tcPr>
            <w:tcW w:w="1585" w:type="dxa"/>
            <w:gridSpan w:val="3"/>
            <w:vAlign w:val="top"/>
          </w:tcPr>
          <w:p w14:paraId="735E5BB0">
            <w:pPr>
              <w:rPr>
                <w:rFonts w:ascii="Arial"/>
                <w:color w:val="auto"/>
                <w:sz w:val="21"/>
                <w:highlight w:val="none"/>
              </w:rPr>
            </w:pPr>
          </w:p>
        </w:tc>
        <w:tc>
          <w:tcPr>
            <w:tcW w:w="1132" w:type="dxa"/>
            <w:vAlign w:val="top"/>
          </w:tcPr>
          <w:p w14:paraId="4EE9CE91">
            <w:pPr>
              <w:pStyle w:val="88"/>
              <w:spacing w:before="243" w:line="220" w:lineRule="auto"/>
              <w:ind w:left="345"/>
              <w:rPr>
                <w:color w:val="auto"/>
                <w:highlight w:val="none"/>
              </w:rPr>
            </w:pPr>
            <w:r>
              <w:rPr>
                <w:color w:val="auto"/>
                <w:spacing w:val="-4"/>
                <w:highlight w:val="none"/>
              </w:rPr>
              <w:t>年龄</w:t>
            </w:r>
          </w:p>
        </w:tc>
        <w:tc>
          <w:tcPr>
            <w:tcW w:w="1505" w:type="dxa"/>
            <w:gridSpan w:val="2"/>
            <w:vAlign w:val="top"/>
          </w:tcPr>
          <w:p w14:paraId="4B5C664E">
            <w:pPr>
              <w:rPr>
                <w:rFonts w:ascii="Arial"/>
                <w:color w:val="auto"/>
                <w:sz w:val="21"/>
                <w:highlight w:val="none"/>
              </w:rPr>
            </w:pPr>
          </w:p>
        </w:tc>
      </w:tr>
      <w:tr w14:paraId="44C1C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7" w:type="dxa"/>
            <w:vAlign w:val="top"/>
          </w:tcPr>
          <w:p w14:paraId="2FE07824">
            <w:pPr>
              <w:pStyle w:val="88"/>
              <w:spacing w:before="250" w:line="221" w:lineRule="auto"/>
              <w:ind w:left="405"/>
              <w:rPr>
                <w:color w:val="auto"/>
                <w:highlight w:val="none"/>
              </w:rPr>
            </w:pPr>
            <w:r>
              <w:rPr>
                <w:color w:val="auto"/>
                <w:spacing w:val="-15"/>
                <w:highlight w:val="none"/>
              </w:rPr>
              <w:t>岗位</w:t>
            </w:r>
          </w:p>
        </w:tc>
        <w:tc>
          <w:tcPr>
            <w:tcW w:w="2340" w:type="dxa"/>
            <w:gridSpan w:val="5"/>
            <w:vAlign w:val="top"/>
          </w:tcPr>
          <w:p w14:paraId="01547E33">
            <w:pPr>
              <w:pStyle w:val="88"/>
              <w:spacing w:before="251" w:line="220" w:lineRule="auto"/>
              <w:ind w:left="123"/>
              <w:rPr>
                <w:color w:val="auto"/>
                <w:highlight w:val="none"/>
              </w:rPr>
            </w:pPr>
            <w:r>
              <w:rPr>
                <w:color w:val="auto"/>
                <w:spacing w:val="-1"/>
                <w:highlight w:val="none"/>
              </w:rPr>
              <w:t>专职安全生产管理人员</w:t>
            </w:r>
          </w:p>
        </w:tc>
        <w:tc>
          <w:tcPr>
            <w:tcW w:w="1894" w:type="dxa"/>
            <w:gridSpan w:val="4"/>
            <w:vAlign w:val="top"/>
          </w:tcPr>
          <w:p w14:paraId="3265282D">
            <w:pPr>
              <w:pStyle w:val="88"/>
              <w:spacing w:before="250" w:line="223" w:lineRule="auto"/>
              <w:ind w:left="740"/>
              <w:rPr>
                <w:color w:val="auto"/>
                <w:highlight w:val="none"/>
              </w:rPr>
            </w:pPr>
            <w:r>
              <w:rPr>
                <w:color w:val="auto"/>
                <w:spacing w:val="-4"/>
                <w:highlight w:val="none"/>
              </w:rPr>
              <w:t>职称</w:t>
            </w:r>
          </w:p>
        </w:tc>
        <w:tc>
          <w:tcPr>
            <w:tcW w:w="1585" w:type="dxa"/>
            <w:gridSpan w:val="3"/>
            <w:vAlign w:val="top"/>
          </w:tcPr>
          <w:p w14:paraId="7DB4FF17">
            <w:pPr>
              <w:rPr>
                <w:rFonts w:ascii="Arial"/>
                <w:color w:val="auto"/>
                <w:sz w:val="21"/>
                <w:highlight w:val="none"/>
              </w:rPr>
            </w:pPr>
          </w:p>
        </w:tc>
        <w:tc>
          <w:tcPr>
            <w:tcW w:w="1132" w:type="dxa"/>
            <w:vAlign w:val="top"/>
          </w:tcPr>
          <w:p w14:paraId="1E2855E1">
            <w:pPr>
              <w:pStyle w:val="88"/>
              <w:spacing w:before="250" w:line="222" w:lineRule="auto"/>
              <w:ind w:left="348"/>
              <w:rPr>
                <w:color w:val="auto"/>
                <w:highlight w:val="none"/>
              </w:rPr>
            </w:pPr>
            <w:r>
              <w:rPr>
                <w:color w:val="auto"/>
                <w:spacing w:val="-6"/>
                <w:highlight w:val="none"/>
              </w:rPr>
              <w:t>学历</w:t>
            </w:r>
          </w:p>
        </w:tc>
        <w:tc>
          <w:tcPr>
            <w:tcW w:w="1505" w:type="dxa"/>
            <w:gridSpan w:val="2"/>
            <w:vAlign w:val="top"/>
          </w:tcPr>
          <w:p w14:paraId="495A6F71">
            <w:pPr>
              <w:rPr>
                <w:rFonts w:ascii="Arial"/>
                <w:color w:val="auto"/>
                <w:sz w:val="21"/>
                <w:highlight w:val="none"/>
              </w:rPr>
            </w:pPr>
          </w:p>
        </w:tc>
      </w:tr>
      <w:tr w14:paraId="37D2A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167" w:type="dxa"/>
            <w:vAlign w:val="top"/>
          </w:tcPr>
          <w:p w14:paraId="1F1E009D">
            <w:pPr>
              <w:pStyle w:val="88"/>
              <w:spacing w:before="138" w:line="289" w:lineRule="auto"/>
              <w:ind w:left="391" w:right="156" w:hanging="218"/>
              <w:rPr>
                <w:color w:val="auto"/>
                <w:highlight w:val="none"/>
              </w:rPr>
            </w:pPr>
            <w:r>
              <w:rPr>
                <w:color w:val="auto"/>
                <w:spacing w:val="-3"/>
                <w:highlight w:val="none"/>
              </w:rPr>
              <w:t>从业开始</w:t>
            </w:r>
            <w:r>
              <w:rPr>
                <w:color w:val="auto"/>
                <w:spacing w:val="-8"/>
                <w:highlight w:val="none"/>
              </w:rPr>
              <w:t>时间</w:t>
            </w:r>
          </w:p>
        </w:tc>
        <w:tc>
          <w:tcPr>
            <w:tcW w:w="2340" w:type="dxa"/>
            <w:gridSpan w:val="5"/>
            <w:vAlign w:val="top"/>
          </w:tcPr>
          <w:p w14:paraId="770AA45B">
            <w:pPr>
              <w:rPr>
                <w:rFonts w:ascii="Arial"/>
                <w:color w:val="auto"/>
                <w:sz w:val="21"/>
                <w:highlight w:val="none"/>
              </w:rPr>
            </w:pPr>
          </w:p>
        </w:tc>
        <w:tc>
          <w:tcPr>
            <w:tcW w:w="1894" w:type="dxa"/>
            <w:gridSpan w:val="4"/>
            <w:vAlign w:val="top"/>
          </w:tcPr>
          <w:p w14:paraId="340AED36">
            <w:pPr>
              <w:spacing w:line="270" w:lineRule="auto"/>
              <w:rPr>
                <w:rFonts w:ascii="Arial"/>
                <w:color w:val="auto"/>
                <w:sz w:val="21"/>
                <w:highlight w:val="none"/>
              </w:rPr>
            </w:pPr>
          </w:p>
          <w:p w14:paraId="3E2D5D73">
            <w:pPr>
              <w:pStyle w:val="88"/>
              <w:spacing w:before="68" w:line="220" w:lineRule="auto"/>
              <w:ind w:left="320"/>
              <w:rPr>
                <w:color w:val="auto"/>
                <w:highlight w:val="none"/>
              </w:rPr>
            </w:pPr>
            <w:r>
              <w:rPr>
                <w:color w:val="auto"/>
                <w:spacing w:val="-1"/>
                <w:highlight w:val="none"/>
              </w:rPr>
              <w:t>职称获得时间</w:t>
            </w:r>
          </w:p>
        </w:tc>
        <w:tc>
          <w:tcPr>
            <w:tcW w:w="1585" w:type="dxa"/>
            <w:gridSpan w:val="3"/>
            <w:vAlign w:val="top"/>
          </w:tcPr>
          <w:p w14:paraId="636C6DE8">
            <w:pPr>
              <w:rPr>
                <w:rFonts w:ascii="Arial"/>
                <w:color w:val="auto"/>
                <w:sz w:val="21"/>
                <w:highlight w:val="none"/>
              </w:rPr>
            </w:pPr>
          </w:p>
        </w:tc>
        <w:tc>
          <w:tcPr>
            <w:tcW w:w="1132" w:type="dxa"/>
            <w:vAlign w:val="top"/>
          </w:tcPr>
          <w:p w14:paraId="58FDDD79">
            <w:pPr>
              <w:spacing w:line="270" w:lineRule="auto"/>
              <w:rPr>
                <w:rFonts w:ascii="Arial"/>
                <w:color w:val="auto"/>
                <w:sz w:val="21"/>
                <w:highlight w:val="none"/>
              </w:rPr>
            </w:pPr>
          </w:p>
          <w:p w14:paraId="27CCE624">
            <w:pPr>
              <w:pStyle w:val="88"/>
              <w:spacing w:before="68" w:line="220" w:lineRule="auto"/>
              <w:ind w:left="139"/>
              <w:rPr>
                <w:color w:val="auto"/>
                <w:highlight w:val="none"/>
              </w:rPr>
            </w:pPr>
            <w:r>
              <w:rPr>
                <w:color w:val="auto"/>
                <w:spacing w:val="-3"/>
                <w:highlight w:val="none"/>
              </w:rPr>
              <w:t>毕业时间</w:t>
            </w:r>
          </w:p>
        </w:tc>
        <w:tc>
          <w:tcPr>
            <w:tcW w:w="1505" w:type="dxa"/>
            <w:gridSpan w:val="2"/>
            <w:vAlign w:val="top"/>
          </w:tcPr>
          <w:p w14:paraId="2AEE6270">
            <w:pPr>
              <w:rPr>
                <w:rFonts w:ascii="Arial"/>
                <w:color w:val="auto"/>
                <w:sz w:val="21"/>
                <w:highlight w:val="none"/>
              </w:rPr>
            </w:pPr>
          </w:p>
        </w:tc>
      </w:tr>
      <w:tr w14:paraId="205B2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244" w:type="dxa"/>
            <w:gridSpan w:val="2"/>
            <w:vAlign w:val="top"/>
          </w:tcPr>
          <w:p w14:paraId="7901652B">
            <w:pPr>
              <w:pStyle w:val="88"/>
              <w:spacing w:before="137" w:line="288" w:lineRule="auto"/>
              <w:ind w:left="421" w:right="195" w:hanging="211"/>
              <w:rPr>
                <w:color w:val="auto"/>
                <w:highlight w:val="none"/>
              </w:rPr>
            </w:pPr>
            <w:r>
              <w:rPr>
                <w:color w:val="auto"/>
                <w:spacing w:val="-2"/>
                <w:highlight w:val="none"/>
              </w:rPr>
              <w:t>担任……</w:t>
            </w:r>
            <w:r>
              <w:rPr>
                <w:color w:val="auto"/>
                <w:spacing w:val="-4"/>
                <w:highlight w:val="none"/>
              </w:rPr>
              <w:t>年限</w:t>
            </w:r>
          </w:p>
        </w:tc>
        <w:tc>
          <w:tcPr>
            <w:tcW w:w="2498" w:type="dxa"/>
            <w:gridSpan w:val="5"/>
            <w:vAlign w:val="top"/>
          </w:tcPr>
          <w:p w14:paraId="2F9BC915">
            <w:pPr>
              <w:rPr>
                <w:rFonts w:ascii="Arial"/>
                <w:color w:val="auto"/>
                <w:sz w:val="21"/>
                <w:highlight w:val="none"/>
              </w:rPr>
            </w:pPr>
          </w:p>
        </w:tc>
        <w:tc>
          <w:tcPr>
            <w:tcW w:w="1269" w:type="dxa"/>
            <w:vAlign w:val="top"/>
          </w:tcPr>
          <w:p w14:paraId="392F9189">
            <w:pPr>
              <w:pStyle w:val="88"/>
              <w:spacing w:before="137" w:line="288" w:lineRule="auto"/>
              <w:ind w:left="565" w:right="177" w:hanging="307"/>
              <w:rPr>
                <w:color w:val="auto"/>
                <w:highlight w:val="none"/>
              </w:rPr>
            </w:pPr>
            <w:r>
              <w:rPr>
                <w:color w:val="auto"/>
                <w:spacing w:val="-3"/>
                <w:highlight w:val="none"/>
              </w:rPr>
              <w:t>身份证号</w:t>
            </w:r>
            <w:r>
              <w:rPr>
                <w:color w:val="auto"/>
                <w:highlight w:val="none"/>
              </w:rPr>
              <w:t>码</w:t>
            </w:r>
          </w:p>
        </w:tc>
        <w:tc>
          <w:tcPr>
            <w:tcW w:w="4612" w:type="dxa"/>
            <w:gridSpan w:val="8"/>
            <w:vAlign w:val="top"/>
          </w:tcPr>
          <w:p w14:paraId="2538360B">
            <w:pPr>
              <w:rPr>
                <w:rFonts w:ascii="Arial"/>
                <w:color w:val="auto"/>
                <w:sz w:val="21"/>
                <w:highlight w:val="none"/>
              </w:rPr>
            </w:pPr>
          </w:p>
        </w:tc>
      </w:tr>
      <w:tr w14:paraId="5B14D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1244" w:type="dxa"/>
            <w:gridSpan w:val="2"/>
            <w:vAlign w:val="top"/>
          </w:tcPr>
          <w:p w14:paraId="3A78B42F">
            <w:pPr>
              <w:pStyle w:val="88"/>
              <w:spacing w:before="239" w:line="220" w:lineRule="auto"/>
              <w:ind w:left="209"/>
              <w:rPr>
                <w:color w:val="auto"/>
                <w:highlight w:val="none"/>
              </w:rPr>
            </w:pPr>
            <w:r>
              <w:rPr>
                <w:color w:val="auto"/>
                <w:spacing w:val="-2"/>
                <w:highlight w:val="none"/>
              </w:rPr>
              <w:t>证书名称</w:t>
            </w:r>
          </w:p>
        </w:tc>
        <w:tc>
          <w:tcPr>
            <w:tcW w:w="1277" w:type="dxa"/>
            <w:gridSpan w:val="2"/>
            <w:vAlign w:val="top"/>
          </w:tcPr>
          <w:p w14:paraId="2F756F6F">
            <w:pPr>
              <w:pStyle w:val="88"/>
              <w:spacing w:before="240" w:line="221" w:lineRule="auto"/>
              <w:ind w:left="218"/>
              <w:rPr>
                <w:color w:val="auto"/>
                <w:highlight w:val="none"/>
              </w:rPr>
            </w:pPr>
            <w:r>
              <w:rPr>
                <w:color w:val="auto"/>
                <w:spacing w:val="-2"/>
                <w:highlight w:val="none"/>
              </w:rPr>
              <w:t>注册专业</w:t>
            </w:r>
          </w:p>
        </w:tc>
        <w:tc>
          <w:tcPr>
            <w:tcW w:w="1221" w:type="dxa"/>
            <w:gridSpan w:val="3"/>
            <w:vAlign w:val="top"/>
          </w:tcPr>
          <w:p w14:paraId="4F3DBA1E">
            <w:pPr>
              <w:pStyle w:val="88"/>
              <w:spacing w:before="240" w:line="221" w:lineRule="auto"/>
              <w:ind w:left="404"/>
              <w:rPr>
                <w:color w:val="auto"/>
                <w:highlight w:val="none"/>
              </w:rPr>
            </w:pPr>
            <w:r>
              <w:rPr>
                <w:color w:val="auto"/>
                <w:spacing w:val="-5"/>
                <w:highlight w:val="none"/>
              </w:rPr>
              <w:t>级别</w:t>
            </w:r>
          </w:p>
        </w:tc>
        <w:tc>
          <w:tcPr>
            <w:tcW w:w="1395" w:type="dxa"/>
            <w:gridSpan w:val="2"/>
            <w:vAlign w:val="top"/>
          </w:tcPr>
          <w:p w14:paraId="4FF72E3C">
            <w:pPr>
              <w:pStyle w:val="88"/>
              <w:spacing w:before="239" w:line="220" w:lineRule="auto"/>
              <w:ind w:left="288"/>
              <w:rPr>
                <w:color w:val="auto"/>
                <w:highlight w:val="none"/>
              </w:rPr>
            </w:pPr>
            <w:r>
              <w:rPr>
                <w:color w:val="auto"/>
                <w:spacing w:val="-2"/>
                <w:highlight w:val="none"/>
              </w:rPr>
              <w:t>证书编号</w:t>
            </w:r>
          </w:p>
        </w:tc>
        <w:tc>
          <w:tcPr>
            <w:tcW w:w="1419" w:type="dxa"/>
            <w:gridSpan w:val="3"/>
            <w:vAlign w:val="top"/>
          </w:tcPr>
          <w:p w14:paraId="2BDE0595">
            <w:pPr>
              <w:pStyle w:val="88"/>
              <w:spacing w:before="240" w:line="222" w:lineRule="auto"/>
              <w:ind w:left="311"/>
              <w:rPr>
                <w:color w:val="auto"/>
                <w:highlight w:val="none"/>
              </w:rPr>
            </w:pPr>
            <w:r>
              <w:rPr>
                <w:color w:val="auto"/>
                <w:spacing w:val="-2"/>
                <w:highlight w:val="none"/>
              </w:rPr>
              <w:t>注册时间</w:t>
            </w:r>
          </w:p>
        </w:tc>
        <w:tc>
          <w:tcPr>
            <w:tcW w:w="1632" w:type="dxa"/>
            <w:gridSpan w:val="3"/>
            <w:vAlign w:val="top"/>
          </w:tcPr>
          <w:p w14:paraId="2DEDB5A6">
            <w:pPr>
              <w:pStyle w:val="88"/>
              <w:spacing w:before="240" w:line="221" w:lineRule="auto"/>
              <w:ind w:left="419"/>
              <w:rPr>
                <w:color w:val="auto"/>
                <w:highlight w:val="none"/>
              </w:rPr>
            </w:pPr>
            <w:r>
              <w:rPr>
                <w:color w:val="auto"/>
                <w:spacing w:val="-2"/>
                <w:highlight w:val="none"/>
              </w:rPr>
              <w:t>注册单位</w:t>
            </w:r>
          </w:p>
        </w:tc>
        <w:tc>
          <w:tcPr>
            <w:tcW w:w="1435" w:type="dxa"/>
            <w:vAlign w:val="top"/>
          </w:tcPr>
          <w:p w14:paraId="5E8B8120">
            <w:pPr>
              <w:pStyle w:val="88"/>
              <w:spacing w:before="240" w:line="221" w:lineRule="auto"/>
              <w:ind w:left="205"/>
              <w:rPr>
                <w:color w:val="auto"/>
                <w:highlight w:val="none"/>
              </w:rPr>
            </w:pPr>
            <w:r>
              <w:rPr>
                <w:color w:val="auto"/>
                <w:spacing w:val="-1"/>
                <w:highlight w:val="none"/>
              </w:rPr>
              <w:t>注册有效期</w:t>
            </w:r>
          </w:p>
        </w:tc>
      </w:tr>
      <w:tr w14:paraId="676CA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1244" w:type="dxa"/>
            <w:gridSpan w:val="2"/>
            <w:vAlign w:val="top"/>
          </w:tcPr>
          <w:p w14:paraId="10967A25">
            <w:pPr>
              <w:pStyle w:val="88"/>
              <w:spacing w:before="142" w:line="220" w:lineRule="auto"/>
              <w:ind w:left="213"/>
              <w:rPr>
                <w:color w:val="auto"/>
                <w:highlight w:val="none"/>
              </w:rPr>
            </w:pPr>
            <w:r>
              <w:rPr>
                <w:color w:val="auto"/>
                <w:spacing w:val="-3"/>
                <w:highlight w:val="none"/>
              </w:rPr>
              <w:t>安全生产</w:t>
            </w:r>
          </w:p>
          <w:p w14:paraId="52111B76">
            <w:pPr>
              <w:pStyle w:val="88"/>
              <w:spacing w:before="148" w:line="288" w:lineRule="auto"/>
              <w:ind w:left="420" w:right="195" w:hanging="211"/>
              <w:rPr>
                <w:color w:val="auto"/>
                <w:highlight w:val="none"/>
              </w:rPr>
            </w:pPr>
            <w:r>
              <w:rPr>
                <w:color w:val="auto"/>
                <w:spacing w:val="-2"/>
                <w:highlight w:val="none"/>
              </w:rPr>
              <w:t>考核合格</w:t>
            </w:r>
            <w:r>
              <w:rPr>
                <w:color w:val="auto"/>
                <w:spacing w:val="-3"/>
                <w:highlight w:val="none"/>
              </w:rPr>
              <w:t>证书</w:t>
            </w:r>
          </w:p>
        </w:tc>
        <w:tc>
          <w:tcPr>
            <w:tcW w:w="1277" w:type="dxa"/>
            <w:gridSpan w:val="2"/>
            <w:vAlign w:val="top"/>
          </w:tcPr>
          <w:p w14:paraId="2B87EA3D">
            <w:pPr>
              <w:rPr>
                <w:rFonts w:ascii="Arial"/>
                <w:color w:val="auto"/>
                <w:sz w:val="21"/>
                <w:highlight w:val="none"/>
              </w:rPr>
            </w:pPr>
          </w:p>
        </w:tc>
        <w:tc>
          <w:tcPr>
            <w:tcW w:w="1221" w:type="dxa"/>
            <w:gridSpan w:val="3"/>
            <w:vAlign w:val="top"/>
          </w:tcPr>
          <w:p w14:paraId="355E4815">
            <w:pPr>
              <w:spacing w:line="470" w:lineRule="auto"/>
              <w:rPr>
                <w:rFonts w:ascii="Arial"/>
                <w:color w:val="auto"/>
                <w:sz w:val="21"/>
                <w:highlight w:val="none"/>
              </w:rPr>
            </w:pPr>
          </w:p>
          <w:p w14:paraId="58C9D5E6">
            <w:pPr>
              <w:pStyle w:val="88"/>
              <w:spacing w:before="68" w:line="220" w:lineRule="auto"/>
              <w:ind w:left="425"/>
              <w:rPr>
                <w:color w:val="auto"/>
                <w:highlight w:val="none"/>
              </w:rPr>
            </w:pPr>
            <w:r>
              <w:rPr>
                <w:color w:val="auto"/>
                <w:spacing w:val="-4"/>
                <w:highlight w:val="none"/>
              </w:rPr>
              <w:t>C</w:t>
            </w:r>
            <w:r>
              <w:rPr>
                <w:color w:val="auto"/>
                <w:spacing w:val="-43"/>
                <w:highlight w:val="none"/>
              </w:rPr>
              <w:t xml:space="preserve"> </w:t>
            </w:r>
            <w:r>
              <w:rPr>
                <w:color w:val="auto"/>
                <w:spacing w:val="-4"/>
                <w:highlight w:val="none"/>
              </w:rPr>
              <w:t>类</w:t>
            </w:r>
          </w:p>
        </w:tc>
        <w:tc>
          <w:tcPr>
            <w:tcW w:w="1395" w:type="dxa"/>
            <w:gridSpan w:val="2"/>
            <w:vAlign w:val="top"/>
          </w:tcPr>
          <w:p w14:paraId="6A16AF15">
            <w:pPr>
              <w:rPr>
                <w:rFonts w:ascii="Arial"/>
                <w:color w:val="auto"/>
                <w:sz w:val="21"/>
                <w:highlight w:val="none"/>
              </w:rPr>
            </w:pPr>
          </w:p>
        </w:tc>
        <w:tc>
          <w:tcPr>
            <w:tcW w:w="1419" w:type="dxa"/>
            <w:gridSpan w:val="3"/>
            <w:vAlign w:val="top"/>
          </w:tcPr>
          <w:p w14:paraId="2A7FA529">
            <w:pPr>
              <w:rPr>
                <w:rFonts w:ascii="Arial"/>
                <w:color w:val="auto"/>
                <w:sz w:val="21"/>
                <w:highlight w:val="none"/>
              </w:rPr>
            </w:pPr>
          </w:p>
        </w:tc>
        <w:tc>
          <w:tcPr>
            <w:tcW w:w="1632" w:type="dxa"/>
            <w:gridSpan w:val="3"/>
            <w:vAlign w:val="top"/>
          </w:tcPr>
          <w:p w14:paraId="44321029">
            <w:pPr>
              <w:rPr>
                <w:rFonts w:ascii="Arial"/>
                <w:color w:val="auto"/>
                <w:sz w:val="21"/>
                <w:highlight w:val="none"/>
              </w:rPr>
            </w:pPr>
          </w:p>
        </w:tc>
        <w:tc>
          <w:tcPr>
            <w:tcW w:w="1435" w:type="dxa"/>
            <w:vAlign w:val="top"/>
          </w:tcPr>
          <w:p w14:paraId="6E6C829A">
            <w:pPr>
              <w:rPr>
                <w:rFonts w:ascii="Arial"/>
                <w:color w:val="auto"/>
                <w:sz w:val="21"/>
                <w:highlight w:val="none"/>
              </w:rPr>
            </w:pPr>
          </w:p>
        </w:tc>
      </w:tr>
      <w:tr w14:paraId="558F6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244" w:type="dxa"/>
            <w:gridSpan w:val="2"/>
            <w:vAlign w:val="top"/>
          </w:tcPr>
          <w:p w14:paraId="5026C1D2">
            <w:pPr>
              <w:rPr>
                <w:rFonts w:ascii="Arial"/>
                <w:color w:val="auto"/>
                <w:sz w:val="21"/>
                <w:highlight w:val="none"/>
              </w:rPr>
            </w:pPr>
          </w:p>
        </w:tc>
        <w:tc>
          <w:tcPr>
            <w:tcW w:w="1277" w:type="dxa"/>
            <w:gridSpan w:val="2"/>
            <w:vAlign w:val="top"/>
          </w:tcPr>
          <w:p w14:paraId="5AD630C1">
            <w:pPr>
              <w:rPr>
                <w:rFonts w:ascii="Arial"/>
                <w:color w:val="auto"/>
                <w:sz w:val="21"/>
                <w:highlight w:val="none"/>
              </w:rPr>
            </w:pPr>
          </w:p>
        </w:tc>
        <w:tc>
          <w:tcPr>
            <w:tcW w:w="1221" w:type="dxa"/>
            <w:gridSpan w:val="3"/>
            <w:vAlign w:val="top"/>
          </w:tcPr>
          <w:p w14:paraId="30609EB1">
            <w:pPr>
              <w:rPr>
                <w:rFonts w:ascii="Arial"/>
                <w:color w:val="auto"/>
                <w:sz w:val="21"/>
                <w:highlight w:val="none"/>
              </w:rPr>
            </w:pPr>
          </w:p>
        </w:tc>
        <w:tc>
          <w:tcPr>
            <w:tcW w:w="1395" w:type="dxa"/>
            <w:gridSpan w:val="2"/>
            <w:vAlign w:val="top"/>
          </w:tcPr>
          <w:p w14:paraId="199297A5">
            <w:pPr>
              <w:rPr>
                <w:rFonts w:ascii="Arial"/>
                <w:color w:val="auto"/>
                <w:sz w:val="21"/>
                <w:highlight w:val="none"/>
              </w:rPr>
            </w:pPr>
          </w:p>
        </w:tc>
        <w:tc>
          <w:tcPr>
            <w:tcW w:w="1419" w:type="dxa"/>
            <w:gridSpan w:val="3"/>
            <w:vAlign w:val="top"/>
          </w:tcPr>
          <w:p w14:paraId="4A894B01">
            <w:pPr>
              <w:rPr>
                <w:rFonts w:ascii="Arial"/>
                <w:color w:val="auto"/>
                <w:sz w:val="21"/>
                <w:highlight w:val="none"/>
              </w:rPr>
            </w:pPr>
          </w:p>
        </w:tc>
        <w:tc>
          <w:tcPr>
            <w:tcW w:w="1632" w:type="dxa"/>
            <w:gridSpan w:val="3"/>
            <w:vAlign w:val="top"/>
          </w:tcPr>
          <w:p w14:paraId="722E8EED">
            <w:pPr>
              <w:rPr>
                <w:rFonts w:ascii="Arial"/>
                <w:color w:val="auto"/>
                <w:sz w:val="21"/>
                <w:highlight w:val="none"/>
              </w:rPr>
            </w:pPr>
          </w:p>
        </w:tc>
        <w:tc>
          <w:tcPr>
            <w:tcW w:w="1435" w:type="dxa"/>
            <w:vAlign w:val="top"/>
          </w:tcPr>
          <w:p w14:paraId="4343EA1D">
            <w:pPr>
              <w:rPr>
                <w:rFonts w:ascii="Arial"/>
                <w:color w:val="auto"/>
                <w:sz w:val="21"/>
                <w:highlight w:val="none"/>
              </w:rPr>
            </w:pPr>
          </w:p>
        </w:tc>
      </w:tr>
      <w:tr w14:paraId="3D51F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623" w:type="dxa"/>
            <w:gridSpan w:val="16"/>
            <w:vAlign w:val="top"/>
          </w:tcPr>
          <w:p w14:paraId="2B6999D0">
            <w:pPr>
              <w:pStyle w:val="88"/>
              <w:spacing w:before="251" w:line="220" w:lineRule="auto"/>
              <w:ind w:left="3664"/>
              <w:rPr>
                <w:color w:val="auto"/>
                <w:highlight w:val="none"/>
              </w:rPr>
            </w:pPr>
            <w:r>
              <w:rPr>
                <w:color w:val="auto"/>
                <w:spacing w:val="-1"/>
                <w:highlight w:val="none"/>
              </w:rPr>
              <w:t>在建和已完工程项目情况</w:t>
            </w:r>
          </w:p>
        </w:tc>
      </w:tr>
      <w:tr w14:paraId="385A9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633" w:type="dxa"/>
            <w:gridSpan w:val="3"/>
            <w:vAlign w:val="top"/>
          </w:tcPr>
          <w:p w14:paraId="0898690D">
            <w:pPr>
              <w:rPr>
                <w:rFonts w:ascii="Arial"/>
                <w:color w:val="auto"/>
                <w:sz w:val="21"/>
                <w:highlight w:val="none"/>
              </w:rPr>
            </w:pPr>
          </w:p>
        </w:tc>
        <w:tc>
          <w:tcPr>
            <w:tcW w:w="1548" w:type="dxa"/>
            <w:gridSpan w:val="2"/>
            <w:vAlign w:val="top"/>
          </w:tcPr>
          <w:p w14:paraId="0F36C21D">
            <w:pPr>
              <w:pStyle w:val="88"/>
              <w:spacing w:before="241" w:line="221" w:lineRule="auto"/>
              <w:ind w:left="488"/>
              <w:rPr>
                <w:color w:val="auto"/>
                <w:highlight w:val="none"/>
              </w:rPr>
            </w:pPr>
            <w:r>
              <w:rPr>
                <w:color w:val="auto"/>
                <w:spacing w:val="-4"/>
                <w:highlight w:val="none"/>
              </w:rPr>
              <w:t>项目</w:t>
            </w:r>
            <w:r>
              <w:rPr>
                <w:color w:val="auto"/>
                <w:spacing w:val="-27"/>
                <w:highlight w:val="none"/>
              </w:rPr>
              <w:t xml:space="preserve"> </w:t>
            </w:r>
            <w:r>
              <w:rPr>
                <w:color w:val="auto"/>
                <w:spacing w:val="-4"/>
                <w:highlight w:val="none"/>
              </w:rPr>
              <w:t>1</w:t>
            </w:r>
          </w:p>
        </w:tc>
        <w:tc>
          <w:tcPr>
            <w:tcW w:w="1830" w:type="dxa"/>
            <w:gridSpan w:val="3"/>
            <w:vAlign w:val="top"/>
          </w:tcPr>
          <w:p w14:paraId="4043C964">
            <w:pPr>
              <w:pStyle w:val="88"/>
              <w:spacing w:before="241" w:line="221" w:lineRule="auto"/>
              <w:ind w:left="632"/>
              <w:rPr>
                <w:color w:val="auto"/>
                <w:highlight w:val="none"/>
              </w:rPr>
            </w:pPr>
            <w:r>
              <w:rPr>
                <w:color w:val="auto"/>
                <w:spacing w:val="-4"/>
                <w:highlight w:val="none"/>
              </w:rPr>
              <w:t>项目</w:t>
            </w:r>
            <w:r>
              <w:rPr>
                <w:color w:val="auto"/>
                <w:spacing w:val="-40"/>
                <w:highlight w:val="none"/>
              </w:rPr>
              <w:t xml:space="preserve"> </w:t>
            </w:r>
            <w:r>
              <w:rPr>
                <w:color w:val="auto"/>
                <w:spacing w:val="-4"/>
                <w:highlight w:val="none"/>
              </w:rPr>
              <w:t>2</w:t>
            </w:r>
          </w:p>
        </w:tc>
        <w:tc>
          <w:tcPr>
            <w:tcW w:w="1472" w:type="dxa"/>
            <w:gridSpan w:val="3"/>
            <w:vAlign w:val="top"/>
          </w:tcPr>
          <w:p w14:paraId="50ABCE36">
            <w:pPr>
              <w:pStyle w:val="88"/>
              <w:spacing w:before="241" w:line="221" w:lineRule="auto"/>
              <w:ind w:left="458"/>
              <w:rPr>
                <w:color w:val="auto"/>
                <w:highlight w:val="none"/>
              </w:rPr>
            </w:pPr>
            <w:r>
              <w:rPr>
                <w:color w:val="auto"/>
                <w:spacing w:val="-4"/>
                <w:highlight w:val="none"/>
              </w:rPr>
              <w:t>项目</w:t>
            </w:r>
            <w:r>
              <w:rPr>
                <w:color w:val="auto"/>
                <w:spacing w:val="-38"/>
                <w:highlight w:val="none"/>
              </w:rPr>
              <w:t xml:space="preserve"> </w:t>
            </w:r>
            <w:r>
              <w:rPr>
                <w:color w:val="auto"/>
                <w:spacing w:val="-4"/>
                <w:highlight w:val="none"/>
              </w:rPr>
              <w:t>3</w:t>
            </w:r>
          </w:p>
        </w:tc>
        <w:tc>
          <w:tcPr>
            <w:tcW w:w="1635" w:type="dxa"/>
            <w:gridSpan w:val="3"/>
            <w:vAlign w:val="top"/>
          </w:tcPr>
          <w:p w14:paraId="5085F01C">
            <w:pPr>
              <w:pStyle w:val="88"/>
              <w:spacing w:before="241" w:line="221" w:lineRule="auto"/>
              <w:ind w:left="541"/>
              <w:rPr>
                <w:color w:val="auto"/>
                <w:highlight w:val="none"/>
              </w:rPr>
            </w:pPr>
            <w:r>
              <w:rPr>
                <w:color w:val="auto"/>
                <w:spacing w:val="-4"/>
                <w:highlight w:val="none"/>
              </w:rPr>
              <w:t>项目</w:t>
            </w:r>
            <w:r>
              <w:rPr>
                <w:color w:val="auto"/>
                <w:spacing w:val="-44"/>
                <w:highlight w:val="none"/>
              </w:rPr>
              <w:t xml:space="preserve"> </w:t>
            </w:r>
            <w:r>
              <w:rPr>
                <w:color w:val="auto"/>
                <w:spacing w:val="-4"/>
                <w:highlight w:val="none"/>
              </w:rPr>
              <w:t>4</w:t>
            </w:r>
          </w:p>
        </w:tc>
        <w:tc>
          <w:tcPr>
            <w:tcW w:w="1505" w:type="dxa"/>
            <w:gridSpan w:val="2"/>
            <w:vAlign w:val="top"/>
          </w:tcPr>
          <w:p w14:paraId="5FD695E8">
            <w:pPr>
              <w:pStyle w:val="88"/>
              <w:spacing w:before="241" w:line="332" w:lineRule="exact"/>
              <w:ind w:left="557"/>
              <w:rPr>
                <w:color w:val="auto"/>
                <w:highlight w:val="none"/>
              </w:rPr>
            </w:pPr>
            <w:r>
              <w:rPr>
                <w:color w:val="auto"/>
                <w:spacing w:val="-10"/>
                <w:position w:val="2"/>
                <w:highlight w:val="none"/>
              </w:rPr>
              <w:t>……</w:t>
            </w:r>
          </w:p>
        </w:tc>
      </w:tr>
      <w:tr w14:paraId="3DB46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633" w:type="dxa"/>
            <w:gridSpan w:val="3"/>
            <w:vAlign w:val="top"/>
          </w:tcPr>
          <w:p w14:paraId="69D3B5A1">
            <w:pPr>
              <w:pStyle w:val="88"/>
              <w:spacing w:before="242" w:line="221" w:lineRule="auto"/>
              <w:ind w:left="405"/>
              <w:rPr>
                <w:color w:val="auto"/>
                <w:highlight w:val="none"/>
              </w:rPr>
            </w:pPr>
            <w:r>
              <w:rPr>
                <w:color w:val="auto"/>
                <w:spacing w:val="-3"/>
                <w:highlight w:val="none"/>
              </w:rPr>
              <w:t>项目名称</w:t>
            </w:r>
          </w:p>
        </w:tc>
        <w:tc>
          <w:tcPr>
            <w:tcW w:w="1548" w:type="dxa"/>
            <w:gridSpan w:val="2"/>
            <w:vAlign w:val="top"/>
          </w:tcPr>
          <w:p w14:paraId="0417D713">
            <w:pPr>
              <w:rPr>
                <w:rFonts w:ascii="Arial"/>
                <w:color w:val="auto"/>
                <w:sz w:val="21"/>
                <w:highlight w:val="none"/>
              </w:rPr>
            </w:pPr>
          </w:p>
        </w:tc>
        <w:tc>
          <w:tcPr>
            <w:tcW w:w="1830" w:type="dxa"/>
            <w:gridSpan w:val="3"/>
            <w:vAlign w:val="top"/>
          </w:tcPr>
          <w:p w14:paraId="239CA664">
            <w:pPr>
              <w:rPr>
                <w:rFonts w:ascii="Arial"/>
                <w:color w:val="auto"/>
                <w:sz w:val="21"/>
                <w:highlight w:val="none"/>
              </w:rPr>
            </w:pPr>
          </w:p>
        </w:tc>
        <w:tc>
          <w:tcPr>
            <w:tcW w:w="1472" w:type="dxa"/>
            <w:gridSpan w:val="3"/>
            <w:vAlign w:val="top"/>
          </w:tcPr>
          <w:p w14:paraId="1891728E">
            <w:pPr>
              <w:rPr>
                <w:rFonts w:ascii="Arial"/>
                <w:color w:val="auto"/>
                <w:sz w:val="21"/>
                <w:highlight w:val="none"/>
              </w:rPr>
            </w:pPr>
          </w:p>
        </w:tc>
        <w:tc>
          <w:tcPr>
            <w:tcW w:w="1635" w:type="dxa"/>
            <w:gridSpan w:val="3"/>
            <w:vAlign w:val="top"/>
          </w:tcPr>
          <w:p w14:paraId="05030182">
            <w:pPr>
              <w:rPr>
                <w:rFonts w:ascii="Arial"/>
                <w:color w:val="auto"/>
                <w:sz w:val="21"/>
                <w:highlight w:val="none"/>
              </w:rPr>
            </w:pPr>
          </w:p>
        </w:tc>
        <w:tc>
          <w:tcPr>
            <w:tcW w:w="1505" w:type="dxa"/>
            <w:gridSpan w:val="2"/>
            <w:tcBorders>
              <w:right w:val="nil"/>
            </w:tcBorders>
            <w:vAlign w:val="top"/>
          </w:tcPr>
          <w:p w14:paraId="2DE41B81">
            <w:pPr>
              <w:rPr>
                <w:rFonts w:ascii="Arial"/>
                <w:color w:val="auto"/>
                <w:sz w:val="21"/>
                <w:highlight w:val="none"/>
              </w:rPr>
            </w:pPr>
            <w:r>
              <w:rPr>
                <w:color w:val="auto"/>
                <w:highlight w:val="none"/>
              </w:rPr>
              <w:drawing>
                <wp:anchor distT="0" distB="0" distL="0" distR="0" simplePos="0" relativeHeight="251678720" behindDoc="0" locked="0" layoutInCell="1" allowOverlap="1">
                  <wp:simplePos x="0" y="0"/>
                  <wp:positionH relativeFrom="rightMargin">
                    <wp:posOffset>-11430</wp:posOffset>
                  </wp:positionH>
                  <wp:positionV relativeFrom="topMargin">
                    <wp:posOffset>1905</wp:posOffset>
                  </wp:positionV>
                  <wp:extent cx="6350" cy="382270"/>
                  <wp:effectExtent l="0" t="0" r="12700" b="1778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7"/>
                          <a:stretch>
                            <a:fillRect/>
                          </a:stretch>
                        </pic:blipFill>
                        <pic:spPr>
                          <a:xfrm>
                            <a:off x="0" y="0"/>
                            <a:ext cx="6350" cy="382524"/>
                          </a:xfrm>
                          <a:prstGeom prst="rect">
                            <a:avLst/>
                          </a:prstGeom>
                        </pic:spPr>
                      </pic:pic>
                    </a:graphicData>
                  </a:graphic>
                </wp:anchor>
              </w:drawing>
            </w:r>
          </w:p>
        </w:tc>
      </w:tr>
      <w:tr w14:paraId="481F5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633" w:type="dxa"/>
            <w:gridSpan w:val="3"/>
            <w:vAlign w:val="top"/>
          </w:tcPr>
          <w:p w14:paraId="484682F8">
            <w:pPr>
              <w:pStyle w:val="88"/>
              <w:spacing w:before="210" w:line="221" w:lineRule="auto"/>
              <w:ind w:left="404"/>
              <w:rPr>
                <w:color w:val="auto"/>
                <w:highlight w:val="none"/>
              </w:rPr>
            </w:pPr>
            <w:r>
              <w:rPr>
                <w:color w:val="auto"/>
                <w:spacing w:val="-2"/>
                <w:highlight w:val="none"/>
              </w:rPr>
              <w:t>建设单位</w:t>
            </w:r>
          </w:p>
        </w:tc>
        <w:tc>
          <w:tcPr>
            <w:tcW w:w="1548" w:type="dxa"/>
            <w:gridSpan w:val="2"/>
            <w:vAlign w:val="top"/>
          </w:tcPr>
          <w:p w14:paraId="3A0F37AD">
            <w:pPr>
              <w:rPr>
                <w:rFonts w:ascii="Arial"/>
                <w:color w:val="auto"/>
                <w:sz w:val="21"/>
                <w:highlight w:val="none"/>
              </w:rPr>
            </w:pPr>
          </w:p>
        </w:tc>
        <w:tc>
          <w:tcPr>
            <w:tcW w:w="1830" w:type="dxa"/>
            <w:gridSpan w:val="3"/>
            <w:vAlign w:val="top"/>
          </w:tcPr>
          <w:p w14:paraId="3E753A91">
            <w:pPr>
              <w:rPr>
                <w:rFonts w:ascii="Arial"/>
                <w:color w:val="auto"/>
                <w:sz w:val="21"/>
                <w:highlight w:val="none"/>
              </w:rPr>
            </w:pPr>
          </w:p>
        </w:tc>
        <w:tc>
          <w:tcPr>
            <w:tcW w:w="1472" w:type="dxa"/>
            <w:gridSpan w:val="3"/>
            <w:vAlign w:val="top"/>
          </w:tcPr>
          <w:p w14:paraId="276E3887">
            <w:pPr>
              <w:rPr>
                <w:rFonts w:ascii="Arial"/>
                <w:color w:val="auto"/>
                <w:sz w:val="21"/>
                <w:highlight w:val="none"/>
              </w:rPr>
            </w:pPr>
          </w:p>
        </w:tc>
        <w:tc>
          <w:tcPr>
            <w:tcW w:w="1635" w:type="dxa"/>
            <w:gridSpan w:val="3"/>
            <w:vAlign w:val="top"/>
          </w:tcPr>
          <w:p w14:paraId="316E391F">
            <w:pPr>
              <w:rPr>
                <w:rFonts w:ascii="Arial"/>
                <w:color w:val="auto"/>
                <w:sz w:val="21"/>
                <w:highlight w:val="none"/>
              </w:rPr>
            </w:pPr>
          </w:p>
        </w:tc>
        <w:tc>
          <w:tcPr>
            <w:tcW w:w="1505" w:type="dxa"/>
            <w:gridSpan w:val="2"/>
            <w:tcBorders>
              <w:right w:val="nil"/>
            </w:tcBorders>
            <w:vAlign w:val="top"/>
          </w:tcPr>
          <w:p w14:paraId="01C78F77">
            <w:pPr>
              <w:rPr>
                <w:rFonts w:ascii="Arial"/>
                <w:color w:val="auto"/>
                <w:sz w:val="21"/>
                <w:highlight w:val="none"/>
              </w:rPr>
            </w:pPr>
            <w:r>
              <w:rPr>
                <w:color w:val="auto"/>
                <w:highlight w:val="none"/>
              </w:rPr>
              <w:drawing>
                <wp:anchor distT="0" distB="0" distL="0" distR="0" simplePos="0" relativeHeight="251685888" behindDoc="0" locked="0" layoutInCell="1" allowOverlap="1">
                  <wp:simplePos x="0" y="0"/>
                  <wp:positionH relativeFrom="rightMargin">
                    <wp:posOffset>-11430</wp:posOffset>
                  </wp:positionH>
                  <wp:positionV relativeFrom="topMargin">
                    <wp:posOffset>1905</wp:posOffset>
                  </wp:positionV>
                  <wp:extent cx="6350" cy="342900"/>
                  <wp:effectExtent l="0" t="0" r="1270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8"/>
                          <a:stretch>
                            <a:fillRect/>
                          </a:stretch>
                        </pic:blipFill>
                        <pic:spPr>
                          <a:xfrm>
                            <a:off x="0" y="0"/>
                            <a:ext cx="6350" cy="342900"/>
                          </a:xfrm>
                          <a:prstGeom prst="rect">
                            <a:avLst/>
                          </a:prstGeom>
                        </pic:spPr>
                      </pic:pic>
                    </a:graphicData>
                  </a:graphic>
                </wp:anchor>
              </w:drawing>
            </w:r>
          </w:p>
        </w:tc>
      </w:tr>
      <w:tr w14:paraId="7D0F7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633" w:type="dxa"/>
            <w:gridSpan w:val="3"/>
            <w:vAlign w:val="top"/>
          </w:tcPr>
          <w:p w14:paraId="43D7AAF5">
            <w:pPr>
              <w:pStyle w:val="88"/>
              <w:spacing w:before="214" w:line="220" w:lineRule="auto"/>
              <w:ind w:left="404"/>
              <w:rPr>
                <w:color w:val="auto"/>
                <w:highlight w:val="none"/>
              </w:rPr>
            </w:pPr>
            <w:r>
              <w:rPr>
                <w:color w:val="auto"/>
                <w:spacing w:val="-2"/>
                <w:highlight w:val="none"/>
              </w:rPr>
              <w:t>建设规模</w:t>
            </w:r>
          </w:p>
        </w:tc>
        <w:tc>
          <w:tcPr>
            <w:tcW w:w="1548" w:type="dxa"/>
            <w:gridSpan w:val="2"/>
            <w:vAlign w:val="top"/>
          </w:tcPr>
          <w:p w14:paraId="59730B40">
            <w:pPr>
              <w:rPr>
                <w:rFonts w:ascii="Arial"/>
                <w:color w:val="auto"/>
                <w:sz w:val="21"/>
                <w:highlight w:val="none"/>
              </w:rPr>
            </w:pPr>
          </w:p>
        </w:tc>
        <w:tc>
          <w:tcPr>
            <w:tcW w:w="1830" w:type="dxa"/>
            <w:gridSpan w:val="3"/>
            <w:vAlign w:val="top"/>
          </w:tcPr>
          <w:p w14:paraId="77046A20">
            <w:pPr>
              <w:rPr>
                <w:rFonts w:ascii="Arial"/>
                <w:color w:val="auto"/>
                <w:sz w:val="21"/>
                <w:highlight w:val="none"/>
              </w:rPr>
            </w:pPr>
          </w:p>
        </w:tc>
        <w:tc>
          <w:tcPr>
            <w:tcW w:w="1472" w:type="dxa"/>
            <w:gridSpan w:val="3"/>
            <w:vAlign w:val="top"/>
          </w:tcPr>
          <w:p w14:paraId="29335CB9">
            <w:pPr>
              <w:rPr>
                <w:rFonts w:ascii="Arial"/>
                <w:color w:val="auto"/>
                <w:sz w:val="21"/>
                <w:highlight w:val="none"/>
              </w:rPr>
            </w:pPr>
          </w:p>
        </w:tc>
        <w:tc>
          <w:tcPr>
            <w:tcW w:w="1635" w:type="dxa"/>
            <w:gridSpan w:val="3"/>
            <w:vAlign w:val="top"/>
          </w:tcPr>
          <w:p w14:paraId="6E6947A1">
            <w:pPr>
              <w:rPr>
                <w:rFonts w:ascii="Arial"/>
                <w:color w:val="auto"/>
                <w:sz w:val="21"/>
                <w:highlight w:val="none"/>
              </w:rPr>
            </w:pPr>
          </w:p>
        </w:tc>
        <w:tc>
          <w:tcPr>
            <w:tcW w:w="1505" w:type="dxa"/>
            <w:gridSpan w:val="2"/>
            <w:tcBorders>
              <w:right w:val="nil"/>
            </w:tcBorders>
            <w:vAlign w:val="top"/>
          </w:tcPr>
          <w:p w14:paraId="5F6B3656">
            <w:pPr>
              <w:rPr>
                <w:rFonts w:ascii="Arial"/>
                <w:color w:val="auto"/>
                <w:sz w:val="21"/>
                <w:highlight w:val="none"/>
              </w:rPr>
            </w:pPr>
            <w:r>
              <w:rPr>
                <w:color w:val="auto"/>
                <w:highlight w:val="none"/>
              </w:rPr>
              <w:drawing>
                <wp:anchor distT="0" distB="0" distL="0" distR="0" simplePos="0" relativeHeight="251684864" behindDoc="0" locked="0" layoutInCell="1" allowOverlap="1">
                  <wp:simplePos x="0" y="0"/>
                  <wp:positionH relativeFrom="rightMargin">
                    <wp:posOffset>-11430</wp:posOffset>
                  </wp:positionH>
                  <wp:positionV relativeFrom="topMargin">
                    <wp:posOffset>1905</wp:posOffset>
                  </wp:positionV>
                  <wp:extent cx="6350" cy="344170"/>
                  <wp:effectExtent l="0" t="0" r="12700" b="1778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8"/>
                          <a:stretch>
                            <a:fillRect/>
                          </a:stretch>
                        </pic:blipFill>
                        <pic:spPr>
                          <a:xfrm>
                            <a:off x="0" y="0"/>
                            <a:ext cx="6350" cy="344423"/>
                          </a:xfrm>
                          <a:prstGeom prst="rect">
                            <a:avLst/>
                          </a:prstGeom>
                        </pic:spPr>
                      </pic:pic>
                    </a:graphicData>
                  </a:graphic>
                </wp:anchor>
              </w:drawing>
            </w:r>
          </w:p>
        </w:tc>
      </w:tr>
      <w:tr w14:paraId="596FE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633" w:type="dxa"/>
            <w:gridSpan w:val="3"/>
            <w:vAlign w:val="top"/>
          </w:tcPr>
          <w:p w14:paraId="07168A97">
            <w:pPr>
              <w:pStyle w:val="88"/>
              <w:spacing w:before="211" w:line="221" w:lineRule="auto"/>
              <w:ind w:left="402"/>
              <w:rPr>
                <w:color w:val="auto"/>
                <w:highlight w:val="none"/>
              </w:rPr>
            </w:pPr>
            <w:r>
              <w:rPr>
                <w:color w:val="auto"/>
                <w:spacing w:val="-2"/>
                <w:highlight w:val="none"/>
              </w:rPr>
              <w:t>开工日期</w:t>
            </w:r>
          </w:p>
        </w:tc>
        <w:tc>
          <w:tcPr>
            <w:tcW w:w="1548" w:type="dxa"/>
            <w:gridSpan w:val="2"/>
            <w:vAlign w:val="top"/>
          </w:tcPr>
          <w:p w14:paraId="0F6A2572">
            <w:pPr>
              <w:rPr>
                <w:rFonts w:ascii="Arial"/>
                <w:color w:val="auto"/>
                <w:sz w:val="21"/>
                <w:highlight w:val="none"/>
              </w:rPr>
            </w:pPr>
          </w:p>
        </w:tc>
        <w:tc>
          <w:tcPr>
            <w:tcW w:w="1830" w:type="dxa"/>
            <w:gridSpan w:val="3"/>
            <w:vAlign w:val="top"/>
          </w:tcPr>
          <w:p w14:paraId="6A8B76DF">
            <w:pPr>
              <w:rPr>
                <w:rFonts w:ascii="Arial"/>
                <w:color w:val="auto"/>
                <w:sz w:val="21"/>
                <w:highlight w:val="none"/>
              </w:rPr>
            </w:pPr>
          </w:p>
        </w:tc>
        <w:tc>
          <w:tcPr>
            <w:tcW w:w="1472" w:type="dxa"/>
            <w:gridSpan w:val="3"/>
            <w:vAlign w:val="top"/>
          </w:tcPr>
          <w:p w14:paraId="273D79CF">
            <w:pPr>
              <w:rPr>
                <w:rFonts w:ascii="Arial"/>
                <w:color w:val="auto"/>
                <w:sz w:val="21"/>
                <w:highlight w:val="none"/>
              </w:rPr>
            </w:pPr>
          </w:p>
        </w:tc>
        <w:tc>
          <w:tcPr>
            <w:tcW w:w="1635" w:type="dxa"/>
            <w:gridSpan w:val="3"/>
            <w:vAlign w:val="top"/>
          </w:tcPr>
          <w:p w14:paraId="676BA1E9">
            <w:pPr>
              <w:rPr>
                <w:rFonts w:ascii="Arial"/>
                <w:color w:val="auto"/>
                <w:sz w:val="21"/>
                <w:highlight w:val="none"/>
              </w:rPr>
            </w:pPr>
          </w:p>
        </w:tc>
        <w:tc>
          <w:tcPr>
            <w:tcW w:w="1505" w:type="dxa"/>
            <w:gridSpan w:val="2"/>
            <w:tcBorders>
              <w:right w:val="nil"/>
            </w:tcBorders>
            <w:vAlign w:val="top"/>
          </w:tcPr>
          <w:p w14:paraId="622AA37F">
            <w:pPr>
              <w:rPr>
                <w:rFonts w:ascii="Arial"/>
                <w:color w:val="auto"/>
                <w:sz w:val="21"/>
                <w:highlight w:val="none"/>
              </w:rPr>
            </w:pPr>
            <w:r>
              <w:rPr>
                <w:color w:val="auto"/>
                <w:highlight w:val="none"/>
              </w:rPr>
              <w:drawing>
                <wp:anchor distT="0" distB="0" distL="0" distR="0" simplePos="0" relativeHeight="251686912" behindDoc="0" locked="0" layoutInCell="1" allowOverlap="1">
                  <wp:simplePos x="0" y="0"/>
                  <wp:positionH relativeFrom="rightMargin">
                    <wp:posOffset>-11430</wp:posOffset>
                  </wp:positionH>
                  <wp:positionV relativeFrom="topMargin">
                    <wp:posOffset>1905</wp:posOffset>
                  </wp:positionV>
                  <wp:extent cx="6350" cy="342900"/>
                  <wp:effectExtent l="0" t="0" r="1270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8"/>
                          <a:stretch>
                            <a:fillRect/>
                          </a:stretch>
                        </pic:blipFill>
                        <pic:spPr>
                          <a:xfrm>
                            <a:off x="0" y="0"/>
                            <a:ext cx="6350" cy="342900"/>
                          </a:xfrm>
                          <a:prstGeom prst="rect">
                            <a:avLst/>
                          </a:prstGeom>
                        </pic:spPr>
                      </pic:pic>
                    </a:graphicData>
                  </a:graphic>
                </wp:anchor>
              </w:drawing>
            </w:r>
          </w:p>
        </w:tc>
      </w:tr>
      <w:tr w14:paraId="54450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4" w:hRule="atLeast"/>
        </w:trPr>
        <w:tc>
          <w:tcPr>
            <w:tcW w:w="1633" w:type="dxa"/>
            <w:gridSpan w:val="3"/>
            <w:vAlign w:val="top"/>
          </w:tcPr>
          <w:p w14:paraId="21605DC2">
            <w:pPr>
              <w:pStyle w:val="88"/>
              <w:spacing w:before="217" w:line="220" w:lineRule="auto"/>
              <w:ind w:left="402"/>
              <w:rPr>
                <w:color w:val="auto"/>
                <w:highlight w:val="none"/>
              </w:rPr>
            </w:pPr>
            <w:r>
              <w:rPr>
                <w:color w:val="auto"/>
                <w:spacing w:val="-2"/>
                <w:highlight w:val="none"/>
              </w:rPr>
              <w:t>竣工日期</w:t>
            </w:r>
          </w:p>
        </w:tc>
        <w:tc>
          <w:tcPr>
            <w:tcW w:w="1548" w:type="dxa"/>
            <w:gridSpan w:val="2"/>
            <w:vAlign w:val="top"/>
          </w:tcPr>
          <w:p w14:paraId="20EAEEF0">
            <w:pPr>
              <w:rPr>
                <w:rFonts w:ascii="Arial"/>
                <w:color w:val="auto"/>
                <w:sz w:val="21"/>
                <w:highlight w:val="none"/>
              </w:rPr>
            </w:pPr>
          </w:p>
        </w:tc>
        <w:tc>
          <w:tcPr>
            <w:tcW w:w="1830" w:type="dxa"/>
            <w:gridSpan w:val="3"/>
            <w:vAlign w:val="top"/>
          </w:tcPr>
          <w:p w14:paraId="0EB80EEB">
            <w:pPr>
              <w:rPr>
                <w:rFonts w:ascii="Arial"/>
                <w:color w:val="auto"/>
                <w:sz w:val="21"/>
                <w:highlight w:val="none"/>
              </w:rPr>
            </w:pPr>
          </w:p>
        </w:tc>
        <w:tc>
          <w:tcPr>
            <w:tcW w:w="1472" w:type="dxa"/>
            <w:gridSpan w:val="3"/>
            <w:vAlign w:val="top"/>
          </w:tcPr>
          <w:p w14:paraId="61FB5714">
            <w:pPr>
              <w:rPr>
                <w:rFonts w:ascii="Arial"/>
                <w:color w:val="auto"/>
                <w:sz w:val="21"/>
                <w:highlight w:val="none"/>
              </w:rPr>
            </w:pPr>
          </w:p>
        </w:tc>
        <w:tc>
          <w:tcPr>
            <w:tcW w:w="1635" w:type="dxa"/>
            <w:gridSpan w:val="3"/>
            <w:vAlign w:val="top"/>
          </w:tcPr>
          <w:p w14:paraId="5BC0ED42">
            <w:pPr>
              <w:rPr>
                <w:rFonts w:ascii="Arial"/>
                <w:color w:val="auto"/>
                <w:sz w:val="21"/>
                <w:highlight w:val="none"/>
              </w:rPr>
            </w:pPr>
          </w:p>
        </w:tc>
        <w:tc>
          <w:tcPr>
            <w:tcW w:w="1505" w:type="dxa"/>
            <w:gridSpan w:val="2"/>
            <w:tcBorders>
              <w:right w:val="nil"/>
            </w:tcBorders>
            <w:vAlign w:val="top"/>
          </w:tcPr>
          <w:p w14:paraId="135E8C43">
            <w:pPr>
              <w:rPr>
                <w:rFonts w:ascii="Arial"/>
                <w:color w:val="auto"/>
                <w:sz w:val="21"/>
                <w:highlight w:val="none"/>
              </w:rPr>
            </w:pPr>
            <w:r>
              <w:rPr>
                <w:color w:val="auto"/>
                <w:highlight w:val="none"/>
              </w:rPr>
              <w:drawing>
                <wp:anchor distT="0" distB="0" distL="0" distR="0" simplePos="0" relativeHeight="251680768" behindDoc="0" locked="0" layoutInCell="1" allowOverlap="1">
                  <wp:simplePos x="0" y="0"/>
                  <wp:positionH relativeFrom="rightMargin">
                    <wp:posOffset>-11430</wp:posOffset>
                  </wp:positionH>
                  <wp:positionV relativeFrom="topMargin">
                    <wp:posOffset>2540</wp:posOffset>
                  </wp:positionV>
                  <wp:extent cx="6350" cy="349250"/>
                  <wp:effectExtent l="0" t="0" r="12700" b="1270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8"/>
                          <a:stretch>
                            <a:fillRect/>
                          </a:stretch>
                        </pic:blipFill>
                        <pic:spPr>
                          <a:xfrm>
                            <a:off x="0" y="0"/>
                            <a:ext cx="6350" cy="348996"/>
                          </a:xfrm>
                          <a:prstGeom prst="rect">
                            <a:avLst/>
                          </a:prstGeom>
                        </pic:spPr>
                      </pic:pic>
                    </a:graphicData>
                  </a:graphic>
                </wp:anchor>
              </w:drawing>
            </w:r>
          </w:p>
        </w:tc>
      </w:tr>
      <w:tr w14:paraId="7A73A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3" w:type="dxa"/>
            <w:gridSpan w:val="3"/>
            <w:vAlign w:val="top"/>
          </w:tcPr>
          <w:p w14:paraId="405EED88">
            <w:pPr>
              <w:pStyle w:val="88"/>
              <w:spacing w:before="216" w:line="220" w:lineRule="auto"/>
              <w:ind w:left="403"/>
              <w:rPr>
                <w:color w:val="auto"/>
                <w:highlight w:val="none"/>
              </w:rPr>
            </w:pPr>
            <w:r>
              <w:rPr>
                <w:color w:val="auto"/>
                <w:spacing w:val="-2"/>
                <w:highlight w:val="none"/>
              </w:rPr>
              <w:t>人员角色</w:t>
            </w:r>
          </w:p>
        </w:tc>
        <w:tc>
          <w:tcPr>
            <w:tcW w:w="1548" w:type="dxa"/>
            <w:gridSpan w:val="2"/>
            <w:vAlign w:val="top"/>
          </w:tcPr>
          <w:p w14:paraId="7ED80358">
            <w:pPr>
              <w:rPr>
                <w:rFonts w:ascii="Arial"/>
                <w:color w:val="auto"/>
                <w:sz w:val="21"/>
                <w:highlight w:val="none"/>
              </w:rPr>
            </w:pPr>
          </w:p>
        </w:tc>
        <w:tc>
          <w:tcPr>
            <w:tcW w:w="1830" w:type="dxa"/>
            <w:gridSpan w:val="3"/>
            <w:vAlign w:val="top"/>
          </w:tcPr>
          <w:p w14:paraId="450DBBFF">
            <w:pPr>
              <w:rPr>
                <w:rFonts w:ascii="Arial"/>
                <w:color w:val="auto"/>
                <w:sz w:val="21"/>
                <w:highlight w:val="none"/>
              </w:rPr>
            </w:pPr>
          </w:p>
        </w:tc>
        <w:tc>
          <w:tcPr>
            <w:tcW w:w="1472" w:type="dxa"/>
            <w:gridSpan w:val="3"/>
            <w:vAlign w:val="top"/>
          </w:tcPr>
          <w:p w14:paraId="4B13575A">
            <w:pPr>
              <w:rPr>
                <w:rFonts w:ascii="Arial"/>
                <w:color w:val="auto"/>
                <w:sz w:val="21"/>
                <w:highlight w:val="none"/>
              </w:rPr>
            </w:pPr>
          </w:p>
        </w:tc>
        <w:tc>
          <w:tcPr>
            <w:tcW w:w="1635" w:type="dxa"/>
            <w:gridSpan w:val="3"/>
            <w:vAlign w:val="top"/>
          </w:tcPr>
          <w:p w14:paraId="382A874D">
            <w:pPr>
              <w:rPr>
                <w:rFonts w:ascii="Arial"/>
                <w:color w:val="auto"/>
                <w:sz w:val="21"/>
                <w:highlight w:val="none"/>
              </w:rPr>
            </w:pPr>
          </w:p>
        </w:tc>
        <w:tc>
          <w:tcPr>
            <w:tcW w:w="1505" w:type="dxa"/>
            <w:gridSpan w:val="2"/>
            <w:tcBorders>
              <w:right w:val="nil"/>
            </w:tcBorders>
            <w:vAlign w:val="top"/>
          </w:tcPr>
          <w:p w14:paraId="1E91EC13">
            <w:pPr>
              <w:rPr>
                <w:rFonts w:ascii="Arial"/>
                <w:color w:val="auto"/>
                <w:sz w:val="21"/>
                <w:highlight w:val="none"/>
              </w:rPr>
            </w:pPr>
            <w:r>
              <w:rPr>
                <w:color w:val="auto"/>
                <w:highlight w:val="none"/>
              </w:rPr>
              <w:drawing>
                <wp:anchor distT="0" distB="0" distL="0" distR="0" simplePos="0" relativeHeight="251679744" behindDoc="0" locked="0" layoutInCell="1" allowOverlap="1">
                  <wp:simplePos x="0" y="0"/>
                  <wp:positionH relativeFrom="rightMargin">
                    <wp:posOffset>-11430</wp:posOffset>
                  </wp:positionH>
                  <wp:positionV relativeFrom="topMargin">
                    <wp:posOffset>2540</wp:posOffset>
                  </wp:positionV>
                  <wp:extent cx="6350" cy="349250"/>
                  <wp:effectExtent l="0" t="0" r="12700" b="1270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9"/>
                          <a:stretch>
                            <a:fillRect/>
                          </a:stretch>
                        </pic:blipFill>
                        <pic:spPr>
                          <a:xfrm>
                            <a:off x="0" y="0"/>
                            <a:ext cx="6350" cy="348996"/>
                          </a:xfrm>
                          <a:prstGeom prst="rect">
                            <a:avLst/>
                          </a:prstGeom>
                        </pic:spPr>
                      </pic:pic>
                    </a:graphicData>
                  </a:graphic>
                </wp:anchor>
              </w:drawing>
            </w:r>
          </w:p>
        </w:tc>
      </w:tr>
      <w:tr w14:paraId="506C1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3" w:type="dxa"/>
            <w:gridSpan w:val="3"/>
            <w:vAlign w:val="top"/>
          </w:tcPr>
          <w:p w14:paraId="41E43C98">
            <w:pPr>
              <w:pStyle w:val="88"/>
              <w:spacing w:before="217" w:line="220" w:lineRule="auto"/>
              <w:ind w:left="295"/>
              <w:rPr>
                <w:color w:val="auto"/>
                <w:highlight w:val="none"/>
              </w:rPr>
            </w:pPr>
            <w:r>
              <w:rPr>
                <w:color w:val="auto"/>
                <w:spacing w:val="-1"/>
                <w:highlight w:val="none"/>
              </w:rPr>
              <w:t>在建或已完</w:t>
            </w:r>
          </w:p>
        </w:tc>
        <w:tc>
          <w:tcPr>
            <w:tcW w:w="1548" w:type="dxa"/>
            <w:gridSpan w:val="2"/>
            <w:vAlign w:val="top"/>
          </w:tcPr>
          <w:p w14:paraId="605D0354">
            <w:pPr>
              <w:rPr>
                <w:rFonts w:ascii="Arial"/>
                <w:color w:val="auto"/>
                <w:sz w:val="21"/>
                <w:highlight w:val="none"/>
              </w:rPr>
            </w:pPr>
          </w:p>
        </w:tc>
        <w:tc>
          <w:tcPr>
            <w:tcW w:w="1830" w:type="dxa"/>
            <w:gridSpan w:val="3"/>
            <w:vAlign w:val="top"/>
          </w:tcPr>
          <w:p w14:paraId="4E55A005">
            <w:pPr>
              <w:rPr>
                <w:rFonts w:ascii="Arial"/>
                <w:color w:val="auto"/>
                <w:sz w:val="21"/>
                <w:highlight w:val="none"/>
              </w:rPr>
            </w:pPr>
          </w:p>
        </w:tc>
        <w:tc>
          <w:tcPr>
            <w:tcW w:w="1472" w:type="dxa"/>
            <w:gridSpan w:val="3"/>
            <w:vAlign w:val="top"/>
          </w:tcPr>
          <w:p w14:paraId="65AF14ED">
            <w:pPr>
              <w:rPr>
                <w:rFonts w:ascii="Arial"/>
                <w:color w:val="auto"/>
                <w:sz w:val="21"/>
                <w:highlight w:val="none"/>
              </w:rPr>
            </w:pPr>
          </w:p>
        </w:tc>
        <w:tc>
          <w:tcPr>
            <w:tcW w:w="1635" w:type="dxa"/>
            <w:gridSpan w:val="3"/>
            <w:vAlign w:val="top"/>
          </w:tcPr>
          <w:p w14:paraId="32977D4E">
            <w:pPr>
              <w:rPr>
                <w:rFonts w:ascii="Arial"/>
                <w:color w:val="auto"/>
                <w:sz w:val="21"/>
                <w:highlight w:val="none"/>
              </w:rPr>
            </w:pPr>
          </w:p>
        </w:tc>
        <w:tc>
          <w:tcPr>
            <w:tcW w:w="1505" w:type="dxa"/>
            <w:gridSpan w:val="2"/>
            <w:tcBorders>
              <w:right w:val="nil"/>
            </w:tcBorders>
            <w:vAlign w:val="top"/>
          </w:tcPr>
          <w:p w14:paraId="6220F264">
            <w:pPr>
              <w:rPr>
                <w:rFonts w:ascii="Arial"/>
                <w:color w:val="auto"/>
                <w:sz w:val="21"/>
                <w:highlight w:val="none"/>
              </w:rPr>
            </w:pPr>
            <w:r>
              <w:rPr>
                <w:color w:val="auto"/>
                <w:highlight w:val="none"/>
              </w:rPr>
              <w:drawing>
                <wp:anchor distT="0" distB="0" distL="0" distR="0" simplePos="0" relativeHeight="251683840" behindDoc="0" locked="0" layoutInCell="1" allowOverlap="1">
                  <wp:simplePos x="0" y="0"/>
                  <wp:positionH relativeFrom="rightMargin">
                    <wp:posOffset>-11430</wp:posOffset>
                  </wp:positionH>
                  <wp:positionV relativeFrom="topMargin">
                    <wp:posOffset>2540</wp:posOffset>
                  </wp:positionV>
                  <wp:extent cx="6350" cy="349250"/>
                  <wp:effectExtent l="0" t="0" r="12700" b="1270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9"/>
                          <a:stretch>
                            <a:fillRect/>
                          </a:stretch>
                        </pic:blipFill>
                        <pic:spPr>
                          <a:xfrm>
                            <a:off x="0" y="0"/>
                            <a:ext cx="6350" cy="348995"/>
                          </a:xfrm>
                          <a:prstGeom prst="rect">
                            <a:avLst/>
                          </a:prstGeom>
                        </pic:spPr>
                      </pic:pic>
                    </a:graphicData>
                  </a:graphic>
                </wp:anchor>
              </w:drawing>
            </w:r>
          </w:p>
        </w:tc>
      </w:tr>
      <w:tr w14:paraId="75DD2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3" w:type="dxa"/>
            <w:gridSpan w:val="3"/>
            <w:vAlign w:val="top"/>
          </w:tcPr>
          <w:p w14:paraId="5FB1E2C2">
            <w:pPr>
              <w:pStyle w:val="88"/>
              <w:spacing w:before="217" w:line="221" w:lineRule="auto"/>
              <w:ind w:left="404"/>
              <w:rPr>
                <w:color w:val="auto"/>
                <w:highlight w:val="none"/>
              </w:rPr>
            </w:pPr>
            <w:r>
              <w:rPr>
                <w:color w:val="auto"/>
                <w:spacing w:val="-2"/>
                <w:highlight w:val="none"/>
              </w:rPr>
              <w:t>工程质量</w:t>
            </w:r>
          </w:p>
        </w:tc>
        <w:tc>
          <w:tcPr>
            <w:tcW w:w="1548" w:type="dxa"/>
            <w:gridSpan w:val="2"/>
            <w:vAlign w:val="top"/>
          </w:tcPr>
          <w:p w14:paraId="32AD1A76">
            <w:pPr>
              <w:rPr>
                <w:rFonts w:ascii="Arial"/>
                <w:color w:val="auto"/>
                <w:sz w:val="21"/>
                <w:highlight w:val="none"/>
              </w:rPr>
            </w:pPr>
          </w:p>
        </w:tc>
        <w:tc>
          <w:tcPr>
            <w:tcW w:w="1830" w:type="dxa"/>
            <w:gridSpan w:val="3"/>
            <w:vAlign w:val="top"/>
          </w:tcPr>
          <w:p w14:paraId="0DF3F0FE">
            <w:pPr>
              <w:rPr>
                <w:rFonts w:ascii="Arial"/>
                <w:color w:val="auto"/>
                <w:sz w:val="21"/>
                <w:highlight w:val="none"/>
              </w:rPr>
            </w:pPr>
          </w:p>
        </w:tc>
        <w:tc>
          <w:tcPr>
            <w:tcW w:w="1472" w:type="dxa"/>
            <w:gridSpan w:val="3"/>
            <w:vAlign w:val="top"/>
          </w:tcPr>
          <w:p w14:paraId="7995D758">
            <w:pPr>
              <w:rPr>
                <w:rFonts w:ascii="Arial"/>
                <w:color w:val="auto"/>
                <w:sz w:val="21"/>
                <w:highlight w:val="none"/>
              </w:rPr>
            </w:pPr>
          </w:p>
        </w:tc>
        <w:tc>
          <w:tcPr>
            <w:tcW w:w="1635" w:type="dxa"/>
            <w:gridSpan w:val="3"/>
            <w:vAlign w:val="top"/>
          </w:tcPr>
          <w:p w14:paraId="10D797D4">
            <w:pPr>
              <w:rPr>
                <w:rFonts w:ascii="Arial"/>
                <w:color w:val="auto"/>
                <w:sz w:val="21"/>
                <w:highlight w:val="none"/>
              </w:rPr>
            </w:pPr>
          </w:p>
        </w:tc>
        <w:tc>
          <w:tcPr>
            <w:tcW w:w="1505" w:type="dxa"/>
            <w:gridSpan w:val="2"/>
            <w:tcBorders>
              <w:right w:val="nil"/>
            </w:tcBorders>
            <w:vAlign w:val="top"/>
          </w:tcPr>
          <w:p w14:paraId="7F5E9DEE">
            <w:pPr>
              <w:rPr>
                <w:rFonts w:ascii="Arial"/>
                <w:color w:val="auto"/>
                <w:sz w:val="21"/>
                <w:highlight w:val="none"/>
              </w:rPr>
            </w:pPr>
            <w:r>
              <w:rPr>
                <w:color w:val="auto"/>
                <w:highlight w:val="none"/>
              </w:rPr>
              <w:drawing>
                <wp:anchor distT="0" distB="0" distL="0" distR="0" simplePos="0" relativeHeight="251681792"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9"/>
                          <a:stretch>
                            <a:fillRect/>
                          </a:stretch>
                        </pic:blipFill>
                        <pic:spPr>
                          <a:xfrm>
                            <a:off x="0" y="0"/>
                            <a:ext cx="6350" cy="348995"/>
                          </a:xfrm>
                          <a:prstGeom prst="rect">
                            <a:avLst/>
                          </a:prstGeom>
                        </pic:spPr>
                      </pic:pic>
                    </a:graphicData>
                  </a:graphic>
                </wp:anchor>
              </w:drawing>
            </w:r>
          </w:p>
        </w:tc>
      </w:tr>
      <w:tr w14:paraId="4B554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633" w:type="dxa"/>
            <w:gridSpan w:val="3"/>
            <w:vAlign w:val="top"/>
          </w:tcPr>
          <w:p w14:paraId="7EA3C808">
            <w:pPr>
              <w:pStyle w:val="88"/>
              <w:spacing w:before="217" w:line="221" w:lineRule="auto"/>
              <w:ind w:left="405"/>
              <w:rPr>
                <w:color w:val="auto"/>
                <w:highlight w:val="none"/>
              </w:rPr>
            </w:pPr>
            <w:r>
              <w:rPr>
                <w:color w:val="auto"/>
                <w:spacing w:val="-3"/>
                <w:highlight w:val="none"/>
              </w:rPr>
              <w:t>受奖情况</w:t>
            </w:r>
          </w:p>
        </w:tc>
        <w:tc>
          <w:tcPr>
            <w:tcW w:w="1548" w:type="dxa"/>
            <w:gridSpan w:val="2"/>
            <w:vAlign w:val="top"/>
          </w:tcPr>
          <w:p w14:paraId="23FE5992">
            <w:pPr>
              <w:rPr>
                <w:rFonts w:ascii="Arial"/>
                <w:color w:val="auto"/>
                <w:sz w:val="21"/>
                <w:highlight w:val="none"/>
              </w:rPr>
            </w:pPr>
          </w:p>
        </w:tc>
        <w:tc>
          <w:tcPr>
            <w:tcW w:w="1830" w:type="dxa"/>
            <w:gridSpan w:val="3"/>
            <w:vAlign w:val="top"/>
          </w:tcPr>
          <w:p w14:paraId="7A6623DB">
            <w:pPr>
              <w:rPr>
                <w:rFonts w:ascii="Arial"/>
                <w:color w:val="auto"/>
                <w:sz w:val="21"/>
                <w:highlight w:val="none"/>
              </w:rPr>
            </w:pPr>
          </w:p>
        </w:tc>
        <w:tc>
          <w:tcPr>
            <w:tcW w:w="1472" w:type="dxa"/>
            <w:gridSpan w:val="3"/>
            <w:vAlign w:val="top"/>
          </w:tcPr>
          <w:p w14:paraId="1E76393E">
            <w:pPr>
              <w:rPr>
                <w:rFonts w:ascii="Arial"/>
                <w:color w:val="auto"/>
                <w:sz w:val="21"/>
                <w:highlight w:val="none"/>
              </w:rPr>
            </w:pPr>
          </w:p>
        </w:tc>
        <w:tc>
          <w:tcPr>
            <w:tcW w:w="1635" w:type="dxa"/>
            <w:gridSpan w:val="3"/>
            <w:vAlign w:val="top"/>
          </w:tcPr>
          <w:p w14:paraId="02D8BAA2">
            <w:pPr>
              <w:rPr>
                <w:rFonts w:ascii="Arial"/>
                <w:color w:val="auto"/>
                <w:sz w:val="21"/>
                <w:highlight w:val="none"/>
              </w:rPr>
            </w:pPr>
          </w:p>
        </w:tc>
        <w:tc>
          <w:tcPr>
            <w:tcW w:w="1505" w:type="dxa"/>
            <w:gridSpan w:val="2"/>
            <w:tcBorders>
              <w:right w:val="nil"/>
            </w:tcBorders>
            <w:vAlign w:val="top"/>
          </w:tcPr>
          <w:p w14:paraId="43F4CCA1">
            <w:pPr>
              <w:rPr>
                <w:rFonts w:ascii="Arial"/>
                <w:color w:val="auto"/>
                <w:sz w:val="21"/>
                <w:highlight w:val="none"/>
              </w:rPr>
            </w:pPr>
            <w:r>
              <w:rPr>
                <w:color w:val="auto"/>
                <w:highlight w:val="none"/>
              </w:rPr>
              <w:drawing>
                <wp:anchor distT="0" distB="0" distL="0" distR="0" simplePos="0" relativeHeight="251682816" behindDoc="0" locked="0" layoutInCell="1" allowOverlap="1">
                  <wp:simplePos x="0" y="0"/>
                  <wp:positionH relativeFrom="rightMargin">
                    <wp:posOffset>-11430</wp:posOffset>
                  </wp:positionH>
                  <wp:positionV relativeFrom="topMargin">
                    <wp:posOffset>3175</wp:posOffset>
                  </wp:positionV>
                  <wp:extent cx="6350" cy="349250"/>
                  <wp:effectExtent l="0" t="0" r="12700" b="1270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8"/>
                          <a:stretch>
                            <a:fillRect/>
                          </a:stretch>
                        </pic:blipFill>
                        <pic:spPr>
                          <a:xfrm>
                            <a:off x="0" y="0"/>
                            <a:ext cx="6350" cy="348995"/>
                          </a:xfrm>
                          <a:prstGeom prst="rect">
                            <a:avLst/>
                          </a:prstGeom>
                        </pic:spPr>
                      </pic:pic>
                    </a:graphicData>
                  </a:graphic>
                </wp:anchor>
              </w:drawing>
            </w:r>
          </w:p>
        </w:tc>
      </w:tr>
    </w:tbl>
    <w:p w14:paraId="45D3F4FE">
      <w:pPr>
        <w:pStyle w:val="14"/>
        <w:spacing w:before="29" w:line="222" w:lineRule="auto"/>
        <w:ind w:left="231"/>
        <w:rPr>
          <w:color w:val="auto"/>
          <w:sz w:val="21"/>
          <w:szCs w:val="21"/>
          <w:highlight w:val="none"/>
        </w:rPr>
      </w:pPr>
      <w:r>
        <w:rPr>
          <w:color w:val="auto"/>
          <w:spacing w:val="-3"/>
          <w:sz w:val="21"/>
          <w:szCs w:val="21"/>
          <w:highlight w:val="none"/>
        </w:rPr>
        <w:t>备注：</w:t>
      </w:r>
    </w:p>
    <w:p w14:paraId="5496FFE4">
      <w:pPr>
        <w:pStyle w:val="14"/>
        <w:spacing w:before="155" w:line="220" w:lineRule="auto"/>
        <w:ind w:left="664"/>
        <w:rPr>
          <w:color w:val="auto"/>
          <w:sz w:val="21"/>
          <w:szCs w:val="21"/>
          <w:highlight w:val="none"/>
        </w:rPr>
      </w:pPr>
      <w:r>
        <w:rPr>
          <w:color w:val="auto"/>
          <w:spacing w:val="-1"/>
          <w:sz w:val="21"/>
          <w:szCs w:val="21"/>
          <w:highlight w:val="none"/>
        </w:rPr>
        <w:t>1.供应商可以根据项目情况增减表格内容，项目数可以根据需要增加。</w:t>
      </w:r>
    </w:p>
    <w:p w14:paraId="4EB50F1A">
      <w:pPr>
        <w:pStyle w:val="14"/>
        <w:spacing w:before="159" w:line="362" w:lineRule="auto"/>
        <w:ind w:left="229" w:right="216" w:firstLine="422"/>
        <w:rPr>
          <w:color w:val="auto"/>
          <w:sz w:val="21"/>
          <w:szCs w:val="21"/>
          <w:highlight w:val="none"/>
        </w:rPr>
      </w:pPr>
      <w:r>
        <w:rPr>
          <w:color w:val="auto"/>
          <w:sz w:val="21"/>
          <w:szCs w:val="21"/>
          <w:highlight w:val="none"/>
        </w:rPr>
        <w:t>2.本表后附专职安全生产管理人员的安全生产考核合格证（C</w:t>
      </w:r>
      <w:r>
        <w:rPr>
          <w:color w:val="auto"/>
          <w:spacing w:val="-46"/>
          <w:sz w:val="21"/>
          <w:szCs w:val="21"/>
          <w:highlight w:val="none"/>
        </w:rPr>
        <w:t xml:space="preserve"> </w:t>
      </w:r>
      <w:r>
        <w:rPr>
          <w:color w:val="auto"/>
          <w:sz w:val="21"/>
          <w:szCs w:val="21"/>
          <w:highlight w:val="none"/>
        </w:rPr>
        <w:t>类</w:t>
      </w:r>
      <w:r>
        <w:rPr>
          <w:color w:val="auto"/>
          <w:spacing w:val="-1"/>
          <w:sz w:val="21"/>
          <w:szCs w:val="21"/>
          <w:highlight w:val="none"/>
        </w:rPr>
        <w:t>）、本表所列证书复印件并加盖供应商公章。</w:t>
      </w:r>
    </w:p>
    <w:p w14:paraId="026A033A">
      <w:pPr>
        <w:spacing w:line="362" w:lineRule="auto"/>
        <w:rPr>
          <w:color w:val="auto"/>
          <w:sz w:val="21"/>
          <w:szCs w:val="21"/>
          <w:highlight w:val="none"/>
        </w:rPr>
        <w:sectPr>
          <w:footerReference r:id="rId9" w:type="default"/>
          <w:pgSz w:w="11900" w:h="16840"/>
          <w:pgMar w:top="1327" w:right="1073" w:bottom="848" w:left="1197" w:header="0" w:footer="649" w:gutter="0"/>
          <w:cols w:space="720" w:num="1"/>
        </w:sectPr>
      </w:pPr>
    </w:p>
    <w:p w14:paraId="040FA2BE">
      <w:pPr>
        <w:pStyle w:val="14"/>
        <w:spacing w:before="56" w:line="219" w:lineRule="auto"/>
        <w:ind w:left="3066"/>
        <w:rPr>
          <w:color w:val="auto"/>
          <w:sz w:val="28"/>
          <w:szCs w:val="28"/>
          <w:highlight w:val="none"/>
        </w:rPr>
      </w:pPr>
      <w:r>
        <w:rPr>
          <w:b/>
          <w:bCs/>
          <w:color w:val="auto"/>
          <w:spacing w:val="-4"/>
          <w:sz w:val="28"/>
          <w:szCs w:val="28"/>
          <w:highlight w:val="none"/>
        </w:rPr>
        <w:t>建设工程项目管理承诺书</w:t>
      </w:r>
    </w:p>
    <w:p w14:paraId="65A20373">
      <w:pPr>
        <w:spacing w:line="255" w:lineRule="auto"/>
        <w:rPr>
          <w:rFonts w:ascii="Arial"/>
          <w:color w:val="auto"/>
          <w:sz w:val="21"/>
          <w:highlight w:val="none"/>
        </w:rPr>
      </w:pPr>
    </w:p>
    <w:p w14:paraId="3CCC6E08">
      <w:pPr>
        <w:spacing w:line="255" w:lineRule="auto"/>
        <w:rPr>
          <w:rFonts w:ascii="Arial"/>
          <w:color w:val="auto"/>
          <w:sz w:val="21"/>
          <w:highlight w:val="none"/>
        </w:rPr>
      </w:pPr>
    </w:p>
    <w:p w14:paraId="07F486D5">
      <w:pPr>
        <w:spacing w:line="256" w:lineRule="auto"/>
        <w:rPr>
          <w:rFonts w:ascii="Arial"/>
          <w:color w:val="auto"/>
          <w:sz w:val="21"/>
          <w:highlight w:val="none"/>
        </w:rPr>
      </w:pPr>
    </w:p>
    <w:p w14:paraId="09A8DA02">
      <w:pPr>
        <w:pStyle w:val="14"/>
        <w:spacing w:before="78" w:line="219" w:lineRule="auto"/>
        <w:ind w:left="11"/>
        <w:rPr>
          <w:color w:val="auto"/>
          <w:sz w:val="24"/>
          <w:szCs w:val="24"/>
          <w:highlight w:val="none"/>
        </w:rPr>
      </w:pPr>
      <w:r>
        <w:rPr>
          <w:color w:val="auto"/>
          <w:sz w:val="24"/>
          <w:szCs w:val="24"/>
          <w:highlight w:val="none"/>
        </w:rPr>
        <w:t>致</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（采购单位名称</w:t>
      </w:r>
      <w:r>
        <w:rPr>
          <w:color w:val="auto"/>
          <w:sz w:val="24"/>
          <w:szCs w:val="24"/>
          <w:highlight w:val="none"/>
        </w:rPr>
        <w:t>）：</w:t>
      </w:r>
    </w:p>
    <w:p w14:paraId="3962290F">
      <w:pPr>
        <w:spacing w:line="430" w:lineRule="auto"/>
        <w:rPr>
          <w:rFonts w:ascii="Arial"/>
          <w:color w:val="auto"/>
          <w:sz w:val="21"/>
          <w:highlight w:val="none"/>
        </w:rPr>
      </w:pPr>
    </w:p>
    <w:p w14:paraId="2C3C3D41">
      <w:pPr>
        <w:pStyle w:val="14"/>
        <w:spacing w:before="78" w:line="401" w:lineRule="auto"/>
        <w:ind w:left="19" w:right="160" w:firstLine="504"/>
        <w:rPr>
          <w:color w:val="auto"/>
          <w:sz w:val="24"/>
          <w:szCs w:val="24"/>
          <w:highlight w:val="none"/>
        </w:rPr>
      </w:pPr>
      <w:r>
        <w:rPr>
          <w:color w:val="auto"/>
          <w:spacing w:val="-1"/>
          <w:sz w:val="24"/>
          <w:szCs w:val="24"/>
          <w:highlight w:val="none"/>
        </w:rPr>
        <w:t>作为参与</w:t>
      </w:r>
      <w:r>
        <w:rPr>
          <w:color w:val="auto"/>
          <w:spacing w:val="-105"/>
          <w:sz w:val="24"/>
          <w:szCs w:val="24"/>
          <w:highlight w:val="none"/>
        </w:rPr>
        <w:t xml:space="preserve"> </w:t>
      </w:r>
      <w:r>
        <w:rPr>
          <w:color w:val="auto"/>
          <w:spacing w:val="-1"/>
          <w:sz w:val="24"/>
          <w:szCs w:val="24"/>
          <w:highlight w:val="none"/>
          <w:u w:val="single" w:color="auto"/>
        </w:rPr>
        <w:t xml:space="preserve">                        </w:t>
      </w:r>
      <w:r>
        <w:rPr>
          <w:color w:val="auto"/>
          <w:spacing w:val="-1"/>
          <w:sz w:val="24"/>
          <w:szCs w:val="24"/>
          <w:highlight w:val="none"/>
        </w:rPr>
        <w:t>（项目名称）的磋商供应商，根据国家、自治</w:t>
      </w:r>
      <w:r>
        <w:rPr>
          <w:color w:val="auto"/>
          <w:spacing w:val="-2"/>
          <w:sz w:val="24"/>
          <w:szCs w:val="24"/>
          <w:highlight w:val="none"/>
        </w:rPr>
        <w:t>区相关文件规定，我方在此向采购单位承诺：</w:t>
      </w:r>
    </w:p>
    <w:p w14:paraId="7594FC58">
      <w:pPr>
        <w:pStyle w:val="14"/>
        <w:spacing w:before="2" w:line="398" w:lineRule="auto"/>
        <w:ind w:right="101" w:firstLine="541"/>
        <w:rPr>
          <w:color w:val="auto"/>
          <w:sz w:val="24"/>
          <w:szCs w:val="24"/>
          <w:highlight w:val="none"/>
        </w:rPr>
      </w:pPr>
      <w:r>
        <w:rPr>
          <w:rFonts w:ascii="Times New Roman" w:hAnsi="Times New Roman" w:eastAsia="Times New Roman" w:cs="Times New Roman"/>
          <w:color w:val="auto"/>
          <w:spacing w:val="-3"/>
          <w:sz w:val="24"/>
          <w:szCs w:val="24"/>
          <w:highlight w:val="none"/>
        </w:rPr>
        <w:t>1</w:t>
      </w:r>
      <w:r>
        <w:rPr>
          <w:color w:val="auto"/>
          <w:spacing w:val="-3"/>
          <w:sz w:val="24"/>
          <w:szCs w:val="24"/>
          <w:highlight w:val="none"/>
        </w:rPr>
        <w:t>、一旦中标，我方保证按照政府相关部门的规定，在发出成交通知书之</w:t>
      </w:r>
      <w:r>
        <w:rPr>
          <w:color w:val="auto"/>
          <w:spacing w:val="-4"/>
          <w:sz w:val="24"/>
          <w:szCs w:val="24"/>
          <w:highlight w:val="none"/>
        </w:rPr>
        <w:t>日起</w:t>
      </w:r>
      <w:r>
        <w:rPr>
          <w:color w:val="auto"/>
          <w:spacing w:val="-51"/>
          <w:sz w:val="24"/>
          <w:szCs w:val="24"/>
          <w:highlight w:val="none"/>
        </w:rPr>
        <w:t xml:space="preserve"> </w:t>
      </w:r>
      <w:r>
        <w:rPr>
          <w:rFonts w:ascii="Times New Roman" w:hAnsi="Times New Roman" w:eastAsia="Times New Roman" w:cs="Times New Roman"/>
          <w:color w:val="auto"/>
          <w:spacing w:val="-4"/>
          <w:sz w:val="24"/>
          <w:szCs w:val="24"/>
          <w:highlight w:val="none"/>
        </w:rPr>
        <w:t xml:space="preserve">7 </w:t>
      </w:r>
      <w:r>
        <w:rPr>
          <w:color w:val="auto"/>
          <w:spacing w:val="-4"/>
          <w:sz w:val="24"/>
          <w:szCs w:val="24"/>
          <w:highlight w:val="none"/>
        </w:rPr>
        <w:t>个工</w:t>
      </w:r>
      <w:r>
        <w:rPr>
          <w:color w:val="auto"/>
          <w:sz w:val="24"/>
          <w:szCs w:val="24"/>
          <w:highlight w:val="none"/>
        </w:rPr>
        <w:t>作日内足额将农民工工资保障金转入农民工工资保障金专用账户。</w:t>
      </w:r>
      <w:r>
        <w:rPr>
          <w:color w:val="auto"/>
          <w:spacing w:val="-1"/>
          <w:sz w:val="24"/>
          <w:szCs w:val="24"/>
          <w:highlight w:val="none"/>
        </w:rPr>
        <w:t>一旦我方所承包的该</w:t>
      </w:r>
      <w:r>
        <w:rPr>
          <w:color w:val="auto"/>
          <w:sz w:val="24"/>
          <w:szCs w:val="24"/>
          <w:highlight w:val="none"/>
        </w:rPr>
        <w:t>项目中出现拖欠农民工工资情况，由劳动保障、住房城乡建设行政</w:t>
      </w:r>
      <w:r>
        <w:rPr>
          <w:color w:val="auto"/>
          <w:spacing w:val="-1"/>
          <w:sz w:val="24"/>
          <w:szCs w:val="24"/>
          <w:highlight w:val="none"/>
        </w:rPr>
        <w:t>主管部门按照《关于进一步完善建筑行业农民工工资保证金制度的通知》（桂劳社发〔</w:t>
      </w:r>
      <w:r>
        <w:rPr>
          <w:rFonts w:ascii="Times New Roman" w:hAnsi="Times New Roman" w:eastAsia="Times New Roman" w:cs="Times New Roman"/>
          <w:color w:val="auto"/>
          <w:spacing w:val="-1"/>
          <w:sz w:val="24"/>
          <w:szCs w:val="24"/>
          <w:highlight w:val="none"/>
        </w:rPr>
        <w:t>2009</w:t>
      </w:r>
      <w:r>
        <w:rPr>
          <w:color w:val="auto"/>
          <w:spacing w:val="-1"/>
          <w:sz w:val="24"/>
          <w:szCs w:val="24"/>
          <w:highlight w:val="none"/>
        </w:rPr>
        <w:t>〕</w:t>
      </w:r>
      <w:r>
        <w:rPr>
          <w:rFonts w:ascii="Times New Roman" w:hAnsi="Times New Roman" w:eastAsia="Times New Roman" w:cs="Times New Roman"/>
          <w:color w:val="auto"/>
          <w:spacing w:val="-1"/>
          <w:sz w:val="24"/>
          <w:szCs w:val="24"/>
          <w:highlight w:val="none"/>
        </w:rPr>
        <w:t>50</w:t>
      </w:r>
      <w:r>
        <w:rPr>
          <w:rFonts w:ascii="Times New Roman" w:hAnsi="Times New Roman" w:eastAsia="Times New Roman" w:cs="Times New Roman"/>
          <w:color w:val="auto"/>
          <w:spacing w:val="32"/>
          <w:sz w:val="24"/>
          <w:szCs w:val="24"/>
          <w:highlight w:val="none"/>
        </w:rPr>
        <w:t xml:space="preserve"> </w:t>
      </w:r>
      <w:r>
        <w:rPr>
          <w:color w:val="auto"/>
          <w:spacing w:val="-1"/>
          <w:sz w:val="24"/>
          <w:szCs w:val="24"/>
          <w:highlight w:val="none"/>
        </w:rPr>
        <w:t>号）从我方农民工工资保障金中先予划支。</w:t>
      </w:r>
    </w:p>
    <w:p w14:paraId="4D98F808">
      <w:pPr>
        <w:pStyle w:val="14"/>
        <w:spacing w:before="10" w:line="400" w:lineRule="auto"/>
        <w:ind w:left="6" w:right="117" w:firstLine="511"/>
        <w:rPr>
          <w:color w:val="auto"/>
          <w:sz w:val="24"/>
          <w:szCs w:val="24"/>
          <w:highlight w:val="none"/>
        </w:rPr>
      </w:pPr>
      <w:r>
        <w:rPr>
          <w:rFonts w:ascii="Times New Roman" w:hAnsi="Times New Roman" w:eastAsia="Times New Roman" w:cs="Times New Roman"/>
          <w:color w:val="auto"/>
          <w:spacing w:val="-4"/>
          <w:sz w:val="24"/>
          <w:szCs w:val="24"/>
          <w:highlight w:val="none"/>
        </w:rPr>
        <w:t>2</w:t>
      </w:r>
      <w:r>
        <w:rPr>
          <w:rFonts w:ascii="Times New Roman" w:hAnsi="Times New Roman" w:eastAsia="Times New Roman" w:cs="Times New Roman"/>
          <w:color w:val="auto"/>
          <w:spacing w:val="-16"/>
          <w:sz w:val="24"/>
          <w:szCs w:val="24"/>
          <w:highlight w:val="none"/>
        </w:rPr>
        <w:t xml:space="preserve"> </w:t>
      </w:r>
      <w:r>
        <w:rPr>
          <w:color w:val="auto"/>
          <w:spacing w:val="-4"/>
          <w:sz w:val="24"/>
          <w:szCs w:val="24"/>
          <w:highlight w:val="none"/>
        </w:rPr>
        <w:t>、一旦中标，我方保证在施工过程中，严格执行</w:t>
      </w:r>
      <w:r>
        <w:rPr>
          <w:color w:val="auto"/>
          <w:spacing w:val="-4"/>
          <w:sz w:val="24"/>
          <w:szCs w:val="24"/>
          <w:highlight w:val="none"/>
          <w:u w:val="single" w:color="auto"/>
        </w:rPr>
        <w:t>《广西壮族自治区建设工程安全文</w:t>
      </w:r>
      <w:r>
        <w:rPr>
          <w:color w:val="auto"/>
          <w:spacing w:val="-1"/>
          <w:sz w:val="24"/>
          <w:szCs w:val="24"/>
          <w:highlight w:val="none"/>
          <w:u w:val="single" w:color="auto"/>
        </w:rPr>
        <w:t>明施工费使用管理细则》（桂建质安【</w:t>
      </w:r>
      <w:r>
        <w:rPr>
          <w:rFonts w:ascii="Times New Roman" w:hAnsi="Times New Roman" w:eastAsia="Times New Roman" w:cs="Times New Roman"/>
          <w:color w:val="auto"/>
          <w:spacing w:val="-1"/>
          <w:sz w:val="24"/>
          <w:szCs w:val="24"/>
          <w:highlight w:val="none"/>
          <w:u w:val="single" w:color="auto"/>
        </w:rPr>
        <w:t>2015</w:t>
      </w:r>
      <w:r>
        <w:rPr>
          <w:color w:val="auto"/>
          <w:spacing w:val="-1"/>
          <w:sz w:val="24"/>
          <w:szCs w:val="24"/>
          <w:highlight w:val="none"/>
          <w:u w:val="single" w:color="auto"/>
        </w:rPr>
        <w:t>】</w:t>
      </w:r>
      <w:r>
        <w:rPr>
          <w:rFonts w:ascii="Times New Roman" w:hAnsi="Times New Roman" w:eastAsia="Times New Roman" w:cs="Times New Roman"/>
          <w:color w:val="auto"/>
          <w:spacing w:val="-1"/>
          <w:sz w:val="24"/>
          <w:szCs w:val="24"/>
          <w:highlight w:val="none"/>
          <w:u w:val="single" w:color="auto"/>
        </w:rPr>
        <w:t>16</w:t>
      </w:r>
      <w:r>
        <w:rPr>
          <w:rFonts w:ascii="Times New Roman" w:hAnsi="Times New Roman" w:eastAsia="Times New Roman" w:cs="Times New Roman"/>
          <w:color w:val="auto"/>
          <w:spacing w:val="25"/>
          <w:w w:val="101"/>
          <w:sz w:val="24"/>
          <w:szCs w:val="24"/>
          <w:highlight w:val="none"/>
          <w:u w:val="single" w:color="auto"/>
        </w:rPr>
        <w:t xml:space="preserve"> </w:t>
      </w:r>
      <w:r>
        <w:rPr>
          <w:color w:val="auto"/>
          <w:spacing w:val="-1"/>
          <w:sz w:val="24"/>
          <w:szCs w:val="24"/>
          <w:highlight w:val="none"/>
          <w:u w:val="single" w:color="auto"/>
        </w:rPr>
        <w:t>号文）</w:t>
      </w:r>
      <w:r>
        <w:rPr>
          <w:color w:val="auto"/>
          <w:spacing w:val="-1"/>
          <w:sz w:val="24"/>
          <w:szCs w:val="24"/>
          <w:highlight w:val="none"/>
        </w:rPr>
        <w:t>的有关规定，确保建设工程各项</w:t>
      </w:r>
      <w:r>
        <w:rPr>
          <w:color w:val="auto"/>
          <w:sz w:val="24"/>
          <w:szCs w:val="24"/>
          <w:highlight w:val="none"/>
        </w:rPr>
        <w:t>安全防护、文明施工措施落实到位。如我方在该项目的</w:t>
      </w:r>
      <w:r>
        <w:rPr>
          <w:color w:val="auto"/>
          <w:spacing w:val="-1"/>
          <w:sz w:val="24"/>
          <w:szCs w:val="24"/>
          <w:highlight w:val="none"/>
        </w:rPr>
        <w:t>承包中出现未按桂建质〔</w:t>
      </w:r>
      <w:r>
        <w:rPr>
          <w:rFonts w:ascii="Times New Roman" w:hAnsi="Times New Roman" w:eastAsia="Times New Roman" w:cs="Times New Roman"/>
          <w:color w:val="auto"/>
          <w:spacing w:val="-1"/>
          <w:sz w:val="24"/>
          <w:szCs w:val="24"/>
          <w:highlight w:val="none"/>
        </w:rPr>
        <w:t>2015</w:t>
      </w:r>
      <w:r>
        <w:rPr>
          <w:color w:val="auto"/>
          <w:spacing w:val="-1"/>
          <w:sz w:val="24"/>
          <w:szCs w:val="24"/>
          <w:highlight w:val="none"/>
        </w:rPr>
        <w:t>〕</w:t>
      </w:r>
    </w:p>
    <w:p w14:paraId="236C7DD5">
      <w:pPr>
        <w:pStyle w:val="14"/>
        <w:spacing w:before="1" w:line="393" w:lineRule="auto"/>
        <w:ind w:left="6" w:right="121" w:firstLine="13"/>
        <w:rPr>
          <w:color w:val="auto"/>
          <w:sz w:val="24"/>
          <w:szCs w:val="24"/>
          <w:highlight w:val="none"/>
        </w:rPr>
      </w:pPr>
      <w:r>
        <w:rPr>
          <w:rFonts w:ascii="Times New Roman" w:hAnsi="Times New Roman" w:eastAsia="Times New Roman" w:cs="Times New Roman"/>
          <w:color w:val="auto"/>
          <w:spacing w:val="-1"/>
          <w:sz w:val="24"/>
          <w:szCs w:val="24"/>
          <w:highlight w:val="none"/>
        </w:rPr>
        <w:t>16</w:t>
      </w:r>
      <w:r>
        <w:rPr>
          <w:rFonts w:ascii="Times New Roman" w:hAnsi="Times New Roman" w:eastAsia="Times New Roman" w:cs="Times New Roman"/>
          <w:color w:val="auto"/>
          <w:spacing w:val="15"/>
          <w:w w:val="101"/>
          <w:sz w:val="24"/>
          <w:szCs w:val="24"/>
          <w:highlight w:val="none"/>
        </w:rPr>
        <w:t xml:space="preserve"> </w:t>
      </w:r>
      <w:r>
        <w:rPr>
          <w:color w:val="auto"/>
          <w:spacing w:val="-1"/>
          <w:sz w:val="24"/>
          <w:szCs w:val="24"/>
          <w:highlight w:val="none"/>
        </w:rPr>
        <w:t>号文附件一规定执行的情形，我方愿意按照相关规定接受建设单位及有</w:t>
      </w:r>
      <w:r>
        <w:rPr>
          <w:color w:val="auto"/>
          <w:spacing w:val="-2"/>
          <w:sz w:val="24"/>
          <w:szCs w:val="24"/>
          <w:highlight w:val="none"/>
        </w:rPr>
        <w:t>关主管部门的</w:t>
      </w:r>
      <w:r>
        <w:rPr>
          <w:color w:val="auto"/>
          <w:spacing w:val="-5"/>
          <w:sz w:val="24"/>
          <w:szCs w:val="24"/>
          <w:highlight w:val="none"/>
        </w:rPr>
        <w:t>处罚。</w:t>
      </w:r>
    </w:p>
    <w:p w14:paraId="21F9FE8A">
      <w:pPr>
        <w:pStyle w:val="14"/>
        <w:spacing w:before="14" w:line="399" w:lineRule="auto"/>
        <w:ind w:left="10" w:right="104" w:firstLine="513"/>
        <w:rPr>
          <w:color w:val="auto"/>
          <w:sz w:val="24"/>
          <w:szCs w:val="24"/>
          <w:highlight w:val="none"/>
        </w:rPr>
      </w:pPr>
      <w:r>
        <w:rPr>
          <w:rFonts w:ascii="Times New Roman" w:hAnsi="Times New Roman" w:eastAsia="Times New Roman" w:cs="Times New Roman"/>
          <w:color w:val="auto"/>
          <w:spacing w:val="-3"/>
          <w:sz w:val="24"/>
          <w:szCs w:val="24"/>
          <w:highlight w:val="none"/>
        </w:rPr>
        <w:t>3</w:t>
      </w:r>
      <w:r>
        <w:rPr>
          <w:color w:val="auto"/>
          <w:spacing w:val="-3"/>
          <w:sz w:val="24"/>
          <w:szCs w:val="24"/>
          <w:highlight w:val="none"/>
        </w:rPr>
        <w:t>、一旦中标，我方保证在施工过程中，严格执行散装水泥和预拌混凝土管理的有关</w:t>
      </w:r>
      <w:r>
        <w:rPr>
          <w:color w:val="auto"/>
          <w:sz w:val="24"/>
          <w:szCs w:val="24"/>
          <w:highlight w:val="none"/>
        </w:rPr>
        <w:t>规定，确保建设工程按规定使用散装水泥和预拌混凝土。如</w:t>
      </w:r>
      <w:r>
        <w:rPr>
          <w:color w:val="auto"/>
          <w:spacing w:val="-1"/>
          <w:sz w:val="24"/>
          <w:szCs w:val="24"/>
          <w:highlight w:val="none"/>
        </w:rPr>
        <w:t>我方在该项目的承包中出现</w:t>
      </w:r>
      <w:r>
        <w:rPr>
          <w:color w:val="auto"/>
          <w:sz w:val="24"/>
          <w:szCs w:val="24"/>
          <w:highlight w:val="none"/>
        </w:rPr>
        <w:t>未按规定执行的情形，我方愿意按照相关规定接受建设单</w:t>
      </w:r>
      <w:r>
        <w:rPr>
          <w:color w:val="auto"/>
          <w:spacing w:val="-1"/>
          <w:sz w:val="24"/>
          <w:szCs w:val="24"/>
          <w:highlight w:val="none"/>
        </w:rPr>
        <w:t>位及有关主管部门的处罚。</w:t>
      </w:r>
    </w:p>
    <w:p w14:paraId="54262E37">
      <w:pPr>
        <w:pStyle w:val="14"/>
        <w:spacing w:before="6" w:line="394" w:lineRule="auto"/>
        <w:ind w:left="1" w:right="104" w:firstLine="515"/>
        <w:rPr>
          <w:color w:val="auto"/>
          <w:sz w:val="24"/>
          <w:szCs w:val="24"/>
          <w:highlight w:val="none"/>
        </w:rPr>
      </w:pPr>
      <w:r>
        <w:rPr>
          <w:rFonts w:ascii="Times New Roman" w:hAnsi="Times New Roman" w:eastAsia="Times New Roman" w:cs="Times New Roman"/>
          <w:color w:val="auto"/>
          <w:spacing w:val="-3"/>
          <w:sz w:val="24"/>
          <w:szCs w:val="24"/>
          <w:highlight w:val="none"/>
        </w:rPr>
        <w:t>4</w:t>
      </w:r>
      <w:r>
        <w:rPr>
          <w:rFonts w:ascii="Times New Roman" w:hAnsi="Times New Roman" w:eastAsia="Times New Roman" w:cs="Times New Roman"/>
          <w:color w:val="auto"/>
          <w:spacing w:val="-33"/>
          <w:sz w:val="24"/>
          <w:szCs w:val="24"/>
          <w:highlight w:val="none"/>
        </w:rPr>
        <w:t xml:space="preserve"> </w:t>
      </w:r>
      <w:r>
        <w:rPr>
          <w:color w:val="auto"/>
          <w:spacing w:val="-3"/>
          <w:sz w:val="24"/>
          <w:szCs w:val="24"/>
          <w:highlight w:val="none"/>
        </w:rPr>
        <w:t>、一旦中标，我方保证在施工过程中，严格执行《关于禁止使用不符合</w:t>
      </w:r>
      <w:r>
        <w:rPr>
          <w:color w:val="auto"/>
          <w:spacing w:val="-4"/>
          <w:sz w:val="24"/>
          <w:szCs w:val="24"/>
          <w:highlight w:val="none"/>
        </w:rPr>
        <w:t>规范要求的</w:t>
      </w:r>
      <w:r>
        <w:rPr>
          <w:color w:val="auto"/>
          <w:spacing w:val="-1"/>
          <w:sz w:val="24"/>
          <w:szCs w:val="24"/>
          <w:highlight w:val="none"/>
        </w:rPr>
        <w:t>竹脚手架的通知》（桂建管字〔</w:t>
      </w:r>
      <w:r>
        <w:rPr>
          <w:rFonts w:ascii="Times New Roman" w:hAnsi="Times New Roman" w:eastAsia="Times New Roman" w:cs="Times New Roman"/>
          <w:color w:val="auto"/>
          <w:spacing w:val="-1"/>
          <w:sz w:val="24"/>
          <w:szCs w:val="24"/>
          <w:highlight w:val="none"/>
        </w:rPr>
        <w:t>2003</w:t>
      </w:r>
      <w:r>
        <w:rPr>
          <w:color w:val="auto"/>
          <w:spacing w:val="-1"/>
          <w:sz w:val="24"/>
          <w:szCs w:val="24"/>
          <w:highlight w:val="none"/>
        </w:rPr>
        <w:t>〕</w:t>
      </w:r>
      <w:r>
        <w:rPr>
          <w:rFonts w:ascii="Times New Roman" w:hAnsi="Times New Roman" w:eastAsia="Times New Roman" w:cs="Times New Roman"/>
          <w:color w:val="auto"/>
          <w:spacing w:val="-1"/>
          <w:sz w:val="24"/>
          <w:szCs w:val="24"/>
          <w:highlight w:val="none"/>
        </w:rPr>
        <w:t>40</w:t>
      </w:r>
      <w:r>
        <w:rPr>
          <w:rFonts w:ascii="Times New Roman" w:hAnsi="Times New Roman" w:eastAsia="Times New Roman" w:cs="Times New Roman"/>
          <w:color w:val="auto"/>
          <w:spacing w:val="30"/>
          <w:sz w:val="24"/>
          <w:szCs w:val="24"/>
          <w:highlight w:val="none"/>
        </w:rPr>
        <w:t xml:space="preserve"> </w:t>
      </w:r>
      <w:r>
        <w:rPr>
          <w:color w:val="auto"/>
          <w:spacing w:val="-1"/>
          <w:sz w:val="24"/>
          <w:szCs w:val="24"/>
          <w:highlight w:val="none"/>
        </w:rPr>
        <w:t>号）的有关规定，不使用竹脚手架。如我方在</w:t>
      </w:r>
      <w:r>
        <w:rPr>
          <w:color w:val="auto"/>
          <w:sz w:val="24"/>
          <w:szCs w:val="24"/>
          <w:highlight w:val="none"/>
        </w:rPr>
        <w:t>该项目的承包中出现未按规定执行的情形，我方愿意按照相关</w:t>
      </w:r>
      <w:r>
        <w:rPr>
          <w:color w:val="auto"/>
          <w:spacing w:val="-1"/>
          <w:sz w:val="24"/>
          <w:szCs w:val="24"/>
          <w:highlight w:val="none"/>
        </w:rPr>
        <w:t>规定接受建设单位及有关</w:t>
      </w:r>
    </w:p>
    <w:p w14:paraId="6A2074AD">
      <w:pPr>
        <w:pStyle w:val="14"/>
        <w:spacing w:before="24" w:line="219" w:lineRule="auto"/>
        <w:ind w:left="3"/>
        <w:rPr>
          <w:color w:val="auto"/>
          <w:sz w:val="24"/>
          <w:szCs w:val="24"/>
          <w:highlight w:val="none"/>
        </w:rPr>
      </w:pPr>
      <w:r>
        <w:rPr>
          <w:color w:val="auto"/>
          <w:spacing w:val="-2"/>
          <w:sz w:val="24"/>
          <w:szCs w:val="24"/>
          <w:highlight w:val="none"/>
        </w:rPr>
        <w:t>主管部门的处罚。</w:t>
      </w:r>
    </w:p>
    <w:p w14:paraId="4B197756">
      <w:pPr>
        <w:pStyle w:val="14"/>
        <w:spacing w:before="60" w:line="219" w:lineRule="auto"/>
        <w:ind w:left="4090"/>
        <w:rPr>
          <w:color w:val="auto"/>
          <w:sz w:val="24"/>
          <w:szCs w:val="24"/>
          <w:highlight w:val="none"/>
        </w:rPr>
      </w:pPr>
      <w:r>
        <w:rPr>
          <w:color w:val="auto"/>
          <w:spacing w:val="3"/>
          <w:sz w:val="24"/>
          <w:szCs w:val="24"/>
          <w:highlight w:val="none"/>
        </w:rPr>
        <w:t>磋商供应商</w:t>
      </w:r>
      <w:r>
        <w:rPr>
          <w:color w:val="auto"/>
          <w:spacing w:val="-17"/>
          <w:sz w:val="24"/>
          <w:szCs w:val="24"/>
          <w:highlight w:val="none"/>
        </w:rPr>
        <w:t>：</w:t>
      </w:r>
      <w:r>
        <w:rPr>
          <w:color w:val="auto"/>
          <w:spacing w:val="9"/>
          <w:sz w:val="24"/>
          <w:szCs w:val="24"/>
          <w:highlight w:val="none"/>
          <w:u w:val="single" w:color="auto"/>
        </w:rPr>
        <w:t xml:space="preserve">             </w:t>
      </w:r>
      <w:r>
        <w:rPr>
          <w:color w:val="auto"/>
          <w:spacing w:val="-17"/>
          <w:sz w:val="24"/>
          <w:szCs w:val="24"/>
          <w:highlight w:val="none"/>
          <w:u w:val="single" w:color="auto"/>
        </w:rPr>
        <w:t>（</w:t>
      </w:r>
      <w:r>
        <w:rPr>
          <w:color w:val="auto"/>
          <w:spacing w:val="3"/>
          <w:sz w:val="24"/>
          <w:szCs w:val="24"/>
          <w:highlight w:val="none"/>
          <w:u w:val="single" w:color="auto"/>
        </w:rPr>
        <w:t>公章）</w:t>
      </w:r>
    </w:p>
    <w:p w14:paraId="3B4111C8">
      <w:pPr>
        <w:pStyle w:val="14"/>
        <w:spacing w:before="181" w:line="219" w:lineRule="auto"/>
        <w:jc w:val="right"/>
        <w:rPr>
          <w:color w:val="auto"/>
          <w:sz w:val="24"/>
          <w:szCs w:val="24"/>
          <w:highlight w:val="none"/>
        </w:rPr>
      </w:pPr>
      <w:r>
        <w:rPr>
          <w:color w:val="auto"/>
          <w:sz w:val="24"/>
          <w:szCs w:val="24"/>
          <w:highlight w:val="none"/>
        </w:rPr>
        <w:t>法定代表人或授权代理人</w:t>
      </w:r>
      <w:r>
        <w:rPr>
          <w:color w:val="auto"/>
          <w:spacing w:val="-57"/>
          <w:sz w:val="24"/>
          <w:szCs w:val="24"/>
          <w:highlight w:val="none"/>
        </w:rPr>
        <w:t>：</w:t>
      </w:r>
      <w:r>
        <w:rPr>
          <w:color w:val="auto"/>
          <w:spacing w:val="4"/>
          <w:sz w:val="24"/>
          <w:szCs w:val="24"/>
          <w:highlight w:val="none"/>
          <w:u w:val="single" w:color="auto"/>
        </w:rPr>
        <w:t xml:space="preserve">       </w:t>
      </w:r>
      <w:r>
        <w:rPr>
          <w:color w:val="auto"/>
          <w:spacing w:val="-57"/>
          <w:sz w:val="24"/>
          <w:szCs w:val="24"/>
          <w:highlight w:val="none"/>
          <w:u w:val="single" w:color="auto"/>
        </w:rPr>
        <w:t>（</w:t>
      </w:r>
      <w:r>
        <w:rPr>
          <w:color w:val="auto"/>
          <w:sz w:val="24"/>
          <w:szCs w:val="24"/>
          <w:highlight w:val="none"/>
          <w:u w:val="single" w:color="auto"/>
        </w:rPr>
        <w:t>签字或盖章）</w:t>
      </w:r>
    </w:p>
    <w:p w14:paraId="774B0694">
      <w:pPr>
        <w:pStyle w:val="14"/>
        <w:spacing w:before="184" w:line="219" w:lineRule="auto"/>
        <w:ind w:left="5666"/>
        <w:rPr>
          <w:color w:val="auto"/>
          <w:sz w:val="24"/>
          <w:szCs w:val="24"/>
          <w:highlight w:val="none"/>
        </w:rPr>
      </w:pPr>
      <w:r>
        <w:rPr>
          <w:color w:val="auto"/>
          <w:spacing w:val="-13"/>
          <w:sz w:val="24"/>
          <w:szCs w:val="24"/>
          <w:highlight w:val="none"/>
        </w:rPr>
        <w:t>日期：</w:t>
      </w:r>
      <w:r>
        <w:rPr>
          <w:color w:val="auto"/>
          <w:spacing w:val="30"/>
          <w:sz w:val="24"/>
          <w:szCs w:val="24"/>
          <w:highlight w:val="none"/>
          <w:u w:val="single" w:color="auto"/>
        </w:rPr>
        <w:t xml:space="preserve">    </w:t>
      </w:r>
      <w:r>
        <w:rPr>
          <w:color w:val="auto"/>
          <w:spacing w:val="-109"/>
          <w:sz w:val="24"/>
          <w:szCs w:val="24"/>
          <w:highlight w:val="none"/>
        </w:rPr>
        <w:t xml:space="preserve"> </w:t>
      </w:r>
      <w:r>
        <w:rPr>
          <w:color w:val="auto"/>
          <w:spacing w:val="-13"/>
          <w:sz w:val="24"/>
          <w:szCs w:val="24"/>
          <w:highlight w:val="none"/>
        </w:rPr>
        <w:t>年</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5"/>
          <w:sz w:val="24"/>
          <w:szCs w:val="24"/>
          <w:highlight w:val="none"/>
        </w:rPr>
        <w:t xml:space="preserve"> </w:t>
      </w:r>
      <w:r>
        <w:rPr>
          <w:color w:val="auto"/>
          <w:spacing w:val="-13"/>
          <w:sz w:val="24"/>
          <w:szCs w:val="24"/>
          <w:highlight w:val="none"/>
        </w:rPr>
        <w:t>月</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69"/>
          <w:sz w:val="24"/>
          <w:szCs w:val="24"/>
          <w:highlight w:val="none"/>
        </w:rPr>
        <w:t xml:space="preserve"> </w:t>
      </w:r>
      <w:r>
        <w:rPr>
          <w:color w:val="auto"/>
          <w:spacing w:val="-13"/>
          <w:sz w:val="24"/>
          <w:szCs w:val="24"/>
          <w:highlight w:val="none"/>
        </w:rPr>
        <w:t>日</w:t>
      </w:r>
    </w:p>
    <w:p w14:paraId="6B60AA7B">
      <w:pPr>
        <w:spacing w:line="219" w:lineRule="auto"/>
        <w:rPr>
          <w:color w:val="auto"/>
          <w:sz w:val="24"/>
          <w:szCs w:val="24"/>
          <w:highlight w:val="none"/>
        </w:rPr>
        <w:sectPr>
          <w:footerReference r:id="rId10" w:type="default"/>
          <w:pgSz w:w="11900" w:h="16840"/>
          <w:pgMar w:top="1233" w:right="1190" w:bottom="848" w:left="1416" w:header="0" w:footer="648" w:gutter="0"/>
          <w:cols w:space="720" w:num="1"/>
        </w:sectPr>
      </w:pPr>
    </w:p>
    <w:p w14:paraId="3E2B78EB">
      <w:pPr>
        <w:pStyle w:val="14"/>
        <w:spacing w:before="55" w:line="220" w:lineRule="auto"/>
        <w:ind w:left="1215"/>
        <w:rPr>
          <w:color w:val="auto"/>
          <w:sz w:val="28"/>
          <w:szCs w:val="28"/>
          <w:highlight w:val="none"/>
        </w:rPr>
      </w:pPr>
      <w:r>
        <w:rPr>
          <w:b/>
          <w:bCs/>
          <w:color w:val="auto"/>
          <w:spacing w:val="-3"/>
          <w:sz w:val="28"/>
          <w:szCs w:val="28"/>
          <w:highlight w:val="none"/>
        </w:rPr>
        <w:t>广西壮族自治区建筑工程安全文明施工措施项目清单内容</w:t>
      </w:r>
    </w:p>
    <w:p w14:paraId="136E15BB">
      <w:pPr>
        <w:pStyle w:val="14"/>
        <w:spacing w:before="205" w:line="232" w:lineRule="auto"/>
        <w:ind w:left="3200"/>
        <w:rPr>
          <w:color w:val="auto"/>
          <w:sz w:val="24"/>
          <w:szCs w:val="24"/>
          <w:highlight w:val="none"/>
        </w:rPr>
      </w:pPr>
      <w:r>
        <w:rPr>
          <w:color w:val="auto"/>
          <w:spacing w:val="-2"/>
          <w:sz w:val="24"/>
          <w:szCs w:val="24"/>
          <w:highlight w:val="none"/>
        </w:rPr>
        <w:t>（桂建质〔</w:t>
      </w:r>
      <w:r>
        <w:rPr>
          <w:rFonts w:ascii="Times New Roman" w:hAnsi="Times New Roman" w:eastAsia="Times New Roman" w:cs="Times New Roman"/>
          <w:color w:val="auto"/>
          <w:spacing w:val="-2"/>
          <w:sz w:val="24"/>
          <w:szCs w:val="24"/>
          <w:highlight w:val="none"/>
        </w:rPr>
        <w:t>2015</w:t>
      </w:r>
      <w:r>
        <w:rPr>
          <w:color w:val="auto"/>
          <w:spacing w:val="-2"/>
          <w:sz w:val="24"/>
          <w:szCs w:val="24"/>
          <w:highlight w:val="none"/>
        </w:rPr>
        <w:t>〕</w:t>
      </w:r>
      <w:r>
        <w:rPr>
          <w:rFonts w:ascii="Times New Roman" w:hAnsi="Times New Roman" w:eastAsia="Times New Roman" w:cs="Times New Roman"/>
          <w:color w:val="auto"/>
          <w:spacing w:val="-2"/>
          <w:sz w:val="24"/>
          <w:szCs w:val="24"/>
          <w:highlight w:val="none"/>
        </w:rPr>
        <w:t>16</w:t>
      </w:r>
      <w:r>
        <w:rPr>
          <w:rFonts w:ascii="Times New Roman" w:hAnsi="Times New Roman" w:eastAsia="Times New Roman" w:cs="Times New Roman"/>
          <w:color w:val="auto"/>
          <w:spacing w:val="19"/>
          <w:sz w:val="24"/>
          <w:szCs w:val="24"/>
          <w:highlight w:val="none"/>
        </w:rPr>
        <w:t xml:space="preserve"> </w:t>
      </w:r>
      <w:r>
        <w:rPr>
          <w:color w:val="auto"/>
          <w:spacing w:val="-2"/>
          <w:sz w:val="24"/>
          <w:szCs w:val="24"/>
          <w:highlight w:val="none"/>
        </w:rPr>
        <w:t>号文附件一）</w:t>
      </w:r>
    </w:p>
    <w:p w14:paraId="60B3BAE3">
      <w:pPr>
        <w:spacing w:line="130" w:lineRule="exact"/>
        <w:rPr>
          <w:color w:val="auto"/>
          <w:highlight w:val="none"/>
        </w:rPr>
      </w:pPr>
    </w:p>
    <w:tbl>
      <w:tblPr>
        <w:tblStyle w:val="89"/>
        <w:tblW w:w="94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522"/>
        <w:gridCol w:w="1541"/>
        <w:gridCol w:w="6642"/>
      </w:tblGrid>
      <w:tr w14:paraId="02C67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52" w:type="dxa"/>
            <w:tcBorders>
              <w:top w:val="single" w:color="000000" w:sz="10" w:space="0"/>
              <w:left w:val="single" w:color="000000" w:sz="10" w:space="0"/>
            </w:tcBorders>
            <w:vAlign w:val="top"/>
          </w:tcPr>
          <w:p w14:paraId="636924E3">
            <w:pPr>
              <w:spacing w:before="151" w:line="183" w:lineRule="auto"/>
              <w:ind w:left="153"/>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2"/>
                <w:sz w:val="21"/>
                <w:szCs w:val="21"/>
                <w:highlight w:val="none"/>
              </w:rPr>
              <w:t>类别</w:t>
            </w:r>
          </w:p>
        </w:tc>
        <w:tc>
          <w:tcPr>
            <w:tcW w:w="2063" w:type="dxa"/>
            <w:gridSpan w:val="2"/>
            <w:tcBorders>
              <w:top w:val="single" w:color="000000" w:sz="10" w:space="0"/>
            </w:tcBorders>
            <w:vAlign w:val="top"/>
          </w:tcPr>
          <w:p w14:paraId="561D6971">
            <w:pPr>
              <w:spacing w:before="150" w:line="184" w:lineRule="auto"/>
              <w:ind w:left="601"/>
              <w:rPr>
                <w:rFonts w:ascii="微软雅黑" w:hAnsi="微软雅黑" w:eastAsia="微软雅黑" w:cs="微软雅黑"/>
                <w:color w:val="auto"/>
                <w:sz w:val="21"/>
                <w:szCs w:val="21"/>
                <w:highlight w:val="none"/>
              </w:rPr>
            </w:pPr>
            <w:r>
              <w:rPr>
                <w:rFonts w:ascii="微软雅黑" w:hAnsi="微软雅黑" w:eastAsia="微软雅黑" w:cs="微软雅黑"/>
                <w:b/>
                <w:bCs/>
                <w:color w:val="auto"/>
                <w:sz w:val="21"/>
                <w:szCs w:val="21"/>
                <w:highlight w:val="none"/>
              </w:rPr>
              <w:t>项目名称</w:t>
            </w:r>
          </w:p>
        </w:tc>
        <w:tc>
          <w:tcPr>
            <w:tcW w:w="6642" w:type="dxa"/>
            <w:tcBorders>
              <w:top w:val="single" w:color="000000" w:sz="10" w:space="0"/>
              <w:right w:val="single" w:color="000000" w:sz="10" w:space="0"/>
            </w:tcBorders>
            <w:vAlign w:val="top"/>
          </w:tcPr>
          <w:p w14:paraId="57DDABCB">
            <w:pPr>
              <w:spacing w:before="150" w:line="184" w:lineRule="auto"/>
              <w:ind w:left="2584"/>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主要内容和要求</w:t>
            </w:r>
          </w:p>
        </w:tc>
      </w:tr>
      <w:tr w14:paraId="7C453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restart"/>
            <w:tcBorders>
              <w:left w:val="single" w:color="000000" w:sz="10" w:space="0"/>
              <w:bottom w:val="nil"/>
            </w:tcBorders>
            <w:vAlign w:val="top"/>
          </w:tcPr>
          <w:p w14:paraId="52FC03C4">
            <w:pPr>
              <w:spacing w:line="245" w:lineRule="auto"/>
              <w:rPr>
                <w:rFonts w:ascii="Arial"/>
                <w:color w:val="auto"/>
                <w:sz w:val="21"/>
                <w:highlight w:val="none"/>
              </w:rPr>
            </w:pPr>
          </w:p>
          <w:p w14:paraId="06412CF0">
            <w:pPr>
              <w:spacing w:line="245" w:lineRule="auto"/>
              <w:rPr>
                <w:rFonts w:ascii="Arial"/>
                <w:color w:val="auto"/>
                <w:sz w:val="21"/>
                <w:highlight w:val="none"/>
              </w:rPr>
            </w:pPr>
          </w:p>
          <w:p w14:paraId="4FA1ABE4">
            <w:pPr>
              <w:spacing w:line="245" w:lineRule="auto"/>
              <w:rPr>
                <w:rFonts w:ascii="Arial"/>
                <w:color w:val="auto"/>
                <w:sz w:val="21"/>
                <w:highlight w:val="none"/>
              </w:rPr>
            </w:pPr>
          </w:p>
          <w:p w14:paraId="2839B652">
            <w:pPr>
              <w:spacing w:line="245" w:lineRule="auto"/>
              <w:rPr>
                <w:rFonts w:ascii="Arial"/>
                <w:color w:val="auto"/>
                <w:sz w:val="21"/>
                <w:highlight w:val="none"/>
              </w:rPr>
            </w:pPr>
          </w:p>
          <w:p w14:paraId="66A2765A">
            <w:pPr>
              <w:spacing w:line="245" w:lineRule="auto"/>
              <w:rPr>
                <w:rFonts w:ascii="Arial"/>
                <w:color w:val="auto"/>
                <w:sz w:val="21"/>
                <w:highlight w:val="none"/>
              </w:rPr>
            </w:pPr>
          </w:p>
          <w:p w14:paraId="4B85FA05">
            <w:pPr>
              <w:spacing w:line="245" w:lineRule="auto"/>
              <w:rPr>
                <w:rFonts w:ascii="Arial"/>
                <w:color w:val="auto"/>
                <w:sz w:val="21"/>
                <w:highlight w:val="none"/>
              </w:rPr>
            </w:pPr>
          </w:p>
          <w:p w14:paraId="343A0823">
            <w:pPr>
              <w:spacing w:line="245" w:lineRule="auto"/>
              <w:rPr>
                <w:rFonts w:ascii="Arial"/>
                <w:color w:val="auto"/>
                <w:sz w:val="21"/>
                <w:highlight w:val="none"/>
              </w:rPr>
            </w:pPr>
          </w:p>
          <w:p w14:paraId="5E293F51">
            <w:pPr>
              <w:spacing w:line="245" w:lineRule="auto"/>
              <w:rPr>
                <w:rFonts w:ascii="Arial"/>
                <w:color w:val="auto"/>
                <w:sz w:val="21"/>
                <w:highlight w:val="none"/>
              </w:rPr>
            </w:pPr>
          </w:p>
          <w:p w14:paraId="03A02417">
            <w:pPr>
              <w:spacing w:line="245" w:lineRule="auto"/>
              <w:rPr>
                <w:rFonts w:ascii="Arial"/>
                <w:color w:val="auto"/>
                <w:sz w:val="21"/>
                <w:highlight w:val="none"/>
              </w:rPr>
            </w:pPr>
          </w:p>
          <w:p w14:paraId="6D0D71E9">
            <w:pPr>
              <w:spacing w:line="245" w:lineRule="auto"/>
              <w:rPr>
                <w:rFonts w:ascii="Arial"/>
                <w:color w:val="auto"/>
                <w:sz w:val="21"/>
                <w:highlight w:val="none"/>
              </w:rPr>
            </w:pPr>
          </w:p>
          <w:p w14:paraId="54BE7269">
            <w:pPr>
              <w:spacing w:before="90" w:line="205" w:lineRule="auto"/>
              <w:ind w:left="149" w:right="166" w:firstLine="2"/>
              <w:jc w:val="both"/>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文明</w:t>
            </w:r>
            <w:r>
              <w:rPr>
                <w:rFonts w:ascii="微软雅黑" w:hAnsi="微软雅黑" w:eastAsia="微软雅黑" w:cs="微软雅黑"/>
                <w:color w:val="auto"/>
                <w:sz w:val="21"/>
                <w:szCs w:val="21"/>
                <w:highlight w:val="none"/>
              </w:rPr>
              <w:t>施工</w:t>
            </w:r>
            <w:r>
              <w:rPr>
                <w:rFonts w:ascii="微软雅黑" w:hAnsi="微软雅黑" w:eastAsia="微软雅黑" w:cs="微软雅黑"/>
                <w:color w:val="auto"/>
                <w:spacing w:val="14"/>
                <w:w w:val="143"/>
                <w:sz w:val="21"/>
                <w:szCs w:val="21"/>
                <w:highlight w:val="none"/>
              </w:rPr>
              <w:t>与</w:t>
            </w:r>
            <w:r>
              <w:rPr>
                <w:rFonts w:ascii="微软雅黑" w:hAnsi="微软雅黑" w:eastAsia="微软雅黑" w:cs="微软雅黑"/>
                <w:color w:val="auto"/>
                <w:sz w:val="21"/>
                <w:szCs w:val="21"/>
                <w:highlight w:val="none"/>
              </w:rPr>
              <w:t>环境保护</w:t>
            </w:r>
          </w:p>
        </w:tc>
        <w:tc>
          <w:tcPr>
            <w:tcW w:w="2063" w:type="dxa"/>
            <w:gridSpan w:val="2"/>
            <w:vAlign w:val="top"/>
          </w:tcPr>
          <w:p w14:paraId="415923C0">
            <w:pPr>
              <w:spacing w:before="61" w:line="177" w:lineRule="auto"/>
              <w:ind w:left="704" w:right="617" w:hanging="10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安全警示</w:t>
            </w:r>
            <w:r>
              <w:rPr>
                <w:rFonts w:ascii="微软雅黑" w:hAnsi="微软雅黑" w:eastAsia="微软雅黑" w:cs="微软雅黑"/>
                <w:color w:val="auto"/>
                <w:sz w:val="21"/>
                <w:szCs w:val="21"/>
                <w:highlight w:val="none"/>
              </w:rPr>
              <w:t>标志牌</w:t>
            </w:r>
          </w:p>
        </w:tc>
        <w:tc>
          <w:tcPr>
            <w:tcW w:w="6642" w:type="dxa"/>
            <w:tcBorders>
              <w:right w:val="single" w:color="000000" w:sz="10" w:space="0"/>
            </w:tcBorders>
            <w:vAlign w:val="top"/>
          </w:tcPr>
          <w:p w14:paraId="355D5A4C">
            <w:pPr>
              <w:spacing w:before="61" w:line="177" w:lineRule="auto"/>
              <w:ind w:left="102" w:right="9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在易发伤亡事故（或危险）</w:t>
            </w:r>
            <w:r>
              <w:rPr>
                <w:rFonts w:ascii="微软雅黑" w:hAnsi="微软雅黑" w:eastAsia="微软雅黑" w:cs="微软雅黑"/>
                <w:color w:val="auto"/>
                <w:spacing w:val="-20"/>
                <w:sz w:val="21"/>
                <w:szCs w:val="21"/>
                <w:highlight w:val="none"/>
              </w:rPr>
              <w:t xml:space="preserve"> </w:t>
            </w:r>
            <w:r>
              <w:rPr>
                <w:rFonts w:ascii="微软雅黑" w:hAnsi="微软雅黑" w:eastAsia="微软雅黑" w:cs="微软雅黑"/>
                <w:color w:val="auto"/>
                <w:spacing w:val="-4"/>
                <w:sz w:val="21"/>
                <w:szCs w:val="21"/>
                <w:highlight w:val="none"/>
              </w:rPr>
              <w:t>处设置明显的、符合国家标准要求的安全警</w:t>
            </w:r>
            <w:r>
              <w:rPr>
                <w:rFonts w:ascii="微软雅黑" w:hAnsi="微软雅黑" w:eastAsia="微软雅黑" w:cs="微软雅黑"/>
                <w:color w:val="auto"/>
                <w:spacing w:val="-1"/>
                <w:sz w:val="21"/>
                <w:szCs w:val="21"/>
                <w:highlight w:val="none"/>
              </w:rPr>
              <w:t>示标志牌。</w:t>
            </w:r>
          </w:p>
        </w:tc>
      </w:tr>
      <w:tr w14:paraId="25130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4EEEE546">
            <w:pPr>
              <w:rPr>
                <w:rFonts w:ascii="Arial"/>
                <w:color w:val="auto"/>
                <w:sz w:val="21"/>
                <w:highlight w:val="none"/>
              </w:rPr>
            </w:pPr>
          </w:p>
        </w:tc>
        <w:tc>
          <w:tcPr>
            <w:tcW w:w="2063" w:type="dxa"/>
            <w:gridSpan w:val="2"/>
            <w:vAlign w:val="top"/>
          </w:tcPr>
          <w:p w14:paraId="15112468">
            <w:pPr>
              <w:spacing w:before="215" w:line="183" w:lineRule="auto"/>
              <w:ind w:left="601"/>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现场围挡</w:t>
            </w:r>
          </w:p>
        </w:tc>
        <w:tc>
          <w:tcPr>
            <w:tcW w:w="6642" w:type="dxa"/>
            <w:tcBorders>
              <w:right w:val="single" w:color="000000" w:sz="10" w:space="0"/>
            </w:tcBorders>
            <w:vAlign w:val="top"/>
          </w:tcPr>
          <w:p w14:paraId="5259A734">
            <w:pPr>
              <w:spacing w:before="23"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1.</w:t>
            </w:r>
            <w:r>
              <w:rPr>
                <w:rFonts w:ascii="微软雅黑" w:hAnsi="微软雅黑" w:eastAsia="微软雅黑" w:cs="微软雅黑"/>
                <w:color w:val="auto"/>
                <w:spacing w:val="46"/>
                <w:sz w:val="21"/>
                <w:szCs w:val="21"/>
                <w:highlight w:val="none"/>
              </w:rPr>
              <w:t xml:space="preserve"> </w:t>
            </w:r>
            <w:r>
              <w:rPr>
                <w:rFonts w:ascii="微软雅黑" w:hAnsi="微软雅黑" w:eastAsia="微软雅黑" w:cs="微软雅黑"/>
                <w:color w:val="auto"/>
                <w:spacing w:val="-4"/>
                <w:sz w:val="21"/>
                <w:szCs w:val="21"/>
                <w:highlight w:val="none"/>
              </w:rPr>
              <w:t>现场采用封闭围挡， 高度不小于 1.8</w:t>
            </w:r>
            <w:r>
              <w:rPr>
                <w:rFonts w:ascii="微软雅黑" w:hAnsi="微软雅黑" w:eastAsia="微软雅黑" w:cs="微软雅黑"/>
                <w:color w:val="auto"/>
                <w:spacing w:val="-5"/>
                <w:sz w:val="21"/>
                <w:szCs w:val="21"/>
                <w:highlight w:val="none"/>
              </w:rPr>
              <w:t>m。</w:t>
            </w:r>
          </w:p>
          <w:p w14:paraId="452D95A7">
            <w:pPr>
              <w:spacing w:line="179" w:lineRule="auto"/>
              <w:ind w:left="11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2.</w:t>
            </w:r>
            <w:r>
              <w:rPr>
                <w:rFonts w:ascii="微软雅黑" w:hAnsi="微软雅黑" w:eastAsia="微软雅黑" w:cs="微软雅黑"/>
                <w:color w:val="auto"/>
                <w:spacing w:val="62"/>
                <w:w w:val="101"/>
                <w:sz w:val="21"/>
                <w:szCs w:val="21"/>
                <w:highlight w:val="none"/>
              </w:rPr>
              <w:t xml:space="preserve"> </w:t>
            </w:r>
            <w:r>
              <w:rPr>
                <w:rFonts w:ascii="微软雅黑" w:hAnsi="微软雅黑" w:eastAsia="微软雅黑" w:cs="微软雅黑"/>
                <w:color w:val="auto"/>
                <w:spacing w:val="-4"/>
                <w:sz w:val="21"/>
                <w:szCs w:val="21"/>
                <w:highlight w:val="none"/>
              </w:rPr>
              <w:t>围挡材料可用彩色、定型钢板， 砌块等墙体。</w:t>
            </w:r>
          </w:p>
        </w:tc>
      </w:tr>
      <w:tr w14:paraId="23249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2" w:type="dxa"/>
            <w:vMerge w:val="continue"/>
            <w:tcBorders>
              <w:top w:val="nil"/>
              <w:left w:val="single" w:color="000000" w:sz="10" w:space="0"/>
              <w:bottom w:val="nil"/>
            </w:tcBorders>
            <w:vAlign w:val="top"/>
          </w:tcPr>
          <w:p w14:paraId="483917B3">
            <w:pPr>
              <w:rPr>
                <w:rFonts w:ascii="Arial"/>
                <w:color w:val="auto"/>
                <w:sz w:val="21"/>
                <w:highlight w:val="none"/>
              </w:rPr>
            </w:pPr>
          </w:p>
        </w:tc>
        <w:tc>
          <w:tcPr>
            <w:tcW w:w="2063" w:type="dxa"/>
            <w:gridSpan w:val="2"/>
            <w:vAlign w:val="top"/>
          </w:tcPr>
          <w:p w14:paraId="7622A003">
            <w:pPr>
              <w:spacing w:line="274" w:lineRule="auto"/>
              <w:rPr>
                <w:rFonts w:ascii="Arial"/>
                <w:color w:val="auto"/>
                <w:sz w:val="21"/>
                <w:highlight w:val="none"/>
              </w:rPr>
            </w:pPr>
          </w:p>
          <w:p w14:paraId="166B4A64">
            <w:pPr>
              <w:spacing w:before="90" w:line="183" w:lineRule="auto"/>
              <w:ind w:left="60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七牌二图</w:t>
            </w:r>
          </w:p>
        </w:tc>
        <w:tc>
          <w:tcPr>
            <w:tcW w:w="6642" w:type="dxa"/>
            <w:tcBorders>
              <w:right w:val="single" w:color="000000" w:sz="10" w:space="0"/>
            </w:tcBorders>
            <w:vAlign w:val="top"/>
          </w:tcPr>
          <w:p w14:paraId="444246AA">
            <w:pPr>
              <w:spacing w:before="64" w:line="184" w:lineRule="auto"/>
              <w:ind w:left="102" w:right="94"/>
              <w:jc w:val="both"/>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在进门处悬挂工程概况、现场出入制度、管理人员名单及监督电话、安全生产规定、文明施工、消防保卫、节能公示等七牌以及施工现场总平</w:t>
            </w:r>
            <w:r>
              <w:rPr>
                <w:rFonts w:ascii="微软雅黑" w:hAnsi="微软雅黑" w:eastAsia="微软雅黑" w:cs="微软雅黑"/>
                <w:color w:val="auto"/>
                <w:spacing w:val="-1"/>
                <w:sz w:val="21"/>
                <w:szCs w:val="21"/>
                <w:highlight w:val="none"/>
              </w:rPr>
              <w:t>面图、工程效果图。</w:t>
            </w:r>
          </w:p>
        </w:tc>
      </w:tr>
      <w:tr w14:paraId="68364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52" w:type="dxa"/>
            <w:vMerge w:val="continue"/>
            <w:tcBorders>
              <w:top w:val="nil"/>
              <w:left w:val="single" w:color="000000" w:sz="10" w:space="0"/>
              <w:bottom w:val="nil"/>
            </w:tcBorders>
            <w:vAlign w:val="top"/>
          </w:tcPr>
          <w:p w14:paraId="3FEDD5B7">
            <w:pPr>
              <w:rPr>
                <w:rFonts w:ascii="Arial"/>
                <w:color w:val="auto"/>
                <w:sz w:val="21"/>
                <w:highlight w:val="none"/>
              </w:rPr>
            </w:pPr>
          </w:p>
        </w:tc>
        <w:tc>
          <w:tcPr>
            <w:tcW w:w="2063" w:type="dxa"/>
            <w:gridSpan w:val="2"/>
            <w:vAlign w:val="top"/>
          </w:tcPr>
          <w:p w14:paraId="60697C08">
            <w:pPr>
              <w:spacing w:before="173" w:line="183" w:lineRule="auto"/>
              <w:ind w:left="599"/>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企业标志</w:t>
            </w:r>
          </w:p>
        </w:tc>
        <w:tc>
          <w:tcPr>
            <w:tcW w:w="6642" w:type="dxa"/>
            <w:tcBorders>
              <w:right w:val="single" w:color="000000" w:sz="10" w:space="0"/>
            </w:tcBorders>
            <w:vAlign w:val="top"/>
          </w:tcPr>
          <w:p w14:paraId="09042EA2">
            <w:pPr>
              <w:spacing w:before="171" w:line="184" w:lineRule="auto"/>
              <w:ind w:left="103"/>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现场出入的大门应设有本企业标志或企业标识。</w:t>
            </w:r>
          </w:p>
        </w:tc>
      </w:tr>
      <w:tr w14:paraId="642A4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752" w:type="dxa"/>
            <w:vMerge w:val="continue"/>
            <w:tcBorders>
              <w:top w:val="nil"/>
              <w:left w:val="single" w:color="000000" w:sz="10" w:space="0"/>
              <w:bottom w:val="nil"/>
            </w:tcBorders>
            <w:vAlign w:val="top"/>
          </w:tcPr>
          <w:p w14:paraId="2D419F90">
            <w:pPr>
              <w:rPr>
                <w:rFonts w:ascii="Arial"/>
                <w:color w:val="auto"/>
                <w:sz w:val="21"/>
                <w:highlight w:val="none"/>
              </w:rPr>
            </w:pPr>
          </w:p>
        </w:tc>
        <w:tc>
          <w:tcPr>
            <w:tcW w:w="2063" w:type="dxa"/>
            <w:gridSpan w:val="2"/>
            <w:vAlign w:val="top"/>
          </w:tcPr>
          <w:p w14:paraId="7EB5B31D">
            <w:pPr>
              <w:spacing w:line="426" w:lineRule="auto"/>
              <w:rPr>
                <w:rFonts w:ascii="Arial"/>
                <w:color w:val="auto"/>
                <w:sz w:val="21"/>
                <w:highlight w:val="none"/>
              </w:rPr>
            </w:pPr>
          </w:p>
          <w:p w14:paraId="0658F6E8">
            <w:pPr>
              <w:spacing w:before="90" w:line="183" w:lineRule="auto"/>
              <w:ind w:left="601"/>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场容场貌</w:t>
            </w:r>
          </w:p>
        </w:tc>
        <w:tc>
          <w:tcPr>
            <w:tcW w:w="6642" w:type="dxa"/>
            <w:tcBorders>
              <w:right w:val="single" w:color="000000" w:sz="10" w:space="0"/>
            </w:tcBorders>
            <w:vAlign w:val="top"/>
          </w:tcPr>
          <w:p w14:paraId="520EBB84">
            <w:pPr>
              <w:spacing w:before="27"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1.</w:t>
            </w:r>
            <w:r>
              <w:rPr>
                <w:rFonts w:ascii="微软雅黑" w:hAnsi="微软雅黑" w:eastAsia="微软雅黑" w:cs="微软雅黑"/>
                <w:color w:val="auto"/>
                <w:spacing w:val="49"/>
                <w:w w:val="101"/>
                <w:sz w:val="21"/>
                <w:szCs w:val="21"/>
                <w:highlight w:val="none"/>
              </w:rPr>
              <w:t xml:space="preserve"> </w:t>
            </w:r>
            <w:r>
              <w:rPr>
                <w:rFonts w:ascii="微软雅黑" w:hAnsi="微软雅黑" w:eastAsia="微软雅黑" w:cs="微软雅黑"/>
                <w:color w:val="auto"/>
                <w:spacing w:val="-4"/>
                <w:sz w:val="21"/>
                <w:szCs w:val="21"/>
                <w:highlight w:val="none"/>
              </w:rPr>
              <w:t>道路畅通。</w:t>
            </w:r>
          </w:p>
          <w:p w14:paraId="1CF11AE3">
            <w:pPr>
              <w:spacing w:before="1" w:line="199" w:lineRule="auto"/>
              <w:ind w:left="11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2.</w:t>
            </w:r>
            <w:r>
              <w:rPr>
                <w:rFonts w:ascii="微软雅黑" w:hAnsi="微软雅黑" w:eastAsia="微软雅黑" w:cs="微软雅黑"/>
                <w:color w:val="auto"/>
                <w:spacing w:val="53"/>
                <w:sz w:val="21"/>
                <w:szCs w:val="21"/>
                <w:highlight w:val="none"/>
              </w:rPr>
              <w:t xml:space="preserve"> </w:t>
            </w:r>
            <w:r>
              <w:rPr>
                <w:rFonts w:ascii="微软雅黑" w:hAnsi="微软雅黑" w:eastAsia="微软雅黑" w:cs="微软雅黑"/>
                <w:color w:val="auto"/>
                <w:spacing w:val="-2"/>
                <w:sz w:val="21"/>
                <w:szCs w:val="21"/>
                <w:highlight w:val="none"/>
              </w:rPr>
              <w:t>排水设施齐全畅通。</w:t>
            </w:r>
          </w:p>
          <w:p w14:paraId="0B18E72D">
            <w:pPr>
              <w:spacing w:before="2" w:line="187" w:lineRule="auto"/>
              <w:ind w:left="105" w:right="94" w:firstLine="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3.</w:t>
            </w:r>
            <w:r>
              <w:rPr>
                <w:rFonts w:ascii="微软雅黑" w:hAnsi="微软雅黑" w:eastAsia="微软雅黑" w:cs="微软雅黑"/>
                <w:color w:val="auto"/>
                <w:spacing w:val="59"/>
                <w:sz w:val="21"/>
                <w:szCs w:val="21"/>
                <w:highlight w:val="none"/>
              </w:rPr>
              <w:t xml:space="preserve"> </w:t>
            </w:r>
            <w:r>
              <w:rPr>
                <w:rFonts w:ascii="微软雅黑" w:hAnsi="微软雅黑" w:eastAsia="微软雅黑" w:cs="微软雅黑"/>
                <w:color w:val="auto"/>
                <w:spacing w:val="1"/>
                <w:sz w:val="21"/>
                <w:szCs w:val="21"/>
                <w:highlight w:val="none"/>
              </w:rPr>
              <w:t>工地地面硬化处理（办公区、生活区、现场道路、材料堆放、混凝</w:t>
            </w:r>
            <w:r>
              <w:rPr>
                <w:rFonts w:ascii="微软雅黑" w:hAnsi="微软雅黑" w:eastAsia="微软雅黑" w:cs="微软雅黑"/>
                <w:color w:val="auto"/>
                <w:spacing w:val="-2"/>
                <w:sz w:val="21"/>
                <w:szCs w:val="21"/>
                <w:highlight w:val="none"/>
              </w:rPr>
              <w:t>土搅拌、砂浆搅拌、钢筋加工等场地和外脚手架基础等）</w:t>
            </w:r>
            <w:r>
              <w:rPr>
                <w:rFonts w:ascii="微软雅黑" w:hAnsi="微软雅黑" w:eastAsia="微软雅黑" w:cs="微软雅黑"/>
                <w:color w:val="auto"/>
                <w:spacing w:val="-12"/>
                <w:sz w:val="21"/>
                <w:szCs w:val="21"/>
                <w:highlight w:val="none"/>
              </w:rPr>
              <w:t xml:space="preserve"> </w:t>
            </w:r>
            <w:r>
              <w:rPr>
                <w:rFonts w:ascii="微软雅黑" w:hAnsi="微软雅黑" w:eastAsia="微软雅黑" w:cs="微软雅黑"/>
                <w:color w:val="auto"/>
                <w:spacing w:val="-2"/>
                <w:sz w:val="21"/>
                <w:szCs w:val="21"/>
                <w:highlight w:val="none"/>
              </w:rPr>
              <w:t>。</w:t>
            </w:r>
          </w:p>
        </w:tc>
      </w:tr>
      <w:tr w14:paraId="7C04F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2" w:type="dxa"/>
            <w:vMerge w:val="continue"/>
            <w:tcBorders>
              <w:top w:val="nil"/>
              <w:left w:val="single" w:color="000000" w:sz="10" w:space="0"/>
              <w:bottom w:val="nil"/>
            </w:tcBorders>
            <w:vAlign w:val="top"/>
          </w:tcPr>
          <w:p w14:paraId="5B834B52">
            <w:pPr>
              <w:rPr>
                <w:rFonts w:ascii="Arial"/>
                <w:color w:val="auto"/>
                <w:sz w:val="21"/>
                <w:highlight w:val="none"/>
              </w:rPr>
            </w:pPr>
          </w:p>
        </w:tc>
        <w:tc>
          <w:tcPr>
            <w:tcW w:w="2063" w:type="dxa"/>
            <w:gridSpan w:val="2"/>
            <w:vAlign w:val="top"/>
          </w:tcPr>
          <w:p w14:paraId="1078CEF2">
            <w:pPr>
              <w:spacing w:line="277" w:lineRule="auto"/>
              <w:rPr>
                <w:rFonts w:ascii="Arial"/>
                <w:color w:val="auto"/>
                <w:sz w:val="21"/>
                <w:highlight w:val="none"/>
              </w:rPr>
            </w:pPr>
          </w:p>
          <w:p w14:paraId="786E6251">
            <w:pPr>
              <w:spacing w:before="90" w:line="184" w:lineRule="auto"/>
              <w:ind w:left="601"/>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材料堆放</w:t>
            </w:r>
          </w:p>
        </w:tc>
        <w:tc>
          <w:tcPr>
            <w:tcW w:w="6642" w:type="dxa"/>
            <w:tcBorders>
              <w:right w:val="single" w:color="000000" w:sz="10" w:space="0"/>
            </w:tcBorders>
            <w:vAlign w:val="top"/>
          </w:tcPr>
          <w:p w14:paraId="233D7BF8">
            <w:pPr>
              <w:spacing w:before="30"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11. 材料、构件、料具等堆放时， 应有名称、品种、规格等标牌。</w:t>
            </w:r>
          </w:p>
          <w:p w14:paraId="46855B84">
            <w:pPr>
              <w:spacing w:before="1" w:line="199" w:lineRule="auto"/>
              <w:ind w:left="11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w:t>
            </w:r>
            <w:r>
              <w:rPr>
                <w:rFonts w:ascii="微软雅黑" w:hAnsi="微软雅黑" w:eastAsia="微软雅黑" w:cs="微软雅黑"/>
                <w:color w:val="auto"/>
                <w:spacing w:val="65"/>
                <w:sz w:val="21"/>
                <w:szCs w:val="21"/>
                <w:highlight w:val="none"/>
              </w:rPr>
              <w:t xml:space="preserve"> </w:t>
            </w:r>
            <w:r>
              <w:rPr>
                <w:rFonts w:ascii="微软雅黑" w:hAnsi="微软雅黑" w:eastAsia="微软雅黑" w:cs="微软雅黑"/>
                <w:color w:val="auto"/>
                <w:spacing w:val="-1"/>
                <w:sz w:val="21"/>
                <w:szCs w:val="21"/>
                <w:highlight w:val="none"/>
              </w:rPr>
              <w:t>水泥和其它易飞扬细颗粒建筑材料应封闭存放或采取覆盖等措施。</w:t>
            </w:r>
          </w:p>
          <w:p w14:paraId="5F62DE73">
            <w:pPr>
              <w:spacing w:before="1" w:line="174" w:lineRule="auto"/>
              <w:ind w:left="115"/>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3.</w:t>
            </w:r>
            <w:r>
              <w:rPr>
                <w:rFonts w:ascii="微软雅黑" w:hAnsi="微软雅黑" w:eastAsia="微软雅黑" w:cs="微软雅黑"/>
                <w:color w:val="auto"/>
                <w:spacing w:val="48"/>
                <w:sz w:val="21"/>
                <w:szCs w:val="21"/>
                <w:highlight w:val="none"/>
              </w:rPr>
              <w:t xml:space="preserve"> </w:t>
            </w:r>
            <w:r>
              <w:rPr>
                <w:rFonts w:ascii="微软雅黑" w:hAnsi="微软雅黑" w:eastAsia="微软雅黑" w:cs="微软雅黑"/>
                <w:color w:val="auto"/>
                <w:spacing w:val="-1"/>
                <w:sz w:val="21"/>
                <w:szCs w:val="21"/>
                <w:highlight w:val="none"/>
              </w:rPr>
              <w:t>易燃、易爆和有毒有害物品分类存放。</w:t>
            </w:r>
          </w:p>
        </w:tc>
      </w:tr>
      <w:tr w14:paraId="45524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52" w:type="dxa"/>
            <w:vMerge w:val="continue"/>
            <w:tcBorders>
              <w:top w:val="nil"/>
              <w:left w:val="single" w:color="000000" w:sz="10" w:space="0"/>
              <w:bottom w:val="nil"/>
            </w:tcBorders>
            <w:vAlign w:val="top"/>
          </w:tcPr>
          <w:p w14:paraId="63CEFF7A">
            <w:pPr>
              <w:rPr>
                <w:rFonts w:ascii="Arial"/>
                <w:color w:val="auto"/>
                <w:sz w:val="21"/>
                <w:highlight w:val="none"/>
              </w:rPr>
            </w:pPr>
          </w:p>
        </w:tc>
        <w:tc>
          <w:tcPr>
            <w:tcW w:w="2063" w:type="dxa"/>
            <w:gridSpan w:val="2"/>
            <w:vAlign w:val="top"/>
          </w:tcPr>
          <w:p w14:paraId="2B95820B">
            <w:pPr>
              <w:spacing w:before="171" w:line="184" w:lineRule="auto"/>
              <w:ind w:left="601"/>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现场防火</w:t>
            </w:r>
          </w:p>
        </w:tc>
        <w:tc>
          <w:tcPr>
            <w:tcW w:w="6642" w:type="dxa"/>
            <w:tcBorders>
              <w:right w:val="single" w:color="000000" w:sz="10" w:space="0"/>
            </w:tcBorders>
            <w:vAlign w:val="top"/>
          </w:tcPr>
          <w:p w14:paraId="7584C871">
            <w:pPr>
              <w:spacing w:before="171" w:line="184" w:lineRule="auto"/>
              <w:ind w:left="10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消防器材配置合理， 符合消防要求。</w:t>
            </w:r>
          </w:p>
        </w:tc>
      </w:tr>
      <w:tr w14:paraId="01F54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5C825F72">
            <w:pPr>
              <w:rPr>
                <w:rFonts w:ascii="Arial"/>
                <w:color w:val="auto"/>
                <w:sz w:val="21"/>
                <w:highlight w:val="none"/>
              </w:rPr>
            </w:pPr>
          </w:p>
        </w:tc>
        <w:tc>
          <w:tcPr>
            <w:tcW w:w="2063" w:type="dxa"/>
            <w:gridSpan w:val="2"/>
            <w:vAlign w:val="top"/>
          </w:tcPr>
          <w:p w14:paraId="03A1E428">
            <w:pPr>
              <w:spacing w:before="221" w:line="184" w:lineRule="auto"/>
              <w:ind w:left="600"/>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垃圾清运</w:t>
            </w:r>
          </w:p>
        </w:tc>
        <w:tc>
          <w:tcPr>
            <w:tcW w:w="6642" w:type="dxa"/>
            <w:tcBorders>
              <w:right w:val="single" w:color="000000" w:sz="10" w:space="0"/>
            </w:tcBorders>
            <w:vAlign w:val="top"/>
          </w:tcPr>
          <w:p w14:paraId="2447ECAA">
            <w:pPr>
              <w:spacing w:before="33"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1.</w:t>
            </w:r>
            <w:r>
              <w:rPr>
                <w:rFonts w:ascii="微软雅黑" w:hAnsi="微软雅黑" w:eastAsia="微软雅黑" w:cs="微软雅黑"/>
                <w:color w:val="auto"/>
                <w:spacing w:val="58"/>
                <w:sz w:val="21"/>
                <w:szCs w:val="21"/>
                <w:highlight w:val="none"/>
              </w:rPr>
              <w:t xml:space="preserve"> </w:t>
            </w:r>
            <w:r>
              <w:rPr>
                <w:rFonts w:ascii="微软雅黑" w:hAnsi="微软雅黑" w:eastAsia="微软雅黑" w:cs="微软雅黑"/>
                <w:color w:val="auto"/>
                <w:spacing w:val="-3"/>
                <w:sz w:val="21"/>
                <w:szCs w:val="21"/>
                <w:highlight w:val="none"/>
              </w:rPr>
              <w:t>施工现场应设置密闭式垃圾站， 施工垃圾、生活垃圾应分类存放。</w:t>
            </w:r>
          </w:p>
          <w:p w14:paraId="7101971E">
            <w:pPr>
              <w:spacing w:before="1" w:line="172" w:lineRule="auto"/>
              <w:ind w:left="11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w:t>
            </w:r>
            <w:r>
              <w:rPr>
                <w:rFonts w:ascii="微软雅黑" w:hAnsi="微软雅黑" w:eastAsia="微软雅黑" w:cs="微软雅黑"/>
                <w:color w:val="auto"/>
                <w:spacing w:val="52"/>
                <w:w w:val="101"/>
                <w:sz w:val="21"/>
                <w:szCs w:val="21"/>
                <w:highlight w:val="none"/>
              </w:rPr>
              <w:t xml:space="preserve"> </w:t>
            </w:r>
            <w:r>
              <w:rPr>
                <w:rFonts w:ascii="微软雅黑" w:hAnsi="微软雅黑" w:eastAsia="微软雅黑" w:cs="微软雅黑"/>
                <w:color w:val="auto"/>
                <w:spacing w:val="-1"/>
                <w:sz w:val="21"/>
                <w:szCs w:val="21"/>
                <w:highlight w:val="none"/>
              </w:rPr>
              <w:t>施工垃圾必须采用相应容器或管道运输。</w:t>
            </w:r>
          </w:p>
        </w:tc>
      </w:tr>
      <w:tr w14:paraId="773B8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2" w:type="dxa"/>
            <w:vMerge w:val="continue"/>
            <w:tcBorders>
              <w:top w:val="nil"/>
              <w:left w:val="single" w:color="000000" w:sz="10" w:space="0"/>
            </w:tcBorders>
            <w:vAlign w:val="top"/>
          </w:tcPr>
          <w:p w14:paraId="23E31D16">
            <w:pPr>
              <w:rPr>
                <w:rFonts w:ascii="Arial"/>
                <w:color w:val="auto"/>
                <w:sz w:val="21"/>
                <w:highlight w:val="none"/>
              </w:rPr>
            </w:pPr>
          </w:p>
        </w:tc>
        <w:tc>
          <w:tcPr>
            <w:tcW w:w="2063" w:type="dxa"/>
            <w:gridSpan w:val="2"/>
            <w:vAlign w:val="top"/>
          </w:tcPr>
          <w:p w14:paraId="21384902">
            <w:pPr>
              <w:spacing w:before="74" w:line="173" w:lineRule="auto"/>
              <w:ind w:left="109" w:right="108" w:hanging="1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宣传栏、环保及不扰民措施</w:t>
            </w:r>
          </w:p>
        </w:tc>
        <w:tc>
          <w:tcPr>
            <w:tcW w:w="6642" w:type="dxa"/>
            <w:tcBorders>
              <w:right w:val="single" w:color="000000" w:sz="10" w:space="0"/>
            </w:tcBorders>
            <w:vAlign w:val="top"/>
          </w:tcPr>
          <w:p w14:paraId="76CA0DF6">
            <w:pPr>
              <w:spacing w:before="74" w:line="173" w:lineRule="auto"/>
              <w:ind w:left="104" w:right="94" w:firstLine="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宣传栏、安全宣传标语等，</w:t>
            </w:r>
            <w:r>
              <w:rPr>
                <w:rFonts w:ascii="微软雅黑" w:hAnsi="微软雅黑" w:eastAsia="微软雅黑" w:cs="微软雅黑"/>
                <w:color w:val="auto"/>
                <w:spacing w:val="-20"/>
                <w:sz w:val="21"/>
                <w:szCs w:val="21"/>
                <w:highlight w:val="none"/>
              </w:rPr>
              <w:t xml:space="preserve"> </w:t>
            </w:r>
            <w:r>
              <w:rPr>
                <w:rFonts w:ascii="微软雅黑" w:hAnsi="微软雅黑" w:eastAsia="微软雅黑" w:cs="微软雅黑"/>
                <w:color w:val="auto"/>
                <w:spacing w:val="-5"/>
                <w:sz w:val="21"/>
                <w:szCs w:val="21"/>
                <w:highlight w:val="none"/>
              </w:rPr>
              <w:t>洗车（防止污染市</w:t>
            </w:r>
            <w:r>
              <w:rPr>
                <w:rFonts w:ascii="微软雅黑" w:hAnsi="微软雅黑" w:eastAsia="微软雅黑" w:cs="微软雅黑"/>
                <w:color w:val="auto"/>
                <w:spacing w:val="-6"/>
                <w:sz w:val="21"/>
                <w:szCs w:val="21"/>
                <w:highlight w:val="none"/>
              </w:rPr>
              <w:t>区道路）</w:t>
            </w:r>
            <w:r>
              <w:rPr>
                <w:rFonts w:ascii="微软雅黑" w:hAnsi="微软雅黑" w:eastAsia="微软雅黑" w:cs="微软雅黑"/>
                <w:color w:val="auto"/>
                <w:spacing w:val="-23"/>
                <w:sz w:val="21"/>
                <w:szCs w:val="21"/>
                <w:highlight w:val="none"/>
              </w:rPr>
              <w:t xml:space="preserve"> </w:t>
            </w:r>
            <w:r>
              <w:rPr>
                <w:rFonts w:ascii="微软雅黑" w:hAnsi="微软雅黑" w:eastAsia="微软雅黑" w:cs="微软雅黑"/>
                <w:color w:val="auto"/>
                <w:spacing w:val="-6"/>
                <w:sz w:val="21"/>
                <w:szCs w:val="21"/>
                <w:highlight w:val="none"/>
              </w:rPr>
              <w:t>、粉尘、噪声控</w:t>
            </w:r>
            <w:r>
              <w:rPr>
                <w:rFonts w:ascii="微软雅黑" w:hAnsi="微软雅黑" w:eastAsia="微软雅黑" w:cs="微软雅黑"/>
                <w:color w:val="auto"/>
                <w:spacing w:val="-4"/>
                <w:sz w:val="21"/>
                <w:szCs w:val="21"/>
                <w:highlight w:val="none"/>
              </w:rPr>
              <w:t>制和排污（污水、废气） 措施等。</w:t>
            </w:r>
          </w:p>
        </w:tc>
      </w:tr>
      <w:tr w14:paraId="43FA9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2" w:type="dxa"/>
            <w:vMerge w:val="restart"/>
            <w:tcBorders>
              <w:left w:val="single" w:color="000000" w:sz="10" w:space="0"/>
              <w:bottom w:val="nil"/>
            </w:tcBorders>
            <w:vAlign w:val="top"/>
          </w:tcPr>
          <w:p w14:paraId="2E4995BE">
            <w:pPr>
              <w:spacing w:line="265" w:lineRule="auto"/>
              <w:rPr>
                <w:rFonts w:ascii="Arial"/>
                <w:color w:val="auto"/>
                <w:sz w:val="21"/>
                <w:highlight w:val="none"/>
              </w:rPr>
            </w:pPr>
          </w:p>
          <w:p w14:paraId="1E5C6C70">
            <w:pPr>
              <w:spacing w:line="265" w:lineRule="auto"/>
              <w:rPr>
                <w:rFonts w:ascii="Arial"/>
                <w:color w:val="auto"/>
                <w:sz w:val="21"/>
                <w:highlight w:val="none"/>
              </w:rPr>
            </w:pPr>
          </w:p>
          <w:p w14:paraId="6B478457">
            <w:pPr>
              <w:spacing w:line="265" w:lineRule="auto"/>
              <w:rPr>
                <w:rFonts w:ascii="Arial"/>
                <w:color w:val="auto"/>
                <w:sz w:val="21"/>
                <w:highlight w:val="none"/>
              </w:rPr>
            </w:pPr>
          </w:p>
          <w:p w14:paraId="39E35AAF">
            <w:pPr>
              <w:spacing w:line="265" w:lineRule="auto"/>
              <w:rPr>
                <w:rFonts w:ascii="Arial"/>
                <w:color w:val="auto"/>
                <w:sz w:val="21"/>
                <w:highlight w:val="none"/>
              </w:rPr>
            </w:pPr>
          </w:p>
          <w:p w14:paraId="2FADB900">
            <w:pPr>
              <w:spacing w:line="265" w:lineRule="auto"/>
              <w:rPr>
                <w:rFonts w:ascii="Arial"/>
                <w:color w:val="auto"/>
                <w:sz w:val="21"/>
                <w:highlight w:val="none"/>
              </w:rPr>
            </w:pPr>
          </w:p>
          <w:p w14:paraId="7F04759D">
            <w:pPr>
              <w:spacing w:line="265" w:lineRule="auto"/>
              <w:rPr>
                <w:rFonts w:ascii="Arial"/>
                <w:color w:val="auto"/>
                <w:sz w:val="21"/>
                <w:highlight w:val="none"/>
              </w:rPr>
            </w:pPr>
          </w:p>
          <w:p w14:paraId="6CD31C49">
            <w:pPr>
              <w:spacing w:line="265" w:lineRule="auto"/>
              <w:rPr>
                <w:rFonts w:ascii="Arial"/>
                <w:color w:val="auto"/>
                <w:sz w:val="21"/>
                <w:highlight w:val="none"/>
              </w:rPr>
            </w:pPr>
          </w:p>
          <w:p w14:paraId="7FDCBAEC">
            <w:pPr>
              <w:spacing w:line="265" w:lineRule="auto"/>
              <w:rPr>
                <w:rFonts w:ascii="Arial"/>
                <w:color w:val="auto"/>
                <w:sz w:val="21"/>
                <w:highlight w:val="none"/>
              </w:rPr>
            </w:pPr>
          </w:p>
          <w:p w14:paraId="27AAAA1C">
            <w:pPr>
              <w:spacing w:line="266" w:lineRule="auto"/>
              <w:rPr>
                <w:rFonts w:ascii="Arial"/>
                <w:color w:val="auto"/>
                <w:sz w:val="21"/>
                <w:highlight w:val="none"/>
              </w:rPr>
            </w:pPr>
          </w:p>
          <w:p w14:paraId="0DCDF997">
            <w:pPr>
              <w:spacing w:before="90" w:line="212" w:lineRule="auto"/>
              <w:ind w:left="152" w:right="166" w:firstLine="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6"/>
                <w:sz w:val="21"/>
                <w:szCs w:val="21"/>
                <w:highlight w:val="none"/>
              </w:rPr>
              <w:t>临时</w:t>
            </w:r>
            <w:r>
              <w:rPr>
                <w:rFonts w:ascii="微软雅黑" w:hAnsi="微软雅黑" w:eastAsia="微软雅黑" w:cs="微软雅黑"/>
                <w:color w:val="auto"/>
                <w:spacing w:val="-2"/>
                <w:sz w:val="21"/>
                <w:szCs w:val="21"/>
                <w:highlight w:val="none"/>
              </w:rPr>
              <w:t>设施</w:t>
            </w:r>
          </w:p>
        </w:tc>
        <w:tc>
          <w:tcPr>
            <w:tcW w:w="2063" w:type="dxa"/>
            <w:gridSpan w:val="2"/>
            <w:vAlign w:val="top"/>
          </w:tcPr>
          <w:p w14:paraId="7DEE4CFF">
            <w:pPr>
              <w:spacing w:before="227" w:line="211" w:lineRule="auto"/>
              <w:ind w:left="601" w:right="61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现场办公生活设施</w:t>
            </w:r>
          </w:p>
        </w:tc>
        <w:tc>
          <w:tcPr>
            <w:tcW w:w="6642" w:type="dxa"/>
            <w:tcBorders>
              <w:right w:val="single" w:color="000000" w:sz="10" w:space="0"/>
            </w:tcBorders>
            <w:vAlign w:val="top"/>
          </w:tcPr>
          <w:p w14:paraId="56AFD599">
            <w:pPr>
              <w:spacing w:before="35"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1.</w:t>
            </w:r>
            <w:r>
              <w:rPr>
                <w:rFonts w:ascii="微软雅黑" w:hAnsi="微软雅黑" w:eastAsia="微软雅黑" w:cs="微软雅黑"/>
                <w:color w:val="auto"/>
                <w:spacing w:val="47"/>
                <w:w w:val="101"/>
                <w:sz w:val="21"/>
                <w:szCs w:val="21"/>
                <w:highlight w:val="none"/>
              </w:rPr>
              <w:t xml:space="preserve"> </w:t>
            </w:r>
            <w:r>
              <w:rPr>
                <w:rFonts w:ascii="微软雅黑" w:hAnsi="微软雅黑" w:eastAsia="微软雅黑" w:cs="微软雅黑"/>
                <w:color w:val="auto"/>
                <w:spacing w:val="-3"/>
                <w:sz w:val="21"/>
                <w:szCs w:val="21"/>
                <w:highlight w:val="none"/>
              </w:rPr>
              <w:t>施工现场办公、生活区与作业区分开设置， 保持安全距离。</w:t>
            </w:r>
          </w:p>
          <w:p w14:paraId="3B71434A">
            <w:pPr>
              <w:spacing w:before="1" w:line="185" w:lineRule="auto"/>
              <w:ind w:left="103" w:right="94" w:firstLine="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w:t>
            </w:r>
            <w:r>
              <w:rPr>
                <w:rFonts w:ascii="微软雅黑" w:hAnsi="微软雅黑" w:eastAsia="微软雅黑" w:cs="微软雅黑"/>
                <w:color w:val="auto"/>
                <w:spacing w:val="61"/>
                <w:w w:val="101"/>
                <w:sz w:val="21"/>
                <w:szCs w:val="21"/>
                <w:highlight w:val="none"/>
              </w:rPr>
              <w:t xml:space="preserve"> </w:t>
            </w:r>
            <w:r>
              <w:rPr>
                <w:rFonts w:ascii="微软雅黑" w:hAnsi="微软雅黑" w:eastAsia="微软雅黑" w:cs="微软雅黑"/>
                <w:color w:val="auto"/>
                <w:spacing w:val="1"/>
                <w:sz w:val="21"/>
                <w:szCs w:val="21"/>
                <w:highlight w:val="none"/>
              </w:rPr>
              <w:t>工地办公室、现场宿舍、食堂、厕所、饮水、沐浴、休息场所等符</w:t>
            </w:r>
            <w:r>
              <w:rPr>
                <w:rFonts w:ascii="微软雅黑" w:hAnsi="微软雅黑" w:eastAsia="微软雅黑" w:cs="微软雅黑"/>
                <w:color w:val="auto"/>
                <w:spacing w:val="-1"/>
                <w:sz w:val="21"/>
                <w:szCs w:val="21"/>
                <w:highlight w:val="none"/>
              </w:rPr>
              <w:t>合卫生、消防安全要求。</w:t>
            </w:r>
          </w:p>
        </w:tc>
      </w:tr>
      <w:tr w14:paraId="347A4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752" w:type="dxa"/>
            <w:vMerge w:val="continue"/>
            <w:tcBorders>
              <w:top w:val="nil"/>
              <w:left w:val="single" w:color="000000" w:sz="10" w:space="0"/>
              <w:bottom w:val="nil"/>
            </w:tcBorders>
            <w:vAlign w:val="top"/>
          </w:tcPr>
          <w:p w14:paraId="55A4E3A8">
            <w:pPr>
              <w:rPr>
                <w:rFonts w:ascii="Arial"/>
                <w:color w:val="auto"/>
                <w:sz w:val="21"/>
                <w:highlight w:val="none"/>
              </w:rPr>
            </w:pPr>
          </w:p>
        </w:tc>
        <w:tc>
          <w:tcPr>
            <w:tcW w:w="522" w:type="dxa"/>
            <w:vMerge w:val="restart"/>
            <w:tcBorders>
              <w:bottom w:val="nil"/>
            </w:tcBorders>
            <w:textDirection w:val="tbRlV"/>
            <w:vAlign w:val="top"/>
          </w:tcPr>
          <w:p w14:paraId="55D7A2CB">
            <w:pPr>
              <w:spacing w:before="166" w:line="180" w:lineRule="auto"/>
              <w:ind w:left="113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0"/>
                <w:sz w:val="21"/>
                <w:szCs w:val="21"/>
                <w:highlight w:val="none"/>
              </w:rPr>
              <w:t>施</w:t>
            </w:r>
            <w:r>
              <w:rPr>
                <w:rFonts w:ascii="微软雅黑" w:hAnsi="微软雅黑" w:eastAsia="微软雅黑" w:cs="微软雅黑"/>
                <w:color w:val="auto"/>
                <w:spacing w:val="56"/>
                <w:sz w:val="21"/>
                <w:szCs w:val="21"/>
                <w:highlight w:val="none"/>
              </w:rPr>
              <w:t xml:space="preserve"> </w:t>
            </w:r>
            <w:r>
              <w:rPr>
                <w:rFonts w:ascii="微软雅黑" w:hAnsi="微软雅黑" w:eastAsia="微软雅黑" w:cs="微软雅黑"/>
                <w:color w:val="auto"/>
                <w:spacing w:val="-10"/>
                <w:sz w:val="21"/>
                <w:szCs w:val="21"/>
                <w:highlight w:val="none"/>
              </w:rPr>
              <w:t>工  现</w:t>
            </w:r>
            <w:r>
              <w:rPr>
                <w:rFonts w:ascii="微软雅黑" w:hAnsi="微软雅黑" w:eastAsia="微软雅黑" w:cs="微软雅黑"/>
                <w:color w:val="auto"/>
                <w:spacing w:val="34"/>
                <w:w w:val="101"/>
                <w:sz w:val="21"/>
                <w:szCs w:val="21"/>
                <w:highlight w:val="none"/>
              </w:rPr>
              <w:t xml:space="preserve"> </w:t>
            </w:r>
            <w:r>
              <w:rPr>
                <w:rFonts w:ascii="微软雅黑" w:hAnsi="微软雅黑" w:eastAsia="微软雅黑" w:cs="微软雅黑"/>
                <w:color w:val="auto"/>
                <w:spacing w:val="-10"/>
                <w:sz w:val="21"/>
                <w:szCs w:val="21"/>
                <w:highlight w:val="none"/>
              </w:rPr>
              <w:t>场</w:t>
            </w:r>
            <w:r>
              <w:rPr>
                <w:rFonts w:ascii="微软雅黑" w:hAnsi="微软雅黑" w:eastAsia="微软雅黑" w:cs="微软雅黑"/>
                <w:color w:val="auto"/>
                <w:spacing w:val="30"/>
                <w:w w:val="101"/>
                <w:sz w:val="21"/>
                <w:szCs w:val="21"/>
                <w:highlight w:val="none"/>
              </w:rPr>
              <w:t xml:space="preserve"> </w:t>
            </w:r>
            <w:r>
              <w:rPr>
                <w:rFonts w:ascii="微软雅黑" w:hAnsi="微软雅黑" w:eastAsia="微软雅黑" w:cs="微软雅黑"/>
                <w:color w:val="auto"/>
                <w:spacing w:val="-10"/>
                <w:sz w:val="21"/>
                <w:szCs w:val="21"/>
                <w:highlight w:val="none"/>
              </w:rPr>
              <w:t>临</w:t>
            </w:r>
            <w:r>
              <w:rPr>
                <w:rFonts w:ascii="微软雅黑" w:hAnsi="微软雅黑" w:eastAsia="微软雅黑" w:cs="微软雅黑"/>
                <w:color w:val="auto"/>
                <w:spacing w:val="33"/>
                <w:sz w:val="21"/>
                <w:szCs w:val="21"/>
                <w:highlight w:val="none"/>
              </w:rPr>
              <w:t xml:space="preserve"> </w:t>
            </w:r>
            <w:r>
              <w:rPr>
                <w:rFonts w:ascii="微软雅黑" w:hAnsi="微软雅黑" w:eastAsia="微软雅黑" w:cs="微软雅黑"/>
                <w:color w:val="auto"/>
                <w:spacing w:val="-10"/>
                <w:sz w:val="21"/>
                <w:szCs w:val="21"/>
                <w:highlight w:val="none"/>
              </w:rPr>
              <w:t>时</w:t>
            </w:r>
            <w:r>
              <w:rPr>
                <w:rFonts w:ascii="微软雅黑" w:hAnsi="微软雅黑" w:eastAsia="微软雅黑" w:cs="微软雅黑"/>
                <w:color w:val="auto"/>
                <w:spacing w:val="48"/>
                <w:sz w:val="21"/>
                <w:szCs w:val="21"/>
                <w:highlight w:val="none"/>
              </w:rPr>
              <w:t xml:space="preserve"> </w:t>
            </w:r>
            <w:r>
              <w:rPr>
                <w:rFonts w:ascii="微软雅黑" w:hAnsi="微软雅黑" w:eastAsia="微软雅黑" w:cs="微软雅黑"/>
                <w:color w:val="auto"/>
                <w:spacing w:val="-10"/>
                <w:sz w:val="21"/>
                <w:szCs w:val="21"/>
                <w:highlight w:val="none"/>
              </w:rPr>
              <w:t>用</w:t>
            </w:r>
            <w:r>
              <w:rPr>
                <w:rFonts w:ascii="微软雅黑" w:hAnsi="微软雅黑" w:eastAsia="微软雅黑" w:cs="微软雅黑"/>
                <w:color w:val="auto"/>
                <w:spacing w:val="31"/>
                <w:sz w:val="21"/>
                <w:szCs w:val="21"/>
                <w:highlight w:val="none"/>
              </w:rPr>
              <w:t xml:space="preserve"> </w:t>
            </w:r>
            <w:r>
              <w:rPr>
                <w:rFonts w:ascii="微软雅黑" w:hAnsi="微软雅黑" w:eastAsia="微软雅黑" w:cs="微软雅黑"/>
                <w:color w:val="auto"/>
                <w:spacing w:val="-10"/>
                <w:sz w:val="21"/>
                <w:szCs w:val="21"/>
                <w:highlight w:val="none"/>
              </w:rPr>
              <w:t>电</w:t>
            </w:r>
          </w:p>
        </w:tc>
        <w:tc>
          <w:tcPr>
            <w:tcW w:w="1541" w:type="dxa"/>
            <w:vAlign w:val="top"/>
          </w:tcPr>
          <w:p w14:paraId="686038B6">
            <w:pPr>
              <w:spacing w:line="434" w:lineRule="auto"/>
              <w:rPr>
                <w:rFonts w:ascii="Arial"/>
                <w:color w:val="auto"/>
                <w:sz w:val="21"/>
                <w:highlight w:val="none"/>
              </w:rPr>
            </w:pPr>
          </w:p>
          <w:p w14:paraId="0EE25ABF">
            <w:pPr>
              <w:spacing w:before="90" w:line="184" w:lineRule="auto"/>
              <w:ind w:left="34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配电线路</w:t>
            </w:r>
          </w:p>
        </w:tc>
        <w:tc>
          <w:tcPr>
            <w:tcW w:w="6642" w:type="dxa"/>
            <w:tcBorders>
              <w:right w:val="single" w:color="000000" w:sz="10" w:space="0"/>
            </w:tcBorders>
            <w:vAlign w:val="top"/>
          </w:tcPr>
          <w:p w14:paraId="6CE06F02">
            <w:pPr>
              <w:spacing w:before="36"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1.</w:t>
            </w:r>
            <w:r>
              <w:rPr>
                <w:rFonts w:ascii="微软雅黑" w:hAnsi="微软雅黑" w:eastAsia="微软雅黑" w:cs="微软雅黑"/>
                <w:color w:val="auto"/>
                <w:spacing w:val="46"/>
                <w:sz w:val="21"/>
                <w:szCs w:val="21"/>
                <w:highlight w:val="none"/>
              </w:rPr>
              <w:t xml:space="preserve"> </w:t>
            </w:r>
            <w:r>
              <w:rPr>
                <w:rFonts w:ascii="微软雅黑" w:hAnsi="微软雅黑" w:eastAsia="微软雅黑" w:cs="微软雅黑"/>
                <w:color w:val="auto"/>
                <w:spacing w:val="-1"/>
                <w:sz w:val="21"/>
                <w:szCs w:val="21"/>
                <w:highlight w:val="none"/>
              </w:rPr>
              <w:t>按照 TN-S 系统要求配备五芯电缆</w:t>
            </w:r>
            <w:r>
              <w:rPr>
                <w:rFonts w:ascii="微软雅黑" w:hAnsi="微软雅黑" w:eastAsia="微软雅黑" w:cs="微软雅黑"/>
                <w:color w:val="auto"/>
                <w:spacing w:val="-2"/>
                <w:sz w:val="21"/>
                <w:szCs w:val="21"/>
                <w:highlight w:val="none"/>
              </w:rPr>
              <w:t>、四芯电缆和三芯电缆。</w:t>
            </w:r>
          </w:p>
          <w:p w14:paraId="70118DE9">
            <w:pPr>
              <w:spacing w:before="2" w:line="199" w:lineRule="auto"/>
              <w:ind w:left="101" w:right="94" w:firstLine="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w:t>
            </w:r>
            <w:r>
              <w:rPr>
                <w:rFonts w:ascii="微软雅黑" w:hAnsi="微软雅黑" w:eastAsia="微软雅黑" w:cs="微软雅黑"/>
                <w:color w:val="auto"/>
                <w:spacing w:val="62"/>
                <w:w w:val="101"/>
                <w:sz w:val="21"/>
                <w:szCs w:val="21"/>
                <w:highlight w:val="none"/>
              </w:rPr>
              <w:t xml:space="preserve"> </w:t>
            </w:r>
            <w:r>
              <w:rPr>
                <w:rFonts w:ascii="微软雅黑" w:hAnsi="微软雅黑" w:eastAsia="微软雅黑" w:cs="微软雅黑"/>
                <w:color w:val="auto"/>
                <w:spacing w:val="-1"/>
                <w:sz w:val="21"/>
                <w:szCs w:val="21"/>
                <w:highlight w:val="none"/>
              </w:rPr>
              <w:t>按要求架设临时用电线路的电杆、横担、瓷夹、瓷瓶等， 或电缆埋</w:t>
            </w:r>
            <w:r>
              <w:rPr>
                <w:rFonts w:ascii="微软雅黑" w:hAnsi="微软雅黑" w:eastAsia="微软雅黑" w:cs="微软雅黑"/>
                <w:color w:val="auto"/>
                <w:sz w:val="21"/>
                <w:szCs w:val="21"/>
                <w:highlight w:val="none"/>
              </w:rPr>
              <w:t>地的地沟。</w:t>
            </w:r>
          </w:p>
          <w:p w14:paraId="25AD8C67">
            <w:pPr>
              <w:spacing w:before="1" w:line="169" w:lineRule="auto"/>
              <w:jc w:val="right"/>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3.</w:t>
            </w:r>
            <w:r>
              <w:rPr>
                <w:rFonts w:ascii="微软雅黑" w:hAnsi="微软雅黑" w:eastAsia="微软雅黑" w:cs="微软雅黑"/>
                <w:color w:val="auto"/>
                <w:spacing w:val="45"/>
                <w:w w:val="101"/>
                <w:sz w:val="21"/>
                <w:szCs w:val="21"/>
                <w:highlight w:val="none"/>
              </w:rPr>
              <w:t xml:space="preserve"> </w:t>
            </w:r>
            <w:r>
              <w:rPr>
                <w:rFonts w:ascii="微软雅黑" w:hAnsi="微软雅黑" w:eastAsia="微软雅黑" w:cs="微软雅黑"/>
                <w:color w:val="auto"/>
                <w:spacing w:val="-4"/>
                <w:sz w:val="21"/>
                <w:szCs w:val="21"/>
                <w:highlight w:val="none"/>
              </w:rPr>
              <w:t>对靠近施工现场的外电线路，</w:t>
            </w:r>
            <w:r>
              <w:rPr>
                <w:rFonts w:ascii="微软雅黑" w:hAnsi="微软雅黑" w:eastAsia="微软雅黑" w:cs="微软雅黑"/>
                <w:color w:val="auto"/>
                <w:spacing w:val="-26"/>
                <w:sz w:val="21"/>
                <w:szCs w:val="21"/>
                <w:highlight w:val="none"/>
              </w:rPr>
              <w:t xml:space="preserve"> </w:t>
            </w:r>
            <w:r>
              <w:rPr>
                <w:rFonts w:ascii="微软雅黑" w:hAnsi="微软雅黑" w:eastAsia="微软雅黑" w:cs="微软雅黑"/>
                <w:color w:val="auto"/>
                <w:spacing w:val="-4"/>
                <w:sz w:val="21"/>
                <w:szCs w:val="21"/>
                <w:highlight w:val="none"/>
              </w:rPr>
              <w:t>设置木质、塑料等</w:t>
            </w:r>
            <w:r>
              <w:rPr>
                <w:rFonts w:ascii="微软雅黑" w:hAnsi="微软雅黑" w:eastAsia="微软雅黑" w:cs="微软雅黑"/>
                <w:color w:val="auto"/>
                <w:spacing w:val="-5"/>
                <w:sz w:val="21"/>
                <w:szCs w:val="21"/>
                <w:highlight w:val="none"/>
              </w:rPr>
              <w:t>绝缘体的防护设施。</w:t>
            </w:r>
          </w:p>
        </w:tc>
      </w:tr>
      <w:tr w14:paraId="456DF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752" w:type="dxa"/>
            <w:vMerge w:val="continue"/>
            <w:tcBorders>
              <w:top w:val="nil"/>
              <w:left w:val="single" w:color="000000" w:sz="10" w:space="0"/>
              <w:bottom w:val="nil"/>
            </w:tcBorders>
            <w:vAlign w:val="top"/>
          </w:tcPr>
          <w:p w14:paraId="7973978F">
            <w:pPr>
              <w:rPr>
                <w:rFonts w:ascii="Arial"/>
                <w:color w:val="auto"/>
                <w:sz w:val="21"/>
                <w:highlight w:val="none"/>
              </w:rPr>
            </w:pPr>
          </w:p>
        </w:tc>
        <w:tc>
          <w:tcPr>
            <w:tcW w:w="522" w:type="dxa"/>
            <w:vMerge w:val="continue"/>
            <w:tcBorders>
              <w:top w:val="nil"/>
              <w:bottom w:val="nil"/>
            </w:tcBorders>
            <w:textDirection w:val="tbRlV"/>
            <w:vAlign w:val="top"/>
          </w:tcPr>
          <w:p w14:paraId="6EAA428F">
            <w:pPr>
              <w:rPr>
                <w:rFonts w:ascii="Arial"/>
                <w:color w:val="auto"/>
                <w:sz w:val="21"/>
                <w:highlight w:val="none"/>
              </w:rPr>
            </w:pPr>
          </w:p>
        </w:tc>
        <w:tc>
          <w:tcPr>
            <w:tcW w:w="1541" w:type="dxa"/>
            <w:vAlign w:val="top"/>
          </w:tcPr>
          <w:p w14:paraId="75F8FE3A">
            <w:pPr>
              <w:spacing w:line="294" w:lineRule="auto"/>
              <w:rPr>
                <w:rFonts w:ascii="Arial"/>
                <w:color w:val="auto"/>
                <w:sz w:val="21"/>
                <w:highlight w:val="none"/>
              </w:rPr>
            </w:pPr>
          </w:p>
          <w:p w14:paraId="15076D26">
            <w:pPr>
              <w:spacing w:line="294" w:lineRule="auto"/>
              <w:rPr>
                <w:rFonts w:ascii="Arial"/>
                <w:color w:val="auto"/>
                <w:sz w:val="21"/>
                <w:highlight w:val="none"/>
              </w:rPr>
            </w:pPr>
          </w:p>
          <w:p w14:paraId="00E586DB">
            <w:pPr>
              <w:spacing w:before="90" w:line="183" w:lineRule="auto"/>
              <w:ind w:left="45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配电箱</w:t>
            </w:r>
          </w:p>
          <w:p w14:paraId="6A54425D">
            <w:pPr>
              <w:spacing w:before="25" w:line="183" w:lineRule="auto"/>
              <w:ind w:left="44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开关箱</w:t>
            </w:r>
          </w:p>
        </w:tc>
        <w:tc>
          <w:tcPr>
            <w:tcW w:w="6642" w:type="dxa"/>
            <w:tcBorders>
              <w:right w:val="single" w:color="000000" w:sz="10" w:space="0"/>
            </w:tcBorders>
            <w:vAlign w:val="top"/>
          </w:tcPr>
          <w:p w14:paraId="6F818F87">
            <w:pPr>
              <w:spacing w:before="41" w:line="200" w:lineRule="auto"/>
              <w:ind w:left="101" w:right="94" w:firstLine="2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1.</w:t>
            </w:r>
            <w:r>
              <w:rPr>
                <w:rFonts w:ascii="微软雅黑" w:hAnsi="微软雅黑" w:eastAsia="微软雅黑" w:cs="微软雅黑"/>
                <w:color w:val="auto"/>
                <w:spacing w:val="51"/>
                <w:w w:val="101"/>
                <w:sz w:val="21"/>
                <w:szCs w:val="21"/>
                <w:highlight w:val="none"/>
              </w:rPr>
              <w:t xml:space="preserve"> </w:t>
            </w:r>
            <w:r>
              <w:rPr>
                <w:rFonts w:ascii="微软雅黑" w:hAnsi="微软雅黑" w:eastAsia="微软雅黑" w:cs="微软雅黑"/>
                <w:color w:val="auto"/>
                <w:spacing w:val="-1"/>
                <w:sz w:val="21"/>
                <w:szCs w:val="21"/>
                <w:highlight w:val="none"/>
              </w:rPr>
              <w:t>按三级配电要求， 配备总配电箱、分配电箱、开关箱三类（铁质）</w:t>
            </w:r>
            <w:r>
              <w:rPr>
                <w:rFonts w:ascii="微软雅黑" w:hAnsi="微软雅黑" w:eastAsia="微软雅黑" w:cs="微软雅黑"/>
                <w:color w:val="auto"/>
                <w:spacing w:val="-6"/>
                <w:sz w:val="21"/>
                <w:szCs w:val="21"/>
                <w:highlight w:val="none"/>
              </w:rPr>
              <w:t>标准电箱，</w:t>
            </w:r>
            <w:r>
              <w:rPr>
                <w:rFonts w:ascii="微软雅黑" w:hAnsi="微软雅黑" w:eastAsia="微软雅黑" w:cs="微软雅黑"/>
                <w:color w:val="auto"/>
                <w:spacing w:val="-2"/>
                <w:sz w:val="21"/>
                <w:szCs w:val="21"/>
                <w:highlight w:val="none"/>
              </w:rPr>
              <w:t xml:space="preserve"> </w:t>
            </w:r>
            <w:r>
              <w:rPr>
                <w:rFonts w:ascii="微软雅黑" w:hAnsi="微软雅黑" w:eastAsia="微软雅黑" w:cs="微软雅黑"/>
                <w:color w:val="auto"/>
                <w:spacing w:val="-6"/>
                <w:sz w:val="21"/>
                <w:szCs w:val="21"/>
                <w:highlight w:val="none"/>
              </w:rPr>
              <w:t>开关箱应符合“一机、一箱、一闸、一漏”，</w:t>
            </w:r>
            <w:r>
              <w:rPr>
                <w:rFonts w:ascii="微软雅黑" w:hAnsi="微软雅黑" w:eastAsia="微软雅黑" w:cs="微软雅黑"/>
                <w:color w:val="auto"/>
                <w:spacing w:val="-17"/>
                <w:sz w:val="21"/>
                <w:szCs w:val="21"/>
                <w:highlight w:val="none"/>
              </w:rPr>
              <w:t xml:space="preserve"> </w:t>
            </w:r>
            <w:r>
              <w:rPr>
                <w:rFonts w:ascii="微软雅黑" w:hAnsi="微软雅黑" w:eastAsia="微软雅黑" w:cs="微软雅黑"/>
                <w:color w:val="auto"/>
                <w:spacing w:val="-6"/>
                <w:sz w:val="21"/>
                <w:szCs w:val="21"/>
                <w:highlight w:val="none"/>
              </w:rPr>
              <w:t>三类电箱中的</w:t>
            </w:r>
            <w:r>
              <w:rPr>
                <w:rFonts w:ascii="微软雅黑" w:hAnsi="微软雅黑" w:eastAsia="微软雅黑" w:cs="微软雅黑"/>
                <w:color w:val="auto"/>
                <w:sz w:val="21"/>
                <w:szCs w:val="21"/>
                <w:highlight w:val="none"/>
              </w:rPr>
              <w:t>各类电器应是合格品。</w:t>
            </w:r>
          </w:p>
          <w:p w14:paraId="7B23689A">
            <w:pPr>
              <w:spacing w:before="2" w:line="199" w:lineRule="auto"/>
              <w:ind w:left="104" w:right="94" w:firstLine="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w:t>
            </w:r>
            <w:r>
              <w:rPr>
                <w:rFonts w:ascii="微软雅黑" w:hAnsi="微软雅黑" w:eastAsia="微软雅黑" w:cs="微软雅黑"/>
                <w:color w:val="auto"/>
                <w:spacing w:val="62"/>
                <w:w w:val="101"/>
                <w:sz w:val="21"/>
                <w:szCs w:val="21"/>
                <w:highlight w:val="none"/>
              </w:rPr>
              <w:t xml:space="preserve"> </w:t>
            </w:r>
            <w:r>
              <w:rPr>
                <w:rFonts w:ascii="微软雅黑" w:hAnsi="微软雅黑" w:eastAsia="微软雅黑" w:cs="微软雅黑"/>
                <w:color w:val="auto"/>
                <w:spacing w:val="-1"/>
                <w:sz w:val="21"/>
                <w:szCs w:val="21"/>
                <w:highlight w:val="none"/>
              </w:rPr>
              <w:t>按两级保护的要求， 选取符合容量要求和质量合格的总配电箱和开关箱中的漏电保护器。</w:t>
            </w:r>
          </w:p>
          <w:p w14:paraId="56955254">
            <w:pPr>
              <w:spacing w:before="1" w:line="167" w:lineRule="auto"/>
              <w:ind w:left="115"/>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3.</w:t>
            </w:r>
            <w:r>
              <w:rPr>
                <w:rFonts w:ascii="微软雅黑" w:hAnsi="微软雅黑" w:eastAsia="微软雅黑" w:cs="微软雅黑"/>
                <w:color w:val="auto"/>
                <w:spacing w:val="60"/>
                <w:sz w:val="21"/>
                <w:szCs w:val="21"/>
                <w:highlight w:val="none"/>
              </w:rPr>
              <w:t xml:space="preserve"> </w:t>
            </w:r>
            <w:r>
              <w:rPr>
                <w:rFonts w:ascii="微软雅黑" w:hAnsi="微软雅黑" w:eastAsia="微软雅黑" w:cs="微软雅黑"/>
                <w:color w:val="auto"/>
                <w:spacing w:val="-1"/>
                <w:sz w:val="21"/>
                <w:szCs w:val="21"/>
                <w:highlight w:val="none"/>
              </w:rPr>
              <w:t>对大型、落地式分配电箱、开关箱设置防护棚和通透式围挡。</w:t>
            </w:r>
          </w:p>
        </w:tc>
      </w:tr>
      <w:tr w14:paraId="15D5C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752" w:type="dxa"/>
            <w:vMerge w:val="continue"/>
            <w:tcBorders>
              <w:top w:val="nil"/>
              <w:left w:val="single" w:color="000000" w:sz="10" w:space="0"/>
              <w:bottom w:val="nil"/>
            </w:tcBorders>
            <w:vAlign w:val="top"/>
          </w:tcPr>
          <w:p w14:paraId="79E5B13A">
            <w:pPr>
              <w:rPr>
                <w:rFonts w:ascii="Arial"/>
                <w:color w:val="auto"/>
                <w:sz w:val="21"/>
                <w:highlight w:val="none"/>
              </w:rPr>
            </w:pPr>
          </w:p>
        </w:tc>
        <w:tc>
          <w:tcPr>
            <w:tcW w:w="522" w:type="dxa"/>
            <w:vMerge w:val="continue"/>
            <w:tcBorders>
              <w:top w:val="nil"/>
              <w:bottom w:val="nil"/>
            </w:tcBorders>
            <w:textDirection w:val="tbRlV"/>
            <w:vAlign w:val="top"/>
          </w:tcPr>
          <w:p w14:paraId="37157AED">
            <w:pPr>
              <w:rPr>
                <w:rFonts w:ascii="Arial"/>
                <w:color w:val="auto"/>
                <w:sz w:val="21"/>
                <w:highlight w:val="none"/>
              </w:rPr>
            </w:pPr>
          </w:p>
        </w:tc>
        <w:tc>
          <w:tcPr>
            <w:tcW w:w="1541" w:type="dxa"/>
            <w:vAlign w:val="top"/>
          </w:tcPr>
          <w:p w14:paraId="34A0ECCC">
            <w:pPr>
              <w:spacing w:before="218" w:line="184" w:lineRule="auto"/>
              <w:ind w:left="343"/>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接地装置</w:t>
            </w:r>
          </w:p>
        </w:tc>
        <w:tc>
          <w:tcPr>
            <w:tcW w:w="6642" w:type="dxa"/>
            <w:tcBorders>
              <w:right w:val="single" w:color="000000" w:sz="10" w:space="0"/>
            </w:tcBorders>
            <w:vAlign w:val="top"/>
          </w:tcPr>
          <w:p w14:paraId="42EFE93C">
            <w:pPr>
              <w:spacing w:before="218" w:line="184" w:lineRule="auto"/>
              <w:ind w:left="102"/>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施工现场应设置不少于三处的重复接地装置。</w:t>
            </w:r>
          </w:p>
        </w:tc>
      </w:tr>
      <w:tr w14:paraId="17ABC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752" w:type="dxa"/>
            <w:vMerge w:val="continue"/>
            <w:tcBorders>
              <w:top w:val="nil"/>
              <w:left w:val="single" w:color="000000" w:sz="10" w:space="0"/>
            </w:tcBorders>
            <w:vAlign w:val="top"/>
          </w:tcPr>
          <w:p w14:paraId="3EDA9AE9">
            <w:pPr>
              <w:rPr>
                <w:rFonts w:ascii="Arial"/>
                <w:color w:val="auto"/>
                <w:sz w:val="21"/>
                <w:highlight w:val="none"/>
              </w:rPr>
            </w:pPr>
          </w:p>
        </w:tc>
        <w:tc>
          <w:tcPr>
            <w:tcW w:w="522" w:type="dxa"/>
            <w:vMerge w:val="continue"/>
            <w:tcBorders>
              <w:top w:val="nil"/>
            </w:tcBorders>
            <w:textDirection w:val="tbRlV"/>
            <w:vAlign w:val="top"/>
          </w:tcPr>
          <w:p w14:paraId="68F04EDC">
            <w:pPr>
              <w:rPr>
                <w:rFonts w:ascii="Arial"/>
                <w:color w:val="auto"/>
                <w:sz w:val="21"/>
                <w:highlight w:val="none"/>
              </w:rPr>
            </w:pPr>
          </w:p>
        </w:tc>
        <w:tc>
          <w:tcPr>
            <w:tcW w:w="1541" w:type="dxa"/>
            <w:vAlign w:val="top"/>
          </w:tcPr>
          <w:p w14:paraId="31A57110">
            <w:pPr>
              <w:spacing w:before="242" w:line="214" w:lineRule="auto"/>
              <w:ind w:left="658" w:right="144" w:hanging="52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现场变配电装</w:t>
            </w:r>
            <w:r>
              <w:rPr>
                <w:rFonts w:ascii="微软雅黑" w:hAnsi="微软雅黑" w:eastAsia="微软雅黑" w:cs="微软雅黑"/>
                <w:color w:val="auto"/>
                <w:sz w:val="21"/>
                <w:szCs w:val="21"/>
                <w:highlight w:val="none"/>
              </w:rPr>
              <w:t>置</w:t>
            </w:r>
          </w:p>
        </w:tc>
        <w:tc>
          <w:tcPr>
            <w:tcW w:w="6642" w:type="dxa"/>
            <w:tcBorders>
              <w:right w:val="single" w:color="000000" w:sz="10" w:space="0"/>
            </w:tcBorders>
            <w:vAlign w:val="top"/>
          </w:tcPr>
          <w:p w14:paraId="49BF244F">
            <w:pPr>
              <w:spacing w:line="300" w:lineRule="auto"/>
              <w:rPr>
                <w:rFonts w:ascii="Arial"/>
                <w:color w:val="auto"/>
                <w:sz w:val="21"/>
                <w:highlight w:val="none"/>
              </w:rPr>
            </w:pPr>
          </w:p>
          <w:p w14:paraId="4D3479F7">
            <w:pPr>
              <w:spacing w:before="90" w:line="184" w:lineRule="auto"/>
              <w:ind w:left="10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总配电房建筑材料必须达到消防防火要求， 室内做硬地坪、电缆沟。</w:t>
            </w:r>
          </w:p>
        </w:tc>
      </w:tr>
      <w:tr w14:paraId="5A9DE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752" w:type="dxa"/>
            <w:tcBorders>
              <w:left w:val="single" w:color="000000" w:sz="10" w:space="0"/>
              <w:bottom w:val="single" w:color="000000" w:sz="10" w:space="0"/>
            </w:tcBorders>
            <w:vAlign w:val="top"/>
          </w:tcPr>
          <w:p w14:paraId="3AED0B48">
            <w:pPr>
              <w:spacing w:before="241" w:line="183" w:lineRule="auto"/>
              <w:ind w:left="153"/>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2"/>
                <w:sz w:val="21"/>
                <w:szCs w:val="21"/>
                <w:highlight w:val="none"/>
              </w:rPr>
              <w:t>类别</w:t>
            </w:r>
          </w:p>
        </w:tc>
        <w:tc>
          <w:tcPr>
            <w:tcW w:w="2063" w:type="dxa"/>
            <w:gridSpan w:val="2"/>
            <w:tcBorders>
              <w:bottom w:val="single" w:color="000000" w:sz="10" w:space="0"/>
            </w:tcBorders>
            <w:vAlign w:val="top"/>
          </w:tcPr>
          <w:p w14:paraId="2B2C53C0">
            <w:pPr>
              <w:spacing w:before="240" w:line="184" w:lineRule="auto"/>
              <w:ind w:left="601"/>
              <w:rPr>
                <w:rFonts w:ascii="微软雅黑" w:hAnsi="微软雅黑" w:eastAsia="微软雅黑" w:cs="微软雅黑"/>
                <w:color w:val="auto"/>
                <w:sz w:val="21"/>
                <w:szCs w:val="21"/>
                <w:highlight w:val="none"/>
              </w:rPr>
            </w:pPr>
            <w:r>
              <w:rPr>
                <w:rFonts w:ascii="微软雅黑" w:hAnsi="微软雅黑" w:eastAsia="微软雅黑" w:cs="微软雅黑"/>
                <w:b/>
                <w:bCs/>
                <w:color w:val="auto"/>
                <w:sz w:val="21"/>
                <w:szCs w:val="21"/>
                <w:highlight w:val="none"/>
              </w:rPr>
              <w:t>项目名称</w:t>
            </w:r>
          </w:p>
        </w:tc>
        <w:tc>
          <w:tcPr>
            <w:tcW w:w="6642" w:type="dxa"/>
            <w:tcBorders>
              <w:bottom w:val="single" w:color="000000" w:sz="10" w:space="0"/>
              <w:right w:val="single" w:color="000000" w:sz="10" w:space="0"/>
            </w:tcBorders>
            <w:vAlign w:val="top"/>
          </w:tcPr>
          <w:p w14:paraId="39A305E8">
            <w:pPr>
              <w:spacing w:before="240" w:line="184" w:lineRule="auto"/>
              <w:ind w:left="2584"/>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主要内容和要求</w:t>
            </w:r>
          </w:p>
        </w:tc>
      </w:tr>
    </w:tbl>
    <w:p w14:paraId="07D9C30A">
      <w:pPr>
        <w:rPr>
          <w:rFonts w:ascii="Arial"/>
          <w:color w:val="auto"/>
          <w:sz w:val="21"/>
          <w:highlight w:val="none"/>
        </w:rPr>
      </w:pPr>
    </w:p>
    <w:p w14:paraId="30EF5F6B">
      <w:pPr>
        <w:rPr>
          <w:rFonts w:ascii="Arial" w:hAnsi="Arial" w:eastAsia="Arial" w:cs="Arial"/>
          <w:color w:val="auto"/>
          <w:sz w:val="21"/>
          <w:szCs w:val="21"/>
          <w:highlight w:val="none"/>
        </w:rPr>
        <w:sectPr>
          <w:footerReference r:id="rId11" w:type="default"/>
          <w:pgSz w:w="11900" w:h="16840"/>
          <w:pgMar w:top="1231" w:right="1121" w:bottom="848" w:left="1295" w:header="0" w:footer="649" w:gutter="0"/>
          <w:cols w:space="720" w:num="1"/>
        </w:sectPr>
      </w:pPr>
    </w:p>
    <w:tbl>
      <w:tblPr>
        <w:tblStyle w:val="89"/>
        <w:tblW w:w="94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522"/>
        <w:gridCol w:w="1541"/>
        <w:gridCol w:w="6642"/>
      </w:tblGrid>
      <w:tr w14:paraId="1FDC5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752" w:type="dxa"/>
            <w:vMerge w:val="restart"/>
            <w:tcBorders>
              <w:top w:val="single" w:color="000000" w:sz="10" w:space="0"/>
              <w:left w:val="single" w:color="000000" w:sz="10" w:space="0"/>
              <w:bottom w:val="nil"/>
            </w:tcBorders>
            <w:vAlign w:val="top"/>
          </w:tcPr>
          <w:p w14:paraId="06EF8BB5">
            <w:pPr>
              <w:spacing w:line="250" w:lineRule="auto"/>
              <w:rPr>
                <w:rFonts w:ascii="Arial"/>
                <w:color w:val="auto"/>
                <w:sz w:val="21"/>
                <w:highlight w:val="none"/>
              </w:rPr>
            </w:pPr>
          </w:p>
          <w:p w14:paraId="676658EA">
            <w:pPr>
              <w:spacing w:line="250" w:lineRule="auto"/>
              <w:rPr>
                <w:rFonts w:ascii="Arial"/>
                <w:color w:val="auto"/>
                <w:sz w:val="21"/>
                <w:highlight w:val="none"/>
              </w:rPr>
            </w:pPr>
          </w:p>
          <w:p w14:paraId="541E17C0">
            <w:pPr>
              <w:spacing w:line="250" w:lineRule="auto"/>
              <w:rPr>
                <w:rFonts w:ascii="Arial"/>
                <w:color w:val="auto"/>
                <w:sz w:val="21"/>
                <w:highlight w:val="none"/>
              </w:rPr>
            </w:pPr>
          </w:p>
          <w:p w14:paraId="6BA9E60A">
            <w:pPr>
              <w:spacing w:line="250" w:lineRule="auto"/>
              <w:rPr>
                <w:rFonts w:ascii="Arial"/>
                <w:color w:val="auto"/>
                <w:sz w:val="21"/>
                <w:highlight w:val="none"/>
              </w:rPr>
            </w:pPr>
          </w:p>
          <w:p w14:paraId="7B6E917D">
            <w:pPr>
              <w:spacing w:line="250" w:lineRule="auto"/>
              <w:rPr>
                <w:rFonts w:ascii="Arial"/>
                <w:color w:val="auto"/>
                <w:sz w:val="21"/>
                <w:highlight w:val="none"/>
              </w:rPr>
            </w:pPr>
          </w:p>
          <w:p w14:paraId="40766C3E">
            <w:pPr>
              <w:spacing w:line="250" w:lineRule="auto"/>
              <w:rPr>
                <w:rFonts w:ascii="Arial"/>
                <w:color w:val="auto"/>
                <w:sz w:val="21"/>
                <w:highlight w:val="none"/>
              </w:rPr>
            </w:pPr>
          </w:p>
          <w:p w14:paraId="1D1B8D6E">
            <w:pPr>
              <w:spacing w:line="250" w:lineRule="auto"/>
              <w:rPr>
                <w:rFonts w:ascii="Arial"/>
                <w:color w:val="auto"/>
                <w:sz w:val="21"/>
                <w:highlight w:val="none"/>
              </w:rPr>
            </w:pPr>
          </w:p>
          <w:p w14:paraId="11857A5E">
            <w:pPr>
              <w:spacing w:line="250" w:lineRule="auto"/>
              <w:rPr>
                <w:rFonts w:ascii="Arial"/>
                <w:color w:val="auto"/>
                <w:sz w:val="21"/>
                <w:highlight w:val="none"/>
              </w:rPr>
            </w:pPr>
          </w:p>
          <w:p w14:paraId="319DB123">
            <w:pPr>
              <w:spacing w:line="250" w:lineRule="auto"/>
              <w:rPr>
                <w:rFonts w:ascii="Arial"/>
                <w:color w:val="auto"/>
                <w:sz w:val="21"/>
                <w:highlight w:val="none"/>
              </w:rPr>
            </w:pPr>
          </w:p>
          <w:p w14:paraId="5388385F">
            <w:pPr>
              <w:spacing w:before="91" w:line="212" w:lineRule="auto"/>
              <w:ind w:left="149" w:right="166" w:firstLine="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安全</w:t>
            </w:r>
            <w:r>
              <w:rPr>
                <w:rFonts w:ascii="微软雅黑" w:hAnsi="微软雅黑" w:eastAsia="微软雅黑" w:cs="微软雅黑"/>
                <w:color w:val="auto"/>
                <w:sz w:val="21"/>
                <w:szCs w:val="21"/>
                <w:highlight w:val="none"/>
              </w:rPr>
              <w:t>施工</w:t>
            </w:r>
          </w:p>
        </w:tc>
        <w:tc>
          <w:tcPr>
            <w:tcW w:w="522" w:type="dxa"/>
            <w:vMerge w:val="restart"/>
            <w:tcBorders>
              <w:top w:val="single" w:color="000000" w:sz="10" w:space="0"/>
              <w:bottom w:val="nil"/>
            </w:tcBorders>
            <w:textDirection w:val="tbRlV"/>
            <w:vAlign w:val="top"/>
          </w:tcPr>
          <w:p w14:paraId="25959F14">
            <w:pPr>
              <w:spacing w:before="165" w:line="181" w:lineRule="auto"/>
              <w:ind w:left="144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6"/>
                <w:sz w:val="21"/>
                <w:szCs w:val="21"/>
                <w:highlight w:val="none"/>
              </w:rPr>
              <w:t>高</w:t>
            </w:r>
            <w:r>
              <w:rPr>
                <w:rFonts w:ascii="微软雅黑" w:hAnsi="微软雅黑" w:eastAsia="微软雅黑" w:cs="微软雅黑"/>
                <w:color w:val="auto"/>
                <w:spacing w:val="35"/>
                <w:sz w:val="21"/>
                <w:szCs w:val="21"/>
                <w:highlight w:val="none"/>
              </w:rPr>
              <w:t xml:space="preserve"> </w:t>
            </w:r>
            <w:r>
              <w:rPr>
                <w:rFonts w:ascii="微软雅黑" w:hAnsi="微软雅黑" w:eastAsia="微软雅黑" w:cs="微软雅黑"/>
                <w:color w:val="auto"/>
                <w:spacing w:val="-6"/>
                <w:sz w:val="21"/>
                <w:szCs w:val="21"/>
                <w:highlight w:val="none"/>
              </w:rPr>
              <w:t>处</w:t>
            </w:r>
            <w:r>
              <w:rPr>
                <w:rFonts w:ascii="微软雅黑" w:hAnsi="微软雅黑" w:eastAsia="微软雅黑" w:cs="微软雅黑"/>
                <w:color w:val="auto"/>
                <w:spacing w:val="29"/>
                <w:w w:val="101"/>
                <w:sz w:val="21"/>
                <w:szCs w:val="21"/>
                <w:highlight w:val="none"/>
              </w:rPr>
              <w:t xml:space="preserve"> </w:t>
            </w:r>
            <w:r>
              <w:rPr>
                <w:rFonts w:ascii="微软雅黑" w:hAnsi="微软雅黑" w:eastAsia="微软雅黑" w:cs="微软雅黑"/>
                <w:color w:val="auto"/>
                <w:spacing w:val="-6"/>
                <w:sz w:val="21"/>
                <w:szCs w:val="21"/>
                <w:highlight w:val="none"/>
              </w:rPr>
              <w:t>作</w:t>
            </w:r>
            <w:r>
              <w:rPr>
                <w:rFonts w:ascii="微软雅黑" w:hAnsi="微软雅黑" w:eastAsia="微软雅黑" w:cs="微软雅黑"/>
                <w:color w:val="auto"/>
                <w:spacing w:val="36"/>
                <w:w w:val="101"/>
                <w:sz w:val="21"/>
                <w:szCs w:val="21"/>
                <w:highlight w:val="none"/>
              </w:rPr>
              <w:t xml:space="preserve"> </w:t>
            </w:r>
            <w:r>
              <w:rPr>
                <w:rFonts w:ascii="微软雅黑" w:hAnsi="微软雅黑" w:eastAsia="微软雅黑" w:cs="微软雅黑"/>
                <w:color w:val="auto"/>
                <w:spacing w:val="-6"/>
                <w:sz w:val="21"/>
                <w:szCs w:val="21"/>
                <w:highlight w:val="none"/>
              </w:rPr>
              <w:t>业</w:t>
            </w:r>
            <w:r>
              <w:rPr>
                <w:rFonts w:ascii="微软雅黑" w:hAnsi="微软雅黑" w:eastAsia="微软雅黑" w:cs="微软雅黑"/>
                <w:color w:val="auto"/>
                <w:spacing w:val="44"/>
                <w:w w:val="101"/>
                <w:sz w:val="21"/>
                <w:szCs w:val="21"/>
                <w:highlight w:val="none"/>
              </w:rPr>
              <w:t xml:space="preserve"> </w:t>
            </w:r>
            <w:r>
              <w:rPr>
                <w:rFonts w:ascii="微软雅黑" w:hAnsi="微软雅黑" w:eastAsia="微软雅黑" w:cs="微软雅黑"/>
                <w:color w:val="auto"/>
                <w:spacing w:val="-6"/>
                <w:sz w:val="21"/>
                <w:szCs w:val="21"/>
                <w:highlight w:val="none"/>
              </w:rPr>
              <w:t>防</w:t>
            </w:r>
            <w:r>
              <w:rPr>
                <w:rFonts w:ascii="微软雅黑" w:hAnsi="微软雅黑" w:eastAsia="微软雅黑" w:cs="微软雅黑"/>
                <w:color w:val="auto"/>
                <w:spacing w:val="30"/>
                <w:sz w:val="21"/>
                <w:szCs w:val="21"/>
                <w:highlight w:val="none"/>
              </w:rPr>
              <w:t xml:space="preserve"> </w:t>
            </w:r>
            <w:r>
              <w:rPr>
                <w:rFonts w:ascii="微软雅黑" w:hAnsi="微软雅黑" w:eastAsia="微软雅黑" w:cs="微软雅黑"/>
                <w:color w:val="auto"/>
                <w:spacing w:val="-6"/>
                <w:sz w:val="21"/>
                <w:szCs w:val="21"/>
                <w:highlight w:val="none"/>
              </w:rPr>
              <w:t>护</w:t>
            </w:r>
          </w:p>
        </w:tc>
        <w:tc>
          <w:tcPr>
            <w:tcW w:w="1541" w:type="dxa"/>
            <w:tcBorders>
              <w:top w:val="single" w:color="000000" w:sz="10" w:space="0"/>
            </w:tcBorders>
            <w:vAlign w:val="top"/>
          </w:tcPr>
          <w:p w14:paraId="16531578">
            <w:pPr>
              <w:spacing w:before="65" w:line="177" w:lineRule="auto"/>
              <w:ind w:left="108" w:right="150" w:hanging="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楼层、屋面、</w:t>
            </w:r>
            <w:r>
              <w:rPr>
                <w:rFonts w:ascii="微软雅黑" w:hAnsi="微软雅黑" w:eastAsia="微软雅黑" w:cs="微软雅黑"/>
                <w:color w:val="auto"/>
                <w:spacing w:val="-2"/>
                <w:sz w:val="21"/>
                <w:szCs w:val="21"/>
                <w:highlight w:val="none"/>
              </w:rPr>
              <w:t>阳台等临边</w:t>
            </w:r>
          </w:p>
        </w:tc>
        <w:tc>
          <w:tcPr>
            <w:tcW w:w="6642" w:type="dxa"/>
            <w:tcBorders>
              <w:top w:val="single" w:color="000000" w:sz="10" w:space="0"/>
              <w:right w:val="single" w:color="000000" w:sz="10" w:space="0"/>
            </w:tcBorders>
            <w:vAlign w:val="top"/>
          </w:tcPr>
          <w:p w14:paraId="4EAA8029">
            <w:pPr>
              <w:spacing w:before="213" w:line="185" w:lineRule="auto"/>
              <w:ind w:left="10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设两道防护栏杆和 18cm 高的踢脚板， 用密目式安全立网全封闭。</w:t>
            </w:r>
          </w:p>
        </w:tc>
      </w:tr>
      <w:tr w14:paraId="1DDDD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3C92A0C5">
            <w:pPr>
              <w:rPr>
                <w:rFonts w:ascii="Arial"/>
                <w:color w:val="auto"/>
                <w:sz w:val="21"/>
                <w:highlight w:val="none"/>
              </w:rPr>
            </w:pPr>
          </w:p>
        </w:tc>
        <w:tc>
          <w:tcPr>
            <w:tcW w:w="522" w:type="dxa"/>
            <w:vMerge w:val="continue"/>
            <w:tcBorders>
              <w:top w:val="nil"/>
              <w:bottom w:val="nil"/>
            </w:tcBorders>
            <w:textDirection w:val="tbRlV"/>
            <w:vAlign w:val="top"/>
          </w:tcPr>
          <w:p w14:paraId="098CCFE2">
            <w:pPr>
              <w:rPr>
                <w:rFonts w:ascii="Arial"/>
                <w:color w:val="auto"/>
                <w:sz w:val="21"/>
                <w:highlight w:val="none"/>
              </w:rPr>
            </w:pPr>
          </w:p>
        </w:tc>
        <w:tc>
          <w:tcPr>
            <w:tcW w:w="1541" w:type="dxa"/>
            <w:vAlign w:val="top"/>
          </w:tcPr>
          <w:p w14:paraId="382FCE41">
            <w:pPr>
              <w:spacing w:before="212" w:line="184" w:lineRule="auto"/>
              <w:ind w:left="98"/>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通道口</w:t>
            </w:r>
          </w:p>
        </w:tc>
        <w:tc>
          <w:tcPr>
            <w:tcW w:w="6642" w:type="dxa"/>
            <w:tcBorders>
              <w:right w:val="single" w:color="000000" w:sz="10" w:space="0"/>
            </w:tcBorders>
            <w:vAlign w:val="top"/>
          </w:tcPr>
          <w:p w14:paraId="2854CC7D">
            <w:pPr>
              <w:spacing w:before="61" w:line="177" w:lineRule="auto"/>
              <w:ind w:left="104" w:right="2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设防护棚，防护棚应为不小于 5cm 厚的木板或两道相距 50c</w:t>
            </w:r>
            <w:r>
              <w:rPr>
                <w:rFonts w:ascii="微软雅黑" w:hAnsi="微软雅黑" w:eastAsia="微软雅黑" w:cs="微软雅黑"/>
                <w:color w:val="auto"/>
                <w:spacing w:val="-6"/>
                <w:sz w:val="21"/>
                <w:szCs w:val="21"/>
                <w:highlight w:val="none"/>
              </w:rPr>
              <w:t>m 的竹笆。</w:t>
            </w:r>
            <w:r>
              <w:rPr>
                <w:rFonts w:ascii="微软雅黑" w:hAnsi="微软雅黑" w:eastAsia="微软雅黑" w:cs="微软雅黑"/>
                <w:color w:val="auto"/>
                <w:spacing w:val="-1"/>
                <w:sz w:val="21"/>
                <w:szCs w:val="21"/>
                <w:highlight w:val="none"/>
              </w:rPr>
              <w:t>两侧应沿栏杆架用密目式安全网封闭。</w:t>
            </w:r>
          </w:p>
        </w:tc>
      </w:tr>
      <w:tr w14:paraId="147DC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79F4DBFB">
            <w:pPr>
              <w:rPr>
                <w:rFonts w:ascii="Arial"/>
                <w:color w:val="auto"/>
                <w:sz w:val="21"/>
                <w:highlight w:val="none"/>
              </w:rPr>
            </w:pPr>
          </w:p>
        </w:tc>
        <w:tc>
          <w:tcPr>
            <w:tcW w:w="522" w:type="dxa"/>
            <w:vMerge w:val="continue"/>
            <w:tcBorders>
              <w:top w:val="nil"/>
              <w:bottom w:val="nil"/>
            </w:tcBorders>
            <w:textDirection w:val="tbRlV"/>
            <w:vAlign w:val="top"/>
          </w:tcPr>
          <w:p w14:paraId="1BEDB4D6">
            <w:pPr>
              <w:rPr>
                <w:rFonts w:ascii="Arial"/>
                <w:color w:val="auto"/>
                <w:sz w:val="21"/>
                <w:highlight w:val="none"/>
              </w:rPr>
            </w:pPr>
          </w:p>
        </w:tc>
        <w:tc>
          <w:tcPr>
            <w:tcW w:w="1541" w:type="dxa"/>
            <w:vAlign w:val="top"/>
          </w:tcPr>
          <w:p w14:paraId="18D872B0">
            <w:pPr>
              <w:spacing w:before="217" w:line="182" w:lineRule="auto"/>
              <w:ind w:left="9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预留洞口</w:t>
            </w:r>
          </w:p>
        </w:tc>
        <w:tc>
          <w:tcPr>
            <w:tcW w:w="6642" w:type="dxa"/>
            <w:tcBorders>
              <w:right w:val="single" w:color="000000" w:sz="10" w:space="0"/>
            </w:tcBorders>
            <w:vAlign w:val="top"/>
          </w:tcPr>
          <w:p w14:paraId="58E6D7D2">
            <w:pPr>
              <w:spacing w:before="61" w:line="177" w:lineRule="auto"/>
              <w:ind w:left="113" w:right="94" w:hanging="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用硬质材料全封闭，</w:t>
            </w:r>
            <w:r>
              <w:rPr>
                <w:rFonts w:ascii="微软雅黑" w:hAnsi="微软雅黑" w:eastAsia="微软雅黑" w:cs="微软雅黑"/>
                <w:color w:val="auto"/>
                <w:spacing w:val="-31"/>
                <w:sz w:val="21"/>
                <w:szCs w:val="21"/>
                <w:highlight w:val="none"/>
              </w:rPr>
              <w:t xml:space="preserve"> </w:t>
            </w:r>
            <w:r>
              <w:rPr>
                <w:rFonts w:ascii="微软雅黑" w:hAnsi="微软雅黑" w:eastAsia="微软雅黑" w:cs="微软雅黑"/>
                <w:color w:val="auto"/>
                <w:spacing w:val="-4"/>
                <w:sz w:val="21"/>
                <w:szCs w:val="21"/>
                <w:highlight w:val="none"/>
              </w:rPr>
              <w:t>短边超过 1.5m 长的洞口，</w:t>
            </w:r>
            <w:r>
              <w:rPr>
                <w:rFonts w:ascii="微软雅黑" w:hAnsi="微软雅黑" w:eastAsia="微软雅黑" w:cs="微软雅黑"/>
                <w:color w:val="auto"/>
                <w:spacing w:val="-21"/>
                <w:sz w:val="21"/>
                <w:szCs w:val="21"/>
                <w:highlight w:val="none"/>
              </w:rPr>
              <w:t xml:space="preserve"> </w:t>
            </w:r>
            <w:r>
              <w:rPr>
                <w:rFonts w:ascii="微软雅黑" w:hAnsi="微软雅黑" w:eastAsia="微软雅黑" w:cs="微软雅黑"/>
                <w:color w:val="auto"/>
                <w:spacing w:val="-4"/>
                <w:sz w:val="21"/>
                <w:szCs w:val="21"/>
                <w:highlight w:val="none"/>
              </w:rPr>
              <w:t>除封</w:t>
            </w:r>
            <w:r>
              <w:rPr>
                <w:rFonts w:ascii="微软雅黑" w:hAnsi="微软雅黑" w:eastAsia="微软雅黑" w:cs="微软雅黑"/>
                <w:color w:val="auto"/>
                <w:spacing w:val="-5"/>
                <w:sz w:val="21"/>
                <w:szCs w:val="21"/>
                <w:highlight w:val="none"/>
              </w:rPr>
              <w:t>闭外四周还应设有</w:t>
            </w:r>
            <w:r>
              <w:rPr>
                <w:rFonts w:ascii="微软雅黑" w:hAnsi="微软雅黑" w:eastAsia="微软雅黑" w:cs="微软雅黑"/>
                <w:color w:val="auto"/>
                <w:spacing w:val="-3"/>
                <w:sz w:val="21"/>
                <w:szCs w:val="21"/>
                <w:highlight w:val="none"/>
              </w:rPr>
              <w:t>防护栏杆。</w:t>
            </w:r>
          </w:p>
        </w:tc>
      </w:tr>
      <w:tr w14:paraId="6D90D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52" w:type="dxa"/>
            <w:vMerge w:val="continue"/>
            <w:tcBorders>
              <w:top w:val="nil"/>
              <w:left w:val="single" w:color="000000" w:sz="10" w:space="0"/>
              <w:bottom w:val="nil"/>
            </w:tcBorders>
            <w:vAlign w:val="top"/>
          </w:tcPr>
          <w:p w14:paraId="2168A1C6">
            <w:pPr>
              <w:rPr>
                <w:rFonts w:ascii="Arial"/>
                <w:color w:val="auto"/>
                <w:sz w:val="21"/>
                <w:highlight w:val="none"/>
              </w:rPr>
            </w:pPr>
          </w:p>
        </w:tc>
        <w:tc>
          <w:tcPr>
            <w:tcW w:w="522" w:type="dxa"/>
            <w:vMerge w:val="continue"/>
            <w:tcBorders>
              <w:top w:val="nil"/>
              <w:bottom w:val="nil"/>
            </w:tcBorders>
            <w:textDirection w:val="tbRlV"/>
            <w:vAlign w:val="top"/>
          </w:tcPr>
          <w:p w14:paraId="79BBE2C3">
            <w:pPr>
              <w:rPr>
                <w:rFonts w:ascii="Arial"/>
                <w:color w:val="auto"/>
                <w:sz w:val="21"/>
                <w:highlight w:val="none"/>
              </w:rPr>
            </w:pPr>
          </w:p>
        </w:tc>
        <w:tc>
          <w:tcPr>
            <w:tcW w:w="1541" w:type="dxa"/>
            <w:vAlign w:val="top"/>
          </w:tcPr>
          <w:p w14:paraId="455755E8">
            <w:pPr>
              <w:spacing w:before="219" w:line="183" w:lineRule="auto"/>
              <w:ind w:left="10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电梯井口</w:t>
            </w:r>
          </w:p>
        </w:tc>
        <w:tc>
          <w:tcPr>
            <w:tcW w:w="6642" w:type="dxa"/>
            <w:tcBorders>
              <w:right w:val="single" w:color="000000" w:sz="10" w:space="0"/>
            </w:tcBorders>
            <w:vAlign w:val="top"/>
          </w:tcPr>
          <w:p w14:paraId="3A7CA354">
            <w:pPr>
              <w:spacing w:before="29" w:line="190" w:lineRule="auto"/>
              <w:ind w:left="104" w:right="12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设置定型化、工具化的防护门， 在电梯井内</w:t>
            </w:r>
            <w:r>
              <w:rPr>
                <w:rFonts w:ascii="微软雅黑" w:hAnsi="微软雅黑" w:eastAsia="微软雅黑" w:cs="微软雅黑"/>
                <w:color w:val="auto"/>
                <w:spacing w:val="-4"/>
                <w:sz w:val="21"/>
                <w:szCs w:val="21"/>
                <w:highlight w:val="none"/>
              </w:rPr>
              <w:t>每隔 2 层（不大于</w:t>
            </w:r>
            <w:r>
              <w:rPr>
                <w:rFonts w:ascii="微软雅黑" w:hAnsi="微软雅黑" w:eastAsia="微软雅黑" w:cs="微软雅黑"/>
                <w:color w:val="auto"/>
                <w:spacing w:val="24"/>
                <w:w w:val="101"/>
                <w:sz w:val="21"/>
                <w:szCs w:val="21"/>
                <w:highlight w:val="none"/>
              </w:rPr>
              <w:t xml:space="preserve"> </w:t>
            </w:r>
            <w:r>
              <w:rPr>
                <w:rFonts w:ascii="微软雅黑" w:hAnsi="微软雅黑" w:eastAsia="微软雅黑" w:cs="微软雅黑"/>
                <w:color w:val="auto"/>
                <w:spacing w:val="-4"/>
                <w:sz w:val="21"/>
                <w:szCs w:val="21"/>
                <w:highlight w:val="none"/>
              </w:rPr>
              <w:t>10m）</w:t>
            </w:r>
            <w:r>
              <w:rPr>
                <w:rFonts w:ascii="微软雅黑" w:hAnsi="微软雅黑" w:eastAsia="微软雅黑" w:cs="微软雅黑"/>
                <w:color w:val="auto"/>
                <w:spacing w:val="-1"/>
                <w:sz w:val="21"/>
                <w:szCs w:val="21"/>
                <w:highlight w:val="none"/>
              </w:rPr>
              <w:t>设置一道水平防护。</w:t>
            </w:r>
          </w:p>
        </w:tc>
      </w:tr>
      <w:tr w14:paraId="1D901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752" w:type="dxa"/>
            <w:vMerge w:val="continue"/>
            <w:tcBorders>
              <w:top w:val="nil"/>
              <w:left w:val="single" w:color="000000" w:sz="10" w:space="0"/>
              <w:bottom w:val="nil"/>
            </w:tcBorders>
            <w:vAlign w:val="top"/>
          </w:tcPr>
          <w:p w14:paraId="4075DE1C">
            <w:pPr>
              <w:rPr>
                <w:rFonts w:ascii="Arial"/>
                <w:color w:val="auto"/>
                <w:sz w:val="21"/>
                <w:highlight w:val="none"/>
              </w:rPr>
            </w:pPr>
          </w:p>
        </w:tc>
        <w:tc>
          <w:tcPr>
            <w:tcW w:w="522" w:type="dxa"/>
            <w:vMerge w:val="continue"/>
            <w:tcBorders>
              <w:top w:val="nil"/>
              <w:bottom w:val="nil"/>
            </w:tcBorders>
            <w:textDirection w:val="tbRlV"/>
            <w:vAlign w:val="top"/>
          </w:tcPr>
          <w:p w14:paraId="46CD70EF">
            <w:pPr>
              <w:rPr>
                <w:rFonts w:ascii="Arial"/>
                <w:color w:val="auto"/>
                <w:sz w:val="21"/>
                <w:highlight w:val="none"/>
              </w:rPr>
            </w:pPr>
          </w:p>
        </w:tc>
        <w:tc>
          <w:tcPr>
            <w:tcW w:w="1541" w:type="dxa"/>
            <w:vAlign w:val="top"/>
          </w:tcPr>
          <w:p w14:paraId="5EE1C50F">
            <w:pPr>
              <w:spacing w:before="67" w:line="226" w:lineRule="exact"/>
              <w:ind w:left="98"/>
              <w:rPr>
                <w:rFonts w:ascii="微软雅黑" w:hAnsi="微软雅黑" w:eastAsia="微软雅黑" w:cs="微软雅黑"/>
                <w:color w:val="auto"/>
                <w:sz w:val="21"/>
                <w:szCs w:val="21"/>
                <w:highlight w:val="none"/>
              </w:rPr>
            </w:pPr>
            <w:r>
              <w:rPr>
                <w:rFonts w:ascii="微软雅黑" w:hAnsi="微软雅黑" w:eastAsia="微软雅黑" w:cs="微软雅黑"/>
                <w:color w:val="auto"/>
                <w:position w:val="-1"/>
                <w:sz w:val="21"/>
                <w:szCs w:val="21"/>
                <w:highlight w:val="none"/>
              </w:rPr>
              <w:t>楼梯边</w:t>
            </w:r>
          </w:p>
        </w:tc>
        <w:tc>
          <w:tcPr>
            <w:tcW w:w="6642" w:type="dxa"/>
            <w:tcBorders>
              <w:right w:val="single" w:color="000000" w:sz="10" w:space="0"/>
            </w:tcBorders>
            <w:vAlign w:val="top"/>
          </w:tcPr>
          <w:p w14:paraId="4F14023D">
            <w:pPr>
              <w:spacing w:before="65" w:line="228" w:lineRule="exact"/>
              <w:ind w:left="10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position w:val="-1"/>
                <w:sz w:val="21"/>
                <w:szCs w:val="21"/>
                <w:highlight w:val="none"/>
              </w:rPr>
              <w:t>设 1.2m 高的定型化、工具化的防护栏， 18cm 高的踢脚板。</w:t>
            </w:r>
          </w:p>
        </w:tc>
      </w:tr>
      <w:tr w14:paraId="44329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1F0DD166">
            <w:pPr>
              <w:rPr>
                <w:rFonts w:ascii="Arial"/>
                <w:color w:val="auto"/>
                <w:sz w:val="21"/>
                <w:highlight w:val="none"/>
              </w:rPr>
            </w:pPr>
          </w:p>
        </w:tc>
        <w:tc>
          <w:tcPr>
            <w:tcW w:w="522" w:type="dxa"/>
            <w:vMerge w:val="continue"/>
            <w:tcBorders>
              <w:top w:val="nil"/>
              <w:bottom w:val="nil"/>
            </w:tcBorders>
            <w:textDirection w:val="tbRlV"/>
            <w:vAlign w:val="top"/>
          </w:tcPr>
          <w:p w14:paraId="7ABD5413">
            <w:pPr>
              <w:rPr>
                <w:rFonts w:ascii="Arial"/>
                <w:color w:val="auto"/>
                <w:sz w:val="21"/>
                <w:highlight w:val="none"/>
              </w:rPr>
            </w:pPr>
          </w:p>
        </w:tc>
        <w:tc>
          <w:tcPr>
            <w:tcW w:w="1541" w:type="dxa"/>
            <w:vAlign w:val="top"/>
          </w:tcPr>
          <w:p w14:paraId="2AF615DD">
            <w:pPr>
              <w:spacing w:before="67" w:line="175" w:lineRule="auto"/>
              <w:ind w:left="98" w:right="108" w:firstLine="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1"/>
                <w:sz w:val="21"/>
                <w:szCs w:val="21"/>
                <w:highlight w:val="none"/>
              </w:rPr>
              <w:t>垂直方向交叉</w:t>
            </w:r>
            <w:r>
              <w:rPr>
                <w:rFonts w:ascii="微软雅黑" w:hAnsi="微软雅黑" w:eastAsia="微软雅黑" w:cs="微软雅黑"/>
                <w:color w:val="auto"/>
                <w:spacing w:val="-1"/>
                <w:sz w:val="21"/>
                <w:szCs w:val="21"/>
                <w:highlight w:val="none"/>
              </w:rPr>
              <w:t>作业</w:t>
            </w:r>
          </w:p>
        </w:tc>
        <w:tc>
          <w:tcPr>
            <w:tcW w:w="6642" w:type="dxa"/>
            <w:tcBorders>
              <w:right w:val="single" w:color="000000" w:sz="10" w:space="0"/>
            </w:tcBorders>
            <w:vAlign w:val="top"/>
          </w:tcPr>
          <w:p w14:paraId="23019E42">
            <w:pPr>
              <w:spacing w:before="219" w:line="184" w:lineRule="auto"/>
              <w:ind w:left="10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设置防护隔离棚或其它设施。</w:t>
            </w:r>
          </w:p>
        </w:tc>
      </w:tr>
      <w:tr w14:paraId="00E9C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4149C187">
            <w:pPr>
              <w:rPr>
                <w:rFonts w:ascii="Arial"/>
                <w:color w:val="auto"/>
                <w:sz w:val="21"/>
                <w:highlight w:val="none"/>
              </w:rPr>
            </w:pPr>
          </w:p>
        </w:tc>
        <w:tc>
          <w:tcPr>
            <w:tcW w:w="522" w:type="dxa"/>
            <w:vMerge w:val="continue"/>
            <w:tcBorders>
              <w:top w:val="nil"/>
              <w:bottom w:val="nil"/>
            </w:tcBorders>
            <w:textDirection w:val="tbRlV"/>
            <w:vAlign w:val="top"/>
          </w:tcPr>
          <w:p w14:paraId="3388E5C7">
            <w:pPr>
              <w:rPr>
                <w:rFonts w:ascii="Arial"/>
                <w:color w:val="auto"/>
                <w:sz w:val="21"/>
                <w:highlight w:val="none"/>
              </w:rPr>
            </w:pPr>
          </w:p>
        </w:tc>
        <w:tc>
          <w:tcPr>
            <w:tcW w:w="1541" w:type="dxa"/>
            <w:vAlign w:val="top"/>
          </w:tcPr>
          <w:p w14:paraId="4519DD13">
            <w:pPr>
              <w:spacing w:before="219" w:line="185" w:lineRule="auto"/>
              <w:ind w:left="10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高处作业</w:t>
            </w:r>
          </w:p>
        </w:tc>
        <w:tc>
          <w:tcPr>
            <w:tcW w:w="6642" w:type="dxa"/>
            <w:tcBorders>
              <w:right w:val="single" w:color="000000" w:sz="10" w:space="0"/>
            </w:tcBorders>
            <w:vAlign w:val="top"/>
          </w:tcPr>
          <w:p w14:paraId="323EE083">
            <w:pPr>
              <w:spacing w:before="67" w:line="175" w:lineRule="auto"/>
              <w:ind w:left="103" w:right="94" w:hanging="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有悬挂安全带的悬索或其它设施，有操作平台，有上下的梯子或其它形</w:t>
            </w:r>
            <w:r>
              <w:rPr>
                <w:rFonts w:ascii="微软雅黑" w:hAnsi="微软雅黑" w:eastAsia="微软雅黑" w:cs="微软雅黑"/>
                <w:color w:val="auto"/>
                <w:spacing w:val="-1"/>
                <w:sz w:val="21"/>
                <w:szCs w:val="21"/>
                <w:highlight w:val="none"/>
              </w:rPr>
              <w:t>式的通道。</w:t>
            </w:r>
          </w:p>
        </w:tc>
      </w:tr>
      <w:tr w14:paraId="4EAC0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2" w:type="dxa"/>
            <w:vMerge w:val="continue"/>
            <w:tcBorders>
              <w:top w:val="nil"/>
              <w:left w:val="single" w:color="000000" w:sz="10" w:space="0"/>
              <w:bottom w:val="nil"/>
            </w:tcBorders>
            <w:vAlign w:val="top"/>
          </w:tcPr>
          <w:p w14:paraId="00149DA3">
            <w:pPr>
              <w:rPr>
                <w:rFonts w:ascii="Arial"/>
                <w:color w:val="auto"/>
                <w:sz w:val="21"/>
                <w:highlight w:val="none"/>
              </w:rPr>
            </w:pPr>
          </w:p>
        </w:tc>
        <w:tc>
          <w:tcPr>
            <w:tcW w:w="522" w:type="dxa"/>
            <w:vMerge w:val="continue"/>
            <w:tcBorders>
              <w:top w:val="nil"/>
            </w:tcBorders>
            <w:textDirection w:val="tbRlV"/>
            <w:vAlign w:val="top"/>
          </w:tcPr>
          <w:p w14:paraId="6BC49B5B">
            <w:pPr>
              <w:rPr>
                <w:rFonts w:ascii="Arial"/>
                <w:color w:val="auto"/>
                <w:sz w:val="21"/>
                <w:highlight w:val="none"/>
              </w:rPr>
            </w:pPr>
          </w:p>
        </w:tc>
        <w:tc>
          <w:tcPr>
            <w:tcW w:w="1541" w:type="dxa"/>
            <w:vAlign w:val="top"/>
          </w:tcPr>
          <w:p w14:paraId="4A74FFE0">
            <w:pPr>
              <w:spacing w:before="70" w:line="174" w:lineRule="auto"/>
              <w:ind w:left="103" w:right="108" w:hanging="5"/>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1"/>
                <w:sz w:val="21"/>
                <w:szCs w:val="21"/>
                <w:highlight w:val="none"/>
              </w:rPr>
              <w:t>基坑、物料平</w:t>
            </w:r>
            <w:r>
              <w:rPr>
                <w:rFonts w:ascii="微软雅黑" w:hAnsi="微软雅黑" w:eastAsia="微软雅黑" w:cs="微软雅黑"/>
                <w:color w:val="auto"/>
                <w:sz w:val="21"/>
                <w:szCs w:val="21"/>
                <w:highlight w:val="none"/>
              </w:rPr>
              <w:t>台</w:t>
            </w:r>
          </w:p>
        </w:tc>
        <w:tc>
          <w:tcPr>
            <w:tcW w:w="6642" w:type="dxa"/>
            <w:tcBorders>
              <w:right w:val="single" w:color="000000" w:sz="10" w:space="0"/>
            </w:tcBorders>
            <w:vAlign w:val="top"/>
          </w:tcPr>
          <w:p w14:paraId="19104CED">
            <w:pPr>
              <w:spacing w:before="221" w:line="185" w:lineRule="auto"/>
              <w:ind w:left="10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设 1.2m 高标准化的防护栏， 用密目式安全立网</w:t>
            </w:r>
            <w:r>
              <w:rPr>
                <w:rFonts w:ascii="微软雅黑" w:hAnsi="微软雅黑" w:eastAsia="微软雅黑" w:cs="微软雅黑"/>
                <w:color w:val="auto"/>
                <w:spacing w:val="-5"/>
                <w:sz w:val="21"/>
                <w:szCs w:val="21"/>
                <w:highlight w:val="none"/>
              </w:rPr>
              <w:t>封闭， 悬挂标识。</w:t>
            </w:r>
          </w:p>
        </w:tc>
      </w:tr>
      <w:tr w14:paraId="770FC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52" w:type="dxa"/>
            <w:vMerge w:val="continue"/>
            <w:tcBorders>
              <w:top w:val="nil"/>
              <w:left w:val="single" w:color="000000" w:sz="10" w:space="0"/>
            </w:tcBorders>
            <w:vAlign w:val="top"/>
          </w:tcPr>
          <w:p w14:paraId="6C60FB3F">
            <w:pPr>
              <w:rPr>
                <w:rFonts w:ascii="Arial"/>
                <w:color w:val="auto"/>
                <w:sz w:val="21"/>
                <w:highlight w:val="none"/>
              </w:rPr>
            </w:pPr>
          </w:p>
        </w:tc>
        <w:tc>
          <w:tcPr>
            <w:tcW w:w="2063" w:type="dxa"/>
            <w:gridSpan w:val="2"/>
            <w:vAlign w:val="top"/>
          </w:tcPr>
          <w:p w14:paraId="3F3B2CF9">
            <w:pPr>
              <w:spacing w:before="224" w:line="184" w:lineRule="auto"/>
              <w:ind w:left="39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安全防护用品</w:t>
            </w:r>
          </w:p>
        </w:tc>
        <w:tc>
          <w:tcPr>
            <w:tcW w:w="6642" w:type="dxa"/>
            <w:tcBorders>
              <w:right w:val="single" w:color="000000" w:sz="10" w:space="0"/>
            </w:tcBorders>
            <w:vAlign w:val="top"/>
          </w:tcPr>
          <w:p w14:paraId="02D0C765">
            <w:pPr>
              <w:spacing w:before="75" w:line="173" w:lineRule="auto"/>
              <w:ind w:left="104" w:right="53" w:hanging="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安全帽、安全带、特种作业人员（电工、焊工、架子工</w:t>
            </w:r>
            <w:r>
              <w:rPr>
                <w:rFonts w:ascii="微软雅黑" w:hAnsi="微软雅黑" w:eastAsia="微软雅黑" w:cs="微软雅黑"/>
                <w:color w:val="auto"/>
                <w:spacing w:val="-4"/>
                <w:sz w:val="21"/>
                <w:szCs w:val="21"/>
                <w:highlight w:val="none"/>
              </w:rPr>
              <w:t>等） 防护服装、</w:t>
            </w:r>
            <w:r>
              <w:rPr>
                <w:rFonts w:ascii="微软雅黑" w:hAnsi="微软雅黑" w:eastAsia="微软雅黑" w:cs="微软雅黑"/>
                <w:color w:val="auto"/>
                <w:spacing w:val="-1"/>
                <w:sz w:val="21"/>
                <w:szCs w:val="21"/>
                <w:highlight w:val="none"/>
              </w:rPr>
              <w:t>用品等。</w:t>
            </w:r>
          </w:p>
        </w:tc>
      </w:tr>
      <w:tr w14:paraId="28D00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752" w:type="dxa"/>
            <w:vMerge w:val="restart"/>
            <w:tcBorders>
              <w:left w:val="single" w:color="000000" w:sz="10" w:space="0"/>
              <w:bottom w:val="nil"/>
            </w:tcBorders>
            <w:vAlign w:val="top"/>
          </w:tcPr>
          <w:p w14:paraId="065C759D">
            <w:pPr>
              <w:spacing w:line="256" w:lineRule="auto"/>
              <w:rPr>
                <w:rFonts w:ascii="Arial"/>
                <w:color w:val="auto"/>
                <w:sz w:val="21"/>
                <w:highlight w:val="none"/>
              </w:rPr>
            </w:pPr>
          </w:p>
          <w:p w14:paraId="657E0064">
            <w:pPr>
              <w:spacing w:line="256" w:lineRule="auto"/>
              <w:rPr>
                <w:rFonts w:ascii="Arial"/>
                <w:color w:val="auto"/>
                <w:sz w:val="21"/>
                <w:highlight w:val="none"/>
              </w:rPr>
            </w:pPr>
          </w:p>
          <w:p w14:paraId="7614599A">
            <w:pPr>
              <w:spacing w:line="257" w:lineRule="auto"/>
              <w:rPr>
                <w:rFonts w:ascii="Arial"/>
                <w:color w:val="auto"/>
                <w:sz w:val="21"/>
                <w:highlight w:val="none"/>
              </w:rPr>
            </w:pPr>
          </w:p>
          <w:p w14:paraId="7D1A3F3C">
            <w:pPr>
              <w:spacing w:line="257" w:lineRule="auto"/>
              <w:rPr>
                <w:rFonts w:ascii="Arial"/>
                <w:color w:val="auto"/>
                <w:sz w:val="21"/>
                <w:highlight w:val="none"/>
              </w:rPr>
            </w:pPr>
          </w:p>
          <w:p w14:paraId="56E2AF19">
            <w:pPr>
              <w:spacing w:line="257" w:lineRule="auto"/>
              <w:rPr>
                <w:rFonts w:ascii="Arial"/>
                <w:color w:val="auto"/>
                <w:sz w:val="21"/>
                <w:highlight w:val="none"/>
              </w:rPr>
            </w:pPr>
          </w:p>
          <w:p w14:paraId="0C11749A">
            <w:pPr>
              <w:spacing w:line="257" w:lineRule="auto"/>
              <w:rPr>
                <w:rFonts w:ascii="Arial"/>
                <w:color w:val="auto"/>
                <w:sz w:val="21"/>
                <w:highlight w:val="none"/>
              </w:rPr>
            </w:pPr>
          </w:p>
          <w:p w14:paraId="20EE70C7">
            <w:pPr>
              <w:spacing w:before="90" w:line="184" w:lineRule="auto"/>
              <w:ind w:left="15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其它</w:t>
            </w:r>
          </w:p>
        </w:tc>
        <w:tc>
          <w:tcPr>
            <w:tcW w:w="522" w:type="dxa"/>
            <w:vMerge w:val="restart"/>
            <w:tcBorders>
              <w:bottom w:val="nil"/>
            </w:tcBorders>
            <w:textDirection w:val="tbRlV"/>
            <w:vAlign w:val="top"/>
          </w:tcPr>
          <w:p w14:paraId="790F9D4E">
            <w:pPr>
              <w:spacing w:before="165" w:line="182" w:lineRule="auto"/>
              <w:ind w:left="7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机</w:t>
            </w:r>
            <w:r>
              <w:rPr>
                <w:rFonts w:ascii="微软雅黑" w:hAnsi="微软雅黑" w:eastAsia="微软雅黑" w:cs="微软雅黑"/>
                <w:color w:val="auto"/>
                <w:spacing w:val="32"/>
                <w:w w:val="101"/>
                <w:sz w:val="21"/>
                <w:szCs w:val="21"/>
                <w:highlight w:val="none"/>
              </w:rPr>
              <w:t xml:space="preserve"> </w:t>
            </w:r>
            <w:r>
              <w:rPr>
                <w:rFonts w:ascii="微软雅黑" w:hAnsi="微软雅黑" w:eastAsia="微软雅黑" w:cs="微软雅黑"/>
                <w:color w:val="auto"/>
                <w:spacing w:val="-4"/>
                <w:sz w:val="21"/>
                <w:szCs w:val="21"/>
                <w:highlight w:val="none"/>
              </w:rPr>
              <w:t>械</w:t>
            </w:r>
            <w:r>
              <w:rPr>
                <w:rFonts w:ascii="微软雅黑" w:hAnsi="微软雅黑" w:eastAsia="微软雅黑" w:cs="微软雅黑"/>
                <w:color w:val="auto"/>
                <w:spacing w:val="38"/>
                <w:w w:val="101"/>
                <w:sz w:val="21"/>
                <w:szCs w:val="21"/>
                <w:highlight w:val="none"/>
              </w:rPr>
              <w:t xml:space="preserve"> </w:t>
            </w:r>
            <w:r>
              <w:rPr>
                <w:rFonts w:ascii="微软雅黑" w:hAnsi="微软雅黑" w:eastAsia="微软雅黑" w:cs="微软雅黑"/>
                <w:color w:val="auto"/>
                <w:spacing w:val="-4"/>
                <w:sz w:val="21"/>
                <w:szCs w:val="21"/>
                <w:highlight w:val="none"/>
              </w:rPr>
              <w:t>设</w:t>
            </w:r>
            <w:r>
              <w:rPr>
                <w:rFonts w:ascii="微软雅黑" w:hAnsi="微软雅黑" w:eastAsia="微软雅黑" w:cs="微软雅黑"/>
                <w:color w:val="auto"/>
                <w:spacing w:val="28"/>
                <w:sz w:val="21"/>
                <w:szCs w:val="21"/>
                <w:highlight w:val="none"/>
              </w:rPr>
              <w:t xml:space="preserve"> </w:t>
            </w:r>
            <w:r>
              <w:rPr>
                <w:rFonts w:ascii="微软雅黑" w:hAnsi="微软雅黑" w:eastAsia="微软雅黑" w:cs="微软雅黑"/>
                <w:color w:val="auto"/>
                <w:spacing w:val="-4"/>
                <w:sz w:val="21"/>
                <w:szCs w:val="21"/>
                <w:highlight w:val="none"/>
              </w:rPr>
              <w:t>备</w:t>
            </w:r>
            <w:r>
              <w:rPr>
                <w:rFonts w:ascii="微软雅黑" w:hAnsi="微软雅黑" w:eastAsia="微软雅黑" w:cs="微软雅黑"/>
                <w:color w:val="auto"/>
                <w:spacing w:val="31"/>
                <w:sz w:val="21"/>
                <w:szCs w:val="21"/>
                <w:highlight w:val="none"/>
              </w:rPr>
              <w:t xml:space="preserve"> </w:t>
            </w:r>
            <w:r>
              <w:rPr>
                <w:rFonts w:ascii="微软雅黑" w:hAnsi="微软雅黑" w:eastAsia="微软雅黑" w:cs="微软雅黑"/>
                <w:color w:val="auto"/>
                <w:spacing w:val="-4"/>
                <w:sz w:val="21"/>
                <w:szCs w:val="21"/>
                <w:highlight w:val="none"/>
              </w:rPr>
              <w:t>防</w:t>
            </w:r>
            <w:r>
              <w:rPr>
                <w:rFonts w:ascii="微软雅黑" w:hAnsi="微软雅黑" w:eastAsia="微软雅黑" w:cs="微软雅黑"/>
                <w:color w:val="auto"/>
                <w:spacing w:val="31"/>
                <w:sz w:val="21"/>
                <w:szCs w:val="21"/>
                <w:highlight w:val="none"/>
              </w:rPr>
              <w:t xml:space="preserve"> </w:t>
            </w:r>
            <w:r>
              <w:rPr>
                <w:rFonts w:ascii="微软雅黑" w:hAnsi="微软雅黑" w:eastAsia="微软雅黑" w:cs="微软雅黑"/>
                <w:color w:val="auto"/>
                <w:spacing w:val="-4"/>
                <w:sz w:val="21"/>
                <w:szCs w:val="21"/>
                <w:highlight w:val="none"/>
              </w:rPr>
              <w:t>护</w:t>
            </w:r>
          </w:p>
        </w:tc>
        <w:tc>
          <w:tcPr>
            <w:tcW w:w="1541" w:type="dxa"/>
            <w:vAlign w:val="top"/>
          </w:tcPr>
          <w:p w14:paraId="659B8F15">
            <w:pPr>
              <w:spacing w:before="254" w:line="183" w:lineRule="auto"/>
              <w:ind w:left="25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中小型机械</w:t>
            </w:r>
          </w:p>
        </w:tc>
        <w:tc>
          <w:tcPr>
            <w:tcW w:w="6642" w:type="dxa"/>
            <w:tcBorders>
              <w:right w:val="single" w:color="000000" w:sz="10" w:space="0"/>
            </w:tcBorders>
            <w:vAlign w:val="top"/>
          </w:tcPr>
          <w:p w14:paraId="00D0E399">
            <w:pPr>
              <w:spacing w:before="252" w:line="184" w:lineRule="auto"/>
              <w:ind w:left="10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设防护棚（同通道口防护并有防雨措施） 。</w:t>
            </w:r>
          </w:p>
        </w:tc>
      </w:tr>
      <w:tr w14:paraId="7FBF8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752" w:type="dxa"/>
            <w:vMerge w:val="continue"/>
            <w:tcBorders>
              <w:top w:val="nil"/>
              <w:left w:val="single" w:color="000000" w:sz="10" w:space="0"/>
              <w:bottom w:val="nil"/>
            </w:tcBorders>
            <w:vAlign w:val="top"/>
          </w:tcPr>
          <w:p w14:paraId="122AC617">
            <w:pPr>
              <w:rPr>
                <w:rFonts w:ascii="Arial"/>
                <w:color w:val="auto"/>
                <w:sz w:val="21"/>
                <w:highlight w:val="none"/>
              </w:rPr>
            </w:pPr>
          </w:p>
        </w:tc>
        <w:tc>
          <w:tcPr>
            <w:tcW w:w="522" w:type="dxa"/>
            <w:vMerge w:val="continue"/>
            <w:tcBorders>
              <w:top w:val="nil"/>
            </w:tcBorders>
            <w:textDirection w:val="tbRlV"/>
            <w:vAlign w:val="top"/>
          </w:tcPr>
          <w:p w14:paraId="159CB3EA">
            <w:pPr>
              <w:rPr>
                <w:rFonts w:ascii="Arial"/>
                <w:color w:val="auto"/>
                <w:sz w:val="21"/>
                <w:highlight w:val="none"/>
              </w:rPr>
            </w:pPr>
          </w:p>
        </w:tc>
        <w:tc>
          <w:tcPr>
            <w:tcW w:w="1541" w:type="dxa"/>
            <w:vAlign w:val="top"/>
          </w:tcPr>
          <w:p w14:paraId="0809FC41">
            <w:pPr>
              <w:spacing w:line="400" w:lineRule="auto"/>
              <w:rPr>
                <w:rFonts w:ascii="Arial"/>
                <w:color w:val="auto"/>
                <w:sz w:val="21"/>
                <w:highlight w:val="none"/>
              </w:rPr>
            </w:pPr>
          </w:p>
          <w:p w14:paraId="66B27B18">
            <w:pPr>
              <w:spacing w:before="90" w:line="185" w:lineRule="auto"/>
              <w:ind w:left="13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垂直运输设备</w:t>
            </w:r>
          </w:p>
        </w:tc>
        <w:tc>
          <w:tcPr>
            <w:tcW w:w="6642" w:type="dxa"/>
            <w:tcBorders>
              <w:right w:val="single" w:color="000000" w:sz="10" w:space="0"/>
            </w:tcBorders>
            <w:vAlign w:val="top"/>
          </w:tcPr>
          <w:p w14:paraId="6BEB539D">
            <w:pPr>
              <w:spacing w:before="155" w:line="200" w:lineRule="auto"/>
              <w:ind w:left="1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1.</w:t>
            </w:r>
            <w:r>
              <w:rPr>
                <w:rFonts w:ascii="微软雅黑" w:hAnsi="微软雅黑" w:eastAsia="微软雅黑" w:cs="微软雅黑"/>
                <w:color w:val="auto"/>
                <w:spacing w:val="47"/>
                <w:w w:val="101"/>
                <w:sz w:val="21"/>
                <w:szCs w:val="21"/>
                <w:highlight w:val="none"/>
              </w:rPr>
              <w:t xml:space="preserve"> </w:t>
            </w:r>
            <w:r>
              <w:rPr>
                <w:rFonts w:ascii="微软雅黑" w:hAnsi="微软雅黑" w:eastAsia="微软雅黑" w:cs="微软雅黑"/>
                <w:color w:val="auto"/>
                <w:spacing w:val="-1"/>
                <w:sz w:val="21"/>
                <w:szCs w:val="21"/>
                <w:highlight w:val="none"/>
              </w:rPr>
              <w:t>垂直运输设备检测、检验、日常维护、保</w:t>
            </w:r>
            <w:r>
              <w:rPr>
                <w:rFonts w:ascii="微软雅黑" w:hAnsi="微软雅黑" w:eastAsia="微软雅黑" w:cs="微软雅黑"/>
                <w:color w:val="auto"/>
                <w:spacing w:val="-2"/>
                <w:sz w:val="21"/>
                <w:szCs w:val="21"/>
                <w:highlight w:val="none"/>
              </w:rPr>
              <w:t>养等。</w:t>
            </w:r>
          </w:p>
          <w:p w14:paraId="7860E934">
            <w:pPr>
              <w:spacing w:line="216" w:lineRule="auto"/>
              <w:ind w:left="103" w:right="94" w:firstLine="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w:t>
            </w:r>
            <w:r>
              <w:rPr>
                <w:rFonts w:ascii="微软雅黑" w:hAnsi="微软雅黑" w:eastAsia="微软雅黑" w:cs="微软雅黑"/>
                <w:color w:val="auto"/>
                <w:spacing w:val="61"/>
                <w:w w:val="101"/>
                <w:sz w:val="21"/>
                <w:szCs w:val="21"/>
                <w:highlight w:val="none"/>
              </w:rPr>
              <w:t xml:space="preserve"> </w:t>
            </w:r>
            <w:r>
              <w:rPr>
                <w:rFonts w:ascii="微软雅黑" w:hAnsi="微软雅黑" w:eastAsia="微软雅黑" w:cs="微软雅黑"/>
                <w:color w:val="auto"/>
                <w:spacing w:val="1"/>
                <w:sz w:val="21"/>
                <w:szCs w:val="21"/>
                <w:highlight w:val="none"/>
              </w:rPr>
              <w:t>物料提升机、施工电梯等物料平台搭设、外侧用密目式安全立网全</w:t>
            </w:r>
            <w:r>
              <w:rPr>
                <w:rFonts w:ascii="微软雅黑" w:hAnsi="微软雅黑" w:eastAsia="微软雅黑" w:cs="微软雅黑"/>
                <w:color w:val="auto"/>
                <w:spacing w:val="-3"/>
                <w:sz w:val="21"/>
                <w:szCs w:val="21"/>
                <w:highlight w:val="none"/>
              </w:rPr>
              <w:t>封闭， 有安全通道、安全防护门、防护棚等。</w:t>
            </w:r>
          </w:p>
        </w:tc>
      </w:tr>
      <w:tr w14:paraId="7AFE0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752" w:type="dxa"/>
            <w:vMerge w:val="continue"/>
            <w:tcBorders>
              <w:top w:val="nil"/>
              <w:left w:val="single" w:color="000000" w:sz="10" w:space="0"/>
              <w:bottom w:val="nil"/>
            </w:tcBorders>
            <w:vAlign w:val="top"/>
          </w:tcPr>
          <w:p w14:paraId="4D29CCF2">
            <w:pPr>
              <w:rPr>
                <w:rFonts w:ascii="Arial"/>
                <w:color w:val="auto"/>
                <w:sz w:val="21"/>
                <w:highlight w:val="none"/>
              </w:rPr>
            </w:pPr>
          </w:p>
        </w:tc>
        <w:tc>
          <w:tcPr>
            <w:tcW w:w="2063" w:type="dxa"/>
            <w:gridSpan w:val="2"/>
            <w:vAlign w:val="top"/>
          </w:tcPr>
          <w:p w14:paraId="231DE008">
            <w:pPr>
              <w:spacing w:before="179" w:line="185" w:lineRule="auto"/>
              <w:ind w:left="39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专家论证审查</w:t>
            </w:r>
          </w:p>
        </w:tc>
        <w:tc>
          <w:tcPr>
            <w:tcW w:w="6642" w:type="dxa"/>
            <w:tcBorders>
              <w:right w:val="single" w:color="000000" w:sz="10" w:space="0"/>
            </w:tcBorders>
            <w:vAlign w:val="top"/>
          </w:tcPr>
          <w:p w14:paraId="729F4408">
            <w:pPr>
              <w:spacing w:before="179" w:line="185" w:lineRule="auto"/>
              <w:ind w:left="103"/>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超过一定规模的危险性较大分部分项工程专家论证审查。</w:t>
            </w:r>
          </w:p>
        </w:tc>
      </w:tr>
      <w:tr w14:paraId="12461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52" w:type="dxa"/>
            <w:vMerge w:val="continue"/>
            <w:tcBorders>
              <w:top w:val="nil"/>
              <w:left w:val="single" w:color="000000" w:sz="10" w:space="0"/>
              <w:bottom w:val="nil"/>
            </w:tcBorders>
            <w:vAlign w:val="top"/>
          </w:tcPr>
          <w:p w14:paraId="1A4B5C07">
            <w:pPr>
              <w:rPr>
                <w:rFonts w:ascii="Arial"/>
                <w:color w:val="auto"/>
                <w:sz w:val="21"/>
                <w:highlight w:val="none"/>
              </w:rPr>
            </w:pPr>
          </w:p>
        </w:tc>
        <w:tc>
          <w:tcPr>
            <w:tcW w:w="2063" w:type="dxa"/>
            <w:gridSpan w:val="2"/>
            <w:vAlign w:val="top"/>
          </w:tcPr>
          <w:p w14:paraId="45A5B0FE">
            <w:pPr>
              <w:spacing w:before="181" w:line="185" w:lineRule="auto"/>
              <w:ind w:left="388"/>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应急救援预案</w:t>
            </w:r>
          </w:p>
        </w:tc>
        <w:tc>
          <w:tcPr>
            <w:tcW w:w="6642" w:type="dxa"/>
            <w:tcBorders>
              <w:right w:val="single" w:color="000000" w:sz="10" w:space="0"/>
            </w:tcBorders>
            <w:vAlign w:val="top"/>
          </w:tcPr>
          <w:p w14:paraId="1002C0F4">
            <w:pPr>
              <w:spacing w:before="181" w:line="185" w:lineRule="auto"/>
              <w:ind w:left="10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救援器材准备及演练等。</w:t>
            </w:r>
          </w:p>
        </w:tc>
      </w:tr>
      <w:tr w14:paraId="0269A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52" w:type="dxa"/>
            <w:vMerge w:val="continue"/>
            <w:tcBorders>
              <w:top w:val="nil"/>
              <w:left w:val="single" w:color="000000" w:sz="10" w:space="0"/>
              <w:bottom w:val="single" w:color="000000" w:sz="10" w:space="0"/>
            </w:tcBorders>
            <w:vAlign w:val="top"/>
          </w:tcPr>
          <w:p w14:paraId="40D59B87">
            <w:pPr>
              <w:rPr>
                <w:rFonts w:ascii="Arial"/>
                <w:color w:val="auto"/>
                <w:sz w:val="21"/>
                <w:highlight w:val="none"/>
              </w:rPr>
            </w:pPr>
          </w:p>
        </w:tc>
        <w:tc>
          <w:tcPr>
            <w:tcW w:w="2063" w:type="dxa"/>
            <w:gridSpan w:val="2"/>
            <w:tcBorders>
              <w:bottom w:val="single" w:color="000000" w:sz="10" w:space="0"/>
            </w:tcBorders>
            <w:vAlign w:val="top"/>
          </w:tcPr>
          <w:p w14:paraId="657F9218">
            <w:pPr>
              <w:spacing w:before="232" w:line="184" w:lineRule="auto"/>
              <w:ind w:left="28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非正常情况施工</w:t>
            </w:r>
          </w:p>
        </w:tc>
        <w:tc>
          <w:tcPr>
            <w:tcW w:w="6642" w:type="dxa"/>
            <w:tcBorders>
              <w:bottom w:val="single" w:color="000000" w:sz="10" w:space="0"/>
              <w:right w:val="single" w:color="000000" w:sz="10" w:space="0"/>
            </w:tcBorders>
            <w:vAlign w:val="top"/>
          </w:tcPr>
          <w:p w14:paraId="00D77B43">
            <w:pPr>
              <w:spacing w:before="82" w:line="177" w:lineRule="auto"/>
              <w:ind w:left="105" w:right="94" w:hanging="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其它特殊情况下的防护费用，</w:t>
            </w:r>
            <w:r>
              <w:rPr>
                <w:rFonts w:ascii="微软雅黑" w:hAnsi="微软雅黑" w:eastAsia="微软雅黑" w:cs="微软雅黑"/>
                <w:color w:val="auto"/>
                <w:spacing w:val="-26"/>
                <w:sz w:val="21"/>
                <w:szCs w:val="21"/>
                <w:highlight w:val="none"/>
              </w:rPr>
              <w:t xml:space="preserve"> </w:t>
            </w:r>
            <w:r>
              <w:rPr>
                <w:rFonts w:ascii="微软雅黑" w:hAnsi="微软雅黑" w:eastAsia="微软雅黑" w:cs="微软雅黑"/>
                <w:color w:val="auto"/>
                <w:spacing w:val="-5"/>
                <w:sz w:val="21"/>
                <w:szCs w:val="21"/>
                <w:highlight w:val="none"/>
              </w:rPr>
              <w:t>如：</w:t>
            </w:r>
            <w:r>
              <w:rPr>
                <w:rFonts w:ascii="微软雅黑" w:hAnsi="微软雅黑" w:eastAsia="微软雅黑" w:cs="微软雅黑"/>
                <w:color w:val="auto"/>
                <w:spacing w:val="-26"/>
                <w:sz w:val="21"/>
                <w:szCs w:val="21"/>
                <w:highlight w:val="none"/>
              </w:rPr>
              <w:t xml:space="preserve"> </w:t>
            </w:r>
            <w:r>
              <w:rPr>
                <w:rFonts w:ascii="微软雅黑" w:hAnsi="微软雅黑" w:eastAsia="微软雅黑" w:cs="微软雅黑"/>
                <w:color w:val="auto"/>
                <w:spacing w:val="-5"/>
                <w:sz w:val="21"/>
                <w:szCs w:val="21"/>
                <w:highlight w:val="none"/>
              </w:rPr>
              <w:t>城市主干道、人流密集、河边等处施</w:t>
            </w:r>
            <w:r>
              <w:rPr>
                <w:rFonts w:ascii="微软雅黑" w:hAnsi="微软雅黑" w:eastAsia="微软雅黑" w:cs="微软雅黑"/>
                <w:color w:val="auto"/>
                <w:spacing w:val="-1"/>
                <w:sz w:val="21"/>
                <w:szCs w:val="21"/>
                <w:highlight w:val="none"/>
              </w:rPr>
              <w:t>工及文物、古建筑、古树保护等。</w:t>
            </w:r>
          </w:p>
        </w:tc>
      </w:tr>
    </w:tbl>
    <w:p w14:paraId="2871687D">
      <w:pPr>
        <w:spacing w:line="408" w:lineRule="auto"/>
        <w:rPr>
          <w:rFonts w:ascii="Arial"/>
          <w:color w:val="auto"/>
          <w:sz w:val="21"/>
          <w:highlight w:val="none"/>
        </w:rPr>
      </w:pPr>
    </w:p>
    <w:p w14:paraId="792841BD">
      <w:pPr>
        <w:spacing w:before="90" w:line="371" w:lineRule="auto"/>
        <w:ind w:left="830" w:right="194" w:hanging="15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注： 本表所列建设工程安全文明施工费， 是依据现行法律法规及标准、规范确定的。如法律法</w:t>
      </w:r>
      <w:r>
        <w:rPr>
          <w:rFonts w:ascii="微软雅黑" w:hAnsi="微软雅黑" w:eastAsia="微软雅黑" w:cs="微软雅黑"/>
          <w:color w:val="auto"/>
          <w:spacing w:val="-2"/>
          <w:sz w:val="21"/>
          <w:szCs w:val="21"/>
          <w:highlight w:val="none"/>
        </w:rPr>
        <w:t>规和标准、规范修订， 本表所列项目应按照修订后的法律法规和标准规范进行调整。</w:t>
      </w:r>
    </w:p>
    <w:p w14:paraId="51D2440F">
      <w:pPr>
        <w:spacing w:line="371" w:lineRule="auto"/>
        <w:rPr>
          <w:rFonts w:ascii="微软雅黑" w:hAnsi="微软雅黑" w:eastAsia="微软雅黑" w:cs="微软雅黑"/>
          <w:color w:val="auto"/>
          <w:sz w:val="21"/>
          <w:szCs w:val="21"/>
          <w:highlight w:val="none"/>
        </w:rPr>
        <w:sectPr>
          <w:footerReference r:id="rId12" w:type="default"/>
          <w:pgSz w:w="11900" w:h="16840"/>
          <w:pgMar w:top="1248" w:right="1121" w:bottom="848" w:left="1295" w:header="0" w:footer="648" w:gutter="0"/>
          <w:cols w:space="720" w:num="1"/>
        </w:sectPr>
      </w:pPr>
    </w:p>
    <w:p w14:paraId="76FD3B66">
      <w:pPr>
        <w:pageBreakBefore/>
        <w:spacing w:line="44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十四、按本竞争性磋商文件规定提交的其它资料。</w:t>
      </w:r>
    </w:p>
    <w:p w14:paraId="11186089">
      <w:pPr>
        <w:spacing w:line="440" w:lineRule="exact"/>
        <w:jc w:val="center"/>
        <w:rPr>
          <w:rFonts w:hint="default" w:ascii="宋体" w:hAnsi="宋体" w:eastAsia="宋体" w:cs="宋体"/>
          <w:b/>
          <w:color w:val="auto"/>
          <w:sz w:val="48"/>
          <w:szCs w:val="24"/>
          <w:highlight w:val="none"/>
        </w:rPr>
      </w:pPr>
    </w:p>
    <w:p w14:paraId="546CF40C">
      <w:pPr>
        <w:spacing w:line="520" w:lineRule="exact"/>
        <w:ind w:firstLine="602" w:firstLineChars="200"/>
        <w:jc w:val="left"/>
        <w:rPr>
          <w:rFonts w:hint="default" w:ascii="宋体" w:hAnsi="宋体" w:eastAsia="宋体" w:cs="宋体"/>
          <w:b/>
          <w:color w:val="auto"/>
          <w:sz w:val="30"/>
          <w:szCs w:val="30"/>
          <w:highlight w:val="none"/>
        </w:rPr>
      </w:pPr>
    </w:p>
    <w:p w14:paraId="782824BA">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25D6F80A">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33BBFF4">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481A43D">
      <w:pPr>
        <w:snapToGrid w:val="0"/>
        <w:spacing w:line="360" w:lineRule="auto"/>
        <w:ind w:firstLine="482" w:firstLineChars="200"/>
        <w:rPr>
          <w:rFonts w:hint="default" w:ascii="宋体" w:hAnsi="宋体" w:eastAsia="宋体" w:cs="宋体"/>
          <w:b/>
          <w:color w:val="auto"/>
          <w:sz w:val="24"/>
          <w:szCs w:val="24"/>
          <w:highlight w:val="none"/>
        </w:rPr>
        <w:sectPr>
          <w:headerReference r:id="rId13" w:type="default"/>
          <w:footerReference r:id="rId14" w:type="default"/>
          <w:pgSz w:w="11910" w:h="16840"/>
          <w:pgMar w:top="1340" w:right="1500" w:bottom="280" w:left="1680" w:header="720" w:footer="720" w:gutter="0"/>
          <w:lnNumType w:countBy="0" w:distance="360"/>
          <w:cols w:space="720" w:num="1"/>
        </w:sectPr>
      </w:pPr>
    </w:p>
    <w:p w14:paraId="412A51F9">
      <w:pPr>
        <w:autoSpaceDE w:val="0"/>
        <w:autoSpaceDN w:val="0"/>
        <w:spacing w:line="360" w:lineRule="auto"/>
        <w:ind w:firstLine="6505" w:firstLineChars="2700"/>
        <w:rPr>
          <w:rFonts w:hint="eastAsia" w:ascii="仿宋_GB2312" w:hAnsi="仿宋" w:eastAsia="仿宋_GB2312" w:cs="仿宋_GB2312"/>
          <w:b/>
          <w:bCs/>
          <w:color w:val="auto"/>
          <w:sz w:val="24"/>
          <w:highlight w:val="none"/>
        </w:rPr>
      </w:pPr>
    </w:p>
    <w:p w14:paraId="57C3CBE9">
      <w:pPr>
        <w:pStyle w:val="3"/>
        <w:widowControl/>
        <w:jc w:val="center"/>
        <w:rPr>
          <w:rFonts w:hint="eastAsia" w:ascii="宋体" w:hAnsi="宋体" w:eastAsia="宋体" w:cs="宋体"/>
          <w:color w:val="auto"/>
          <w:highlight w:val="none"/>
        </w:rPr>
      </w:pPr>
      <w:bookmarkStart w:id="85" w:name="_Toc80205941"/>
      <w:bookmarkStart w:id="86" w:name="_Toc10756"/>
      <w:r>
        <w:rPr>
          <w:rFonts w:hint="eastAsia" w:ascii="宋体" w:hAnsi="宋体" w:eastAsia="宋体" w:cs="宋体"/>
          <w:color w:val="auto"/>
          <w:highlight w:val="none"/>
        </w:rPr>
        <w:t>第四节 报价文件格式</w:t>
      </w:r>
      <w:bookmarkEnd w:id="85"/>
      <w:bookmarkEnd w:id="86"/>
    </w:p>
    <w:p w14:paraId="66A0C033">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lang w:bidi="ar"/>
        </w:rPr>
        <w:t xml:space="preserve">                                                    </w:t>
      </w:r>
      <w:r>
        <w:rPr>
          <w:rFonts w:hint="eastAsia" w:ascii="宋体" w:hAnsi="宋体" w:eastAsia="宋体" w:cs="宋体"/>
          <w:bCs/>
          <w:color w:val="auto"/>
          <w:highlight w:val="none"/>
          <w:lang w:bidi="ar"/>
        </w:rPr>
        <w:t>全流程电子文件</w:t>
      </w:r>
    </w:p>
    <w:p w14:paraId="6B89376D">
      <w:pPr>
        <w:snapToGrid w:val="0"/>
        <w:spacing w:before="156" w:beforeLines="50" w:after="50"/>
        <w:rPr>
          <w:rFonts w:hint="eastAsia" w:ascii="宋体" w:hAnsi="宋体" w:eastAsia="宋体" w:cs="宋体"/>
          <w:color w:val="auto"/>
          <w:sz w:val="24"/>
          <w:szCs w:val="20"/>
          <w:highlight w:val="none"/>
        </w:rPr>
      </w:pPr>
    </w:p>
    <w:p w14:paraId="0B9DE017">
      <w:pPr>
        <w:snapToGrid w:val="0"/>
        <w:spacing w:before="156" w:beforeLines="50" w:after="50"/>
        <w:rPr>
          <w:rFonts w:hint="eastAsia" w:ascii="宋体" w:hAnsi="宋体" w:eastAsia="宋体" w:cs="宋体"/>
          <w:color w:val="auto"/>
          <w:sz w:val="24"/>
          <w:szCs w:val="20"/>
          <w:highlight w:val="none"/>
        </w:rPr>
      </w:pPr>
    </w:p>
    <w:p w14:paraId="043F1898">
      <w:pPr>
        <w:snapToGrid w:val="0"/>
        <w:spacing w:before="156" w:beforeLines="50" w:after="50"/>
        <w:rPr>
          <w:rFonts w:hint="eastAsia" w:ascii="宋体" w:hAnsi="宋体" w:eastAsia="宋体" w:cs="宋体"/>
          <w:color w:val="auto"/>
          <w:sz w:val="24"/>
          <w:szCs w:val="20"/>
          <w:highlight w:val="none"/>
        </w:rPr>
      </w:pPr>
    </w:p>
    <w:p w14:paraId="747A5E13">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lang w:bidi="ar"/>
        </w:rPr>
        <w:t>报  价  文  件（封面）</w:t>
      </w:r>
    </w:p>
    <w:p w14:paraId="7E98CB29">
      <w:pPr>
        <w:snapToGrid w:val="0"/>
        <w:spacing w:before="156" w:beforeLines="50" w:after="50"/>
        <w:rPr>
          <w:rFonts w:hint="eastAsia" w:ascii="宋体" w:hAnsi="宋体" w:eastAsia="宋体" w:cs="宋体"/>
          <w:bCs/>
          <w:color w:val="auto"/>
          <w:sz w:val="24"/>
          <w:szCs w:val="20"/>
          <w:highlight w:val="none"/>
        </w:rPr>
      </w:pPr>
    </w:p>
    <w:p w14:paraId="62054AFA">
      <w:pPr>
        <w:snapToGrid w:val="0"/>
        <w:spacing w:before="156" w:beforeLines="50" w:after="50"/>
        <w:rPr>
          <w:rFonts w:hint="eastAsia" w:ascii="宋体" w:hAnsi="宋体" w:eastAsia="宋体" w:cs="宋体"/>
          <w:bCs/>
          <w:color w:val="auto"/>
          <w:sz w:val="24"/>
          <w:szCs w:val="20"/>
          <w:highlight w:val="none"/>
        </w:rPr>
      </w:pPr>
    </w:p>
    <w:p w14:paraId="1708667E">
      <w:pPr>
        <w:snapToGrid w:val="0"/>
        <w:spacing w:before="156" w:beforeLines="50" w:after="50"/>
        <w:rPr>
          <w:rFonts w:hint="eastAsia" w:ascii="宋体" w:hAnsi="宋体" w:eastAsia="宋体" w:cs="宋体"/>
          <w:bCs/>
          <w:color w:val="auto"/>
          <w:sz w:val="24"/>
          <w:szCs w:val="20"/>
          <w:highlight w:val="none"/>
        </w:rPr>
      </w:pPr>
    </w:p>
    <w:p w14:paraId="654E07FD">
      <w:pPr>
        <w:snapToGrid w:val="0"/>
        <w:spacing w:before="156" w:beforeLines="50" w:after="50"/>
        <w:rPr>
          <w:rFonts w:hint="eastAsia" w:ascii="宋体" w:hAnsi="宋体" w:eastAsia="宋体" w:cs="宋体"/>
          <w:bCs/>
          <w:color w:val="auto"/>
          <w:sz w:val="24"/>
          <w:szCs w:val="20"/>
          <w:highlight w:val="none"/>
        </w:rPr>
      </w:pPr>
    </w:p>
    <w:p w14:paraId="73A9C809">
      <w:pPr>
        <w:snapToGrid w:val="0"/>
        <w:spacing w:before="156" w:beforeLines="50" w:after="50"/>
        <w:rPr>
          <w:rFonts w:hint="eastAsia" w:ascii="宋体" w:hAnsi="宋体" w:eastAsia="宋体" w:cs="宋体"/>
          <w:bCs/>
          <w:color w:val="auto"/>
          <w:sz w:val="24"/>
          <w:szCs w:val="20"/>
          <w:highlight w:val="none"/>
        </w:rPr>
      </w:pPr>
    </w:p>
    <w:p w14:paraId="11AD00ED">
      <w:pPr>
        <w:snapToGrid w:val="0"/>
        <w:spacing w:before="156" w:beforeLines="50" w:after="50"/>
        <w:ind w:firstLine="640" w:firstLineChars="200"/>
        <w:rPr>
          <w:rFonts w:hint="eastAsia" w:ascii="宋体" w:hAnsi="宋体" w:cs="仿宋_GB2312" w:eastAsiaTheme="minorEastAsia"/>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昆仑镇九塘社区大塘坡水稻灌溉工程</w:t>
      </w:r>
    </w:p>
    <w:p w14:paraId="573B0724">
      <w:pPr>
        <w:snapToGrid w:val="0"/>
        <w:spacing w:before="156" w:beforeLines="50" w:after="50"/>
        <w:ind w:firstLine="720" w:firstLineChars="225"/>
        <w:rPr>
          <w:rFonts w:hint="eastAsia" w:ascii="宋体" w:hAnsi="宋体" w:cs="仿宋_GB2312"/>
          <w:bCs/>
          <w:color w:val="auto"/>
          <w:sz w:val="32"/>
          <w:szCs w:val="32"/>
          <w:highlight w:val="none"/>
        </w:rPr>
      </w:pPr>
    </w:p>
    <w:p w14:paraId="53573CB1">
      <w:pPr>
        <w:snapToGrid w:val="0"/>
        <w:spacing w:before="156"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项目编号：[项目采购-项目编号_7]</w:t>
      </w:r>
    </w:p>
    <w:p w14:paraId="452B379A">
      <w:pPr>
        <w:snapToGrid w:val="0"/>
        <w:spacing w:before="156"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 xml:space="preserve"> </w:t>
      </w:r>
    </w:p>
    <w:p w14:paraId="47C0EE48">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D6C6399">
      <w:pPr>
        <w:snapToGrid w:val="0"/>
        <w:spacing w:before="156"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 xml:space="preserve"> </w:t>
      </w:r>
    </w:p>
    <w:p w14:paraId="32245B8B">
      <w:pPr>
        <w:snapToGrid w:val="0"/>
        <w:spacing w:before="156"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lang w:bidi="ar"/>
        </w:rPr>
        <w:t>所竞分标（如有则填写，无分标时填写“无”或者留空）：</w:t>
      </w:r>
    </w:p>
    <w:p w14:paraId="790C3BFE">
      <w:pPr>
        <w:snapToGrid w:val="0"/>
        <w:spacing w:before="156" w:beforeLines="50" w:after="50"/>
        <w:ind w:firstLine="720" w:firstLineChars="225"/>
        <w:rPr>
          <w:rFonts w:hint="eastAsia" w:ascii="宋体" w:hAnsi="宋体" w:eastAsia="宋体" w:cs="仿宋_GB2312"/>
          <w:bCs/>
          <w:color w:val="auto"/>
          <w:sz w:val="32"/>
          <w:szCs w:val="32"/>
          <w:highlight w:val="none"/>
        </w:rPr>
      </w:pPr>
    </w:p>
    <w:p w14:paraId="50E7608B">
      <w:pPr>
        <w:pStyle w:val="10"/>
        <w:widowControl/>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7964512">
      <w:pPr>
        <w:pStyle w:val="10"/>
        <w:widowControl/>
        <w:snapToGrid w:val="0"/>
        <w:spacing w:before="50" w:after="50"/>
        <w:ind w:firstLine="720" w:firstLineChars="225"/>
        <w:rPr>
          <w:rFonts w:hint="eastAsia" w:ascii="宋体" w:hAnsi="宋体" w:cs="仿宋_GB2312"/>
          <w:bCs/>
          <w:color w:val="auto"/>
          <w:sz w:val="32"/>
          <w:szCs w:val="32"/>
          <w:highlight w:val="none"/>
        </w:rPr>
      </w:pPr>
    </w:p>
    <w:p w14:paraId="0AC07927">
      <w:pPr>
        <w:pStyle w:val="10"/>
        <w:widowControl/>
        <w:snapToGrid w:val="0"/>
        <w:spacing w:before="50" w:after="50"/>
        <w:ind w:firstLine="720" w:firstLineChars="225"/>
        <w:rPr>
          <w:rFonts w:hint="eastAsia" w:ascii="宋体" w:hAnsi="宋体" w:cs="仿宋_GB2312"/>
          <w:bCs/>
          <w:color w:val="auto"/>
          <w:sz w:val="32"/>
          <w:szCs w:val="32"/>
          <w:highlight w:val="none"/>
        </w:rPr>
      </w:pPr>
    </w:p>
    <w:p w14:paraId="7785451C">
      <w:pPr>
        <w:pStyle w:val="10"/>
        <w:widowControl/>
        <w:snapToGrid w:val="0"/>
        <w:spacing w:before="50" w:after="50"/>
        <w:ind w:firstLine="1280" w:firstLineChars="400"/>
        <w:rPr>
          <w:rFonts w:hint="eastAsia" w:ascii="宋体" w:hAnsi="宋体" w:cs="仿宋_GB2312"/>
          <w:bCs/>
          <w:color w:val="auto"/>
          <w:sz w:val="32"/>
          <w:szCs w:val="32"/>
          <w:highlight w:val="none"/>
        </w:rPr>
      </w:pPr>
    </w:p>
    <w:p w14:paraId="68A2568E">
      <w:pPr>
        <w:snapToGrid w:val="0"/>
        <w:spacing w:before="156"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lang w:bidi="ar"/>
        </w:rPr>
        <w:t>年    月    日</w:t>
      </w:r>
    </w:p>
    <w:p w14:paraId="596F6F21">
      <w:pPr>
        <w:snapToGrid w:val="0"/>
        <w:spacing w:before="156" w:beforeLines="50" w:after="50" w:line="400" w:lineRule="exact"/>
        <w:jc w:val="center"/>
        <w:rPr>
          <w:rFonts w:hint="eastAsia" w:ascii="宋体" w:hAnsi="宋体" w:eastAsia="宋体" w:cs="宋体"/>
          <w:b/>
          <w:bCs/>
          <w:color w:val="auto"/>
          <w:sz w:val="32"/>
          <w:szCs w:val="32"/>
          <w:highlight w:val="none"/>
        </w:rPr>
      </w:pPr>
      <w:r>
        <w:rPr>
          <w:rFonts w:hint="eastAsia" w:ascii="宋体" w:hAnsi="宋体" w:eastAsia="宋体" w:cs="Times New Roman"/>
          <w:color w:val="auto"/>
          <w:sz w:val="24"/>
          <w:highlight w:val="none"/>
          <w:lang w:bidi="ar"/>
        </w:rPr>
        <w:br w:type="page"/>
      </w:r>
      <w:r>
        <w:rPr>
          <w:rFonts w:hint="eastAsia" w:ascii="宋体" w:hAnsi="宋体" w:eastAsia="宋体" w:cs="宋体"/>
          <w:b/>
          <w:bCs/>
          <w:color w:val="auto"/>
          <w:sz w:val="32"/>
          <w:szCs w:val="32"/>
          <w:highlight w:val="none"/>
          <w:lang w:bidi="ar"/>
        </w:rPr>
        <w:t>报价文件目录</w:t>
      </w:r>
    </w:p>
    <w:p w14:paraId="33AD738E">
      <w:pPr>
        <w:rPr>
          <w:rFonts w:hint="eastAsia" w:ascii="宋体" w:hAnsi="宋体" w:eastAsia="宋体" w:cs="宋体"/>
          <w:color w:val="auto"/>
          <w:highlight w:val="none"/>
        </w:rPr>
      </w:pPr>
    </w:p>
    <w:p w14:paraId="2E1B0C43">
      <w:pPr>
        <w:numPr>
          <w:ilvl w:val="0"/>
          <w:numId w:val="6"/>
        </w:num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响应函……………………………………………………………………（页码）</w:t>
      </w:r>
    </w:p>
    <w:p w14:paraId="62A13E5A">
      <w:pPr>
        <w:numPr>
          <w:ilvl w:val="0"/>
          <w:numId w:val="6"/>
        </w:num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响应函附录………………………………………………………………（页码）</w:t>
      </w:r>
    </w:p>
    <w:p w14:paraId="12CAC8B8">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三、响应报价表………………………………………………………………（页码）</w:t>
      </w:r>
    </w:p>
    <w:p w14:paraId="2688AABC">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四、已标价工程量清单………………………………………………………（页码）</w:t>
      </w:r>
    </w:p>
    <w:p w14:paraId="0C7846AA">
      <w:pPr>
        <w:snapToGrid w:val="0"/>
        <w:spacing w:before="156" w:beforeLines="50" w:after="50" w:line="360" w:lineRule="auto"/>
        <w:ind w:left="142" w:firstLine="480" w:firstLineChars="200"/>
        <w:jc w:val="left"/>
        <w:rPr>
          <w:rFonts w:hint="eastAsia" w:hAnsi="宋体" w:cs="仿宋_GB2312"/>
          <w:color w:val="auto"/>
          <w:sz w:val="24"/>
          <w:highlight w:val="none"/>
        </w:rPr>
      </w:pPr>
      <w:r>
        <w:rPr>
          <w:rFonts w:ascii="Times New Roman" w:hAnsi="宋体" w:eastAsia="宋体" w:cs="仿宋_GB2312"/>
          <w:color w:val="auto"/>
          <w:sz w:val="24"/>
          <w:highlight w:val="none"/>
          <w:lang w:bidi="ar"/>
        </w:rPr>
        <w:br w:type="page"/>
      </w:r>
      <w:r>
        <w:rPr>
          <w:rFonts w:hint="eastAsia" w:ascii="Times New Roman" w:hAnsi="宋体" w:eastAsia="宋体" w:cs="宋体"/>
          <w:b/>
          <w:bCs/>
          <w:color w:val="auto"/>
          <w:sz w:val="32"/>
          <w:szCs w:val="32"/>
          <w:highlight w:val="none"/>
          <w:lang w:bidi="ar"/>
        </w:rPr>
        <w:t>一、响应函</w:t>
      </w:r>
    </w:p>
    <w:p w14:paraId="1B958711">
      <w:pPr>
        <w:pStyle w:val="18"/>
        <w:widowControl/>
        <w:spacing w:line="500" w:lineRule="exact"/>
        <w:jc w:val="center"/>
        <w:rPr>
          <w:rFonts w:hint="default" w:ascii="Times New Roman" w:hAnsi="Times New Roman"/>
          <w:b/>
          <w:bCs/>
          <w:color w:val="auto"/>
          <w:sz w:val="30"/>
          <w:szCs w:val="30"/>
          <w:highlight w:val="none"/>
        </w:rPr>
      </w:pPr>
      <w:r>
        <w:rPr>
          <w:rFonts w:ascii="Times New Roman" w:hAnsi="Times New Roman"/>
          <w:b/>
          <w:bCs/>
          <w:color w:val="auto"/>
          <w:sz w:val="30"/>
          <w:szCs w:val="30"/>
          <w:highlight w:val="none"/>
        </w:rPr>
        <w:t>响应函</w:t>
      </w:r>
    </w:p>
    <w:p w14:paraId="70ECE616">
      <w:pPr>
        <w:pStyle w:val="18"/>
        <w:widowControl/>
        <w:spacing w:line="360" w:lineRule="auto"/>
        <w:rPr>
          <w:rFonts w:hint="default" w:ascii="Times New Roman" w:hAnsi="Times New Roman"/>
          <w:color w:val="auto"/>
          <w:szCs w:val="20"/>
          <w:highlight w:val="none"/>
        </w:rPr>
      </w:pPr>
      <w:r>
        <w:rPr>
          <w:rFonts w:ascii="Times New Roman" w:hAnsi="Times New Roman"/>
          <w:color w:val="auto"/>
          <w:szCs w:val="20"/>
          <w:highlight w:val="none"/>
        </w:rPr>
        <w:t>致：</w:t>
      </w:r>
      <w:r>
        <w:rPr>
          <w:rFonts w:ascii="Times New Roman" w:hAnsi="Times New Roman"/>
          <w:color w:val="auto"/>
          <w:szCs w:val="20"/>
          <w:highlight w:val="none"/>
          <w:u w:val="single"/>
        </w:rPr>
        <w:t xml:space="preserve"> 广西翔正项目管理有限公司</w:t>
      </w:r>
    </w:p>
    <w:p w14:paraId="20F376CA">
      <w:pPr>
        <w:pStyle w:val="18"/>
        <w:widowControl/>
        <w:spacing w:line="360" w:lineRule="auto"/>
        <w:ind w:firstLine="400" w:firstLineChars="200"/>
        <w:rPr>
          <w:rFonts w:hint="default" w:ascii="Times New Roman" w:hAnsi="Times New Roman"/>
          <w:color w:val="auto"/>
          <w:szCs w:val="20"/>
          <w:highlight w:val="none"/>
        </w:rPr>
      </w:pPr>
      <w:r>
        <w:rPr>
          <w:color w:val="auto"/>
          <w:szCs w:val="20"/>
          <w:highlight w:val="none"/>
        </w:rPr>
        <w:t>我方已仔细阅读了贵方组织的</w:t>
      </w:r>
      <w:r>
        <w:rPr>
          <w:rFonts w:hint="eastAsia" w:hAnsi="宋体"/>
          <w:color w:val="auto"/>
          <w:szCs w:val="20"/>
          <w:highlight w:val="none"/>
          <w:u w:val="single"/>
          <w:lang w:val="en-US" w:eastAsia="zh-CN"/>
        </w:rPr>
        <w:t xml:space="preserve">           </w:t>
      </w:r>
      <w:r>
        <w:rPr>
          <w:rFonts w:hint="eastAsia"/>
          <w:color w:val="auto"/>
          <w:szCs w:val="20"/>
          <w:highlight w:val="none"/>
          <w:u w:val="none"/>
          <w:lang w:val="en-US" w:eastAsia="zh-CN"/>
        </w:rPr>
        <w:t xml:space="preserve"> 项目</w:t>
      </w:r>
      <w:r>
        <w:rPr>
          <w:color w:val="auto"/>
          <w:szCs w:val="20"/>
          <w:highlight w:val="none"/>
        </w:rPr>
        <w:t>（项目编号：</w:t>
      </w:r>
      <w:r>
        <w:rPr>
          <w:rFonts w:hint="eastAsia" w:hAnsi="宋体"/>
          <w:color w:val="auto"/>
          <w:szCs w:val="20"/>
          <w:highlight w:val="none"/>
          <w:u w:val="single"/>
          <w:lang w:val="en-US" w:eastAsia="zh-CN"/>
        </w:rPr>
        <w:t xml:space="preserve">               </w:t>
      </w:r>
      <w:r>
        <w:rPr>
          <w:color w:val="auto"/>
          <w:szCs w:val="20"/>
          <w:highlight w:val="none"/>
        </w:rPr>
        <w:t xml:space="preserve">）的竞争性磋商采购文件的全部内容，现正式递交下述文件参加贵方组织的本次政府采购活动： </w:t>
      </w:r>
    </w:p>
    <w:p w14:paraId="4A181246">
      <w:pPr>
        <w:pStyle w:val="18"/>
        <w:widowControl/>
        <w:spacing w:line="360" w:lineRule="auto"/>
        <w:ind w:firstLine="400" w:firstLineChars="200"/>
        <w:rPr>
          <w:rFonts w:hint="default" w:ascii="Times New Roman" w:hAnsi="Times New Roman"/>
          <w:color w:val="auto"/>
          <w:szCs w:val="20"/>
          <w:highlight w:val="none"/>
        </w:rPr>
      </w:pPr>
      <w:r>
        <w:rPr>
          <w:color w:val="auto"/>
          <w:szCs w:val="20"/>
          <w:highlight w:val="none"/>
        </w:rPr>
        <w:t>一、首次报价文件电子版</w:t>
      </w:r>
      <w:r>
        <w:rPr>
          <w:color w:val="auto"/>
          <w:szCs w:val="20"/>
          <w:highlight w:val="none"/>
          <w:u w:val="single"/>
        </w:rPr>
        <w:t xml:space="preserve">   </w:t>
      </w:r>
      <w:r>
        <w:rPr>
          <w:color w:val="auto"/>
          <w:szCs w:val="20"/>
          <w:highlight w:val="none"/>
        </w:rPr>
        <w:t>份（包含按“第三章 供应商须知”提交的全部文件）；</w:t>
      </w:r>
    </w:p>
    <w:p w14:paraId="4CC556C7">
      <w:pPr>
        <w:pStyle w:val="18"/>
        <w:widowControl/>
        <w:spacing w:line="360" w:lineRule="auto"/>
        <w:ind w:firstLine="400" w:firstLineChars="200"/>
        <w:rPr>
          <w:rFonts w:hint="default"/>
          <w:color w:val="auto"/>
          <w:szCs w:val="20"/>
          <w:highlight w:val="none"/>
        </w:rPr>
      </w:pPr>
      <w:r>
        <w:rPr>
          <w:color w:val="auto"/>
          <w:szCs w:val="20"/>
          <w:highlight w:val="none"/>
        </w:rPr>
        <w:t>二、</w:t>
      </w:r>
      <w:r>
        <w:rPr>
          <w:rFonts w:hAnsi="宋体"/>
          <w:color w:val="auto"/>
          <w:szCs w:val="20"/>
          <w:highlight w:val="none"/>
        </w:rPr>
        <w:t>技术</w:t>
      </w:r>
      <w:r>
        <w:rPr>
          <w:color w:val="auto"/>
          <w:szCs w:val="20"/>
          <w:highlight w:val="none"/>
        </w:rPr>
        <w:t>文件电子版</w:t>
      </w:r>
      <w:r>
        <w:rPr>
          <w:color w:val="auto"/>
          <w:szCs w:val="20"/>
          <w:highlight w:val="none"/>
          <w:u w:val="single"/>
        </w:rPr>
        <w:t xml:space="preserve">   </w:t>
      </w:r>
      <w:r>
        <w:rPr>
          <w:color w:val="auto"/>
          <w:szCs w:val="20"/>
          <w:highlight w:val="none"/>
        </w:rPr>
        <w:t>份（包含按“第三章 供应商须知”提交的全部文件）；商务</w:t>
      </w:r>
      <w:r>
        <w:rPr>
          <w:rFonts w:hAnsi="宋体"/>
          <w:color w:val="auto"/>
          <w:szCs w:val="20"/>
          <w:highlight w:val="none"/>
        </w:rPr>
        <w:t>文件</w:t>
      </w:r>
      <w:r>
        <w:rPr>
          <w:color w:val="auto"/>
          <w:szCs w:val="20"/>
          <w:highlight w:val="none"/>
        </w:rPr>
        <w:t>电子版</w:t>
      </w:r>
      <w:r>
        <w:rPr>
          <w:color w:val="auto"/>
          <w:szCs w:val="20"/>
          <w:highlight w:val="none"/>
          <w:u w:val="single"/>
        </w:rPr>
        <w:t xml:space="preserve">   </w:t>
      </w:r>
      <w:r>
        <w:rPr>
          <w:color w:val="auto"/>
          <w:szCs w:val="20"/>
          <w:highlight w:val="none"/>
        </w:rPr>
        <w:t>份（包含按“第三章 供应商须知”提交的全部文件）；（商务技术文件已合并装订成册）；</w:t>
      </w:r>
    </w:p>
    <w:p w14:paraId="3CF2FF6E">
      <w:pPr>
        <w:pStyle w:val="18"/>
        <w:widowControl/>
        <w:spacing w:line="360" w:lineRule="auto"/>
        <w:ind w:firstLine="400" w:firstLineChars="200"/>
        <w:rPr>
          <w:rFonts w:hint="default"/>
          <w:color w:val="auto"/>
          <w:szCs w:val="20"/>
          <w:highlight w:val="none"/>
        </w:rPr>
      </w:pPr>
      <w:r>
        <w:rPr>
          <w:color w:val="auto"/>
          <w:szCs w:val="20"/>
          <w:highlight w:val="none"/>
        </w:rPr>
        <w:t>三、资格证明文件电子版（包含按“第三章供应商须知”提交的全部文件）；</w:t>
      </w:r>
    </w:p>
    <w:p w14:paraId="5C7D2E26">
      <w:pPr>
        <w:pStyle w:val="18"/>
        <w:widowControl/>
        <w:spacing w:line="360" w:lineRule="auto"/>
        <w:ind w:firstLine="400" w:firstLineChars="200"/>
        <w:rPr>
          <w:rFonts w:hint="default" w:ascii="Times New Roman" w:hAnsi="Times New Roman"/>
          <w:color w:val="auto"/>
          <w:szCs w:val="20"/>
          <w:highlight w:val="none"/>
        </w:rPr>
      </w:pPr>
      <w:r>
        <w:rPr>
          <w:color w:val="auto"/>
          <w:szCs w:val="20"/>
          <w:highlight w:val="none"/>
        </w:rPr>
        <w:t>据此函，签字人兹宣布：</w:t>
      </w:r>
    </w:p>
    <w:p w14:paraId="48A4A115">
      <w:pPr>
        <w:pStyle w:val="18"/>
        <w:widowControl/>
        <w:spacing w:line="360" w:lineRule="auto"/>
        <w:ind w:firstLine="482"/>
        <w:rPr>
          <w:rFonts w:hint="default" w:ascii="Times New Roman" w:hAnsi="Times New Roman"/>
          <w:color w:val="auto"/>
          <w:szCs w:val="20"/>
          <w:highlight w:val="none"/>
        </w:rPr>
      </w:pPr>
      <w:r>
        <w:rPr>
          <w:color w:val="auto"/>
          <w:szCs w:val="20"/>
          <w:highlight w:val="none"/>
        </w:rPr>
        <w:t>1、我方愿意以（大写）人民币</w:t>
      </w:r>
      <w:r>
        <w:rPr>
          <w:color w:val="auto"/>
          <w:szCs w:val="20"/>
          <w:highlight w:val="none"/>
          <w:u w:val="single"/>
        </w:rPr>
        <w:t xml:space="preserve">              </w:t>
      </w:r>
      <w:r>
        <w:rPr>
          <w:color w:val="auto"/>
          <w:szCs w:val="20"/>
          <w:highlight w:val="none"/>
        </w:rPr>
        <w:t>（￥</w:t>
      </w:r>
      <w:r>
        <w:rPr>
          <w:color w:val="auto"/>
          <w:szCs w:val="20"/>
          <w:highlight w:val="none"/>
          <w:u w:val="single"/>
        </w:rPr>
        <w:t xml:space="preserve">          </w:t>
      </w:r>
      <w:r>
        <w:rPr>
          <w:color w:val="auto"/>
          <w:szCs w:val="20"/>
          <w:highlight w:val="none"/>
        </w:rPr>
        <w:t>元)的竞标总报价，提供服务期（无分标时填写）：</w:t>
      </w:r>
      <w:r>
        <w:rPr>
          <w:color w:val="auto"/>
          <w:szCs w:val="20"/>
          <w:highlight w:val="none"/>
          <w:u w:val="single"/>
        </w:rPr>
        <w:t xml:space="preserve">            </w:t>
      </w:r>
      <w:r>
        <w:rPr>
          <w:color w:val="auto"/>
          <w:szCs w:val="20"/>
          <w:highlight w:val="none"/>
        </w:rPr>
        <w:t>，提供本项目竞争性磋商采购文件第二章“服务需求一览表”中相应的采购内容。</w:t>
      </w:r>
    </w:p>
    <w:p w14:paraId="1160C282">
      <w:pPr>
        <w:pStyle w:val="18"/>
        <w:widowControl/>
        <w:spacing w:line="360" w:lineRule="auto"/>
        <w:ind w:firstLine="482"/>
        <w:rPr>
          <w:rFonts w:hint="default"/>
          <w:color w:val="auto"/>
          <w:szCs w:val="20"/>
          <w:highlight w:val="none"/>
        </w:rPr>
      </w:pPr>
      <w:r>
        <w:rPr>
          <w:color w:val="auto"/>
          <w:szCs w:val="20"/>
          <w:highlight w:val="none"/>
        </w:rPr>
        <w:t>2、我方同意自本项目竞争性磋商采购文件采购公告规定的递交响应文件截止时间起遵循</w:t>
      </w:r>
      <w:r>
        <w:rPr>
          <w:rFonts w:hAnsi="宋体"/>
          <w:color w:val="auto"/>
          <w:szCs w:val="20"/>
          <w:highlight w:val="none"/>
        </w:rPr>
        <w:t>本响应函</w:t>
      </w:r>
      <w:r>
        <w:rPr>
          <w:color w:val="auto"/>
          <w:szCs w:val="20"/>
          <w:highlight w:val="none"/>
        </w:rPr>
        <w:t>，并承诺在“第三章 供应商须知”规定的响应有效期内不修改、撤销响应文件。</w:t>
      </w:r>
    </w:p>
    <w:p w14:paraId="264C07D2">
      <w:pPr>
        <w:pStyle w:val="18"/>
        <w:widowControl/>
        <w:spacing w:line="360" w:lineRule="auto"/>
        <w:ind w:firstLine="482"/>
        <w:rPr>
          <w:rFonts w:hint="default"/>
          <w:color w:val="auto"/>
          <w:szCs w:val="20"/>
          <w:highlight w:val="none"/>
        </w:rPr>
      </w:pPr>
      <w:r>
        <w:rPr>
          <w:color w:val="auto"/>
          <w:szCs w:val="20"/>
          <w:highlight w:val="none"/>
        </w:rPr>
        <w:t>3、我方在此声明，所递交的响应文件及有关资料内容完整、真实和准确。</w:t>
      </w:r>
    </w:p>
    <w:p w14:paraId="5F96E675">
      <w:pPr>
        <w:pStyle w:val="18"/>
        <w:widowControl/>
        <w:spacing w:line="360" w:lineRule="auto"/>
        <w:ind w:firstLine="482"/>
        <w:rPr>
          <w:rFonts w:hint="default"/>
          <w:color w:val="auto"/>
          <w:szCs w:val="20"/>
          <w:highlight w:val="none"/>
        </w:rPr>
      </w:pPr>
      <w:r>
        <w:rPr>
          <w:color w:val="auto"/>
          <w:szCs w:val="20"/>
          <w:highlight w:val="none"/>
        </w:rPr>
        <w:t>4、如本项目采购内容涉及须符合国家强制规定的，我方承诺我方本次竞标均符合国家有关强制规定。</w:t>
      </w:r>
    </w:p>
    <w:p w14:paraId="3F49D4FE">
      <w:pPr>
        <w:pStyle w:val="18"/>
        <w:widowControl/>
        <w:spacing w:line="360" w:lineRule="auto"/>
        <w:ind w:firstLine="482"/>
        <w:rPr>
          <w:rFonts w:hint="default"/>
          <w:color w:val="auto"/>
          <w:szCs w:val="20"/>
          <w:highlight w:val="none"/>
        </w:rPr>
      </w:pPr>
      <w:r>
        <w:rPr>
          <w:color w:val="auto"/>
          <w:szCs w:val="20"/>
          <w:highlight w:val="none"/>
        </w:rPr>
        <w:t>5、如我方成交，我方承诺在收到成交通知书后，在成交通知书规定的期限内，</w:t>
      </w:r>
      <w:r>
        <w:rPr>
          <w:rFonts w:hAnsi="宋体"/>
          <w:color w:val="auto"/>
          <w:szCs w:val="20"/>
          <w:highlight w:val="none"/>
        </w:rPr>
        <w:t>根据竞争性磋商采购文件、我方的响应文件及有关澄清承诺书的要求按第六章“合同文本”与采购人订立书面合同，并按照合同约定</w:t>
      </w:r>
      <w:r>
        <w:rPr>
          <w:color w:val="auto"/>
          <w:szCs w:val="20"/>
          <w:highlight w:val="none"/>
        </w:rPr>
        <w:t>承担完成合同的责任和义务。</w:t>
      </w:r>
    </w:p>
    <w:p w14:paraId="499AFD3B">
      <w:pPr>
        <w:pStyle w:val="18"/>
        <w:widowControl/>
        <w:spacing w:line="360" w:lineRule="auto"/>
        <w:ind w:firstLine="482"/>
        <w:rPr>
          <w:rFonts w:hint="default"/>
          <w:color w:val="auto"/>
          <w:szCs w:val="20"/>
          <w:highlight w:val="none"/>
        </w:rPr>
      </w:pPr>
      <w:r>
        <w:rPr>
          <w:color w:val="auto"/>
          <w:szCs w:val="20"/>
          <w:highlight w:val="none"/>
        </w:rPr>
        <w:t>6、我方已详细审核竞争性磋商采购文件，我方知道必须放弃提出含糊不清或误解问题的权利。</w:t>
      </w:r>
    </w:p>
    <w:p w14:paraId="069FEDC7">
      <w:pPr>
        <w:pStyle w:val="18"/>
        <w:widowControl/>
        <w:spacing w:line="360" w:lineRule="auto"/>
        <w:ind w:firstLine="482"/>
        <w:rPr>
          <w:rFonts w:hint="default"/>
          <w:color w:val="auto"/>
          <w:szCs w:val="20"/>
          <w:highlight w:val="none"/>
        </w:rPr>
      </w:pPr>
      <w:r>
        <w:rPr>
          <w:color w:val="auto"/>
          <w:szCs w:val="20"/>
          <w:highlight w:val="none"/>
        </w:rPr>
        <w:t>7、我方承诺满足竞争性磋商采购文件</w:t>
      </w:r>
      <w:r>
        <w:rPr>
          <w:rFonts w:hAnsi="宋体"/>
          <w:color w:val="auto"/>
          <w:szCs w:val="20"/>
          <w:highlight w:val="none"/>
        </w:rPr>
        <w:t>第六章“合同文本”</w:t>
      </w:r>
      <w:r>
        <w:rPr>
          <w:color w:val="auto"/>
          <w:szCs w:val="20"/>
          <w:highlight w:val="none"/>
        </w:rPr>
        <w:t>的条款，承担完成合同的责任和义务。</w:t>
      </w:r>
    </w:p>
    <w:p w14:paraId="716F6C94">
      <w:pPr>
        <w:pStyle w:val="18"/>
        <w:widowControl/>
        <w:spacing w:line="360" w:lineRule="auto"/>
        <w:ind w:firstLine="482"/>
        <w:rPr>
          <w:rFonts w:hint="default"/>
          <w:color w:val="auto"/>
          <w:szCs w:val="20"/>
          <w:highlight w:val="none"/>
        </w:rPr>
      </w:pPr>
      <w:r>
        <w:rPr>
          <w:color w:val="auto"/>
          <w:szCs w:val="20"/>
          <w:highlight w:val="none"/>
        </w:rPr>
        <w:t>8、我方同意应贵方要求提供与本竞标有关的任何数据或资料。若贵方需要，我方愿意提供我方作出的一切承诺的证明材料。</w:t>
      </w:r>
    </w:p>
    <w:p w14:paraId="65968622">
      <w:pPr>
        <w:pStyle w:val="18"/>
        <w:widowControl/>
        <w:spacing w:line="360" w:lineRule="auto"/>
        <w:ind w:firstLine="482"/>
        <w:rPr>
          <w:rFonts w:hint="default"/>
          <w:color w:val="auto"/>
          <w:szCs w:val="20"/>
          <w:highlight w:val="none"/>
        </w:rPr>
      </w:pPr>
      <w:r>
        <w:rPr>
          <w:color w:val="auto"/>
          <w:szCs w:val="20"/>
          <w:highlight w:val="none"/>
        </w:rPr>
        <w:t>9、我方完全理解贵方不一定接受响应报价最低的竞标人为成交供应商的行为。</w:t>
      </w:r>
    </w:p>
    <w:p w14:paraId="44B3CDA1">
      <w:pPr>
        <w:pStyle w:val="18"/>
        <w:widowControl/>
        <w:spacing w:line="360" w:lineRule="auto"/>
        <w:ind w:firstLine="482"/>
        <w:rPr>
          <w:rFonts w:hint="default"/>
          <w:color w:val="auto"/>
          <w:szCs w:val="20"/>
          <w:highlight w:val="none"/>
        </w:rPr>
      </w:pPr>
      <w:r>
        <w:rPr>
          <w:color w:val="auto"/>
          <w:szCs w:val="20"/>
          <w:highlight w:val="none"/>
        </w:rPr>
        <w:t>10、我方将严格遵守《中华人民共和国政府采购法》第七十七条的规定，即供应商有下列情形之一的，处以采购金额千分之五以上千分之十</w:t>
      </w:r>
      <w:r>
        <w:rPr>
          <w:rFonts w:hAnsi="宋体"/>
          <w:color w:val="auto"/>
          <w:szCs w:val="20"/>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280C5A35">
      <w:pPr>
        <w:pStyle w:val="18"/>
        <w:widowControl/>
        <w:numPr>
          <w:ilvl w:val="0"/>
          <w:numId w:val="7"/>
        </w:numPr>
        <w:tabs>
          <w:tab w:val="left" w:pos="945"/>
        </w:tabs>
        <w:spacing w:line="360" w:lineRule="auto"/>
        <w:rPr>
          <w:rFonts w:hAnsi="宋体"/>
          <w:color w:val="auto"/>
          <w:szCs w:val="20"/>
          <w:highlight w:val="none"/>
        </w:rPr>
      </w:pPr>
      <w:r>
        <w:rPr>
          <w:rFonts w:hAnsi="宋体"/>
          <w:color w:val="auto"/>
          <w:szCs w:val="20"/>
          <w:highlight w:val="none"/>
        </w:rPr>
        <w:t>提供虚假材料谋取中标、成交的；</w:t>
      </w:r>
    </w:p>
    <w:p w14:paraId="75B64D4E">
      <w:pPr>
        <w:pStyle w:val="18"/>
        <w:widowControl/>
        <w:numPr>
          <w:ilvl w:val="0"/>
          <w:numId w:val="7"/>
        </w:numPr>
        <w:tabs>
          <w:tab w:val="left" w:pos="945"/>
        </w:tabs>
        <w:spacing w:line="360" w:lineRule="auto"/>
        <w:rPr>
          <w:rFonts w:hAnsi="宋体"/>
          <w:color w:val="auto"/>
          <w:szCs w:val="20"/>
          <w:highlight w:val="none"/>
        </w:rPr>
      </w:pPr>
      <w:r>
        <w:rPr>
          <w:rFonts w:hAnsi="宋体"/>
          <w:color w:val="auto"/>
          <w:szCs w:val="20"/>
          <w:highlight w:val="none"/>
        </w:rPr>
        <w:t>采取不正当手段诋毁、排挤其他供应商的；</w:t>
      </w:r>
    </w:p>
    <w:p w14:paraId="7AF7B3AD">
      <w:pPr>
        <w:pStyle w:val="18"/>
        <w:widowControl/>
        <w:numPr>
          <w:ilvl w:val="0"/>
          <w:numId w:val="7"/>
        </w:numPr>
        <w:tabs>
          <w:tab w:val="left" w:pos="945"/>
        </w:tabs>
        <w:spacing w:line="360" w:lineRule="auto"/>
        <w:rPr>
          <w:rFonts w:hint="default"/>
          <w:color w:val="auto"/>
          <w:szCs w:val="20"/>
          <w:highlight w:val="none"/>
        </w:rPr>
      </w:pPr>
      <w:r>
        <w:rPr>
          <w:rFonts w:hAnsi="宋体"/>
          <w:color w:val="auto"/>
          <w:szCs w:val="20"/>
          <w:highlight w:val="none"/>
        </w:rPr>
        <w:t>与采购人、其他供应商或者采购代理机构恶意串通的；</w:t>
      </w:r>
    </w:p>
    <w:p w14:paraId="5FD961B5">
      <w:pPr>
        <w:pStyle w:val="18"/>
        <w:widowControl/>
        <w:numPr>
          <w:ilvl w:val="0"/>
          <w:numId w:val="7"/>
        </w:numPr>
        <w:tabs>
          <w:tab w:val="left" w:pos="945"/>
        </w:tabs>
        <w:spacing w:line="360" w:lineRule="auto"/>
        <w:rPr>
          <w:rFonts w:hint="default"/>
          <w:color w:val="auto"/>
          <w:szCs w:val="20"/>
          <w:highlight w:val="none"/>
        </w:rPr>
      </w:pPr>
      <w:r>
        <w:rPr>
          <w:rFonts w:hAnsi="宋体"/>
          <w:color w:val="auto"/>
          <w:szCs w:val="20"/>
          <w:highlight w:val="none"/>
        </w:rPr>
        <w:t>向采购人、采购代理机构行贿或者提供其他不正当利益的；</w:t>
      </w:r>
    </w:p>
    <w:p w14:paraId="0057E7FA">
      <w:pPr>
        <w:pStyle w:val="18"/>
        <w:widowControl/>
        <w:numPr>
          <w:ilvl w:val="0"/>
          <w:numId w:val="7"/>
        </w:numPr>
        <w:tabs>
          <w:tab w:val="left" w:pos="945"/>
        </w:tabs>
        <w:spacing w:line="360" w:lineRule="auto"/>
        <w:rPr>
          <w:rFonts w:hint="default"/>
          <w:color w:val="auto"/>
          <w:szCs w:val="20"/>
          <w:highlight w:val="none"/>
        </w:rPr>
      </w:pPr>
      <w:r>
        <w:rPr>
          <w:rFonts w:hAnsi="宋体"/>
          <w:color w:val="auto"/>
          <w:szCs w:val="20"/>
          <w:highlight w:val="none"/>
        </w:rPr>
        <w:t>在采购过程中与采购人进行协商谈判的；</w:t>
      </w:r>
    </w:p>
    <w:p w14:paraId="1C72A935">
      <w:pPr>
        <w:pStyle w:val="18"/>
        <w:widowControl/>
        <w:numPr>
          <w:ilvl w:val="0"/>
          <w:numId w:val="7"/>
        </w:numPr>
        <w:tabs>
          <w:tab w:val="left" w:pos="945"/>
        </w:tabs>
        <w:spacing w:line="360" w:lineRule="auto"/>
        <w:rPr>
          <w:rFonts w:hint="default"/>
          <w:color w:val="auto"/>
          <w:szCs w:val="20"/>
          <w:highlight w:val="none"/>
        </w:rPr>
      </w:pPr>
      <w:r>
        <w:rPr>
          <w:rFonts w:hAnsi="宋体"/>
          <w:color w:val="auto"/>
          <w:szCs w:val="20"/>
          <w:highlight w:val="none"/>
        </w:rPr>
        <w:t>拒绝有关部门监督检查或提供虚假情况的。</w:t>
      </w:r>
    </w:p>
    <w:p w14:paraId="280EC85C">
      <w:pPr>
        <w:pStyle w:val="18"/>
        <w:widowControl/>
        <w:spacing w:line="360" w:lineRule="auto"/>
        <w:ind w:firstLine="420"/>
        <w:rPr>
          <w:rFonts w:hint="default"/>
          <w:color w:val="auto"/>
          <w:szCs w:val="20"/>
          <w:highlight w:val="none"/>
        </w:rPr>
      </w:pPr>
      <w:r>
        <w:rPr>
          <w:rFonts w:hAnsi="宋体" w:cs="宋体"/>
          <w:color w:val="auto"/>
          <w:szCs w:val="20"/>
          <w:highlight w:val="none"/>
        </w:rPr>
        <w:t>11.与本磋商有关的一切正式往来信函请寄</w:t>
      </w:r>
      <w:r>
        <w:rPr>
          <w:color w:val="auto"/>
          <w:szCs w:val="20"/>
          <w:highlight w:val="none"/>
        </w:rPr>
        <w:t>：</w:t>
      </w:r>
      <w:r>
        <w:rPr>
          <w:color w:val="auto"/>
          <w:szCs w:val="20"/>
          <w:highlight w:val="none"/>
          <w:u w:val="single"/>
        </w:rPr>
        <w:t xml:space="preserve"> </w:t>
      </w:r>
    </w:p>
    <w:p w14:paraId="3B0609C0">
      <w:pPr>
        <w:pStyle w:val="18"/>
        <w:widowControl/>
        <w:spacing w:line="360" w:lineRule="auto"/>
        <w:ind w:firstLine="420"/>
        <w:rPr>
          <w:rFonts w:hint="default"/>
          <w:color w:val="auto"/>
          <w:szCs w:val="20"/>
          <w:highlight w:val="none"/>
        </w:rPr>
      </w:pPr>
      <w:r>
        <w:rPr>
          <w:color w:val="auto"/>
          <w:szCs w:val="20"/>
          <w:highlight w:val="none"/>
        </w:rPr>
        <w:t>地址：</w:t>
      </w:r>
      <w:r>
        <w:rPr>
          <w:color w:val="auto"/>
          <w:szCs w:val="20"/>
          <w:highlight w:val="none"/>
          <w:u w:val="single"/>
        </w:rPr>
        <w:t xml:space="preserve">                                                        </w:t>
      </w:r>
      <w:r>
        <w:rPr>
          <w:color w:val="auto"/>
          <w:szCs w:val="20"/>
          <w:highlight w:val="none"/>
        </w:rPr>
        <w:t xml:space="preserve"> </w:t>
      </w:r>
    </w:p>
    <w:p w14:paraId="201D0DC6">
      <w:pPr>
        <w:pStyle w:val="18"/>
        <w:widowControl/>
        <w:spacing w:line="360" w:lineRule="auto"/>
        <w:ind w:firstLine="420"/>
        <w:rPr>
          <w:rFonts w:hint="default"/>
          <w:color w:val="auto"/>
          <w:szCs w:val="20"/>
          <w:highlight w:val="none"/>
          <w:u w:val="single"/>
        </w:rPr>
      </w:pPr>
      <w:r>
        <w:rPr>
          <w:color w:val="auto"/>
          <w:szCs w:val="20"/>
          <w:highlight w:val="none"/>
        </w:rPr>
        <w:t>电话：</w:t>
      </w:r>
      <w:r>
        <w:rPr>
          <w:color w:val="auto"/>
          <w:szCs w:val="20"/>
          <w:highlight w:val="none"/>
          <w:u w:val="single"/>
        </w:rPr>
        <w:t xml:space="preserve">                                      　　　　　　　　　</w:t>
      </w:r>
    </w:p>
    <w:p w14:paraId="341B3D40">
      <w:pPr>
        <w:pStyle w:val="18"/>
        <w:widowControl/>
        <w:spacing w:line="360" w:lineRule="auto"/>
        <w:ind w:firstLine="420"/>
        <w:rPr>
          <w:rFonts w:hint="default"/>
          <w:color w:val="auto"/>
          <w:szCs w:val="20"/>
          <w:highlight w:val="none"/>
        </w:rPr>
      </w:pPr>
      <w:r>
        <w:rPr>
          <w:color w:val="auto"/>
          <w:szCs w:val="20"/>
          <w:highlight w:val="none"/>
        </w:rPr>
        <w:t>传真：</w:t>
      </w:r>
      <w:r>
        <w:rPr>
          <w:color w:val="auto"/>
          <w:szCs w:val="20"/>
          <w:highlight w:val="none"/>
          <w:u w:val="single"/>
        </w:rPr>
        <w:t>　　　　　　　　　　　　　　　　　　　　　　　　　　　　</w:t>
      </w:r>
    </w:p>
    <w:p w14:paraId="71EF7BF5">
      <w:pPr>
        <w:pStyle w:val="18"/>
        <w:widowControl/>
        <w:spacing w:line="360" w:lineRule="auto"/>
        <w:ind w:firstLine="420"/>
        <w:rPr>
          <w:rFonts w:hint="default"/>
          <w:color w:val="auto"/>
          <w:szCs w:val="20"/>
          <w:highlight w:val="none"/>
          <w:u w:val="single"/>
        </w:rPr>
      </w:pPr>
      <w:r>
        <w:rPr>
          <w:color w:val="auto"/>
          <w:szCs w:val="20"/>
          <w:highlight w:val="none"/>
        </w:rPr>
        <w:t>邮政编码：</w:t>
      </w:r>
      <w:r>
        <w:rPr>
          <w:color w:val="auto"/>
          <w:szCs w:val="20"/>
          <w:highlight w:val="none"/>
          <w:u w:val="single"/>
        </w:rPr>
        <w:t xml:space="preserve">                                                    </w:t>
      </w:r>
    </w:p>
    <w:p w14:paraId="187FB4E5">
      <w:pPr>
        <w:pStyle w:val="18"/>
        <w:widowControl/>
        <w:spacing w:line="360" w:lineRule="auto"/>
        <w:ind w:firstLine="420"/>
        <w:rPr>
          <w:rFonts w:hint="default"/>
          <w:color w:val="auto"/>
          <w:szCs w:val="20"/>
          <w:highlight w:val="none"/>
          <w:u w:val="single"/>
        </w:rPr>
      </w:pPr>
      <w:r>
        <w:rPr>
          <w:color w:val="auto"/>
          <w:szCs w:val="20"/>
          <w:highlight w:val="none"/>
        </w:rPr>
        <w:t>开户名称：</w:t>
      </w:r>
      <w:r>
        <w:rPr>
          <w:color w:val="auto"/>
          <w:szCs w:val="20"/>
          <w:highlight w:val="none"/>
          <w:u w:val="single"/>
        </w:rPr>
        <w:t xml:space="preserve">                                                    </w:t>
      </w:r>
    </w:p>
    <w:p w14:paraId="3706DF89">
      <w:pPr>
        <w:pStyle w:val="18"/>
        <w:widowControl/>
        <w:spacing w:line="360" w:lineRule="auto"/>
        <w:ind w:firstLine="420"/>
        <w:rPr>
          <w:rFonts w:hint="default"/>
          <w:color w:val="auto"/>
          <w:szCs w:val="20"/>
          <w:highlight w:val="none"/>
          <w:u w:val="single"/>
        </w:rPr>
      </w:pPr>
      <w:r>
        <w:rPr>
          <w:color w:val="auto"/>
          <w:szCs w:val="20"/>
          <w:highlight w:val="none"/>
        </w:rPr>
        <w:t>开户银行：</w:t>
      </w:r>
      <w:r>
        <w:rPr>
          <w:color w:val="auto"/>
          <w:szCs w:val="20"/>
          <w:highlight w:val="none"/>
          <w:u w:val="single"/>
        </w:rPr>
        <w:t xml:space="preserve">                                                    </w:t>
      </w:r>
    </w:p>
    <w:p w14:paraId="2D770B33">
      <w:pPr>
        <w:pStyle w:val="18"/>
        <w:widowControl/>
        <w:spacing w:line="360" w:lineRule="auto"/>
        <w:ind w:firstLine="420"/>
        <w:rPr>
          <w:rFonts w:hint="default"/>
          <w:color w:val="auto"/>
          <w:szCs w:val="20"/>
          <w:highlight w:val="none"/>
          <w:u w:val="single"/>
        </w:rPr>
      </w:pPr>
      <w:r>
        <w:rPr>
          <w:color w:val="auto"/>
          <w:szCs w:val="20"/>
          <w:highlight w:val="none"/>
        </w:rPr>
        <w:t>银行账号：</w:t>
      </w:r>
      <w:r>
        <w:rPr>
          <w:color w:val="auto"/>
          <w:szCs w:val="20"/>
          <w:highlight w:val="none"/>
          <w:u w:val="single"/>
        </w:rPr>
        <w:t xml:space="preserve">                                                    </w:t>
      </w:r>
    </w:p>
    <w:p w14:paraId="74755D0A">
      <w:pPr>
        <w:pStyle w:val="16"/>
        <w:widowControl/>
        <w:tabs>
          <w:tab w:val="left" w:pos="939"/>
        </w:tabs>
        <w:spacing w:line="360" w:lineRule="auto"/>
        <w:ind w:left="141" w:leftChars="67" w:firstLine="300" w:firstLineChars="150"/>
        <w:rPr>
          <w:rFonts w:hint="eastAsia" w:ascii="宋体" w:hAnsi="宋体" w:cs="宋体"/>
          <w:color w:val="auto"/>
          <w:sz w:val="20"/>
          <w:szCs w:val="20"/>
          <w:highlight w:val="none"/>
        </w:rPr>
      </w:pPr>
      <w:r>
        <w:rPr>
          <w:rFonts w:hint="eastAsia" w:ascii="宋体" w:hAnsi="宋体" w:cs="宋体"/>
          <w:color w:val="auto"/>
          <w:sz w:val="20"/>
          <w:szCs w:val="20"/>
          <w:highlight w:val="none"/>
        </w:rPr>
        <w:t>特此承诺。</w:t>
      </w:r>
    </w:p>
    <w:p w14:paraId="4EE38054">
      <w:pPr>
        <w:spacing w:line="360" w:lineRule="auto"/>
        <w:jc w:val="left"/>
        <w:rPr>
          <w:rFonts w:hint="eastAsia" w:ascii="宋体" w:hAnsi="宋体" w:eastAsia="宋体" w:cs="宋体"/>
          <w:color w:val="auto"/>
          <w:szCs w:val="21"/>
          <w:highlight w:val="none"/>
        </w:rPr>
      </w:pPr>
    </w:p>
    <w:p w14:paraId="12D13609">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bidi="ar"/>
        </w:rPr>
        <w:t>供应商名称（电子签章）：</w:t>
      </w:r>
    </w:p>
    <w:p w14:paraId="0C2031A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bidi="ar"/>
        </w:rPr>
        <w:t>日期：  年  月   日</w:t>
      </w:r>
    </w:p>
    <w:p w14:paraId="768337A1">
      <w:pPr>
        <w:spacing w:line="360" w:lineRule="auto"/>
        <w:rPr>
          <w:rFonts w:hint="eastAsia" w:ascii="仿宋_GB2312" w:hAnsi="仿宋" w:eastAsia="仿宋_GB2312" w:cs="仿宋_GB2312"/>
          <w:color w:val="auto"/>
          <w:sz w:val="24"/>
          <w:highlight w:val="none"/>
          <w:lang w:val="zh-CN" w:bidi="ar"/>
        </w:rPr>
        <w:sectPr>
          <w:pgSz w:w="11910" w:h="16840"/>
          <w:pgMar w:top="1340" w:right="1500" w:bottom="280" w:left="1680" w:header="720" w:footer="720" w:gutter="0"/>
          <w:pgNumType w:fmt="decimal"/>
          <w:cols w:space="425" w:num="1"/>
          <w:docGrid w:type="lines" w:linePitch="312" w:charSpace="0"/>
        </w:sectPr>
      </w:pPr>
    </w:p>
    <w:p w14:paraId="7D2F3844">
      <w:pPr>
        <w:pStyle w:val="91"/>
        <w:keepNext w:val="0"/>
        <w:keepLines w:val="0"/>
        <w:pageBreakBefore w:val="0"/>
        <w:widowControl w:val="0"/>
        <w:kinsoku/>
        <w:wordWrap/>
        <w:overflowPunct/>
        <w:topLinePunct w:val="0"/>
        <w:autoSpaceDE/>
        <w:autoSpaceDN/>
        <w:bidi w:val="0"/>
        <w:adjustRightInd/>
        <w:snapToGrid/>
        <w:jc w:val="center"/>
        <w:textAlignment w:val="auto"/>
        <w:outlineLvl w:val="9"/>
        <w:rPr>
          <w:b/>
          <w:bCs/>
          <w:color w:val="auto"/>
          <w:highlight w:val="none"/>
        </w:rPr>
      </w:pPr>
      <w:r>
        <w:rPr>
          <w:rFonts w:hint="eastAsia" w:ascii="宋体" w:hAnsi="宋体" w:cs="宋体"/>
          <w:color w:val="auto"/>
          <w:sz w:val="36"/>
          <w:szCs w:val="36"/>
          <w:highlight w:val="none"/>
        </w:rPr>
        <w:t>二</w:t>
      </w:r>
      <w:r>
        <w:rPr>
          <w:rFonts w:hint="eastAsia" w:ascii="宋体" w:hAnsi="宋体" w:cs="宋体"/>
          <w:b/>
          <w:bCs/>
          <w:color w:val="auto"/>
          <w:sz w:val="32"/>
          <w:szCs w:val="32"/>
          <w:highlight w:val="none"/>
        </w:rPr>
        <w:t>、响应函附录</w:t>
      </w:r>
    </w:p>
    <w:p w14:paraId="2F967711">
      <w:pPr>
        <w:pStyle w:val="91"/>
        <w:jc w:val="center"/>
        <w:rPr>
          <w:color w:val="auto"/>
          <w:sz w:val="28"/>
          <w:szCs w:val="28"/>
          <w:highlight w:val="none"/>
        </w:rPr>
      </w:pPr>
    </w:p>
    <w:p w14:paraId="585D644B">
      <w:pPr>
        <w:ind w:firstLine="588" w:firstLineChars="245"/>
        <w:rPr>
          <w:color w:val="auto"/>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p>
    <w:tbl>
      <w:tblPr>
        <w:tblStyle w:val="3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20"/>
        <w:gridCol w:w="1730"/>
        <w:gridCol w:w="1615"/>
        <w:gridCol w:w="3215"/>
        <w:gridCol w:w="840"/>
      </w:tblGrid>
      <w:tr w14:paraId="5C2F2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0A6EE4A">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序号</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1183721E">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条款名称</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087FC3E8">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合同条款号</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015C1722">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约定内容</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37B7D31F">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备注</w:t>
            </w:r>
          </w:p>
        </w:tc>
      </w:tr>
      <w:tr w14:paraId="16A7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757"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1956254">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1</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27C04878">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项目经理</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681BD4FC">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1. 1.2.4</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205780EB">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姓名：</w:t>
            </w:r>
          </w:p>
          <w:p w14:paraId="5FE58C8D">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身份证号码：</w:t>
            </w:r>
          </w:p>
          <w:p w14:paraId="0C38AEF3">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职称：</w:t>
            </w:r>
          </w:p>
          <w:p w14:paraId="775B98E8">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eastAsia="zh-CN"/>
              </w:rPr>
              <w:t>注册执业资格：</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668B8AA">
            <w:pPr>
              <w:pStyle w:val="108"/>
              <w:spacing w:beforeLines="0" w:afterLines="0"/>
              <w:rPr>
                <w:rStyle w:val="32"/>
                <w:rFonts w:hint="eastAsia" w:ascii="宋体" w:hAnsi="宋体" w:eastAsia="宋体" w:cs="宋体"/>
                <w:color w:val="auto"/>
                <w:sz w:val="24"/>
                <w:szCs w:val="24"/>
                <w:highlight w:val="none"/>
              </w:rPr>
            </w:pPr>
          </w:p>
        </w:tc>
      </w:tr>
      <w:tr w14:paraId="1EA7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1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36B3B9CC">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2</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668A8141">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技术负责人</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6EDBD33C">
            <w:pPr>
              <w:pStyle w:val="110"/>
              <w:spacing w:beforeLines="0" w:afterLines="0" w:line="240" w:lineRule="auto"/>
              <w:ind w:firstLine="0"/>
              <w:jc w:val="center"/>
              <w:rPr>
                <w:rStyle w:val="32"/>
                <w:rFonts w:hint="eastAsia" w:ascii="宋体" w:hAnsi="宋体" w:eastAsia="宋体" w:cs="宋体"/>
                <w:color w:val="auto"/>
                <w:sz w:val="24"/>
                <w:szCs w:val="24"/>
                <w:highlight w:val="none"/>
                <w:lang w:val="en-US" w:eastAsia="en-US" w:bidi="en-US"/>
              </w:rPr>
            </w:pPr>
            <w:r>
              <w:rPr>
                <w:rStyle w:val="32"/>
                <w:rFonts w:hint="eastAsia" w:ascii="宋体" w:hAnsi="宋体" w:eastAsia="宋体" w:cs="宋体"/>
                <w:color w:val="auto"/>
                <w:sz w:val="24"/>
                <w:szCs w:val="24"/>
                <w:highlight w:val="none"/>
                <w:lang w:val="en-US" w:eastAsia="en-US" w:bidi="en-US"/>
              </w:rPr>
              <w:t>1. 1.2.4</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46972040">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姓名：</w:t>
            </w:r>
          </w:p>
          <w:p w14:paraId="3B246C6F">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身份证号码：</w:t>
            </w:r>
          </w:p>
          <w:p w14:paraId="5BE2CA88">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36C9F4F">
            <w:pPr>
              <w:pStyle w:val="108"/>
              <w:spacing w:beforeLines="0" w:afterLines="0"/>
              <w:rPr>
                <w:rStyle w:val="32"/>
                <w:rFonts w:hint="eastAsia" w:ascii="宋体" w:hAnsi="宋体" w:eastAsia="宋体" w:cs="宋体"/>
                <w:color w:val="auto"/>
                <w:sz w:val="24"/>
                <w:szCs w:val="24"/>
                <w:highlight w:val="none"/>
                <w:lang w:eastAsia="zh-CN"/>
              </w:rPr>
            </w:pPr>
          </w:p>
        </w:tc>
      </w:tr>
      <w:tr w14:paraId="2FFD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756"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6AD3F69">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3</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5311574B">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专职安全员</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3F5E2832">
            <w:pPr>
              <w:pStyle w:val="110"/>
              <w:spacing w:beforeLines="0" w:afterLines="0" w:line="240" w:lineRule="auto"/>
              <w:ind w:firstLine="0"/>
              <w:jc w:val="center"/>
              <w:rPr>
                <w:rStyle w:val="32"/>
                <w:rFonts w:hint="eastAsia" w:ascii="宋体" w:hAnsi="宋体" w:eastAsia="宋体" w:cs="宋体"/>
                <w:color w:val="auto"/>
                <w:sz w:val="24"/>
                <w:szCs w:val="24"/>
                <w:highlight w:val="none"/>
                <w:lang w:val="en-US" w:eastAsia="en-US" w:bidi="en-US"/>
              </w:rPr>
            </w:pPr>
            <w:r>
              <w:rPr>
                <w:rStyle w:val="32"/>
                <w:rFonts w:hint="eastAsia" w:ascii="宋体" w:hAnsi="宋体" w:eastAsia="宋体" w:cs="宋体"/>
                <w:color w:val="auto"/>
                <w:sz w:val="24"/>
                <w:szCs w:val="24"/>
                <w:highlight w:val="none"/>
                <w:lang w:val="en-US" w:eastAsia="en-US" w:bidi="en-US"/>
              </w:rPr>
              <w:t>1. 1.2.4</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48105E38">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姓名：</w:t>
            </w:r>
          </w:p>
          <w:p w14:paraId="6EAF3147">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身份证号码：</w:t>
            </w:r>
          </w:p>
          <w:p w14:paraId="6AA25813">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水行政主管部门颁发的安全生产考核合格证书号码：</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401C13F">
            <w:pPr>
              <w:pStyle w:val="108"/>
              <w:spacing w:beforeLines="0" w:afterLines="0"/>
              <w:rPr>
                <w:rStyle w:val="32"/>
                <w:rFonts w:hint="eastAsia" w:ascii="宋体" w:hAnsi="宋体" w:eastAsia="宋体" w:cs="宋体"/>
                <w:color w:val="auto"/>
                <w:sz w:val="24"/>
                <w:szCs w:val="24"/>
                <w:highlight w:val="none"/>
                <w:lang w:eastAsia="zh-CN"/>
              </w:rPr>
            </w:pPr>
          </w:p>
        </w:tc>
      </w:tr>
      <w:tr w14:paraId="12194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384"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389ADE2D">
            <w:pPr>
              <w:pStyle w:val="110"/>
              <w:spacing w:beforeLines="0" w:afterLines="0" w:line="240" w:lineRule="auto"/>
              <w:ind w:firstLine="0"/>
              <w:jc w:val="center"/>
              <w:rPr>
                <w:rStyle w:val="32"/>
                <w:rFonts w:hint="eastAsia" w:ascii="宋体" w:hAnsi="宋体" w:eastAsia="宋体" w:cs="宋体"/>
                <w:color w:val="auto"/>
                <w:sz w:val="24"/>
                <w:szCs w:val="24"/>
                <w:highlight w:val="none"/>
                <w:lang w:val="en-US" w:eastAsia="zh-CN"/>
              </w:rPr>
            </w:pPr>
            <w:r>
              <w:rPr>
                <w:rStyle w:val="32"/>
                <w:rFonts w:hint="eastAsia" w:ascii="宋体" w:hAnsi="宋体" w:eastAsia="宋体" w:cs="宋体"/>
                <w:color w:val="auto"/>
                <w:sz w:val="24"/>
                <w:szCs w:val="24"/>
                <w:highlight w:val="none"/>
                <w:lang w:val="en-US" w:eastAsia="zh-CN"/>
              </w:rPr>
              <w:t>4</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044C93D8">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质量管理员</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2947F01A">
            <w:pPr>
              <w:pStyle w:val="110"/>
              <w:spacing w:beforeLines="0" w:afterLines="0" w:line="240" w:lineRule="auto"/>
              <w:ind w:firstLine="0"/>
              <w:jc w:val="center"/>
              <w:rPr>
                <w:rStyle w:val="32"/>
                <w:rFonts w:hint="eastAsia" w:ascii="宋体" w:hAnsi="宋体" w:eastAsia="宋体" w:cs="宋体"/>
                <w:color w:val="auto"/>
                <w:sz w:val="24"/>
                <w:szCs w:val="24"/>
                <w:highlight w:val="none"/>
                <w:lang w:val="en-US" w:eastAsia="en-US" w:bidi="en-US"/>
              </w:rPr>
            </w:pPr>
            <w:r>
              <w:rPr>
                <w:rStyle w:val="32"/>
                <w:rFonts w:hint="eastAsia" w:ascii="宋体" w:hAnsi="宋体" w:eastAsia="宋体" w:cs="宋体"/>
                <w:color w:val="auto"/>
                <w:sz w:val="24"/>
                <w:szCs w:val="24"/>
                <w:highlight w:val="none"/>
                <w:lang w:val="en-US" w:eastAsia="en-US" w:bidi="en-US"/>
              </w:rPr>
              <w:t>1. 1.2.4</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1772EB4F">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姓名：</w:t>
            </w:r>
          </w:p>
          <w:p w14:paraId="2A8620C2">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身份证号码：</w:t>
            </w:r>
          </w:p>
          <w:p w14:paraId="249FF817">
            <w:pPr>
              <w:pStyle w:val="108"/>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93BC8A8">
            <w:pPr>
              <w:pStyle w:val="108"/>
              <w:spacing w:beforeLines="0" w:afterLines="0"/>
              <w:rPr>
                <w:rStyle w:val="32"/>
                <w:rFonts w:hint="eastAsia" w:ascii="宋体" w:hAnsi="宋体" w:eastAsia="宋体" w:cs="宋体"/>
                <w:color w:val="auto"/>
                <w:sz w:val="24"/>
                <w:szCs w:val="24"/>
                <w:highlight w:val="none"/>
                <w:lang w:eastAsia="zh-CN"/>
              </w:rPr>
            </w:pPr>
          </w:p>
        </w:tc>
      </w:tr>
      <w:tr w14:paraId="52775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875D1C3">
            <w:pPr>
              <w:pStyle w:val="110"/>
              <w:spacing w:beforeLines="0" w:afterLines="0" w:line="240" w:lineRule="auto"/>
              <w:ind w:firstLine="0"/>
              <w:jc w:val="center"/>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val="en-US" w:eastAsia="zh-CN"/>
              </w:rPr>
              <w:t>5</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4CB0BD1D">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工期</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77267222">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1. 1.4.3</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31A6BEF6">
            <w:pPr>
              <w:pStyle w:val="110"/>
              <w:tabs>
                <w:tab w:val="left" w:leader="underscore" w:pos="1212"/>
              </w:tabs>
              <w:spacing w:beforeLines="0" w:afterLines="0" w:line="240" w:lineRule="auto"/>
              <w:ind w:firstLine="0"/>
              <w:rPr>
                <w:rStyle w:val="32"/>
                <w:rFonts w:hint="eastAsia" w:ascii="宋体" w:hAnsi="宋体" w:eastAsia="宋体" w:cs="宋体"/>
                <w:color w:val="auto"/>
                <w:sz w:val="24"/>
                <w:szCs w:val="24"/>
                <w:highlight w:val="none"/>
              </w:rPr>
            </w:pP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7042799">
            <w:pPr>
              <w:pStyle w:val="108"/>
              <w:spacing w:beforeLines="0" w:afterLines="0"/>
              <w:rPr>
                <w:rStyle w:val="32"/>
                <w:rFonts w:hint="eastAsia" w:ascii="宋体" w:hAnsi="宋体" w:eastAsia="宋体" w:cs="宋体"/>
                <w:color w:val="auto"/>
                <w:sz w:val="24"/>
                <w:szCs w:val="24"/>
                <w:highlight w:val="none"/>
              </w:rPr>
            </w:pPr>
          </w:p>
        </w:tc>
      </w:tr>
      <w:tr w14:paraId="6D100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4ED562BE">
            <w:pPr>
              <w:pStyle w:val="110"/>
              <w:spacing w:beforeLines="0" w:afterLines="0" w:line="240" w:lineRule="auto"/>
              <w:ind w:firstLine="0"/>
              <w:jc w:val="center"/>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val="en-US" w:eastAsia="zh-CN"/>
              </w:rPr>
              <w:t>6</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00A71FA1">
            <w:pPr>
              <w:pStyle w:val="110"/>
              <w:spacing w:beforeLines="0" w:afterLines="0" w:line="271" w:lineRule="exact"/>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工程质量保修期</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20947337">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1. 1.4.5</w:t>
            </w:r>
          </w:p>
        </w:tc>
        <w:tc>
          <w:tcPr>
            <w:tcW w:w="3215" w:type="dxa"/>
            <w:tcBorders>
              <w:top w:val="single" w:color="auto" w:sz="4" w:space="0"/>
              <w:left w:val="single" w:color="auto" w:sz="4" w:space="0"/>
              <w:bottom w:val="nil"/>
              <w:right w:val="nil"/>
              <w:tl2br w:val="nil"/>
              <w:tr2bl w:val="nil"/>
            </w:tcBorders>
            <w:shd w:val="clear" w:color="auto" w:fill="FFFFFF"/>
            <w:noWrap w:val="0"/>
            <w:vAlign w:val="top"/>
          </w:tcPr>
          <w:p w14:paraId="019750A0">
            <w:pPr>
              <w:pStyle w:val="108"/>
              <w:spacing w:beforeLines="0" w:afterLines="0"/>
              <w:rPr>
                <w:rStyle w:val="32"/>
                <w:rFonts w:hint="eastAsia" w:ascii="宋体" w:hAnsi="宋体" w:eastAsia="宋体" w:cs="宋体"/>
                <w:color w:val="auto"/>
                <w:sz w:val="24"/>
                <w:szCs w:val="24"/>
                <w:highlight w:val="none"/>
              </w:rPr>
            </w:pP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825E954">
            <w:pPr>
              <w:pStyle w:val="108"/>
              <w:spacing w:beforeLines="0" w:afterLines="0"/>
              <w:rPr>
                <w:rStyle w:val="32"/>
                <w:rFonts w:hint="eastAsia" w:ascii="宋体" w:hAnsi="宋体" w:eastAsia="宋体" w:cs="宋体"/>
                <w:color w:val="auto"/>
                <w:sz w:val="24"/>
                <w:szCs w:val="24"/>
                <w:highlight w:val="none"/>
              </w:rPr>
            </w:pPr>
          </w:p>
        </w:tc>
      </w:tr>
      <w:tr w14:paraId="3A1E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3"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F3A137D">
            <w:pPr>
              <w:pStyle w:val="110"/>
              <w:spacing w:beforeLines="0" w:afterLines="0" w:line="240" w:lineRule="auto"/>
              <w:ind w:firstLine="0"/>
              <w:jc w:val="center"/>
              <w:rPr>
                <w:rStyle w:val="32"/>
                <w:rFonts w:hint="eastAsia" w:ascii="宋体" w:hAnsi="宋体" w:eastAsia="宋体" w:cs="宋体"/>
                <w:color w:val="auto"/>
                <w:sz w:val="24"/>
                <w:szCs w:val="24"/>
                <w:highlight w:val="none"/>
                <w:lang w:val="en-US" w:eastAsia="zh-CN"/>
              </w:rPr>
            </w:pPr>
            <w:r>
              <w:rPr>
                <w:rStyle w:val="32"/>
                <w:rFonts w:hint="eastAsia" w:ascii="宋体" w:hAnsi="宋体" w:eastAsia="宋体" w:cs="宋体"/>
                <w:color w:val="auto"/>
                <w:sz w:val="24"/>
                <w:szCs w:val="24"/>
                <w:highlight w:val="none"/>
                <w:lang w:val="en-US" w:eastAsia="zh-CN"/>
              </w:rPr>
              <w:t>7</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4EC0CFFD">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分包</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2611A16D">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4.3</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038FE465">
            <w:pPr>
              <w:pStyle w:val="108"/>
              <w:spacing w:beforeLines="0" w:afterLines="0"/>
              <w:jc w:val="both"/>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□不允许；</w:t>
            </w:r>
          </w:p>
          <w:p w14:paraId="5C9D8DF9">
            <w:pPr>
              <w:pStyle w:val="108"/>
              <w:spacing w:beforeLines="0" w:afterLines="0"/>
              <w:jc w:val="both"/>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□允许，分包工程项目：</w:t>
            </w:r>
          </w:p>
          <w:p w14:paraId="6301D2E0">
            <w:pPr>
              <w:pStyle w:val="108"/>
              <w:spacing w:beforeLines="0" w:afterLines="0"/>
              <w:ind w:firstLine="960" w:firstLineChars="400"/>
              <w:jc w:val="both"/>
              <w:rPr>
                <w:rStyle w:val="32"/>
                <w:rFonts w:hint="eastAsia" w:ascii="宋体" w:hAnsi="宋体" w:eastAsia="宋体" w:cs="宋体"/>
                <w:color w:val="auto"/>
                <w:sz w:val="24"/>
                <w:szCs w:val="24"/>
                <w:highlight w:val="none"/>
                <w:lang w:eastAsia="zh-CN"/>
              </w:rPr>
            </w:pPr>
            <w:r>
              <w:rPr>
                <w:rStyle w:val="32"/>
                <w:rFonts w:hint="eastAsia" w:ascii="宋体" w:hAnsi="宋体" w:eastAsia="宋体" w:cs="宋体"/>
                <w:color w:val="auto"/>
                <w:sz w:val="24"/>
                <w:szCs w:val="24"/>
                <w:highlight w:val="none"/>
                <w:lang w:eastAsia="zh-CN"/>
              </w:rPr>
              <w:t>分包金额限额：</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1314112">
            <w:pPr>
              <w:pStyle w:val="108"/>
              <w:spacing w:beforeLines="0" w:afterLines="0"/>
              <w:rPr>
                <w:rStyle w:val="32"/>
                <w:rFonts w:hint="eastAsia" w:ascii="宋体" w:hAnsi="宋体" w:eastAsia="宋体" w:cs="宋体"/>
                <w:color w:val="auto"/>
                <w:sz w:val="24"/>
                <w:szCs w:val="24"/>
                <w:highlight w:val="none"/>
              </w:rPr>
            </w:pPr>
          </w:p>
        </w:tc>
      </w:tr>
      <w:tr w14:paraId="4489C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27872E56">
            <w:pPr>
              <w:pStyle w:val="110"/>
              <w:spacing w:beforeLines="0" w:afterLines="0" w:line="240" w:lineRule="auto"/>
              <w:ind w:firstLine="0"/>
              <w:jc w:val="center"/>
              <w:rPr>
                <w:rStyle w:val="32"/>
                <w:rFonts w:hint="eastAsia" w:ascii="宋体" w:hAnsi="宋体" w:eastAsia="宋体" w:cs="宋体"/>
                <w:color w:val="auto"/>
                <w:sz w:val="24"/>
                <w:szCs w:val="24"/>
                <w:highlight w:val="none"/>
                <w:lang w:val="en-US" w:eastAsia="zh-CN"/>
              </w:rPr>
            </w:pPr>
            <w:r>
              <w:rPr>
                <w:rStyle w:val="32"/>
                <w:rFonts w:hint="eastAsia" w:ascii="宋体" w:hAnsi="宋体" w:eastAsia="宋体" w:cs="宋体"/>
                <w:color w:val="auto"/>
                <w:sz w:val="24"/>
                <w:szCs w:val="24"/>
                <w:highlight w:val="none"/>
                <w:lang w:val="en-US" w:eastAsia="zh-CN"/>
              </w:rPr>
              <w:t>8</w:t>
            </w: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727EA37C">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价格调整的差额计算</w:t>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3A64719A">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 xml:space="preserve">16. 1. </w:t>
            </w:r>
            <w:r>
              <w:rPr>
                <w:rStyle w:val="32"/>
                <w:rFonts w:hint="eastAsia" w:ascii="宋体" w:hAnsi="宋体" w:eastAsia="宋体" w:cs="宋体"/>
                <w:color w:val="auto"/>
                <w:sz w:val="24"/>
                <w:szCs w:val="24"/>
                <w:highlight w:val="none"/>
              </w:rPr>
              <w:t>1</w:t>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0327EC09">
            <w:pPr>
              <w:pStyle w:val="110"/>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rPr>
              <w:t>见价格指数权重表</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F58F4D9">
            <w:pPr>
              <w:pStyle w:val="108"/>
              <w:spacing w:beforeLines="0" w:afterLines="0"/>
              <w:rPr>
                <w:rStyle w:val="32"/>
                <w:rFonts w:hint="eastAsia" w:ascii="宋体" w:hAnsi="宋体" w:eastAsia="宋体" w:cs="宋体"/>
                <w:color w:val="auto"/>
                <w:sz w:val="24"/>
                <w:szCs w:val="24"/>
                <w:highlight w:val="none"/>
              </w:rPr>
            </w:pPr>
          </w:p>
        </w:tc>
      </w:tr>
      <w:tr w14:paraId="00972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top"/>
          </w:tcPr>
          <w:p w14:paraId="181C1AFA">
            <w:pPr>
              <w:pStyle w:val="108"/>
              <w:spacing w:beforeLines="0" w:afterLines="0"/>
              <w:rPr>
                <w:rStyle w:val="32"/>
                <w:rFonts w:hint="eastAsia" w:ascii="宋体" w:hAnsi="宋体" w:eastAsia="宋体" w:cs="宋体"/>
                <w:color w:val="auto"/>
                <w:sz w:val="24"/>
                <w:szCs w:val="24"/>
                <w:highlight w:val="none"/>
              </w:rPr>
            </w:pPr>
          </w:p>
        </w:tc>
        <w:tc>
          <w:tcPr>
            <w:tcW w:w="1730" w:type="dxa"/>
            <w:tcBorders>
              <w:top w:val="single" w:color="auto" w:sz="4" w:space="0"/>
              <w:left w:val="single" w:color="auto" w:sz="4" w:space="0"/>
              <w:bottom w:val="nil"/>
              <w:right w:val="nil"/>
              <w:tl2br w:val="nil"/>
              <w:tr2bl w:val="nil"/>
            </w:tcBorders>
            <w:shd w:val="clear" w:color="auto" w:fill="FFFFFF"/>
            <w:noWrap w:val="0"/>
            <w:vAlign w:val="center"/>
          </w:tcPr>
          <w:p w14:paraId="19DC850D">
            <w:pPr>
              <w:pStyle w:val="110"/>
              <w:tabs>
                <w:tab w:val="left" w:leader="dot" w:pos="324"/>
              </w:tabs>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ab/>
            </w:r>
          </w:p>
        </w:tc>
        <w:tc>
          <w:tcPr>
            <w:tcW w:w="1615" w:type="dxa"/>
            <w:tcBorders>
              <w:top w:val="single" w:color="auto" w:sz="4" w:space="0"/>
              <w:left w:val="single" w:color="auto" w:sz="4" w:space="0"/>
              <w:bottom w:val="nil"/>
              <w:right w:val="nil"/>
              <w:tl2br w:val="nil"/>
              <w:tr2bl w:val="nil"/>
            </w:tcBorders>
            <w:shd w:val="clear" w:color="auto" w:fill="FFFFFF"/>
            <w:noWrap w:val="0"/>
            <w:vAlign w:val="center"/>
          </w:tcPr>
          <w:p w14:paraId="7703A6F4">
            <w:pPr>
              <w:pStyle w:val="110"/>
              <w:tabs>
                <w:tab w:val="left" w:leader="dot" w:pos="324"/>
              </w:tabs>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ab/>
            </w:r>
          </w:p>
        </w:tc>
        <w:tc>
          <w:tcPr>
            <w:tcW w:w="3215" w:type="dxa"/>
            <w:tcBorders>
              <w:top w:val="single" w:color="auto" w:sz="4" w:space="0"/>
              <w:left w:val="single" w:color="auto" w:sz="4" w:space="0"/>
              <w:bottom w:val="nil"/>
              <w:right w:val="nil"/>
              <w:tl2br w:val="nil"/>
              <w:tr2bl w:val="nil"/>
            </w:tcBorders>
            <w:shd w:val="clear" w:color="auto" w:fill="FFFFFF"/>
            <w:noWrap w:val="0"/>
            <w:vAlign w:val="center"/>
          </w:tcPr>
          <w:p w14:paraId="6EA8CF76">
            <w:pPr>
              <w:pStyle w:val="110"/>
              <w:tabs>
                <w:tab w:val="left" w:leader="dot" w:pos="324"/>
              </w:tabs>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ab/>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DBA6B61">
            <w:pPr>
              <w:pStyle w:val="108"/>
              <w:spacing w:beforeLines="0" w:afterLines="0"/>
              <w:rPr>
                <w:rStyle w:val="32"/>
                <w:rFonts w:hint="eastAsia" w:ascii="宋体" w:hAnsi="宋体" w:eastAsia="宋体" w:cs="宋体"/>
                <w:color w:val="auto"/>
                <w:sz w:val="24"/>
                <w:szCs w:val="24"/>
                <w:highlight w:val="none"/>
              </w:rPr>
            </w:pPr>
          </w:p>
        </w:tc>
      </w:tr>
      <w:tr w14:paraId="2822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115D582">
            <w:pPr>
              <w:pStyle w:val="108"/>
              <w:spacing w:beforeLines="0" w:afterLines="0"/>
              <w:rPr>
                <w:rStyle w:val="32"/>
                <w:rFonts w:hint="eastAsia" w:ascii="宋体" w:hAnsi="宋体" w:eastAsia="宋体" w:cs="宋体"/>
                <w:color w:val="auto"/>
                <w:sz w:val="24"/>
                <w:szCs w:val="24"/>
                <w:highlight w:val="none"/>
              </w:rPr>
            </w:pPr>
          </w:p>
        </w:tc>
        <w:tc>
          <w:tcPr>
            <w:tcW w:w="1730"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0E6C4A2">
            <w:pPr>
              <w:pStyle w:val="110"/>
              <w:tabs>
                <w:tab w:val="left" w:leader="dot" w:pos="324"/>
              </w:tabs>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ab/>
            </w:r>
          </w:p>
        </w:tc>
        <w:tc>
          <w:tcPr>
            <w:tcW w:w="161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68BF5F45">
            <w:pPr>
              <w:pStyle w:val="110"/>
              <w:tabs>
                <w:tab w:val="left" w:leader="dot" w:pos="324"/>
              </w:tabs>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ab/>
            </w:r>
          </w:p>
        </w:tc>
        <w:tc>
          <w:tcPr>
            <w:tcW w:w="321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BB71D46">
            <w:pPr>
              <w:pStyle w:val="110"/>
              <w:tabs>
                <w:tab w:val="left" w:leader="dot" w:pos="324"/>
              </w:tabs>
              <w:spacing w:beforeLines="0" w:afterLines="0" w:line="240" w:lineRule="auto"/>
              <w:ind w:firstLine="0"/>
              <w:jc w:val="center"/>
              <w:rPr>
                <w:rStyle w:val="32"/>
                <w:rFonts w:hint="eastAsia" w:ascii="宋体" w:hAnsi="宋体" w:eastAsia="宋体" w:cs="宋体"/>
                <w:color w:val="auto"/>
                <w:sz w:val="24"/>
                <w:szCs w:val="24"/>
                <w:highlight w:val="none"/>
              </w:rPr>
            </w:pPr>
            <w:r>
              <w:rPr>
                <w:rStyle w:val="32"/>
                <w:rFonts w:hint="eastAsia" w:ascii="宋体" w:hAnsi="宋体" w:eastAsia="宋体" w:cs="宋体"/>
                <w:color w:val="auto"/>
                <w:sz w:val="24"/>
                <w:szCs w:val="24"/>
                <w:highlight w:val="none"/>
                <w:lang w:val="en-US" w:eastAsia="en-US" w:bidi="en-US"/>
              </w:rPr>
              <w:tab/>
            </w:r>
          </w:p>
        </w:tc>
        <w:tc>
          <w:tcPr>
            <w:tcW w:w="84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3F75EC2C">
            <w:pPr>
              <w:pStyle w:val="108"/>
              <w:spacing w:beforeLines="0" w:afterLines="0"/>
              <w:rPr>
                <w:rStyle w:val="32"/>
                <w:rFonts w:hint="eastAsia" w:ascii="宋体" w:hAnsi="宋体" w:eastAsia="宋体" w:cs="宋体"/>
                <w:color w:val="auto"/>
                <w:sz w:val="24"/>
                <w:szCs w:val="24"/>
                <w:highlight w:val="none"/>
              </w:rPr>
            </w:pPr>
          </w:p>
        </w:tc>
      </w:tr>
    </w:tbl>
    <w:p w14:paraId="7E9D44EF">
      <w:pPr>
        <w:spacing w:line="480" w:lineRule="exact"/>
        <w:ind w:left="3360" w:leftChars="1600" w:firstLine="420" w:firstLineChars="200"/>
        <w:rPr>
          <w:rFonts w:hint="eastAsia" w:cs="宋体"/>
          <w:color w:val="auto"/>
          <w:highlight w:val="none"/>
        </w:rPr>
      </w:pPr>
    </w:p>
    <w:p w14:paraId="730CEB2F">
      <w:pPr>
        <w:spacing w:line="480" w:lineRule="exact"/>
        <w:ind w:left="3360" w:leftChars="1600" w:firstLine="420" w:firstLineChars="200"/>
        <w:rPr>
          <w:color w:val="auto"/>
          <w:highlight w:val="none"/>
        </w:rPr>
      </w:pPr>
      <w:r>
        <w:rPr>
          <w:rFonts w:hint="eastAsia" w:cs="宋体"/>
          <w:color w:val="auto"/>
          <w:highlight w:val="none"/>
        </w:rPr>
        <w:t>供应商名称（盖法人单位电子印章）：</w:t>
      </w:r>
    </w:p>
    <w:p w14:paraId="7E8E18B2">
      <w:pPr>
        <w:spacing w:line="480" w:lineRule="exact"/>
        <w:ind w:left="3360" w:leftChars="1600" w:firstLine="420" w:firstLineChars="200"/>
        <w:rPr>
          <w:color w:val="auto"/>
          <w:highlight w:val="none"/>
        </w:rPr>
      </w:pPr>
      <w:r>
        <w:rPr>
          <w:rFonts w:hint="eastAsia" w:cs="宋体"/>
          <w:color w:val="auto"/>
          <w:highlight w:val="none"/>
        </w:rPr>
        <w:t>日期：</w:t>
      </w:r>
      <w:r>
        <w:rPr>
          <w:color w:val="auto"/>
          <w:highlight w:val="none"/>
          <w:u w:val="single"/>
        </w:rPr>
        <w:t xml:space="preserve">              </w:t>
      </w:r>
      <w:r>
        <w:rPr>
          <w:rFonts w:hint="eastAsia" w:cs="宋体"/>
          <w:color w:val="auto"/>
          <w:highlight w:val="none"/>
        </w:rPr>
        <w:t>年</w:t>
      </w:r>
      <w:r>
        <w:rPr>
          <w:color w:val="auto"/>
          <w:highlight w:val="none"/>
          <w:u w:val="single"/>
        </w:rPr>
        <w:t xml:space="preserve">      </w:t>
      </w:r>
      <w:r>
        <w:rPr>
          <w:rFonts w:hint="eastAsia" w:cs="宋体"/>
          <w:color w:val="auto"/>
          <w:highlight w:val="none"/>
        </w:rPr>
        <w:t>月</w:t>
      </w:r>
      <w:r>
        <w:rPr>
          <w:color w:val="auto"/>
          <w:highlight w:val="none"/>
          <w:u w:val="single"/>
        </w:rPr>
        <w:t xml:space="preserve">      </w:t>
      </w:r>
      <w:r>
        <w:rPr>
          <w:rFonts w:hint="eastAsia" w:cs="宋体"/>
          <w:color w:val="auto"/>
          <w:highlight w:val="none"/>
        </w:rPr>
        <w:t>日</w:t>
      </w:r>
    </w:p>
    <w:p w14:paraId="0AA3DF68">
      <w:pPr>
        <w:pStyle w:val="3"/>
        <w:widowControl/>
        <w:jc w:val="center"/>
        <w:rPr>
          <w:rFonts w:hint="eastAsia" w:ascii="宋体" w:hAnsi="宋体" w:eastAsia="宋体" w:cs="宋体"/>
          <w:color w:val="auto"/>
          <w:highlight w:val="none"/>
        </w:rPr>
        <w:sectPr>
          <w:pgSz w:w="11906" w:h="16838"/>
          <w:pgMar w:top="1135" w:right="1135" w:bottom="1135" w:left="1135" w:header="720" w:footer="720" w:gutter="0"/>
          <w:pgNumType w:fmt="decimal"/>
          <w:cols w:space="425" w:num="1"/>
          <w:docGrid w:type="lines" w:linePitch="331" w:charSpace="0"/>
        </w:sectPr>
      </w:pPr>
      <w:bookmarkStart w:id="87" w:name="_Toc35611516"/>
      <w:bookmarkEnd w:id="87"/>
      <w:bookmarkStart w:id="88" w:name="_Toc35611438"/>
      <w:bookmarkEnd w:id="88"/>
      <w:bookmarkStart w:id="89" w:name="_Toc31728084"/>
      <w:bookmarkEnd w:id="89"/>
      <w:bookmarkStart w:id="90" w:name="_Toc31723070"/>
      <w:bookmarkEnd w:id="90"/>
      <w:bookmarkStart w:id="91" w:name="_Toc44229899"/>
      <w:bookmarkEnd w:id="91"/>
      <w:bookmarkStart w:id="92" w:name="_Toc80205942"/>
    </w:p>
    <w:p w14:paraId="7D2D438B">
      <w:pPr>
        <w:spacing w:line="520" w:lineRule="exact"/>
        <w:rPr>
          <w:rFonts w:hint="eastAsia" w:ascii="宋体" w:hAnsi="宋体" w:cs="宋体"/>
          <w:b/>
          <w:bCs/>
          <w:color w:val="auto"/>
          <w:sz w:val="32"/>
          <w:szCs w:val="32"/>
          <w:highlight w:val="none"/>
        </w:rPr>
      </w:pPr>
      <w:r>
        <w:rPr>
          <w:rFonts w:hint="eastAsia" w:ascii="宋体" w:hAnsi="宋体" w:cs="宋体"/>
          <w:b/>
          <w:bCs/>
          <w:color w:val="auto"/>
          <w:sz w:val="36"/>
          <w:szCs w:val="36"/>
          <w:highlight w:val="none"/>
        </w:rPr>
        <w:t>三、</w:t>
      </w:r>
      <w:r>
        <w:rPr>
          <w:rFonts w:hint="eastAsia" w:ascii="宋体" w:hAnsi="宋体" w:cs="宋体"/>
          <w:b/>
          <w:bCs/>
          <w:color w:val="auto"/>
          <w:sz w:val="32"/>
          <w:szCs w:val="32"/>
          <w:highlight w:val="none"/>
        </w:rPr>
        <w:t>响应报价表</w:t>
      </w:r>
    </w:p>
    <w:p w14:paraId="4F972C44">
      <w:pPr>
        <w:snapToGrid w:val="0"/>
        <w:spacing w:before="50" w:after="50" w:line="360" w:lineRule="auto"/>
        <w:jc w:val="center"/>
        <w:rPr>
          <w:rFonts w:hint="eastAsia" w:ascii="宋体" w:hAnsi="宋体" w:cs="宋体"/>
          <w:color w:val="auto"/>
          <w:sz w:val="30"/>
          <w:szCs w:val="30"/>
          <w:highlight w:val="none"/>
        </w:rPr>
      </w:pPr>
      <w:r>
        <w:rPr>
          <w:rFonts w:hint="eastAsia" w:ascii="宋体" w:hAnsi="宋体" w:cs="宋体"/>
          <w:b/>
          <w:bCs/>
          <w:color w:val="auto"/>
          <w:sz w:val="30"/>
          <w:szCs w:val="30"/>
          <w:highlight w:val="none"/>
        </w:rPr>
        <w:t>响应报价表</w:t>
      </w:r>
    </w:p>
    <w:p w14:paraId="4B569A58">
      <w:pPr>
        <w:snapToGrid w:val="0"/>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91520BC">
      <w:pPr>
        <w:snapToGrid w:val="0"/>
        <w:spacing w:before="50" w:after="50" w:line="360"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分标号：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23"/>
        <w:gridCol w:w="1680"/>
        <w:gridCol w:w="1995"/>
        <w:gridCol w:w="2193"/>
      </w:tblGrid>
      <w:tr w14:paraId="67D4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94FB8">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0A7EB7">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工程名称</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2137A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33D2C8">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总价（元）</w:t>
            </w: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3D7606">
            <w:pPr>
              <w:jc w:val="center"/>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u w:val="none" w:color="000000"/>
              </w:rPr>
              <w:t>其中：安全生产费（元）</w:t>
            </w:r>
          </w:p>
        </w:tc>
      </w:tr>
      <w:tr w14:paraId="40CB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8A56EE">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EC047">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2389E8">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52AC26">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619965">
            <w:pPr>
              <w:jc w:val="center"/>
              <w:rPr>
                <w:rFonts w:hint="default" w:ascii="宋体" w:hAnsi="宋体" w:eastAsia="宋体" w:cs="宋体"/>
                <w:color w:val="auto"/>
                <w:sz w:val="24"/>
                <w:szCs w:val="24"/>
                <w:highlight w:val="none"/>
              </w:rPr>
            </w:pPr>
          </w:p>
        </w:tc>
      </w:tr>
      <w:tr w14:paraId="4AD3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5A2620">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CADC58">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054AB">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996998">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A450BA">
            <w:pPr>
              <w:jc w:val="center"/>
              <w:rPr>
                <w:rFonts w:hint="default" w:ascii="宋体" w:hAnsi="宋体" w:eastAsia="宋体" w:cs="宋体"/>
                <w:color w:val="auto"/>
                <w:sz w:val="24"/>
                <w:szCs w:val="24"/>
                <w:highlight w:val="none"/>
              </w:rPr>
            </w:pPr>
          </w:p>
        </w:tc>
      </w:tr>
      <w:tr w14:paraId="18C9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3077B97B">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报价合计（包含税费等所有费用）：（大写）人民币             （¥        元）</w:t>
            </w:r>
          </w:p>
        </w:tc>
      </w:tr>
      <w:tr w14:paraId="5D6B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E1D0AE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工期：</w:t>
            </w:r>
          </w:p>
        </w:tc>
      </w:tr>
      <w:tr w14:paraId="525E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6F27B49">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验收标准、规范：</w:t>
            </w:r>
          </w:p>
        </w:tc>
      </w:tr>
      <w:tr w14:paraId="3F30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4DAB01F">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工程质量保修期：</w:t>
            </w:r>
          </w:p>
        </w:tc>
      </w:tr>
    </w:tbl>
    <w:p w14:paraId="34B8E80F">
      <w:pPr>
        <w:snapToGrid w:val="0"/>
        <w:spacing w:before="50" w:after="50" w:line="360" w:lineRule="auto"/>
        <w:ind w:firstLine="480" w:firstLineChars="200"/>
        <w:jc w:val="left"/>
        <w:rPr>
          <w:rFonts w:hint="eastAsia" w:ascii="宋体" w:hAnsi="宋体" w:cs="宋体"/>
          <w:color w:val="auto"/>
          <w:kern w:val="0"/>
          <w:sz w:val="24"/>
          <w:highlight w:val="none"/>
          <w:lang w:val="zh-CN"/>
        </w:rPr>
      </w:pPr>
    </w:p>
    <w:p w14:paraId="367524ED">
      <w:pPr>
        <w:snapToGrid w:val="0"/>
        <w:spacing w:before="50" w:after="50"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2AA27657">
      <w:pPr>
        <w:snapToGrid w:val="0"/>
        <w:spacing w:before="50" w:after="50"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供应商需按本表格式填写，不得自行更改，也不得留空, 如有多分标，按分标分别提供响应报价表</w:t>
      </w:r>
      <w:r>
        <w:rPr>
          <w:rFonts w:hint="eastAsia" w:ascii="宋体" w:hAnsi="宋体" w:cs="宋体"/>
          <w:b/>
          <w:color w:val="auto"/>
          <w:kern w:val="0"/>
          <w:sz w:val="24"/>
          <w:highlight w:val="none"/>
          <w:lang w:val="zh-CN"/>
        </w:rPr>
        <w:t>。</w:t>
      </w:r>
    </w:p>
    <w:p w14:paraId="795D6065">
      <w:pPr>
        <w:snapToGrid w:val="0"/>
        <w:spacing w:before="50" w:after="50" w:line="360" w:lineRule="auto"/>
        <w:ind w:firstLine="480" w:firstLineChars="200"/>
        <w:jc w:val="left"/>
        <w:rPr>
          <w:rFonts w:hint="eastAsia" w:ascii="宋体" w:hAnsi="宋体" w:cs="宋体"/>
          <w:b/>
          <w:color w:val="auto"/>
          <w:kern w:val="0"/>
          <w:sz w:val="24"/>
          <w:highlight w:val="none"/>
          <w:lang w:val="zh-CN"/>
        </w:rPr>
      </w:pPr>
      <w:r>
        <w:rPr>
          <w:rFonts w:hint="eastAsia" w:ascii="宋体" w:hAnsi="宋体" w:cs="宋体"/>
          <w:color w:val="auto"/>
          <w:kern w:val="0"/>
          <w:sz w:val="24"/>
          <w:highlight w:val="none"/>
          <w:lang w:val="zh-CN"/>
        </w:rPr>
        <w:t>2</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如为联合体响应的，“供应商名称”处必须列明联合体各方名称，并标注联合体牵头人名称，且盖章处须加盖联合体各方公章，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否则其响应作无效响应处理。</w:t>
      </w:r>
    </w:p>
    <w:p w14:paraId="16AEFC40">
      <w:pPr>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3</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特别提示：采购机构将对项目名称和项目编号，成交供应商名称、地址和成交金额，主要成交标的的名称、施工范围、施工工期、项目经理、执业证书信息等予以公示。</w:t>
      </w:r>
    </w:p>
    <w:p w14:paraId="3DA6FC7F">
      <w:pPr>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rPr>
        <w:t>4.</w:t>
      </w:r>
      <w:r>
        <w:rPr>
          <w:rFonts w:hint="eastAsia" w:ascii="宋体" w:hAnsi="宋体" w:cs="宋体"/>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4D36238">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5501107">
      <w:pPr>
        <w:pStyle w:val="18"/>
        <w:spacing w:line="500" w:lineRule="exact"/>
        <w:ind w:firstLine="6300" w:firstLineChars="2625"/>
        <w:rPr>
          <w:rFonts w:hint="eastAsia" w:hAnsi="宋体" w:cs="宋体"/>
          <w:color w:val="auto"/>
          <w:sz w:val="24"/>
          <w:highlight w:val="none"/>
          <w:lang w:val="zh-CN"/>
        </w:rPr>
        <w:sectPr>
          <w:pgSz w:w="11905" w:h="16838"/>
          <w:pgMar w:top="1134" w:right="1587" w:bottom="1134" w:left="1587" w:header="720" w:footer="720" w:gutter="0"/>
          <w:cols w:space="720" w:num="1"/>
          <w:docGrid w:type="lines" w:linePitch="331" w:charSpace="0"/>
        </w:sectPr>
      </w:pPr>
      <w:r>
        <w:rPr>
          <w:rFonts w:hint="eastAsia" w:hAnsi="宋体" w:cs="宋体"/>
          <w:color w:val="auto"/>
          <w:sz w:val="24"/>
          <w:highlight w:val="none"/>
          <w:lang w:val="zh-CN"/>
        </w:rPr>
        <w:t xml:space="preserve">日期：  年  </w:t>
      </w:r>
      <w:r>
        <w:rPr>
          <w:rFonts w:hint="eastAsia" w:hAnsi="宋体" w:cs="宋体"/>
          <w:color w:val="auto"/>
          <w:sz w:val="24"/>
          <w:highlight w:val="none"/>
        </w:rPr>
        <w:t xml:space="preserve"> </w:t>
      </w:r>
      <w:r>
        <w:rPr>
          <w:rFonts w:hint="eastAsia" w:hAnsi="宋体" w:cs="宋体"/>
          <w:color w:val="auto"/>
          <w:sz w:val="24"/>
          <w:highlight w:val="none"/>
          <w:lang w:val="zh-CN"/>
        </w:rPr>
        <w:t>月   日</w:t>
      </w:r>
    </w:p>
    <w:p w14:paraId="1D8EDC76">
      <w:pPr>
        <w:spacing w:line="520" w:lineRule="exact"/>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四、已标价工程量清单</w:t>
      </w:r>
    </w:p>
    <w:p w14:paraId="78F448BF">
      <w:pPr>
        <w:rPr>
          <w:color w:val="auto"/>
          <w:highlight w:val="none"/>
        </w:rPr>
      </w:pPr>
    </w:p>
    <w:p w14:paraId="1D1048DC">
      <w:pPr>
        <w:jc w:val="center"/>
        <w:rPr>
          <w:rFonts w:ascii="宋体" w:hAnsi="宋体" w:cs="宋体"/>
          <w:b/>
          <w:color w:val="auto"/>
          <w:sz w:val="30"/>
          <w:szCs w:val="30"/>
          <w:highlight w:val="none"/>
        </w:rPr>
      </w:pPr>
      <w:r>
        <w:rPr>
          <w:rFonts w:hint="eastAsia" w:ascii="宋体" w:hAnsi="宋体" w:cs="宋体"/>
          <w:b/>
          <w:color w:val="auto"/>
          <w:sz w:val="30"/>
          <w:szCs w:val="30"/>
          <w:highlight w:val="none"/>
        </w:rPr>
        <w:t>（根据发布的工程量清单中的相关表格及报价说明填写）</w:t>
      </w:r>
    </w:p>
    <w:p w14:paraId="456B06E3">
      <w:pPr>
        <w:rPr>
          <w:color w:val="auto"/>
          <w:highlight w:val="none"/>
        </w:rPr>
      </w:pPr>
    </w:p>
    <w:p w14:paraId="07BAF856">
      <w:pPr>
        <w:rPr>
          <w:color w:val="auto"/>
          <w:highlight w:val="none"/>
        </w:rPr>
      </w:pPr>
    </w:p>
    <w:p w14:paraId="790C97DA">
      <w:pPr>
        <w:tabs>
          <w:tab w:val="left" w:pos="1670"/>
        </w:tabs>
        <w:jc w:val="left"/>
        <w:rPr>
          <w:rFonts w:hint="eastAsia" w:hAnsi="宋体" w:cs="宋体"/>
          <w:color w:val="auto"/>
          <w:sz w:val="24"/>
          <w:highlight w:val="none"/>
          <w:lang w:val="zh-CN"/>
        </w:rPr>
        <w:sectPr>
          <w:pgSz w:w="11905" w:h="16838"/>
          <w:pgMar w:top="1134" w:right="1587" w:bottom="1134" w:left="1587" w:header="720" w:footer="720" w:gutter="0"/>
          <w:cols w:space="720" w:num="1"/>
          <w:docGrid w:type="lines" w:linePitch="331" w:charSpace="0"/>
        </w:sectPr>
      </w:pPr>
      <w:r>
        <w:rPr>
          <w:rFonts w:hint="eastAsia"/>
          <w:color w:val="auto"/>
          <w:highlight w:val="none"/>
        </w:rPr>
        <w:tab/>
      </w:r>
    </w:p>
    <w:p w14:paraId="4AFEDBDB">
      <w:pPr>
        <w:pStyle w:val="3"/>
        <w:widowControl/>
        <w:jc w:val="center"/>
        <w:rPr>
          <w:rFonts w:hint="eastAsia" w:ascii="宋体" w:hAnsi="宋体" w:eastAsia="宋体" w:cs="宋体"/>
          <w:b w:val="0"/>
          <w:color w:val="auto"/>
          <w:highlight w:val="none"/>
        </w:rPr>
      </w:pPr>
      <w:bookmarkStart w:id="93" w:name="_Toc6270"/>
      <w:r>
        <w:rPr>
          <w:rFonts w:hint="eastAsia" w:ascii="宋体" w:hAnsi="宋体" w:eastAsia="宋体" w:cs="宋体"/>
          <w:color w:val="auto"/>
          <w:highlight w:val="none"/>
        </w:rPr>
        <w:t>第五节 其他文书、文件格式</w:t>
      </w:r>
      <w:bookmarkEnd w:id="92"/>
      <w:bookmarkEnd w:id="93"/>
    </w:p>
    <w:p w14:paraId="439F1241">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bidi="ar"/>
        </w:rPr>
        <w:t>知识产权合规性声明</w:t>
      </w:r>
    </w:p>
    <w:p w14:paraId="131A53AF">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bidi="ar"/>
        </w:rPr>
        <w:t xml:space="preserve">    </w:t>
      </w:r>
    </w:p>
    <w:p w14:paraId="03FCF579">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bidi="ar"/>
        </w:rPr>
        <w:t xml:space="preserve">    本企业（单位）自愿参与政府投资政府采购的</w:t>
      </w:r>
      <w:r>
        <w:rPr>
          <w:rFonts w:hint="eastAsia" w:ascii="宋体" w:hAnsi="宋体" w:cs="宋体"/>
          <w:color w:val="auto"/>
          <w:sz w:val="28"/>
          <w:szCs w:val="28"/>
          <w:highlight w:val="none"/>
          <w:u w:val="single"/>
        </w:rPr>
        <w:t xml:space="preserve">     （项目名称）</w:t>
      </w:r>
      <w:r>
        <w:rPr>
          <w:rFonts w:hint="eastAsia" w:ascii="仿宋_GB2312" w:hAnsi="仿宋_GB2312" w:eastAsia="仿宋_GB2312" w:cs="仿宋_GB2312"/>
          <w:color w:val="auto"/>
          <w:sz w:val="30"/>
          <w:szCs w:val="30"/>
          <w:highlight w:val="none"/>
          <w:lang w:bidi="ar"/>
        </w:rPr>
        <w:t>，</w:t>
      </w:r>
      <w:r>
        <w:rPr>
          <w:rFonts w:hint="eastAsia" w:ascii="仿宋_GB2312" w:hAnsi="仿宋_GB2312" w:eastAsia="仿宋_GB2312" w:cs="仿宋_GB2312"/>
          <w:b/>
          <w:bCs/>
          <w:color w:val="auto"/>
          <w:sz w:val="30"/>
          <w:szCs w:val="30"/>
          <w:highlight w:val="none"/>
          <w:lang w:bidi="ar"/>
        </w:rPr>
        <w:t>在此郑重承诺：</w:t>
      </w:r>
      <w:r>
        <w:rPr>
          <w:rFonts w:hint="eastAsia" w:ascii="仿宋_GB2312" w:hAnsi="仿宋_GB2312" w:eastAsia="仿宋_GB2312" w:cs="仿宋_GB2312"/>
          <w:color w:val="auto"/>
          <w:sz w:val="30"/>
          <w:szCs w:val="30"/>
          <w:highlight w:val="none"/>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55AEB1C3">
      <w:pPr>
        <w:snapToGrid w:val="0"/>
        <w:spacing w:line="360" w:lineRule="auto"/>
        <w:ind w:left="5137" w:leftChars="1736" w:hanging="1491" w:hangingChars="825"/>
        <w:rPr>
          <w:b/>
          <w:color w:val="auto"/>
          <w:sz w:val="18"/>
          <w:szCs w:val="18"/>
          <w:highlight w:val="none"/>
        </w:rPr>
      </w:pPr>
      <w:r>
        <w:rPr>
          <w:rFonts w:ascii="Times New Roman" w:hAnsi="Times New Roman" w:eastAsia="宋体" w:cs="Times New Roman"/>
          <w:b/>
          <w:color w:val="auto"/>
          <w:sz w:val="18"/>
          <w:szCs w:val="18"/>
          <w:highlight w:val="none"/>
          <w:lang w:bidi="ar"/>
        </w:rPr>
        <w:t xml:space="preserve">           </w:t>
      </w:r>
    </w:p>
    <w:p w14:paraId="3488D571">
      <w:pPr>
        <w:snapToGrid w:val="0"/>
        <w:spacing w:line="360" w:lineRule="auto"/>
        <w:ind w:left="5137" w:leftChars="1736" w:hanging="1491" w:hangingChars="825"/>
        <w:rPr>
          <w:b/>
          <w:color w:val="auto"/>
          <w:sz w:val="18"/>
          <w:szCs w:val="18"/>
          <w:highlight w:val="none"/>
        </w:rPr>
      </w:pPr>
    </w:p>
    <w:p w14:paraId="2BED7AA3">
      <w:pPr>
        <w:snapToGrid w:val="0"/>
        <w:spacing w:line="360" w:lineRule="auto"/>
        <w:ind w:left="5137" w:leftChars="1736" w:hanging="1491" w:hangingChars="825"/>
        <w:rPr>
          <w:b/>
          <w:color w:val="auto"/>
          <w:sz w:val="18"/>
          <w:szCs w:val="18"/>
          <w:highlight w:val="none"/>
        </w:rPr>
      </w:pPr>
    </w:p>
    <w:p w14:paraId="58B27B98">
      <w:pPr>
        <w:snapToGrid w:val="0"/>
        <w:spacing w:line="360" w:lineRule="auto"/>
        <w:ind w:left="5137" w:leftChars="1736" w:hanging="1491" w:hangingChars="825"/>
        <w:rPr>
          <w:b/>
          <w:color w:val="auto"/>
          <w:sz w:val="18"/>
          <w:szCs w:val="18"/>
          <w:highlight w:val="none"/>
        </w:rPr>
      </w:pPr>
    </w:p>
    <w:p w14:paraId="1FDACCCF">
      <w:pPr>
        <w:snapToGrid w:val="0"/>
        <w:spacing w:line="360" w:lineRule="auto"/>
        <w:ind w:left="5137" w:leftChars="1736" w:hanging="1491" w:hangingChars="825"/>
        <w:rPr>
          <w:rFonts w:hint="eastAsia" w:ascii="仿宋_GB2312" w:hAnsi="仿宋" w:eastAsia="仿宋_GB2312" w:cs="仿宋_GB2312"/>
          <w:color w:val="auto"/>
          <w:kern w:val="0"/>
          <w:sz w:val="24"/>
          <w:highlight w:val="none"/>
        </w:rPr>
      </w:pPr>
      <w:r>
        <w:rPr>
          <w:rFonts w:ascii="Times New Roman" w:hAnsi="Times New Roman" w:eastAsia="宋体" w:cs="Times New Roman"/>
          <w:b/>
          <w:color w:val="auto"/>
          <w:sz w:val="18"/>
          <w:szCs w:val="18"/>
          <w:highlight w:val="none"/>
          <w:lang w:bidi="ar"/>
        </w:rPr>
        <w:t xml:space="preserve">      </w:t>
      </w:r>
      <w:r>
        <w:rPr>
          <w:rFonts w:hint="eastAsia" w:ascii="仿宋_GB2312" w:hAnsi="仿宋" w:eastAsia="仿宋_GB2312" w:cs="仿宋_GB2312"/>
          <w:color w:val="auto"/>
          <w:kern w:val="0"/>
          <w:sz w:val="24"/>
          <w:highlight w:val="none"/>
          <w:lang w:val="zh-CN" w:bidi="ar"/>
        </w:rPr>
        <w:t>投标人名称(电子签章)：</w:t>
      </w:r>
    </w:p>
    <w:p w14:paraId="128C82A1">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bidi="ar"/>
        </w:rPr>
        <w:t>日期</w:t>
      </w:r>
      <w:r>
        <w:rPr>
          <w:rFonts w:hint="eastAsia" w:ascii="仿宋_GB2312" w:hAnsi="仿宋" w:eastAsia="仿宋_GB2312" w:cs="仿宋_GB2312"/>
          <w:color w:val="auto"/>
          <w:kern w:val="0"/>
          <w:sz w:val="24"/>
          <w:highlight w:val="none"/>
          <w:lang w:bidi="ar"/>
        </w:rPr>
        <w:t xml:space="preserve">：  年  </w:t>
      </w:r>
      <w:r>
        <w:rPr>
          <w:rFonts w:hint="eastAsia" w:ascii="仿宋_GB2312" w:hAnsi="仿宋" w:eastAsia="仿宋_GB2312" w:cs="仿宋_GB2312"/>
          <w:color w:val="auto"/>
          <w:kern w:val="0"/>
          <w:sz w:val="24"/>
          <w:highlight w:val="none"/>
          <w:lang w:val="zh-CN" w:bidi="ar"/>
        </w:rPr>
        <w:t>月</w:t>
      </w:r>
      <w:r>
        <w:rPr>
          <w:rFonts w:hint="eastAsia" w:ascii="仿宋_GB2312" w:hAnsi="仿宋" w:eastAsia="仿宋_GB2312" w:cs="仿宋_GB2312"/>
          <w:color w:val="auto"/>
          <w:kern w:val="0"/>
          <w:sz w:val="24"/>
          <w:highlight w:val="none"/>
          <w:lang w:bidi="ar"/>
        </w:rPr>
        <w:t xml:space="preserve">   </w:t>
      </w:r>
      <w:r>
        <w:rPr>
          <w:rFonts w:hint="eastAsia" w:ascii="仿宋_GB2312" w:hAnsi="仿宋" w:eastAsia="仿宋_GB2312" w:cs="仿宋_GB2312"/>
          <w:color w:val="auto"/>
          <w:kern w:val="0"/>
          <w:sz w:val="24"/>
          <w:highlight w:val="none"/>
          <w:lang w:val="zh-CN" w:bidi="ar"/>
        </w:rPr>
        <w:t>日</w:t>
      </w:r>
    </w:p>
    <w:p w14:paraId="30A7A0E4">
      <w:pPr>
        <w:rPr>
          <w:rFonts w:hint="eastAsia" w:ascii="宋体" w:hAnsi="宋体" w:eastAsia="宋体" w:cs="仿宋_GB2312"/>
          <w:color w:val="auto"/>
          <w:sz w:val="24"/>
          <w:highlight w:val="none"/>
          <w:lang w:bidi="ar"/>
        </w:rPr>
        <w:sectPr>
          <w:pgSz w:w="11906" w:h="16838"/>
          <w:pgMar w:top="1135" w:right="1135" w:bottom="1135" w:left="1135" w:header="720" w:footer="720" w:gutter="0"/>
          <w:pgNumType w:fmt="decimal"/>
          <w:cols w:space="425" w:num="1"/>
          <w:docGrid w:type="lines" w:linePitch="331" w:charSpace="0"/>
        </w:sectPr>
      </w:pPr>
    </w:p>
    <w:p w14:paraId="2376266E">
      <w:pPr>
        <w:spacing w:line="520" w:lineRule="exact"/>
        <w:rPr>
          <w:rFonts w:hint="eastAsia" w:ascii="宋体" w:hAnsi="宋体" w:eastAsia="宋体" w:cs="仿宋_GB2312"/>
          <w:color w:val="auto"/>
          <w:sz w:val="24"/>
          <w:highlight w:val="none"/>
        </w:rPr>
      </w:pPr>
    </w:p>
    <w:p w14:paraId="74439C2C">
      <w:pPr>
        <w:pStyle w:val="2"/>
        <w:widowControl/>
        <w:jc w:val="center"/>
        <w:rPr>
          <w:rFonts w:hint="eastAsia" w:ascii="宋体" w:hAnsi="宋体" w:cs="宋体"/>
          <w:b w:val="0"/>
          <w:bCs w:val="0"/>
          <w:color w:val="auto"/>
          <w:highlight w:val="none"/>
        </w:rPr>
      </w:pPr>
      <w:bookmarkStart w:id="94" w:name="_Toc8734"/>
      <w:r>
        <w:rPr>
          <w:rFonts w:hint="eastAsia" w:ascii="宋体" w:hAnsi="宋体" w:cs="宋体"/>
          <w:b w:val="0"/>
          <w:bCs w:val="0"/>
          <w:color w:val="auto"/>
          <w:highlight w:val="none"/>
        </w:rPr>
        <w:t>第六章  合同文本</w:t>
      </w:r>
      <w:r>
        <w:rPr>
          <w:rFonts w:hint="eastAsia" w:ascii="宋体" w:hAnsi="宋体" w:cs="宋体"/>
          <w:b w:val="0"/>
          <w:bCs w:val="0"/>
          <w:color w:val="auto"/>
          <w:highlight w:val="none"/>
        </w:rPr>
        <w:br w:type="page"/>
      </w:r>
      <w:bookmarkEnd w:id="94"/>
    </w:p>
    <w:p w14:paraId="25AE5362">
      <w:pPr>
        <w:pStyle w:val="2"/>
        <w:widowControl/>
        <w:jc w:val="center"/>
        <w:rPr>
          <w:rFonts w:hint="eastAsia" w:ascii="宋体" w:hAnsi="宋体" w:cs="仿宋_GB2312"/>
          <w:b w:val="0"/>
          <w:color w:val="auto"/>
          <w:highlight w:val="none"/>
        </w:rPr>
        <w:sectPr>
          <w:pgSz w:w="11910" w:h="16840"/>
          <w:pgMar w:top="1340" w:right="1500" w:bottom="280" w:left="1680" w:header="720" w:footer="720" w:gutter="0"/>
          <w:pgNumType w:fmt="decimal"/>
          <w:cols w:space="425" w:num="1"/>
          <w:docGrid w:type="lines" w:linePitch="312" w:charSpace="0"/>
        </w:sectPr>
      </w:pPr>
    </w:p>
    <w:p w14:paraId="4A03C1C4">
      <w:pPr>
        <w:rPr>
          <w:rFonts w:hint="eastAsia" w:ascii="宋体" w:hAnsi="宋体" w:eastAsia="宋体" w:cs="宋体"/>
          <w:b/>
          <w:bCs/>
          <w:color w:val="auto"/>
          <w:highlight w:val="none"/>
        </w:rPr>
      </w:pPr>
      <w:bookmarkStart w:id="95" w:name="bookmark880"/>
      <w:bookmarkStart w:id="96" w:name="_Toc256000005"/>
      <w:bookmarkStart w:id="97" w:name="bookmark879"/>
      <w:bookmarkStart w:id="98" w:name="bookmark878"/>
      <w:bookmarkStart w:id="99" w:name="_Toc30441"/>
      <w:bookmarkStart w:id="100" w:name="_Toc13447"/>
      <w:r>
        <w:rPr>
          <w:rFonts w:hint="eastAsia" w:ascii="仿宋_GB2312" w:hAnsi="楷体" w:eastAsia="仿宋_GB2312" w:cs="仿宋_GB2312"/>
          <w:color w:val="auto"/>
          <w:sz w:val="24"/>
          <w:highlight w:val="none"/>
          <w:lang w:bidi="ar"/>
        </w:rPr>
        <w:t>“广西政府采购云”平台合同编号：</w:t>
      </w:r>
    </w:p>
    <w:p w14:paraId="2B722F1A">
      <w:pPr>
        <w:spacing w:line="360" w:lineRule="auto"/>
        <w:jc w:val="center"/>
        <w:rPr>
          <w:rFonts w:ascii="宋体" w:hAnsi="Times New Roman" w:eastAsia="宋体" w:cs="宋体"/>
          <w:b/>
          <w:bCs/>
          <w:color w:val="auto"/>
          <w:sz w:val="52"/>
          <w:highlight w:val="none"/>
        </w:rPr>
      </w:pPr>
      <w:r>
        <w:rPr>
          <w:rFonts w:hint="eastAsia" w:ascii="宋体" w:hAnsi="Times New Roman" w:eastAsia="宋体" w:cs="宋体"/>
          <w:b/>
          <w:bCs/>
          <w:color w:val="auto"/>
          <w:sz w:val="52"/>
          <w:highlight w:val="none"/>
          <w:lang w:bidi="ar"/>
        </w:rPr>
        <w:t>南 宁 市 政 府 采 购</w:t>
      </w:r>
    </w:p>
    <w:p w14:paraId="3A92D230">
      <w:pPr>
        <w:spacing w:line="360" w:lineRule="auto"/>
        <w:ind w:firstLine="420" w:firstLineChars="200"/>
        <w:rPr>
          <w:rFonts w:ascii="宋体" w:hAnsi="Times New Roman" w:eastAsia="宋体" w:cs="宋体"/>
          <w:color w:val="auto"/>
          <w:highlight w:val="none"/>
        </w:rPr>
      </w:pPr>
    </w:p>
    <w:p w14:paraId="4384925C">
      <w:pPr>
        <w:spacing w:line="360" w:lineRule="auto"/>
        <w:ind w:firstLine="420" w:firstLineChars="200"/>
        <w:rPr>
          <w:rFonts w:ascii="宋体" w:hAnsi="Times New Roman" w:eastAsia="宋体" w:cs="宋体"/>
          <w:color w:val="auto"/>
          <w:highlight w:val="none"/>
        </w:rPr>
      </w:pPr>
      <w:r>
        <w:rPr>
          <w:rFonts w:hint="eastAsia" w:ascii="宋体" w:hAnsi="Times New Roman" w:eastAsia="宋体" w:cs="宋体"/>
          <w:color w:val="auto"/>
          <w:highlight w:val="none"/>
          <w:lang w:bidi="ar"/>
        </w:rPr>
        <w:t xml:space="preserve">                                                 </w:t>
      </w:r>
    </w:p>
    <w:p w14:paraId="25A632DE">
      <w:pPr>
        <w:spacing w:line="360" w:lineRule="auto"/>
        <w:jc w:val="center"/>
        <w:rPr>
          <w:rFonts w:ascii="宋体" w:hAnsi="Times New Roman" w:eastAsia="宋体" w:cs="宋体"/>
          <w:b/>
          <w:bCs/>
          <w:color w:val="auto"/>
          <w:sz w:val="44"/>
          <w:highlight w:val="none"/>
        </w:rPr>
      </w:pPr>
      <w:r>
        <w:rPr>
          <w:rFonts w:hint="eastAsia" w:ascii="宋体" w:hAnsi="Times New Roman" w:eastAsia="宋体" w:cs="宋体"/>
          <w:b/>
          <w:bCs/>
          <w:color w:val="auto"/>
          <w:sz w:val="44"/>
          <w:highlight w:val="none"/>
          <w:u w:val="single"/>
          <w:lang w:bidi="ar"/>
        </w:rPr>
        <w:t xml:space="preserve"> </w:t>
      </w:r>
      <w:r>
        <w:rPr>
          <w:rFonts w:hint="eastAsia" w:ascii="宋体" w:hAnsi="Times New Roman" w:eastAsia="宋体" w:cs="宋体"/>
          <w:b/>
          <w:bCs/>
          <w:color w:val="auto"/>
          <w:sz w:val="44"/>
          <w:highlight w:val="none"/>
          <w:u w:val="single"/>
          <w:lang w:val="en-US" w:eastAsia="zh-CN" w:bidi="ar"/>
        </w:rPr>
        <w:t xml:space="preserve">                   </w:t>
      </w:r>
      <w:r>
        <w:rPr>
          <w:rFonts w:hint="eastAsia" w:ascii="宋体" w:hAnsi="Times New Roman" w:eastAsia="宋体" w:cs="宋体"/>
          <w:b/>
          <w:bCs/>
          <w:color w:val="auto"/>
          <w:sz w:val="44"/>
          <w:highlight w:val="none"/>
          <w:lang w:bidi="ar"/>
        </w:rPr>
        <w:t>合同</w:t>
      </w:r>
    </w:p>
    <w:p w14:paraId="1733A023">
      <w:pPr>
        <w:spacing w:line="360" w:lineRule="auto"/>
        <w:jc w:val="center"/>
        <w:rPr>
          <w:rFonts w:ascii="宋体" w:hAnsi="Times New Roman" w:eastAsia="宋体" w:cs="宋体"/>
          <w:b/>
          <w:bCs/>
          <w:color w:val="auto"/>
          <w:sz w:val="44"/>
          <w:highlight w:val="none"/>
        </w:rPr>
      </w:pPr>
    </w:p>
    <w:p w14:paraId="289FDC8B">
      <w:pPr>
        <w:spacing w:line="360" w:lineRule="auto"/>
        <w:ind w:firstLine="3507" w:firstLineChars="794"/>
        <w:rPr>
          <w:rFonts w:ascii="宋体" w:hAnsi="Times New Roman" w:eastAsia="宋体" w:cs="宋体"/>
          <w:b/>
          <w:bCs/>
          <w:color w:val="auto"/>
          <w:sz w:val="44"/>
          <w:highlight w:val="none"/>
        </w:rPr>
      </w:pPr>
    </w:p>
    <w:p w14:paraId="066F4D1F">
      <w:pPr>
        <w:spacing w:line="360" w:lineRule="auto"/>
        <w:ind w:firstLine="3507" w:firstLineChars="794"/>
        <w:rPr>
          <w:rFonts w:ascii="宋体" w:hAnsi="Times New Roman" w:eastAsia="宋体" w:cs="宋体"/>
          <w:b/>
          <w:bCs/>
          <w:color w:val="auto"/>
          <w:sz w:val="44"/>
          <w:highlight w:val="none"/>
        </w:rPr>
      </w:pPr>
    </w:p>
    <w:p w14:paraId="3FBD838B">
      <w:pPr>
        <w:ind w:firstLine="1995" w:firstLineChars="552"/>
        <w:rPr>
          <w:rFonts w:hint="eastAsia" w:ascii="宋体" w:hAnsi="宋体" w:eastAsia="宋体"/>
          <w:b/>
          <w:color w:val="auto"/>
          <w:sz w:val="36"/>
          <w:szCs w:val="36"/>
          <w:highlight w:val="none"/>
          <w:u w:val="single"/>
        </w:rPr>
      </w:pPr>
      <w:r>
        <w:rPr>
          <w:rFonts w:hint="eastAsia" w:ascii="宋体" w:hAnsi="宋体" w:eastAsia="宋体" w:cs="宋体"/>
          <w:b/>
          <w:color w:val="auto"/>
          <w:sz w:val="36"/>
          <w:szCs w:val="36"/>
          <w:highlight w:val="none"/>
          <w:lang w:bidi="ar"/>
        </w:rPr>
        <w:t>采购项目编号：</w:t>
      </w:r>
      <w:r>
        <w:rPr>
          <w:rFonts w:hint="eastAsia" w:ascii="宋体" w:hAnsi="宋体"/>
          <w:b/>
          <w:color w:val="auto"/>
          <w:sz w:val="36"/>
          <w:szCs w:val="36"/>
          <w:highlight w:val="none"/>
          <w:u w:val="single"/>
        </w:rPr>
        <w:t xml:space="preserve">  </w:t>
      </w:r>
    </w:p>
    <w:p w14:paraId="265D16FC">
      <w:pPr>
        <w:ind w:firstLine="1995" w:firstLineChars="552"/>
        <w:rPr>
          <w:rFonts w:hint="eastAsia" w:ascii="宋体" w:hAnsi="宋体" w:eastAsia="宋体" w:cs="宋体"/>
          <w:b/>
          <w:color w:val="auto"/>
          <w:sz w:val="36"/>
          <w:szCs w:val="36"/>
          <w:highlight w:val="none"/>
        </w:rPr>
      </w:pPr>
    </w:p>
    <w:p w14:paraId="056ABD05">
      <w:pPr>
        <w:ind w:firstLine="1995" w:firstLineChars="552"/>
        <w:rPr>
          <w:rFonts w:hint="eastAsia" w:ascii="宋体" w:hAnsi="宋体"/>
          <w:b/>
          <w:color w:val="auto"/>
          <w:sz w:val="36"/>
          <w:szCs w:val="36"/>
          <w:highlight w:val="none"/>
          <w:u w:val="single"/>
        </w:rPr>
      </w:pPr>
      <w:r>
        <w:rPr>
          <w:rFonts w:hint="eastAsia" w:ascii="宋体" w:hAnsi="宋体" w:eastAsia="宋体" w:cs="宋体"/>
          <w:b/>
          <w:color w:val="auto"/>
          <w:sz w:val="36"/>
          <w:szCs w:val="36"/>
          <w:highlight w:val="none"/>
          <w:lang w:bidi="ar"/>
        </w:rPr>
        <w:t>采购计划编号：</w:t>
      </w:r>
      <w:r>
        <w:rPr>
          <w:rFonts w:hint="eastAsia" w:ascii="宋体" w:hAnsi="宋体"/>
          <w:b/>
          <w:color w:val="auto"/>
          <w:sz w:val="36"/>
          <w:szCs w:val="36"/>
          <w:highlight w:val="none"/>
          <w:u w:val="single"/>
        </w:rPr>
        <w:t xml:space="preserve">    </w:t>
      </w:r>
    </w:p>
    <w:p w14:paraId="466A1DE5">
      <w:pPr>
        <w:ind w:firstLine="1308" w:firstLineChars="545"/>
        <w:rPr>
          <w:rFonts w:hint="eastAsia" w:ascii="宋体" w:hAnsi="宋体" w:eastAsia="宋体" w:cs="宋体"/>
          <w:color w:val="auto"/>
          <w:sz w:val="24"/>
          <w:highlight w:val="none"/>
        </w:rPr>
      </w:pPr>
    </w:p>
    <w:p w14:paraId="508CD944">
      <w:pPr>
        <w:ind w:firstLine="1995" w:firstLineChars="552"/>
        <w:rPr>
          <w:rFonts w:hint="eastAsia" w:ascii="宋体" w:hAnsi="宋体" w:eastAsia="宋体" w:cs="宋体"/>
          <w:b/>
          <w:color w:val="auto"/>
          <w:sz w:val="36"/>
          <w:szCs w:val="36"/>
          <w:highlight w:val="none"/>
          <w:u w:val="single"/>
        </w:rPr>
      </w:pPr>
    </w:p>
    <w:p w14:paraId="21EA7BA2">
      <w:pPr>
        <w:ind w:firstLine="1995" w:firstLineChars="552"/>
        <w:rPr>
          <w:rFonts w:hint="eastAsia" w:ascii="宋体" w:hAnsi="宋体" w:eastAsia="宋体" w:cs="宋体"/>
          <w:b/>
          <w:color w:val="auto"/>
          <w:sz w:val="36"/>
          <w:szCs w:val="36"/>
          <w:highlight w:val="none"/>
          <w:u w:val="single"/>
        </w:rPr>
      </w:pPr>
    </w:p>
    <w:p w14:paraId="5CEB7DF9">
      <w:pPr>
        <w:tabs>
          <w:tab w:val="left" w:pos="7200"/>
        </w:tabs>
        <w:spacing w:line="360" w:lineRule="auto"/>
        <w:ind w:firstLine="1995" w:firstLineChars="552"/>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lang w:bidi="ar"/>
        </w:rPr>
        <w:t>采购人：</w:t>
      </w:r>
      <w:r>
        <w:rPr>
          <w:rFonts w:hint="eastAsia" w:ascii="宋体" w:hAnsi="宋体" w:eastAsia="宋体"/>
          <w:b/>
          <w:color w:val="auto"/>
          <w:sz w:val="36"/>
          <w:szCs w:val="36"/>
          <w:highlight w:val="none"/>
          <w:u w:val="single"/>
          <w:lang w:eastAsia="zh-CN"/>
        </w:rPr>
        <w:t>南宁市兴宁区昆仑镇人民政府</w:t>
      </w:r>
      <w:r>
        <w:rPr>
          <w:rFonts w:hint="eastAsia" w:ascii="宋体" w:hAnsi="宋体"/>
          <w:b/>
          <w:color w:val="auto"/>
          <w:sz w:val="36"/>
          <w:szCs w:val="36"/>
          <w:highlight w:val="none"/>
          <w:u w:val="single"/>
        </w:rPr>
        <w:t xml:space="preserve">  </w:t>
      </w:r>
    </w:p>
    <w:p w14:paraId="644195C7">
      <w:pPr>
        <w:tabs>
          <w:tab w:val="left" w:pos="7380"/>
        </w:tabs>
        <w:spacing w:line="360" w:lineRule="auto"/>
        <w:ind w:firstLine="1995" w:firstLineChars="552"/>
        <w:rPr>
          <w:rFonts w:ascii="宋体" w:hAnsi="Times New Roman" w:eastAsia="宋体" w:cs="宋体"/>
          <w:b/>
          <w:bCs/>
          <w:color w:val="auto"/>
          <w:sz w:val="44"/>
          <w:highlight w:val="none"/>
        </w:rPr>
      </w:pPr>
      <w:r>
        <w:rPr>
          <w:rFonts w:hint="eastAsia" w:ascii="宋体" w:hAnsi="宋体" w:eastAsia="宋体" w:cs="宋体"/>
          <w:b/>
          <w:color w:val="auto"/>
          <w:sz w:val="36"/>
          <w:szCs w:val="36"/>
          <w:highlight w:val="none"/>
          <w:lang w:bidi="ar"/>
        </w:rPr>
        <w:t>中标供应商：</w:t>
      </w:r>
      <w:r>
        <w:rPr>
          <w:rFonts w:hint="eastAsia" w:ascii="宋体" w:hAnsi="宋体" w:eastAsia="宋体" w:cs="宋体"/>
          <w:b/>
          <w:color w:val="auto"/>
          <w:sz w:val="36"/>
          <w:szCs w:val="36"/>
          <w:highlight w:val="none"/>
          <w:u w:val="single"/>
          <w:lang w:bidi="ar"/>
        </w:rPr>
        <w:t xml:space="preserve">                   </w:t>
      </w:r>
    </w:p>
    <w:p w14:paraId="1FF42060">
      <w:pPr>
        <w:tabs>
          <w:tab w:val="left" w:pos="7380"/>
        </w:tabs>
        <w:spacing w:line="360" w:lineRule="auto"/>
        <w:rPr>
          <w:rFonts w:ascii="宋体" w:hAnsi="Times New Roman" w:eastAsia="宋体" w:cs="宋体"/>
          <w:b/>
          <w:bCs/>
          <w:color w:val="auto"/>
          <w:sz w:val="44"/>
          <w:highlight w:val="none"/>
        </w:rPr>
      </w:pPr>
    </w:p>
    <w:p w14:paraId="43FCC841">
      <w:pPr>
        <w:tabs>
          <w:tab w:val="left" w:pos="7380"/>
        </w:tabs>
        <w:spacing w:line="360" w:lineRule="auto"/>
        <w:rPr>
          <w:rFonts w:ascii="宋体" w:hAnsi="Times New Roman" w:eastAsia="宋体" w:cs="宋体"/>
          <w:b/>
          <w:bCs/>
          <w:color w:val="auto"/>
          <w:sz w:val="44"/>
          <w:highlight w:val="none"/>
        </w:rPr>
      </w:pPr>
    </w:p>
    <w:p w14:paraId="1765D641">
      <w:pPr>
        <w:tabs>
          <w:tab w:val="left" w:pos="7380"/>
        </w:tabs>
        <w:spacing w:line="360" w:lineRule="auto"/>
        <w:rPr>
          <w:rFonts w:ascii="宋体" w:hAnsi="Times New Roman" w:eastAsia="宋体" w:cs="宋体"/>
          <w:b/>
          <w:bCs/>
          <w:color w:val="auto"/>
          <w:sz w:val="44"/>
          <w:highlight w:val="none"/>
        </w:rPr>
      </w:pPr>
    </w:p>
    <w:p w14:paraId="4260786D">
      <w:pPr>
        <w:tabs>
          <w:tab w:val="left" w:pos="7380"/>
        </w:tabs>
        <w:spacing w:line="360" w:lineRule="auto"/>
        <w:ind w:firstLine="3360" w:firstLineChars="1400"/>
        <w:rPr>
          <w:rFonts w:hint="eastAsia" w:ascii="仿宋_GB2312" w:hAnsi="楷体" w:eastAsia="仿宋_GB2312" w:cs="仿宋_GB2312"/>
          <w:color w:val="auto"/>
          <w:sz w:val="24"/>
          <w:highlight w:val="none"/>
          <w:lang w:val="zh-CN"/>
        </w:rPr>
      </w:pPr>
      <w:r>
        <w:rPr>
          <w:rFonts w:hint="eastAsia" w:ascii="仿宋_GB2312" w:hAnsi="楷体" w:eastAsia="仿宋_GB2312" w:cs="仿宋_GB2312"/>
          <w:color w:val="auto"/>
          <w:sz w:val="24"/>
          <w:highlight w:val="none"/>
          <w:lang w:val="zh-CN" w:bidi="ar"/>
        </w:rPr>
        <w:t>签订时间：</w:t>
      </w:r>
      <w:r>
        <w:rPr>
          <w:rFonts w:hint="eastAsia" w:ascii="仿宋_GB2312" w:hAnsi="楷体" w:eastAsia="仿宋_GB2312" w:cs="仿宋_GB2312"/>
          <w:color w:val="auto"/>
          <w:sz w:val="24"/>
          <w:highlight w:val="none"/>
          <w:u w:val="single"/>
          <w:lang w:val="zh-CN" w:bidi="ar"/>
        </w:rPr>
        <w:t xml:space="preserve">     </w:t>
      </w:r>
      <w:r>
        <w:rPr>
          <w:rFonts w:hint="eastAsia" w:ascii="仿宋_GB2312" w:hAnsi="楷体" w:eastAsia="仿宋_GB2312" w:cs="仿宋_GB2312"/>
          <w:color w:val="auto"/>
          <w:sz w:val="24"/>
          <w:highlight w:val="none"/>
          <w:lang w:val="zh-CN" w:bidi="ar"/>
        </w:rPr>
        <w:t>年</w:t>
      </w:r>
      <w:r>
        <w:rPr>
          <w:rFonts w:hint="eastAsia" w:ascii="仿宋_GB2312" w:hAnsi="楷体" w:eastAsia="仿宋_GB2312" w:cs="仿宋_GB2312"/>
          <w:color w:val="auto"/>
          <w:sz w:val="24"/>
          <w:highlight w:val="none"/>
          <w:u w:val="single"/>
          <w:lang w:val="zh-CN" w:bidi="ar"/>
        </w:rPr>
        <w:t xml:space="preserve">    </w:t>
      </w:r>
      <w:r>
        <w:rPr>
          <w:rFonts w:hint="eastAsia" w:ascii="仿宋_GB2312" w:hAnsi="楷体" w:eastAsia="仿宋_GB2312" w:cs="仿宋_GB2312"/>
          <w:color w:val="auto"/>
          <w:sz w:val="24"/>
          <w:highlight w:val="none"/>
          <w:lang w:val="zh-CN" w:bidi="ar"/>
        </w:rPr>
        <w:t>月</w:t>
      </w:r>
      <w:r>
        <w:rPr>
          <w:rFonts w:hint="eastAsia" w:ascii="仿宋_GB2312" w:hAnsi="楷体" w:eastAsia="仿宋_GB2312" w:cs="仿宋_GB2312"/>
          <w:color w:val="auto"/>
          <w:sz w:val="24"/>
          <w:highlight w:val="none"/>
          <w:u w:val="single"/>
          <w:lang w:val="zh-CN" w:bidi="ar"/>
        </w:rPr>
        <w:t xml:space="preserve">    </w:t>
      </w:r>
      <w:r>
        <w:rPr>
          <w:rFonts w:hint="eastAsia" w:ascii="仿宋_GB2312" w:hAnsi="楷体" w:eastAsia="仿宋_GB2312" w:cs="仿宋_GB2312"/>
          <w:color w:val="auto"/>
          <w:sz w:val="24"/>
          <w:highlight w:val="none"/>
          <w:lang w:val="zh-CN" w:bidi="ar"/>
        </w:rPr>
        <w:t>日</w:t>
      </w:r>
    </w:p>
    <w:p w14:paraId="476FE948">
      <w:pPr>
        <w:rPr>
          <w:rFonts w:hint="eastAsia" w:ascii="宋体" w:hAnsi="宋体" w:eastAsia="宋体" w:cs="仿宋_GB2312"/>
          <w:b/>
          <w:color w:val="auto"/>
          <w:sz w:val="44"/>
          <w:szCs w:val="44"/>
          <w:highlight w:val="none"/>
        </w:rPr>
      </w:pPr>
      <w:r>
        <w:rPr>
          <w:rFonts w:hint="eastAsia" w:ascii="宋体" w:hAnsi="Times New Roman" w:eastAsia="宋体" w:cs="Times New Roman"/>
          <w:b/>
          <w:bCs/>
          <w:color w:val="auto"/>
          <w:sz w:val="44"/>
          <w:highlight w:val="none"/>
          <w:lang w:bidi="ar"/>
        </w:rPr>
        <w:br w:type="page"/>
      </w:r>
    </w:p>
    <w:p w14:paraId="17CD8950">
      <w:pPr>
        <w:pStyle w:val="94"/>
        <w:rPr>
          <w:rStyle w:val="32"/>
          <w:color w:val="auto"/>
          <w:sz w:val="32"/>
          <w:szCs w:val="32"/>
          <w:highlight w:val="none"/>
          <w:lang w:eastAsia="zh-CN"/>
        </w:rPr>
        <w:sectPr>
          <w:pgSz w:w="11910" w:h="16840"/>
          <w:pgMar w:top="1340" w:right="1500" w:bottom="280" w:left="1680" w:header="720" w:footer="720" w:gutter="0"/>
          <w:pgNumType w:fmt="decimal"/>
          <w:cols w:space="425" w:num="1"/>
          <w:docGrid w:type="lines" w:linePitch="312" w:charSpace="0"/>
        </w:sectPr>
      </w:pPr>
    </w:p>
    <w:p w14:paraId="575F868B">
      <w:pPr>
        <w:pStyle w:val="94"/>
        <w:pageBreakBefore w:val="0"/>
        <w:kinsoku/>
        <w:wordWrap/>
        <w:overflowPunct/>
        <w:topLinePunct w:val="0"/>
        <w:autoSpaceDE/>
        <w:autoSpaceDN/>
        <w:bidi w:val="0"/>
        <w:adjustRightInd/>
        <w:snapToGrid/>
        <w:textAlignment w:val="auto"/>
        <w:outlineLvl w:val="9"/>
        <w:rPr>
          <w:rStyle w:val="32"/>
          <w:color w:val="auto"/>
          <w:sz w:val="32"/>
          <w:szCs w:val="32"/>
          <w:highlight w:val="none"/>
          <w:lang w:eastAsia="zh-CN"/>
        </w:rPr>
      </w:pPr>
      <w:r>
        <w:rPr>
          <w:rStyle w:val="32"/>
          <w:color w:val="auto"/>
          <w:sz w:val="32"/>
          <w:szCs w:val="32"/>
          <w:highlight w:val="none"/>
          <w:lang w:eastAsia="zh-CN"/>
        </w:rPr>
        <w:t>第一节</w:t>
      </w:r>
      <w:r>
        <w:rPr>
          <w:rStyle w:val="32"/>
          <w:rFonts w:hint="eastAsia"/>
          <w:color w:val="auto"/>
          <w:sz w:val="32"/>
          <w:szCs w:val="32"/>
          <w:highlight w:val="none"/>
          <w:lang w:eastAsia="zh-CN"/>
        </w:rPr>
        <w:t xml:space="preserve"> </w:t>
      </w:r>
      <w:r>
        <w:rPr>
          <w:rStyle w:val="32"/>
          <w:color w:val="auto"/>
          <w:sz w:val="32"/>
          <w:szCs w:val="32"/>
          <w:highlight w:val="none"/>
          <w:lang w:eastAsia="zh-CN"/>
        </w:rPr>
        <w:t>通用合同条款</w:t>
      </w:r>
      <w:bookmarkEnd w:id="95"/>
      <w:bookmarkEnd w:id="96"/>
      <w:bookmarkEnd w:id="97"/>
      <w:bookmarkEnd w:id="98"/>
      <w:bookmarkEnd w:id="99"/>
      <w:bookmarkEnd w:id="100"/>
    </w:p>
    <w:p w14:paraId="259CD192">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01" w:name="bookmark883"/>
      <w:bookmarkStart w:id="102" w:name="bookmark882"/>
      <w:bookmarkStart w:id="103" w:name="_Toc8348"/>
      <w:bookmarkStart w:id="104" w:name="_Toc256000006"/>
      <w:bookmarkStart w:id="105" w:name="_Toc19504"/>
      <w:bookmarkStart w:id="106" w:name="bookmark881"/>
      <w:r>
        <w:rPr>
          <w:rStyle w:val="32"/>
          <w:rFonts w:hint="eastAsia" w:cs="Times New Roman"/>
          <w:color w:val="auto"/>
          <w:highlight w:val="none"/>
          <w:lang w:eastAsia="zh-CN"/>
        </w:rPr>
        <w:t>1. 一般约定</w:t>
      </w:r>
      <w:bookmarkEnd w:id="101"/>
      <w:bookmarkEnd w:id="102"/>
      <w:bookmarkEnd w:id="103"/>
      <w:bookmarkEnd w:id="104"/>
      <w:bookmarkEnd w:id="105"/>
      <w:bookmarkEnd w:id="106"/>
    </w:p>
    <w:p w14:paraId="15A8FF8B">
      <w:pPr>
        <w:pStyle w:val="96"/>
        <w:pageBreakBefore w:val="0"/>
        <w:kinsoku/>
        <w:wordWrap/>
        <w:overflowPunct/>
        <w:topLinePunct w:val="0"/>
        <w:autoSpaceDE/>
        <w:autoSpaceDN/>
        <w:bidi w:val="0"/>
        <w:adjustRightInd/>
        <w:snapToGrid/>
        <w:textAlignment w:val="auto"/>
        <w:outlineLvl w:val="9"/>
        <w:rPr>
          <w:rStyle w:val="32"/>
          <w:rFonts w:ascii="宋体" w:hAnsi="宋体" w:cs="Times New Roman"/>
          <w:color w:val="auto"/>
          <w:sz w:val="24"/>
          <w:szCs w:val="24"/>
          <w:highlight w:val="none"/>
          <w:lang w:eastAsia="zh-CN"/>
        </w:rPr>
      </w:pPr>
      <w:bookmarkStart w:id="107" w:name="_Toc13265"/>
      <w:bookmarkStart w:id="108" w:name="_Toc5974"/>
      <w:bookmarkStart w:id="109" w:name="bookmark885"/>
      <w:bookmarkStart w:id="110" w:name="bookmark886"/>
      <w:bookmarkStart w:id="111" w:name="bookmark884"/>
      <w:bookmarkStart w:id="112" w:name="_Toc256000007"/>
      <w:r>
        <w:rPr>
          <w:rStyle w:val="32"/>
          <w:rFonts w:ascii="宋体" w:hAnsi="宋体" w:cs="Times New Roman"/>
          <w:color w:val="auto"/>
          <w:sz w:val="24"/>
          <w:szCs w:val="24"/>
          <w:highlight w:val="none"/>
          <w:lang w:eastAsia="zh-CN"/>
        </w:rPr>
        <w:t>1.1词语定义</w:t>
      </w:r>
      <w:bookmarkEnd w:id="107"/>
      <w:bookmarkEnd w:id="108"/>
      <w:bookmarkEnd w:id="109"/>
      <w:bookmarkEnd w:id="110"/>
      <w:bookmarkEnd w:id="111"/>
      <w:bookmarkEnd w:id="112"/>
    </w:p>
    <w:p w14:paraId="150F90F3">
      <w:pPr>
        <w:pStyle w:val="97"/>
        <w:pageBreakBefore w:val="0"/>
        <w:kinsoku/>
        <w:wordWrap/>
        <w:overflowPunct/>
        <w:topLinePunct w:val="0"/>
        <w:autoSpaceDE/>
        <w:autoSpaceDN/>
        <w:bidi w:val="0"/>
        <w:adjustRightInd/>
        <w:snapToGrid/>
        <w:spacing w:after="100" w:line="350" w:lineRule="exact"/>
        <w:ind w:firstLine="420"/>
        <w:textAlignment w:val="auto"/>
        <w:outlineLvl w:val="9"/>
        <w:rPr>
          <w:rStyle w:val="32"/>
          <w:color w:val="auto"/>
          <w:highlight w:val="none"/>
        </w:rPr>
      </w:pPr>
      <w:r>
        <w:rPr>
          <w:rStyle w:val="32"/>
          <w:color w:val="auto"/>
          <w:highlight w:val="none"/>
        </w:rPr>
        <w:t>通用合同条款、专用合同条款中的下列词语应具有本款所赋予的含义。</w:t>
      </w:r>
    </w:p>
    <w:p w14:paraId="4483FCAD">
      <w:pPr>
        <w:pStyle w:val="98"/>
        <w:pageBreakBefore w:val="0"/>
        <w:kinsoku/>
        <w:wordWrap/>
        <w:overflowPunct/>
        <w:topLinePunct w:val="0"/>
        <w:autoSpaceDE/>
        <w:autoSpaceDN/>
        <w:bidi w:val="0"/>
        <w:adjustRightInd/>
        <w:snapToGrid/>
        <w:spacing w:after="0" w:line="360" w:lineRule="auto"/>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w:t>
      </w:r>
      <w:r>
        <w:rPr>
          <w:rStyle w:val="32"/>
          <w:rFonts w:ascii="Times New Roman" w:hAnsi="Times New Roman" w:cs="Times New Roman"/>
          <w:color w:val="auto"/>
          <w:highlight w:val="none"/>
          <w:lang w:val="zh-CN" w:eastAsia="zh-CN" w:bidi="zh-CN"/>
        </w:rPr>
        <w:t>1</w:t>
      </w:r>
      <w:r>
        <w:rPr>
          <w:rStyle w:val="32"/>
          <w:rFonts w:ascii="宋体" w:hAnsi="宋体" w:cs="宋体"/>
          <w:color w:val="auto"/>
          <w:highlight w:val="none"/>
          <w:lang w:val="zh-CN" w:eastAsia="zh-CN" w:bidi="zh-CN"/>
        </w:rPr>
        <w:t>合同</w:t>
      </w:r>
    </w:p>
    <w:p w14:paraId="33E42A4D">
      <w:pPr>
        <w:pStyle w:val="97"/>
        <w:pageBreakBefore w:val="0"/>
        <w:kinsoku/>
        <w:wordWrap/>
        <w:overflowPunct/>
        <w:topLinePunct w:val="0"/>
        <w:autoSpaceDE/>
        <w:autoSpaceDN/>
        <w:bidi w:val="0"/>
        <w:adjustRightInd/>
        <w:snapToGrid/>
        <w:spacing w:line="35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1.1.1.1</w:t>
      </w:r>
      <w:r>
        <w:rPr>
          <w:rStyle w:val="32"/>
          <w:color w:val="auto"/>
          <w:highlight w:val="none"/>
        </w:rPr>
        <w:t>合同文件（或称合同）：指合同协议书、中标通知书、投标函及投标函附录、专用合同条款、通用合同条款、技术标准和要求、图纸、已标价工程量清单，以及其他合同文件。</w:t>
      </w:r>
    </w:p>
    <w:p w14:paraId="04085A7E">
      <w:pPr>
        <w:pStyle w:val="97"/>
        <w:pageBreakBefore w:val="0"/>
        <w:tabs>
          <w:tab w:val="left" w:pos="944"/>
        </w:tabs>
        <w:kinsoku/>
        <w:wordWrap/>
        <w:overflowPunct/>
        <w:topLinePunct w:val="0"/>
        <w:autoSpaceDE/>
        <w:autoSpaceDN/>
        <w:bidi w:val="0"/>
        <w:adjustRightInd/>
        <w:snapToGrid/>
        <w:spacing w:line="362" w:lineRule="exact"/>
        <w:ind w:left="420" w:firstLine="0"/>
        <w:textAlignment w:val="auto"/>
        <w:outlineLvl w:val="9"/>
        <w:rPr>
          <w:rStyle w:val="32"/>
          <w:color w:val="auto"/>
          <w:highlight w:val="none"/>
        </w:rPr>
      </w:pPr>
      <w:bookmarkStart w:id="113" w:name="bookmark887"/>
      <w:bookmarkEnd w:id="113"/>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hint="eastAsia" w:ascii="Times New Roman" w:hAnsi="Times New Roman" w:cs="Times New Roman"/>
          <w:color w:val="auto"/>
          <w:highlight w:val="none"/>
        </w:rPr>
        <w:t>2</w:t>
      </w:r>
      <w:r>
        <w:rPr>
          <w:rStyle w:val="32"/>
          <w:color w:val="auto"/>
          <w:highlight w:val="none"/>
        </w:rPr>
        <w:t>合同协议书：指第</w:t>
      </w:r>
      <w:r>
        <w:rPr>
          <w:rStyle w:val="32"/>
          <w:rFonts w:ascii="Times New Roman" w:hAnsi="Times New Roman" w:eastAsia="Times New Roman" w:cs="Times New Roman"/>
          <w:color w:val="auto"/>
          <w:highlight w:val="none"/>
          <w:lang w:val="en-US" w:bidi="en-US"/>
        </w:rPr>
        <w:t>1.5</w:t>
      </w:r>
      <w:r>
        <w:rPr>
          <w:rStyle w:val="32"/>
          <w:color w:val="auto"/>
          <w:highlight w:val="none"/>
        </w:rPr>
        <w:t>款所指的合同协议书。</w:t>
      </w:r>
    </w:p>
    <w:p w14:paraId="4FA3D0F6">
      <w:pPr>
        <w:pStyle w:val="97"/>
        <w:pageBreakBefore w:val="0"/>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3</w:t>
      </w:r>
      <w:r>
        <w:rPr>
          <w:rStyle w:val="32"/>
          <w:color w:val="auto"/>
          <w:highlight w:val="none"/>
        </w:rPr>
        <w:t>中标通知书：指发包人通知承包人中标的函件。</w:t>
      </w:r>
    </w:p>
    <w:p w14:paraId="58D78BE1">
      <w:pPr>
        <w:pStyle w:val="97"/>
        <w:pageBreakBefore w:val="0"/>
        <w:tabs>
          <w:tab w:val="left" w:pos="944"/>
        </w:tabs>
        <w:kinsoku/>
        <w:wordWrap/>
        <w:overflowPunct/>
        <w:topLinePunct w:val="0"/>
        <w:autoSpaceDE/>
        <w:autoSpaceDN/>
        <w:bidi w:val="0"/>
        <w:adjustRightInd/>
        <w:snapToGrid/>
        <w:spacing w:line="362" w:lineRule="exact"/>
        <w:ind w:left="420" w:firstLine="0"/>
        <w:textAlignment w:val="auto"/>
        <w:outlineLvl w:val="9"/>
        <w:rPr>
          <w:rStyle w:val="32"/>
          <w:color w:val="auto"/>
          <w:highlight w:val="none"/>
        </w:rPr>
      </w:pPr>
      <w:bookmarkStart w:id="114" w:name="bookmark888"/>
      <w:bookmarkEnd w:id="114"/>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rPr>
        <w:t>4</w:t>
      </w:r>
      <w:r>
        <w:rPr>
          <w:rStyle w:val="32"/>
          <w:color w:val="auto"/>
          <w:highlight w:val="none"/>
        </w:rPr>
        <w:t>投标函：指构成合同文件组成部分的由承包人填写并签署的投标函。</w:t>
      </w:r>
    </w:p>
    <w:p w14:paraId="4149BF6F">
      <w:pPr>
        <w:pStyle w:val="97"/>
        <w:pageBreakBefore w:val="0"/>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5</w:t>
      </w:r>
      <w:r>
        <w:rPr>
          <w:rStyle w:val="32"/>
          <w:color w:val="auto"/>
          <w:highlight w:val="none"/>
        </w:rPr>
        <w:t>投标函附录：指附在投标函后构成合同文件的投标函附录。</w:t>
      </w:r>
    </w:p>
    <w:p w14:paraId="6748AF7F">
      <w:pPr>
        <w:pStyle w:val="97"/>
        <w:pageBreakBefore w:val="0"/>
        <w:kinsoku/>
        <w:wordWrap/>
        <w:overflowPunct/>
        <w:topLinePunct w:val="0"/>
        <w:autoSpaceDE/>
        <w:autoSpaceDN/>
        <w:bidi w:val="0"/>
        <w:adjustRightInd/>
        <w:snapToGrid/>
        <w:spacing w:line="350" w:lineRule="exact"/>
        <w:ind w:firstLine="420"/>
        <w:jc w:val="both"/>
        <w:textAlignment w:val="auto"/>
        <w:outlineLvl w:val="9"/>
        <w:rPr>
          <w:rStyle w:val="32"/>
          <w:rFonts w:ascii="Times New Roman" w:hAnsi="Times New Roman" w:eastAsia="Times New Roman" w:cs="Times New Roman"/>
          <w:color w:val="auto"/>
          <w:highlight w:val="none"/>
          <w:lang w:val="en-US" w:bidi="en-US"/>
        </w:rPr>
      </w:pPr>
      <w:bookmarkStart w:id="115" w:name="bookmark889"/>
      <w:bookmarkEnd w:id="115"/>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eastAsia="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eastAsia="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eastAsia="Times New Roman" w:cs="Times New Roman"/>
          <w:color w:val="auto"/>
          <w:highlight w:val="none"/>
          <w:lang w:val="en-US" w:bidi="en-US"/>
        </w:rPr>
        <w:t>.6</w:t>
      </w:r>
      <w:r>
        <w:rPr>
          <w:rStyle w:val="32"/>
          <w:rFonts w:ascii="Times New Roman" w:hAnsi="Times New Roman" w:eastAsia="Times New Roman" w:cs="Times New Roman"/>
          <w:color w:val="auto"/>
          <w:highlight w:val="none"/>
          <w:lang w:val="en-US" w:bidi="en-US"/>
        </w:rPr>
        <w:t>技术标准和要求：指构成合同文件组成部分的名为技术标准和要求（合同技术条款）的文件，包括合同双方当事人约定对其所做的修改或补充。</w:t>
      </w:r>
    </w:p>
    <w:p w14:paraId="6EA3A2B9">
      <w:pPr>
        <w:pStyle w:val="97"/>
        <w:pageBreakBefore w:val="0"/>
        <w:kinsoku/>
        <w:wordWrap/>
        <w:overflowPunct/>
        <w:topLinePunct w:val="0"/>
        <w:autoSpaceDE/>
        <w:autoSpaceDN/>
        <w:bidi w:val="0"/>
        <w:adjustRightInd/>
        <w:snapToGrid/>
        <w:spacing w:line="350" w:lineRule="exact"/>
        <w:ind w:firstLine="420"/>
        <w:jc w:val="both"/>
        <w:textAlignment w:val="auto"/>
        <w:outlineLvl w:val="9"/>
        <w:rPr>
          <w:rStyle w:val="32"/>
          <w:rFonts w:ascii="Times New Roman" w:hAnsi="Times New Roman" w:eastAsia="Times New Roman" w:cs="Times New Roman"/>
          <w:color w:val="auto"/>
          <w:highlight w:val="none"/>
          <w:lang w:val="en-US" w:bidi="en-US"/>
        </w:rPr>
      </w:pPr>
      <w:bookmarkStart w:id="116" w:name="bookmark890"/>
      <w:bookmarkEnd w:id="116"/>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eastAsia="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eastAsia="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eastAsia="Times New Roman" w:cs="Times New Roman"/>
          <w:color w:val="auto"/>
          <w:highlight w:val="none"/>
          <w:lang w:val="en-US" w:bidi="en-US"/>
        </w:rPr>
        <w:t>.7</w:t>
      </w:r>
      <w:r>
        <w:rPr>
          <w:rStyle w:val="32"/>
          <w:rFonts w:ascii="Times New Roman" w:hAnsi="Times New Roman" w:eastAsia="Times New Roman" w:cs="Times New Roman"/>
          <w:color w:val="auto"/>
          <w:highlight w:val="none"/>
          <w:lang w:val="en-US" w:bidi="en-US"/>
        </w:rPr>
        <w:t>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042A158D">
      <w:pPr>
        <w:pStyle w:val="97"/>
        <w:pageBreakBefore w:val="0"/>
        <w:kinsoku/>
        <w:wordWrap/>
        <w:overflowPunct/>
        <w:topLinePunct w:val="0"/>
        <w:autoSpaceDE/>
        <w:autoSpaceDN/>
        <w:bidi w:val="0"/>
        <w:adjustRightInd/>
        <w:snapToGrid/>
        <w:spacing w:line="31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8</w:t>
      </w:r>
      <w:r>
        <w:rPr>
          <w:rStyle w:val="32"/>
          <w:color w:val="auto"/>
          <w:highlight w:val="none"/>
        </w:rPr>
        <w:t>已标价工程量清单：指构成合同文件组成部分的由承包人按照规定的格式和要求填写并标明价格的工程量清单。</w:t>
      </w:r>
    </w:p>
    <w:p w14:paraId="7AA7CDD7">
      <w:pPr>
        <w:pStyle w:val="97"/>
        <w:pageBreakBefore w:val="0"/>
        <w:kinsoku/>
        <w:wordWrap/>
        <w:overflowPunct/>
        <w:topLinePunct w:val="0"/>
        <w:autoSpaceDE/>
        <w:autoSpaceDN/>
        <w:bidi w:val="0"/>
        <w:adjustRightInd/>
        <w:snapToGrid/>
        <w:spacing w:line="35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9</w:t>
      </w:r>
      <w:r>
        <w:rPr>
          <w:rStyle w:val="32"/>
          <w:color w:val="auto"/>
          <w:highlight w:val="none"/>
        </w:rPr>
        <w:t>其他合同文件：指经合同双方当事人确认构成合同文件的其他文件。</w:t>
      </w:r>
    </w:p>
    <w:p w14:paraId="7D08291B">
      <w:pPr>
        <w:pStyle w:val="97"/>
        <w:pageBreakBefore w:val="0"/>
        <w:kinsoku/>
        <w:wordWrap/>
        <w:overflowPunct/>
        <w:topLinePunct w:val="0"/>
        <w:autoSpaceDE/>
        <w:autoSpaceDN/>
        <w:bidi w:val="0"/>
        <w:adjustRightInd/>
        <w:snapToGrid/>
        <w:spacing w:line="35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w:t>
      </w:r>
      <w:r>
        <w:rPr>
          <w:rStyle w:val="32"/>
          <w:color w:val="auto"/>
          <w:highlight w:val="none"/>
        </w:rPr>
        <w:t>合同当事人和人员。</w:t>
      </w:r>
    </w:p>
    <w:p w14:paraId="1DC2E4C4">
      <w:pPr>
        <w:pStyle w:val="97"/>
        <w:pageBreakBefore w:val="0"/>
        <w:kinsoku/>
        <w:wordWrap/>
        <w:overflowPunct/>
        <w:topLinePunct w:val="0"/>
        <w:autoSpaceDE/>
        <w:autoSpaceDN/>
        <w:bidi w:val="0"/>
        <w:adjustRightInd/>
        <w:snapToGrid/>
        <w:spacing w:line="352"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1.2.1</w:t>
      </w:r>
      <w:r>
        <w:rPr>
          <w:rStyle w:val="32"/>
          <w:color w:val="auto"/>
          <w:highlight w:val="none"/>
        </w:rPr>
        <w:t>合同当事人：指发包人和（或）承包人。</w:t>
      </w:r>
    </w:p>
    <w:p w14:paraId="7B747DA1">
      <w:pPr>
        <w:pStyle w:val="97"/>
        <w:pageBreakBefore w:val="0"/>
        <w:tabs>
          <w:tab w:val="left" w:pos="944"/>
        </w:tabs>
        <w:kinsoku/>
        <w:wordWrap/>
        <w:overflowPunct/>
        <w:topLinePunct w:val="0"/>
        <w:autoSpaceDE/>
        <w:autoSpaceDN/>
        <w:bidi w:val="0"/>
        <w:adjustRightInd/>
        <w:snapToGrid/>
        <w:spacing w:line="352" w:lineRule="exact"/>
        <w:ind w:left="420" w:firstLine="0"/>
        <w:textAlignment w:val="auto"/>
        <w:outlineLvl w:val="9"/>
        <w:rPr>
          <w:rStyle w:val="32"/>
          <w:color w:val="auto"/>
          <w:highlight w:val="none"/>
        </w:rPr>
      </w:pPr>
      <w:bookmarkStart w:id="117" w:name="bookmark891"/>
      <w:bookmarkEnd w:id="117"/>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w:t>
      </w:r>
      <w:r>
        <w:rPr>
          <w:rStyle w:val="32"/>
          <w:rFonts w:hint="eastAsia" w:ascii="Times New Roman" w:hAnsi="Times New Roman" w:cs="Times New Roman"/>
          <w:color w:val="auto"/>
          <w:highlight w:val="none"/>
          <w:lang w:val="en-US" w:bidi="en-US"/>
        </w:rPr>
        <w:t>2</w:t>
      </w:r>
      <w:r>
        <w:rPr>
          <w:rStyle w:val="32"/>
          <w:color w:val="auto"/>
          <w:highlight w:val="none"/>
        </w:rPr>
        <w:t>发包人：指专用合同条款中指明并与承包人在合同协议书中签字的当事人。</w:t>
      </w:r>
    </w:p>
    <w:p w14:paraId="46002EED">
      <w:pPr>
        <w:pStyle w:val="97"/>
        <w:pageBreakBefore w:val="0"/>
        <w:tabs>
          <w:tab w:val="left" w:pos="944"/>
        </w:tabs>
        <w:kinsoku/>
        <w:wordWrap/>
        <w:overflowPunct/>
        <w:topLinePunct w:val="0"/>
        <w:autoSpaceDE/>
        <w:autoSpaceDN/>
        <w:bidi w:val="0"/>
        <w:adjustRightInd/>
        <w:snapToGrid/>
        <w:spacing w:line="352" w:lineRule="exact"/>
        <w:ind w:left="420" w:firstLine="0"/>
        <w:textAlignment w:val="auto"/>
        <w:outlineLvl w:val="9"/>
        <w:rPr>
          <w:rStyle w:val="32"/>
          <w:color w:val="auto"/>
          <w:highlight w:val="none"/>
        </w:rPr>
      </w:pPr>
      <w:bookmarkStart w:id="118" w:name="bookmark892"/>
      <w:bookmarkEnd w:id="118"/>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w:t>
      </w:r>
      <w:r>
        <w:rPr>
          <w:rStyle w:val="32"/>
          <w:rFonts w:hint="eastAsia" w:ascii="Times New Roman" w:hAnsi="Times New Roman" w:cs="Times New Roman"/>
          <w:color w:val="auto"/>
          <w:highlight w:val="none"/>
          <w:lang w:val="en-US" w:bidi="en-US"/>
        </w:rPr>
        <w:t>3</w:t>
      </w:r>
      <w:r>
        <w:rPr>
          <w:rStyle w:val="32"/>
          <w:color w:val="auto"/>
          <w:highlight w:val="none"/>
        </w:rPr>
        <w:t>承包人：指专用合同条款中指明并与发包人在合同协议书中签字的当事人。</w:t>
      </w:r>
    </w:p>
    <w:p w14:paraId="489CF9FE">
      <w:pPr>
        <w:pStyle w:val="97"/>
        <w:pageBreakBefore w:val="0"/>
        <w:kinsoku/>
        <w:wordWrap/>
        <w:overflowPunct/>
        <w:topLinePunct w:val="0"/>
        <w:autoSpaceDE/>
        <w:autoSpaceDN/>
        <w:bidi w:val="0"/>
        <w:adjustRightInd/>
        <w:snapToGrid/>
        <w:spacing w:line="352"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1.2.4</w:t>
      </w:r>
      <w:r>
        <w:rPr>
          <w:rStyle w:val="32"/>
          <w:color w:val="auto"/>
          <w:highlight w:val="none"/>
        </w:rPr>
        <w:t>承包人项目经理：指承包人派驻施工场地的全权负责人。</w:t>
      </w:r>
    </w:p>
    <w:p w14:paraId="14BB2D88">
      <w:pPr>
        <w:pStyle w:val="97"/>
        <w:pageBreakBefore w:val="0"/>
        <w:kinsoku/>
        <w:wordWrap/>
        <w:overflowPunct/>
        <w:topLinePunct w:val="0"/>
        <w:autoSpaceDE/>
        <w:autoSpaceDN/>
        <w:bidi w:val="0"/>
        <w:adjustRightInd/>
        <w:snapToGrid/>
        <w:spacing w:line="31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1.2.5</w:t>
      </w:r>
      <w:r>
        <w:rPr>
          <w:rStyle w:val="32"/>
          <w:color w:val="auto"/>
          <w:highlight w:val="none"/>
        </w:rPr>
        <w:t>分包人：指专用合同条款中指明的，从承包人处分包合同中某一部分工程, 并与其签订分包合同的分包人。</w:t>
      </w:r>
    </w:p>
    <w:p w14:paraId="3F4B4984">
      <w:pPr>
        <w:pStyle w:val="97"/>
        <w:pageBreakBefore w:val="0"/>
        <w:tabs>
          <w:tab w:val="left" w:pos="951"/>
        </w:tabs>
        <w:kinsoku/>
        <w:wordWrap/>
        <w:overflowPunct/>
        <w:topLinePunct w:val="0"/>
        <w:autoSpaceDE/>
        <w:autoSpaceDN/>
        <w:bidi w:val="0"/>
        <w:adjustRightInd/>
        <w:snapToGrid/>
        <w:spacing w:line="374" w:lineRule="exact"/>
        <w:ind w:left="420" w:firstLine="0"/>
        <w:jc w:val="both"/>
        <w:textAlignment w:val="auto"/>
        <w:outlineLvl w:val="9"/>
        <w:rPr>
          <w:rStyle w:val="32"/>
          <w:color w:val="auto"/>
          <w:highlight w:val="none"/>
        </w:rPr>
      </w:pPr>
      <w:bookmarkStart w:id="119" w:name="bookmark893"/>
      <w:bookmarkEnd w:id="119"/>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1.2.</w:t>
      </w:r>
      <w:r>
        <w:rPr>
          <w:rStyle w:val="32"/>
          <w:rFonts w:hint="eastAsia" w:ascii="Times New Roman" w:hAnsi="Times New Roman" w:cs="Times New Roman"/>
          <w:color w:val="auto"/>
          <w:highlight w:val="none"/>
          <w:lang w:val="en-US" w:bidi="en-US"/>
        </w:rPr>
        <w:t xml:space="preserve">6  </w:t>
      </w:r>
      <w:r>
        <w:rPr>
          <w:rStyle w:val="32"/>
          <w:color w:val="auto"/>
          <w:highlight w:val="none"/>
        </w:rPr>
        <w:t>监理人：指在专用合同条款中指明的，受发包人委托对合同履行实施管理的 法人或其他组织。</w:t>
      </w:r>
    </w:p>
    <w:p w14:paraId="37DA0E80">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2.</w:t>
      </w:r>
      <w:r>
        <w:rPr>
          <w:rStyle w:val="32"/>
          <w:rFonts w:ascii="Times New Roman" w:hAnsi="Times New Roman" w:eastAsia="Times New Roman" w:cs="Times New Roman"/>
          <w:color w:val="auto"/>
          <w:highlight w:val="none"/>
        </w:rPr>
        <w:t>7</w:t>
      </w:r>
      <w:r>
        <w:rPr>
          <w:rStyle w:val="32"/>
          <w:color w:val="auto"/>
          <w:highlight w:val="none"/>
        </w:rPr>
        <w:t>总监理工程师（总监）:指由监理人委派常驻施工场地对合同履行实施管理的全权负责人。</w:t>
      </w:r>
    </w:p>
    <w:p w14:paraId="5521C999">
      <w:pPr>
        <w:pStyle w:val="98"/>
        <w:pageBreakBefore w:val="0"/>
        <w:kinsoku/>
        <w:wordWrap/>
        <w:overflowPunct/>
        <w:topLinePunct w:val="0"/>
        <w:autoSpaceDE/>
        <w:autoSpaceDN/>
        <w:bidi w:val="0"/>
        <w:adjustRightInd/>
        <w:snapToGrid/>
        <w:spacing w:after="0" w:line="362" w:lineRule="exact"/>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w:t>
      </w:r>
      <w:r>
        <w:rPr>
          <w:rStyle w:val="32"/>
          <w:rFonts w:hint="eastAsia" w:ascii="Times New Roman" w:hAnsi="Times New Roman" w:cs="Times New Roman"/>
          <w:color w:val="auto"/>
          <w:highlight w:val="none"/>
          <w:lang w:eastAsia="zh-CN"/>
        </w:rPr>
        <w:t>.</w:t>
      </w:r>
      <w:r>
        <w:rPr>
          <w:rStyle w:val="32"/>
          <w:rFonts w:ascii="Times New Roman" w:hAnsi="Times New Roman" w:cs="Times New Roman"/>
          <w:color w:val="auto"/>
          <w:highlight w:val="none"/>
          <w:lang w:eastAsia="zh-CN"/>
        </w:rPr>
        <w:t>1.</w:t>
      </w:r>
      <w:r>
        <w:rPr>
          <w:rStyle w:val="32"/>
          <w:rFonts w:ascii="Times New Roman" w:hAnsi="Times New Roman" w:cs="Times New Roman"/>
          <w:color w:val="auto"/>
          <w:highlight w:val="none"/>
          <w:lang w:val="zh-CN" w:eastAsia="zh-CN" w:bidi="zh-CN"/>
        </w:rPr>
        <w:t>3</w:t>
      </w:r>
      <w:r>
        <w:rPr>
          <w:rStyle w:val="32"/>
          <w:rFonts w:ascii="宋体" w:hAnsi="宋体" w:cs="宋体"/>
          <w:color w:val="auto"/>
          <w:highlight w:val="none"/>
          <w:lang w:val="zh-CN" w:eastAsia="zh-CN" w:bidi="zh-CN"/>
        </w:rPr>
        <w:t>工程和设备</w:t>
      </w:r>
    </w:p>
    <w:p w14:paraId="620C1758">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1.3</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1</w:t>
      </w:r>
      <w:r>
        <w:rPr>
          <w:rStyle w:val="32"/>
          <w:color w:val="auto"/>
          <w:highlight w:val="none"/>
        </w:rPr>
        <w:t>工程：指永久工程和（或）临时工程。</w:t>
      </w:r>
    </w:p>
    <w:p w14:paraId="0EAC0420">
      <w:pPr>
        <w:pStyle w:val="97"/>
        <w:pageBreakBefore w:val="0"/>
        <w:tabs>
          <w:tab w:val="left" w:pos="944"/>
        </w:tabs>
        <w:kinsoku/>
        <w:wordWrap/>
        <w:overflowPunct/>
        <w:topLinePunct w:val="0"/>
        <w:autoSpaceDE/>
        <w:autoSpaceDN/>
        <w:bidi w:val="0"/>
        <w:adjustRightInd/>
        <w:snapToGrid/>
        <w:spacing w:line="362" w:lineRule="exact"/>
        <w:ind w:left="420" w:firstLine="0"/>
        <w:jc w:val="both"/>
        <w:textAlignment w:val="auto"/>
        <w:outlineLvl w:val="9"/>
        <w:rPr>
          <w:rStyle w:val="32"/>
          <w:color w:val="auto"/>
          <w:highlight w:val="none"/>
        </w:rPr>
      </w:pPr>
      <w:bookmarkStart w:id="120" w:name="bookmark894"/>
      <w:bookmarkEnd w:id="120"/>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1.3</w:t>
      </w:r>
      <w:r>
        <w:rPr>
          <w:rStyle w:val="32"/>
          <w:rFonts w:hint="eastAsia" w:ascii="Times New Roman" w:hAnsi="Times New Roman" w:cs="Times New Roman"/>
          <w:color w:val="auto"/>
          <w:highlight w:val="none"/>
          <w:lang w:val="en-US" w:bidi="en-US"/>
        </w:rPr>
        <w:t>.</w:t>
      </w:r>
      <w:r>
        <w:rPr>
          <w:rStyle w:val="32"/>
          <w:rFonts w:hint="eastAsia" w:ascii="Times New Roman" w:hAnsi="Times New Roman" w:cs="Times New Roman"/>
          <w:color w:val="auto"/>
          <w:highlight w:val="none"/>
        </w:rPr>
        <w:t>2</w:t>
      </w:r>
      <w:r>
        <w:rPr>
          <w:rStyle w:val="32"/>
          <w:color w:val="auto"/>
          <w:highlight w:val="none"/>
        </w:rPr>
        <w:t>永久工程：指按合同约定建造并移交给发包人的工程，包括工程设备。</w:t>
      </w:r>
    </w:p>
    <w:p w14:paraId="05A25C2A">
      <w:pPr>
        <w:pStyle w:val="97"/>
        <w:pageBreakBefore w:val="0"/>
        <w:tabs>
          <w:tab w:val="left" w:pos="954"/>
        </w:tabs>
        <w:kinsoku/>
        <w:wordWrap/>
        <w:overflowPunct/>
        <w:topLinePunct w:val="0"/>
        <w:autoSpaceDE/>
        <w:autoSpaceDN/>
        <w:bidi w:val="0"/>
        <w:adjustRightInd/>
        <w:snapToGrid/>
        <w:spacing w:line="372" w:lineRule="exact"/>
        <w:ind w:firstLine="426" w:firstLineChars="213"/>
        <w:jc w:val="both"/>
        <w:textAlignment w:val="auto"/>
        <w:outlineLvl w:val="9"/>
        <w:rPr>
          <w:rStyle w:val="32"/>
          <w:color w:val="auto"/>
          <w:highlight w:val="none"/>
        </w:rPr>
      </w:pPr>
      <w:bookmarkStart w:id="121" w:name="bookmark895"/>
      <w:bookmarkEnd w:id="121"/>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1.3</w:t>
      </w:r>
      <w:r>
        <w:rPr>
          <w:rStyle w:val="32"/>
          <w:rFonts w:hint="eastAsia" w:ascii="Times New Roman" w:hAnsi="Times New Roman" w:cs="Times New Roman"/>
          <w:color w:val="auto"/>
          <w:highlight w:val="none"/>
          <w:lang w:val="en-US" w:bidi="en-US"/>
        </w:rPr>
        <w:t>.</w:t>
      </w:r>
      <w:r>
        <w:rPr>
          <w:rStyle w:val="32"/>
          <w:rFonts w:hint="eastAsia" w:ascii="Times New Roman" w:hAnsi="Times New Roman" w:cs="Times New Roman"/>
          <w:color w:val="auto"/>
          <w:highlight w:val="none"/>
        </w:rPr>
        <w:t>3</w:t>
      </w:r>
      <w:r>
        <w:rPr>
          <w:rStyle w:val="32"/>
          <w:color w:val="auto"/>
          <w:highlight w:val="none"/>
        </w:rPr>
        <w:t>临时工程：指为完成合同约定的永久工程所修建的各类临时性工程，不包括施工设备。</w:t>
      </w:r>
    </w:p>
    <w:p w14:paraId="7BC81BF8">
      <w:pPr>
        <w:pStyle w:val="97"/>
        <w:pageBreakBefore w:val="0"/>
        <w:kinsoku/>
        <w:wordWrap/>
        <w:overflowPunct/>
        <w:topLinePunct w:val="0"/>
        <w:autoSpaceDE/>
        <w:autoSpaceDN/>
        <w:bidi w:val="0"/>
        <w:adjustRightInd/>
        <w:snapToGrid/>
        <w:spacing w:line="36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1.1.3</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4</w:t>
      </w:r>
      <w:r>
        <w:rPr>
          <w:rStyle w:val="32"/>
          <w:color w:val="auto"/>
          <w:highlight w:val="none"/>
        </w:rPr>
        <w:t>单位工程：指专用合同条款中指明特定范围的永久工程。</w:t>
      </w:r>
    </w:p>
    <w:p w14:paraId="093047A0">
      <w:pPr>
        <w:pStyle w:val="97"/>
        <w:pageBreakBefore w:val="0"/>
        <w:tabs>
          <w:tab w:val="left" w:pos="951"/>
        </w:tabs>
        <w:kinsoku/>
        <w:wordWrap/>
        <w:overflowPunct/>
        <w:topLinePunct w:val="0"/>
        <w:autoSpaceDE/>
        <w:autoSpaceDN/>
        <w:bidi w:val="0"/>
        <w:adjustRightInd/>
        <w:snapToGrid/>
        <w:spacing w:line="367" w:lineRule="exact"/>
        <w:ind w:firstLine="426" w:firstLineChars="213"/>
        <w:jc w:val="both"/>
        <w:textAlignment w:val="auto"/>
        <w:outlineLvl w:val="9"/>
        <w:rPr>
          <w:rStyle w:val="32"/>
          <w:color w:val="auto"/>
          <w:highlight w:val="none"/>
        </w:rPr>
      </w:pPr>
      <w:bookmarkStart w:id="122" w:name="bookmark896"/>
      <w:bookmarkEnd w:id="122"/>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1.3</w:t>
      </w:r>
      <w:r>
        <w:rPr>
          <w:rStyle w:val="32"/>
          <w:rFonts w:hint="eastAsia" w:ascii="Times New Roman" w:hAnsi="Times New Roman" w:cs="Times New Roman"/>
          <w:color w:val="auto"/>
          <w:highlight w:val="none"/>
          <w:lang w:val="en-US" w:bidi="en-US"/>
        </w:rPr>
        <w:t>.</w:t>
      </w:r>
      <w:r>
        <w:rPr>
          <w:rStyle w:val="32"/>
          <w:rFonts w:hint="eastAsia" w:ascii="Times New Roman" w:hAnsi="Times New Roman" w:cs="Times New Roman"/>
          <w:color w:val="auto"/>
          <w:highlight w:val="none"/>
        </w:rPr>
        <w:t>5</w:t>
      </w:r>
      <w:r>
        <w:rPr>
          <w:rStyle w:val="32"/>
          <w:color w:val="auto"/>
          <w:highlight w:val="none"/>
        </w:rPr>
        <w:t>工程设备：指构成或计划构成永久工程一部分的机电设备、金属结构设备、仪器装置及其他类似的设备和装置。</w:t>
      </w:r>
    </w:p>
    <w:p w14:paraId="733313E7">
      <w:pPr>
        <w:pStyle w:val="97"/>
        <w:pageBreakBefore w:val="0"/>
        <w:tabs>
          <w:tab w:val="left" w:pos="954"/>
        </w:tabs>
        <w:kinsoku/>
        <w:wordWrap/>
        <w:overflowPunct/>
        <w:topLinePunct w:val="0"/>
        <w:autoSpaceDE/>
        <w:autoSpaceDN/>
        <w:bidi w:val="0"/>
        <w:adjustRightInd/>
        <w:snapToGrid/>
        <w:spacing w:line="361" w:lineRule="exact"/>
        <w:ind w:firstLine="426" w:firstLineChars="213"/>
        <w:jc w:val="both"/>
        <w:textAlignment w:val="auto"/>
        <w:outlineLvl w:val="9"/>
        <w:rPr>
          <w:rStyle w:val="32"/>
          <w:color w:val="auto"/>
          <w:highlight w:val="none"/>
        </w:rPr>
      </w:pPr>
      <w:bookmarkStart w:id="123" w:name="bookmark897"/>
      <w:bookmarkEnd w:id="123"/>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1.3.</w:t>
      </w:r>
      <w:r>
        <w:rPr>
          <w:rStyle w:val="32"/>
          <w:rFonts w:hint="eastAsia" w:ascii="Times New Roman" w:hAnsi="Times New Roman" w:cs="Times New Roman"/>
          <w:color w:val="auto"/>
          <w:highlight w:val="none"/>
        </w:rPr>
        <w:t>6</w:t>
      </w:r>
      <w:r>
        <w:rPr>
          <w:rStyle w:val="32"/>
          <w:color w:val="auto"/>
          <w:highlight w:val="none"/>
        </w:rPr>
        <w:t>施工设备：指为完成合同约定的各项工作所需的设备、器具和其他物品，不包括临时工程和材料。</w:t>
      </w:r>
    </w:p>
    <w:p w14:paraId="6EA99D9B">
      <w:pPr>
        <w:pStyle w:val="97"/>
        <w:pageBreakBefore w:val="0"/>
        <w:tabs>
          <w:tab w:val="left" w:pos="944"/>
        </w:tabs>
        <w:kinsoku/>
        <w:wordWrap/>
        <w:overflowPunct/>
        <w:topLinePunct w:val="0"/>
        <w:autoSpaceDE/>
        <w:autoSpaceDN/>
        <w:bidi w:val="0"/>
        <w:adjustRightInd/>
        <w:snapToGrid/>
        <w:spacing w:line="361" w:lineRule="exact"/>
        <w:ind w:left="420" w:firstLine="0"/>
        <w:jc w:val="both"/>
        <w:textAlignment w:val="auto"/>
        <w:outlineLvl w:val="9"/>
        <w:rPr>
          <w:rStyle w:val="32"/>
          <w:color w:val="auto"/>
          <w:highlight w:val="none"/>
        </w:rPr>
      </w:pPr>
      <w:bookmarkStart w:id="124" w:name="bookmark898"/>
      <w:bookmarkEnd w:id="124"/>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1.3</w:t>
      </w:r>
      <w:r>
        <w:rPr>
          <w:rStyle w:val="32"/>
          <w:rFonts w:hint="eastAsia" w:ascii="Times New Roman" w:hAnsi="Times New Roman" w:cs="Times New Roman"/>
          <w:color w:val="auto"/>
          <w:highlight w:val="none"/>
          <w:lang w:val="en-US" w:bidi="en-US"/>
        </w:rPr>
        <w:t>.</w:t>
      </w:r>
      <w:r>
        <w:rPr>
          <w:rStyle w:val="32"/>
          <w:rFonts w:hint="eastAsia" w:ascii="Times New Roman" w:hAnsi="Times New Roman" w:eastAsia="Times New Roman" w:cs="Times New Roman"/>
          <w:color w:val="auto"/>
          <w:highlight w:val="none"/>
          <w:lang w:val="en-US" w:bidi="en-US"/>
        </w:rPr>
        <w:t>7</w:t>
      </w:r>
      <w:r>
        <w:rPr>
          <w:rStyle w:val="32"/>
          <w:color w:val="auto"/>
          <w:highlight w:val="none"/>
        </w:rPr>
        <w:t>临时设施：指为完成合同约定的各项工作所服务的临时性生产和生活设施。</w:t>
      </w:r>
    </w:p>
    <w:p w14:paraId="6CC19216">
      <w:pPr>
        <w:pStyle w:val="97"/>
        <w:pageBreakBefore w:val="0"/>
        <w:tabs>
          <w:tab w:val="left" w:pos="954"/>
        </w:tabs>
        <w:kinsoku/>
        <w:wordWrap/>
        <w:overflowPunct/>
        <w:topLinePunct w:val="0"/>
        <w:autoSpaceDE/>
        <w:autoSpaceDN/>
        <w:bidi w:val="0"/>
        <w:adjustRightInd/>
        <w:snapToGrid/>
        <w:spacing w:line="361" w:lineRule="exact"/>
        <w:ind w:left="420" w:firstLine="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3</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8</w:t>
      </w:r>
      <w:r>
        <w:rPr>
          <w:rStyle w:val="32"/>
          <w:color w:val="auto"/>
          <w:highlight w:val="none"/>
        </w:rPr>
        <w:t>承包人设备：指承包人自带的施工设备。</w:t>
      </w:r>
    </w:p>
    <w:p w14:paraId="56DA4981">
      <w:pPr>
        <w:pStyle w:val="97"/>
        <w:pageBreakBefore w:val="0"/>
        <w:tabs>
          <w:tab w:val="left" w:pos="954"/>
        </w:tabs>
        <w:kinsoku/>
        <w:wordWrap/>
        <w:overflowPunct/>
        <w:topLinePunct w:val="0"/>
        <w:autoSpaceDE/>
        <w:autoSpaceDN/>
        <w:bidi w:val="0"/>
        <w:adjustRightInd/>
        <w:snapToGrid/>
        <w:spacing w:line="361" w:lineRule="exact"/>
        <w:ind w:firstLine="426" w:firstLineChars="213"/>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3</w:t>
      </w:r>
      <w:r>
        <w:rPr>
          <w:rStyle w:val="32"/>
          <w:rFonts w:hint="eastAsia" w:ascii="Times New Roman" w:hAnsi="Times New Roman" w:cs="Times New Roman"/>
          <w:color w:val="auto"/>
          <w:highlight w:val="none"/>
          <w:lang w:val="en-US" w:bidi="en-US"/>
        </w:rPr>
        <w:t>.9</w:t>
      </w:r>
      <w:r>
        <w:rPr>
          <w:rStyle w:val="32"/>
          <w:color w:val="auto"/>
          <w:highlight w:val="none"/>
        </w:rPr>
        <w:t>施工场地（或称工地、现场）：指用于合同工程施工的场所，以及在合同中指定作为施工场地组成部分的其他场所，包括永久占地和临时占地。</w:t>
      </w:r>
    </w:p>
    <w:p w14:paraId="4F3D0326">
      <w:pPr>
        <w:pStyle w:val="97"/>
        <w:pageBreakBefore w:val="0"/>
        <w:tabs>
          <w:tab w:val="left" w:pos="951"/>
        </w:tabs>
        <w:kinsoku/>
        <w:wordWrap/>
        <w:overflowPunct/>
        <w:topLinePunct w:val="0"/>
        <w:autoSpaceDE/>
        <w:autoSpaceDN/>
        <w:bidi w:val="0"/>
        <w:adjustRightInd/>
        <w:snapToGrid/>
        <w:spacing w:line="361" w:lineRule="exact"/>
        <w:ind w:left="420" w:firstLine="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3</w:t>
      </w:r>
      <w:r>
        <w:rPr>
          <w:rStyle w:val="32"/>
          <w:rFonts w:hint="eastAsia" w:ascii="Times New Roman" w:hAnsi="Times New Roman" w:cs="Times New Roman"/>
          <w:color w:val="auto"/>
          <w:highlight w:val="none"/>
          <w:lang w:val="en-US" w:bidi="en-US"/>
        </w:rPr>
        <w:t>.10</w:t>
      </w:r>
      <w:r>
        <w:rPr>
          <w:rStyle w:val="32"/>
          <w:color w:val="auto"/>
          <w:highlight w:val="none"/>
        </w:rPr>
        <w:t>永久占地：指发包人为建设本合同工程永久征用的场地。</w:t>
      </w:r>
    </w:p>
    <w:p w14:paraId="350E6A94">
      <w:pPr>
        <w:pStyle w:val="97"/>
        <w:pageBreakBefore w:val="0"/>
        <w:tabs>
          <w:tab w:val="left" w:pos="951"/>
        </w:tabs>
        <w:kinsoku/>
        <w:wordWrap/>
        <w:overflowPunct/>
        <w:topLinePunct w:val="0"/>
        <w:autoSpaceDE/>
        <w:autoSpaceDN/>
        <w:bidi w:val="0"/>
        <w:adjustRightInd/>
        <w:snapToGrid/>
        <w:spacing w:line="367" w:lineRule="exact"/>
        <w:ind w:firstLine="426" w:firstLineChars="213"/>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1.1.3.11</w:t>
      </w:r>
      <w:r>
        <w:rPr>
          <w:rStyle w:val="32"/>
          <w:color w:val="auto"/>
          <w:highlight w:val="none"/>
        </w:rPr>
        <w:t>临时占地：指发包人为建设本合同工程临时征用，并应在完工后须按合同 要求退还的场地。</w:t>
      </w:r>
    </w:p>
    <w:p w14:paraId="186E9845">
      <w:pPr>
        <w:pStyle w:val="98"/>
        <w:pageBreakBefore w:val="0"/>
        <w:kinsoku/>
        <w:wordWrap/>
        <w:overflowPunct/>
        <w:topLinePunct w:val="0"/>
        <w:autoSpaceDE/>
        <w:autoSpaceDN/>
        <w:bidi w:val="0"/>
        <w:adjustRightInd/>
        <w:snapToGrid/>
        <w:spacing w:after="0"/>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1.1.4</w:t>
      </w:r>
      <w:r>
        <w:rPr>
          <w:rStyle w:val="32"/>
          <w:rFonts w:ascii="宋体" w:hAnsi="宋体" w:cs="宋体"/>
          <w:color w:val="auto"/>
          <w:highlight w:val="none"/>
          <w:lang w:val="zh-CN" w:eastAsia="zh-CN" w:bidi="zh-CN"/>
        </w:rPr>
        <w:t>日期</w:t>
      </w:r>
    </w:p>
    <w:p w14:paraId="2AAB7ABA">
      <w:pPr>
        <w:pStyle w:val="97"/>
        <w:pageBreakBefore w:val="0"/>
        <w:kinsoku/>
        <w:wordWrap/>
        <w:overflowPunct/>
        <w:topLinePunct w:val="0"/>
        <w:autoSpaceDE/>
        <w:autoSpaceDN/>
        <w:bidi w:val="0"/>
        <w:adjustRightInd/>
        <w:snapToGrid/>
        <w:spacing w:line="348"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1.1.4. </w:t>
      </w:r>
      <w:r>
        <w:rPr>
          <w:rStyle w:val="32"/>
          <w:rFonts w:ascii="Times New Roman" w:hAnsi="Times New Roman" w:eastAsia="Times New Roman" w:cs="Times New Roman"/>
          <w:color w:val="auto"/>
          <w:highlight w:val="none"/>
        </w:rPr>
        <w:t>1</w:t>
      </w:r>
      <w:r>
        <w:rPr>
          <w:rStyle w:val="32"/>
          <w:color w:val="auto"/>
          <w:highlight w:val="none"/>
        </w:rPr>
        <w:t>开工通知：指监理人按第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1</w:t>
      </w:r>
      <w:r>
        <w:rPr>
          <w:rStyle w:val="32"/>
          <w:color w:val="auto"/>
          <w:highlight w:val="none"/>
        </w:rPr>
        <w:t>款通知承包人开工的函件。</w:t>
      </w:r>
    </w:p>
    <w:p w14:paraId="4FAF39F8">
      <w:pPr>
        <w:pStyle w:val="97"/>
        <w:pageBreakBefore w:val="0"/>
        <w:kinsoku/>
        <w:wordWrap/>
        <w:overflowPunct/>
        <w:topLinePunct w:val="0"/>
        <w:autoSpaceDE/>
        <w:autoSpaceDN/>
        <w:bidi w:val="0"/>
        <w:adjustRightInd/>
        <w:snapToGrid/>
        <w:spacing w:line="348"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1.1.4.2</w:t>
      </w:r>
      <w:r>
        <w:rPr>
          <w:rStyle w:val="32"/>
          <w:color w:val="auto"/>
          <w:highlight w:val="none"/>
        </w:rPr>
        <w:t>开工日期：指监理人按第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1</w:t>
      </w:r>
      <w:r>
        <w:rPr>
          <w:rStyle w:val="32"/>
          <w:color w:val="auto"/>
          <w:highlight w:val="none"/>
        </w:rPr>
        <w:t>款发出的开工通知中写明的开工日期。</w:t>
      </w:r>
    </w:p>
    <w:p w14:paraId="263FD0F9">
      <w:pPr>
        <w:pStyle w:val="97"/>
        <w:pageBreakBefore w:val="0"/>
        <w:kinsoku/>
        <w:wordWrap/>
        <w:overflowPunct/>
        <w:topLinePunct w:val="0"/>
        <w:autoSpaceDE/>
        <w:autoSpaceDN/>
        <w:bidi w:val="0"/>
        <w:adjustRightInd/>
        <w:snapToGrid/>
        <w:spacing w:line="348"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1.1.4.3</w:t>
      </w:r>
      <w:r>
        <w:rPr>
          <w:rStyle w:val="32"/>
          <w:color w:val="auto"/>
          <w:highlight w:val="none"/>
        </w:rPr>
        <w:t>工期：指承包人在投标函中承诺的完成合同工程所需的期限，包括按第</w:t>
      </w:r>
      <w:r>
        <w:rPr>
          <w:rStyle w:val="32"/>
          <w:rFonts w:ascii="Times New Roman" w:hAnsi="Times New Roman" w:eastAsia="Times New Roman" w:cs="Times New Roman"/>
          <w:color w:val="auto"/>
          <w:highlight w:val="none"/>
          <w:lang w:val="en-US" w:bidi="en-US"/>
        </w:rPr>
        <w:t xml:space="preserve">11.3 </w:t>
      </w:r>
      <w:r>
        <w:rPr>
          <w:rStyle w:val="32"/>
          <w:color w:val="auto"/>
          <w:highlight w:val="none"/>
        </w:rPr>
        <w:t>款、第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4</w:t>
      </w:r>
      <w:r>
        <w:rPr>
          <w:rStyle w:val="32"/>
          <w:color w:val="auto"/>
          <w:highlight w:val="none"/>
        </w:rPr>
        <w:t>款和第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6</w:t>
      </w:r>
      <w:r>
        <w:rPr>
          <w:rStyle w:val="32"/>
          <w:color w:val="auto"/>
          <w:highlight w:val="none"/>
        </w:rPr>
        <w:t>款约定所作的变更。</w:t>
      </w:r>
    </w:p>
    <w:p w14:paraId="4F61FF84">
      <w:pPr>
        <w:pStyle w:val="97"/>
        <w:pageBreakBefore w:val="0"/>
        <w:tabs>
          <w:tab w:val="left" w:pos="949"/>
        </w:tabs>
        <w:kinsoku/>
        <w:wordWrap/>
        <w:overflowPunct/>
        <w:topLinePunct w:val="0"/>
        <w:autoSpaceDE/>
        <w:autoSpaceDN/>
        <w:bidi w:val="0"/>
        <w:adjustRightInd/>
        <w:snapToGrid/>
        <w:spacing w:line="374" w:lineRule="exact"/>
        <w:ind w:firstLine="426" w:firstLineChars="213"/>
        <w:jc w:val="both"/>
        <w:textAlignment w:val="auto"/>
        <w:outlineLvl w:val="9"/>
        <w:rPr>
          <w:rStyle w:val="32"/>
          <w:color w:val="auto"/>
          <w:highlight w:val="none"/>
        </w:rPr>
      </w:pPr>
      <w:bookmarkStart w:id="125" w:name="bookmark899"/>
      <w:bookmarkEnd w:id="125"/>
      <w:r>
        <w:rPr>
          <w:rStyle w:val="32"/>
          <w:rFonts w:ascii="Times New Roman" w:hAnsi="Times New Roman" w:eastAsia="Times New Roman" w:cs="Times New Roman"/>
          <w:color w:val="auto"/>
          <w:highlight w:val="none"/>
          <w:lang w:val="en-US" w:bidi="en-US"/>
        </w:rPr>
        <w:t>1.1.4.</w:t>
      </w:r>
      <w:r>
        <w:rPr>
          <w:rStyle w:val="32"/>
          <w:rFonts w:hint="eastAsia" w:ascii="Times New Roman" w:hAnsi="Times New Roman" w:cs="Times New Roman"/>
          <w:color w:val="auto"/>
          <w:highlight w:val="none"/>
          <w:lang w:val="en-US" w:bidi="en-US"/>
        </w:rPr>
        <w:t xml:space="preserve">4  </w:t>
      </w:r>
      <w:r>
        <w:rPr>
          <w:rStyle w:val="32"/>
          <w:color w:val="auto"/>
          <w:highlight w:val="none"/>
        </w:rPr>
        <w:t>竣工日期：即合同工程完工日期，指第</w:t>
      </w:r>
      <w:r>
        <w:rPr>
          <w:rStyle w:val="32"/>
          <w:rFonts w:ascii="Times New Roman" w:hAnsi="Times New Roman" w:eastAsia="Times New Roman" w:cs="Times New Roman"/>
          <w:color w:val="auto"/>
          <w:highlight w:val="none"/>
          <w:lang w:val="en-US" w:bidi="en-US"/>
        </w:rPr>
        <w:t xml:space="preserve">1.1. 4. </w:t>
      </w:r>
      <w:r>
        <w:rPr>
          <w:rStyle w:val="32"/>
          <w:rFonts w:ascii="Times New Roman" w:hAnsi="Times New Roman" w:eastAsia="Times New Roman" w:cs="Times New Roman"/>
          <w:color w:val="auto"/>
          <w:highlight w:val="none"/>
        </w:rPr>
        <w:t>3</w:t>
      </w:r>
      <w:r>
        <w:rPr>
          <w:rStyle w:val="32"/>
          <w:color w:val="auto"/>
          <w:highlight w:val="none"/>
        </w:rPr>
        <w:t>目约定工期届满时的日期。 实际完工时间以合同工程完工证书中写明的日期为准。</w:t>
      </w:r>
    </w:p>
    <w:p w14:paraId="2447B163">
      <w:pPr>
        <w:pStyle w:val="97"/>
        <w:pageBreakBefore w:val="0"/>
        <w:tabs>
          <w:tab w:val="left" w:pos="954"/>
        </w:tabs>
        <w:kinsoku/>
        <w:wordWrap/>
        <w:overflowPunct/>
        <w:topLinePunct w:val="0"/>
        <w:autoSpaceDE/>
        <w:autoSpaceDN/>
        <w:bidi w:val="0"/>
        <w:adjustRightInd/>
        <w:snapToGrid/>
        <w:spacing w:line="370" w:lineRule="exact"/>
        <w:ind w:firstLine="426" w:firstLineChars="213"/>
        <w:jc w:val="both"/>
        <w:textAlignment w:val="auto"/>
        <w:outlineLvl w:val="9"/>
        <w:rPr>
          <w:rStyle w:val="32"/>
          <w:color w:val="auto"/>
          <w:highlight w:val="none"/>
        </w:rPr>
      </w:pPr>
      <w:bookmarkStart w:id="126" w:name="bookmark900"/>
      <w:bookmarkEnd w:id="126"/>
      <w:r>
        <w:rPr>
          <w:rStyle w:val="32"/>
          <w:rFonts w:ascii="Times New Roman" w:hAnsi="Times New Roman" w:eastAsia="Times New Roman" w:cs="Times New Roman"/>
          <w:color w:val="auto"/>
          <w:highlight w:val="none"/>
          <w:lang w:val="en-US" w:bidi="en-US"/>
        </w:rPr>
        <w:t>1.1.4.</w:t>
      </w:r>
      <w:r>
        <w:rPr>
          <w:rStyle w:val="32"/>
          <w:rFonts w:hint="eastAsia" w:ascii="Times New Roman" w:hAnsi="Times New Roman" w:cs="Times New Roman"/>
          <w:color w:val="auto"/>
          <w:highlight w:val="none"/>
          <w:lang w:val="en-US" w:bidi="en-US"/>
        </w:rPr>
        <w:t xml:space="preserve">5  </w:t>
      </w:r>
      <w:r>
        <w:rPr>
          <w:rStyle w:val="32"/>
          <w:color w:val="auto"/>
          <w:highlight w:val="none"/>
        </w:rPr>
        <w:t>缺陷责任期：即工程质量保修期，指履行第</w:t>
      </w:r>
      <w:r>
        <w:rPr>
          <w:rStyle w:val="32"/>
          <w:rFonts w:ascii="Times New Roman" w:hAnsi="Times New Roman" w:eastAsia="Times New Roman" w:cs="Times New Roman"/>
          <w:color w:val="auto"/>
          <w:highlight w:val="none"/>
          <w:lang w:val="en-US" w:bidi="en-US"/>
        </w:rPr>
        <w:t xml:space="preserve">19. </w:t>
      </w:r>
      <w:r>
        <w:rPr>
          <w:rStyle w:val="32"/>
          <w:rFonts w:ascii="Times New Roman" w:hAnsi="Times New Roman" w:eastAsia="Times New Roman" w:cs="Times New Roman"/>
          <w:color w:val="auto"/>
          <w:highlight w:val="none"/>
        </w:rPr>
        <w:t>2</w:t>
      </w:r>
      <w:r>
        <w:rPr>
          <w:rStyle w:val="32"/>
          <w:color w:val="auto"/>
          <w:highlight w:val="none"/>
        </w:rPr>
        <w:t>款约定的缺陷责任的期限, 包括根据第</w:t>
      </w:r>
      <w:r>
        <w:rPr>
          <w:rStyle w:val="32"/>
          <w:rFonts w:ascii="Times New Roman" w:hAnsi="Times New Roman" w:eastAsia="Times New Roman" w:cs="Times New Roman"/>
          <w:color w:val="auto"/>
          <w:highlight w:val="none"/>
          <w:lang w:val="en-US" w:bidi="en-US"/>
        </w:rPr>
        <w:t xml:space="preserve">19. </w:t>
      </w:r>
      <w:r>
        <w:rPr>
          <w:rStyle w:val="32"/>
          <w:rFonts w:ascii="Times New Roman" w:hAnsi="Times New Roman" w:eastAsia="Times New Roman" w:cs="Times New Roman"/>
          <w:color w:val="auto"/>
          <w:highlight w:val="none"/>
        </w:rPr>
        <w:t>3</w:t>
      </w:r>
      <w:r>
        <w:rPr>
          <w:rStyle w:val="32"/>
          <w:color w:val="auto"/>
          <w:highlight w:val="none"/>
        </w:rPr>
        <w:t>款约定所作的延长，具体期限由专用合同条款约定。</w:t>
      </w:r>
    </w:p>
    <w:p w14:paraId="0E09B8BC">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1.1.4.6</w:t>
      </w:r>
      <w:r>
        <w:rPr>
          <w:rStyle w:val="32"/>
          <w:color w:val="auto"/>
          <w:highlight w:val="none"/>
        </w:rPr>
        <w:t>基准日期：指投标截止时间前</w:t>
      </w:r>
      <w:r>
        <w:rPr>
          <w:rStyle w:val="32"/>
          <w:rFonts w:ascii="Times New Roman" w:hAnsi="Times New Roman" w:eastAsia="Times New Roman" w:cs="Times New Roman"/>
          <w:color w:val="auto"/>
          <w:highlight w:val="none"/>
        </w:rPr>
        <w:t>28</w:t>
      </w:r>
      <w:r>
        <w:rPr>
          <w:rStyle w:val="32"/>
          <w:color w:val="auto"/>
          <w:highlight w:val="none"/>
        </w:rPr>
        <w:t>天的日期。</w:t>
      </w:r>
    </w:p>
    <w:p w14:paraId="605EB980">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1.1.4.7</w:t>
      </w:r>
      <w:r>
        <w:rPr>
          <w:rStyle w:val="32"/>
          <w:color w:val="auto"/>
          <w:highlight w:val="none"/>
        </w:rPr>
        <w:t>天：除特别指明外，指日历天。合同中按天计算时间的，开始当天不计入, 从次日开始计算。期限最后一天的截止时间为当天</w:t>
      </w:r>
      <w:r>
        <w:rPr>
          <w:rStyle w:val="32"/>
          <w:rFonts w:ascii="Times New Roman" w:hAnsi="Times New Roman" w:eastAsia="Times New Roman" w:cs="Times New Roman"/>
          <w:color w:val="auto"/>
          <w:highlight w:val="none"/>
        </w:rPr>
        <w:t>24</w:t>
      </w:r>
      <w:r>
        <w:rPr>
          <w:rStyle w:val="32"/>
          <w:color w:val="auto"/>
          <w:highlight w:val="none"/>
        </w:rPr>
        <w:t>：</w:t>
      </w:r>
      <w:r>
        <w:rPr>
          <w:rStyle w:val="32"/>
          <w:rFonts w:ascii="Times New Roman" w:hAnsi="Times New Roman" w:eastAsia="Times New Roman" w:cs="Times New Roman"/>
          <w:color w:val="auto"/>
          <w:highlight w:val="none"/>
          <w:lang w:val="en-US" w:bidi="en-US"/>
        </w:rPr>
        <w:t>00</w:t>
      </w:r>
      <w:r>
        <w:rPr>
          <w:rStyle w:val="32"/>
          <w:rFonts w:ascii="Times New Roman" w:hAnsi="Times New Roman" w:eastAsia="Times New Roman" w:cs="Times New Roman"/>
          <w:color w:val="auto"/>
          <w:highlight w:val="none"/>
          <w:vertAlign w:val="subscript"/>
          <w:lang w:val="en-US" w:bidi="en-US"/>
        </w:rPr>
        <w:t>o</w:t>
      </w:r>
    </w:p>
    <w:p w14:paraId="706B27FD">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1.1.5</w:t>
      </w:r>
      <w:r>
        <w:rPr>
          <w:rStyle w:val="32"/>
          <w:color w:val="auto"/>
          <w:highlight w:val="none"/>
        </w:rPr>
        <w:t>合同价格和费用</w:t>
      </w:r>
    </w:p>
    <w:p w14:paraId="7A3E86E6">
      <w:pPr>
        <w:pStyle w:val="97"/>
        <w:pageBreakBefore w:val="0"/>
        <w:tabs>
          <w:tab w:val="left" w:pos="934"/>
        </w:tabs>
        <w:kinsoku/>
        <w:wordWrap/>
        <w:overflowPunct/>
        <w:topLinePunct w:val="0"/>
        <w:autoSpaceDE/>
        <w:autoSpaceDN/>
        <w:bidi w:val="0"/>
        <w:adjustRightInd/>
        <w:snapToGrid/>
        <w:spacing w:line="360" w:lineRule="exact"/>
        <w:ind w:firstLine="426" w:firstLineChars="213"/>
        <w:jc w:val="both"/>
        <w:textAlignment w:val="auto"/>
        <w:outlineLvl w:val="9"/>
        <w:rPr>
          <w:rStyle w:val="32"/>
          <w:color w:val="auto"/>
          <w:highlight w:val="none"/>
        </w:rPr>
      </w:pPr>
      <w:bookmarkStart w:id="127" w:name="bookmark901"/>
      <w:bookmarkEnd w:id="127"/>
      <w:r>
        <w:rPr>
          <w:rStyle w:val="32"/>
          <w:rFonts w:ascii="Times New Roman" w:hAnsi="Times New Roman" w:eastAsia="Times New Roman" w:cs="Times New Roman"/>
          <w:color w:val="auto"/>
          <w:highlight w:val="none"/>
          <w:lang w:val="en-US" w:bidi="en-US"/>
        </w:rPr>
        <w:t>1.1.5.1</w:t>
      </w:r>
      <w:r>
        <w:rPr>
          <w:rStyle w:val="32"/>
          <w:color w:val="auto"/>
          <w:highlight w:val="none"/>
        </w:rPr>
        <w:t>签约合同价：指签定合同时合同协议书中写明的，包括了暂列金额、暂估价的合同总金额。</w:t>
      </w:r>
    </w:p>
    <w:p w14:paraId="6E065A5D">
      <w:pPr>
        <w:pStyle w:val="97"/>
        <w:pageBreakBefore w:val="0"/>
        <w:tabs>
          <w:tab w:val="left" w:pos="954"/>
        </w:tabs>
        <w:kinsoku/>
        <w:wordWrap/>
        <w:overflowPunct/>
        <w:topLinePunct w:val="0"/>
        <w:autoSpaceDE/>
        <w:autoSpaceDN/>
        <w:bidi w:val="0"/>
        <w:adjustRightInd/>
        <w:snapToGrid/>
        <w:spacing w:line="360" w:lineRule="exact"/>
        <w:ind w:firstLine="426" w:firstLineChars="213"/>
        <w:jc w:val="both"/>
        <w:textAlignment w:val="auto"/>
        <w:outlineLvl w:val="9"/>
        <w:rPr>
          <w:rStyle w:val="32"/>
          <w:color w:val="auto"/>
          <w:highlight w:val="none"/>
        </w:rPr>
      </w:pPr>
      <w:bookmarkStart w:id="128" w:name="bookmark902"/>
      <w:bookmarkEnd w:id="128"/>
      <w:r>
        <w:rPr>
          <w:rStyle w:val="32"/>
          <w:rFonts w:ascii="Times New Roman" w:hAnsi="Times New Roman" w:cs="Times New Roman"/>
          <w:color w:val="auto"/>
          <w:highlight w:val="none"/>
        </w:rPr>
        <w:t>1.1.5.2</w:t>
      </w:r>
      <w:r>
        <w:rPr>
          <w:rStyle w:val="32"/>
          <w:color w:val="auto"/>
          <w:highlight w:val="none"/>
        </w:rPr>
        <w:t>合同价格：指承包人按合同约定完成了包括缺陷责任期内的全部承包工作后，发包人应付给承包人的金额，包括在履行合同过程中按合同约定进行的变更和调整。</w:t>
      </w:r>
    </w:p>
    <w:p w14:paraId="1D5A8498">
      <w:pPr>
        <w:pStyle w:val="97"/>
        <w:pageBreakBefore w:val="0"/>
        <w:tabs>
          <w:tab w:val="left" w:pos="954"/>
        </w:tabs>
        <w:kinsoku/>
        <w:wordWrap/>
        <w:overflowPunct/>
        <w:topLinePunct w:val="0"/>
        <w:autoSpaceDE/>
        <w:autoSpaceDN/>
        <w:bidi w:val="0"/>
        <w:adjustRightInd/>
        <w:snapToGrid/>
        <w:spacing w:line="360" w:lineRule="exact"/>
        <w:ind w:firstLine="426" w:firstLineChars="213"/>
        <w:jc w:val="both"/>
        <w:textAlignment w:val="auto"/>
        <w:outlineLvl w:val="9"/>
        <w:rPr>
          <w:rStyle w:val="32"/>
          <w:color w:val="auto"/>
          <w:highlight w:val="none"/>
        </w:rPr>
      </w:pPr>
      <w:bookmarkStart w:id="129" w:name="bookmark903"/>
      <w:bookmarkEnd w:id="129"/>
      <w:r>
        <w:rPr>
          <w:rStyle w:val="32"/>
          <w:rFonts w:ascii="Times New Roman" w:hAnsi="Times New Roman" w:cs="Times New Roman"/>
          <w:color w:val="auto"/>
          <w:highlight w:val="none"/>
        </w:rPr>
        <w:t>1.1.5.3</w:t>
      </w:r>
      <w:r>
        <w:rPr>
          <w:rStyle w:val="32"/>
          <w:color w:val="auto"/>
          <w:highlight w:val="none"/>
        </w:rPr>
        <w:t>费用：指为履行合同所发生的或将要发生的所有合理开支，包括管理费和应分摊的其他费用，但不包括利润。</w:t>
      </w:r>
    </w:p>
    <w:p w14:paraId="261D7550">
      <w:pPr>
        <w:pStyle w:val="97"/>
        <w:pageBreakBefore w:val="0"/>
        <w:kinsoku/>
        <w:wordWrap/>
        <w:overflowPunct/>
        <w:topLinePunct w:val="0"/>
        <w:autoSpaceDE/>
        <w:autoSpaceDN/>
        <w:bidi w:val="0"/>
        <w:adjustRightInd/>
        <w:snapToGrid/>
        <w:spacing w:line="36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1.5.4</w:t>
      </w:r>
      <w:r>
        <w:rPr>
          <w:rStyle w:val="32"/>
          <w:color w:val="auto"/>
          <w:highlight w:val="none"/>
        </w:rPr>
        <w:t>暂列金额：指已标价工程量清单中所列的暂列金额，用于在签订协议书时尚 未确定或不可预见变更的施工及其所需材料、工程设备、服务等的金额，包括以计日工方式支付的金额。</w:t>
      </w:r>
    </w:p>
    <w:p w14:paraId="1899DC25">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1. 1.5.5</w:t>
      </w:r>
      <w:r>
        <w:rPr>
          <w:rStyle w:val="32"/>
          <w:color w:val="auto"/>
          <w:highlight w:val="none"/>
        </w:rPr>
        <w:t>暂估价：指发包人在工程量清单中给定的用于支付必然发生但暂时不能确定价格的材料、设备以及专业工程的金额。</w:t>
      </w:r>
    </w:p>
    <w:p w14:paraId="3E1EC895">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bookmarkStart w:id="130" w:name="bookmark904"/>
      <w:bookmarkEnd w:id="130"/>
      <w:r>
        <w:rPr>
          <w:rStyle w:val="32"/>
          <w:rFonts w:ascii="Times New Roman" w:hAnsi="Times New Roman" w:eastAsia="Times New Roman" w:cs="Times New Roman"/>
          <w:color w:val="auto"/>
          <w:highlight w:val="none"/>
          <w:lang w:val="en-US" w:bidi="en-US"/>
        </w:rPr>
        <w:t>1.1.5. 6</w:t>
      </w:r>
      <w:r>
        <w:rPr>
          <w:rStyle w:val="32"/>
          <w:color w:val="auto"/>
          <w:highlight w:val="none"/>
        </w:rPr>
        <w:t>计日工：指对零星工作采取的一种计价方式，按合同中的计日工子目及其单 价计价付款。</w:t>
      </w:r>
    </w:p>
    <w:p w14:paraId="4DB55CE9">
      <w:pPr>
        <w:pStyle w:val="97"/>
        <w:pageBreakBefore w:val="0"/>
        <w:kinsoku/>
        <w:wordWrap/>
        <w:overflowPunct/>
        <w:topLinePunct w:val="0"/>
        <w:autoSpaceDE/>
        <w:autoSpaceDN/>
        <w:bidi w:val="0"/>
        <w:adjustRightInd/>
        <w:snapToGrid/>
        <w:spacing w:after="140" w:line="37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1.1.5.7</w:t>
      </w:r>
      <w:r>
        <w:rPr>
          <w:rStyle w:val="32"/>
          <w:color w:val="auto"/>
          <w:highlight w:val="none"/>
        </w:rPr>
        <w:t>质量保证金(或称保留金)：指按第</w:t>
      </w:r>
      <w:r>
        <w:rPr>
          <w:rStyle w:val="32"/>
          <w:rFonts w:ascii="Times New Roman" w:hAnsi="Times New Roman" w:eastAsia="Times New Roman" w:cs="Times New Roman"/>
          <w:color w:val="auto"/>
          <w:highlight w:val="none"/>
          <w:lang w:val="en-US" w:bidi="en-US"/>
        </w:rPr>
        <w:t>17.4.1</w:t>
      </w:r>
      <w:r>
        <w:rPr>
          <w:rStyle w:val="32"/>
          <w:color w:val="auto"/>
          <w:highlight w:val="none"/>
        </w:rPr>
        <w:t>项约定用于保证在缺陷责任期内履行缺陷修复义务的金额。</w:t>
      </w:r>
    </w:p>
    <w:p w14:paraId="57038E2A">
      <w:pPr>
        <w:pStyle w:val="98"/>
        <w:pageBreakBefore w:val="0"/>
        <w:kinsoku/>
        <w:wordWrap/>
        <w:overflowPunct/>
        <w:topLinePunct w:val="0"/>
        <w:autoSpaceDE/>
        <w:autoSpaceDN/>
        <w:bidi w:val="0"/>
        <w:adjustRightInd/>
        <w:snapToGrid/>
        <w:spacing w:after="0" w:line="384" w:lineRule="auto"/>
        <w:ind w:firstLine="440"/>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1.1.6</w:t>
      </w:r>
      <w:r>
        <w:rPr>
          <w:rStyle w:val="32"/>
          <w:rFonts w:ascii="宋体" w:hAnsi="宋体" w:cs="宋体"/>
          <w:color w:val="auto"/>
          <w:highlight w:val="none"/>
          <w:lang w:val="zh-CN" w:eastAsia="zh-CN" w:bidi="zh-CN"/>
        </w:rPr>
        <w:t>其他</w:t>
      </w:r>
    </w:p>
    <w:p w14:paraId="1D65E9F6">
      <w:pPr>
        <w:pStyle w:val="97"/>
        <w:pageBreakBefore w:val="0"/>
        <w:tabs>
          <w:tab w:val="left" w:pos="954"/>
        </w:tabs>
        <w:kinsoku/>
        <w:wordWrap/>
        <w:overflowPunct/>
        <w:topLinePunct w:val="0"/>
        <w:autoSpaceDE/>
        <w:autoSpaceDN/>
        <w:bidi w:val="0"/>
        <w:adjustRightInd/>
        <w:snapToGrid/>
        <w:spacing w:after="140" w:line="367" w:lineRule="exact"/>
        <w:ind w:left="440" w:firstLine="0"/>
        <w:jc w:val="both"/>
        <w:textAlignment w:val="auto"/>
        <w:outlineLvl w:val="9"/>
        <w:rPr>
          <w:rStyle w:val="32"/>
          <w:color w:val="auto"/>
          <w:highlight w:val="none"/>
        </w:rPr>
      </w:pPr>
      <w:bookmarkStart w:id="131" w:name="bookmark905"/>
      <w:bookmarkEnd w:id="131"/>
      <w:r>
        <w:rPr>
          <w:rStyle w:val="32"/>
          <w:rFonts w:ascii="Times New Roman" w:hAnsi="Times New Roman" w:eastAsia="Times New Roman" w:cs="Times New Roman"/>
          <w:color w:val="auto"/>
          <w:highlight w:val="none"/>
          <w:lang w:val="en-US" w:bidi="en-US"/>
        </w:rPr>
        <w:t>1.1.6.1</w:t>
      </w:r>
      <w:r>
        <w:rPr>
          <w:rStyle w:val="32"/>
          <w:color w:val="auto"/>
          <w:highlight w:val="none"/>
        </w:rPr>
        <w:t>书面形式：指合同文件、信函、电报、传真等可以有形地表现所载内容的形式。</w:t>
      </w:r>
    </w:p>
    <w:p w14:paraId="033457F8">
      <w:pPr>
        <w:pStyle w:val="96"/>
        <w:pageBreakBefore w:val="0"/>
        <w:kinsoku/>
        <w:wordWrap/>
        <w:overflowPunct/>
        <w:topLinePunct w:val="0"/>
        <w:autoSpaceDE/>
        <w:autoSpaceDN/>
        <w:bidi w:val="0"/>
        <w:adjustRightInd/>
        <w:snapToGrid/>
        <w:textAlignment w:val="auto"/>
        <w:outlineLvl w:val="9"/>
        <w:rPr>
          <w:rStyle w:val="32"/>
          <w:rFonts w:ascii="宋体" w:hAnsi="宋体" w:cs="Times New Roman"/>
          <w:color w:val="auto"/>
          <w:sz w:val="28"/>
          <w:szCs w:val="28"/>
          <w:highlight w:val="none"/>
          <w:lang w:eastAsia="zh-CN"/>
        </w:rPr>
      </w:pPr>
      <w:bookmarkStart w:id="132" w:name="bookmark907"/>
      <w:bookmarkStart w:id="133" w:name="_Toc256000008"/>
      <w:bookmarkStart w:id="134" w:name="_Toc6385"/>
      <w:bookmarkStart w:id="135" w:name="_Toc16626"/>
      <w:bookmarkStart w:id="136" w:name="bookmark906"/>
      <w:bookmarkStart w:id="137" w:name="bookmark908"/>
      <w:r>
        <w:rPr>
          <w:rStyle w:val="32"/>
          <w:rFonts w:ascii="宋体" w:hAnsi="宋体" w:cs="Times New Roman"/>
          <w:color w:val="auto"/>
          <w:sz w:val="24"/>
          <w:szCs w:val="24"/>
          <w:highlight w:val="none"/>
          <w:lang w:eastAsia="zh-CN"/>
        </w:rPr>
        <w:t>1.2语言文字</w:t>
      </w:r>
      <w:bookmarkEnd w:id="132"/>
      <w:bookmarkEnd w:id="133"/>
      <w:bookmarkEnd w:id="134"/>
      <w:bookmarkEnd w:id="135"/>
      <w:bookmarkEnd w:id="136"/>
      <w:bookmarkEnd w:id="137"/>
    </w:p>
    <w:p w14:paraId="0CDD9B45">
      <w:pPr>
        <w:pStyle w:val="97"/>
        <w:pageBreakBefore w:val="0"/>
        <w:kinsoku/>
        <w:wordWrap/>
        <w:overflowPunct/>
        <w:topLinePunct w:val="0"/>
        <w:autoSpaceDE/>
        <w:autoSpaceDN/>
        <w:bidi w:val="0"/>
        <w:adjustRightInd/>
        <w:snapToGrid/>
        <w:spacing w:after="140" w:line="366" w:lineRule="exact"/>
        <w:ind w:firstLine="420"/>
        <w:textAlignment w:val="auto"/>
        <w:outlineLvl w:val="9"/>
        <w:rPr>
          <w:rStyle w:val="32"/>
          <w:color w:val="auto"/>
          <w:highlight w:val="none"/>
        </w:rPr>
      </w:pPr>
      <w:r>
        <w:rPr>
          <w:rStyle w:val="32"/>
          <w:color w:val="auto"/>
          <w:highlight w:val="none"/>
        </w:rPr>
        <w:t>除专用术语外，合同使用的语言文字为中文。必要时专用术语应附有中文注释。</w:t>
      </w:r>
    </w:p>
    <w:p w14:paraId="22420E1F">
      <w:pPr>
        <w:pStyle w:val="96"/>
        <w:pageBreakBefore w:val="0"/>
        <w:kinsoku/>
        <w:wordWrap/>
        <w:overflowPunct/>
        <w:topLinePunct w:val="0"/>
        <w:autoSpaceDE/>
        <w:autoSpaceDN/>
        <w:bidi w:val="0"/>
        <w:adjustRightInd/>
        <w:snapToGrid/>
        <w:textAlignment w:val="auto"/>
        <w:outlineLvl w:val="9"/>
        <w:rPr>
          <w:rStyle w:val="32"/>
          <w:rFonts w:ascii="宋体" w:hAnsi="宋体" w:cs="Times New Roman"/>
          <w:color w:val="auto"/>
          <w:sz w:val="24"/>
          <w:szCs w:val="24"/>
          <w:highlight w:val="none"/>
          <w:lang w:eastAsia="zh-CN"/>
        </w:rPr>
      </w:pPr>
      <w:bookmarkStart w:id="138" w:name="_Toc256000009"/>
      <w:bookmarkStart w:id="139" w:name="bookmark910"/>
      <w:bookmarkStart w:id="140" w:name="_Toc7852"/>
      <w:bookmarkStart w:id="141" w:name="_Toc24132"/>
      <w:bookmarkStart w:id="142" w:name="bookmark911"/>
      <w:bookmarkStart w:id="143" w:name="bookmark909"/>
      <w:r>
        <w:rPr>
          <w:rStyle w:val="32"/>
          <w:rFonts w:ascii="宋体" w:hAnsi="宋体" w:cs="Times New Roman"/>
          <w:color w:val="auto"/>
          <w:sz w:val="24"/>
          <w:szCs w:val="24"/>
          <w:highlight w:val="none"/>
          <w:lang w:eastAsia="zh-CN"/>
        </w:rPr>
        <w:t>1.3法律</w:t>
      </w:r>
      <w:bookmarkEnd w:id="138"/>
      <w:bookmarkEnd w:id="139"/>
      <w:bookmarkEnd w:id="140"/>
      <w:bookmarkEnd w:id="141"/>
      <w:bookmarkEnd w:id="142"/>
      <w:bookmarkEnd w:id="143"/>
    </w:p>
    <w:p w14:paraId="25388D37">
      <w:pPr>
        <w:pStyle w:val="97"/>
        <w:pageBreakBefore w:val="0"/>
        <w:kinsoku/>
        <w:wordWrap/>
        <w:overflowPunct/>
        <w:topLinePunct w:val="0"/>
        <w:autoSpaceDE/>
        <w:autoSpaceDN/>
        <w:bidi w:val="0"/>
        <w:adjustRightInd/>
        <w:snapToGrid/>
        <w:spacing w:after="140" w:line="360" w:lineRule="exact"/>
        <w:ind w:firstLine="440"/>
        <w:jc w:val="both"/>
        <w:textAlignment w:val="auto"/>
        <w:outlineLvl w:val="9"/>
        <w:rPr>
          <w:rStyle w:val="32"/>
          <w:color w:val="auto"/>
          <w:highlight w:val="none"/>
        </w:rPr>
      </w:pPr>
      <w:r>
        <w:rPr>
          <w:rStyle w:val="32"/>
          <w:color w:val="auto"/>
          <w:highlight w:val="none"/>
        </w:rPr>
        <w:t>适用于合同的法律包括中华人民共和国法律、行政法规、部门规章，以及工程所在地的地方法规、自治条例、单行条例和地方政府规章。</w:t>
      </w:r>
    </w:p>
    <w:p w14:paraId="5E706D0F">
      <w:pPr>
        <w:pStyle w:val="96"/>
        <w:pageBreakBefore w:val="0"/>
        <w:kinsoku/>
        <w:wordWrap/>
        <w:overflowPunct/>
        <w:topLinePunct w:val="0"/>
        <w:autoSpaceDE/>
        <w:autoSpaceDN/>
        <w:bidi w:val="0"/>
        <w:adjustRightInd/>
        <w:snapToGrid/>
        <w:textAlignment w:val="auto"/>
        <w:outlineLvl w:val="9"/>
        <w:rPr>
          <w:rStyle w:val="32"/>
          <w:rFonts w:ascii="宋体" w:hAnsi="宋体" w:cs="Times New Roman"/>
          <w:color w:val="auto"/>
          <w:sz w:val="24"/>
          <w:szCs w:val="24"/>
          <w:highlight w:val="none"/>
          <w:lang w:eastAsia="zh-CN"/>
        </w:rPr>
      </w:pPr>
      <w:bookmarkStart w:id="144" w:name="_Toc256000010"/>
      <w:bookmarkStart w:id="145" w:name="bookmark913"/>
      <w:bookmarkStart w:id="146" w:name="_Toc32102"/>
      <w:bookmarkStart w:id="147" w:name="bookmark912"/>
      <w:bookmarkStart w:id="148" w:name="_Toc17089"/>
      <w:bookmarkStart w:id="149" w:name="bookmark914"/>
      <w:r>
        <w:rPr>
          <w:rStyle w:val="32"/>
          <w:rFonts w:ascii="宋体" w:hAnsi="宋体" w:cs="Times New Roman"/>
          <w:color w:val="auto"/>
          <w:sz w:val="24"/>
          <w:szCs w:val="24"/>
          <w:highlight w:val="none"/>
          <w:lang w:eastAsia="zh-CN"/>
        </w:rPr>
        <w:t>1.4合同文件的优先顺序</w:t>
      </w:r>
      <w:bookmarkEnd w:id="144"/>
      <w:bookmarkEnd w:id="145"/>
      <w:bookmarkEnd w:id="146"/>
      <w:bookmarkEnd w:id="147"/>
      <w:bookmarkEnd w:id="148"/>
      <w:bookmarkEnd w:id="149"/>
    </w:p>
    <w:p w14:paraId="60906DA6">
      <w:pPr>
        <w:pStyle w:val="97"/>
        <w:pageBreakBefore w:val="0"/>
        <w:kinsoku/>
        <w:wordWrap/>
        <w:overflowPunct/>
        <w:topLinePunct w:val="0"/>
        <w:autoSpaceDE/>
        <w:autoSpaceDN/>
        <w:bidi w:val="0"/>
        <w:adjustRightInd/>
        <w:snapToGrid/>
        <w:spacing w:after="140" w:line="360" w:lineRule="exact"/>
        <w:ind w:firstLine="440"/>
        <w:jc w:val="both"/>
        <w:textAlignment w:val="auto"/>
        <w:outlineLvl w:val="9"/>
        <w:rPr>
          <w:rStyle w:val="32"/>
          <w:color w:val="auto"/>
          <w:highlight w:val="none"/>
        </w:rPr>
      </w:pPr>
      <w:r>
        <w:rPr>
          <w:rStyle w:val="32"/>
          <w:color w:val="auto"/>
          <w:highlight w:val="none"/>
        </w:rPr>
        <w:t>组成合同的各项文件应互相解释，互为说明。除专用合同条款另有约定外，解释合同文件的优先顺序如下：</w:t>
      </w:r>
    </w:p>
    <w:p w14:paraId="3995A83D">
      <w:pPr>
        <w:pStyle w:val="97"/>
        <w:pageBreakBefore w:val="0"/>
        <w:numPr>
          <w:ilvl w:val="0"/>
          <w:numId w:val="8"/>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150" w:name="bookmark915"/>
      <w:bookmarkEnd w:id="150"/>
      <w:r>
        <w:rPr>
          <w:rStyle w:val="32"/>
          <w:color w:val="auto"/>
          <w:highlight w:val="none"/>
        </w:rPr>
        <w:t>合同协议书；</w:t>
      </w:r>
    </w:p>
    <w:p w14:paraId="06DB93A7">
      <w:pPr>
        <w:pStyle w:val="97"/>
        <w:pageBreakBefore w:val="0"/>
        <w:numPr>
          <w:ilvl w:val="0"/>
          <w:numId w:val="8"/>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151" w:name="bookmark916"/>
      <w:bookmarkEnd w:id="151"/>
      <w:r>
        <w:rPr>
          <w:rStyle w:val="32"/>
          <w:color w:val="auto"/>
          <w:highlight w:val="none"/>
        </w:rPr>
        <w:t>中标通知书；</w:t>
      </w:r>
    </w:p>
    <w:p w14:paraId="47E02155">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152" w:name="bookmark917"/>
      <w:bookmarkEnd w:id="152"/>
      <w:r>
        <w:rPr>
          <w:rStyle w:val="32"/>
          <w:color w:val="auto"/>
          <w:highlight w:val="none"/>
        </w:rPr>
        <w:t>投标函及投标函附录；</w:t>
      </w:r>
    </w:p>
    <w:p w14:paraId="64F7D5B5">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153" w:name="bookmark918"/>
      <w:bookmarkEnd w:id="153"/>
      <w:r>
        <w:rPr>
          <w:rStyle w:val="32"/>
          <w:color w:val="auto"/>
          <w:highlight w:val="none"/>
        </w:rPr>
        <w:t>专用合同条款；</w:t>
      </w:r>
    </w:p>
    <w:p w14:paraId="2E232119">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154" w:name="bookmark919"/>
      <w:bookmarkEnd w:id="154"/>
      <w:r>
        <w:rPr>
          <w:rStyle w:val="32"/>
          <w:color w:val="auto"/>
          <w:highlight w:val="none"/>
        </w:rPr>
        <w:t>通用合同条款；</w:t>
      </w:r>
    </w:p>
    <w:p w14:paraId="1623DF66">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155" w:name="bookmark920"/>
      <w:bookmarkEnd w:id="155"/>
      <w:r>
        <w:rPr>
          <w:rStyle w:val="32"/>
          <w:color w:val="auto"/>
          <w:highlight w:val="none"/>
        </w:rPr>
        <w:t>技术标准和要求；</w:t>
      </w:r>
    </w:p>
    <w:p w14:paraId="09F665FE">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bookmarkStart w:id="156" w:name="bookmark921"/>
      <w:bookmarkEnd w:id="156"/>
      <w:r>
        <w:rPr>
          <w:rStyle w:val="32"/>
          <w:color w:val="auto"/>
          <w:highlight w:val="none"/>
        </w:rPr>
        <w:t>图纸；</w:t>
      </w:r>
    </w:p>
    <w:p w14:paraId="64C97BAC">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bookmarkStart w:id="157" w:name="bookmark922"/>
      <w:bookmarkEnd w:id="157"/>
      <w:r>
        <w:rPr>
          <w:rStyle w:val="32"/>
          <w:color w:val="auto"/>
          <w:highlight w:val="none"/>
        </w:rPr>
        <w:t>已标价工程量清单；</w:t>
      </w:r>
    </w:p>
    <w:p w14:paraId="4A51F50F">
      <w:pPr>
        <w:pStyle w:val="97"/>
        <w:pageBreakBefore w:val="0"/>
        <w:numPr>
          <w:ilvl w:val="0"/>
          <w:numId w:val="8"/>
        </w:numPr>
        <w:tabs>
          <w:tab w:val="left" w:pos="903"/>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bookmarkStart w:id="158" w:name="bookmark923"/>
      <w:bookmarkEnd w:id="158"/>
      <w:r>
        <w:rPr>
          <w:rStyle w:val="32"/>
          <w:color w:val="auto"/>
          <w:highlight w:val="none"/>
        </w:rPr>
        <w:t>其他合同文件。</w:t>
      </w:r>
    </w:p>
    <w:p w14:paraId="369BEA32">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59" w:name="_Toc11037"/>
      <w:bookmarkStart w:id="160" w:name="bookmark925"/>
      <w:bookmarkStart w:id="161" w:name="_Toc256000011"/>
      <w:bookmarkStart w:id="162" w:name="_Toc30693"/>
      <w:bookmarkStart w:id="163" w:name="bookmark924"/>
      <w:bookmarkStart w:id="164" w:name="bookmark926"/>
      <w:r>
        <w:rPr>
          <w:rStyle w:val="32"/>
          <w:rFonts w:ascii="宋体" w:hAnsi="宋体" w:cs="Times New Roman"/>
          <w:color w:val="auto"/>
          <w:sz w:val="24"/>
          <w:szCs w:val="24"/>
          <w:highlight w:val="none"/>
          <w:lang w:eastAsia="zh-CN"/>
        </w:rPr>
        <w:t>1.5合同协议书</w:t>
      </w:r>
      <w:bookmarkEnd w:id="159"/>
      <w:bookmarkEnd w:id="160"/>
      <w:bookmarkEnd w:id="161"/>
      <w:bookmarkEnd w:id="162"/>
      <w:bookmarkEnd w:id="163"/>
      <w:bookmarkEnd w:id="164"/>
    </w:p>
    <w:p w14:paraId="2D3DD944">
      <w:pPr>
        <w:pStyle w:val="97"/>
        <w:pageBreakBefore w:val="0"/>
        <w:kinsoku/>
        <w:wordWrap/>
        <w:overflowPunct/>
        <w:topLinePunct w:val="0"/>
        <w:autoSpaceDE/>
        <w:autoSpaceDN/>
        <w:bidi w:val="0"/>
        <w:adjustRightInd/>
        <w:snapToGrid/>
        <w:spacing w:after="140" w:line="355" w:lineRule="exact"/>
        <w:ind w:firstLine="440"/>
        <w:jc w:val="both"/>
        <w:textAlignment w:val="auto"/>
        <w:outlineLvl w:val="9"/>
        <w:rPr>
          <w:rStyle w:val="32"/>
          <w:color w:val="auto"/>
          <w:highlight w:val="none"/>
        </w:rPr>
      </w:pPr>
      <w:r>
        <w:rPr>
          <w:rStyle w:val="32"/>
          <w:color w:val="auto"/>
          <w:highlight w:val="none"/>
        </w:rPr>
        <w:t>承包人按中标通知书规定的时间与发包人签订合同协议书。除法律另有规定或合同另有约定外，发包人和承包人的法定代表人或其委托代理人在合同协议书上签字并盖单位电子公章后，合同生效。</w:t>
      </w:r>
    </w:p>
    <w:p w14:paraId="5935F4E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65" w:name="bookmark927"/>
      <w:bookmarkStart w:id="166" w:name="_Toc256000012"/>
      <w:bookmarkStart w:id="167" w:name="_Toc10434"/>
      <w:bookmarkStart w:id="168" w:name="bookmark929"/>
      <w:bookmarkStart w:id="169" w:name="_Toc14160"/>
      <w:bookmarkStart w:id="170" w:name="bookmark928"/>
      <w:r>
        <w:rPr>
          <w:rStyle w:val="32"/>
          <w:rFonts w:ascii="宋体" w:hAnsi="宋体" w:cs="Times New Roman"/>
          <w:color w:val="auto"/>
          <w:sz w:val="24"/>
          <w:szCs w:val="24"/>
          <w:highlight w:val="none"/>
          <w:lang w:eastAsia="zh-CN"/>
        </w:rPr>
        <w:t>1.6图纸和承包人文件</w:t>
      </w:r>
      <w:bookmarkEnd w:id="165"/>
      <w:bookmarkEnd w:id="166"/>
      <w:bookmarkEnd w:id="167"/>
      <w:bookmarkEnd w:id="168"/>
      <w:bookmarkEnd w:id="169"/>
      <w:bookmarkEnd w:id="170"/>
    </w:p>
    <w:p w14:paraId="55B280D6">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1.6.1</w:t>
      </w:r>
      <w:r>
        <w:rPr>
          <w:rStyle w:val="32"/>
          <w:color w:val="auto"/>
          <w:highlight w:val="none"/>
        </w:rPr>
        <w:t>图纸的提供</w:t>
      </w:r>
    </w:p>
    <w:p w14:paraId="33DEAF0B">
      <w:pPr>
        <w:pStyle w:val="97"/>
        <w:pageBreakBefore w:val="0"/>
        <w:kinsoku/>
        <w:wordWrap/>
        <w:overflowPunct/>
        <w:topLinePunct w:val="0"/>
        <w:autoSpaceDE/>
        <w:autoSpaceDN/>
        <w:bidi w:val="0"/>
        <w:adjustRightInd/>
        <w:snapToGrid/>
        <w:spacing w:after="120" w:line="360" w:lineRule="exact"/>
        <w:ind w:firstLine="420"/>
        <w:jc w:val="both"/>
        <w:textAlignment w:val="auto"/>
        <w:outlineLvl w:val="9"/>
        <w:rPr>
          <w:rStyle w:val="32"/>
          <w:rFonts w:ascii="Times New Roman" w:hAnsi="Times New Roman" w:cs="Times New Roman"/>
          <w:color w:val="auto"/>
          <w:highlight w:val="none"/>
        </w:rPr>
      </w:pPr>
      <w:r>
        <w:rPr>
          <w:rStyle w:val="32"/>
          <w:color w:val="auto"/>
          <w:highlight w:val="none"/>
        </w:rPr>
        <w:t>发包人应按技术标准和要求(合同技术条款)约定的期限和数量将施工图纸以及其它图纸（包括配套说明和有关资料）提供给承包人。由于发包人未按时提供图纸造成工期延误的，按</w:t>
      </w:r>
      <w:r>
        <w:rPr>
          <w:rStyle w:val="32"/>
          <w:rFonts w:ascii="Times New Roman" w:hAnsi="Times New Roman" w:cs="Times New Roman"/>
          <w:color w:val="auto"/>
          <w:highlight w:val="none"/>
        </w:rPr>
        <w:t>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3</w:t>
      </w:r>
      <w:r>
        <w:rPr>
          <w:rStyle w:val="32"/>
          <w:rFonts w:ascii="Times New Roman" w:hAnsi="Times New Roman" w:cs="Times New Roman"/>
          <w:color w:val="auto"/>
          <w:highlight w:val="none"/>
        </w:rPr>
        <w:t>款的约定办理。</w:t>
      </w:r>
    </w:p>
    <w:p w14:paraId="574D0E1C">
      <w:pPr>
        <w:pStyle w:val="97"/>
        <w:pageBreakBefore w:val="0"/>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1.6.</w:t>
      </w:r>
      <w:r>
        <w:rPr>
          <w:rStyle w:val="32"/>
          <w:rFonts w:ascii="Times New Roman" w:hAnsi="Times New Roman" w:cs="Times New Roman"/>
          <w:color w:val="auto"/>
          <w:highlight w:val="none"/>
        </w:rPr>
        <w:t>2承包人提供的文件</w:t>
      </w:r>
    </w:p>
    <w:p w14:paraId="20A64C15">
      <w:pPr>
        <w:pStyle w:val="97"/>
        <w:pageBreakBefore w:val="0"/>
        <w:kinsoku/>
        <w:wordWrap/>
        <w:overflowPunct/>
        <w:topLinePunct w:val="0"/>
        <w:autoSpaceDE/>
        <w:autoSpaceDN/>
        <w:bidi w:val="0"/>
        <w:adjustRightInd/>
        <w:snapToGrid/>
        <w:spacing w:after="12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承包人提供的文件应按技术标准和要求（合同技术条款）约定的期限和数量提供给监理人。监理人应按技术标准和要求（合同技术条款）约定的期限批复承包人。</w:t>
      </w:r>
    </w:p>
    <w:p w14:paraId="052B85E4">
      <w:pPr>
        <w:pStyle w:val="97"/>
        <w:pageBreakBefore w:val="0"/>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1.6.3</w:t>
      </w:r>
      <w:r>
        <w:rPr>
          <w:rStyle w:val="32"/>
          <w:rFonts w:ascii="Times New Roman" w:hAnsi="Times New Roman" w:cs="Times New Roman"/>
          <w:color w:val="auto"/>
          <w:highlight w:val="none"/>
        </w:rPr>
        <w:t>图纸的修改</w:t>
      </w:r>
    </w:p>
    <w:p w14:paraId="05E4553B">
      <w:pPr>
        <w:pStyle w:val="97"/>
        <w:pageBreakBefore w:val="0"/>
        <w:kinsoku/>
        <w:wordWrap/>
        <w:overflowPunct/>
        <w:topLinePunct w:val="0"/>
        <w:autoSpaceDE/>
        <w:autoSpaceDN/>
        <w:bidi w:val="0"/>
        <w:adjustRightInd/>
        <w:snapToGrid/>
        <w:spacing w:after="12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292296F3">
      <w:pPr>
        <w:pStyle w:val="97"/>
        <w:pageBreakBefore w:val="0"/>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1.6.4</w:t>
      </w:r>
      <w:r>
        <w:rPr>
          <w:rStyle w:val="32"/>
          <w:rFonts w:ascii="Times New Roman" w:hAnsi="Times New Roman" w:cs="Times New Roman"/>
          <w:color w:val="auto"/>
          <w:highlight w:val="none"/>
        </w:rPr>
        <w:t>图纸的错误</w:t>
      </w:r>
    </w:p>
    <w:p w14:paraId="28BA9D76">
      <w:pPr>
        <w:pStyle w:val="97"/>
        <w:pageBreakBefore w:val="0"/>
        <w:kinsoku/>
        <w:wordWrap/>
        <w:overflowPunct/>
        <w:topLinePunct w:val="0"/>
        <w:autoSpaceDE/>
        <w:autoSpaceDN/>
        <w:bidi w:val="0"/>
        <w:adjustRightInd/>
        <w:snapToGrid/>
        <w:spacing w:after="12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承包人发现发包人提供的图纸存在明显错误或疏忽，应及时通知监理人。</w:t>
      </w:r>
    </w:p>
    <w:p w14:paraId="40121990">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cs="Times New Roman"/>
          <w:color w:val="auto"/>
          <w:highlight w:val="none"/>
          <w:lang w:val="en-US"/>
        </w:rPr>
        <w:t>1.6.5</w:t>
      </w:r>
      <w:r>
        <w:rPr>
          <w:rStyle w:val="32"/>
          <w:rFonts w:ascii="Times New Roman" w:hAnsi="Times New Roman" w:cs="Times New Roman"/>
          <w:color w:val="auto"/>
          <w:highlight w:val="none"/>
        </w:rPr>
        <w:t>图纸和承包人文件的保管</w:t>
      </w:r>
    </w:p>
    <w:p w14:paraId="266ABC7E">
      <w:pPr>
        <w:pStyle w:val="97"/>
        <w:pageBreakBefore w:val="0"/>
        <w:kinsoku/>
        <w:wordWrap/>
        <w:overflowPunct/>
        <w:topLinePunct w:val="0"/>
        <w:autoSpaceDE/>
        <w:autoSpaceDN/>
        <w:bidi w:val="0"/>
        <w:adjustRightInd/>
        <w:snapToGrid/>
        <w:spacing w:after="180" w:line="360" w:lineRule="exact"/>
        <w:ind w:firstLine="440"/>
        <w:jc w:val="both"/>
        <w:textAlignment w:val="auto"/>
        <w:outlineLvl w:val="9"/>
        <w:rPr>
          <w:rStyle w:val="32"/>
          <w:color w:val="auto"/>
          <w:highlight w:val="none"/>
        </w:rPr>
      </w:pPr>
      <w:r>
        <w:rPr>
          <w:rStyle w:val="32"/>
          <w:color w:val="auto"/>
          <w:highlight w:val="none"/>
        </w:rPr>
        <w:t>监理人和承包人均应在施工场地各保存一套完整的包含第</w:t>
      </w:r>
      <w:r>
        <w:rPr>
          <w:rStyle w:val="32"/>
          <w:rFonts w:ascii="Times New Roman" w:hAnsi="Times New Roman" w:eastAsia="Times New Roman" w:cs="Times New Roman"/>
          <w:color w:val="auto"/>
          <w:highlight w:val="none"/>
          <w:lang w:val="en-US" w:bidi="en-US"/>
        </w:rPr>
        <w:t xml:space="preserve">1. 6. </w:t>
      </w:r>
      <w:r>
        <w:rPr>
          <w:rStyle w:val="32"/>
          <w:rFonts w:ascii="Times New Roman" w:hAnsi="Times New Roman" w:eastAsia="Times New Roman" w:cs="Times New Roman"/>
          <w:color w:val="auto"/>
          <w:highlight w:val="none"/>
        </w:rPr>
        <w:t>1</w:t>
      </w:r>
      <w:r>
        <w:rPr>
          <w:rStyle w:val="32"/>
          <w:color w:val="auto"/>
          <w:highlight w:val="none"/>
        </w:rPr>
        <w:t>项、第</w:t>
      </w:r>
      <w:r>
        <w:rPr>
          <w:rStyle w:val="32"/>
          <w:rFonts w:ascii="Times New Roman" w:hAnsi="Times New Roman" w:eastAsia="Times New Roman" w:cs="Times New Roman"/>
          <w:color w:val="auto"/>
          <w:highlight w:val="none"/>
          <w:lang w:val="en-US" w:bidi="en-US"/>
        </w:rPr>
        <w:t>1.6.2</w:t>
      </w:r>
      <w:r>
        <w:rPr>
          <w:rStyle w:val="32"/>
          <w:color w:val="auto"/>
          <w:highlight w:val="none"/>
        </w:rPr>
        <w:t xml:space="preserve">项、第 </w:t>
      </w:r>
      <w:r>
        <w:rPr>
          <w:rStyle w:val="32"/>
          <w:rFonts w:ascii="Times New Roman" w:hAnsi="Times New Roman" w:eastAsia="Times New Roman" w:cs="Times New Roman"/>
          <w:color w:val="auto"/>
          <w:highlight w:val="none"/>
          <w:lang w:val="en-US" w:bidi="en-US"/>
        </w:rPr>
        <w:t xml:space="preserve">1.6. </w:t>
      </w:r>
      <w:r>
        <w:rPr>
          <w:rStyle w:val="32"/>
          <w:rFonts w:ascii="Times New Roman" w:hAnsi="Times New Roman" w:eastAsia="Times New Roman" w:cs="Times New Roman"/>
          <w:color w:val="auto"/>
          <w:highlight w:val="none"/>
        </w:rPr>
        <w:t>3</w:t>
      </w:r>
      <w:r>
        <w:rPr>
          <w:rStyle w:val="32"/>
          <w:color w:val="auto"/>
          <w:highlight w:val="none"/>
        </w:rPr>
        <w:t>项约定内容的图纸和承包人文件。</w:t>
      </w:r>
    </w:p>
    <w:p w14:paraId="4C6ED20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71" w:name="_Toc18431"/>
      <w:bookmarkStart w:id="172" w:name="_Toc28325"/>
      <w:bookmarkStart w:id="173" w:name="bookmark930"/>
      <w:bookmarkStart w:id="174" w:name="bookmark931"/>
      <w:bookmarkStart w:id="175" w:name="bookmark932"/>
      <w:bookmarkStart w:id="176" w:name="_Toc256000013"/>
      <w:r>
        <w:rPr>
          <w:rStyle w:val="32"/>
          <w:rFonts w:ascii="宋体" w:hAnsi="宋体" w:cs="Times New Roman"/>
          <w:color w:val="auto"/>
          <w:sz w:val="24"/>
          <w:szCs w:val="24"/>
          <w:highlight w:val="none"/>
          <w:lang w:eastAsia="zh-CN"/>
        </w:rPr>
        <w:t>1.7联络</w:t>
      </w:r>
      <w:bookmarkEnd w:id="171"/>
      <w:bookmarkEnd w:id="172"/>
      <w:bookmarkEnd w:id="173"/>
      <w:bookmarkEnd w:id="174"/>
      <w:bookmarkEnd w:id="175"/>
      <w:bookmarkEnd w:id="176"/>
    </w:p>
    <w:p w14:paraId="6A4367EC">
      <w:pPr>
        <w:pStyle w:val="97"/>
        <w:pageBreakBefore w:val="0"/>
        <w:kinsoku/>
        <w:wordWrap/>
        <w:overflowPunct/>
        <w:topLinePunct w:val="0"/>
        <w:autoSpaceDE/>
        <w:autoSpaceDN/>
        <w:bidi w:val="0"/>
        <w:adjustRightInd/>
        <w:snapToGrid/>
        <w:spacing w:line="386"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1.7.1</w:t>
      </w:r>
      <w:r>
        <w:rPr>
          <w:rStyle w:val="32"/>
          <w:rFonts w:ascii="Times New Roman" w:hAnsi="Times New Roman" w:cs="Times New Roman"/>
          <w:color w:val="auto"/>
          <w:highlight w:val="none"/>
        </w:rPr>
        <w:t>与合同有关的通知、批准、证明、证书、指示、要求、请求、同意、意见、确 定和决定等，均应采用书面形式。</w:t>
      </w:r>
    </w:p>
    <w:p w14:paraId="3FD9CD0E">
      <w:pPr>
        <w:pStyle w:val="97"/>
        <w:pageBreakBefore w:val="0"/>
        <w:kinsoku/>
        <w:wordWrap/>
        <w:overflowPunct/>
        <w:topLinePunct w:val="0"/>
        <w:autoSpaceDE/>
        <w:autoSpaceDN/>
        <w:bidi w:val="0"/>
        <w:adjustRightInd/>
        <w:snapToGrid/>
        <w:spacing w:line="37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1.7.2</w:t>
      </w:r>
      <w:r>
        <w:rPr>
          <w:rStyle w:val="32"/>
          <w:rFonts w:ascii="Times New Roman" w:hAnsi="Times New Roman" w:cs="Times New Roman"/>
          <w:color w:val="auto"/>
          <w:highlight w:val="none"/>
        </w:rPr>
        <w:t>第</w:t>
      </w:r>
      <w:r>
        <w:rPr>
          <w:rStyle w:val="32"/>
          <w:rFonts w:ascii="Times New Roman" w:hAnsi="Times New Roman" w:eastAsia="Times New Roman" w:cs="Times New Roman"/>
          <w:color w:val="auto"/>
          <w:highlight w:val="none"/>
          <w:lang w:val="en-US" w:bidi="en-US"/>
        </w:rPr>
        <w:t>1.7.1</w:t>
      </w:r>
      <w:r>
        <w:rPr>
          <w:rStyle w:val="32"/>
          <w:rFonts w:ascii="Times New Roman" w:hAnsi="Times New Roman" w:cs="Times New Roman"/>
          <w:color w:val="auto"/>
          <w:highlight w:val="none"/>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40039D12">
      <w:pPr>
        <w:pStyle w:val="97"/>
        <w:pageBreakBefore w:val="0"/>
        <w:kinsoku/>
        <w:wordWrap/>
        <w:overflowPunct/>
        <w:topLinePunct w:val="0"/>
        <w:autoSpaceDE/>
        <w:autoSpaceDN/>
        <w:bidi w:val="0"/>
        <w:adjustRightInd/>
        <w:snapToGrid/>
        <w:spacing w:after="180"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w:t>
      </w:r>
      <w:r>
        <w:rPr>
          <w:rStyle w:val="32"/>
          <w:rFonts w:ascii="Times New Roman" w:hAnsi="Times New Roman" w:cs="Times New Roman"/>
          <w:color w:val="auto"/>
          <w:highlight w:val="none"/>
        </w:rPr>
        <w:t>来往</w:t>
      </w:r>
      <w:r>
        <w:rPr>
          <w:rStyle w:val="32"/>
          <w:color w:val="auto"/>
          <w:highlight w:val="none"/>
        </w:rPr>
        <w:t>函件均应按合同约定的期限及时发出和答复，不得无故扣压和拖延，亦不得拒收。否则，由此造成的后果由责任方负责。</w:t>
      </w:r>
    </w:p>
    <w:p w14:paraId="03CEE8C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77" w:name="bookmark933"/>
      <w:bookmarkStart w:id="178" w:name="bookmark935"/>
      <w:bookmarkStart w:id="179" w:name="_Toc31757"/>
      <w:bookmarkStart w:id="180" w:name="_Toc256000014"/>
      <w:bookmarkStart w:id="181" w:name="_Toc11450"/>
      <w:bookmarkStart w:id="182" w:name="bookmark934"/>
      <w:r>
        <w:rPr>
          <w:rStyle w:val="32"/>
          <w:rFonts w:ascii="宋体" w:hAnsi="宋体" w:cs="Times New Roman"/>
          <w:color w:val="auto"/>
          <w:sz w:val="24"/>
          <w:szCs w:val="24"/>
          <w:highlight w:val="none"/>
          <w:lang w:eastAsia="zh-CN"/>
        </w:rPr>
        <w:t>1.8转让</w:t>
      </w:r>
      <w:bookmarkEnd w:id="177"/>
      <w:bookmarkEnd w:id="178"/>
      <w:bookmarkEnd w:id="179"/>
      <w:bookmarkEnd w:id="180"/>
      <w:bookmarkEnd w:id="181"/>
      <w:bookmarkEnd w:id="182"/>
    </w:p>
    <w:p w14:paraId="12B41C04">
      <w:pPr>
        <w:pStyle w:val="97"/>
        <w:pageBreakBefore w:val="0"/>
        <w:kinsoku/>
        <w:wordWrap/>
        <w:overflowPunct/>
        <w:topLinePunct w:val="0"/>
        <w:autoSpaceDE/>
        <w:autoSpaceDN/>
        <w:bidi w:val="0"/>
        <w:adjustRightInd/>
        <w:snapToGrid/>
        <w:spacing w:after="180" w:line="358" w:lineRule="exact"/>
        <w:ind w:firstLine="440"/>
        <w:jc w:val="both"/>
        <w:textAlignment w:val="auto"/>
        <w:outlineLvl w:val="9"/>
        <w:rPr>
          <w:rStyle w:val="32"/>
          <w:color w:val="auto"/>
          <w:highlight w:val="none"/>
        </w:rPr>
      </w:pPr>
      <w:r>
        <w:rPr>
          <w:rStyle w:val="32"/>
          <w:color w:val="auto"/>
          <w:highlight w:val="none"/>
        </w:rPr>
        <w:t>除合同另有约定外，未经对方当事人同意，一方当事人不得将合同权利全部或部分转让给第三人，也不得全部或部分转移合同义务。</w:t>
      </w:r>
    </w:p>
    <w:p w14:paraId="406719E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83" w:name="bookmark936"/>
      <w:bookmarkStart w:id="184" w:name="bookmark938"/>
      <w:bookmarkStart w:id="185" w:name="_Toc25110"/>
      <w:bookmarkStart w:id="186" w:name="_Toc256000015"/>
      <w:bookmarkStart w:id="187" w:name="_Toc28520"/>
      <w:bookmarkStart w:id="188" w:name="bookmark937"/>
      <w:r>
        <w:rPr>
          <w:rStyle w:val="32"/>
          <w:rFonts w:ascii="宋体" w:hAnsi="宋体" w:cs="Times New Roman"/>
          <w:color w:val="auto"/>
          <w:sz w:val="24"/>
          <w:szCs w:val="24"/>
          <w:highlight w:val="none"/>
          <w:lang w:eastAsia="zh-CN"/>
        </w:rPr>
        <w:t>1.9严禁贿赂</w:t>
      </w:r>
      <w:bookmarkEnd w:id="183"/>
      <w:bookmarkEnd w:id="184"/>
      <w:bookmarkEnd w:id="185"/>
      <w:bookmarkEnd w:id="186"/>
      <w:bookmarkEnd w:id="187"/>
      <w:bookmarkEnd w:id="188"/>
    </w:p>
    <w:p w14:paraId="7172C710">
      <w:pPr>
        <w:pStyle w:val="97"/>
        <w:pageBreakBefore w:val="0"/>
        <w:kinsoku/>
        <w:wordWrap/>
        <w:overflowPunct/>
        <w:topLinePunct w:val="0"/>
        <w:autoSpaceDE/>
        <w:autoSpaceDN/>
        <w:bidi w:val="0"/>
        <w:adjustRightInd/>
        <w:snapToGrid/>
        <w:spacing w:after="180" w:line="367" w:lineRule="exact"/>
        <w:ind w:firstLine="440"/>
        <w:jc w:val="both"/>
        <w:textAlignment w:val="auto"/>
        <w:outlineLvl w:val="9"/>
        <w:rPr>
          <w:rStyle w:val="32"/>
          <w:color w:val="auto"/>
          <w:highlight w:val="none"/>
        </w:rPr>
      </w:pPr>
      <w:r>
        <w:rPr>
          <w:rStyle w:val="32"/>
          <w:color w:val="auto"/>
          <w:highlight w:val="none"/>
        </w:rPr>
        <w:t>合同双方当事人不得以贿赂或变相贿赂的方式，谋取不当利益或损害对方权益。因贿赂造成对方损失的，行为人应赔偿损失，并承担相应的法律责任。</w:t>
      </w:r>
    </w:p>
    <w:p w14:paraId="325290EE">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89" w:name="bookmark940"/>
      <w:bookmarkStart w:id="190" w:name="bookmark939"/>
      <w:bookmarkStart w:id="191" w:name="_Toc27697"/>
      <w:bookmarkStart w:id="192" w:name="_Toc18518"/>
      <w:bookmarkStart w:id="193" w:name="_Toc256000016"/>
      <w:bookmarkStart w:id="194" w:name="bookmark941"/>
      <w:r>
        <w:rPr>
          <w:rStyle w:val="32"/>
          <w:rFonts w:ascii="宋体" w:hAnsi="宋体" w:cs="Times New Roman"/>
          <w:color w:val="auto"/>
          <w:sz w:val="24"/>
          <w:szCs w:val="24"/>
          <w:highlight w:val="none"/>
          <w:lang w:eastAsia="zh-CN"/>
        </w:rPr>
        <w:t>1.10化石、文物</w:t>
      </w:r>
      <w:bookmarkEnd w:id="189"/>
      <w:bookmarkEnd w:id="190"/>
      <w:bookmarkEnd w:id="191"/>
      <w:bookmarkEnd w:id="192"/>
      <w:bookmarkEnd w:id="193"/>
      <w:bookmarkEnd w:id="194"/>
    </w:p>
    <w:p w14:paraId="46A9FE7B">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1.10. </w:t>
      </w:r>
      <w:r>
        <w:rPr>
          <w:rStyle w:val="32"/>
          <w:rFonts w:ascii="Times New Roman" w:hAnsi="Times New Roman" w:eastAsia="Times New Roman" w:cs="Times New Roman"/>
          <w:color w:val="auto"/>
          <w:highlight w:val="none"/>
        </w:rPr>
        <w:t>1</w:t>
      </w:r>
      <w:r>
        <w:rPr>
          <w:rStyle w:val="32"/>
          <w:color w:val="auto"/>
          <w:highlight w:val="none"/>
        </w:rPr>
        <w:t>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73B6F0F4">
      <w:pPr>
        <w:pStyle w:val="97"/>
        <w:pageBreakBefore w:val="0"/>
        <w:kinsoku/>
        <w:wordWrap/>
        <w:overflowPunct/>
        <w:topLinePunct w:val="0"/>
        <w:autoSpaceDE/>
        <w:autoSpaceDN/>
        <w:bidi w:val="0"/>
        <w:adjustRightInd/>
        <w:snapToGrid/>
        <w:spacing w:after="120"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1.10.</w:t>
      </w:r>
      <w:r>
        <w:rPr>
          <w:rStyle w:val="32"/>
          <w:rFonts w:ascii="Times New Roman" w:hAnsi="Times New Roman" w:eastAsia="Times New Roman" w:cs="Times New Roman"/>
          <w:color w:val="auto"/>
          <w:highlight w:val="none"/>
        </w:rPr>
        <w:t>2</w:t>
      </w:r>
      <w:r>
        <w:rPr>
          <w:rStyle w:val="32"/>
          <w:color w:val="auto"/>
          <w:highlight w:val="none"/>
        </w:rPr>
        <w:t>承包人发现文物后不及时报告或隐瞒不报，致使文物丢失或损坏的，应赔偿损失，并承担相应的法律责任。</w:t>
      </w:r>
    </w:p>
    <w:p w14:paraId="572CD867">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95" w:name="bookmark942"/>
      <w:bookmarkStart w:id="196" w:name="bookmark943"/>
      <w:bookmarkStart w:id="197" w:name="bookmark944"/>
      <w:bookmarkStart w:id="198" w:name="_Toc256000017"/>
      <w:bookmarkStart w:id="199" w:name="_Toc8461"/>
      <w:bookmarkStart w:id="200" w:name="_Toc12830"/>
      <w:r>
        <w:rPr>
          <w:rStyle w:val="32"/>
          <w:rFonts w:ascii="宋体" w:hAnsi="宋体" w:cs="Times New Roman"/>
          <w:color w:val="auto"/>
          <w:sz w:val="24"/>
          <w:szCs w:val="24"/>
          <w:highlight w:val="none"/>
          <w:lang w:eastAsia="zh-CN"/>
        </w:rPr>
        <w:t>1.11专利技术</w:t>
      </w:r>
      <w:bookmarkEnd w:id="195"/>
      <w:bookmarkEnd w:id="196"/>
      <w:bookmarkEnd w:id="197"/>
      <w:bookmarkEnd w:id="198"/>
      <w:bookmarkEnd w:id="199"/>
      <w:bookmarkEnd w:id="200"/>
    </w:p>
    <w:p w14:paraId="52F5E25E">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1.11.1</w:t>
      </w:r>
      <w:r>
        <w:rPr>
          <w:rStyle w:val="32"/>
          <w:color w:val="auto"/>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0524C776">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1.11.2</w:t>
      </w:r>
      <w:r>
        <w:rPr>
          <w:rStyle w:val="32"/>
          <w:color w:val="auto"/>
          <w:highlight w:val="none"/>
        </w:rPr>
        <w:t>承包人在投标文件中采用专利技术的，专利技术的使用费包含在投标报价内。</w:t>
      </w:r>
    </w:p>
    <w:p w14:paraId="207CB29D">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1.11.3</w:t>
      </w:r>
      <w:r>
        <w:rPr>
          <w:rStyle w:val="32"/>
          <w:color w:val="auto"/>
          <w:highlight w:val="none"/>
        </w:rPr>
        <w:t>承包人的技术秘密和声明需要保密的资料和信息，发包人和监理人不得为合同以外的目的泄露给他人。</w:t>
      </w:r>
    </w:p>
    <w:p w14:paraId="7B696024">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1.11.4</w:t>
      </w:r>
      <w:r>
        <w:rPr>
          <w:rStyle w:val="32"/>
          <w:color w:val="auto"/>
          <w:highlight w:val="none"/>
        </w:rPr>
        <w:t>合同实施过程中，发包人要求承包人采用专利技术的，发包人应办理相应的使用手续，承包人应按发包人约定的条件使用，并承担使用专利技术的相关试验工作。所需的费用由发包人承担。</w:t>
      </w:r>
    </w:p>
    <w:p w14:paraId="090C625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01" w:name="_Toc29021"/>
      <w:bookmarkStart w:id="202" w:name="_Toc21439"/>
      <w:bookmarkStart w:id="203" w:name="bookmark946"/>
      <w:bookmarkStart w:id="204" w:name="bookmark947"/>
      <w:bookmarkStart w:id="205" w:name="_Toc256000018"/>
      <w:bookmarkStart w:id="206" w:name="bookmark945"/>
      <w:r>
        <w:rPr>
          <w:rStyle w:val="32"/>
          <w:rFonts w:ascii="宋体" w:hAnsi="宋体" w:cs="Times New Roman"/>
          <w:color w:val="auto"/>
          <w:sz w:val="24"/>
          <w:szCs w:val="24"/>
          <w:highlight w:val="none"/>
          <w:lang w:eastAsia="zh-CN"/>
        </w:rPr>
        <w:t>1.12图纸和文件的保密</w:t>
      </w:r>
      <w:bookmarkEnd w:id="201"/>
      <w:bookmarkEnd w:id="202"/>
      <w:bookmarkEnd w:id="203"/>
      <w:bookmarkEnd w:id="204"/>
      <w:bookmarkEnd w:id="205"/>
      <w:bookmarkEnd w:id="206"/>
    </w:p>
    <w:p w14:paraId="3CE491AA">
      <w:pPr>
        <w:pStyle w:val="97"/>
        <w:pageBreakBefore w:val="0"/>
        <w:kinsoku/>
        <w:wordWrap/>
        <w:overflowPunct/>
        <w:topLinePunct w:val="0"/>
        <w:autoSpaceDE/>
        <w:autoSpaceDN/>
        <w:bidi w:val="0"/>
        <w:adjustRightInd/>
        <w:snapToGrid/>
        <w:spacing w:line="37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1.12.1</w:t>
      </w:r>
      <w:r>
        <w:rPr>
          <w:rStyle w:val="32"/>
          <w:color w:val="auto"/>
          <w:highlight w:val="none"/>
        </w:rPr>
        <w:t>发包人提供的图纸和文件，未经发包人同意，承包人不得为合同以外的目的泄露给他人或公开发表与引用。</w:t>
      </w:r>
    </w:p>
    <w:p w14:paraId="46C41238">
      <w:pPr>
        <w:pStyle w:val="97"/>
        <w:pageBreakBefore w:val="0"/>
        <w:kinsoku/>
        <w:wordWrap/>
        <w:overflowPunct/>
        <w:topLinePunct w:val="0"/>
        <w:autoSpaceDE/>
        <w:autoSpaceDN/>
        <w:bidi w:val="0"/>
        <w:adjustRightInd/>
        <w:snapToGrid/>
        <w:spacing w:after="200"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1.12.2</w:t>
      </w:r>
      <w:r>
        <w:rPr>
          <w:rStyle w:val="32"/>
          <w:color w:val="auto"/>
          <w:highlight w:val="none"/>
        </w:rPr>
        <w:t>承包人提供的文件，未经承包人同意，发包人和监理人不得为合同以外的目的泄露给他人或公开发表与引用。</w:t>
      </w:r>
    </w:p>
    <w:p w14:paraId="74B4700D">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207" w:name="bookmark950"/>
      <w:bookmarkEnd w:id="207"/>
      <w:bookmarkStart w:id="208" w:name="_Toc16330"/>
      <w:bookmarkStart w:id="209" w:name="bookmark948"/>
      <w:bookmarkStart w:id="210" w:name="bookmark951"/>
      <w:bookmarkStart w:id="211" w:name="_Toc3842"/>
      <w:bookmarkStart w:id="212" w:name="bookmark949"/>
      <w:bookmarkStart w:id="213" w:name="_Toc256000019"/>
      <w:r>
        <w:rPr>
          <w:rStyle w:val="32"/>
          <w:rFonts w:hint="eastAsia" w:cs="Times New Roman"/>
          <w:color w:val="auto"/>
          <w:highlight w:val="none"/>
          <w:lang w:eastAsia="zh-CN"/>
        </w:rPr>
        <w:t>2.发包人义务</w:t>
      </w:r>
      <w:bookmarkEnd w:id="208"/>
      <w:bookmarkEnd w:id="209"/>
      <w:bookmarkEnd w:id="210"/>
      <w:bookmarkEnd w:id="211"/>
      <w:bookmarkEnd w:id="212"/>
      <w:bookmarkEnd w:id="213"/>
    </w:p>
    <w:p w14:paraId="5A872D9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14" w:name="_Toc19875"/>
      <w:bookmarkStart w:id="215" w:name="bookmark952"/>
      <w:bookmarkStart w:id="216" w:name="bookmark953"/>
      <w:bookmarkStart w:id="217" w:name="bookmark954"/>
      <w:bookmarkStart w:id="218" w:name="_Toc256000020"/>
      <w:bookmarkStart w:id="219" w:name="_Toc27192"/>
      <w:r>
        <w:rPr>
          <w:rStyle w:val="32"/>
          <w:rFonts w:ascii="宋体" w:hAnsi="宋体" w:cs="Times New Roman"/>
          <w:color w:val="auto"/>
          <w:sz w:val="24"/>
          <w:szCs w:val="24"/>
          <w:highlight w:val="none"/>
          <w:lang w:eastAsia="zh-CN"/>
        </w:rPr>
        <w:t>2.1遵守法律</w:t>
      </w:r>
      <w:bookmarkEnd w:id="214"/>
      <w:bookmarkEnd w:id="215"/>
      <w:bookmarkEnd w:id="216"/>
      <w:bookmarkEnd w:id="217"/>
      <w:bookmarkEnd w:id="218"/>
      <w:bookmarkEnd w:id="219"/>
    </w:p>
    <w:p w14:paraId="74157283">
      <w:pPr>
        <w:pStyle w:val="97"/>
        <w:pageBreakBefore w:val="0"/>
        <w:kinsoku/>
        <w:wordWrap/>
        <w:overflowPunct/>
        <w:topLinePunct w:val="0"/>
        <w:autoSpaceDE/>
        <w:autoSpaceDN/>
        <w:bidi w:val="0"/>
        <w:adjustRightInd/>
        <w:snapToGrid/>
        <w:spacing w:after="240" w:line="355" w:lineRule="exact"/>
        <w:ind w:firstLine="440"/>
        <w:jc w:val="both"/>
        <w:textAlignment w:val="auto"/>
        <w:outlineLvl w:val="9"/>
        <w:rPr>
          <w:rStyle w:val="32"/>
          <w:color w:val="auto"/>
          <w:highlight w:val="none"/>
        </w:rPr>
      </w:pPr>
      <w:r>
        <w:rPr>
          <w:rStyle w:val="32"/>
          <w:color w:val="auto"/>
          <w:highlight w:val="none"/>
        </w:rPr>
        <w:t>发包人在履行合同过程中应遵守法律，并保证承包人免于承担因发包人违反法律而引 起的任何责任。</w:t>
      </w:r>
    </w:p>
    <w:p w14:paraId="5B00039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20" w:name="bookmark955"/>
      <w:bookmarkStart w:id="221" w:name="_Toc15166"/>
      <w:bookmarkStart w:id="222" w:name="bookmark957"/>
      <w:bookmarkStart w:id="223" w:name="_Toc16693"/>
      <w:bookmarkStart w:id="224" w:name="bookmark956"/>
      <w:bookmarkStart w:id="225" w:name="_Toc256000021"/>
      <w:r>
        <w:rPr>
          <w:rStyle w:val="32"/>
          <w:rFonts w:ascii="宋体" w:hAnsi="宋体" w:cs="Times New Roman"/>
          <w:color w:val="auto"/>
          <w:sz w:val="24"/>
          <w:szCs w:val="24"/>
          <w:highlight w:val="none"/>
          <w:lang w:eastAsia="zh-CN"/>
        </w:rPr>
        <w:t>2.2发出开工通知</w:t>
      </w:r>
      <w:bookmarkEnd w:id="220"/>
      <w:bookmarkEnd w:id="221"/>
      <w:bookmarkEnd w:id="222"/>
      <w:bookmarkEnd w:id="223"/>
      <w:bookmarkEnd w:id="224"/>
      <w:bookmarkEnd w:id="225"/>
    </w:p>
    <w:p w14:paraId="35BF301A">
      <w:pPr>
        <w:pStyle w:val="97"/>
        <w:pageBreakBefore w:val="0"/>
        <w:kinsoku/>
        <w:wordWrap/>
        <w:overflowPunct/>
        <w:topLinePunct w:val="0"/>
        <w:autoSpaceDE/>
        <w:autoSpaceDN/>
        <w:bidi w:val="0"/>
        <w:adjustRightInd/>
        <w:snapToGrid/>
        <w:spacing w:after="240" w:line="363" w:lineRule="exact"/>
        <w:ind w:firstLine="420"/>
        <w:textAlignment w:val="auto"/>
        <w:outlineLvl w:val="9"/>
        <w:rPr>
          <w:rStyle w:val="32"/>
          <w:color w:val="auto"/>
          <w:highlight w:val="none"/>
        </w:rPr>
      </w:pPr>
      <w:r>
        <w:rPr>
          <w:rStyle w:val="32"/>
          <w:color w:val="auto"/>
          <w:highlight w:val="none"/>
        </w:rPr>
        <w:t>发包人应委托监理人按第</w:t>
      </w:r>
      <w:r>
        <w:rPr>
          <w:rStyle w:val="32"/>
          <w:rFonts w:ascii="Times New Roman" w:hAnsi="Times New Roman" w:eastAsia="Times New Roman" w:cs="Times New Roman"/>
          <w:color w:val="auto"/>
          <w:highlight w:val="none"/>
          <w:lang w:val="en-US" w:bidi="en-US"/>
        </w:rPr>
        <w:t xml:space="preserve">H. </w:t>
      </w:r>
      <w:r>
        <w:rPr>
          <w:rStyle w:val="32"/>
          <w:rFonts w:ascii="Times New Roman" w:hAnsi="Times New Roman" w:eastAsia="Times New Roman" w:cs="Times New Roman"/>
          <w:color w:val="auto"/>
          <w:highlight w:val="none"/>
        </w:rPr>
        <w:t>1</w:t>
      </w:r>
      <w:r>
        <w:rPr>
          <w:rStyle w:val="32"/>
          <w:color w:val="auto"/>
          <w:highlight w:val="none"/>
        </w:rPr>
        <w:t>款的约定向承包人发出开工通知。</w:t>
      </w:r>
    </w:p>
    <w:p w14:paraId="3617C18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26" w:name="bookmark960"/>
      <w:bookmarkStart w:id="227" w:name="bookmark958"/>
      <w:bookmarkStart w:id="228" w:name="bookmark959"/>
      <w:bookmarkStart w:id="229" w:name="_Toc256000022"/>
      <w:bookmarkStart w:id="230" w:name="_Toc5643"/>
      <w:bookmarkStart w:id="231" w:name="_Toc25325"/>
      <w:r>
        <w:rPr>
          <w:rStyle w:val="32"/>
          <w:rFonts w:ascii="宋体" w:hAnsi="宋体" w:cs="Times New Roman"/>
          <w:color w:val="auto"/>
          <w:sz w:val="24"/>
          <w:szCs w:val="24"/>
          <w:highlight w:val="none"/>
          <w:lang w:eastAsia="zh-CN"/>
        </w:rPr>
        <w:t>2.3提供施工场地</w:t>
      </w:r>
      <w:bookmarkEnd w:id="226"/>
      <w:bookmarkEnd w:id="227"/>
      <w:bookmarkEnd w:id="228"/>
      <w:bookmarkEnd w:id="229"/>
      <w:bookmarkEnd w:id="230"/>
      <w:bookmarkEnd w:id="231"/>
    </w:p>
    <w:p w14:paraId="0E8EDF8C">
      <w:pPr>
        <w:pStyle w:val="97"/>
        <w:pageBreakBefore w:val="0"/>
        <w:kinsoku/>
        <w:wordWrap/>
        <w:overflowPunct/>
        <w:topLinePunct w:val="0"/>
        <w:autoSpaceDE/>
        <w:autoSpaceDN/>
        <w:bidi w:val="0"/>
        <w:adjustRightInd/>
        <w:snapToGrid/>
        <w:spacing w:line="373"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2.3.1</w:t>
      </w:r>
      <w:r>
        <w:rPr>
          <w:rStyle w:val="32"/>
          <w:color w:val="auto"/>
          <w:highlight w:val="none"/>
        </w:rPr>
        <w:t>发包人应在合同双方签定合同协议书后的</w:t>
      </w:r>
      <w:r>
        <w:rPr>
          <w:rStyle w:val="32"/>
          <w:rFonts w:ascii="Times New Roman" w:hAnsi="Times New Roman" w:eastAsia="Times New Roman" w:cs="Times New Roman"/>
          <w:color w:val="auto"/>
          <w:highlight w:val="none"/>
        </w:rPr>
        <w:t>14</w:t>
      </w:r>
      <w:r>
        <w:rPr>
          <w:rStyle w:val="32"/>
          <w:color w:val="auto"/>
          <w:highlight w:val="none"/>
        </w:rPr>
        <w:t>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74D90DF3">
      <w:pPr>
        <w:pStyle w:val="97"/>
        <w:pageBreakBefore w:val="0"/>
        <w:kinsoku/>
        <w:wordWrap/>
        <w:overflowPunct/>
        <w:topLinePunct w:val="0"/>
        <w:autoSpaceDE/>
        <w:autoSpaceDN/>
        <w:bidi w:val="0"/>
        <w:adjustRightInd/>
        <w:snapToGrid/>
        <w:spacing w:line="36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2.3.2</w:t>
      </w:r>
      <w:r>
        <w:rPr>
          <w:rStyle w:val="32"/>
          <w:color w:val="auto"/>
          <w:highlight w:val="none"/>
        </w:rPr>
        <w:t>发包人提供的施工用地范围在专用合同条款中约定。</w:t>
      </w:r>
    </w:p>
    <w:p w14:paraId="4D9C6DFB">
      <w:pPr>
        <w:pStyle w:val="97"/>
        <w:pageBreakBefore w:val="0"/>
        <w:kinsoku/>
        <w:wordWrap/>
        <w:overflowPunct/>
        <w:topLinePunct w:val="0"/>
        <w:autoSpaceDE/>
        <w:autoSpaceDN/>
        <w:bidi w:val="0"/>
        <w:adjustRightInd/>
        <w:snapToGrid/>
        <w:spacing w:after="240" w:line="36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2.3.3</w:t>
      </w:r>
      <w:r>
        <w:rPr>
          <w:rStyle w:val="32"/>
          <w:color w:val="auto"/>
          <w:highlight w:val="none"/>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2B43330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32" w:name="bookmark963"/>
      <w:bookmarkStart w:id="233" w:name="bookmark961"/>
      <w:bookmarkStart w:id="234" w:name="_Toc256000023"/>
      <w:bookmarkStart w:id="235" w:name="_Toc3862"/>
      <w:bookmarkStart w:id="236" w:name="_Toc14473"/>
      <w:bookmarkStart w:id="237" w:name="bookmark962"/>
      <w:r>
        <w:rPr>
          <w:rStyle w:val="32"/>
          <w:rFonts w:ascii="宋体" w:hAnsi="宋体" w:cs="Times New Roman"/>
          <w:color w:val="auto"/>
          <w:sz w:val="24"/>
          <w:szCs w:val="24"/>
          <w:highlight w:val="none"/>
          <w:lang w:eastAsia="zh-CN"/>
        </w:rPr>
        <w:t>2.4协助承包人办理证件和批件</w:t>
      </w:r>
      <w:bookmarkEnd w:id="232"/>
      <w:bookmarkEnd w:id="233"/>
      <w:bookmarkEnd w:id="234"/>
      <w:bookmarkEnd w:id="235"/>
      <w:bookmarkEnd w:id="236"/>
      <w:bookmarkEnd w:id="237"/>
    </w:p>
    <w:p w14:paraId="0C233428">
      <w:pPr>
        <w:pStyle w:val="97"/>
        <w:pageBreakBefore w:val="0"/>
        <w:kinsoku/>
        <w:wordWrap/>
        <w:overflowPunct/>
        <w:topLinePunct w:val="0"/>
        <w:autoSpaceDE/>
        <w:autoSpaceDN/>
        <w:bidi w:val="0"/>
        <w:adjustRightInd/>
        <w:snapToGrid/>
        <w:spacing w:after="240" w:line="363" w:lineRule="exact"/>
        <w:ind w:firstLine="420"/>
        <w:textAlignment w:val="auto"/>
        <w:outlineLvl w:val="9"/>
        <w:rPr>
          <w:rStyle w:val="32"/>
          <w:color w:val="auto"/>
          <w:highlight w:val="none"/>
        </w:rPr>
      </w:pPr>
      <w:r>
        <w:rPr>
          <w:rStyle w:val="32"/>
          <w:color w:val="auto"/>
          <w:highlight w:val="none"/>
        </w:rPr>
        <w:t>发包人应协助承包人办理法律规定的有关施工证件和批件。</w:t>
      </w:r>
    </w:p>
    <w:p w14:paraId="018EF8E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38" w:name="_Toc27327"/>
      <w:bookmarkStart w:id="239" w:name="bookmark965"/>
      <w:bookmarkStart w:id="240" w:name="bookmark964"/>
      <w:bookmarkStart w:id="241" w:name="_Toc256000024"/>
      <w:bookmarkStart w:id="242" w:name="bookmark966"/>
      <w:bookmarkStart w:id="243" w:name="_Toc15085"/>
      <w:r>
        <w:rPr>
          <w:rStyle w:val="32"/>
          <w:rFonts w:ascii="宋体" w:hAnsi="宋体" w:cs="Times New Roman"/>
          <w:color w:val="auto"/>
          <w:sz w:val="24"/>
          <w:szCs w:val="24"/>
          <w:highlight w:val="none"/>
          <w:lang w:eastAsia="zh-CN"/>
        </w:rPr>
        <w:t>2.5组织设计交底</w:t>
      </w:r>
      <w:bookmarkEnd w:id="238"/>
      <w:bookmarkEnd w:id="239"/>
      <w:bookmarkEnd w:id="240"/>
      <w:bookmarkEnd w:id="241"/>
      <w:bookmarkEnd w:id="242"/>
      <w:bookmarkEnd w:id="243"/>
    </w:p>
    <w:p w14:paraId="24C25FCD">
      <w:pPr>
        <w:pStyle w:val="97"/>
        <w:pageBreakBefore w:val="0"/>
        <w:kinsoku/>
        <w:wordWrap/>
        <w:overflowPunct/>
        <w:topLinePunct w:val="0"/>
        <w:autoSpaceDE/>
        <w:autoSpaceDN/>
        <w:bidi w:val="0"/>
        <w:adjustRightInd/>
        <w:snapToGrid/>
        <w:spacing w:after="240" w:line="363" w:lineRule="exact"/>
        <w:ind w:firstLine="420"/>
        <w:textAlignment w:val="auto"/>
        <w:outlineLvl w:val="9"/>
        <w:rPr>
          <w:rStyle w:val="32"/>
          <w:color w:val="auto"/>
          <w:highlight w:val="none"/>
        </w:rPr>
      </w:pPr>
      <w:r>
        <w:rPr>
          <w:rStyle w:val="32"/>
          <w:color w:val="auto"/>
          <w:highlight w:val="none"/>
        </w:rPr>
        <w:t>发包人应根据合同进度计划，组织设计单位向承包人进行设计交底。</w:t>
      </w:r>
    </w:p>
    <w:p w14:paraId="0C6B5F5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44" w:name="bookmark967"/>
      <w:bookmarkStart w:id="245" w:name="bookmark969"/>
      <w:bookmarkStart w:id="246" w:name="_Toc256000025"/>
      <w:bookmarkStart w:id="247" w:name="_Toc11916"/>
      <w:bookmarkStart w:id="248" w:name="_Toc15125"/>
      <w:bookmarkStart w:id="249" w:name="bookmark968"/>
      <w:r>
        <w:rPr>
          <w:rStyle w:val="32"/>
          <w:rFonts w:ascii="宋体" w:hAnsi="宋体" w:cs="Times New Roman"/>
          <w:color w:val="auto"/>
          <w:sz w:val="24"/>
          <w:szCs w:val="24"/>
          <w:highlight w:val="none"/>
          <w:lang w:eastAsia="zh-CN"/>
        </w:rPr>
        <w:t>2.6支付合同价款</w:t>
      </w:r>
      <w:bookmarkEnd w:id="244"/>
      <w:bookmarkEnd w:id="245"/>
      <w:bookmarkEnd w:id="246"/>
      <w:bookmarkEnd w:id="247"/>
      <w:bookmarkEnd w:id="248"/>
      <w:bookmarkEnd w:id="249"/>
    </w:p>
    <w:p w14:paraId="10EFBD1B">
      <w:pPr>
        <w:pStyle w:val="97"/>
        <w:pageBreakBefore w:val="0"/>
        <w:kinsoku/>
        <w:wordWrap/>
        <w:overflowPunct/>
        <w:topLinePunct w:val="0"/>
        <w:autoSpaceDE/>
        <w:autoSpaceDN/>
        <w:bidi w:val="0"/>
        <w:adjustRightInd/>
        <w:snapToGrid/>
        <w:spacing w:after="240" w:line="363" w:lineRule="exact"/>
        <w:ind w:firstLine="420"/>
        <w:textAlignment w:val="auto"/>
        <w:outlineLvl w:val="9"/>
        <w:rPr>
          <w:rStyle w:val="32"/>
          <w:color w:val="auto"/>
          <w:highlight w:val="none"/>
        </w:rPr>
      </w:pPr>
      <w:r>
        <w:rPr>
          <w:rStyle w:val="32"/>
          <w:color w:val="auto"/>
          <w:highlight w:val="none"/>
        </w:rPr>
        <w:t>发包人应按合同约定向承包人及时支付合同价款。</w:t>
      </w:r>
    </w:p>
    <w:p w14:paraId="613140E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50" w:name="bookmark970"/>
      <w:bookmarkStart w:id="251" w:name="_Toc14608"/>
      <w:bookmarkStart w:id="252" w:name="_Toc5624"/>
      <w:bookmarkStart w:id="253" w:name="bookmark971"/>
      <w:bookmarkStart w:id="254" w:name="_Toc256000026"/>
      <w:bookmarkStart w:id="255" w:name="bookmark972"/>
      <w:r>
        <w:rPr>
          <w:rStyle w:val="32"/>
          <w:rFonts w:ascii="宋体" w:hAnsi="宋体" w:cs="Times New Roman"/>
          <w:color w:val="auto"/>
          <w:sz w:val="24"/>
          <w:szCs w:val="24"/>
          <w:highlight w:val="none"/>
          <w:lang w:eastAsia="zh-CN"/>
        </w:rPr>
        <w:t>2.7组织竣工验收（组织法人验收）</w:t>
      </w:r>
      <w:bookmarkEnd w:id="250"/>
      <w:bookmarkEnd w:id="251"/>
      <w:bookmarkEnd w:id="252"/>
      <w:bookmarkEnd w:id="253"/>
      <w:bookmarkEnd w:id="254"/>
      <w:bookmarkEnd w:id="255"/>
    </w:p>
    <w:p w14:paraId="3EB809E3">
      <w:pPr>
        <w:pStyle w:val="97"/>
        <w:pageBreakBefore w:val="0"/>
        <w:kinsoku/>
        <w:wordWrap/>
        <w:overflowPunct/>
        <w:topLinePunct w:val="0"/>
        <w:autoSpaceDE/>
        <w:autoSpaceDN/>
        <w:bidi w:val="0"/>
        <w:adjustRightInd/>
        <w:snapToGrid/>
        <w:spacing w:after="120" w:line="360" w:lineRule="exact"/>
        <w:ind w:firstLine="420"/>
        <w:textAlignment w:val="auto"/>
        <w:outlineLvl w:val="9"/>
        <w:rPr>
          <w:rStyle w:val="32"/>
          <w:color w:val="auto"/>
          <w:highlight w:val="none"/>
        </w:rPr>
      </w:pPr>
      <w:r>
        <w:rPr>
          <w:rStyle w:val="32"/>
          <w:color w:val="auto"/>
          <w:highlight w:val="none"/>
        </w:rPr>
        <w:t>发包人应按合同约定及时组织法人验收。</w:t>
      </w:r>
    </w:p>
    <w:p w14:paraId="14E9B01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56" w:name="bookmark973"/>
      <w:bookmarkStart w:id="257" w:name="bookmark975"/>
      <w:bookmarkStart w:id="258" w:name="_Toc256000027"/>
      <w:bookmarkStart w:id="259" w:name="bookmark974"/>
      <w:bookmarkStart w:id="260" w:name="_Toc26461"/>
      <w:bookmarkStart w:id="261" w:name="_Toc16585"/>
      <w:r>
        <w:rPr>
          <w:rStyle w:val="32"/>
          <w:rFonts w:ascii="宋体" w:hAnsi="宋体" w:cs="Times New Roman"/>
          <w:color w:val="auto"/>
          <w:sz w:val="24"/>
          <w:szCs w:val="24"/>
          <w:highlight w:val="none"/>
          <w:lang w:eastAsia="zh-CN"/>
        </w:rPr>
        <w:t>2.8其它义务</w:t>
      </w:r>
      <w:bookmarkEnd w:id="256"/>
      <w:bookmarkEnd w:id="257"/>
      <w:bookmarkEnd w:id="258"/>
      <w:bookmarkEnd w:id="259"/>
      <w:bookmarkEnd w:id="260"/>
      <w:bookmarkEnd w:id="261"/>
    </w:p>
    <w:p w14:paraId="21464E48">
      <w:pPr>
        <w:pStyle w:val="97"/>
        <w:pageBreakBefore w:val="0"/>
        <w:kinsoku/>
        <w:wordWrap/>
        <w:overflowPunct/>
        <w:topLinePunct w:val="0"/>
        <w:autoSpaceDE/>
        <w:autoSpaceDN/>
        <w:bidi w:val="0"/>
        <w:adjustRightInd/>
        <w:snapToGrid/>
        <w:spacing w:after="280" w:line="360" w:lineRule="exact"/>
        <w:ind w:firstLine="420"/>
        <w:textAlignment w:val="auto"/>
        <w:outlineLvl w:val="9"/>
        <w:rPr>
          <w:rStyle w:val="32"/>
          <w:color w:val="auto"/>
          <w:highlight w:val="none"/>
        </w:rPr>
      </w:pPr>
      <w:r>
        <w:rPr>
          <w:rStyle w:val="32"/>
          <w:color w:val="auto"/>
          <w:highlight w:val="none"/>
        </w:rPr>
        <w:t>其它义务在专用合同条款中补充约定。</w:t>
      </w:r>
    </w:p>
    <w:p w14:paraId="31BCD08E">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262" w:name="bookmark976"/>
      <w:bookmarkStart w:id="263" w:name="_Toc25929"/>
      <w:bookmarkStart w:id="264" w:name="bookmark978"/>
      <w:bookmarkStart w:id="265" w:name="bookmark977"/>
      <w:bookmarkStart w:id="266" w:name="_Toc256000028"/>
      <w:bookmarkStart w:id="267" w:name="_Toc17454"/>
      <w:r>
        <w:rPr>
          <w:rStyle w:val="32"/>
          <w:rFonts w:hint="eastAsia" w:cs="Times New Roman"/>
          <w:color w:val="auto"/>
          <w:highlight w:val="none"/>
          <w:lang w:eastAsia="zh-CN"/>
        </w:rPr>
        <w:t>3.监理人</w:t>
      </w:r>
      <w:bookmarkEnd w:id="262"/>
      <w:bookmarkEnd w:id="263"/>
      <w:bookmarkEnd w:id="264"/>
      <w:bookmarkEnd w:id="265"/>
      <w:bookmarkEnd w:id="266"/>
      <w:bookmarkEnd w:id="267"/>
    </w:p>
    <w:p w14:paraId="35AE406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68" w:name="bookmark979"/>
      <w:bookmarkStart w:id="269" w:name="_Toc28768"/>
      <w:bookmarkStart w:id="270" w:name="_Toc256000029"/>
      <w:bookmarkStart w:id="271" w:name="_Toc5442"/>
      <w:bookmarkStart w:id="272" w:name="bookmark980"/>
      <w:bookmarkStart w:id="273" w:name="bookmark981"/>
      <w:r>
        <w:rPr>
          <w:rStyle w:val="32"/>
          <w:rFonts w:ascii="宋体" w:hAnsi="宋体" w:cs="Times New Roman"/>
          <w:color w:val="auto"/>
          <w:sz w:val="24"/>
          <w:szCs w:val="24"/>
          <w:highlight w:val="none"/>
          <w:lang w:eastAsia="zh-CN"/>
        </w:rPr>
        <w:t>3.1监理人的职责和权利</w:t>
      </w:r>
      <w:bookmarkEnd w:id="268"/>
      <w:bookmarkEnd w:id="269"/>
      <w:bookmarkEnd w:id="270"/>
      <w:bookmarkEnd w:id="271"/>
      <w:bookmarkEnd w:id="272"/>
      <w:bookmarkEnd w:id="273"/>
    </w:p>
    <w:p w14:paraId="7B8D98A0">
      <w:pPr>
        <w:pStyle w:val="97"/>
        <w:pageBreakBefore w:val="0"/>
        <w:kinsoku/>
        <w:wordWrap/>
        <w:overflowPunct/>
        <w:topLinePunct w:val="0"/>
        <w:autoSpaceDE/>
        <w:autoSpaceDN/>
        <w:bidi w:val="0"/>
        <w:adjustRightInd/>
        <w:snapToGrid/>
        <w:spacing w:line="35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3.1.1</w:t>
      </w:r>
      <w:r>
        <w:rPr>
          <w:rStyle w:val="32"/>
          <w:color w:val="auto"/>
          <w:highlight w:val="none"/>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w:t>
      </w:r>
      <w:r>
        <w:rPr>
          <w:rStyle w:val="32"/>
          <w:rFonts w:ascii="Times New Roman" w:hAnsi="Times New Roman" w:eastAsia="Times New Roman" w:cs="Times New Roman"/>
          <w:color w:val="auto"/>
          <w:highlight w:val="none"/>
        </w:rPr>
        <w:t>15</w:t>
      </w:r>
      <w:r>
        <w:rPr>
          <w:rStyle w:val="32"/>
          <w:color w:val="auto"/>
          <w:highlight w:val="none"/>
        </w:rPr>
        <w:t>条的约定增加相应的费用，并通知承包人。</w:t>
      </w:r>
    </w:p>
    <w:p w14:paraId="37B1ED5A">
      <w:pPr>
        <w:pStyle w:val="97"/>
        <w:pageBreakBefore w:val="0"/>
        <w:kinsoku/>
        <w:wordWrap/>
        <w:overflowPunct/>
        <w:topLinePunct w:val="0"/>
        <w:autoSpaceDE/>
        <w:autoSpaceDN/>
        <w:bidi w:val="0"/>
        <w:adjustRightInd/>
        <w:snapToGrid/>
        <w:spacing w:line="35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3.1.2</w:t>
      </w:r>
      <w:r>
        <w:rPr>
          <w:rStyle w:val="32"/>
          <w:color w:val="auto"/>
          <w:highlight w:val="none"/>
        </w:rPr>
        <w:t>监理人发出的任何指示应视为已得到发包人的批准，但监理人无权免除或变更合同约定的发包人和承包人的权利、义务和责任。</w:t>
      </w:r>
    </w:p>
    <w:p w14:paraId="7CA1DAC6">
      <w:pPr>
        <w:pStyle w:val="97"/>
        <w:pageBreakBefore w:val="0"/>
        <w:kinsoku/>
        <w:wordWrap/>
        <w:overflowPunct/>
        <w:topLinePunct w:val="0"/>
        <w:autoSpaceDE/>
        <w:autoSpaceDN/>
        <w:bidi w:val="0"/>
        <w:adjustRightInd/>
        <w:snapToGrid/>
        <w:spacing w:after="120" w:line="35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3.1.3</w:t>
      </w:r>
      <w:r>
        <w:rPr>
          <w:rStyle w:val="32"/>
          <w:color w:val="auto"/>
          <w:highlight w:val="none"/>
        </w:rPr>
        <w:t>合同约定应由承包人承担的义务和责任，不因监理人对承包人提交文件的审查或批准，对工程、材料和设备的检查和检验，以及为实施监理作出的指示等职务行为而减轻或解除。</w:t>
      </w:r>
    </w:p>
    <w:p w14:paraId="265F75E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74" w:name="_Toc20317"/>
      <w:bookmarkStart w:id="275" w:name="bookmark983"/>
      <w:bookmarkStart w:id="276" w:name="bookmark982"/>
      <w:bookmarkStart w:id="277" w:name="bookmark984"/>
      <w:bookmarkStart w:id="278" w:name="_Toc256000030"/>
      <w:bookmarkStart w:id="279" w:name="_Toc28424"/>
      <w:r>
        <w:rPr>
          <w:rStyle w:val="32"/>
          <w:rFonts w:ascii="宋体" w:hAnsi="宋体" w:cs="Times New Roman"/>
          <w:color w:val="auto"/>
          <w:sz w:val="24"/>
          <w:szCs w:val="24"/>
          <w:highlight w:val="none"/>
          <w:lang w:eastAsia="zh-CN"/>
        </w:rPr>
        <w:t>3.2总监理工程师</w:t>
      </w:r>
      <w:bookmarkEnd w:id="274"/>
      <w:bookmarkEnd w:id="275"/>
      <w:bookmarkEnd w:id="276"/>
      <w:bookmarkEnd w:id="277"/>
      <w:bookmarkEnd w:id="278"/>
      <w:bookmarkEnd w:id="279"/>
    </w:p>
    <w:p w14:paraId="15FFC19A">
      <w:pPr>
        <w:pStyle w:val="97"/>
        <w:pageBreakBefore w:val="0"/>
        <w:kinsoku/>
        <w:wordWrap/>
        <w:overflowPunct/>
        <w:topLinePunct w:val="0"/>
        <w:autoSpaceDE/>
        <w:autoSpaceDN/>
        <w:bidi w:val="0"/>
        <w:adjustRightInd/>
        <w:snapToGrid/>
        <w:spacing w:after="120" w:line="354" w:lineRule="exact"/>
        <w:ind w:firstLine="420"/>
        <w:jc w:val="both"/>
        <w:textAlignment w:val="auto"/>
        <w:outlineLvl w:val="9"/>
        <w:rPr>
          <w:rStyle w:val="32"/>
          <w:color w:val="auto"/>
          <w:highlight w:val="none"/>
        </w:rPr>
      </w:pPr>
      <w:r>
        <w:rPr>
          <w:rStyle w:val="32"/>
          <w:color w:val="auto"/>
          <w:highlight w:val="none"/>
        </w:rPr>
        <w:t>发包人应在发出开工通知前将总监理工程师的任命通知承包人。总监理工程师更换时, 应在调离</w:t>
      </w:r>
      <w:r>
        <w:rPr>
          <w:rStyle w:val="32"/>
          <w:rFonts w:ascii="Times New Roman" w:hAnsi="Times New Roman" w:eastAsia="Times New Roman" w:cs="Times New Roman"/>
          <w:color w:val="auto"/>
          <w:highlight w:val="none"/>
        </w:rPr>
        <w:t>14</w:t>
      </w:r>
      <w:r>
        <w:rPr>
          <w:rStyle w:val="32"/>
          <w:color w:val="auto"/>
          <w:highlight w:val="none"/>
        </w:rPr>
        <w:t>天前通知承包人。总监理工程师短期离开施工场地的，应委派代表代行其职 责，并通知承包人。</w:t>
      </w:r>
    </w:p>
    <w:p w14:paraId="3B5FBC5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80" w:name="bookmark986"/>
      <w:bookmarkStart w:id="281" w:name="_Toc13884"/>
      <w:bookmarkStart w:id="282" w:name="bookmark987"/>
      <w:bookmarkStart w:id="283" w:name="bookmark985"/>
      <w:bookmarkStart w:id="284" w:name="_Toc11573"/>
      <w:bookmarkStart w:id="285" w:name="_Toc256000031"/>
      <w:r>
        <w:rPr>
          <w:rStyle w:val="32"/>
          <w:rFonts w:ascii="宋体" w:hAnsi="宋体" w:cs="Times New Roman"/>
          <w:color w:val="auto"/>
          <w:sz w:val="24"/>
          <w:szCs w:val="24"/>
          <w:highlight w:val="none"/>
          <w:lang w:eastAsia="zh-CN"/>
        </w:rPr>
        <w:t>3.3监理人员</w:t>
      </w:r>
      <w:bookmarkEnd w:id="280"/>
      <w:bookmarkEnd w:id="281"/>
      <w:bookmarkEnd w:id="282"/>
      <w:bookmarkEnd w:id="283"/>
      <w:bookmarkEnd w:id="284"/>
      <w:bookmarkEnd w:id="285"/>
    </w:p>
    <w:p w14:paraId="192D97FA">
      <w:pPr>
        <w:pStyle w:val="97"/>
        <w:pageBreakBefore w:val="0"/>
        <w:kinsoku/>
        <w:wordWrap/>
        <w:overflowPunct/>
        <w:topLinePunct w:val="0"/>
        <w:autoSpaceDE/>
        <w:autoSpaceDN/>
        <w:bidi w:val="0"/>
        <w:adjustRightInd/>
        <w:snapToGrid/>
        <w:spacing w:line="361" w:lineRule="exact"/>
        <w:ind w:firstLine="420"/>
        <w:jc w:val="both"/>
        <w:textAlignment w:val="auto"/>
        <w:outlineLvl w:val="9"/>
        <w:rPr>
          <w:rStyle w:val="32"/>
          <w:color w:val="auto"/>
          <w:highlight w:val="none"/>
        </w:rPr>
      </w:pPr>
      <w:bookmarkStart w:id="286" w:name="bookmark988"/>
      <w:bookmarkEnd w:id="286"/>
      <w:r>
        <w:rPr>
          <w:rStyle w:val="32"/>
          <w:rFonts w:ascii="Times New Roman" w:hAnsi="Times New Roman" w:cs="Times New Roman"/>
          <w:color w:val="auto"/>
          <w:highlight w:val="none"/>
        </w:rPr>
        <w:t>3.3.1</w:t>
      </w:r>
      <w:r>
        <w:rPr>
          <w:rStyle w:val="32"/>
          <w:color w:val="auto"/>
          <w:highlight w:val="none"/>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220C45DA">
      <w:pPr>
        <w:pStyle w:val="97"/>
        <w:pageBreakBefore w:val="0"/>
        <w:kinsoku/>
        <w:wordWrap/>
        <w:overflowPunct/>
        <w:topLinePunct w:val="0"/>
        <w:autoSpaceDE/>
        <w:autoSpaceDN/>
        <w:bidi w:val="0"/>
        <w:adjustRightInd/>
        <w:snapToGrid/>
        <w:spacing w:line="361"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3.3.2</w:t>
      </w:r>
      <w:r>
        <w:rPr>
          <w:rStyle w:val="32"/>
          <w:color w:val="auto"/>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3B87CF1D">
      <w:pPr>
        <w:pStyle w:val="97"/>
        <w:pageBreakBefore w:val="0"/>
        <w:kinsoku/>
        <w:wordWrap/>
        <w:overflowPunct/>
        <w:topLinePunct w:val="0"/>
        <w:autoSpaceDE/>
        <w:autoSpaceDN/>
        <w:bidi w:val="0"/>
        <w:adjustRightInd/>
        <w:snapToGrid/>
        <w:spacing w:line="361"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3.3.3</w:t>
      </w:r>
      <w:r>
        <w:rPr>
          <w:rStyle w:val="32"/>
          <w:color w:val="auto"/>
          <w:highlight w:val="none"/>
        </w:rPr>
        <w:t>承包人对总监理工程师授权的监理人员发出的指示有疑问的，可向总监理工程师提出书面异议，总监理工程师应在</w:t>
      </w:r>
      <w:r>
        <w:rPr>
          <w:rStyle w:val="32"/>
          <w:rFonts w:ascii="Times New Roman" w:hAnsi="Times New Roman" w:eastAsia="Times New Roman" w:cs="Times New Roman"/>
          <w:color w:val="auto"/>
          <w:highlight w:val="none"/>
        </w:rPr>
        <w:t>48</w:t>
      </w:r>
      <w:r>
        <w:rPr>
          <w:rStyle w:val="32"/>
          <w:color w:val="auto"/>
          <w:highlight w:val="none"/>
        </w:rPr>
        <w:t>小时内对该指示予以确认、更改或撤销。</w:t>
      </w:r>
    </w:p>
    <w:p w14:paraId="3B0C03F5">
      <w:pPr>
        <w:pStyle w:val="97"/>
        <w:pageBreakBefore w:val="0"/>
        <w:kinsoku/>
        <w:wordWrap/>
        <w:overflowPunct/>
        <w:topLinePunct w:val="0"/>
        <w:autoSpaceDE/>
        <w:autoSpaceDN/>
        <w:bidi w:val="0"/>
        <w:adjustRightInd/>
        <w:snapToGrid/>
        <w:spacing w:after="240" w:line="361" w:lineRule="exact"/>
        <w:ind w:firstLine="420"/>
        <w:jc w:val="both"/>
        <w:textAlignment w:val="auto"/>
        <w:outlineLvl w:val="9"/>
        <w:rPr>
          <w:rStyle w:val="32"/>
          <w:color w:val="auto"/>
          <w:highlight w:val="none"/>
        </w:rPr>
      </w:pPr>
      <w:bookmarkStart w:id="287" w:name="bookmark989"/>
      <w:bookmarkEnd w:id="287"/>
      <w:r>
        <w:rPr>
          <w:rStyle w:val="32"/>
          <w:rFonts w:ascii="Times New Roman" w:hAnsi="Times New Roman" w:cs="Times New Roman"/>
          <w:color w:val="auto"/>
          <w:highlight w:val="none"/>
        </w:rPr>
        <w:t>3.3.4</w:t>
      </w:r>
      <w:r>
        <w:rPr>
          <w:rStyle w:val="32"/>
          <w:color w:val="auto"/>
          <w:highlight w:val="none"/>
        </w:rPr>
        <w:t>除专用合同条款另有约定外，总监理工程师不应将第3. 5款约定应由总监理工程师作出确定的权力授权或委托给其他监理人员。</w:t>
      </w:r>
    </w:p>
    <w:p w14:paraId="591CEA2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88" w:name="_Toc29343"/>
      <w:bookmarkStart w:id="289" w:name="bookmark990"/>
      <w:bookmarkStart w:id="290" w:name="bookmark992"/>
      <w:bookmarkStart w:id="291" w:name="bookmark991"/>
      <w:bookmarkStart w:id="292" w:name="_Toc28235"/>
      <w:bookmarkStart w:id="293" w:name="_Toc256000032"/>
      <w:r>
        <w:rPr>
          <w:rStyle w:val="32"/>
          <w:rFonts w:ascii="宋体" w:hAnsi="宋体" w:cs="Times New Roman"/>
          <w:color w:val="auto"/>
          <w:sz w:val="24"/>
          <w:szCs w:val="24"/>
          <w:highlight w:val="none"/>
          <w:lang w:eastAsia="zh-CN"/>
        </w:rPr>
        <w:t>3.4监理人的指示</w:t>
      </w:r>
      <w:bookmarkEnd w:id="288"/>
      <w:bookmarkEnd w:id="289"/>
      <w:bookmarkEnd w:id="290"/>
      <w:bookmarkEnd w:id="291"/>
      <w:bookmarkEnd w:id="292"/>
      <w:bookmarkEnd w:id="293"/>
    </w:p>
    <w:p w14:paraId="2F19A234">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3.4.</w:t>
      </w:r>
      <w:r>
        <w:rPr>
          <w:rStyle w:val="32"/>
          <w:rFonts w:ascii="Times New Roman" w:hAnsi="Times New Roman" w:eastAsia="Times New Roman" w:cs="Times New Roman"/>
          <w:color w:val="auto"/>
          <w:highlight w:val="none"/>
        </w:rPr>
        <w:t>1</w:t>
      </w:r>
      <w:r>
        <w:rPr>
          <w:rStyle w:val="32"/>
          <w:color w:val="auto"/>
          <w:highlight w:val="none"/>
        </w:rPr>
        <w:t>监理人应按第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1</w:t>
      </w:r>
      <w:r>
        <w:rPr>
          <w:rStyle w:val="32"/>
          <w:color w:val="auto"/>
          <w:highlight w:val="none"/>
        </w:rPr>
        <w:t>款的约定向承包人发出指示，监理人的指示应盖有监理人授权的施工场地机构章，并由总监理工程师或总监理工程师按第</w:t>
      </w:r>
      <w:r>
        <w:rPr>
          <w:rStyle w:val="32"/>
          <w:rFonts w:ascii="Times New Roman" w:hAnsi="Times New Roman" w:eastAsia="Times New Roman" w:cs="Times New Roman"/>
          <w:color w:val="auto"/>
          <w:highlight w:val="none"/>
          <w:lang w:val="en-US" w:bidi="en-US"/>
        </w:rPr>
        <w:t xml:space="preserve">3. 3. </w:t>
      </w:r>
      <w:r>
        <w:rPr>
          <w:rStyle w:val="32"/>
          <w:rFonts w:ascii="Times New Roman" w:hAnsi="Times New Roman" w:eastAsia="Times New Roman" w:cs="Times New Roman"/>
          <w:color w:val="auto"/>
          <w:highlight w:val="none"/>
        </w:rPr>
        <w:t>1</w:t>
      </w:r>
      <w:r>
        <w:rPr>
          <w:rStyle w:val="32"/>
          <w:color w:val="auto"/>
          <w:highlight w:val="none"/>
        </w:rPr>
        <w:t>项约定授权的监理人员签字</w:t>
      </w:r>
      <w:r>
        <w:rPr>
          <w:rStyle w:val="32"/>
          <w:color w:val="auto"/>
          <w:highlight w:val="none"/>
          <w:lang w:val="en-US" w:bidi="en-US"/>
        </w:rPr>
        <w:t>。</w:t>
      </w:r>
    </w:p>
    <w:p w14:paraId="292596D0">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3.4.2</w:t>
      </w:r>
      <w:r>
        <w:rPr>
          <w:rStyle w:val="32"/>
          <w:color w:val="auto"/>
          <w:highlight w:val="none"/>
        </w:rPr>
        <w:t>承包人收到监理人按第</w:t>
      </w:r>
      <w:r>
        <w:rPr>
          <w:rStyle w:val="32"/>
          <w:rFonts w:ascii="Times New Roman" w:hAnsi="Times New Roman" w:eastAsia="Times New Roman" w:cs="Times New Roman"/>
          <w:color w:val="auto"/>
          <w:highlight w:val="none"/>
          <w:lang w:val="en-US" w:bidi="en-US"/>
        </w:rPr>
        <w:t>3. 4.1</w:t>
      </w:r>
      <w:r>
        <w:rPr>
          <w:rStyle w:val="32"/>
          <w:color w:val="auto"/>
          <w:highlight w:val="none"/>
        </w:rPr>
        <w:t>项作出的指示后应遵照执行。指示构成变更的，应按第</w:t>
      </w:r>
      <w:r>
        <w:rPr>
          <w:rStyle w:val="32"/>
          <w:rFonts w:ascii="Times New Roman" w:hAnsi="Times New Roman" w:eastAsia="Times New Roman" w:cs="Times New Roman"/>
          <w:color w:val="auto"/>
          <w:highlight w:val="none"/>
        </w:rPr>
        <w:t>15</w:t>
      </w:r>
      <w:r>
        <w:rPr>
          <w:rStyle w:val="32"/>
          <w:color w:val="auto"/>
          <w:highlight w:val="none"/>
        </w:rPr>
        <w:t>条处理。</w:t>
      </w:r>
    </w:p>
    <w:p w14:paraId="2A7A8D11">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3.4.3</w:t>
      </w:r>
      <w:r>
        <w:rPr>
          <w:rStyle w:val="32"/>
          <w:color w:val="auto"/>
          <w:highlight w:val="none"/>
        </w:rPr>
        <w:t>在紧急情况下，总监理工程师或被授权的监理人员可以当场签发临时书面指示，承包人应遵照执行。承包人应在收到上述临时书面指示后</w:t>
      </w:r>
      <w:r>
        <w:rPr>
          <w:rStyle w:val="32"/>
          <w:rFonts w:ascii="Times New Roman" w:hAnsi="Times New Roman" w:eastAsia="Times New Roman" w:cs="Times New Roman"/>
          <w:color w:val="auto"/>
          <w:highlight w:val="none"/>
        </w:rPr>
        <w:t>24</w:t>
      </w:r>
      <w:r>
        <w:rPr>
          <w:rStyle w:val="32"/>
          <w:color w:val="auto"/>
          <w:highlight w:val="none"/>
        </w:rPr>
        <w:t>小时内，向监理人发出书 面确认函。监理人在收到书面确认函后</w:t>
      </w:r>
      <w:r>
        <w:rPr>
          <w:rStyle w:val="32"/>
          <w:rFonts w:ascii="Times New Roman" w:hAnsi="Times New Roman" w:eastAsia="Times New Roman" w:cs="Times New Roman"/>
          <w:color w:val="auto"/>
          <w:highlight w:val="none"/>
        </w:rPr>
        <w:t>24</w:t>
      </w:r>
      <w:r>
        <w:rPr>
          <w:rStyle w:val="32"/>
          <w:color w:val="auto"/>
          <w:highlight w:val="none"/>
        </w:rPr>
        <w:t>小时内未予答复的，该书面确认函应被视为监理人的正式指示。</w:t>
      </w:r>
    </w:p>
    <w:p w14:paraId="11C46392">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3.4.4</w:t>
      </w:r>
      <w:r>
        <w:rPr>
          <w:rStyle w:val="32"/>
          <w:color w:val="auto"/>
          <w:highlight w:val="none"/>
        </w:rPr>
        <w:t>除合同另有约定外，承包人只从总监理工程师或按第</w:t>
      </w:r>
      <w:r>
        <w:rPr>
          <w:rStyle w:val="32"/>
          <w:rFonts w:ascii="Times New Roman" w:hAnsi="Times New Roman" w:eastAsia="Times New Roman" w:cs="Times New Roman"/>
          <w:color w:val="auto"/>
          <w:highlight w:val="none"/>
          <w:lang w:val="en-US" w:bidi="en-US"/>
        </w:rPr>
        <w:t xml:space="preserve">3. 3. </w:t>
      </w:r>
      <w:r>
        <w:rPr>
          <w:rStyle w:val="32"/>
          <w:rFonts w:ascii="Times New Roman" w:hAnsi="Times New Roman" w:eastAsia="Times New Roman" w:cs="Times New Roman"/>
          <w:color w:val="auto"/>
          <w:highlight w:val="none"/>
        </w:rPr>
        <w:t>1</w:t>
      </w:r>
      <w:r>
        <w:rPr>
          <w:rStyle w:val="32"/>
          <w:color w:val="auto"/>
          <w:highlight w:val="none"/>
        </w:rPr>
        <w:t>项被授权的监理人员处取得指示。</w:t>
      </w:r>
    </w:p>
    <w:p w14:paraId="6C2B2A54">
      <w:pPr>
        <w:pStyle w:val="97"/>
        <w:pageBreakBefore w:val="0"/>
        <w:kinsoku/>
        <w:wordWrap/>
        <w:overflowPunct/>
        <w:topLinePunct w:val="0"/>
        <w:autoSpaceDE/>
        <w:autoSpaceDN/>
        <w:bidi w:val="0"/>
        <w:adjustRightInd/>
        <w:snapToGrid/>
        <w:spacing w:after="120"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3.4.5</w:t>
      </w:r>
      <w:r>
        <w:rPr>
          <w:rStyle w:val="32"/>
          <w:color w:val="auto"/>
          <w:highlight w:val="none"/>
        </w:rPr>
        <w:t>由于监理人未能按合同约定发出指示、指示延误或指示错误而导致承包人费用增加和（或）工期延误的，由发包人承担赔偿责任。</w:t>
      </w:r>
    </w:p>
    <w:p w14:paraId="30059CF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294" w:name="bookmark995"/>
      <w:bookmarkStart w:id="295" w:name="_Toc15164"/>
      <w:bookmarkStart w:id="296" w:name="bookmark993"/>
      <w:bookmarkStart w:id="297" w:name="_Toc22411"/>
      <w:bookmarkStart w:id="298" w:name="bookmark994"/>
      <w:bookmarkStart w:id="299" w:name="_Toc256000033"/>
      <w:r>
        <w:rPr>
          <w:rStyle w:val="32"/>
          <w:rFonts w:ascii="宋体" w:hAnsi="宋体" w:cs="Times New Roman"/>
          <w:color w:val="auto"/>
          <w:sz w:val="24"/>
          <w:szCs w:val="24"/>
          <w:highlight w:val="none"/>
          <w:lang w:eastAsia="zh-CN"/>
        </w:rPr>
        <w:t>3.5商定或确定</w:t>
      </w:r>
      <w:bookmarkEnd w:id="294"/>
      <w:bookmarkEnd w:id="295"/>
      <w:bookmarkEnd w:id="296"/>
      <w:bookmarkEnd w:id="297"/>
      <w:bookmarkEnd w:id="298"/>
      <w:bookmarkEnd w:id="299"/>
    </w:p>
    <w:p w14:paraId="5302A7B1">
      <w:pPr>
        <w:pStyle w:val="97"/>
        <w:pageBreakBefore w:val="0"/>
        <w:kinsoku/>
        <w:wordWrap/>
        <w:overflowPunct/>
        <w:topLinePunct w:val="0"/>
        <w:autoSpaceDE/>
        <w:autoSpaceDN/>
        <w:bidi w:val="0"/>
        <w:adjustRightInd/>
        <w:snapToGrid/>
        <w:spacing w:line="368"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3.5.1</w:t>
      </w:r>
      <w:r>
        <w:rPr>
          <w:rStyle w:val="32"/>
          <w:color w:val="auto"/>
          <w:highlight w:val="none"/>
        </w:rPr>
        <w:t>合同约定总监理工程师应按照本款对任何事项进行商定或确定时，总监理工程师应与合同当事人协商，尽量达成一致。不能达成一致的，总监理工程师应认真研究后审慎确定。</w:t>
      </w:r>
    </w:p>
    <w:p w14:paraId="56AF0A7E">
      <w:pPr>
        <w:pStyle w:val="97"/>
        <w:pageBreakBefore w:val="0"/>
        <w:kinsoku/>
        <w:wordWrap/>
        <w:overflowPunct/>
        <w:topLinePunct w:val="0"/>
        <w:autoSpaceDE/>
        <w:autoSpaceDN/>
        <w:bidi w:val="0"/>
        <w:adjustRightInd/>
        <w:snapToGrid/>
        <w:spacing w:after="280" w:line="35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3.5.2</w:t>
      </w:r>
      <w:r>
        <w:rPr>
          <w:rStyle w:val="32"/>
          <w:color w:val="auto"/>
          <w:highlight w:val="none"/>
        </w:rPr>
        <w:t>总监理工程师应将商定或确定的事项通知合同当事人，并附详细依据。对总监理工程师的确定有异议的，构成争议，按照第</w:t>
      </w:r>
      <w:r>
        <w:rPr>
          <w:rStyle w:val="32"/>
          <w:rFonts w:ascii="Times New Roman" w:hAnsi="Times New Roman" w:eastAsia="Times New Roman" w:cs="Times New Roman"/>
          <w:color w:val="auto"/>
          <w:highlight w:val="none"/>
        </w:rPr>
        <w:t>24</w:t>
      </w:r>
      <w:r>
        <w:rPr>
          <w:rStyle w:val="32"/>
          <w:color w:val="auto"/>
          <w:highlight w:val="none"/>
        </w:rPr>
        <w:t>条的约定处理。在争议解决前，双方应暂按总监理工程师的确定执行，按照第</w:t>
      </w:r>
      <w:r>
        <w:rPr>
          <w:rStyle w:val="32"/>
          <w:rFonts w:ascii="Times New Roman" w:hAnsi="Times New Roman" w:eastAsia="Times New Roman" w:cs="Times New Roman"/>
          <w:color w:val="auto"/>
          <w:highlight w:val="none"/>
        </w:rPr>
        <w:t>24</w:t>
      </w:r>
      <w:r>
        <w:rPr>
          <w:rStyle w:val="32"/>
          <w:color w:val="auto"/>
          <w:highlight w:val="none"/>
        </w:rPr>
        <w:t>条的约定对总监理工程师的确定作出修改的，按修 改后的结果执行</w:t>
      </w:r>
      <w:r>
        <w:rPr>
          <w:rStyle w:val="32"/>
          <w:color w:val="auto"/>
          <w:highlight w:val="none"/>
          <w:lang w:val="en-US" w:bidi="en-US"/>
        </w:rPr>
        <w:t>。</w:t>
      </w:r>
    </w:p>
    <w:p w14:paraId="42560612">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300" w:name="bookmark996"/>
      <w:bookmarkStart w:id="301" w:name="bookmark998"/>
      <w:bookmarkStart w:id="302" w:name="_Toc256000034"/>
      <w:bookmarkStart w:id="303" w:name="bookmark997"/>
      <w:bookmarkStart w:id="304" w:name="_Toc13765"/>
      <w:r>
        <w:rPr>
          <w:rStyle w:val="32"/>
          <w:rFonts w:hint="eastAsia" w:cs="Times New Roman"/>
          <w:color w:val="auto"/>
          <w:highlight w:val="none"/>
          <w:lang w:eastAsia="zh-CN"/>
        </w:rPr>
        <w:t>4.承包人</w:t>
      </w:r>
      <w:bookmarkEnd w:id="300"/>
      <w:bookmarkEnd w:id="301"/>
      <w:bookmarkEnd w:id="302"/>
      <w:bookmarkEnd w:id="303"/>
      <w:bookmarkEnd w:id="304"/>
    </w:p>
    <w:p w14:paraId="1B5E3D2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05" w:name="bookmark1001"/>
      <w:bookmarkStart w:id="306" w:name="_Toc3815"/>
      <w:bookmarkStart w:id="307" w:name="bookmark999"/>
      <w:bookmarkStart w:id="308" w:name="_Toc11324"/>
      <w:bookmarkStart w:id="309" w:name="_Toc256000035"/>
      <w:bookmarkStart w:id="310" w:name="bookmark1000"/>
      <w:r>
        <w:rPr>
          <w:rStyle w:val="32"/>
          <w:rFonts w:ascii="宋体" w:hAnsi="宋体" w:cs="Times New Roman"/>
          <w:color w:val="auto"/>
          <w:sz w:val="24"/>
          <w:szCs w:val="24"/>
          <w:highlight w:val="none"/>
          <w:lang w:eastAsia="zh-CN"/>
        </w:rPr>
        <w:t>4.1承包人的一般义务</w:t>
      </w:r>
      <w:bookmarkEnd w:id="305"/>
      <w:bookmarkEnd w:id="306"/>
      <w:bookmarkEnd w:id="307"/>
      <w:bookmarkEnd w:id="308"/>
      <w:bookmarkEnd w:id="309"/>
      <w:bookmarkEnd w:id="310"/>
    </w:p>
    <w:p w14:paraId="6AC0BD44">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4.1.1</w:t>
      </w:r>
      <w:r>
        <w:rPr>
          <w:rStyle w:val="32"/>
          <w:rFonts w:ascii="Times New Roman" w:hAnsi="Times New Roman" w:cs="Times New Roman"/>
          <w:color w:val="auto"/>
          <w:highlight w:val="none"/>
        </w:rPr>
        <w:t>遵守法律</w:t>
      </w:r>
    </w:p>
    <w:p w14:paraId="5479A5BF">
      <w:pPr>
        <w:pStyle w:val="97"/>
        <w:pageBreakBefore w:val="0"/>
        <w:kinsoku/>
        <w:wordWrap/>
        <w:overflowPunct/>
        <w:topLinePunct w:val="0"/>
        <w:autoSpaceDE/>
        <w:autoSpaceDN/>
        <w:bidi w:val="0"/>
        <w:adjustRightInd/>
        <w:snapToGrid/>
        <w:spacing w:after="120" w:line="350"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承包人在履行合同过程中应遵守法律，并保证发包人免于承担因承包人违反法律而引起的任何责任。</w:t>
      </w:r>
    </w:p>
    <w:p w14:paraId="1B0DC530">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bookmarkStart w:id="311" w:name="bookmark1002"/>
      <w:bookmarkEnd w:id="311"/>
      <w:r>
        <w:rPr>
          <w:rStyle w:val="32"/>
          <w:rFonts w:ascii="Times New Roman" w:hAnsi="Times New Roman" w:cs="Times New Roman"/>
          <w:color w:val="auto"/>
          <w:highlight w:val="none"/>
          <w:lang w:val="en-US"/>
        </w:rPr>
        <w:t>4.1.2</w:t>
      </w:r>
      <w:r>
        <w:rPr>
          <w:rStyle w:val="32"/>
          <w:rFonts w:ascii="Times New Roman" w:hAnsi="Times New Roman" w:cs="Times New Roman"/>
          <w:color w:val="auto"/>
          <w:highlight w:val="none"/>
        </w:rPr>
        <w:t>依法纳税</w:t>
      </w:r>
    </w:p>
    <w:p w14:paraId="6F3C90B9">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承包人应按有关法律规定纳税，应缴纳的税金包括在合同价格内。</w:t>
      </w:r>
    </w:p>
    <w:p w14:paraId="66B1B195">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4.1.3</w:t>
      </w:r>
      <w:r>
        <w:rPr>
          <w:rStyle w:val="32"/>
          <w:rFonts w:ascii="Times New Roman" w:hAnsi="Times New Roman" w:cs="Times New Roman"/>
          <w:color w:val="auto"/>
          <w:highlight w:val="none"/>
        </w:rPr>
        <w:t>完成各项承包工作</w:t>
      </w:r>
    </w:p>
    <w:p w14:paraId="2DFC090A">
      <w:pPr>
        <w:pStyle w:val="97"/>
        <w:pageBreakBefore w:val="0"/>
        <w:kinsoku/>
        <w:wordWrap/>
        <w:overflowPunct/>
        <w:topLinePunct w:val="0"/>
        <w:autoSpaceDE/>
        <w:autoSpaceDN/>
        <w:bidi w:val="0"/>
        <w:adjustRightInd/>
        <w:snapToGrid/>
        <w:spacing w:line="366" w:lineRule="exact"/>
        <w:ind w:firstLine="420"/>
        <w:jc w:val="both"/>
        <w:textAlignment w:val="auto"/>
        <w:outlineLvl w:val="9"/>
        <w:rPr>
          <w:rStyle w:val="32"/>
          <w:color w:val="auto"/>
          <w:highlight w:val="none"/>
        </w:rPr>
      </w:pPr>
      <w:r>
        <w:rPr>
          <w:rStyle w:val="32"/>
          <w:rFonts w:ascii="Times New Roman" w:hAnsi="Times New Roman" w:cs="Times New Roman"/>
          <w:color w:val="auto"/>
          <w:highlight w:val="none"/>
        </w:rPr>
        <w:t>承包人应按合同约定以及监理人根据第</w:t>
      </w:r>
      <w:r>
        <w:rPr>
          <w:rStyle w:val="32"/>
          <w:rFonts w:ascii="Times New Roman" w:hAnsi="Times New Roman" w:eastAsia="Times New Roman" w:cs="Times New Roman"/>
          <w:color w:val="auto"/>
          <w:highlight w:val="none"/>
          <w:lang w:val="en-US" w:bidi="en-US"/>
        </w:rPr>
        <w:t>3.4</w:t>
      </w:r>
      <w:r>
        <w:rPr>
          <w:rStyle w:val="32"/>
          <w:rFonts w:ascii="Times New Roman" w:hAnsi="Times New Roman" w:cs="Times New Roman"/>
          <w:color w:val="auto"/>
          <w:highlight w:val="none"/>
        </w:rPr>
        <w:t>款作出的指示，实施、完成全部工程，并修补工程中的任何缺陷。除第</w:t>
      </w:r>
      <w:r>
        <w:rPr>
          <w:rStyle w:val="32"/>
          <w:rFonts w:ascii="Times New Roman" w:hAnsi="Times New Roman" w:eastAsia="Times New Roman" w:cs="Times New Roman"/>
          <w:color w:val="auto"/>
          <w:highlight w:val="none"/>
          <w:lang w:val="en-US" w:bidi="en-US"/>
        </w:rPr>
        <w:t xml:space="preserve">5. </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款、第</w:t>
      </w:r>
      <w:r>
        <w:rPr>
          <w:rStyle w:val="32"/>
          <w:rFonts w:ascii="Times New Roman" w:hAnsi="Times New Roman" w:eastAsia="Times New Roman" w:cs="Times New Roman"/>
          <w:color w:val="auto"/>
          <w:highlight w:val="none"/>
          <w:lang w:val="en-US" w:bidi="en-US"/>
        </w:rPr>
        <w:t xml:space="preserve">6. </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款另</w:t>
      </w:r>
      <w:r>
        <w:rPr>
          <w:rStyle w:val="32"/>
          <w:color w:val="auto"/>
          <w:highlight w:val="none"/>
        </w:rPr>
        <w:t>有约定外，承包人应提供为完成合同工作所需的劳务、材料、施工设备、工程设备和其它物品，并按合同约定负责临时设施的设计、建造、运行、维护、管理和拆除。</w:t>
      </w:r>
    </w:p>
    <w:p w14:paraId="21BEE36D">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4.1.4</w:t>
      </w:r>
      <w:r>
        <w:rPr>
          <w:rStyle w:val="32"/>
          <w:rFonts w:ascii="Times New Roman" w:hAnsi="Times New Roman" w:cs="Times New Roman"/>
          <w:color w:val="auto"/>
          <w:highlight w:val="none"/>
        </w:rPr>
        <w:t>对施工作业和施工方法的完备性负责</w:t>
      </w:r>
    </w:p>
    <w:p w14:paraId="619E9A82">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承包人应按合同约定的工作内容和施工进度要求，编制施工组织设计和施工措施计划，并对所有施工作业和施工方法的完备性和安全可靠性负责。</w:t>
      </w:r>
    </w:p>
    <w:p w14:paraId="6351F650">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4.1.5</w:t>
      </w:r>
      <w:r>
        <w:rPr>
          <w:rStyle w:val="32"/>
          <w:rFonts w:ascii="Times New Roman" w:hAnsi="Times New Roman" w:cs="Times New Roman"/>
          <w:color w:val="auto"/>
          <w:highlight w:val="none"/>
        </w:rPr>
        <w:t>保证工程施工和人员的安全</w:t>
      </w:r>
    </w:p>
    <w:p w14:paraId="1E296634">
      <w:pPr>
        <w:pStyle w:val="97"/>
        <w:pageBreakBefore w:val="0"/>
        <w:kinsoku/>
        <w:wordWrap/>
        <w:overflowPunct/>
        <w:topLinePunct w:val="0"/>
        <w:autoSpaceDE/>
        <w:autoSpaceDN/>
        <w:bidi w:val="0"/>
        <w:adjustRightInd/>
        <w:snapToGrid/>
        <w:spacing w:line="382"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承包人应按第</w:t>
      </w:r>
      <w:r>
        <w:rPr>
          <w:rStyle w:val="32"/>
          <w:rFonts w:ascii="Times New Roman" w:hAnsi="Times New Roman" w:eastAsia="Times New Roman" w:cs="Times New Roman"/>
          <w:color w:val="auto"/>
          <w:highlight w:val="none"/>
          <w:lang w:val="en-US" w:bidi="en-US"/>
        </w:rPr>
        <w:t xml:space="preserve">9. </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款约定采取施工安全措施，确保工程及其人员、材料、设备和设施的安全，防止因工程施工造成的人身伤害和财产损失。</w:t>
      </w:r>
    </w:p>
    <w:p w14:paraId="670264D0">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bookmarkStart w:id="312" w:name="bookmark1003"/>
      <w:bookmarkEnd w:id="312"/>
      <w:r>
        <w:rPr>
          <w:rStyle w:val="32"/>
          <w:rFonts w:ascii="Times New Roman" w:hAnsi="Times New Roman" w:cs="Times New Roman"/>
          <w:color w:val="auto"/>
          <w:highlight w:val="none"/>
          <w:lang w:val="en-US"/>
        </w:rPr>
        <w:t>4.1.6</w:t>
      </w:r>
      <w:r>
        <w:rPr>
          <w:rStyle w:val="32"/>
          <w:rFonts w:ascii="Times New Roman" w:hAnsi="Times New Roman" w:cs="Times New Roman"/>
          <w:color w:val="auto"/>
          <w:highlight w:val="none"/>
        </w:rPr>
        <w:t>负责施工场地及其周边环境与生态的保护工作</w:t>
      </w:r>
    </w:p>
    <w:p w14:paraId="48232864">
      <w:pPr>
        <w:pStyle w:val="97"/>
        <w:pageBreakBefore w:val="0"/>
        <w:kinsoku/>
        <w:wordWrap/>
        <w:overflowPunct/>
        <w:topLinePunct w:val="0"/>
        <w:autoSpaceDE/>
        <w:autoSpaceDN/>
        <w:bidi w:val="0"/>
        <w:adjustRightInd/>
        <w:snapToGrid/>
        <w:spacing w:line="355"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承包人应按照第</w:t>
      </w:r>
      <w:r>
        <w:rPr>
          <w:rStyle w:val="32"/>
          <w:rFonts w:ascii="Times New Roman" w:hAnsi="Times New Roman" w:eastAsia="Times New Roman" w:cs="Times New Roman"/>
          <w:color w:val="auto"/>
          <w:highlight w:val="none"/>
          <w:lang w:val="en-US" w:bidi="en-US"/>
        </w:rPr>
        <w:t>9.4</w:t>
      </w:r>
      <w:r>
        <w:rPr>
          <w:rStyle w:val="32"/>
          <w:rFonts w:ascii="Times New Roman" w:hAnsi="Times New Roman" w:cs="Times New Roman"/>
          <w:color w:val="auto"/>
          <w:highlight w:val="none"/>
        </w:rPr>
        <w:t>款约定负责施工场地及其周边环境与生态的保护工作。</w:t>
      </w:r>
    </w:p>
    <w:p w14:paraId="665E10FA">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 xml:space="preserve">4. 1. </w:t>
      </w:r>
      <w:r>
        <w:rPr>
          <w:rStyle w:val="32"/>
          <w:rFonts w:ascii="Times New Roman" w:hAnsi="Times New Roman" w:cs="Times New Roman"/>
          <w:color w:val="auto"/>
          <w:highlight w:val="none"/>
        </w:rPr>
        <w:t>7避免施工对公众与他人的利益造成损害</w:t>
      </w:r>
    </w:p>
    <w:p w14:paraId="14C2DB22">
      <w:pPr>
        <w:pStyle w:val="97"/>
        <w:pageBreakBefore w:val="0"/>
        <w:kinsoku/>
        <w:wordWrap/>
        <w:overflowPunct/>
        <w:topLinePunct w:val="0"/>
        <w:autoSpaceDE/>
        <w:autoSpaceDN/>
        <w:bidi w:val="0"/>
        <w:adjustRightInd/>
        <w:snapToGrid/>
        <w:spacing w:line="355"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3836C425">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4. 1.8</w:t>
      </w:r>
      <w:r>
        <w:rPr>
          <w:rStyle w:val="32"/>
          <w:rFonts w:ascii="Times New Roman" w:hAnsi="Times New Roman" w:cs="Times New Roman"/>
          <w:color w:val="auto"/>
          <w:highlight w:val="none"/>
        </w:rPr>
        <w:t>为他人提供方便</w:t>
      </w:r>
    </w:p>
    <w:p w14:paraId="1D10B7FA">
      <w:pPr>
        <w:pStyle w:val="97"/>
        <w:pageBreakBefore w:val="0"/>
        <w:kinsoku/>
        <w:wordWrap/>
        <w:overflowPunct/>
        <w:topLinePunct w:val="0"/>
        <w:autoSpaceDE/>
        <w:autoSpaceDN/>
        <w:bidi w:val="0"/>
        <w:adjustRightInd/>
        <w:snapToGrid/>
        <w:spacing w:line="341"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承包人应按监理人的指示为他人在施工场地或附近实施与工程有关的其他各项工作提供可能的条件。除合同另有约定外，提供有关条件的内容和可能发生的费用，由监理人按 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rFonts w:ascii="Times New Roman" w:hAnsi="Times New Roman" w:cs="Times New Roman"/>
          <w:color w:val="auto"/>
          <w:highlight w:val="none"/>
        </w:rPr>
        <w:t>款商定或确定。</w:t>
      </w:r>
    </w:p>
    <w:p w14:paraId="7AE7A2DE">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4.1.9</w:t>
      </w:r>
      <w:r>
        <w:rPr>
          <w:rStyle w:val="32"/>
          <w:rFonts w:ascii="Times New Roman" w:hAnsi="Times New Roman" w:cs="Times New Roman"/>
          <w:color w:val="auto"/>
          <w:highlight w:val="none"/>
        </w:rPr>
        <w:t>工程的维护和照管</w:t>
      </w:r>
    </w:p>
    <w:p w14:paraId="36331642">
      <w:pPr>
        <w:pStyle w:val="97"/>
        <w:pageBreakBefore w:val="0"/>
        <w:kinsoku/>
        <w:wordWrap/>
        <w:overflowPunct/>
        <w:topLinePunct w:val="0"/>
        <w:autoSpaceDE/>
        <w:autoSpaceDN/>
        <w:bidi w:val="0"/>
        <w:adjustRightInd/>
        <w:snapToGrid/>
        <w:spacing w:line="355"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38A89A27">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4.1.10其它义务</w:t>
      </w:r>
    </w:p>
    <w:p w14:paraId="7577A928">
      <w:pPr>
        <w:pStyle w:val="97"/>
        <w:pageBreakBefore w:val="0"/>
        <w:kinsoku/>
        <w:wordWrap/>
        <w:overflowPunct/>
        <w:topLinePunct w:val="0"/>
        <w:autoSpaceDE/>
        <w:autoSpaceDN/>
        <w:bidi w:val="0"/>
        <w:adjustRightInd/>
        <w:snapToGrid/>
        <w:spacing w:after="120" w:line="363" w:lineRule="exact"/>
        <w:ind w:firstLine="420"/>
        <w:jc w:val="both"/>
        <w:textAlignment w:val="auto"/>
        <w:outlineLvl w:val="9"/>
        <w:rPr>
          <w:rStyle w:val="32"/>
          <w:color w:val="auto"/>
          <w:highlight w:val="none"/>
        </w:rPr>
      </w:pPr>
      <w:r>
        <w:rPr>
          <w:rStyle w:val="32"/>
          <w:color w:val="auto"/>
          <w:highlight w:val="none"/>
        </w:rPr>
        <w:t>其它义务在专用合同条款中补充约定。</w:t>
      </w:r>
    </w:p>
    <w:p w14:paraId="4228125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13" w:name="bookmark1004"/>
      <w:bookmarkStart w:id="314" w:name="bookmark1006"/>
      <w:bookmarkStart w:id="315" w:name="_Toc256000036"/>
      <w:bookmarkStart w:id="316" w:name="_Toc30450"/>
      <w:bookmarkStart w:id="317" w:name="_Toc11535"/>
      <w:bookmarkStart w:id="318" w:name="bookmark1005"/>
      <w:r>
        <w:rPr>
          <w:rStyle w:val="32"/>
          <w:rFonts w:ascii="宋体" w:hAnsi="宋体" w:cs="Times New Roman"/>
          <w:color w:val="auto"/>
          <w:sz w:val="24"/>
          <w:szCs w:val="24"/>
          <w:highlight w:val="none"/>
          <w:lang w:eastAsia="zh-CN"/>
        </w:rPr>
        <w:t>4.2履约担保</w:t>
      </w:r>
      <w:bookmarkEnd w:id="313"/>
      <w:bookmarkEnd w:id="314"/>
      <w:bookmarkEnd w:id="315"/>
      <w:bookmarkEnd w:id="316"/>
      <w:bookmarkEnd w:id="317"/>
      <w:bookmarkEnd w:id="318"/>
    </w:p>
    <w:p w14:paraId="2C2B3A9A">
      <w:pPr>
        <w:pStyle w:val="97"/>
        <w:pageBreakBefore w:val="0"/>
        <w:kinsoku/>
        <w:wordWrap/>
        <w:overflowPunct/>
        <w:topLinePunct w:val="0"/>
        <w:autoSpaceDE/>
        <w:autoSpaceDN/>
        <w:bidi w:val="0"/>
        <w:adjustRightInd/>
        <w:snapToGrid/>
        <w:spacing w:after="160" w:line="331" w:lineRule="exact"/>
        <w:ind w:firstLine="420"/>
        <w:jc w:val="both"/>
        <w:textAlignment w:val="auto"/>
        <w:outlineLvl w:val="9"/>
        <w:rPr>
          <w:rStyle w:val="32"/>
          <w:color w:val="auto"/>
          <w:highlight w:val="none"/>
        </w:rPr>
      </w:pPr>
      <w:r>
        <w:rPr>
          <w:rStyle w:val="32"/>
          <w:color w:val="auto"/>
          <w:highlight w:val="none"/>
        </w:rPr>
        <w:t>承包人应保证其履约担保在发包人颁发合同工程完工证书前一直有效。发包人应在合同工程完工证书颁发后</w:t>
      </w:r>
      <w:r>
        <w:rPr>
          <w:rStyle w:val="32"/>
          <w:rFonts w:ascii="Times New Roman" w:hAnsi="Times New Roman" w:eastAsia="Times New Roman" w:cs="Times New Roman"/>
          <w:color w:val="auto"/>
          <w:highlight w:val="none"/>
        </w:rPr>
        <w:t>28</w:t>
      </w:r>
      <w:r>
        <w:rPr>
          <w:rStyle w:val="32"/>
          <w:color w:val="auto"/>
          <w:highlight w:val="none"/>
        </w:rPr>
        <w:t>天内将履约担保退还给承包人。</w:t>
      </w:r>
    </w:p>
    <w:p w14:paraId="6403916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19" w:name="_Toc31393"/>
      <w:bookmarkStart w:id="320" w:name="bookmark1008"/>
      <w:bookmarkStart w:id="321" w:name="bookmark1009"/>
      <w:bookmarkStart w:id="322" w:name="bookmark1007"/>
      <w:bookmarkStart w:id="323" w:name="_Toc14304"/>
      <w:bookmarkStart w:id="324" w:name="_Toc256000037"/>
      <w:r>
        <w:rPr>
          <w:rStyle w:val="32"/>
          <w:rFonts w:ascii="宋体" w:hAnsi="宋体" w:cs="Times New Roman"/>
          <w:color w:val="auto"/>
          <w:sz w:val="24"/>
          <w:szCs w:val="24"/>
          <w:highlight w:val="none"/>
          <w:lang w:eastAsia="zh-CN"/>
        </w:rPr>
        <w:t>4.3分包</w:t>
      </w:r>
      <w:bookmarkEnd w:id="319"/>
      <w:bookmarkEnd w:id="320"/>
      <w:bookmarkEnd w:id="321"/>
      <w:bookmarkEnd w:id="322"/>
      <w:bookmarkEnd w:id="323"/>
      <w:bookmarkEnd w:id="324"/>
    </w:p>
    <w:p w14:paraId="58E8295A">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4.3.1</w:t>
      </w:r>
      <w:r>
        <w:rPr>
          <w:rStyle w:val="32"/>
          <w:color w:val="auto"/>
          <w:highlight w:val="none"/>
        </w:rPr>
        <w:t>承包人不得将其承包的全部工程转包给第三人，或将其承包的全部工程肢解后以分包的名义转包给第三人。</w:t>
      </w:r>
    </w:p>
    <w:p w14:paraId="3696C3E2">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4.3.2</w:t>
      </w:r>
      <w:r>
        <w:rPr>
          <w:rStyle w:val="32"/>
          <w:color w:val="auto"/>
          <w:highlight w:val="none"/>
        </w:rPr>
        <w:t>承包人不得将工程主体、关键性工作分包给第三人。除专用合同条款另有约定外，未经发包人同意，承包人不得将工程的其他部分或工作分包给第三人。</w:t>
      </w:r>
    </w:p>
    <w:p w14:paraId="3A63E4C4">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w:t>
      </w:r>
      <w:r>
        <w:rPr>
          <w:rStyle w:val="32"/>
          <w:rFonts w:ascii="Times New Roman" w:hAnsi="Times New Roman" w:eastAsia="Times New Roman" w:cs="Times New Roman"/>
          <w:color w:val="auto"/>
          <w:highlight w:val="none"/>
        </w:rPr>
        <w:t>3</w:t>
      </w:r>
      <w:r>
        <w:rPr>
          <w:rStyle w:val="32"/>
          <w:color w:val="auto"/>
          <w:highlight w:val="none"/>
        </w:rPr>
        <w:t>分包人的资格能力应与其分包工程的标准和规模相适应。</w:t>
      </w:r>
    </w:p>
    <w:p w14:paraId="0A33DD3E">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4.3.4</w:t>
      </w:r>
      <w:r>
        <w:rPr>
          <w:rStyle w:val="32"/>
          <w:color w:val="auto"/>
          <w:highlight w:val="none"/>
        </w:rPr>
        <w:t>按投标函附录约定分包工程的，承包人应向发包人和监理人提交分包合同 副本。</w:t>
      </w:r>
    </w:p>
    <w:p w14:paraId="2D046F1F">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4.3.5</w:t>
      </w:r>
      <w:r>
        <w:rPr>
          <w:rStyle w:val="32"/>
          <w:color w:val="auto"/>
          <w:highlight w:val="none"/>
        </w:rPr>
        <w:t>承包人应与分包人就分包工程向发包人承担连带责任。</w:t>
      </w:r>
    </w:p>
    <w:p w14:paraId="2420C874">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4.3.6</w:t>
      </w:r>
      <w:r>
        <w:rPr>
          <w:rStyle w:val="32"/>
          <w:color w:val="auto"/>
          <w:highlight w:val="none"/>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43F597D8">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4.3.7</w:t>
      </w:r>
      <w:r>
        <w:rPr>
          <w:rStyle w:val="32"/>
          <w:color w:val="auto"/>
          <w:highlight w:val="none"/>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6F2A7E60">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4.3.8</w:t>
      </w:r>
      <w:r>
        <w:rPr>
          <w:rStyle w:val="32"/>
          <w:color w:val="auto"/>
          <w:highlight w:val="none"/>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6CE4CFD2">
      <w:pPr>
        <w:pStyle w:val="97"/>
        <w:pageBreakBefore w:val="0"/>
        <w:kinsoku/>
        <w:wordWrap/>
        <w:overflowPunct/>
        <w:topLinePunct w:val="0"/>
        <w:autoSpaceDE/>
        <w:autoSpaceDN/>
        <w:bidi w:val="0"/>
        <w:adjustRightInd/>
        <w:snapToGrid/>
        <w:spacing w:line="35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4.3.9</w:t>
      </w:r>
      <w:r>
        <w:rPr>
          <w:rStyle w:val="32"/>
          <w:color w:val="auto"/>
          <w:highlight w:val="none"/>
        </w:rPr>
        <w:t>除第</w:t>
      </w:r>
      <w:r>
        <w:rPr>
          <w:rStyle w:val="32"/>
          <w:rFonts w:ascii="Times New Roman" w:hAnsi="Times New Roman" w:eastAsia="Times New Roman" w:cs="Times New Roman"/>
          <w:color w:val="auto"/>
          <w:highlight w:val="none"/>
          <w:lang w:val="en-US" w:bidi="en-US"/>
        </w:rPr>
        <w:t xml:space="preserve">4. 3. </w:t>
      </w:r>
      <w:r>
        <w:rPr>
          <w:rStyle w:val="32"/>
          <w:rFonts w:ascii="Times New Roman" w:hAnsi="Times New Roman" w:eastAsia="Times New Roman" w:cs="Times New Roman"/>
          <w:color w:val="auto"/>
          <w:highlight w:val="none"/>
        </w:rPr>
        <w:t>7</w:t>
      </w:r>
      <w:r>
        <w:rPr>
          <w:rStyle w:val="32"/>
          <w:color w:val="auto"/>
          <w:highlight w:val="none"/>
        </w:rPr>
        <w:t>项规定的指定分包外，承包人对其分包项目的实施以及分包人的行为向发包人负全部责任。承包人应对分包项目的工程进度、质量、安全、计量和验收等实施监督和管理。</w:t>
      </w:r>
    </w:p>
    <w:p w14:paraId="0ABB36C9">
      <w:pPr>
        <w:pStyle w:val="97"/>
        <w:pageBreakBefore w:val="0"/>
        <w:tabs>
          <w:tab w:val="left" w:pos="736"/>
        </w:tabs>
        <w:kinsoku/>
        <w:wordWrap/>
        <w:overflowPunct/>
        <w:topLinePunct w:val="0"/>
        <w:autoSpaceDE/>
        <w:autoSpaceDN/>
        <w:bidi w:val="0"/>
        <w:adjustRightInd/>
        <w:snapToGrid/>
        <w:spacing w:after="140" w:line="372" w:lineRule="exact"/>
        <w:ind w:left="420" w:firstLine="0"/>
        <w:jc w:val="both"/>
        <w:textAlignment w:val="auto"/>
        <w:outlineLvl w:val="9"/>
        <w:rPr>
          <w:rStyle w:val="32"/>
          <w:color w:val="auto"/>
          <w:highlight w:val="none"/>
        </w:rPr>
      </w:pPr>
      <w:bookmarkStart w:id="325" w:name="bookmark1010"/>
      <w:bookmarkEnd w:id="325"/>
      <w:r>
        <w:rPr>
          <w:rStyle w:val="32"/>
          <w:rFonts w:ascii="Times New Roman" w:hAnsi="Times New Roman" w:eastAsia="Times New Roman" w:cs="Times New Roman"/>
          <w:color w:val="auto"/>
          <w:highlight w:val="none"/>
          <w:lang w:val="en-US" w:bidi="en-US"/>
        </w:rPr>
        <w:t>4.3.</w:t>
      </w:r>
      <w:r>
        <w:rPr>
          <w:rStyle w:val="32"/>
          <w:rFonts w:ascii="Times New Roman" w:hAnsi="Times New Roman" w:eastAsia="Times New Roman" w:cs="Times New Roman"/>
          <w:color w:val="auto"/>
          <w:highlight w:val="none"/>
        </w:rPr>
        <w:t>10</w:t>
      </w:r>
      <w:r>
        <w:rPr>
          <w:rStyle w:val="32"/>
          <w:color w:val="auto"/>
          <w:highlight w:val="none"/>
        </w:rPr>
        <w:t>分包人应按专用合同条款的约定设立项目管理机构组织管理分包工程的施工 活动。</w:t>
      </w:r>
    </w:p>
    <w:p w14:paraId="4D4B1F4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26" w:name="_Toc256000038"/>
      <w:bookmarkStart w:id="327" w:name="_Toc27582"/>
      <w:bookmarkStart w:id="328" w:name="_Toc20891"/>
      <w:bookmarkStart w:id="329" w:name="bookmark1012"/>
      <w:bookmarkStart w:id="330" w:name="bookmark1011"/>
      <w:bookmarkStart w:id="331" w:name="bookmark1013"/>
      <w:r>
        <w:rPr>
          <w:rStyle w:val="32"/>
          <w:rFonts w:ascii="宋体" w:hAnsi="宋体" w:cs="Times New Roman"/>
          <w:color w:val="auto"/>
          <w:sz w:val="24"/>
          <w:szCs w:val="24"/>
          <w:highlight w:val="none"/>
          <w:lang w:eastAsia="zh-CN"/>
        </w:rPr>
        <w:t>4.4联合体</w:t>
      </w:r>
      <w:bookmarkEnd w:id="326"/>
      <w:bookmarkEnd w:id="327"/>
      <w:bookmarkEnd w:id="328"/>
      <w:bookmarkEnd w:id="329"/>
      <w:bookmarkEnd w:id="330"/>
      <w:bookmarkEnd w:id="331"/>
    </w:p>
    <w:p w14:paraId="53E79AB6">
      <w:pPr>
        <w:pStyle w:val="97"/>
        <w:pageBreakBefore w:val="0"/>
        <w:tabs>
          <w:tab w:val="left" w:pos="738"/>
        </w:tabs>
        <w:kinsoku/>
        <w:wordWrap/>
        <w:overflowPunct/>
        <w:topLinePunct w:val="0"/>
        <w:autoSpaceDE/>
        <w:autoSpaceDN/>
        <w:bidi w:val="0"/>
        <w:adjustRightInd/>
        <w:snapToGrid/>
        <w:spacing w:line="377" w:lineRule="exact"/>
        <w:ind w:firstLine="400" w:firstLineChars="200"/>
        <w:jc w:val="both"/>
        <w:textAlignment w:val="auto"/>
        <w:outlineLvl w:val="9"/>
        <w:rPr>
          <w:rStyle w:val="32"/>
          <w:color w:val="auto"/>
          <w:highlight w:val="none"/>
        </w:rPr>
      </w:pPr>
      <w:bookmarkStart w:id="332" w:name="bookmark1014"/>
      <w:bookmarkEnd w:id="332"/>
      <w:r>
        <w:rPr>
          <w:rStyle w:val="32"/>
          <w:rFonts w:hint="eastAsia" w:ascii="Times New Roman" w:hAnsi="Times New Roman" w:cs="Times New Roman"/>
          <w:color w:val="auto"/>
          <w:highlight w:val="none"/>
          <w:lang w:val="en-US" w:bidi="en-US"/>
        </w:rPr>
        <w:t>4.</w:t>
      </w:r>
      <w:r>
        <w:rPr>
          <w:rStyle w:val="32"/>
          <w:rFonts w:ascii="Times New Roman" w:hAnsi="Times New Roman" w:eastAsia="Times New Roman" w:cs="Times New Roman"/>
          <w:color w:val="auto"/>
          <w:highlight w:val="none"/>
          <w:lang w:val="en-US" w:bidi="en-US"/>
        </w:rPr>
        <w:t>4.1</w:t>
      </w:r>
      <w:r>
        <w:rPr>
          <w:rStyle w:val="32"/>
          <w:color w:val="auto"/>
          <w:highlight w:val="none"/>
        </w:rPr>
        <w:t>联合体各方应共同与发包人签订合同协议书。联合体各方应为履行合同承担连带责任。</w:t>
      </w:r>
    </w:p>
    <w:p w14:paraId="7D4C4C86">
      <w:pPr>
        <w:pStyle w:val="97"/>
        <w:pageBreakBefore w:val="0"/>
        <w:kinsoku/>
        <w:wordWrap/>
        <w:overflowPunct/>
        <w:topLinePunct w:val="0"/>
        <w:autoSpaceDE/>
        <w:autoSpaceDN/>
        <w:bidi w:val="0"/>
        <w:adjustRightInd/>
        <w:snapToGrid/>
        <w:spacing w:line="365"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4.4.2</w:t>
      </w:r>
      <w:r>
        <w:rPr>
          <w:rStyle w:val="32"/>
          <w:color w:val="auto"/>
          <w:highlight w:val="none"/>
        </w:rPr>
        <w:t>联合体协议经发包人确认后作为合同附件。在履行合同过程中，未经发包人同意，不得修改联合体协议。</w:t>
      </w:r>
    </w:p>
    <w:p w14:paraId="25CFE53D">
      <w:pPr>
        <w:pStyle w:val="97"/>
        <w:pageBreakBefore w:val="0"/>
        <w:kinsoku/>
        <w:wordWrap/>
        <w:overflowPunct/>
        <w:topLinePunct w:val="0"/>
        <w:autoSpaceDE/>
        <w:autoSpaceDN/>
        <w:bidi w:val="0"/>
        <w:adjustRightInd/>
        <w:snapToGrid/>
        <w:spacing w:after="140"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4.4.3</w:t>
      </w:r>
      <w:r>
        <w:rPr>
          <w:rStyle w:val="32"/>
          <w:color w:val="auto"/>
          <w:highlight w:val="none"/>
        </w:rPr>
        <w:t>联合体牵头人负责与发包人和监理人联系，并接受指示，负责组织联合体各成员全面履行合同。</w:t>
      </w:r>
    </w:p>
    <w:p w14:paraId="60B79FD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33" w:name="_Toc27934"/>
      <w:bookmarkStart w:id="334" w:name="bookmark1015"/>
      <w:bookmarkStart w:id="335" w:name="_Toc22472"/>
      <w:bookmarkStart w:id="336" w:name="bookmark1017"/>
      <w:bookmarkStart w:id="337" w:name="_Toc256000039"/>
      <w:bookmarkStart w:id="338" w:name="bookmark1016"/>
      <w:r>
        <w:rPr>
          <w:rStyle w:val="32"/>
          <w:rFonts w:ascii="宋体" w:hAnsi="宋体" w:cs="Times New Roman"/>
          <w:color w:val="auto"/>
          <w:sz w:val="24"/>
          <w:szCs w:val="24"/>
          <w:highlight w:val="none"/>
          <w:lang w:eastAsia="zh-CN"/>
        </w:rPr>
        <w:t>4.5承包人项目经理</w:t>
      </w:r>
      <w:bookmarkEnd w:id="333"/>
      <w:bookmarkEnd w:id="334"/>
      <w:bookmarkEnd w:id="335"/>
      <w:bookmarkEnd w:id="336"/>
      <w:bookmarkEnd w:id="337"/>
      <w:bookmarkEnd w:id="338"/>
    </w:p>
    <w:p w14:paraId="1FE80B42">
      <w:pPr>
        <w:pStyle w:val="97"/>
        <w:pageBreakBefore w:val="0"/>
        <w:kinsoku/>
        <w:wordWrap/>
        <w:overflowPunct/>
        <w:topLinePunct w:val="0"/>
        <w:autoSpaceDE/>
        <w:autoSpaceDN/>
        <w:bidi w:val="0"/>
        <w:adjustRightInd/>
        <w:snapToGrid/>
        <w:spacing w:line="35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4.5.1</w:t>
      </w:r>
      <w:r>
        <w:rPr>
          <w:rStyle w:val="32"/>
          <w:color w:val="auto"/>
          <w:highlight w:val="none"/>
        </w:rPr>
        <w:t>承包人应按合同约定指派项目经理，并在约定的期限内到职。承包人更换项目经理应事先征得发包人同意，并应在更换</w:t>
      </w:r>
      <w:r>
        <w:rPr>
          <w:rStyle w:val="32"/>
          <w:rFonts w:ascii="Times New Roman" w:hAnsi="Times New Roman" w:eastAsia="Times New Roman" w:cs="Times New Roman"/>
          <w:color w:val="auto"/>
          <w:highlight w:val="none"/>
        </w:rPr>
        <w:t>14</w:t>
      </w:r>
      <w:r>
        <w:rPr>
          <w:rStyle w:val="32"/>
          <w:color w:val="auto"/>
          <w:highlight w:val="none"/>
        </w:rPr>
        <w:t>天前通知发包人和监理人。承包人项目经理短 期离开施工场地，应事先征得监理人同意，并委派代表代行其职责。</w:t>
      </w:r>
    </w:p>
    <w:p w14:paraId="7F60DE33">
      <w:pPr>
        <w:pStyle w:val="97"/>
        <w:pageBreakBefore w:val="0"/>
        <w:kinsoku/>
        <w:wordWrap/>
        <w:overflowPunct/>
        <w:topLinePunct w:val="0"/>
        <w:autoSpaceDE/>
        <w:autoSpaceDN/>
        <w:bidi w:val="0"/>
        <w:adjustRightInd/>
        <w:snapToGrid/>
        <w:spacing w:line="36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4.5.2</w:t>
      </w:r>
      <w:r>
        <w:rPr>
          <w:rStyle w:val="32"/>
          <w:color w:val="auto"/>
          <w:highlight w:val="none"/>
        </w:rPr>
        <w:t>承包人项目经理应按合同约定以及监理人按第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4</w:t>
      </w:r>
      <w:r>
        <w:rPr>
          <w:rStyle w:val="32"/>
          <w:color w:val="auto"/>
          <w:highlight w:val="none"/>
        </w:rPr>
        <w:t>款作出的指示，负责组织合同工程的实施。在情况紧急且无法与监理人取得联系时，可采取保证工程和人员生命财产 安全的紧急措施，并在采取措施后</w:t>
      </w:r>
      <w:r>
        <w:rPr>
          <w:rStyle w:val="32"/>
          <w:rFonts w:ascii="Times New Roman" w:hAnsi="Times New Roman" w:eastAsia="Times New Roman" w:cs="Times New Roman"/>
          <w:color w:val="auto"/>
          <w:highlight w:val="none"/>
        </w:rPr>
        <w:t>24</w:t>
      </w:r>
      <w:r>
        <w:rPr>
          <w:rStyle w:val="32"/>
          <w:color w:val="auto"/>
          <w:highlight w:val="none"/>
        </w:rPr>
        <w:t>小时内向监理人提交书面报告。</w:t>
      </w:r>
    </w:p>
    <w:p w14:paraId="25ED84FF">
      <w:pPr>
        <w:pStyle w:val="97"/>
        <w:pageBreakBefore w:val="0"/>
        <w:kinsoku/>
        <w:wordWrap/>
        <w:overflowPunct/>
        <w:topLinePunct w:val="0"/>
        <w:autoSpaceDE/>
        <w:autoSpaceDN/>
        <w:bidi w:val="0"/>
        <w:adjustRightInd/>
        <w:snapToGrid/>
        <w:spacing w:line="36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4.5.</w:t>
      </w:r>
      <w:r>
        <w:rPr>
          <w:rStyle w:val="32"/>
          <w:rFonts w:ascii="Times New Roman" w:hAnsi="Times New Roman" w:eastAsia="Times New Roman" w:cs="Times New Roman"/>
          <w:color w:val="auto"/>
          <w:highlight w:val="none"/>
        </w:rPr>
        <w:t>3</w:t>
      </w:r>
      <w:r>
        <w:rPr>
          <w:rStyle w:val="32"/>
          <w:color w:val="auto"/>
          <w:highlight w:val="none"/>
        </w:rPr>
        <w:t>承包人为履行合同发出的一切函件均应盖有承包人授权的施工场地管理机构章，并由承包人项目经理或其授权代表签字。</w:t>
      </w:r>
    </w:p>
    <w:p w14:paraId="3DEEB690">
      <w:pPr>
        <w:pStyle w:val="97"/>
        <w:pageBreakBefore w:val="0"/>
        <w:kinsoku/>
        <w:wordWrap/>
        <w:overflowPunct/>
        <w:topLinePunct w:val="0"/>
        <w:autoSpaceDE/>
        <w:autoSpaceDN/>
        <w:bidi w:val="0"/>
        <w:adjustRightInd/>
        <w:snapToGrid/>
        <w:spacing w:after="140"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4.5.4</w:t>
      </w:r>
      <w:r>
        <w:rPr>
          <w:rStyle w:val="32"/>
          <w:color w:val="auto"/>
          <w:highlight w:val="none"/>
        </w:rPr>
        <w:t>承包人项目经理可以授权其下属人员履行其某项职责，但事先应将这些人员的姓名和授权范围通知监理人。</w:t>
      </w:r>
    </w:p>
    <w:p w14:paraId="7668D6C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39" w:name="bookmark1019"/>
      <w:bookmarkStart w:id="340" w:name="_Toc1095"/>
      <w:bookmarkStart w:id="341" w:name="_Toc20561"/>
      <w:bookmarkStart w:id="342" w:name="bookmark1018"/>
      <w:bookmarkStart w:id="343" w:name="bookmark1020"/>
      <w:bookmarkStart w:id="344" w:name="_Toc256000040"/>
      <w:r>
        <w:rPr>
          <w:rStyle w:val="32"/>
          <w:rFonts w:ascii="宋体" w:hAnsi="宋体" w:cs="Times New Roman"/>
          <w:color w:val="auto"/>
          <w:sz w:val="24"/>
          <w:szCs w:val="24"/>
          <w:highlight w:val="none"/>
          <w:lang w:eastAsia="zh-CN"/>
        </w:rPr>
        <w:t>4.6承包人人员的管理</w:t>
      </w:r>
      <w:bookmarkEnd w:id="339"/>
      <w:bookmarkEnd w:id="340"/>
      <w:bookmarkEnd w:id="341"/>
      <w:bookmarkEnd w:id="342"/>
      <w:bookmarkEnd w:id="343"/>
      <w:bookmarkEnd w:id="344"/>
    </w:p>
    <w:p w14:paraId="6B8A1A56">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4.6.1</w:t>
      </w:r>
      <w:r>
        <w:rPr>
          <w:rStyle w:val="32"/>
          <w:color w:val="auto"/>
          <w:highlight w:val="none"/>
        </w:rPr>
        <w:t>承包人应在接到开工通知后</w:t>
      </w:r>
      <w:r>
        <w:rPr>
          <w:rStyle w:val="32"/>
          <w:rFonts w:ascii="Times New Roman" w:hAnsi="Times New Roman" w:eastAsia="Times New Roman" w:cs="Times New Roman"/>
          <w:color w:val="auto"/>
          <w:highlight w:val="none"/>
        </w:rPr>
        <w:t>28</w:t>
      </w:r>
      <w:r>
        <w:rPr>
          <w:rStyle w:val="32"/>
          <w:color w:val="auto"/>
          <w:highlight w:val="none"/>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1641AE58">
      <w:pPr>
        <w:pStyle w:val="97"/>
        <w:pageBreakBefore w:val="0"/>
        <w:kinsoku/>
        <w:wordWrap/>
        <w:overflowPunct/>
        <w:topLinePunct w:val="0"/>
        <w:autoSpaceDE/>
        <w:autoSpaceDN/>
        <w:bidi w:val="0"/>
        <w:adjustRightInd/>
        <w:snapToGrid/>
        <w:spacing w:after="140"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4.6.2</w:t>
      </w:r>
      <w:r>
        <w:rPr>
          <w:rStyle w:val="32"/>
          <w:color w:val="auto"/>
          <w:highlight w:val="none"/>
        </w:rPr>
        <w:t>为完成合同约定的各项工作，承包人应向施工场地派遣或雇佣足够数量的下列 人员：</w:t>
      </w:r>
    </w:p>
    <w:p w14:paraId="435A44DA">
      <w:pPr>
        <w:pStyle w:val="97"/>
        <w:pageBreakBefore w:val="0"/>
        <w:numPr>
          <w:ilvl w:val="0"/>
          <w:numId w:val="9"/>
        </w:numPr>
        <w:tabs>
          <w:tab w:val="left" w:pos="899"/>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bookmarkStart w:id="345" w:name="bookmark1021"/>
      <w:bookmarkEnd w:id="345"/>
      <w:r>
        <w:rPr>
          <w:rStyle w:val="32"/>
          <w:color w:val="auto"/>
          <w:highlight w:val="none"/>
        </w:rPr>
        <w:t>具有相应资格的专业技工和合格的普工；</w:t>
      </w:r>
    </w:p>
    <w:p w14:paraId="643B23DD">
      <w:pPr>
        <w:pStyle w:val="97"/>
        <w:pageBreakBefore w:val="0"/>
        <w:numPr>
          <w:ilvl w:val="0"/>
          <w:numId w:val="9"/>
        </w:numPr>
        <w:tabs>
          <w:tab w:val="left" w:pos="899"/>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bookmarkStart w:id="346" w:name="bookmark1022"/>
      <w:bookmarkEnd w:id="346"/>
      <w:r>
        <w:rPr>
          <w:rStyle w:val="32"/>
          <w:color w:val="auto"/>
          <w:highlight w:val="none"/>
        </w:rPr>
        <w:t>具有相应施工经验的技术人员；</w:t>
      </w:r>
    </w:p>
    <w:p w14:paraId="05A73D39">
      <w:pPr>
        <w:pStyle w:val="97"/>
        <w:pageBreakBefore w:val="0"/>
        <w:numPr>
          <w:ilvl w:val="0"/>
          <w:numId w:val="9"/>
        </w:numPr>
        <w:tabs>
          <w:tab w:val="left" w:pos="899"/>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bookmarkStart w:id="347" w:name="bookmark1023"/>
      <w:bookmarkEnd w:id="347"/>
      <w:r>
        <w:rPr>
          <w:rStyle w:val="32"/>
          <w:color w:val="auto"/>
          <w:highlight w:val="none"/>
        </w:rPr>
        <w:t>具有相应岗位资格的各级管理人员。</w:t>
      </w:r>
    </w:p>
    <w:p w14:paraId="6EE6DE92">
      <w:pPr>
        <w:pStyle w:val="97"/>
        <w:pageBreakBefore w:val="0"/>
        <w:kinsoku/>
        <w:wordWrap/>
        <w:overflowPunct/>
        <w:topLinePunct w:val="0"/>
        <w:autoSpaceDE/>
        <w:autoSpaceDN/>
        <w:bidi w:val="0"/>
        <w:adjustRightInd/>
        <w:snapToGrid/>
        <w:spacing w:after="140"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4.6.3</w:t>
      </w:r>
      <w:r>
        <w:rPr>
          <w:rStyle w:val="32"/>
          <w:color w:val="auto"/>
          <w:highlight w:val="none"/>
        </w:rPr>
        <w:t>承包人安排在施工场地的主要管理人员和技术骨干应相对稳定。承包人更换主要管理人员和技术骨干时，应取得监理人的同意。</w:t>
      </w:r>
    </w:p>
    <w:p w14:paraId="7F0F1CA2">
      <w:pPr>
        <w:pStyle w:val="97"/>
        <w:pageBreakBefore w:val="0"/>
        <w:kinsoku/>
        <w:wordWrap/>
        <w:overflowPunct/>
        <w:topLinePunct w:val="0"/>
        <w:autoSpaceDE/>
        <w:autoSpaceDN/>
        <w:bidi w:val="0"/>
        <w:adjustRightInd/>
        <w:snapToGrid/>
        <w:spacing w:after="40"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4. 6.4</w:t>
      </w:r>
      <w:r>
        <w:rPr>
          <w:rStyle w:val="32"/>
          <w:color w:val="auto"/>
          <w:highlight w:val="none"/>
        </w:rPr>
        <w:t>特殊岗位的工作人员均应持有相应的资格证明，监理人有权随时检查。监理人认为有必要时，可进行现场考核。</w:t>
      </w:r>
    </w:p>
    <w:p w14:paraId="308B3B0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48" w:name="_Toc256000041"/>
      <w:bookmarkStart w:id="349" w:name="_Toc30195"/>
      <w:bookmarkStart w:id="350" w:name="bookmark1025"/>
      <w:bookmarkStart w:id="351" w:name="bookmark1026"/>
      <w:bookmarkStart w:id="352" w:name="_Toc24736"/>
      <w:bookmarkStart w:id="353" w:name="bookmark1024"/>
      <w:r>
        <w:rPr>
          <w:rStyle w:val="32"/>
          <w:rFonts w:ascii="宋体" w:hAnsi="宋体" w:cs="Times New Roman"/>
          <w:color w:val="auto"/>
          <w:sz w:val="24"/>
          <w:szCs w:val="24"/>
          <w:highlight w:val="none"/>
          <w:lang w:eastAsia="zh-CN"/>
        </w:rPr>
        <w:t>4.7撤换承包人项目经理和其他人员</w:t>
      </w:r>
      <w:bookmarkEnd w:id="348"/>
      <w:bookmarkEnd w:id="349"/>
      <w:bookmarkEnd w:id="350"/>
      <w:bookmarkEnd w:id="351"/>
      <w:bookmarkEnd w:id="352"/>
      <w:bookmarkEnd w:id="353"/>
    </w:p>
    <w:p w14:paraId="62EC1FFA">
      <w:pPr>
        <w:pStyle w:val="97"/>
        <w:pageBreakBefore w:val="0"/>
        <w:kinsoku/>
        <w:wordWrap/>
        <w:overflowPunct/>
        <w:topLinePunct w:val="0"/>
        <w:autoSpaceDE/>
        <w:autoSpaceDN/>
        <w:bidi w:val="0"/>
        <w:adjustRightInd/>
        <w:snapToGrid/>
        <w:spacing w:after="160" w:line="360" w:lineRule="exact"/>
        <w:ind w:firstLine="420"/>
        <w:jc w:val="both"/>
        <w:textAlignment w:val="auto"/>
        <w:outlineLvl w:val="9"/>
        <w:rPr>
          <w:rStyle w:val="32"/>
          <w:color w:val="auto"/>
          <w:highlight w:val="none"/>
        </w:rPr>
      </w:pPr>
      <w:r>
        <w:rPr>
          <w:rStyle w:val="32"/>
          <w:color w:val="auto"/>
          <w:highlight w:val="none"/>
        </w:rPr>
        <w:t>承包人应对其项目经理和其他人员进行有效管理。监理人要求撤换不能胜任本职工作、 行为不端或玩忽职守的承包人项目经理和其他人员的，承包人应予以撤换。</w:t>
      </w:r>
    </w:p>
    <w:p w14:paraId="2086FA8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54" w:name="bookmark1029"/>
      <w:bookmarkStart w:id="355" w:name="_Toc19207"/>
      <w:bookmarkStart w:id="356" w:name="bookmark1027"/>
      <w:bookmarkStart w:id="357" w:name="_Toc1547"/>
      <w:bookmarkStart w:id="358" w:name="_Toc256000042"/>
      <w:bookmarkStart w:id="359" w:name="bookmark1028"/>
      <w:r>
        <w:rPr>
          <w:rStyle w:val="32"/>
          <w:rFonts w:ascii="宋体" w:hAnsi="宋体" w:cs="Times New Roman"/>
          <w:color w:val="auto"/>
          <w:sz w:val="24"/>
          <w:szCs w:val="24"/>
          <w:highlight w:val="none"/>
          <w:lang w:eastAsia="zh-CN"/>
        </w:rPr>
        <w:t>4.8保障承包人人员的合法权益</w:t>
      </w:r>
      <w:bookmarkEnd w:id="354"/>
      <w:bookmarkEnd w:id="355"/>
      <w:bookmarkEnd w:id="356"/>
      <w:bookmarkEnd w:id="357"/>
      <w:bookmarkEnd w:id="358"/>
      <w:bookmarkEnd w:id="359"/>
    </w:p>
    <w:p w14:paraId="300C1768">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4.8.</w:t>
      </w:r>
      <w:r>
        <w:rPr>
          <w:rStyle w:val="32"/>
          <w:rFonts w:ascii="Times New Roman" w:hAnsi="Times New Roman" w:eastAsia="Times New Roman" w:cs="Times New Roman"/>
          <w:color w:val="auto"/>
          <w:highlight w:val="none"/>
        </w:rPr>
        <w:t>1</w:t>
      </w:r>
      <w:r>
        <w:rPr>
          <w:rStyle w:val="32"/>
          <w:color w:val="auto"/>
          <w:highlight w:val="none"/>
        </w:rPr>
        <w:t>承包人应与其雇佣的人员签订劳动合同，并按时发放工资。</w:t>
      </w:r>
    </w:p>
    <w:p w14:paraId="7F05EABF">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4.8.</w:t>
      </w:r>
      <w:r>
        <w:rPr>
          <w:rStyle w:val="32"/>
          <w:rFonts w:ascii="Times New Roman" w:hAnsi="Times New Roman" w:eastAsia="Times New Roman" w:cs="Times New Roman"/>
          <w:color w:val="auto"/>
          <w:highlight w:val="none"/>
        </w:rPr>
        <w:t>2</w:t>
      </w:r>
      <w:r>
        <w:rPr>
          <w:rStyle w:val="32"/>
          <w:color w:val="auto"/>
          <w:highlight w:val="none"/>
        </w:rPr>
        <w:t>承包人应按劳动法的规定安排工作时间，保证其雇佣人员享有休息和休假的权利。因工程施工的特殊需要占用休假日或延长工作时间的，应不超过法律规定的限度，并按法律规定给予补休或付酬。</w:t>
      </w:r>
    </w:p>
    <w:p w14:paraId="22B68782">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4.8.3</w:t>
      </w:r>
      <w:r>
        <w:rPr>
          <w:rStyle w:val="32"/>
          <w:color w:val="auto"/>
          <w:highlight w:val="none"/>
        </w:rPr>
        <w:t>承包人应为其雇佣人员提供必要的食宿条件，以及符合环境保护和卫生要求的生活环境，在远离城镇的施工场地，还应配备必要的伤病防治和急救的医务人员与医疗设施。</w:t>
      </w:r>
    </w:p>
    <w:p w14:paraId="0822E1C4">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4. 8.4</w:t>
      </w:r>
      <w:r>
        <w:rPr>
          <w:rStyle w:val="32"/>
          <w:color w:val="auto"/>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4A385FAE">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4.8.5</w:t>
      </w:r>
      <w:r>
        <w:rPr>
          <w:rStyle w:val="32"/>
          <w:color w:val="auto"/>
          <w:highlight w:val="none"/>
        </w:rPr>
        <w:t>承包人应按有关法律规定和合同约定，为其雇佣人员办理保险。</w:t>
      </w:r>
    </w:p>
    <w:p w14:paraId="57BF5643">
      <w:pPr>
        <w:pStyle w:val="97"/>
        <w:pageBreakBefore w:val="0"/>
        <w:kinsoku/>
        <w:wordWrap/>
        <w:overflowPunct/>
        <w:topLinePunct w:val="0"/>
        <w:autoSpaceDE/>
        <w:autoSpaceDN/>
        <w:bidi w:val="0"/>
        <w:adjustRightInd/>
        <w:snapToGrid/>
        <w:spacing w:after="160"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4.8.6</w:t>
      </w:r>
      <w:r>
        <w:rPr>
          <w:rStyle w:val="32"/>
          <w:color w:val="auto"/>
          <w:highlight w:val="none"/>
        </w:rPr>
        <w:t>承包人应负责处理其雇佣人员因工伤亡事故的善后事宜。</w:t>
      </w:r>
    </w:p>
    <w:p w14:paraId="1FFFBD2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60" w:name="bookmark1031"/>
      <w:bookmarkStart w:id="361" w:name="bookmark1030"/>
      <w:bookmarkStart w:id="362" w:name="_Toc256000043"/>
      <w:bookmarkStart w:id="363" w:name="bookmark1032"/>
      <w:bookmarkStart w:id="364" w:name="_Toc1725"/>
      <w:bookmarkStart w:id="365" w:name="_Toc7851"/>
      <w:r>
        <w:rPr>
          <w:rStyle w:val="32"/>
          <w:rFonts w:ascii="宋体" w:hAnsi="宋体" w:cs="Times New Roman"/>
          <w:color w:val="auto"/>
          <w:sz w:val="24"/>
          <w:szCs w:val="24"/>
          <w:highlight w:val="none"/>
          <w:lang w:eastAsia="zh-CN"/>
        </w:rPr>
        <w:t>4.9工程价款应专款专用</w:t>
      </w:r>
      <w:bookmarkEnd w:id="360"/>
      <w:bookmarkEnd w:id="361"/>
      <w:bookmarkEnd w:id="362"/>
      <w:bookmarkEnd w:id="363"/>
      <w:bookmarkEnd w:id="364"/>
      <w:bookmarkEnd w:id="365"/>
    </w:p>
    <w:p w14:paraId="439494BD">
      <w:pPr>
        <w:pStyle w:val="97"/>
        <w:pageBreakBefore w:val="0"/>
        <w:kinsoku/>
        <w:wordWrap/>
        <w:overflowPunct/>
        <w:topLinePunct w:val="0"/>
        <w:autoSpaceDE/>
        <w:autoSpaceDN/>
        <w:bidi w:val="0"/>
        <w:adjustRightInd/>
        <w:snapToGrid/>
        <w:spacing w:after="160" w:line="360" w:lineRule="exact"/>
        <w:ind w:firstLine="420"/>
        <w:textAlignment w:val="auto"/>
        <w:outlineLvl w:val="9"/>
        <w:rPr>
          <w:rStyle w:val="32"/>
          <w:color w:val="auto"/>
          <w:highlight w:val="none"/>
        </w:rPr>
      </w:pPr>
      <w:r>
        <w:rPr>
          <w:rStyle w:val="32"/>
          <w:color w:val="auto"/>
          <w:highlight w:val="none"/>
        </w:rPr>
        <w:t>发包人按合同约定支付给承包人的各项价款应专用于合同工程。</w:t>
      </w:r>
    </w:p>
    <w:p w14:paraId="09AE662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66" w:name="_Toc5606"/>
      <w:bookmarkStart w:id="367" w:name="bookmark1035"/>
      <w:bookmarkStart w:id="368" w:name="_Toc30630"/>
      <w:bookmarkStart w:id="369" w:name="_Toc256000044"/>
      <w:bookmarkStart w:id="370" w:name="bookmark1034"/>
      <w:bookmarkStart w:id="371" w:name="bookmark1033"/>
      <w:r>
        <w:rPr>
          <w:rStyle w:val="32"/>
          <w:rFonts w:ascii="宋体" w:hAnsi="宋体" w:cs="Times New Roman"/>
          <w:color w:val="auto"/>
          <w:sz w:val="24"/>
          <w:szCs w:val="24"/>
          <w:highlight w:val="none"/>
          <w:lang w:eastAsia="zh-CN"/>
        </w:rPr>
        <w:t>4.10承包人现场查勘</w:t>
      </w:r>
      <w:bookmarkEnd w:id="366"/>
      <w:bookmarkEnd w:id="367"/>
      <w:bookmarkEnd w:id="368"/>
      <w:bookmarkEnd w:id="369"/>
      <w:bookmarkEnd w:id="370"/>
      <w:bookmarkEnd w:id="371"/>
    </w:p>
    <w:p w14:paraId="19B3E267">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4.10.</w:t>
      </w:r>
      <w:r>
        <w:rPr>
          <w:rStyle w:val="32"/>
          <w:rFonts w:ascii="Times New Roman" w:hAnsi="Times New Roman" w:eastAsia="Times New Roman" w:cs="Times New Roman"/>
          <w:color w:val="auto"/>
          <w:highlight w:val="none"/>
        </w:rPr>
        <w:t>1</w:t>
      </w:r>
      <w:r>
        <w:rPr>
          <w:rStyle w:val="32"/>
          <w:rFonts w:ascii="Times New Roman" w:hAnsi="Times New Roman" w:cs="Times New Roman"/>
          <w:color w:val="auto"/>
          <w:highlight w:val="none"/>
        </w:rPr>
        <w:t>发包人应将其持有的现场地质勘探资料、水文气象资料提供给承包人，并对其准确性负责。但承包人应对其阅读上述有关资料后所作出的解释和推断负责。</w:t>
      </w:r>
    </w:p>
    <w:p w14:paraId="51AFF457">
      <w:pPr>
        <w:pStyle w:val="97"/>
        <w:pageBreakBefore w:val="0"/>
        <w:kinsoku/>
        <w:wordWrap/>
        <w:overflowPunct/>
        <w:topLinePunct w:val="0"/>
        <w:autoSpaceDE/>
        <w:autoSpaceDN/>
        <w:bidi w:val="0"/>
        <w:adjustRightInd/>
        <w:snapToGrid/>
        <w:spacing w:after="240" w:line="362" w:lineRule="exact"/>
        <w:ind w:firstLine="420"/>
        <w:jc w:val="both"/>
        <w:textAlignment w:val="auto"/>
        <w:outlineLvl w:val="9"/>
        <w:rPr>
          <w:rStyle w:val="32"/>
          <w:color w:val="auto"/>
          <w:highlight w:val="none"/>
        </w:rPr>
      </w:pPr>
      <w:bookmarkStart w:id="372" w:name="bookmark1036"/>
      <w:bookmarkEnd w:id="372"/>
      <w:r>
        <w:rPr>
          <w:rStyle w:val="32"/>
          <w:rFonts w:ascii="Times New Roman" w:hAnsi="Times New Roman" w:cs="Times New Roman"/>
          <w:color w:val="auto"/>
          <w:highlight w:val="none"/>
        </w:rPr>
        <w:t>4.10.2承包</w:t>
      </w:r>
      <w:r>
        <w:rPr>
          <w:rStyle w:val="32"/>
          <w:color w:val="auto"/>
          <w:highlight w:val="none"/>
        </w:rPr>
        <w:t>人应对施工场地和周围环境进行查勘，并收集有关地质、水文、气象条件、交通条件、风俗习惯以及其他为完成合同工作有关的当地资料。在全部合同工作中，应视为承包人已充分估计了应承担的责任和风险。</w:t>
      </w:r>
    </w:p>
    <w:p w14:paraId="65EA94B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73" w:name="_Toc2993"/>
      <w:bookmarkStart w:id="374" w:name="_Toc256000045"/>
      <w:bookmarkStart w:id="375" w:name="bookmark1038"/>
      <w:bookmarkStart w:id="376" w:name="bookmark1039"/>
      <w:bookmarkStart w:id="377" w:name="bookmark1037"/>
      <w:bookmarkStart w:id="378" w:name="_Toc2080"/>
      <w:r>
        <w:rPr>
          <w:rStyle w:val="32"/>
          <w:rFonts w:ascii="宋体" w:hAnsi="宋体" w:cs="Times New Roman"/>
          <w:color w:val="auto"/>
          <w:sz w:val="24"/>
          <w:szCs w:val="24"/>
          <w:highlight w:val="none"/>
          <w:lang w:eastAsia="zh-CN"/>
        </w:rPr>
        <w:t>4.11不利物质条件</w:t>
      </w:r>
      <w:bookmarkEnd w:id="373"/>
      <w:bookmarkEnd w:id="374"/>
      <w:bookmarkEnd w:id="375"/>
      <w:bookmarkEnd w:id="376"/>
      <w:bookmarkEnd w:id="377"/>
      <w:bookmarkEnd w:id="378"/>
    </w:p>
    <w:p w14:paraId="160384B0">
      <w:pPr>
        <w:pStyle w:val="97"/>
        <w:pageBreakBefore w:val="0"/>
        <w:kinsoku/>
        <w:wordWrap/>
        <w:overflowPunct/>
        <w:topLinePunct w:val="0"/>
        <w:autoSpaceDE/>
        <w:autoSpaceDN/>
        <w:bidi w:val="0"/>
        <w:adjustRightInd/>
        <w:snapToGrid/>
        <w:spacing w:line="36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4.11.1</w:t>
      </w:r>
      <w:r>
        <w:rPr>
          <w:rStyle w:val="32"/>
          <w:color w:val="auto"/>
          <w:highlight w:val="none"/>
        </w:rPr>
        <w:t>除专用合同条款另有约定外，不利的物质条件是指在施工中遭遇不可预见的外界障碍或自然条件造成施工受阻。</w:t>
      </w:r>
    </w:p>
    <w:p w14:paraId="1330461A">
      <w:pPr>
        <w:pStyle w:val="97"/>
        <w:pageBreakBefore w:val="0"/>
        <w:kinsoku/>
        <w:wordWrap/>
        <w:overflowPunct/>
        <w:topLinePunct w:val="0"/>
        <w:autoSpaceDE/>
        <w:autoSpaceDN/>
        <w:bidi w:val="0"/>
        <w:adjustRightInd/>
        <w:snapToGrid/>
        <w:spacing w:line="367" w:lineRule="exact"/>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bidi="en-US"/>
        </w:rPr>
        <w:t>4.11.2</w:t>
      </w:r>
      <w:r>
        <w:rPr>
          <w:rStyle w:val="32"/>
          <w:rFonts w:ascii="Times New Roman" w:hAnsi="Times New Roman" w:cs="Times New Roman"/>
          <w:color w:val="auto"/>
          <w:highlight w:val="none"/>
        </w:rPr>
        <w:t>承包人遇到不利物质条件时，应采取适应不利物质条件的合理措施继续施工, 并及时通知监理人。承包人应有权根据第</w:t>
      </w:r>
      <w:r>
        <w:rPr>
          <w:rStyle w:val="32"/>
          <w:rFonts w:ascii="Times New Roman" w:hAnsi="Times New Roman" w:cs="Times New Roman"/>
          <w:color w:val="auto"/>
          <w:highlight w:val="none"/>
          <w:lang w:val="en-US" w:bidi="en-US"/>
        </w:rPr>
        <w:t>23.1</w:t>
      </w:r>
      <w:r>
        <w:rPr>
          <w:rStyle w:val="32"/>
          <w:rFonts w:ascii="Times New Roman" w:hAnsi="Times New Roman" w:cs="Times New Roman"/>
          <w:color w:val="auto"/>
          <w:highlight w:val="none"/>
        </w:rPr>
        <w:t>款的约定，要求延长工期及增加费用。监理人收到此类要求后，应在分析上述外界障碍或自然条件是否不可预见及不可预见程度的基础上，按照通用合同条款第</w:t>
      </w:r>
      <w:r>
        <w:rPr>
          <w:rStyle w:val="32"/>
          <w:rFonts w:ascii="Times New Roman" w:hAnsi="Times New Roman" w:eastAsia="Times New Roman" w:cs="Times New Roman"/>
          <w:color w:val="auto"/>
          <w:highlight w:val="none"/>
        </w:rPr>
        <w:t>15</w:t>
      </w:r>
      <w:r>
        <w:rPr>
          <w:rStyle w:val="32"/>
          <w:rFonts w:ascii="Times New Roman" w:hAnsi="Times New Roman" w:cs="Times New Roman"/>
          <w:color w:val="auto"/>
          <w:highlight w:val="none"/>
        </w:rPr>
        <w:t>条的约定办理。</w:t>
      </w:r>
    </w:p>
    <w:p w14:paraId="5A300B86">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379" w:name="bookmark1042"/>
      <w:bookmarkEnd w:id="379"/>
      <w:bookmarkStart w:id="380" w:name="bookmark1040"/>
      <w:bookmarkStart w:id="381" w:name="_Toc6145"/>
      <w:bookmarkStart w:id="382" w:name="bookmark1043"/>
      <w:bookmarkStart w:id="383" w:name="_Toc256000046"/>
      <w:bookmarkStart w:id="384" w:name="bookmark1041"/>
      <w:bookmarkStart w:id="385" w:name="_Toc25230"/>
      <w:r>
        <w:rPr>
          <w:rStyle w:val="32"/>
          <w:rFonts w:hint="eastAsia" w:cs="Times New Roman"/>
          <w:color w:val="auto"/>
          <w:highlight w:val="none"/>
          <w:lang w:eastAsia="zh-CN"/>
        </w:rPr>
        <w:t>5.材料和工程设备</w:t>
      </w:r>
      <w:bookmarkEnd w:id="380"/>
      <w:bookmarkEnd w:id="381"/>
      <w:bookmarkEnd w:id="382"/>
      <w:bookmarkEnd w:id="383"/>
      <w:bookmarkEnd w:id="384"/>
      <w:bookmarkEnd w:id="385"/>
    </w:p>
    <w:p w14:paraId="3513E5B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86" w:name="_Toc5421"/>
      <w:bookmarkStart w:id="387" w:name="_Toc256000047"/>
      <w:bookmarkStart w:id="388" w:name="bookmark1045"/>
      <w:bookmarkStart w:id="389" w:name="_Toc9121"/>
      <w:bookmarkStart w:id="390" w:name="bookmark1046"/>
      <w:bookmarkStart w:id="391" w:name="bookmark1044"/>
      <w:r>
        <w:rPr>
          <w:rStyle w:val="32"/>
          <w:rFonts w:ascii="宋体" w:hAnsi="宋体" w:cs="Times New Roman"/>
          <w:color w:val="auto"/>
          <w:sz w:val="24"/>
          <w:szCs w:val="24"/>
          <w:highlight w:val="none"/>
          <w:lang w:eastAsia="zh-CN"/>
        </w:rPr>
        <w:t>5.1承包人提供的材料和工程设备</w:t>
      </w:r>
      <w:bookmarkEnd w:id="386"/>
      <w:bookmarkEnd w:id="387"/>
      <w:bookmarkEnd w:id="388"/>
      <w:bookmarkEnd w:id="389"/>
      <w:bookmarkEnd w:id="390"/>
      <w:bookmarkEnd w:id="391"/>
    </w:p>
    <w:p w14:paraId="4DB8CF83">
      <w:pPr>
        <w:pStyle w:val="97"/>
        <w:pageBreakBefore w:val="0"/>
        <w:kinsoku/>
        <w:wordWrap/>
        <w:overflowPunct/>
        <w:topLinePunct w:val="0"/>
        <w:autoSpaceDE/>
        <w:autoSpaceDN/>
        <w:bidi w:val="0"/>
        <w:adjustRightInd/>
        <w:snapToGrid/>
        <w:spacing w:after="280" w:line="354" w:lineRule="exact"/>
        <w:ind w:firstLine="420"/>
        <w:jc w:val="both"/>
        <w:textAlignment w:val="auto"/>
        <w:outlineLvl w:val="9"/>
        <w:rPr>
          <w:rStyle w:val="32"/>
          <w:rFonts w:ascii="Times New Roman" w:hAnsi="Times New Roman" w:cs="Times New Roman"/>
          <w:color w:val="auto"/>
          <w:highlight w:val="none"/>
          <w:lang w:val="en-US" w:bidi="en-US"/>
        </w:rPr>
      </w:pPr>
      <w:bookmarkStart w:id="392" w:name="bookmark1047"/>
      <w:bookmarkEnd w:id="392"/>
      <w:r>
        <w:rPr>
          <w:rStyle w:val="32"/>
          <w:rFonts w:ascii="Times New Roman" w:hAnsi="Times New Roman" w:cs="Times New Roman"/>
          <w:color w:val="auto"/>
          <w:highlight w:val="none"/>
          <w:lang w:val="en-US" w:bidi="en-US"/>
        </w:rPr>
        <w:t>5.1.1除第5.2款约定由发包人提供的材料和工程设备外，承包人负责采购、运输和保管完成本合同工作所需的材料和工程设备。承包人应对其采购的材料和工程设备负责。</w:t>
      </w:r>
    </w:p>
    <w:p w14:paraId="5693881C">
      <w:pPr>
        <w:pStyle w:val="97"/>
        <w:pageBreakBefore w:val="0"/>
        <w:kinsoku/>
        <w:wordWrap/>
        <w:overflowPunct/>
        <w:topLinePunct w:val="0"/>
        <w:autoSpaceDE/>
        <w:autoSpaceDN/>
        <w:bidi w:val="0"/>
        <w:adjustRightInd/>
        <w:snapToGrid/>
        <w:spacing w:after="280" w:line="354" w:lineRule="exact"/>
        <w:ind w:firstLine="420"/>
        <w:jc w:val="both"/>
        <w:textAlignment w:val="auto"/>
        <w:outlineLvl w:val="9"/>
        <w:rPr>
          <w:rStyle w:val="32"/>
          <w:rFonts w:ascii="Times New Roman" w:hAnsi="Times New Roman" w:cs="Times New Roman"/>
          <w:color w:val="auto"/>
          <w:highlight w:val="none"/>
          <w:lang w:val="en-US" w:bidi="en-US"/>
        </w:rPr>
      </w:pPr>
      <w:r>
        <w:rPr>
          <w:rStyle w:val="32"/>
          <w:rFonts w:ascii="Times New Roman" w:hAnsi="Times New Roman" w:cs="Times New Roman"/>
          <w:color w:val="auto"/>
          <w:highlight w:val="none"/>
          <w:lang w:val="en-US" w:bidi="en-US"/>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3C66EE88">
      <w:pPr>
        <w:pStyle w:val="97"/>
        <w:pageBreakBefore w:val="0"/>
        <w:kinsoku/>
        <w:wordWrap/>
        <w:overflowPunct/>
        <w:topLinePunct w:val="0"/>
        <w:autoSpaceDE/>
        <w:autoSpaceDN/>
        <w:bidi w:val="0"/>
        <w:adjustRightInd/>
        <w:snapToGrid/>
        <w:spacing w:after="280" w:line="354" w:lineRule="exact"/>
        <w:ind w:firstLine="420"/>
        <w:jc w:val="both"/>
        <w:textAlignment w:val="auto"/>
        <w:outlineLvl w:val="9"/>
        <w:rPr>
          <w:rStyle w:val="32"/>
          <w:rFonts w:ascii="Times New Roman" w:hAnsi="Times New Roman" w:cs="Times New Roman"/>
          <w:color w:val="auto"/>
          <w:highlight w:val="none"/>
          <w:lang w:val="en-US" w:bidi="en-US"/>
        </w:rPr>
      </w:pPr>
      <w:r>
        <w:rPr>
          <w:rStyle w:val="32"/>
          <w:rFonts w:ascii="Times New Roman" w:hAnsi="Times New Roman" w:cs="Times New Roman"/>
          <w:color w:val="auto"/>
          <w:highlight w:val="none"/>
          <w:lang w:val="en-US"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0619BCD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393" w:name="_Toc16936"/>
      <w:bookmarkStart w:id="394" w:name="bookmark1050"/>
      <w:bookmarkStart w:id="395" w:name="bookmark1048"/>
      <w:bookmarkStart w:id="396" w:name="_Toc18208"/>
      <w:bookmarkStart w:id="397" w:name="_Toc256000048"/>
      <w:bookmarkStart w:id="398" w:name="bookmark1049"/>
      <w:r>
        <w:rPr>
          <w:rStyle w:val="32"/>
          <w:rFonts w:ascii="宋体" w:hAnsi="宋体" w:cs="Times New Roman"/>
          <w:color w:val="auto"/>
          <w:sz w:val="24"/>
          <w:szCs w:val="24"/>
          <w:highlight w:val="none"/>
          <w:lang w:eastAsia="zh-CN"/>
        </w:rPr>
        <w:t>5.2发包人提供的材料和工程设备</w:t>
      </w:r>
      <w:bookmarkEnd w:id="393"/>
      <w:bookmarkEnd w:id="394"/>
      <w:bookmarkEnd w:id="395"/>
      <w:bookmarkEnd w:id="396"/>
      <w:bookmarkEnd w:id="397"/>
      <w:bookmarkEnd w:id="398"/>
    </w:p>
    <w:p w14:paraId="07EA3063">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bookmarkStart w:id="399" w:name="bookmark1051"/>
      <w:bookmarkEnd w:id="399"/>
      <w:r>
        <w:rPr>
          <w:rStyle w:val="32"/>
          <w:rFonts w:ascii="Times New Roman" w:hAnsi="Times New Roman" w:cs="Times New Roman"/>
          <w:color w:val="auto"/>
          <w:highlight w:val="none"/>
        </w:rPr>
        <w:t>5.2.1发包人提供的材料和工程设备，应在专用合同条款中写明材料和工程设备的名称、规格、数量、价格、交货方式、交货地点和计划交货日期等。</w:t>
      </w:r>
    </w:p>
    <w:p w14:paraId="37A9BF20">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5.2.2</w:t>
      </w:r>
      <w:r>
        <w:rPr>
          <w:rStyle w:val="32"/>
          <w:rFonts w:ascii="Times New Roman" w:hAnsi="Times New Roman" w:cs="Times New Roman"/>
          <w:color w:val="auto"/>
          <w:highlight w:val="none"/>
        </w:rPr>
        <w:t>承包人应根据合同进度计划的安排，向监理人报送要求发包人交货的日期计划。发包人应按照监理人与合同双方当事人商定的交货日期，向承包人提交材料和工程设备。</w:t>
      </w:r>
    </w:p>
    <w:p w14:paraId="4D87068F">
      <w:pPr>
        <w:pStyle w:val="97"/>
        <w:pageBreakBefore w:val="0"/>
        <w:kinsoku/>
        <w:wordWrap/>
        <w:overflowPunct/>
        <w:topLinePunct w:val="0"/>
        <w:autoSpaceDE/>
        <w:autoSpaceDN/>
        <w:bidi w:val="0"/>
        <w:adjustRightInd/>
        <w:snapToGrid/>
        <w:spacing w:line="364"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5.2.3</w:t>
      </w:r>
      <w:r>
        <w:rPr>
          <w:rStyle w:val="32"/>
          <w:rFonts w:ascii="Times New Roman" w:hAnsi="Times New Roman" w:cs="Times New Roman"/>
          <w:color w:val="auto"/>
          <w:highlight w:val="none"/>
        </w:rPr>
        <w:t>发包人应在材料和工程设备到货</w:t>
      </w:r>
      <w:r>
        <w:rPr>
          <w:rStyle w:val="32"/>
          <w:rFonts w:ascii="Times New Roman" w:hAnsi="Times New Roman" w:eastAsia="Times New Roman" w:cs="Times New Roman"/>
          <w:color w:val="auto"/>
          <w:highlight w:val="none"/>
        </w:rPr>
        <w:t>7</w:t>
      </w:r>
      <w:r>
        <w:rPr>
          <w:rStyle w:val="32"/>
          <w:rFonts w:ascii="Times New Roman" w:hAnsi="Times New Roman" w:cs="Times New Roman"/>
          <w:color w:val="auto"/>
          <w:highlight w:val="none"/>
        </w:rPr>
        <w:t>天前通知承包人，承包人应会同监理人在约定的时间内，赴交货地点共同进行验收。发包人提供的材料和工程设备运至交货地点验收后，由承包人负责接收、卸货、运输和保管。</w:t>
      </w:r>
    </w:p>
    <w:p w14:paraId="2E94C9DB">
      <w:pPr>
        <w:pStyle w:val="97"/>
        <w:pageBreakBefore w:val="0"/>
        <w:kinsoku/>
        <w:wordWrap/>
        <w:overflowPunct/>
        <w:topLinePunct w:val="0"/>
        <w:autoSpaceDE/>
        <w:autoSpaceDN/>
        <w:bidi w:val="0"/>
        <w:adjustRightInd/>
        <w:snapToGrid/>
        <w:spacing w:line="365"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5. 2.4</w:t>
      </w:r>
      <w:r>
        <w:rPr>
          <w:rStyle w:val="32"/>
          <w:rFonts w:ascii="Times New Roman" w:hAnsi="Times New Roman" w:cs="Times New Roman"/>
          <w:color w:val="auto"/>
          <w:highlight w:val="none"/>
        </w:rPr>
        <w:t>发</w:t>
      </w:r>
      <w:r>
        <w:rPr>
          <w:rStyle w:val="32"/>
          <w:color w:val="auto"/>
          <w:highlight w:val="none"/>
        </w:rPr>
        <w:t>包人要求向承包人提前交货的，承包人不得拒绝，但发包人应承担承包人由此增加的费用。</w:t>
      </w:r>
    </w:p>
    <w:p w14:paraId="0CE7F69C">
      <w:pPr>
        <w:pStyle w:val="97"/>
        <w:pageBreakBefore w:val="0"/>
        <w:kinsoku/>
        <w:wordWrap/>
        <w:overflowPunct/>
        <w:topLinePunct w:val="0"/>
        <w:autoSpaceDE/>
        <w:autoSpaceDN/>
        <w:bidi w:val="0"/>
        <w:adjustRightInd/>
        <w:snapToGrid/>
        <w:spacing w:line="365"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5.2.5</w:t>
      </w:r>
      <w:r>
        <w:rPr>
          <w:rStyle w:val="32"/>
          <w:color w:val="auto"/>
          <w:highlight w:val="none"/>
        </w:rPr>
        <w:t>承包人要求更改交货日期或地点的，应事先报请监理人批准。由于承包人要求更改交货时间或地点所增加的费用和（或）工期延误由承包人承担。</w:t>
      </w:r>
    </w:p>
    <w:p w14:paraId="54114C92">
      <w:pPr>
        <w:pStyle w:val="97"/>
        <w:pageBreakBefore w:val="0"/>
        <w:kinsoku/>
        <w:wordWrap/>
        <w:overflowPunct/>
        <w:topLinePunct w:val="0"/>
        <w:autoSpaceDE/>
        <w:autoSpaceDN/>
        <w:bidi w:val="0"/>
        <w:adjustRightInd/>
        <w:snapToGrid/>
        <w:spacing w:after="120" w:line="35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5.2.6</w:t>
      </w:r>
      <w:r>
        <w:rPr>
          <w:rStyle w:val="32"/>
          <w:color w:val="auto"/>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457D6A9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00" w:name="bookmark1053"/>
      <w:bookmarkStart w:id="401" w:name="_Toc2255"/>
      <w:bookmarkStart w:id="402" w:name="bookmark1054"/>
      <w:bookmarkStart w:id="403" w:name="_Toc17795"/>
      <w:bookmarkStart w:id="404" w:name="_Toc256000049"/>
      <w:bookmarkStart w:id="405" w:name="bookmark1052"/>
      <w:r>
        <w:rPr>
          <w:rStyle w:val="32"/>
          <w:rFonts w:ascii="宋体" w:hAnsi="宋体" w:cs="Times New Roman"/>
          <w:color w:val="auto"/>
          <w:sz w:val="24"/>
          <w:szCs w:val="24"/>
          <w:highlight w:val="none"/>
          <w:lang w:eastAsia="zh-CN"/>
        </w:rPr>
        <w:t>5.3材料和工程设备专用于合同工程</w:t>
      </w:r>
      <w:bookmarkEnd w:id="400"/>
      <w:bookmarkEnd w:id="401"/>
      <w:bookmarkEnd w:id="402"/>
      <w:bookmarkEnd w:id="403"/>
      <w:bookmarkEnd w:id="404"/>
      <w:bookmarkEnd w:id="405"/>
    </w:p>
    <w:p w14:paraId="1DEB0FBF">
      <w:pPr>
        <w:pStyle w:val="97"/>
        <w:pageBreakBefore w:val="0"/>
        <w:kinsoku/>
        <w:wordWrap/>
        <w:overflowPunct/>
        <w:topLinePunct w:val="0"/>
        <w:autoSpaceDE/>
        <w:autoSpaceDN/>
        <w:bidi w:val="0"/>
        <w:adjustRightInd/>
        <w:snapToGrid/>
        <w:spacing w:line="355"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5.3.1</w:t>
      </w:r>
      <w:r>
        <w:rPr>
          <w:rStyle w:val="32"/>
          <w:color w:val="auto"/>
          <w:highlight w:val="none"/>
        </w:rPr>
        <w:t>运入施工场地的材料、工程设备，包括备品备件、安装专用工器具与随机资料，必须专用于合同工程，未经监理人同意，承包人不得运出施工场地或挪作他用。</w:t>
      </w:r>
    </w:p>
    <w:p w14:paraId="3F40F7F5">
      <w:pPr>
        <w:pStyle w:val="97"/>
        <w:pageBreakBefore w:val="0"/>
        <w:kinsoku/>
        <w:wordWrap/>
        <w:overflowPunct/>
        <w:topLinePunct w:val="0"/>
        <w:autoSpaceDE/>
        <w:autoSpaceDN/>
        <w:bidi w:val="0"/>
        <w:adjustRightInd/>
        <w:snapToGrid/>
        <w:spacing w:after="120" w:line="36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5.3.2</w:t>
      </w:r>
      <w:r>
        <w:rPr>
          <w:rStyle w:val="32"/>
          <w:color w:val="auto"/>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333B734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06" w:name="bookmark1055"/>
      <w:bookmarkStart w:id="407" w:name="_Toc30864"/>
      <w:bookmarkStart w:id="408" w:name="bookmark1056"/>
      <w:bookmarkStart w:id="409" w:name="_Toc256000050"/>
      <w:bookmarkStart w:id="410" w:name="_Toc23254"/>
      <w:bookmarkStart w:id="411" w:name="bookmark1057"/>
      <w:r>
        <w:rPr>
          <w:rStyle w:val="32"/>
          <w:rFonts w:ascii="宋体" w:hAnsi="宋体" w:cs="Times New Roman"/>
          <w:color w:val="auto"/>
          <w:sz w:val="24"/>
          <w:szCs w:val="24"/>
          <w:highlight w:val="none"/>
          <w:lang w:eastAsia="zh-CN"/>
        </w:rPr>
        <w:t>5.4禁止使用不合格的材料和工程设备</w:t>
      </w:r>
      <w:bookmarkEnd w:id="406"/>
      <w:bookmarkEnd w:id="407"/>
      <w:bookmarkEnd w:id="408"/>
      <w:bookmarkEnd w:id="409"/>
      <w:bookmarkEnd w:id="410"/>
      <w:bookmarkEnd w:id="411"/>
    </w:p>
    <w:p w14:paraId="03F8B2D9">
      <w:pPr>
        <w:pStyle w:val="97"/>
        <w:pageBreakBefore w:val="0"/>
        <w:kinsoku/>
        <w:wordWrap/>
        <w:overflowPunct/>
        <w:topLinePunct w:val="0"/>
        <w:autoSpaceDE/>
        <w:autoSpaceDN/>
        <w:bidi w:val="0"/>
        <w:adjustRightInd/>
        <w:snapToGrid/>
        <w:spacing w:after="80" w:line="362" w:lineRule="exact"/>
        <w:ind w:firstLine="420"/>
        <w:jc w:val="both"/>
        <w:textAlignment w:val="auto"/>
        <w:outlineLvl w:val="9"/>
        <w:rPr>
          <w:rStyle w:val="32"/>
          <w:rFonts w:ascii="Times New Roman" w:hAnsi="Times New Roman" w:cs="Times New Roman"/>
          <w:color w:val="auto"/>
          <w:highlight w:val="none"/>
        </w:rPr>
      </w:pPr>
      <w:bookmarkStart w:id="412" w:name="bookmark1058"/>
      <w:bookmarkEnd w:id="412"/>
      <w:r>
        <w:rPr>
          <w:rStyle w:val="32"/>
          <w:rFonts w:ascii="Times New Roman" w:hAnsi="Times New Roman" w:cs="Times New Roman"/>
          <w:color w:val="auto"/>
          <w:highlight w:val="none"/>
        </w:rPr>
        <w:t>5.4.1监理人有权拒绝承包人提供的不合格材料或工程设备，并要求承包人立即进行更换。监理人应在更换后再次进行检查和检验，由此增加的费用和（或）工期延误由承包 人承担。</w:t>
      </w:r>
    </w:p>
    <w:p w14:paraId="46D5813E">
      <w:pPr>
        <w:pStyle w:val="97"/>
        <w:pageBreakBefore w:val="0"/>
        <w:kinsoku/>
        <w:wordWrap/>
        <w:overflowPunct/>
        <w:topLinePunct w:val="0"/>
        <w:autoSpaceDE/>
        <w:autoSpaceDN/>
        <w:bidi w:val="0"/>
        <w:adjustRightInd/>
        <w:snapToGrid/>
        <w:spacing w:after="80" w:line="362" w:lineRule="exact"/>
        <w:ind w:firstLine="420"/>
        <w:jc w:val="both"/>
        <w:textAlignment w:val="auto"/>
        <w:outlineLvl w:val="9"/>
        <w:rPr>
          <w:rStyle w:val="32"/>
          <w:rFonts w:ascii="Times New Roman" w:hAnsi="Times New Roman" w:cs="Times New Roman"/>
          <w:color w:val="auto"/>
          <w:highlight w:val="none"/>
        </w:rPr>
      </w:pPr>
      <w:bookmarkStart w:id="413" w:name="bookmark1059"/>
      <w:bookmarkEnd w:id="413"/>
      <w:r>
        <w:rPr>
          <w:rStyle w:val="32"/>
          <w:rFonts w:ascii="Times New Roman" w:hAnsi="Times New Roman" w:cs="Times New Roman"/>
          <w:color w:val="auto"/>
          <w:highlight w:val="none"/>
        </w:rPr>
        <w:t>5.4.2监理人发现承包人使用了不合格的材料和工程设备，应即时发出指示要求承包人立即改正，并禁止在工程中继续使用不合格的材料和工程设备。</w:t>
      </w:r>
    </w:p>
    <w:p w14:paraId="31462CD4">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5.4.3</w:t>
      </w:r>
      <w:r>
        <w:rPr>
          <w:rStyle w:val="32"/>
          <w:rFonts w:ascii="Times New Roman" w:hAnsi="Times New Roman" w:cs="Times New Roman"/>
          <w:color w:val="auto"/>
          <w:highlight w:val="none"/>
        </w:rPr>
        <w:t>发</w:t>
      </w:r>
      <w:r>
        <w:rPr>
          <w:rStyle w:val="32"/>
          <w:color w:val="auto"/>
          <w:highlight w:val="none"/>
        </w:rPr>
        <w:t>包人提供的材料或工程设备不符合合同要求的，承包人有权拒绝，并可要求发包人更换，由此增加的费用和（或）工期延误由发包人承担。</w:t>
      </w:r>
    </w:p>
    <w:p w14:paraId="39037B8A">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414" w:name="bookmark1062"/>
      <w:bookmarkEnd w:id="414"/>
      <w:bookmarkStart w:id="415" w:name="bookmark1060"/>
      <w:bookmarkStart w:id="416" w:name="_Toc21496"/>
      <w:bookmarkStart w:id="417" w:name="bookmark1061"/>
      <w:bookmarkStart w:id="418" w:name="_Toc3256"/>
      <w:bookmarkStart w:id="419" w:name="_Toc256000051"/>
      <w:bookmarkStart w:id="420" w:name="bookmark1063"/>
      <w:r>
        <w:rPr>
          <w:rStyle w:val="32"/>
          <w:rFonts w:hint="eastAsia" w:cs="Times New Roman"/>
          <w:color w:val="auto"/>
          <w:highlight w:val="none"/>
          <w:lang w:eastAsia="zh-CN"/>
        </w:rPr>
        <w:t>6.施工设备和临时设施</w:t>
      </w:r>
      <w:bookmarkEnd w:id="415"/>
      <w:bookmarkEnd w:id="416"/>
      <w:bookmarkEnd w:id="417"/>
      <w:bookmarkEnd w:id="418"/>
      <w:bookmarkEnd w:id="419"/>
      <w:bookmarkEnd w:id="420"/>
    </w:p>
    <w:p w14:paraId="7AB0827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21" w:name="bookmark1066"/>
      <w:bookmarkStart w:id="422" w:name="_Toc9863"/>
      <w:bookmarkStart w:id="423" w:name="_Toc256000052"/>
      <w:bookmarkStart w:id="424" w:name="bookmark1065"/>
      <w:bookmarkStart w:id="425" w:name="bookmark1064"/>
      <w:bookmarkStart w:id="426" w:name="_Toc29023"/>
      <w:r>
        <w:rPr>
          <w:rStyle w:val="32"/>
          <w:rFonts w:ascii="宋体" w:hAnsi="宋体" w:cs="Times New Roman"/>
          <w:color w:val="auto"/>
          <w:sz w:val="24"/>
          <w:szCs w:val="24"/>
          <w:highlight w:val="none"/>
          <w:lang w:eastAsia="zh-CN"/>
        </w:rPr>
        <w:t>6.1承包人提供的施工设备和临时设施</w:t>
      </w:r>
      <w:bookmarkEnd w:id="421"/>
      <w:bookmarkEnd w:id="422"/>
      <w:bookmarkEnd w:id="423"/>
      <w:bookmarkEnd w:id="424"/>
      <w:bookmarkEnd w:id="425"/>
      <w:bookmarkEnd w:id="426"/>
    </w:p>
    <w:p w14:paraId="3CDE954C">
      <w:pPr>
        <w:pStyle w:val="97"/>
        <w:pageBreakBefore w:val="0"/>
        <w:kinsoku/>
        <w:wordWrap/>
        <w:overflowPunct/>
        <w:topLinePunct w:val="0"/>
        <w:autoSpaceDE/>
        <w:autoSpaceDN/>
        <w:bidi w:val="0"/>
        <w:adjustRightInd/>
        <w:snapToGrid/>
        <w:spacing w:line="36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6.1.1</w:t>
      </w:r>
      <w:r>
        <w:rPr>
          <w:rStyle w:val="32"/>
          <w:color w:val="auto"/>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5C54CF8E">
      <w:pPr>
        <w:pStyle w:val="97"/>
        <w:pageBreakBefore w:val="0"/>
        <w:kinsoku/>
        <w:wordWrap/>
        <w:overflowPunct/>
        <w:topLinePunct w:val="0"/>
        <w:autoSpaceDE/>
        <w:autoSpaceDN/>
        <w:bidi w:val="0"/>
        <w:adjustRightInd/>
        <w:snapToGrid/>
        <w:spacing w:after="140" w:line="37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6.1.2</w:t>
      </w:r>
      <w:r>
        <w:rPr>
          <w:rStyle w:val="32"/>
          <w:color w:val="auto"/>
          <w:highlight w:val="none"/>
        </w:rPr>
        <w:t>除专用合同条款另有约定外，承包人应自行承担修建临时设施的费用，需要临时占地的，应由发包人办理申请手续并承担相应费用。</w:t>
      </w:r>
    </w:p>
    <w:p w14:paraId="75D4372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27" w:name="bookmark1069"/>
      <w:bookmarkStart w:id="428" w:name="_Toc256000053"/>
      <w:bookmarkStart w:id="429" w:name="_Toc15863"/>
      <w:bookmarkStart w:id="430" w:name="bookmark1067"/>
      <w:bookmarkStart w:id="431" w:name="_Toc31030"/>
      <w:bookmarkStart w:id="432" w:name="bookmark1068"/>
      <w:r>
        <w:rPr>
          <w:rStyle w:val="32"/>
          <w:rFonts w:ascii="宋体" w:hAnsi="宋体" w:cs="Times New Roman"/>
          <w:color w:val="auto"/>
          <w:sz w:val="24"/>
          <w:szCs w:val="24"/>
          <w:highlight w:val="none"/>
          <w:lang w:eastAsia="zh-CN"/>
        </w:rPr>
        <w:t>6.2发包人提供的施工设备和临时设施</w:t>
      </w:r>
      <w:bookmarkEnd w:id="427"/>
      <w:bookmarkEnd w:id="428"/>
      <w:bookmarkEnd w:id="429"/>
      <w:bookmarkEnd w:id="430"/>
      <w:bookmarkEnd w:id="431"/>
      <w:bookmarkEnd w:id="432"/>
    </w:p>
    <w:p w14:paraId="5540711C">
      <w:pPr>
        <w:pStyle w:val="97"/>
        <w:pageBreakBefore w:val="0"/>
        <w:kinsoku/>
        <w:wordWrap/>
        <w:overflowPunct/>
        <w:topLinePunct w:val="0"/>
        <w:autoSpaceDE/>
        <w:autoSpaceDN/>
        <w:bidi w:val="0"/>
        <w:adjustRightInd/>
        <w:snapToGrid/>
        <w:spacing w:after="140" w:line="370" w:lineRule="exact"/>
        <w:ind w:firstLine="420"/>
        <w:jc w:val="both"/>
        <w:textAlignment w:val="auto"/>
        <w:outlineLvl w:val="9"/>
        <w:rPr>
          <w:rStyle w:val="32"/>
          <w:color w:val="auto"/>
          <w:highlight w:val="none"/>
        </w:rPr>
      </w:pPr>
      <w:r>
        <w:rPr>
          <w:rStyle w:val="32"/>
          <w:color w:val="auto"/>
          <w:highlight w:val="none"/>
        </w:rPr>
        <w:t>发包人提供的施工设备或临时设施在专用合同条款中约定。</w:t>
      </w:r>
    </w:p>
    <w:p w14:paraId="561BD40B">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33" w:name="_Toc256000054"/>
      <w:bookmarkStart w:id="434" w:name="bookmark1070"/>
      <w:bookmarkStart w:id="435" w:name="_Toc30722"/>
      <w:bookmarkStart w:id="436" w:name="bookmark1071"/>
      <w:bookmarkStart w:id="437" w:name="_Toc27703"/>
      <w:bookmarkStart w:id="438" w:name="bookmark1072"/>
      <w:r>
        <w:rPr>
          <w:rStyle w:val="32"/>
          <w:rFonts w:ascii="宋体" w:hAnsi="宋体" w:cs="Times New Roman"/>
          <w:color w:val="auto"/>
          <w:sz w:val="24"/>
          <w:szCs w:val="24"/>
          <w:highlight w:val="none"/>
          <w:lang w:eastAsia="zh-CN"/>
        </w:rPr>
        <w:t>6.3要求承包人增加或更换施工设备</w:t>
      </w:r>
      <w:bookmarkEnd w:id="433"/>
      <w:bookmarkEnd w:id="434"/>
      <w:bookmarkEnd w:id="435"/>
      <w:bookmarkEnd w:id="436"/>
      <w:bookmarkEnd w:id="437"/>
      <w:bookmarkEnd w:id="438"/>
    </w:p>
    <w:p w14:paraId="1D6407E6">
      <w:pPr>
        <w:pStyle w:val="97"/>
        <w:pageBreakBefore w:val="0"/>
        <w:kinsoku/>
        <w:wordWrap/>
        <w:overflowPunct/>
        <w:topLinePunct w:val="0"/>
        <w:autoSpaceDE/>
        <w:autoSpaceDN/>
        <w:bidi w:val="0"/>
        <w:adjustRightInd/>
        <w:snapToGrid/>
        <w:spacing w:after="140" w:line="365" w:lineRule="exact"/>
        <w:ind w:firstLine="420"/>
        <w:jc w:val="both"/>
        <w:textAlignment w:val="auto"/>
        <w:outlineLvl w:val="9"/>
        <w:rPr>
          <w:rStyle w:val="32"/>
          <w:color w:val="auto"/>
          <w:highlight w:val="none"/>
        </w:rPr>
      </w:pPr>
      <w:r>
        <w:rPr>
          <w:rStyle w:val="32"/>
          <w:color w:val="auto"/>
          <w:highlight w:val="none"/>
        </w:rPr>
        <w:t>承包人使用的施工设备不能满足合同进度计划和（或）质量要求时，监理人有权要求承包人增加或更换施工设备，承包人应及时增加或更换，由此增加的费用和（或）工期延误由承包人承担。</w:t>
      </w:r>
    </w:p>
    <w:p w14:paraId="3591A8A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39" w:name="bookmark1075"/>
      <w:bookmarkStart w:id="440" w:name="_Toc21826"/>
      <w:bookmarkStart w:id="441" w:name="bookmark1074"/>
      <w:bookmarkStart w:id="442" w:name="_Toc23117"/>
      <w:bookmarkStart w:id="443" w:name="bookmark1073"/>
      <w:bookmarkStart w:id="444" w:name="_Toc256000055"/>
      <w:r>
        <w:rPr>
          <w:rStyle w:val="32"/>
          <w:rFonts w:ascii="宋体" w:hAnsi="宋体" w:cs="Times New Roman"/>
          <w:color w:val="auto"/>
          <w:sz w:val="24"/>
          <w:szCs w:val="24"/>
          <w:highlight w:val="none"/>
          <w:lang w:eastAsia="zh-CN"/>
        </w:rPr>
        <w:t>6.4施工设备和临时设施专用于合同工程</w:t>
      </w:r>
      <w:bookmarkEnd w:id="439"/>
      <w:bookmarkEnd w:id="440"/>
      <w:bookmarkEnd w:id="441"/>
      <w:bookmarkEnd w:id="442"/>
      <w:bookmarkEnd w:id="443"/>
      <w:bookmarkEnd w:id="444"/>
    </w:p>
    <w:p w14:paraId="2D1BB7CA">
      <w:pPr>
        <w:pStyle w:val="97"/>
        <w:pageBreakBefore w:val="0"/>
        <w:kinsoku/>
        <w:wordWrap/>
        <w:overflowPunct/>
        <w:topLinePunct w:val="0"/>
        <w:autoSpaceDE/>
        <w:autoSpaceDN/>
        <w:bidi w:val="0"/>
        <w:adjustRightInd/>
        <w:snapToGrid/>
        <w:spacing w:after="140" w:line="365" w:lineRule="exact"/>
        <w:ind w:firstLine="420"/>
        <w:jc w:val="both"/>
        <w:textAlignment w:val="auto"/>
        <w:outlineLvl w:val="9"/>
        <w:rPr>
          <w:rStyle w:val="32"/>
          <w:color w:val="auto"/>
          <w:highlight w:val="none"/>
        </w:rPr>
      </w:pPr>
      <w:bookmarkStart w:id="445" w:name="bookmark1076"/>
      <w:bookmarkEnd w:id="445"/>
      <w:r>
        <w:rPr>
          <w:rStyle w:val="32"/>
          <w:rFonts w:ascii="Times New Roman" w:hAnsi="Times New Roman" w:cs="Times New Roman"/>
          <w:color w:val="auto"/>
          <w:highlight w:val="none"/>
        </w:rPr>
        <w:t>6.4.1</w:t>
      </w:r>
      <w:r>
        <w:rPr>
          <w:rStyle w:val="32"/>
          <w:color w:val="auto"/>
          <w:highlight w:val="none"/>
        </w:rPr>
        <w:t>除合同另有约定外，运入施工场地的所有施工设备以及在施工场地建设的临时设施应专用于合同工程。未经监理人同意，不得将上述施工设备和临时设施中的任何部分运出施工场地或挪作他用。</w:t>
      </w:r>
    </w:p>
    <w:p w14:paraId="431C6B8F">
      <w:pPr>
        <w:pStyle w:val="97"/>
        <w:pageBreakBefore w:val="0"/>
        <w:tabs>
          <w:tab w:val="left" w:pos="754"/>
        </w:tabs>
        <w:kinsoku/>
        <w:wordWrap/>
        <w:overflowPunct/>
        <w:topLinePunct w:val="0"/>
        <w:autoSpaceDE/>
        <w:autoSpaceDN/>
        <w:bidi w:val="0"/>
        <w:adjustRightInd/>
        <w:snapToGrid/>
        <w:spacing w:after="300" w:line="370" w:lineRule="exact"/>
        <w:ind w:left="420" w:firstLine="0"/>
        <w:textAlignment w:val="auto"/>
        <w:outlineLvl w:val="9"/>
        <w:rPr>
          <w:rStyle w:val="32"/>
          <w:color w:val="auto"/>
          <w:highlight w:val="none"/>
        </w:rPr>
      </w:pPr>
      <w:bookmarkStart w:id="446" w:name="bookmark1077"/>
      <w:bookmarkEnd w:id="446"/>
      <w:r>
        <w:rPr>
          <w:rStyle w:val="32"/>
          <w:rFonts w:hint="eastAsia" w:ascii="Times New Roman" w:hAnsi="Times New Roman" w:cs="Times New Roman"/>
          <w:color w:val="auto"/>
          <w:highlight w:val="none"/>
          <w:lang w:val="en-US" w:bidi="en-US"/>
        </w:rPr>
        <w:t>6.</w:t>
      </w:r>
      <w:r>
        <w:rPr>
          <w:rStyle w:val="32"/>
          <w:rFonts w:ascii="Times New Roman" w:hAnsi="Times New Roman" w:eastAsia="Times New Roman" w:cs="Times New Roman"/>
          <w:color w:val="auto"/>
          <w:highlight w:val="none"/>
          <w:lang w:val="en-US" w:bidi="en-US"/>
        </w:rPr>
        <w:t>4.2</w:t>
      </w:r>
      <w:r>
        <w:rPr>
          <w:rStyle w:val="32"/>
          <w:color w:val="auto"/>
          <w:highlight w:val="none"/>
        </w:rPr>
        <w:t>经监理人同意，承包人可根据合同进度计划撤走闲置的施工设备。</w:t>
      </w:r>
    </w:p>
    <w:p w14:paraId="326E08DE">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447" w:name="bookmark1080"/>
      <w:bookmarkEnd w:id="447"/>
      <w:bookmarkStart w:id="448" w:name="_Toc18104"/>
      <w:bookmarkStart w:id="449" w:name="bookmark1078"/>
      <w:bookmarkStart w:id="450" w:name="bookmark1081"/>
      <w:bookmarkStart w:id="451" w:name="_Toc13833"/>
      <w:bookmarkStart w:id="452" w:name="_Toc256000056"/>
      <w:bookmarkStart w:id="453" w:name="bookmark1079"/>
      <w:r>
        <w:rPr>
          <w:rStyle w:val="32"/>
          <w:rFonts w:hint="eastAsia" w:cs="Times New Roman"/>
          <w:color w:val="auto"/>
          <w:highlight w:val="none"/>
          <w:lang w:eastAsia="zh-CN"/>
        </w:rPr>
        <w:t>7.交通运输</w:t>
      </w:r>
      <w:bookmarkEnd w:id="448"/>
      <w:bookmarkEnd w:id="449"/>
      <w:bookmarkEnd w:id="450"/>
      <w:bookmarkEnd w:id="451"/>
      <w:bookmarkEnd w:id="452"/>
      <w:bookmarkEnd w:id="453"/>
    </w:p>
    <w:p w14:paraId="190B17A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54" w:name="_Toc14817"/>
      <w:bookmarkStart w:id="455" w:name="bookmark1083"/>
      <w:bookmarkStart w:id="456" w:name="bookmark1082"/>
      <w:bookmarkStart w:id="457" w:name="bookmark1084"/>
      <w:bookmarkStart w:id="458" w:name="_Toc256000057"/>
      <w:bookmarkStart w:id="459" w:name="_Toc22987"/>
      <w:r>
        <w:rPr>
          <w:rStyle w:val="32"/>
          <w:rFonts w:ascii="宋体" w:hAnsi="宋体" w:cs="Times New Roman"/>
          <w:color w:val="auto"/>
          <w:sz w:val="24"/>
          <w:szCs w:val="24"/>
          <w:highlight w:val="none"/>
          <w:lang w:eastAsia="zh-CN"/>
        </w:rPr>
        <w:t>7.1道路通行权和场外设施</w:t>
      </w:r>
      <w:bookmarkEnd w:id="454"/>
      <w:bookmarkEnd w:id="455"/>
      <w:bookmarkEnd w:id="456"/>
      <w:bookmarkEnd w:id="457"/>
      <w:bookmarkEnd w:id="458"/>
      <w:bookmarkEnd w:id="459"/>
    </w:p>
    <w:p w14:paraId="244B3CA8">
      <w:pPr>
        <w:pStyle w:val="97"/>
        <w:pageBreakBefore w:val="0"/>
        <w:kinsoku/>
        <w:wordWrap/>
        <w:overflowPunct/>
        <w:topLinePunct w:val="0"/>
        <w:autoSpaceDE/>
        <w:autoSpaceDN/>
        <w:bidi w:val="0"/>
        <w:adjustRightInd/>
        <w:snapToGrid/>
        <w:spacing w:after="140" w:line="359" w:lineRule="exact"/>
        <w:ind w:firstLine="420"/>
        <w:jc w:val="both"/>
        <w:textAlignment w:val="auto"/>
        <w:outlineLvl w:val="9"/>
        <w:rPr>
          <w:rStyle w:val="32"/>
          <w:color w:val="auto"/>
          <w:highlight w:val="none"/>
        </w:rPr>
      </w:pPr>
      <w:r>
        <w:rPr>
          <w:rStyle w:val="32"/>
          <w:color w:val="auto"/>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6B005BA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60" w:name="_Toc256000058"/>
      <w:bookmarkStart w:id="461" w:name="bookmark1086"/>
      <w:bookmarkStart w:id="462" w:name="bookmark1085"/>
      <w:bookmarkStart w:id="463" w:name="_Toc25046"/>
      <w:bookmarkStart w:id="464" w:name="_Toc19760"/>
      <w:bookmarkStart w:id="465" w:name="bookmark1087"/>
      <w:r>
        <w:rPr>
          <w:rStyle w:val="32"/>
          <w:rFonts w:ascii="宋体" w:hAnsi="宋体" w:cs="Times New Roman"/>
          <w:color w:val="auto"/>
          <w:sz w:val="24"/>
          <w:szCs w:val="24"/>
          <w:highlight w:val="none"/>
          <w:lang w:eastAsia="zh-CN"/>
        </w:rPr>
        <w:t>7.2场内施工道路</w:t>
      </w:r>
      <w:bookmarkEnd w:id="460"/>
      <w:bookmarkEnd w:id="461"/>
      <w:bookmarkEnd w:id="462"/>
      <w:bookmarkEnd w:id="463"/>
      <w:bookmarkEnd w:id="464"/>
      <w:bookmarkEnd w:id="465"/>
    </w:p>
    <w:p w14:paraId="4D584A50">
      <w:pPr>
        <w:pStyle w:val="97"/>
        <w:pageBreakBefore w:val="0"/>
        <w:kinsoku/>
        <w:wordWrap/>
        <w:overflowPunct/>
        <w:topLinePunct w:val="0"/>
        <w:autoSpaceDE/>
        <w:autoSpaceDN/>
        <w:bidi w:val="0"/>
        <w:adjustRightInd/>
        <w:snapToGrid/>
        <w:spacing w:line="37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7.2.1</w:t>
      </w:r>
      <w:r>
        <w:rPr>
          <w:rStyle w:val="32"/>
          <w:color w:val="auto"/>
          <w:highlight w:val="none"/>
        </w:rPr>
        <w:t>除本合同约定由发包人提供的部分道路和交通设施外，承包人应负责修建、维 修、养护和管理其施工所需的全部临时道路和交通设施（包括合同约定由发包人提供的部 分道路和交通设施维修、养护和管理），并承担相应费用。</w:t>
      </w:r>
    </w:p>
    <w:p w14:paraId="43C2A11B">
      <w:pPr>
        <w:pStyle w:val="97"/>
        <w:pageBreakBefore w:val="0"/>
        <w:kinsoku/>
        <w:wordWrap/>
        <w:overflowPunct/>
        <w:topLinePunct w:val="0"/>
        <w:autoSpaceDE/>
        <w:autoSpaceDN/>
        <w:bidi w:val="0"/>
        <w:adjustRightInd/>
        <w:snapToGrid/>
        <w:spacing w:after="140" w:line="37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7.2.2</w:t>
      </w:r>
      <w:r>
        <w:rPr>
          <w:rStyle w:val="32"/>
          <w:color w:val="auto"/>
          <w:highlight w:val="none"/>
        </w:rPr>
        <w:t>承包人修建的临时道路和交通设施，应免费提供发包人、监理人，以及与本合 同有关的其他承包人使用。</w:t>
      </w:r>
    </w:p>
    <w:p w14:paraId="70169AC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66" w:name="bookmark1089"/>
      <w:bookmarkStart w:id="467" w:name="_Toc256000059"/>
      <w:bookmarkStart w:id="468" w:name="bookmark1090"/>
      <w:bookmarkStart w:id="469" w:name="_Toc9625"/>
      <w:bookmarkStart w:id="470" w:name="bookmark1088"/>
      <w:bookmarkStart w:id="471" w:name="_Toc1077"/>
      <w:r>
        <w:rPr>
          <w:rStyle w:val="32"/>
          <w:rFonts w:ascii="宋体" w:hAnsi="宋体" w:cs="Times New Roman"/>
          <w:color w:val="auto"/>
          <w:sz w:val="24"/>
          <w:szCs w:val="24"/>
          <w:highlight w:val="none"/>
          <w:lang w:eastAsia="zh-CN"/>
        </w:rPr>
        <w:t>7.3场外交通</w:t>
      </w:r>
      <w:bookmarkEnd w:id="466"/>
      <w:bookmarkEnd w:id="467"/>
      <w:bookmarkEnd w:id="468"/>
      <w:bookmarkEnd w:id="469"/>
      <w:bookmarkEnd w:id="470"/>
      <w:bookmarkEnd w:id="471"/>
    </w:p>
    <w:p w14:paraId="0B97D47A">
      <w:pPr>
        <w:pStyle w:val="97"/>
        <w:pageBreakBefore w:val="0"/>
        <w:kinsoku/>
        <w:wordWrap/>
        <w:overflowPunct/>
        <w:topLinePunct w:val="0"/>
        <w:autoSpaceDE/>
        <w:autoSpaceDN/>
        <w:bidi w:val="0"/>
        <w:adjustRightInd/>
        <w:snapToGrid/>
        <w:spacing w:line="37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7.3.1</w:t>
      </w:r>
      <w:r>
        <w:rPr>
          <w:rStyle w:val="32"/>
          <w:color w:val="auto"/>
          <w:highlight w:val="none"/>
        </w:rPr>
        <w:t>承包人车辆外出行驶所需的场外公共道路的通行费、养路费和税款等由承包人承担。</w:t>
      </w:r>
    </w:p>
    <w:p w14:paraId="32E73AF0">
      <w:pPr>
        <w:pStyle w:val="97"/>
        <w:pageBreakBefore w:val="0"/>
        <w:kinsoku/>
        <w:wordWrap/>
        <w:overflowPunct/>
        <w:topLinePunct w:val="0"/>
        <w:autoSpaceDE/>
        <w:autoSpaceDN/>
        <w:bidi w:val="0"/>
        <w:adjustRightInd/>
        <w:snapToGrid/>
        <w:spacing w:line="379" w:lineRule="exact"/>
        <w:ind w:firstLine="420"/>
        <w:jc w:val="both"/>
        <w:textAlignment w:val="auto"/>
        <w:outlineLvl w:val="9"/>
        <w:rPr>
          <w:rStyle w:val="32"/>
          <w:color w:val="auto"/>
          <w:highlight w:val="none"/>
        </w:rPr>
      </w:pPr>
      <w:r>
        <w:rPr>
          <w:rStyle w:val="32"/>
          <w:rFonts w:ascii="Times New Roman" w:hAnsi="Times New Roman" w:cs="Times New Roman"/>
          <w:color w:val="auto"/>
          <w:highlight w:val="none"/>
          <w:lang w:val="en-US"/>
        </w:rPr>
        <w:t>7.3.2</w:t>
      </w:r>
      <w:r>
        <w:rPr>
          <w:rStyle w:val="32"/>
          <w:color w:val="auto"/>
          <w:highlight w:val="none"/>
        </w:rPr>
        <w:t>承包人应遵守有关交通法规，严格按照道路和桥梁的限制荷重安全行驶，并服从交通管理部门的检查和监督</w:t>
      </w:r>
      <w:r>
        <w:rPr>
          <w:rStyle w:val="32"/>
          <w:rFonts w:hint="eastAsia"/>
          <w:color w:val="auto"/>
          <w:highlight w:val="none"/>
          <w:lang w:val="en-US"/>
        </w:rPr>
        <w:t>。</w:t>
      </w:r>
    </w:p>
    <w:p w14:paraId="6B43E2EE">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72" w:name="_Toc10137"/>
      <w:bookmarkStart w:id="473" w:name="bookmark1093"/>
      <w:bookmarkStart w:id="474" w:name="bookmark1092"/>
      <w:bookmarkStart w:id="475" w:name="_Toc25595"/>
      <w:bookmarkStart w:id="476" w:name="_Toc256000060"/>
      <w:bookmarkStart w:id="477" w:name="bookmark1091"/>
      <w:r>
        <w:rPr>
          <w:rStyle w:val="32"/>
          <w:rFonts w:ascii="宋体" w:hAnsi="宋体" w:cs="Times New Roman"/>
          <w:color w:val="auto"/>
          <w:sz w:val="24"/>
          <w:szCs w:val="24"/>
          <w:highlight w:val="none"/>
          <w:lang w:eastAsia="zh-CN"/>
        </w:rPr>
        <w:t>7.4超大件和超重件的运输</w:t>
      </w:r>
      <w:bookmarkEnd w:id="472"/>
      <w:bookmarkEnd w:id="473"/>
      <w:bookmarkEnd w:id="474"/>
      <w:bookmarkEnd w:id="475"/>
      <w:bookmarkEnd w:id="476"/>
      <w:bookmarkEnd w:id="477"/>
    </w:p>
    <w:p w14:paraId="418629B8">
      <w:pPr>
        <w:pStyle w:val="97"/>
        <w:pageBreakBefore w:val="0"/>
        <w:kinsoku/>
        <w:wordWrap/>
        <w:overflowPunct/>
        <w:topLinePunct w:val="0"/>
        <w:autoSpaceDE/>
        <w:autoSpaceDN/>
        <w:bidi w:val="0"/>
        <w:adjustRightInd/>
        <w:snapToGrid/>
        <w:spacing w:after="120" w:line="347" w:lineRule="exact"/>
        <w:ind w:firstLine="440"/>
        <w:jc w:val="both"/>
        <w:textAlignment w:val="auto"/>
        <w:outlineLvl w:val="9"/>
        <w:rPr>
          <w:rStyle w:val="32"/>
          <w:color w:val="auto"/>
          <w:highlight w:val="none"/>
        </w:rPr>
      </w:pPr>
      <w:r>
        <w:rPr>
          <w:rStyle w:val="32"/>
          <w:color w:val="auto"/>
          <w:highlight w:val="none"/>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04B71AAE">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78" w:name="bookmark1096"/>
      <w:bookmarkStart w:id="479" w:name="_Toc31023"/>
      <w:bookmarkStart w:id="480" w:name="bookmark1095"/>
      <w:bookmarkStart w:id="481" w:name="_Toc256000061"/>
      <w:bookmarkStart w:id="482" w:name="_Toc19673"/>
      <w:bookmarkStart w:id="483" w:name="bookmark1094"/>
      <w:r>
        <w:rPr>
          <w:rStyle w:val="32"/>
          <w:rFonts w:ascii="宋体" w:hAnsi="宋体" w:cs="Times New Roman"/>
          <w:color w:val="auto"/>
          <w:sz w:val="24"/>
          <w:szCs w:val="24"/>
          <w:highlight w:val="none"/>
          <w:lang w:eastAsia="zh-CN"/>
        </w:rPr>
        <w:t>7.5道路和桥梁的损坏责任</w:t>
      </w:r>
      <w:bookmarkEnd w:id="478"/>
      <w:bookmarkEnd w:id="479"/>
      <w:bookmarkEnd w:id="480"/>
      <w:bookmarkEnd w:id="481"/>
      <w:bookmarkEnd w:id="482"/>
      <w:bookmarkEnd w:id="483"/>
    </w:p>
    <w:p w14:paraId="7567E62B">
      <w:pPr>
        <w:pStyle w:val="97"/>
        <w:pageBreakBefore w:val="0"/>
        <w:kinsoku/>
        <w:wordWrap/>
        <w:overflowPunct/>
        <w:topLinePunct w:val="0"/>
        <w:autoSpaceDE/>
        <w:autoSpaceDN/>
        <w:bidi w:val="0"/>
        <w:adjustRightInd/>
        <w:snapToGrid/>
        <w:spacing w:after="120" w:line="353" w:lineRule="exact"/>
        <w:ind w:firstLine="440"/>
        <w:jc w:val="both"/>
        <w:textAlignment w:val="auto"/>
        <w:outlineLvl w:val="9"/>
        <w:rPr>
          <w:rStyle w:val="32"/>
          <w:color w:val="auto"/>
          <w:highlight w:val="none"/>
        </w:rPr>
      </w:pPr>
      <w:r>
        <w:rPr>
          <w:rStyle w:val="32"/>
          <w:color w:val="auto"/>
          <w:highlight w:val="none"/>
        </w:rPr>
        <w:t>因承包人运输造成施工场地内外公共道路和桥梁损坏的，由承包人承担修复损坏的全部费用和可能引起的赔偿。</w:t>
      </w:r>
    </w:p>
    <w:p w14:paraId="49C94E4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84" w:name="_Toc30116"/>
      <w:bookmarkStart w:id="485" w:name="bookmark1098"/>
      <w:bookmarkStart w:id="486" w:name="_Toc32607"/>
      <w:bookmarkStart w:id="487" w:name="bookmark1099"/>
      <w:bookmarkStart w:id="488" w:name="bookmark1097"/>
      <w:bookmarkStart w:id="489" w:name="_Toc256000062"/>
      <w:r>
        <w:rPr>
          <w:rStyle w:val="32"/>
          <w:rFonts w:ascii="宋体" w:hAnsi="宋体" w:cs="Times New Roman"/>
          <w:color w:val="auto"/>
          <w:sz w:val="24"/>
          <w:szCs w:val="24"/>
          <w:highlight w:val="none"/>
          <w:lang w:eastAsia="zh-CN"/>
        </w:rPr>
        <w:t>7.6水路和航空运输</w:t>
      </w:r>
      <w:bookmarkEnd w:id="484"/>
      <w:bookmarkEnd w:id="485"/>
      <w:bookmarkEnd w:id="486"/>
      <w:bookmarkEnd w:id="487"/>
      <w:bookmarkEnd w:id="488"/>
      <w:bookmarkEnd w:id="489"/>
    </w:p>
    <w:p w14:paraId="67166E3F">
      <w:pPr>
        <w:pStyle w:val="97"/>
        <w:pageBreakBefore w:val="0"/>
        <w:kinsoku/>
        <w:wordWrap/>
        <w:overflowPunct/>
        <w:topLinePunct w:val="0"/>
        <w:autoSpaceDE/>
        <w:autoSpaceDN/>
        <w:bidi w:val="0"/>
        <w:adjustRightInd/>
        <w:snapToGrid/>
        <w:spacing w:after="260" w:line="350" w:lineRule="exact"/>
        <w:ind w:firstLine="440"/>
        <w:jc w:val="both"/>
        <w:textAlignment w:val="auto"/>
        <w:outlineLvl w:val="9"/>
        <w:rPr>
          <w:rStyle w:val="32"/>
          <w:color w:val="auto"/>
          <w:highlight w:val="none"/>
        </w:rPr>
      </w:pPr>
      <w:r>
        <w:rPr>
          <w:rStyle w:val="32"/>
          <w:color w:val="auto"/>
          <w:highlight w:val="none"/>
        </w:rPr>
        <w:t>本条上述各款的内容适用于水路运输和航空运输，其中“道路” 一词的涵义包括河道、 航线、船闸、机场、码头、堤防以及水路或航空运输中其他相似结构物；“车辆” 一词的涵义包括船舶和飞机等。</w:t>
      </w:r>
    </w:p>
    <w:p w14:paraId="6BC9EE92">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490" w:name="bookmark1102"/>
      <w:bookmarkEnd w:id="490"/>
      <w:bookmarkStart w:id="491" w:name="_Toc14055"/>
      <w:bookmarkStart w:id="492" w:name="_Toc256000063"/>
      <w:bookmarkStart w:id="493" w:name="bookmark1101"/>
      <w:bookmarkStart w:id="494" w:name="bookmark1100"/>
      <w:bookmarkStart w:id="495" w:name="bookmark1103"/>
      <w:bookmarkStart w:id="496" w:name="_Toc7491"/>
      <w:r>
        <w:rPr>
          <w:rStyle w:val="32"/>
          <w:rFonts w:hint="eastAsia" w:cs="Times New Roman"/>
          <w:color w:val="auto"/>
          <w:highlight w:val="none"/>
          <w:lang w:eastAsia="zh-CN"/>
        </w:rPr>
        <w:t>8.测量放线</w:t>
      </w:r>
      <w:bookmarkEnd w:id="491"/>
      <w:bookmarkEnd w:id="492"/>
      <w:bookmarkEnd w:id="493"/>
      <w:bookmarkEnd w:id="494"/>
      <w:bookmarkEnd w:id="495"/>
      <w:bookmarkEnd w:id="496"/>
    </w:p>
    <w:p w14:paraId="03FC57A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497" w:name="bookmark1106"/>
      <w:bookmarkStart w:id="498" w:name="bookmark1105"/>
      <w:bookmarkStart w:id="499" w:name="bookmark1104"/>
      <w:bookmarkStart w:id="500" w:name="_Toc256000064"/>
      <w:bookmarkStart w:id="501" w:name="_Toc16690"/>
      <w:bookmarkStart w:id="502" w:name="_Toc7125"/>
      <w:r>
        <w:rPr>
          <w:rStyle w:val="32"/>
          <w:rFonts w:ascii="宋体" w:hAnsi="宋体" w:cs="Times New Roman"/>
          <w:color w:val="auto"/>
          <w:sz w:val="24"/>
          <w:szCs w:val="24"/>
          <w:highlight w:val="none"/>
          <w:lang w:eastAsia="zh-CN"/>
        </w:rPr>
        <w:t>8.1施工控制网</w:t>
      </w:r>
      <w:bookmarkEnd w:id="497"/>
      <w:bookmarkEnd w:id="498"/>
      <w:bookmarkEnd w:id="499"/>
      <w:bookmarkEnd w:id="500"/>
      <w:bookmarkEnd w:id="501"/>
      <w:bookmarkEnd w:id="502"/>
    </w:p>
    <w:p w14:paraId="1060BA42">
      <w:pPr>
        <w:pStyle w:val="97"/>
        <w:pageBreakBefore w:val="0"/>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8.1.1</w:t>
      </w:r>
      <w:r>
        <w:rPr>
          <w:rStyle w:val="32"/>
          <w:color w:val="auto"/>
          <w:highlight w:val="none"/>
        </w:rPr>
        <w:t>除专用条款另有约定外，施工控制网由承包人负责测设，发包人应在本合同协议书签订后的</w:t>
      </w:r>
      <w:r>
        <w:rPr>
          <w:rStyle w:val="32"/>
          <w:rFonts w:ascii="Times New Roman" w:hAnsi="Times New Roman" w:eastAsia="Times New Roman" w:cs="Times New Roman"/>
          <w:color w:val="auto"/>
          <w:highlight w:val="none"/>
        </w:rPr>
        <w:t>14</w:t>
      </w:r>
      <w:r>
        <w:rPr>
          <w:rStyle w:val="32"/>
          <w:color w:val="auto"/>
          <w:highlight w:val="none"/>
        </w:rPr>
        <w:t>天内，向承包人提供测量基准点、基准线和水准点及其相关资料。承包人应在收到上述资料后的</w:t>
      </w:r>
      <w:r>
        <w:rPr>
          <w:rStyle w:val="32"/>
          <w:rFonts w:ascii="Times New Roman" w:hAnsi="Times New Roman" w:eastAsia="Times New Roman" w:cs="Times New Roman"/>
          <w:color w:val="auto"/>
          <w:highlight w:val="none"/>
        </w:rPr>
        <w:t>28</w:t>
      </w:r>
      <w:r>
        <w:rPr>
          <w:rStyle w:val="32"/>
          <w:color w:val="auto"/>
          <w:highlight w:val="none"/>
        </w:rPr>
        <w:t>天内，将施测的施工控制网资料提交监理人审批。监理人应在收到报批件后的</w:t>
      </w:r>
      <w:r>
        <w:rPr>
          <w:rStyle w:val="32"/>
          <w:rFonts w:ascii="Times New Roman" w:hAnsi="Times New Roman" w:eastAsia="Times New Roman" w:cs="Times New Roman"/>
          <w:color w:val="auto"/>
          <w:highlight w:val="none"/>
        </w:rPr>
        <w:t>14</w:t>
      </w:r>
      <w:r>
        <w:rPr>
          <w:rStyle w:val="32"/>
          <w:color w:val="auto"/>
          <w:highlight w:val="none"/>
        </w:rPr>
        <w:t>天内批复承包人。</w:t>
      </w:r>
    </w:p>
    <w:p w14:paraId="40B20A24">
      <w:pPr>
        <w:pStyle w:val="97"/>
        <w:pageBreakBefore w:val="0"/>
        <w:kinsoku/>
        <w:wordWrap/>
        <w:overflowPunct/>
        <w:topLinePunct w:val="0"/>
        <w:autoSpaceDE/>
        <w:autoSpaceDN/>
        <w:bidi w:val="0"/>
        <w:adjustRightInd/>
        <w:snapToGrid/>
        <w:spacing w:after="120" w:line="35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8.1.2</w:t>
      </w:r>
      <w:r>
        <w:rPr>
          <w:rStyle w:val="32"/>
          <w:color w:val="auto"/>
          <w:highlight w:val="none"/>
        </w:rPr>
        <w:t>承包人应负责管理施工控制网点。施工控制网点丢失或损坏的，承包人应及时修复。承包人应承担施工控制网点的管理与修复费用，并在工程竣工后将施工控制网点移交发包人。</w:t>
      </w:r>
    </w:p>
    <w:p w14:paraId="4468C89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03" w:name="_Toc8732"/>
      <w:bookmarkStart w:id="504" w:name="bookmark1107"/>
      <w:bookmarkStart w:id="505" w:name="bookmark1109"/>
      <w:bookmarkStart w:id="506" w:name="bookmark1108"/>
      <w:bookmarkStart w:id="507" w:name="_Toc256000065"/>
      <w:bookmarkStart w:id="508" w:name="_Toc28033"/>
      <w:r>
        <w:rPr>
          <w:rStyle w:val="32"/>
          <w:rFonts w:ascii="宋体" w:hAnsi="宋体" w:cs="Times New Roman"/>
          <w:color w:val="auto"/>
          <w:sz w:val="24"/>
          <w:szCs w:val="24"/>
          <w:highlight w:val="none"/>
          <w:lang w:eastAsia="zh-CN"/>
        </w:rPr>
        <w:t>8.2施工测量</w:t>
      </w:r>
      <w:bookmarkEnd w:id="503"/>
      <w:bookmarkEnd w:id="504"/>
      <w:bookmarkEnd w:id="505"/>
      <w:bookmarkEnd w:id="506"/>
      <w:bookmarkEnd w:id="507"/>
      <w:bookmarkEnd w:id="508"/>
    </w:p>
    <w:p w14:paraId="51C2F212">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8.2.1</w:t>
      </w:r>
      <w:r>
        <w:rPr>
          <w:rStyle w:val="32"/>
          <w:color w:val="auto"/>
          <w:highlight w:val="none"/>
        </w:rPr>
        <w:t>承包人应负责施工过程中的全部施工测量放线工作，并配置合格的人员、仪 器、设备和其他物品。</w:t>
      </w:r>
    </w:p>
    <w:p w14:paraId="2AC8D0DD">
      <w:pPr>
        <w:pStyle w:val="97"/>
        <w:pageBreakBefore w:val="0"/>
        <w:kinsoku/>
        <w:wordWrap/>
        <w:overflowPunct/>
        <w:topLinePunct w:val="0"/>
        <w:autoSpaceDE/>
        <w:autoSpaceDN/>
        <w:bidi w:val="0"/>
        <w:adjustRightInd/>
        <w:snapToGrid/>
        <w:spacing w:after="120"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8.2.2</w:t>
      </w:r>
      <w:r>
        <w:rPr>
          <w:rStyle w:val="32"/>
          <w:color w:val="auto"/>
          <w:highlight w:val="none"/>
        </w:rPr>
        <w:t>监理人可以指示承包人进行抽样复测，当复测中发现错误或出现超过合同约定的误差时，承包人应按监理人指示进行修正或补测，并承担相应的复测费用。</w:t>
      </w:r>
    </w:p>
    <w:p w14:paraId="4BCCF06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09" w:name="bookmark1112"/>
      <w:bookmarkStart w:id="510" w:name="bookmark1110"/>
      <w:bookmarkStart w:id="511" w:name="_Toc256000066"/>
      <w:bookmarkStart w:id="512" w:name="_Toc18249"/>
      <w:bookmarkStart w:id="513" w:name="_Toc2222"/>
      <w:bookmarkStart w:id="514" w:name="bookmark1111"/>
      <w:r>
        <w:rPr>
          <w:rStyle w:val="32"/>
          <w:rFonts w:ascii="宋体" w:hAnsi="宋体" w:cs="Times New Roman"/>
          <w:color w:val="auto"/>
          <w:sz w:val="24"/>
          <w:szCs w:val="24"/>
          <w:highlight w:val="none"/>
          <w:lang w:eastAsia="zh-CN"/>
        </w:rPr>
        <w:t>8.3基准资料错误的责任</w:t>
      </w:r>
      <w:bookmarkEnd w:id="509"/>
      <w:bookmarkEnd w:id="510"/>
      <w:bookmarkEnd w:id="511"/>
      <w:bookmarkEnd w:id="512"/>
      <w:bookmarkEnd w:id="513"/>
      <w:bookmarkEnd w:id="514"/>
    </w:p>
    <w:p w14:paraId="2E03317B">
      <w:pPr>
        <w:pStyle w:val="97"/>
        <w:pageBreakBefore w:val="0"/>
        <w:kinsoku/>
        <w:wordWrap/>
        <w:overflowPunct/>
        <w:topLinePunct w:val="0"/>
        <w:autoSpaceDE/>
        <w:autoSpaceDN/>
        <w:bidi w:val="0"/>
        <w:adjustRightInd/>
        <w:snapToGrid/>
        <w:spacing w:after="120" w:line="349" w:lineRule="exact"/>
        <w:ind w:firstLine="440"/>
        <w:jc w:val="both"/>
        <w:textAlignment w:val="auto"/>
        <w:outlineLvl w:val="9"/>
        <w:rPr>
          <w:rStyle w:val="32"/>
          <w:color w:val="auto"/>
          <w:highlight w:val="none"/>
        </w:rPr>
      </w:pPr>
      <w:r>
        <w:rPr>
          <w:rStyle w:val="32"/>
          <w:color w:val="auto"/>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189D8A3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15" w:name="_Toc24310"/>
      <w:bookmarkStart w:id="516" w:name="_Toc256000067"/>
      <w:bookmarkStart w:id="517" w:name="bookmark1114"/>
      <w:bookmarkStart w:id="518" w:name="bookmark1115"/>
      <w:bookmarkStart w:id="519" w:name="_Toc26810"/>
      <w:bookmarkStart w:id="520" w:name="bookmark1113"/>
      <w:r>
        <w:rPr>
          <w:rStyle w:val="32"/>
          <w:rFonts w:ascii="宋体" w:hAnsi="宋体" w:cs="Times New Roman"/>
          <w:color w:val="auto"/>
          <w:sz w:val="24"/>
          <w:szCs w:val="24"/>
          <w:highlight w:val="none"/>
          <w:lang w:eastAsia="zh-CN"/>
        </w:rPr>
        <w:t>8.4监理人使用施工控制网</w:t>
      </w:r>
      <w:bookmarkEnd w:id="515"/>
      <w:bookmarkEnd w:id="516"/>
      <w:bookmarkEnd w:id="517"/>
      <w:bookmarkEnd w:id="518"/>
      <w:bookmarkEnd w:id="519"/>
      <w:bookmarkEnd w:id="520"/>
    </w:p>
    <w:p w14:paraId="2A5DD263">
      <w:pPr>
        <w:pStyle w:val="97"/>
        <w:pageBreakBefore w:val="0"/>
        <w:kinsoku/>
        <w:wordWrap/>
        <w:overflowPunct/>
        <w:topLinePunct w:val="0"/>
        <w:autoSpaceDE/>
        <w:autoSpaceDN/>
        <w:bidi w:val="0"/>
        <w:adjustRightInd/>
        <w:snapToGrid/>
        <w:spacing w:after="120" w:line="351" w:lineRule="exact"/>
        <w:ind w:firstLine="440"/>
        <w:jc w:val="both"/>
        <w:textAlignment w:val="auto"/>
        <w:outlineLvl w:val="9"/>
        <w:rPr>
          <w:rStyle w:val="32"/>
          <w:color w:val="auto"/>
          <w:highlight w:val="none"/>
        </w:rPr>
      </w:pPr>
      <w:r>
        <w:rPr>
          <w:rStyle w:val="32"/>
          <w:color w:val="auto"/>
          <w:highlight w:val="none"/>
        </w:rPr>
        <w:t>监理人需要使用施工控制网的，承包人应提供必要的协助，发包人不再为此支付费用。</w:t>
      </w:r>
    </w:p>
    <w:p w14:paraId="6FEEBDF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21" w:name="_Toc3157"/>
      <w:bookmarkStart w:id="522" w:name="bookmark1116"/>
      <w:bookmarkStart w:id="523" w:name="bookmark1117"/>
      <w:bookmarkStart w:id="524" w:name="_Toc256000068"/>
      <w:bookmarkStart w:id="525" w:name="bookmark1118"/>
      <w:bookmarkStart w:id="526" w:name="_Toc26237"/>
      <w:r>
        <w:rPr>
          <w:rStyle w:val="32"/>
          <w:rFonts w:ascii="宋体" w:hAnsi="宋体" w:cs="Times New Roman"/>
          <w:color w:val="auto"/>
          <w:sz w:val="24"/>
          <w:szCs w:val="24"/>
          <w:highlight w:val="none"/>
          <w:lang w:eastAsia="zh-CN"/>
        </w:rPr>
        <w:t>8.5补充地质勘探</w:t>
      </w:r>
      <w:bookmarkEnd w:id="521"/>
      <w:bookmarkEnd w:id="522"/>
      <w:bookmarkEnd w:id="523"/>
      <w:bookmarkEnd w:id="524"/>
      <w:bookmarkEnd w:id="525"/>
      <w:bookmarkEnd w:id="526"/>
    </w:p>
    <w:p w14:paraId="50C95E07">
      <w:pPr>
        <w:pStyle w:val="97"/>
        <w:pageBreakBefore w:val="0"/>
        <w:kinsoku/>
        <w:wordWrap/>
        <w:overflowPunct/>
        <w:topLinePunct w:val="0"/>
        <w:autoSpaceDE/>
        <w:autoSpaceDN/>
        <w:bidi w:val="0"/>
        <w:adjustRightInd/>
        <w:snapToGrid/>
        <w:spacing w:after="300" w:line="349" w:lineRule="exact"/>
        <w:ind w:firstLine="440"/>
        <w:jc w:val="both"/>
        <w:textAlignment w:val="auto"/>
        <w:outlineLvl w:val="9"/>
        <w:rPr>
          <w:rStyle w:val="32"/>
          <w:color w:val="auto"/>
          <w:highlight w:val="none"/>
        </w:rPr>
      </w:pPr>
      <w:r>
        <w:rPr>
          <w:rStyle w:val="32"/>
          <w:color w:val="auto"/>
          <w:highlight w:val="none"/>
        </w:rPr>
        <w:t>在合同实施期间，监理人可以指示承包人进行必要的补充地质勘探和提供有关资料; 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6A8CC53F">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527" w:name="bookmark1121"/>
      <w:bookmarkEnd w:id="527"/>
      <w:bookmarkStart w:id="528" w:name="_Toc15267"/>
      <w:bookmarkStart w:id="529" w:name="bookmark1119"/>
      <w:bookmarkStart w:id="530" w:name="bookmark1122"/>
      <w:bookmarkStart w:id="531" w:name="_Toc18693"/>
      <w:bookmarkStart w:id="532" w:name="_Toc256000069"/>
      <w:bookmarkStart w:id="533" w:name="bookmark1120"/>
      <w:r>
        <w:rPr>
          <w:rStyle w:val="32"/>
          <w:rFonts w:hint="eastAsia" w:cs="Times New Roman"/>
          <w:color w:val="auto"/>
          <w:highlight w:val="none"/>
          <w:lang w:eastAsia="zh-CN"/>
        </w:rPr>
        <w:t>9.施工安全、治安保卫和环境保护</w:t>
      </w:r>
      <w:bookmarkEnd w:id="528"/>
      <w:bookmarkEnd w:id="529"/>
      <w:bookmarkEnd w:id="530"/>
      <w:bookmarkEnd w:id="531"/>
      <w:bookmarkEnd w:id="532"/>
      <w:bookmarkEnd w:id="533"/>
    </w:p>
    <w:p w14:paraId="167EB5E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34" w:name="bookmark1123"/>
      <w:bookmarkStart w:id="535" w:name="bookmark1124"/>
      <w:bookmarkStart w:id="536" w:name="bookmark1125"/>
      <w:bookmarkStart w:id="537" w:name="_Toc256000070"/>
      <w:bookmarkStart w:id="538" w:name="_Toc13008"/>
      <w:bookmarkStart w:id="539" w:name="_Toc1087"/>
      <w:r>
        <w:rPr>
          <w:rStyle w:val="32"/>
          <w:rFonts w:ascii="宋体" w:hAnsi="宋体" w:cs="Times New Roman"/>
          <w:color w:val="auto"/>
          <w:sz w:val="24"/>
          <w:szCs w:val="24"/>
          <w:highlight w:val="none"/>
          <w:lang w:eastAsia="zh-CN"/>
        </w:rPr>
        <w:t>9.1发包人的施工安全责任</w:t>
      </w:r>
      <w:bookmarkEnd w:id="534"/>
      <w:bookmarkEnd w:id="535"/>
      <w:bookmarkEnd w:id="536"/>
      <w:bookmarkEnd w:id="537"/>
      <w:bookmarkEnd w:id="538"/>
      <w:bookmarkEnd w:id="539"/>
    </w:p>
    <w:p w14:paraId="03471F6F">
      <w:pPr>
        <w:pStyle w:val="97"/>
        <w:pageBreakBefore w:val="0"/>
        <w:kinsoku/>
        <w:wordWrap/>
        <w:overflowPunct/>
        <w:topLinePunct w:val="0"/>
        <w:autoSpaceDE/>
        <w:autoSpaceDN/>
        <w:bidi w:val="0"/>
        <w:adjustRightInd/>
        <w:snapToGrid/>
        <w:spacing w:line="359"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9.1.1</w:t>
      </w:r>
      <w:r>
        <w:rPr>
          <w:rStyle w:val="32"/>
          <w:rFonts w:ascii="Times New Roman" w:hAnsi="Times New Roman" w:cs="Times New Roman"/>
          <w:color w:val="auto"/>
          <w:highlight w:val="none"/>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07585292">
      <w:pPr>
        <w:pStyle w:val="97"/>
        <w:pageBreakBefore w:val="0"/>
        <w:kinsoku/>
        <w:wordWrap/>
        <w:overflowPunct/>
        <w:topLinePunct w:val="0"/>
        <w:autoSpaceDE/>
        <w:autoSpaceDN/>
        <w:bidi w:val="0"/>
        <w:adjustRightInd/>
        <w:snapToGrid/>
        <w:spacing w:line="377"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9.1.2</w:t>
      </w:r>
      <w:r>
        <w:rPr>
          <w:rStyle w:val="32"/>
          <w:rFonts w:ascii="Times New Roman" w:hAnsi="Times New Roman" w:cs="Times New Roman"/>
          <w:color w:val="auto"/>
          <w:highlight w:val="none"/>
        </w:rPr>
        <w:t>发包人应对其现场机构雇佣的全部人员的工伤事故承担责任，但由于承包人原因造成发包人人员工伤的，应由承包人承担责任。</w:t>
      </w:r>
    </w:p>
    <w:p w14:paraId="4E2C8649">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 xml:space="preserve">9. 1. </w:t>
      </w:r>
      <w:r>
        <w:rPr>
          <w:rStyle w:val="32"/>
          <w:rFonts w:ascii="Times New Roman" w:hAnsi="Times New Roman" w:eastAsia="Times New Roman" w:cs="Times New Roman"/>
          <w:color w:val="auto"/>
          <w:highlight w:val="none"/>
        </w:rPr>
        <w:t>3</w:t>
      </w:r>
      <w:r>
        <w:rPr>
          <w:rStyle w:val="32"/>
          <w:rFonts w:ascii="Times New Roman" w:hAnsi="Times New Roman" w:cs="Times New Roman"/>
          <w:color w:val="auto"/>
          <w:highlight w:val="none"/>
        </w:rPr>
        <w:t>发包人应负责赔偿以下各种情况造成的第三者人身伤亡和财产损失：</w:t>
      </w:r>
    </w:p>
    <w:p w14:paraId="41FAEF1B">
      <w:pPr>
        <w:pStyle w:val="97"/>
        <w:pageBreakBefore w:val="0"/>
        <w:numPr>
          <w:ilvl w:val="0"/>
          <w:numId w:val="10"/>
        </w:numPr>
        <w:tabs>
          <w:tab w:val="left" w:pos="898"/>
        </w:tabs>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bookmarkStart w:id="540" w:name="bookmark1126"/>
      <w:bookmarkEnd w:id="540"/>
      <w:r>
        <w:rPr>
          <w:rStyle w:val="32"/>
          <w:rFonts w:ascii="Times New Roman" w:hAnsi="Times New Roman" w:cs="Times New Roman"/>
          <w:color w:val="auto"/>
          <w:highlight w:val="none"/>
        </w:rPr>
        <w:t>工程或工程的任何部分对土地的占用所造成的第三者财产损失；</w:t>
      </w:r>
    </w:p>
    <w:p w14:paraId="1ED934C3">
      <w:pPr>
        <w:pStyle w:val="97"/>
        <w:pageBreakBefore w:val="0"/>
        <w:numPr>
          <w:ilvl w:val="0"/>
          <w:numId w:val="10"/>
        </w:numPr>
        <w:tabs>
          <w:tab w:val="left" w:pos="898"/>
        </w:tabs>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bookmarkStart w:id="541" w:name="bookmark1127"/>
      <w:bookmarkEnd w:id="541"/>
      <w:r>
        <w:rPr>
          <w:rStyle w:val="32"/>
          <w:rFonts w:ascii="Times New Roman" w:hAnsi="Times New Roman" w:cs="Times New Roman"/>
          <w:color w:val="auto"/>
          <w:highlight w:val="none"/>
        </w:rPr>
        <w:t>由于发包人原因在施工场地及其毗邻地带造成的第三者人身伤亡和财产损失。</w:t>
      </w:r>
    </w:p>
    <w:p w14:paraId="38D221EC">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9.1.4</w:t>
      </w:r>
      <w:r>
        <w:rPr>
          <w:rStyle w:val="32"/>
          <w:color w:val="auto"/>
          <w:highlight w:val="none"/>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721D1BC2">
      <w:pPr>
        <w:pStyle w:val="97"/>
        <w:pageBreakBefore w:val="0"/>
        <w:kinsoku/>
        <w:wordWrap/>
        <w:overflowPunct/>
        <w:topLinePunct w:val="0"/>
        <w:autoSpaceDE/>
        <w:autoSpaceDN/>
        <w:bidi w:val="0"/>
        <w:adjustRightInd/>
        <w:snapToGrid/>
        <w:spacing w:line="37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9.1.5</w:t>
      </w:r>
      <w:r>
        <w:rPr>
          <w:rStyle w:val="32"/>
          <w:color w:val="auto"/>
          <w:highlight w:val="none"/>
        </w:rPr>
        <w:t>发包人按照已标价工程量清单所列金额和合同约定的计量支付规定，支付安全作业环境及安全施工措施所需费用。</w:t>
      </w:r>
    </w:p>
    <w:p w14:paraId="1FEFD95B">
      <w:pPr>
        <w:pStyle w:val="97"/>
        <w:pageBreakBefore w:val="0"/>
        <w:kinsoku/>
        <w:wordWrap/>
        <w:overflowPunct/>
        <w:topLinePunct w:val="0"/>
        <w:autoSpaceDE/>
        <w:autoSpaceDN/>
        <w:bidi w:val="0"/>
        <w:adjustRightInd/>
        <w:snapToGrid/>
        <w:spacing w:line="37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9.1.6</w:t>
      </w:r>
      <w:r>
        <w:rPr>
          <w:rStyle w:val="32"/>
          <w:color w:val="auto"/>
          <w:highlight w:val="none"/>
        </w:rPr>
        <w:t>发包人负责组织工程参建单位编制保证安全生产的措施方案。工程开工前，就 落实安全生产的措施进行全面系统的布置，进一步明确承包人的安全生产责任。</w:t>
      </w:r>
    </w:p>
    <w:p w14:paraId="67D8F01D">
      <w:pPr>
        <w:pStyle w:val="97"/>
        <w:pageBreakBefore w:val="0"/>
        <w:kinsoku/>
        <w:wordWrap/>
        <w:overflowPunct/>
        <w:topLinePunct w:val="0"/>
        <w:autoSpaceDE/>
        <w:autoSpaceDN/>
        <w:bidi w:val="0"/>
        <w:adjustRightInd/>
        <w:snapToGrid/>
        <w:spacing w:after="160" w:line="37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9.1</w:t>
      </w:r>
      <w:r>
        <w:rPr>
          <w:rStyle w:val="32"/>
          <w:rFonts w:hint="eastAsia" w:ascii="Times New Roman" w:hAnsi="Times New Roman" w:cs="Times New Roman"/>
          <w:color w:val="auto"/>
          <w:highlight w:val="none"/>
          <w:lang w:val="en-US" w:bidi="en-US"/>
        </w:rPr>
        <w:t>.7</w:t>
      </w:r>
      <w:r>
        <w:rPr>
          <w:rStyle w:val="32"/>
          <w:color w:val="auto"/>
          <w:highlight w:val="none"/>
        </w:rPr>
        <w:t>发包人负责在拆除工程和爆破工程施工</w:t>
      </w:r>
      <w:r>
        <w:rPr>
          <w:rStyle w:val="32"/>
          <w:rFonts w:ascii="Times New Roman" w:hAnsi="Times New Roman" w:eastAsia="Times New Roman" w:cs="Times New Roman"/>
          <w:color w:val="auto"/>
          <w:highlight w:val="none"/>
        </w:rPr>
        <w:t>14</w:t>
      </w:r>
      <w:r>
        <w:rPr>
          <w:rStyle w:val="32"/>
          <w:color w:val="auto"/>
          <w:highlight w:val="none"/>
        </w:rPr>
        <w:t>天前向有关部门或机构报送相关备案资料。</w:t>
      </w:r>
    </w:p>
    <w:p w14:paraId="0F7338B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42" w:name="bookmark1129"/>
      <w:bookmarkStart w:id="543" w:name="bookmark1128"/>
      <w:bookmarkStart w:id="544" w:name="_Toc32671"/>
      <w:bookmarkStart w:id="545" w:name="_Toc920"/>
      <w:bookmarkStart w:id="546" w:name="_Toc256000071"/>
      <w:bookmarkStart w:id="547" w:name="bookmark1130"/>
      <w:r>
        <w:rPr>
          <w:rStyle w:val="32"/>
          <w:rFonts w:ascii="宋体" w:hAnsi="宋体" w:cs="Times New Roman"/>
          <w:color w:val="auto"/>
          <w:sz w:val="24"/>
          <w:szCs w:val="24"/>
          <w:highlight w:val="none"/>
          <w:lang w:eastAsia="zh-CN"/>
        </w:rPr>
        <w:t>9.2承包人的施工安全责任</w:t>
      </w:r>
      <w:bookmarkEnd w:id="542"/>
      <w:bookmarkEnd w:id="543"/>
      <w:bookmarkEnd w:id="544"/>
      <w:bookmarkEnd w:id="545"/>
      <w:bookmarkEnd w:id="546"/>
      <w:bookmarkEnd w:id="547"/>
    </w:p>
    <w:p w14:paraId="6CEF2B41">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9.2.1</w:t>
      </w:r>
      <w:r>
        <w:rPr>
          <w:rStyle w:val="32"/>
          <w:color w:val="auto"/>
          <w:highlight w:val="none"/>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ACC4618">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9.2.2</w:t>
      </w:r>
      <w:r>
        <w:rPr>
          <w:rStyle w:val="32"/>
          <w:color w:val="auto"/>
          <w:highlight w:val="none"/>
        </w:rPr>
        <w:t>承包人应加强施工作业安全管理，特别应加强易燃、易爆材料、火工器材、有毒与腐蚀性材料和其他危险品的管理，以及对爆破作业和地下工程施工等危险作业的管理。</w:t>
      </w:r>
    </w:p>
    <w:p w14:paraId="52C09286">
      <w:pPr>
        <w:pStyle w:val="97"/>
        <w:pageBreakBefore w:val="0"/>
        <w:kinsoku/>
        <w:wordWrap/>
        <w:overflowPunct/>
        <w:topLinePunct w:val="0"/>
        <w:autoSpaceDE/>
        <w:autoSpaceDN/>
        <w:bidi w:val="0"/>
        <w:adjustRightInd/>
        <w:snapToGrid/>
        <w:spacing w:line="363"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9.2.3</w:t>
      </w:r>
      <w:r>
        <w:rPr>
          <w:rStyle w:val="32"/>
          <w:color w:val="auto"/>
          <w:highlight w:val="none"/>
        </w:rPr>
        <w:t>承包人应严格按照国家安全标准制定施工安全操作规程，配备必要的安全生产 和劳动保护设施，加强对承包人人员的安全教育，并发放安全工作手册和劳动保护用具。</w:t>
      </w:r>
    </w:p>
    <w:p w14:paraId="159D2BD5">
      <w:pPr>
        <w:pStyle w:val="97"/>
        <w:pageBreakBefore w:val="0"/>
        <w:kinsoku/>
        <w:wordWrap/>
        <w:overflowPunct/>
        <w:topLinePunct w:val="0"/>
        <w:autoSpaceDE/>
        <w:autoSpaceDN/>
        <w:bidi w:val="0"/>
        <w:adjustRightInd/>
        <w:snapToGrid/>
        <w:spacing w:line="36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9. 2.4</w:t>
      </w:r>
      <w:r>
        <w:rPr>
          <w:rStyle w:val="32"/>
          <w:color w:val="auto"/>
          <w:highlight w:val="none"/>
        </w:rPr>
        <w:t>承包人应按监理人的指示制定应对灾害的紧急预案，报送监理人审批。承包人还应按预案做好安全检查，配置必要的救助物资和器材，切实保护好有关人员的人身和财产安全。</w:t>
      </w:r>
    </w:p>
    <w:p w14:paraId="2B9736EB">
      <w:pPr>
        <w:pStyle w:val="97"/>
        <w:pageBreakBefore w:val="0"/>
        <w:kinsoku/>
        <w:wordWrap/>
        <w:overflowPunct/>
        <w:topLinePunct w:val="0"/>
        <w:autoSpaceDE/>
        <w:autoSpaceDN/>
        <w:bidi w:val="0"/>
        <w:adjustRightInd/>
        <w:snapToGrid/>
        <w:spacing w:line="35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9.2.5</w:t>
      </w:r>
      <w:r>
        <w:rPr>
          <w:rStyle w:val="32"/>
          <w:color w:val="auto"/>
          <w:highlight w:val="none"/>
        </w:rPr>
        <w:t>合同约定的安全作业环境及安全施工措施所需费用应遵守有关规定，并包括在相关工作的合同价格中。因采取合同未约定的安全作业环境及安全施工措施增加的费用，由监理人按第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w:t>
      </w:r>
    </w:p>
    <w:p w14:paraId="5CFFD823">
      <w:pPr>
        <w:pStyle w:val="97"/>
        <w:pageBreakBefore w:val="0"/>
        <w:kinsoku/>
        <w:wordWrap/>
        <w:overflowPunct/>
        <w:topLinePunct w:val="0"/>
        <w:autoSpaceDE/>
        <w:autoSpaceDN/>
        <w:bidi w:val="0"/>
        <w:adjustRightInd/>
        <w:snapToGrid/>
        <w:spacing w:line="356"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9.2.6</w:t>
      </w:r>
      <w:r>
        <w:rPr>
          <w:rStyle w:val="32"/>
          <w:color w:val="auto"/>
          <w:highlight w:val="none"/>
        </w:rPr>
        <w:t>承包人应对其履行合同所雇佣的全部人员，包括分包人人员的工伤事故承担责任，但由于发包人原因造成承包人人员工伤事故的，应由发包人承担责任。</w:t>
      </w:r>
    </w:p>
    <w:p w14:paraId="426C3828">
      <w:pPr>
        <w:pStyle w:val="97"/>
        <w:pageBreakBefore w:val="0"/>
        <w:kinsoku/>
        <w:wordWrap/>
        <w:overflowPunct/>
        <w:topLinePunct w:val="0"/>
        <w:autoSpaceDE/>
        <w:autoSpaceDN/>
        <w:bidi w:val="0"/>
        <w:adjustRightInd/>
        <w:snapToGrid/>
        <w:spacing w:line="37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w:t>
      </w:r>
      <w:r>
        <w:rPr>
          <w:rStyle w:val="32"/>
          <w:rFonts w:ascii="Times New Roman" w:hAnsi="Times New Roman" w:eastAsia="Times New Roman" w:cs="Times New Roman"/>
          <w:color w:val="auto"/>
          <w:highlight w:val="none"/>
        </w:rPr>
        <w:t>7</w:t>
      </w:r>
      <w:r>
        <w:rPr>
          <w:rStyle w:val="32"/>
          <w:color w:val="auto"/>
          <w:highlight w:val="none"/>
        </w:rPr>
        <w:t>由于承包人原因在施工场地内及其毗邻地带造成的第三者人员伤亡和财产损失，由承包人负责赔偿。</w:t>
      </w:r>
    </w:p>
    <w:p w14:paraId="20EF8039">
      <w:pPr>
        <w:pStyle w:val="97"/>
        <w:pageBreakBefore w:val="0"/>
        <w:kinsoku/>
        <w:wordWrap/>
        <w:overflowPunct/>
        <w:topLinePunct w:val="0"/>
        <w:autoSpaceDE/>
        <w:autoSpaceDN/>
        <w:bidi w:val="0"/>
        <w:adjustRightInd/>
        <w:snapToGrid/>
        <w:spacing w:line="36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w:t>
      </w:r>
      <w:r>
        <w:rPr>
          <w:rStyle w:val="32"/>
          <w:rFonts w:ascii="Times New Roman" w:hAnsi="Times New Roman" w:eastAsia="Times New Roman" w:cs="Times New Roman"/>
          <w:color w:val="auto"/>
          <w:highlight w:val="none"/>
        </w:rPr>
        <w:t>8</w:t>
      </w:r>
      <w:r>
        <w:rPr>
          <w:rStyle w:val="32"/>
          <w:color w:val="auto"/>
          <w:highlight w:val="none"/>
        </w:rPr>
        <w:t>承包人已标价工程量清单应包含工程安全作业环境及安全施工措施所需费用。</w:t>
      </w:r>
    </w:p>
    <w:p w14:paraId="0F126550">
      <w:pPr>
        <w:pStyle w:val="97"/>
        <w:pageBreakBefore w:val="0"/>
        <w:kinsoku/>
        <w:wordWrap/>
        <w:overflowPunct/>
        <w:topLinePunct w:val="0"/>
        <w:autoSpaceDE/>
        <w:autoSpaceDN/>
        <w:bidi w:val="0"/>
        <w:adjustRightInd/>
        <w:snapToGrid/>
        <w:spacing w:line="36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9.2.9</w:t>
      </w:r>
      <w:r>
        <w:rPr>
          <w:rStyle w:val="32"/>
          <w:color w:val="auto"/>
          <w:highlight w:val="none"/>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219DA1E4">
      <w:pPr>
        <w:pStyle w:val="97"/>
        <w:pageBreakBefore w:val="0"/>
        <w:kinsoku/>
        <w:wordWrap/>
        <w:overflowPunct/>
        <w:topLinePunct w:val="0"/>
        <w:autoSpaceDE/>
        <w:autoSpaceDN/>
        <w:bidi w:val="0"/>
        <w:adjustRightInd/>
        <w:snapToGrid/>
        <w:spacing w:line="37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9. 2. </w:t>
      </w:r>
      <w:r>
        <w:rPr>
          <w:rStyle w:val="32"/>
          <w:rFonts w:ascii="Times New Roman" w:hAnsi="Times New Roman" w:eastAsia="Times New Roman" w:cs="Times New Roman"/>
          <w:color w:val="auto"/>
          <w:highlight w:val="none"/>
        </w:rPr>
        <w:t>10</w:t>
      </w:r>
      <w:r>
        <w:rPr>
          <w:rStyle w:val="32"/>
          <w:color w:val="auto"/>
          <w:highlight w:val="none"/>
        </w:rPr>
        <w:t>承包人应设立安全生产管理机构，施工现场应有专职安全生产管理人员。</w:t>
      </w:r>
    </w:p>
    <w:p w14:paraId="2CAA1153">
      <w:pPr>
        <w:pStyle w:val="97"/>
        <w:pageBreakBefore w:val="0"/>
        <w:kinsoku/>
        <w:wordWrap/>
        <w:overflowPunct/>
        <w:topLinePunct w:val="0"/>
        <w:autoSpaceDE/>
        <w:autoSpaceDN/>
        <w:bidi w:val="0"/>
        <w:adjustRightInd/>
        <w:snapToGrid/>
        <w:spacing w:line="37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9. 2.11</w:t>
      </w:r>
      <w:r>
        <w:rPr>
          <w:rStyle w:val="32"/>
          <w:color w:val="auto"/>
          <w:highlight w:val="none"/>
        </w:rPr>
        <w:t>承包人应负责对特种作业人员进行专门的安全作业培训，并保证特种作业人员持证上岗。</w:t>
      </w:r>
    </w:p>
    <w:p w14:paraId="7D2FD2BA">
      <w:pPr>
        <w:pStyle w:val="97"/>
        <w:pageBreakBefore w:val="0"/>
        <w:kinsoku/>
        <w:wordWrap/>
        <w:overflowPunct/>
        <w:topLinePunct w:val="0"/>
        <w:autoSpaceDE/>
        <w:autoSpaceDN/>
        <w:bidi w:val="0"/>
        <w:adjustRightInd/>
        <w:snapToGrid/>
        <w:spacing w:line="365"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9. 2. </w:t>
      </w:r>
      <w:r>
        <w:rPr>
          <w:rStyle w:val="32"/>
          <w:rFonts w:ascii="Times New Roman" w:hAnsi="Times New Roman" w:eastAsia="Times New Roman" w:cs="Times New Roman"/>
          <w:color w:val="auto"/>
          <w:highlight w:val="none"/>
        </w:rPr>
        <w:t>12</w:t>
      </w:r>
      <w:r>
        <w:rPr>
          <w:rStyle w:val="32"/>
          <w:color w:val="auto"/>
          <w:highlight w:val="none"/>
        </w:rPr>
        <w:t>承包人应在施工组织设计中编制安全技术措施和施工现场临时用电方案。对专用合同条款约定的工程，应编制专项施工方案报监理人批准。对专用合同条款约定的专项施工方案，还应组织专家进行论证、审查，其中专家</w:t>
      </w:r>
      <w:r>
        <w:rPr>
          <w:rStyle w:val="32"/>
          <w:rFonts w:ascii="Times New Roman" w:hAnsi="Times New Roman" w:eastAsia="Times New Roman" w:cs="Times New Roman"/>
          <w:color w:val="auto"/>
          <w:highlight w:val="none"/>
        </w:rPr>
        <w:t>1/2</w:t>
      </w:r>
      <w:r>
        <w:rPr>
          <w:rStyle w:val="32"/>
          <w:color w:val="auto"/>
          <w:highlight w:val="none"/>
        </w:rPr>
        <w:t>人员应经发包人同意。</w:t>
      </w:r>
    </w:p>
    <w:p w14:paraId="75B10790">
      <w:pPr>
        <w:pStyle w:val="97"/>
        <w:pageBreakBefore w:val="0"/>
        <w:kinsoku/>
        <w:wordWrap/>
        <w:overflowPunct/>
        <w:topLinePunct w:val="0"/>
        <w:autoSpaceDE/>
        <w:autoSpaceDN/>
        <w:bidi w:val="0"/>
        <w:adjustRightInd/>
        <w:snapToGrid/>
        <w:spacing w:after="140" w:line="365"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9. 2. </w:t>
      </w:r>
      <w:r>
        <w:rPr>
          <w:rStyle w:val="32"/>
          <w:rFonts w:ascii="Times New Roman" w:hAnsi="Times New Roman" w:eastAsia="Times New Roman" w:cs="Times New Roman"/>
          <w:color w:val="auto"/>
          <w:highlight w:val="none"/>
        </w:rPr>
        <w:t>13</w:t>
      </w:r>
      <w:r>
        <w:rPr>
          <w:rStyle w:val="32"/>
          <w:color w:val="auto"/>
          <w:highlight w:val="none"/>
        </w:rPr>
        <w:t>承包人在使用施工起重机构和整体提升脚手架、模板等自升式架设设施前, 应组织有关单位进行验收。</w:t>
      </w:r>
    </w:p>
    <w:p w14:paraId="4BCC5AD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48" w:name="bookmark1131"/>
      <w:bookmarkStart w:id="549" w:name="bookmark1132"/>
      <w:bookmarkStart w:id="550" w:name="_Toc24520"/>
      <w:bookmarkStart w:id="551" w:name="_Toc17287"/>
      <w:bookmarkStart w:id="552" w:name="_Toc256000072"/>
      <w:bookmarkStart w:id="553" w:name="bookmark1133"/>
      <w:r>
        <w:rPr>
          <w:rStyle w:val="32"/>
          <w:rFonts w:ascii="宋体" w:hAnsi="宋体" w:cs="Times New Roman"/>
          <w:color w:val="auto"/>
          <w:sz w:val="24"/>
          <w:szCs w:val="24"/>
          <w:highlight w:val="none"/>
          <w:lang w:eastAsia="zh-CN"/>
        </w:rPr>
        <w:t>9.3治安保卫</w:t>
      </w:r>
      <w:bookmarkEnd w:id="548"/>
      <w:bookmarkEnd w:id="549"/>
      <w:bookmarkEnd w:id="550"/>
      <w:bookmarkEnd w:id="551"/>
      <w:bookmarkEnd w:id="552"/>
      <w:bookmarkEnd w:id="553"/>
    </w:p>
    <w:p w14:paraId="52856E8E">
      <w:pPr>
        <w:pStyle w:val="97"/>
        <w:pageBreakBefore w:val="0"/>
        <w:kinsoku/>
        <w:wordWrap/>
        <w:overflowPunct/>
        <w:topLinePunct w:val="0"/>
        <w:autoSpaceDE/>
        <w:autoSpaceDN/>
        <w:bidi w:val="0"/>
        <w:adjustRightInd/>
        <w:snapToGrid/>
        <w:spacing w:line="36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9.3.1</w:t>
      </w:r>
      <w:r>
        <w:rPr>
          <w:rStyle w:val="32"/>
          <w:color w:val="auto"/>
          <w:highlight w:val="none"/>
        </w:rPr>
        <w:t>除合同另有约定外，发包人应与当地公安部门协商，在现场建立治安管理机构或联防组织，统一管理施工场地的治安保卫事项，履行合同工程的治安保卫职责。</w:t>
      </w:r>
    </w:p>
    <w:p w14:paraId="0B847312">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9.3.</w:t>
      </w:r>
      <w:r>
        <w:rPr>
          <w:rStyle w:val="32"/>
          <w:rFonts w:ascii="Times New Roman" w:hAnsi="Times New Roman" w:eastAsia="Times New Roman" w:cs="Times New Roman"/>
          <w:color w:val="auto"/>
          <w:highlight w:val="none"/>
        </w:rPr>
        <w:t>2</w:t>
      </w:r>
      <w:r>
        <w:rPr>
          <w:rStyle w:val="32"/>
          <w:color w:val="auto"/>
          <w:highlight w:val="none"/>
        </w:rPr>
        <w:t>发包人和承包人除应协助现场治安管理机构或联防组织维护施工场地的社会治安外，还应做好包括生活区在内的各自管辖区的治安保卫工作。</w:t>
      </w:r>
    </w:p>
    <w:p w14:paraId="09746337">
      <w:pPr>
        <w:pStyle w:val="97"/>
        <w:pageBreakBefore w:val="0"/>
        <w:kinsoku/>
        <w:wordWrap/>
        <w:overflowPunct/>
        <w:topLinePunct w:val="0"/>
        <w:autoSpaceDE/>
        <w:autoSpaceDN/>
        <w:bidi w:val="0"/>
        <w:adjustRightInd/>
        <w:snapToGrid/>
        <w:spacing w:after="140"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9.3.3</w:t>
      </w:r>
      <w:r>
        <w:rPr>
          <w:rStyle w:val="32"/>
          <w:color w:val="auto"/>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1CEB2A6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54" w:name="_Toc24105"/>
      <w:bookmarkStart w:id="555" w:name="bookmark1136"/>
      <w:bookmarkStart w:id="556" w:name="_Toc256000073"/>
      <w:bookmarkStart w:id="557" w:name="bookmark1134"/>
      <w:bookmarkStart w:id="558" w:name="bookmark1135"/>
      <w:bookmarkStart w:id="559" w:name="_Toc19282"/>
      <w:r>
        <w:rPr>
          <w:rStyle w:val="32"/>
          <w:rFonts w:ascii="宋体" w:hAnsi="宋体" w:cs="Times New Roman"/>
          <w:color w:val="auto"/>
          <w:sz w:val="24"/>
          <w:szCs w:val="24"/>
          <w:highlight w:val="none"/>
          <w:lang w:eastAsia="zh-CN"/>
        </w:rPr>
        <w:t>9.4环境保护</w:t>
      </w:r>
      <w:bookmarkEnd w:id="554"/>
      <w:bookmarkEnd w:id="555"/>
      <w:bookmarkEnd w:id="556"/>
      <w:bookmarkEnd w:id="557"/>
      <w:bookmarkEnd w:id="558"/>
      <w:bookmarkEnd w:id="559"/>
    </w:p>
    <w:p w14:paraId="21FFBEE7">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9.4.1</w:t>
      </w:r>
      <w:r>
        <w:rPr>
          <w:rStyle w:val="32"/>
          <w:color w:val="auto"/>
          <w:highlight w:val="none"/>
        </w:rPr>
        <w:t>承包人在施工过程中，应遵守有关环境保护的法律，履行合同约定的环境保护义务，并对违反法律和合同约定义务所造成的环境破坏、人身伤害和财产损失负责。</w:t>
      </w:r>
    </w:p>
    <w:p w14:paraId="565C0589">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9.4.2</w:t>
      </w:r>
      <w:r>
        <w:rPr>
          <w:rStyle w:val="32"/>
          <w:color w:val="auto"/>
          <w:highlight w:val="none"/>
        </w:rPr>
        <w:t>承包人应按合同约定的环保工作内容，编制施工环保措施计划，报送监理人审批。</w:t>
      </w:r>
    </w:p>
    <w:p w14:paraId="52498E77">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9.4.3</w:t>
      </w:r>
      <w:r>
        <w:rPr>
          <w:rStyle w:val="32"/>
          <w:color w:val="auto"/>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2868F017">
      <w:pPr>
        <w:pStyle w:val="97"/>
        <w:pageBreakBefore w:val="0"/>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9.4.4</w:t>
      </w:r>
      <w:r>
        <w:rPr>
          <w:rStyle w:val="32"/>
          <w:color w:val="auto"/>
          <w:highlight w:val="none"/>
        </w:rPr>
        <w:t>承包人应按合同约定采取有效措施，对施工开挖的边坡及时进行支护，维护排 水设施，并进行水土保护，避免因施工造成的地质灾害。</w:t>
      </w:r>
    </w:p>
    <w:p w14:paraId="6C10BEB2">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cs="Times New Roman"/>
          <w:color w:val="auto"/>
          <w:highlight w:val="none"/>
          <w:lang w:val="en-US" w:bidi="en-US"/>
        </w:rPr>
        <w:t>9.4.5</w:t>
      </w:r>
      <w:r>
        <w:rPr>
          <w:rStyle w:val="32"/>
          <w:color w:val="auto"/>
          <w:highlight w:val="none"/>
        </w:rPr>
        <w:t>承包人应按国家饮用水管理标准定期对饮用水源进行监测，防止施工活动污染饮用水源。</w:t>
      </w:r>
    </w:p>
    <w:p w14:paraId="01EDAE20">
      <w:pPr>
        <w:pStyle w:val="97"/>
        <w:pageBreakBefore w:val="0"/>
        <w:kinsoku/>
        <w:wordWrap/>
        <w:overflowPunct/>
        <w:topLinePunct w:val="0"/>
        <w:autoSpaceDE/>
        <w:autoSpaceDN/>
        <w:bidi w:val="0"/>
        <w:adjustRightInd/>
        <w:snapToGrid/>
        <w:spacing w:after="120"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9.4.6</w:t>
      </w:r>
      <w:r>
        <w:rPr>
          <w:rStyle w:val="32"/>
          <w:color w:val="auto"/>
          <w:highlight w:val="none"/>
        </w:rPr>
        <w:t>承包人应按合同约定，加强对噪声、粉尘、废气、废水和废油的控制，努力降低噪声，控制粉尘和废气浓度，做好废水和废油的治理和排放。</w:t>
      </w:r>
    </w:p>
    <w:p w14:paraId="75EDC86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60" w:name="_Toc256000074"/>
      <w:bookmarkStart w:id="561" w:name="bookmark1137"/>
      <w:bookmarkStart w:id="562" w:name="_Toc486"/>
      <w:bookmarkStart w:id="563" w:name="bookmark1139"/>
      <w:bookmarkStart w:id="564" w:name="_Toc1363"/>
      <w:bookmarkStart w:id="565" w:name="bookmark1138"/>
      <w:r>
        <w:rPr>
          <w:rStyle w:val="32"/>
          <w:rFonts w:ascii="宋体" w:hAnsi="宋体" w:cs="Times New Roman"/>
          <w:color w:val="auto"/>
          <w:sz w:val="24"/>
          <w:szCs w:val="24"/>
          <w:highlight w:val="none"/>
          <w:lang w:eastAsia="zh-CN"/>
        </w:rPr>
        <w:t>9.5事故处理</w:t>
      </w:r>
      <w:bookmarkEnd w:id="560"/>
      <w:bookmarkEnd w:id="561"/>
      <w:bookmarkEnd w:id="562"/>
      <w:bookmarkEnd w:id="563"/>
      <w:bookmarkEnd w:id="564"/>
      <w:bookmarkEnd w:id="565"/>
    </w:p>
    <w:p w14:paraId="0E588725">
      <w:pPr>
        <w:pStyle w:val="97"/>
        <w:pageBreakBefore w:val="0"/>
        <w:kinsoku/>
        <w:wordWrap/>
        <w:overflowPunct/>
        <w:topLinePunct w:val="0"/>
        <w:autoSpaceDE/>
        <w:autoSpaceDN/>
        <w:bidi w:val="0"/>
        <w:adjustRightInd/>
        <w:snapToGrid/>
        <w:spacing w:line="37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9.5.1</w:t>
      </w:r>
      <w:r>
        <w:rPr>
          <w:rStyle w:val="32"/>
          <w:color w:val="auto"/>
          <w:highlight w:val="none"/>
        </w:rPr>
        <w:t>发包人负责组织参建单位制定本工程的质量与安全事故应急预案，建立质量与安全事故应急处置指挥部。</w:t>
      </w:r>
    </w:p>
    <w:p w14:paraId="69F90327">
      <w:pPr>
        <w:pStyle w:val="97"/>
        <w:pageBreakBefore w:val="0"/>
        <w:kinsoku/>
        <w:wordWrap/>
        <w:overflowPunct/>
        <w:topLinePunct w:val="0"/>
        <w:autoSpaceDE/>
        <w:autoSpaceDN/>
        <w:bidi w:val="0"/>
        <w:adjustRightInd/>
        <w:snapToGrid/>
        <w:spacing w:line="37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lang w:val="en-US" w:bidi="en-US"/>
        </w:rPr>
        <w:t>5.2</w:t>
      </w:r>
      <w:r>
        <w:rPr>
          <w:rStyle w:val="32"/>
          <w:color w:val="auto"/>
          <w:highlight w:val="none"/>
        </w:rPr>
        <w:t>承包人应对施工现场易发生重大事故的部位、环节的进行监控，配备救援器材、设备，并定期组织演练。</w:t>
      </w:r>
    </w:p>
    <w:p w14:paraId="2E6D58C3">
      <w:pPr>
        <w:pStyle w:val="97"/>
        <w:pageBreakBefore w:val="0"/>
        <w:kinsoku/>
        <w:wordWrap/>
        <w:overflowPunct/>
        <w:topLinePunct w:val="0"/>
        <w:autoSpaceDE/>
        <w:autoSpaceDN/>
        <w:bidi w:val="0"/>
        <w:adjustRightInd/>
        <w:snapToGrid/>
        <w:spacing w:after="120" w:line="374"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9.5.3</w:t>
      </w:r>
      <w:r>
        <w:rPr>
          <w:rStyle w:val="32"/>
          <w:color w:val="auto"/>
          <w:highlight w:val="none"/>
        </w:rPr>
        <w:t>工程开工前，承包人应根据本工程特点制定施工现场施工质量与安全事故应急预案，并报发包人备案。</w:t>
      </w:r>
    </w:p>
    <w:p w14:paraId="73620FA7">
      <w:pPr>
        <w:pStyle w:val="97"/>
        <w:pageBreakBefore w:val="0"/>
        <w:kinsoku/>
        <w:wordWrap/>
        <w:overflowPunct/>
        <w:topLinePunct w:val="0"/>
        <w:autoSpaceDE/>
        <w:autoSpaceDN/>
        <w:bidi w:val="0"/>
        <w:adjustRightInd/>
        <w:snapToGrid/>
        <w:spacing w:line="240"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9.5.4</w:t>
      </w:r>
      <w:r>
        <w:rPr>
          <w:rStyle w:val="32"/>
          <w:color w:val="auto"/>
          <w:highlight w:val="none"/>
        </w:rPr>
        <w:t>施工过程中发生事故时，发包人、承包人应立即启动应急预案。</w:t>
      </w:r>
    </w:p>
    <w:p w14:paraId="7A6E6E49">
      <w:pPr>
        <w:pStyle w:val="97"/>
        <w:pageBreakBefore w:val="0"/>
        <w:kinsoku/>
        <w:wordWrap/>
        <w:overflowPunct/>
        <w:topLinePunct w:val="0"/>
        <w:autoSpaceDE/>
        <w:autoSpaceDN/>
        <w:bidi w:val="0"/>
        <w:adjustRightInd/>
        <w:snapToGrid/>
        <w:spacing w:after="120" w:line="367"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9.5.5</w:t>
      </w:r>
      <w:r>
        <w:rPr>
          <w:rStyle w:val="32"/>
          <w:color w:val="auto"/>
          <w:highlight w:val="none"/>
        </w:rPr>
        <w:t>事故调查处理由发包人按相关规定履行手续，承包人应配合。</w:t>
      </w:r>
    </w:p>
    <w:p w14:paraId="03C35C1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66" w:name="_Toc1975"/>
      <w:bookmarkStart w:id="567" w:name="bookmark1140"/>
      <w:bookmarkStart w:id="568" w:name="_Toc10912"/>
      <w:bookmarkStart w:id="569" w:name="bookmark1142"/>
      <w:bookmarkStart w:id="570" w:name="_Toc256000075"/>
      <w:bookmarkStart w:id="571" w:name="bookmark1141"/>
      <w:r>
        <w:rPr>
          <w:rStyle w:val="32"/>
          <w:rFonts w:ascii="宋体" w:hAnsi="宋体" w:cs="Times New Roman"/>
          <w:color w:val="auto"/>
          <w:sz w:val="24"/>
          <w:szCs w:val="24"/>
          <w:highlight w:val="none"/>
          <w:lang w:eastAsia="zh-CN"/>
        </w:rPr>
        <w:t>9.6水土保持</w:t>
      </w:r>
      <w:bookmarkEnd w:id="566"/>
      <w:bookmarkEnd w:id="567"/>
      <w:bookmarkEnd w:id="568"/>
      <w:bookmarkEnd w:id="569"/>
      <w:bookmarkEnd w:id="570"/>
      <w:bookmarkEnd w:id="571"/>
    </w:p>
    <w:p w14:paraId="2FCA2DBA">
      <w:pPr>
        <w:pStyle w:val="97"/>
        <w:pageBreakBefore w:val="0"/>
        <w:kinsoku/>
        <w:wordWrap/>
        <w:overflowPunct/>
        <w:topLinePunct w:val="0"/>
        <w:autoSpaceDE/>
        <w:autoSpaceDN/>
        <w:bidi w:val="0"/>
        <w:adjustRightInd/>
        <w:snapToGrid/>
        <w:spacing w:line="379"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9.6.</w:t>
      </w:r>
      <w:r>
        <w:rPr>
          <w:rStyle w:val="32"/>
          <w:rFonts w:ascii="Times New Roman" w:hAnsi="Times New Roman" w:eastAsia="Times New Roman" w:cs="Times New Roman"/>
          <w:color w:val="auto"/>
          <w:highlight w:val="none"/>
        </w:rPr>
        <w:t>1</w:t>
      </w:r>
      <w:r>
        <w:rPr>
          <w:rStyle w:val="32"/>
          <w:color w:val="auto"/>
          <w:highlight w:val="none"/>
        </w:rPr>
        <w:t>发包人应及时向承包人提供水土保持方案。</w:t>
      </w:r>
    </w:p>
    <w:p w14:paraId="5CC42D43">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9.6.2</w:t>
      </w:r>
      <w:r>
        <w:rPr>
          <w:rStyle w:val="32"/>
          <w:color w:val="auto"/>
          <w:highlight w:val="none"/>
        </w:rPr>
        <w:t>承包人在施工过程中，应遵守有关水土保持的法律法规和规章，履行合同约定的水土保持义务，并对其违反法律和合同约定义务所造成的水土流失灾害、人身伤害和财 产损失负责。</w:t>
      </w:r>
    </w:p>
    <w:p w14:paraId="14CE5FAC">
      <w:pPr>
        <w:pStyle w:val="97"/>
        <w:pageBreakBefore w:val="0"/>
        <w:kinsoku/>
        <w:wordWrap/>
        <w:overflowPunct/>
        <w:topLinePunct w:val="0"/>
        <w:autoSpaceDE/>
        <w:autoSpaceDN/>
        <w:bidi w:val="0"/>
        <w:adjustRightInd/>
        <w:snapToGrid/>
        <w:spacing w:after="120" w:line="367"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9.6.3</w:t>
      </w:r>
      <w:r>
        <w:rPr>
          <w:rStyle w:val="32"/>
          <w:color w:val="auto"/>
          <w:highlight w:val="none"/>
        </w:rPr>
        <w:t>承包人的水土保持措施计划，应满足技术标准和要求（合同技术条款）约定的要求。</w:t>
      </w:r>
    </w:p>
    <w:p w14:paraId="22F6DF8B">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72" w:name="_Toc9534"/>
      <w:bookmarkStart w:id="573" w:name="_Toc32599"/>
      <w:bookmarkStart w:id="574" w:name="bookmark1143"/>
      <w:bookmarkStart w:id="575" w:name="_Toc256000076"/>
      <w:bookmarkStart w:id="576" w:name="bookmark1145"/>
      <w:bookmarkStart w:id="577" w:name="bookmark1144"/>
      <w:r>
        <w:rPr>
          <w:rStyle w:val="32"/>
          <w:rFonts w:ascii="宋体" w:hAnsi="宋体" w:cs="Times New Roman"/>
          <w:color w:val="auto"/>
          <w:sz w:val="24"/>
          <w:szCs w:val="24"/>
          <w:highlight w:val="none"/>
          <w:lang w:eastAsia="zh-CN"/>
        </w:rPr>
        <w:t>9.7文明工地</w:t>
      </w:r>
      <w:bookmarkEnd w:id="572"/>
      <w:bookmarkEnd w:id="573"/>
      <w:bookmarkEnd w:id="574"/>
      <w:bookmarkEnd w:id="575"/>
      <w:bookmarkEnd w:id="576"/>
      <w:bookmarkEnd w:id="577"/>
    </w:p>
    <w:p w14:paraId="634E937F">
      <w:pPr>
        <w:pStyle w:val="97"/>
        <w:pageBreakBefore w:val="0"/>
        <w:kinsoku/>
        <w:wordWrap/>
        <w:overflowPunct/>
        <w:topLinePunct w:val="0"/>
        <w:autoSpaceDE/>
        <w:autoSpaceDN/>
        <w:bidi w:val="0"/>
        <w:adjustRightInd/>
        <w:snapToGrid/>
        <w:spacing w:line="37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9.7.1</w:t>
      </w:r>
      <w:r>
        <w:rPr>
          <w:rStyle w:val="32"/>
          <w:color w:val="auto"/>
          <w:highlight w:val="none"/>
        </w:rPr>
        <w:t>发包人应按专用合同条款的约定，负责建立创建文明建设工地的组织机构，制定创建文明建设工地的规划和办法。</w:t>
      </w:r>
    </w:p>
    <w:p w14:paraId="4580D51C">
      <w:pPr>
        <w:pStyle w:val="97"/>
        <w:pageBreakBefore w:val="0"/>
        <w:kinsoku/>
        <w:wordWrap/>
        <w:overflowPunct/>
        <w:topLinePunct w:val="0"/>
        <w:autoSpaceDE/>
        <w:autoSpaceDN/>
        <w:bidi w:val="0"/>
        <w:adjustRightInd/>
        <w:snapToGrid/>
        <w:spacing w:after="120" w:line="37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9.7.2</w:t>
      </w:r>
      <w:r>
        <w:rPr>
          <w:rStyle w:val="32"/>
          <w:color w:val="auto"/>
          <w:highlight w:val="none"/>
        </w:rPr>
        <w:t>承包人应按创建文明建设工地的规划和办法，履行职责，承担相应责任。所需费用应含在已标价工程量清单中。</w:t>
      </w:r>
    </w:p>
    <w:p w14:paraId="181B6F57">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78" w:name="bookmark1146"/>
      <w:bookmarkStart w:id="579" w:name="bookmark1148"/>
      <w:bookmarkStart w:id="580" w:name="_Toc10413"/>
      <w:bookmarkStart w:id="581" w:name="_Toc256000077"/>
      <w:bookmarkStart w:id="582" w:name="_Toc2182"/>
      <w:bookmarkStart w:id="583" w:name="bookmark1147"/>
      <w:r>
        <w:rPr>
          <w:rStyle w:val="32"/>
          <w:rFonts w:ascii="宋体" w:hAnsi="宋体" w:cs="Times New Roman"/>
          <w:color w:val="auto"/>
          <w:sz w:val="24"/>
          <w:szCs w:val="24"/>
          <w:highlight w:val="none"/>
          <w:lang w:eastAsia="zh-CN"/>
        </w:rPr>
        <w:t>9.8防汛度汛</w:t>
      </w:r>
      <w:bookmarkEnd w:id="578"/>
      <w:bookmarkEnd w:id="579"/>
      <w:bookmarkEnd w:id="580"/>
      <w:bookmarkEnd w:id="581"/>
      <w:bookmarkEnd w:id="582"/>
      <w:bookmarkEnd w:id="583"/>
    </w:p>
    <w:p w14:paraId="7F789D4F">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9.8.</w:t>
      </w:r>
      <w:r>
        <w:rPr>
          <w:rStyle w:val="32"/>
          <w:rFonts w:ascii="Times New Roman" w:hAnsi="Times New Roman" w:eastAsia="Times New Roman" w:cs="Times New Roman"/>
          <w:color w:val="auto"/>
          <w:highlight w:val="none"/>
        </w:rPr>
        <w:t>1</w:t>
      </w:r>
      <w:r>
        <w:rPr>
          <w:rStyle w:val="32"/>
          <w:color w:val="auto"/>
          <w:highlight w:val="none"/>
        </w:rPr>
        <w:t>发包人负责组织工程参建单位编制本工程的度汛方案和措施。</w:t>
      </w:r>
    </w:p>
    <w:p w14:paraId="3822413D">
      <w:pPr>
        <w:pStyle w:val="97"/>
        <w:pageBreakBefore w:val="0"/>
        <w:kinsoku/>
        <w:wordWrap/>
        <w:overflowPunct/>
        <w:topLinePunct w:val="0"/>
        <w:autoSpaceDE/>
        <w:autoSpaceDN/>
        <w:bidi w:val="0"/>
        <w:adjustRightInd/>
        <w:snapToGrid/>
        <w:spacing w:after="280" w:line="36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9.8.2</w:t>
      </w:r>
      <w:r>
        <w:rPr>
          <w:rStyle w:val="32"/>
          <w:color w:val="auto"/>
          <w:highlight w:val="none"/>
        </w:rPr>
        <w:t>承包人应根据发包人编制的本工程度汛方案和措施，制定相应的度汛方案，报发包人批准后实施。</w:t>
      </w:r>
    </w:p>
    <w:p w14:paraId="4BD65998">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584" w:name="_Toc14784"/>
      <w:bookmarkStart w:id="585" w:name="_Toc256000078"/>
      <w:bookmarkStart w:id="586" w:name="_Toc27960"/>
      <w:bookmarkStart w:id="587" w:name="bookmark1149"/>
      <w:bookmarkStart w:id="588" w:name="bookmark1150"/>
      <w:bookmarkStart w:id="589" w:name="bookmark1151"/>
      <w:r>
        <w:rPr>
          <w:rStyle w:val="32"/>
          <w:rFonts w:hint="eastAsia" w:cs="Times New Roman"/>
          <w:color w:val="auto"/>
          <w:highlight w:val="none"/>
          <w:lang w:eastAsia="zh-CN"/>
        </w:rPr>
        <w:t>10.进度计划</w:t>
      </w:r>
      <w:bookmarkEnd w:id="584"/>
      <w:bookmarkEnd w:id="585"/>
      <w:bookmarkEnd w:id="586"/>
      <w:bookmarkEnd w:id="587"/>
      <w:bookmarkEnd w:id="588"/>
      <w:bookmarkEnd w:id="589"/>
    </w:p>
    <w:p w14:paraId="081CDDC0">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90" w:name="_Toc256000079"/>
      <w:bookmarkStart w:id="591" w:name="bookmark1154"/>
      <w:bookmarkStart w:id="592" w:name="_Toc26167"/>
      <w:bookmarkStart w:id="593" w:name="_Toc15277"/>
      <w:bookmarkStart w:id="594" w:name="bookmark1153"/>
      <w:bookmarkStart w:id="595" w:name="bookmark1152"/>
      <w:r>
        <w:rPr>
          <w:rStyle w:val="32"/>
          <w:rFonts w:ascii="宋体" w:hAnsi="宋体" w:cs="Times New Roman"/>
          <w:color w:val="auto"/>
          <w:sz w:val="24"/>
          <w:szCs w:val="24"/>
          <w:highlight w:val="none"/>
          <w:lang w:eastAsia="zh-CN"/>
        </w:rPr>
        <w:t>10.1合同进度计划</w:t>
      </w:r>
      <w:bookmarkEnd w:id="590"/>
      <w:bookmarkEnd w:id="591"/>
      <w:bookmarkEnd w:id="592"/>
      <w:bookmarkEnd w:id="593"/>
      <w:bookmarkEnd w:id="594"/>
      <w:bookmarkEnd w:id="595"/>
    </w:p>
    <w:p w14:paraId="66E7B3F4">
      <w:pPr>
        <w:pStyle w:val="97"/>
        <w:pageBreakBefore w:val="0"/>
        <w:kinsoku/>
        <w:wordWrap/>
        <w:overflowPunct/>
        <w:topLinePunct w:val="0"/>
        <w:autoSpaceDE/>
        <w:autoSpaceDN/>
        <w:bidi w:val="0"/>
        <w:adjustRightInd/>
        <w:snapToGrid/>
        <w:spacing w:after="120" w:line="355" w:lineRule="exact"/>
        <w:ind w:firstLine="420"/>
        <w:jc w:val="both"/>
        <w:textAlignment w:val="auto"/>
        <w:outlineLvl w:val="9"/>
        <w:rPr>
          <w:rStyle w:val="32"/>
          <w:color w:val="auto"/>
          <w:highlight w:val="none"/>
        </w:rPr>
      </w:pPr>
      <w:r>
        <w:rPr>
          <w:rStyle w:val="32"/>
          <w:color w:val="auto"/>
          <w:highlight w:val="none"/>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567E1402">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596" w:name="bookmark1155"/>
      <w:bookmarkStart w:id="597" w:name="bookmark1156"/>
      <w:bookmarkStart w:id="598" w:name="_Toc8733"/>
      <w:bookmarkStart w:id="599" w:name="bookmark1157"/>
      <w:bookmarkStart w:id="600" w:name="_Toc256000080"/>
      <w:bookmarkStart w:id="601" w:name="_Toc27886"/>
      <w:r>
        <w:rPr>
          <w:rStyle w:val="32"/>
          <w:rFonts w:ascii="宋体" w:hAnsi="宋体" w:cs="Times New Roman"/>
          <w:color w:val="auto"/>
          <w:sz w:val="24"/>
          <w:szCs w:val="24"/>
          <w:highlight w:val="none"/>
          <w:lang w:eastAsia="zh-CN"/>
        </w:rPr>
        <w:t>10.2合同进度计划的修订</w:t>
      </w:r>
      <w:bookmarkEnd w:id="596"/>
      <w:bookmarkEnd w:id="597"/>
      <w:bookmarkEnd w:id="598"/>
      <w:bookmarkEnd w:id="599"/>
      <w:bookmarkEnd w:id="600"/>
      <w:bookmarkEnd w:id="601"/>
    </w:p>
    <w:p w14:paraId="03B9FA55">
      <w:pPr>
        <w:pStyle w:val="97"/>
        <w:pageBreakBefore w:val="0"/>
        <w:kinsoku/>
        <w:wordWrap/>
        <w:overflowPunct/>
        <w:topLinePunct w:val="0"/>
        <w:autoSpaceDE/>
        <w:autoSpaceDN/>
        <w:bidi w:val="0"/>
        <w:adjustRightInd/>
        <w:snapToGrid/>
        <w:spacing w:line="367" w:lineRule="exact"/>
        <w:ind w:firstLine="420"/>
        <w:jc w:val="both"/>
        <w:textAlignment w:val="auto"/>
        <w:outlineLvl w:val="9"/>
        <w:rPr>
          <w:rStyle w:val="32"/>
          <w:color w:val="auto"/>
          <w:highlight w:val="none"/>
        </w:rPr>
      </w:pPr>
      <w:r>
        <w:rPr>
          <w:rStyle w:val="32"/>
          <w:color w:val="auto"/>
          <w:highlight w:val="none"/>
        </w:rPr>
        <w:t>不论何种原因造成工程的实际进度与第</w:t>
      </w:r>
      <w:r>
        <w:rPr>
          <w:rStyle w:val="32"/>
          <w:rFonts w:ascii="Times New Roman" w:hAnsi="Times New Roman" w:eastAsia="Times New Roman" w:cs="Times New Roman"/>
          <w:color w:val="auto"/>
          <w:highlight w:val="none"/>
          <w:lang w:val="en-US" w:bidi="en-US"/>
        </w:rPr>
        <w:t xml:space="preserve">10. </w:t>
      </w:r>
      <w:r>
        <w:rPr>
          <w:rStyle w:val="32"/>
          <w:rFonts w:ascii="Times New Roman" w:hAnsi="Times New Roman" w:eastAsia="Times New Roman" w:cs="Times New Roman"/>
          <w:color w:val="auto"/>
          <w:highlight w:val="none"/>
        </w:rPr>
        <w:t>1</w:t>
      </w:r>
      <w:r>
        <w:rPr>
          <w:rStyle w:val="32"/>
          <w:color w:val="auto"/>
          <w:highlight w:val="none"/>
        </w:rPr>
        <w:t xml:space="preserve">款的合同进度计划不符时，承包人均应在 </w:t>
      </w:r>
      <w:r>
        <w:rPr>
          <w:rStyle w:val="32"/>
          <w:rFonts w:ascii="Times New Roman" w:hAnsi="Times New Roman" w:eastAsia="Times New Roman" w:cs="Times New Roman"/>
          <w:color w:val="auto"/>
          <w:highlight w:val="none"/>
        </w:rPr>
        <w:t>14</w:t>
      </w:r>
      <w:r>
        <w:rPr>
          <w:rStyle w:val="32"/>
          <w:color w:val="auto"/>
          <w:highlight w:val="none"/>
        </w:rPr>
        <w:t>天内向监理人提交修订合同进度计划的申请报告，并附有关措施和相关资料，报监理人审批；监理人应在收到申请报告后的</w:t>
      </w:r>
      <w:r>
        <w:rPr>
          <w:rStyle w:val="32"/>
          <w:rFonts w:ascii="Times New Roman" w:hAnsi="Times New Roman" w:eastAsia="Times New Roman" w:cs="Times New Roman"/>
          <w:color w:val="auto"/>
          <w:highlight w:val="none"/>
        </w:rPr>
        <w:t>14</w:t>
      </w:r>
      <w:r>
        <w:rPr>
          <w:rStyle w:val="32"/>
          <w:color w:val="auto"/>
          <w:highlight w:val="none"/>
        </w:rPr>
        <w:t>天内批复。当监理人认为需要修订合同进度计划 时，承包人应按监理人的指示，在</w:t>
      </w:r>
      <w:r>
        <w:rPr>
          <w:rStyle w:val="32"/>
          <w:rFonts w:ascii="Times New Roman" w:hAnsi="Times New Roman" w:eastAsia="Times New Roman" w:cs="Times New Roman"/>
          <w:color w:val="auto"/>
          <w:highlight w:val="none"/>
        </w:rPr>
        <w:t>14</w:t>
      </w:r>
      <w:r>
        <w:rPr>
          <w:rStyle w:val="32"/>
          <w:color w:val="auto"/>
          <w:highlight w:val="none"/>
        </w:rPr>
        <w:t>天内向监理人提交修订的合同进度计划，并附调整计 划的相关资料，提交监理人审批。监理人应在收到进度计划后的</w:t>
      </w:r>
      <w:r>
        <w:rPr>
          <w:rStyle w:val="32"/>
          <w:rFonts w:ascii="Times New Roman" w:hAnsi="Times New Roman" w:eastAsia="Times New Roman" w:cs="Times New Roman"/>
          <w:color w:val="auto"/>
          <w:highlight w:val="none"/>
        </w:rPr>
        <w:t>14</w:t>
      </w:r>
      <w:r>
        <w:rPr>
          <w:rStyle w:val="32"/>
          <w:color w:val="auto"/>
          <w:highlight w:val="none"/>
        </w:rPr>
        <w:t>天内批复。</w:t>
      </w:r>
    </w:p>
    <w:p w14:paraId="08F89C7D">
      <w:pPr>
        <w:pStyle w:val="97"/>
        <w:pageBreakBefore w:val="0"/>
        <w:kinsoku/>
        <w:wordWrap/>
        <w:overflowPunct/>
        <w:topLinePunct w:val="0"/>
        <w:autoSpaceDE/>
        <w:autoSpaceDN/>
        <w:bidi w:val="0"/>
        <w:adjustRightInd/>
        <w:snapToGrid/>
        <w:spacing w:after="160" w:line="350" w:lineRule="exact"/>
        <w:ind w:firstLine="420"/>
        <w:jc w:val="both"/>
        <w:textAlignment w:val="auto"/>
        <w:outlineLvl w:val="9"/>
        <w:rPr>
          <w:rStyle w:val="32"/>
          <w:color w:val="auto"/>
          <w:highlight w:val="none"/>
        </w:rPr>
      </w:pPr>
      <w:r>
        <w:rPr>
          <w:rStyle w:val="32"/>
          <w:color w:val="auto"/>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3</w:t>
      </w:r>
      <w:r>
        <w:rPr>
          <w:rStyle w:val="32"/>
          <w:color w:val="auto"/>
          <w:highlight w:val="none"/>
        </w:rPr>
        <w:t>款的约定办理；由于承包人原因造成施工进度延迟，应按第</w:t>
      </w: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 xml:space="preserve">. </w:t>
      </w:r>
      <w:r>
        <w:rPr>
          <w:rStyle w:val="32"/>
          <w:rFonts w:ascii="Times New Roman" w:hAnsi="Times New Roman" w:eastAsia="Times New Roman" w:cs="Times New Roman"/>
          <w:color w:val="auto"/>
          <w:highlight w:val="none"/>
        </w:rPr>
        <w:t>5</w:t>
      </w:r>
      <w:r>
        <w:rPr>
          <w:rStyle w:val="32"/>
          <w:color w:val="auto"/>
          <w:highlight w:val="none"/>
        </w:rPr>
        <w:t>款的约定办理。</w:t>
      </w:r>
    </w:p>
    <w:p w14:paraId="027AA62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02" w:name="bookmark1160"/>
      <w:bookmarkStart w:id="603" w:name="bookmark1159"/>
      <w:bookmarkStart w:id="604" w:name="_Toc29411"/>
      <w:bookmarkStart w:id="605" w:name="_Toc25361"/>
      <w:bookmarkStart w:id="606" w:name="bookmark1158"/>
      <w:bookmarkStart w:id="607" w:name="_Toc256000081"/>
      <w:r>
        <w:rPr>
          <w:rStyle w:val="32"/>
          <w:rFonts w:ascii="宋体" w:hAnsi="宋体" w:cs="Times New Roman"/>
          <w:color w:val="auto"/>
          <w:sz w:val="24"/>
          <w:szCs w:val="24"/>
          <w:highlight w:val="none"/>
          <w:lang w:eastAsia="zh-CN"/>
        </w:rPr>
        <w:t>10.3单位工程进度计划</w:t>
      </w:r>
      <w:bookmarkEnd w:id="602"/>
      <w:bookmarkEnd w:id="603"/>
      <w:bookmarkEnd w:id="604"/>
      <w:bookmarkEnd w:id="605"/>
      <w:bookmarkEnd w:id="606"/>
      <w:bookmarkEnd w:id="607"/>
    </w:p>
    <w:p w14:paraId="66AE364C">
      <w:pPr>
        <w:pStyle w:val="97"/>
        <w:pageBreakBefore w:val="0"/>
        <w:kinsoku/>
        <w:wordWrap/>
        <w:overflowPunct/>
        <w:topLinePunct w:val="0"/>
        <w:autoSpaceDE/>
        <w:autoSpaceDN/>
        <w:bidi w:val="0"/>
        <w:adjustRightInd/>
        <w:snapToGrid/>
        <w:spacing w:after="160" w:line="353" w:lineRule="exact"/>
        <w:ind w:firstLine="420"/>
        <w:jc w:val="both"/>
        <w:textAlignment w:val="auto"/>
        <w:outlineLvl w:val="9"/>
        <w:rPr>
          <w:rStyle w:val="32"/>
          <w:color w:val="auto"/>
          <w:highlight w:val="none"/>
        </w:rPr>
      </w:pPr>
      <w:r>
        <w:rPr>
          <w:rStyle w:val="32"/>
          <w:color w:val="auto"/>
          <w:highlight w:val="none"/>
        </w:rPr>
        <w:t>监理人认为有必要时，承包人应按监理人指示的内容和期限，并根据合同进度计划的进度控制要求，编制单位工程进度计划，提交监理人审批。</w:t>
      </w:r>
    </w:p>
    <w:p w14:paraId="59AA8E5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08" w:name="bookmark1161"/>
      <w:bookmarkStart w:id="609" w:name="bookmark1163"/>
      <w:bookmarkStart w:id="610" w:name="bookmark1162"/>
      <w:bookmarkStart w:id="611" w:name="_Toc18009"/>
      <w:bookmarkStart w:id="612" w:name="_Toc5993"/>
      <w:bookmarkStart w:id="613" w:name="_Toc256000082"/>
      <w:r>
        <w:rPr>
          <w:rStyle w:val="32"/>
          <w:rFonts w:ascii="宋体" w:hAnsi="宋体" w:cs="Times New Roman"/>
          <w:color w:val="auto"/>
          <w:sz w:val="24"/>
          <w:szCs w:val="24"/>
          <w:highlight w:val="none"/>
          <w:lang w:eastAsia="zh-CN"/>
        </w:rPr>
        <w:t>10.4提交资金流估算表</w:t>
      </w:r>
      <w:bookmarkEnd w:id="608"/>
      <w:bookmarkEnd w:id="609"/>
      <w:bookmarkEnd w:id="610"/>
      <w:bookmarkEnd w:id="611"/>
      <w:bookmarkEnd w:id="612"/>
      <w:bookmarkEnd w:id="613"/>
    </w:p>
    <w:p w14:paraId="190542AE">
      <w:pPr>
        <w:pStyle w:val="97"/>
        <w:pageBreakBefore w:val="0"/>
        <w:kinsoku/>
        <w:wordWrap/>
        <w:overflowPunct/>
        <w:topLinePunct w:val="0"/>
        <w:autoSpaceDE/>
        <w:autoSpaceDN/>
        <w:bidi w:val="0"/>
        <w:adjustRightInd/>
        <w:snapToGrid/>
        <w:spacing w:after="340" w:line="353" w:lineRule="exact"/>
        <w:ind w:firstLine="420"/>
        <w:jc w:val="both"/>
        <w:textAlignment w:val="auto"/>
        <w:outlineLvl w:val="9"/>
        <w:rPr>
          <w:rStyle w:val="32"/>
          <w:color w:val="auto"/>
          <w:highlight w:val="none"/>
        </w:rPr>
      </w:pPr>
      <w:r>
        <w:rPr>
          <w:rStyle w:val="32"/>
          <w:color w:val="auto"/>
          <w:highlight w:val="none"/>
        </w:rPr>
        <w:t>承包人应在按第</w:t>
      </w:r>
      <w:r>
        <w:rPr>
          <w:rStyle w:val="32"/>
          <w:rFonts w:ascii="Times New Roman" w:hAnsi="Times New Roman" w:eastAsia="Times New Roman" w:cs="Times New Roman"/>
          <w:color w:val="auto"/>
          <w:highlight w:val="none"/>
          <w:lang w:val="en-US" w:bidi="en-US"/>
        </w:rPr>
        <w:t xml:space="preserve">10. </w:t>
      </w:r>
      <w:r>
        <w:rPr>
          <w:rStyle w:val="32"/>
          <w:rFonts w:ascii="Times New Roman" w:hAnsi="Times New Roman" w:eastAsia="Times New Roman" w:cs="Times New Roman"/>
          <w:color w:val="auto"/>
          <w:highlight w:val="none"/>
        </w:rPr>
        <w:t>1</w:t>
      </w:r>
      <w:r>
        <w:rPr>
          <w:rStyle w:val="32"/>
          <w:color w:val="auto"/>
          <w:highlight w:val="none"/>
        </w:rPr>
        <w:t>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44D7760D">
      <w:pPr>
        <w:pStyle w:val="97"/>
        <w:pageBreakBefore w:val="0"/>
        <w:tabs>
          <w:tab w:val="left" w:pos="3329"/>
        </w:tabs>
        <w:kinsoku/>
        <w:wordWrap/>
        <w:overflowPunct/>
        <w:topLinePunct w:val="0"/>
        <w:autoSpaceDE/>
        <w:autoSpaceDN/>
        <w:bidi w:val="0"/>
        <w:adjustRightInd/>
        <w:snapToGrid/>
        <w:spacing w:after="100" w:line="350" w:lineRule="exact"/>
        <w:ind w:firstLine="0"/>
        <w:jc w:val="center"/>
        <w:textAlignment w:val="auto"/>
        <w:outlineLvl w:val="9"/>
        <w:rPr>
          <w:rStyle w:val="32"/>
          <w:rFonts w:hint="eastAsia"/>
          <w:color w:val="auto"/>
          <w:highlight w:val="none"/>
        </w:rPr>
      </w:pPr>
      <w:r>
        <w:rPr>
          <w:rStyle w:val="32"/>
          <w:rFonts w:hint="eastAsia"/>
          <w:color w:val="auto"/>
          <w:highlight w:val="none"/>
          <w:lang w:val="en-US"/>
        </w:rPr>
        <w:t xml:space="preserve">                          </w:t>
      </w:r>
      <w:r>
        <w:rPr>
          <w:rStyle w:val="32"/>
          <w:color w:val="auto"/>
          <w:highlight w:val="none"/>
        </w:rPr>
        <w:t>资金流估算表（参考格式）</w:t>
      </w:r>
      <w:r>
        <w:rPr>
          <w:rStyle w:val="32"/>
          <w:rFonts w:hint="eastAsia"/>
          <w:color w:val="auto"/>
          <w:highlight w:val="none"/>
          <w:lang w:val="en-US"/>
        </w:rPr>
        <w:t xml:space="preserve">                   </w:t>
      </w:r>
      <w:r>
        <w:rPr>
          <w:rStyle w:val="32"/>
          <w:color w:val="auto"/>
          <w:highlight w:val="none"/>
        </w:rPr>
        <w:t>金额单位</w:t>
      </w:r>
      <w:r>
        <w:rPr>
          <w:rStyle w:val="32"/>
          <w:rFonts w:hint="eastAsia"/>
          <w:color w:val="auto"/>
          <w:highlight w:val="none"/>
        </w:rPr>
        <w:t>：</w:t>
      </w:r>
    </w:p>
    <w:tbl>
      <w:tblPr>
        <w:tblStyle w:val="30"/>
        <w:tblW w:w="0" w:type="auto"/>
        <w:jc w:val="center"/>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2E3EA7C0">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noWrap w:val="0"/>
            <w:vAlign w:val="center"/>
          </w:tcPr>
          <w:p w14:paraId="26837892">
            <w:pPr>
              <w:pStyle w:val="99"/>
              <w:pageBreakBefore w:val="0"/>
              <w:kinsoku/>
              <w:wordWrap/>
              <w:overflowPunct/>
              <w:topLinePunct w:val="0"/>
              <w:autoSpaceDE/>
              <w:autoSpaceDN/>
              <w:bidi w:val="0"/>
              <w:adjustRightInd/>
              <w:snapToGrid/>
              <w:spacing w:line="240" w:lineRule="auto"/>
              <w:ind w:firstLine="0"/>
              <w:textAlignment w:val="auto"/>
              <w:outlineLvl w:val="9"/>
              <w:rPr>
                <w:rStyle w:val="32"/>
                <w:color w:val="auto"/>
                <w:sz w:val="18"/>
                <w:szCs w:val="18"/>
                <w:highlight w:val="none"/>
              </w:rPr>
            </w:pPr>
            <w:r>
              <w:rPr>
                <w:rStyle w:val="32"/>
                <w:color w:val="auto"/>
                <w:sz w:val="18"/>
                <w:szCs w:val="18"/>
                <w:highlight w:val="none"/>
              </w:rPr>
              <w:t>年</w:t>
            </w:r>
          </w:p>
        </w:tc>
        <w:tc>
          <w:tcPr>
            <w:tcW w:w="283" w:type="dxa"/>
            <w:tcBorders>
              <w:top w:val="single" w:color="auto" w:sz="4" w:space="0"/>
              <w:left w:val="single" w:color="auto" w:sz="4" w:space="0"/>
            </w:tcBorders>
            <w:shd w:val="clear" w:color="auto" w:fill="FFFFFF"/>
            <w:noWrap w:val="0"/>
            <w:vAlign w:val="center"/>
          </w:tcPr>
          <w:p w14:paraId="77227DA1">
            <w:pPr>
              <w:pStyle w:val="99"/>
              <w:pageBreakBefore w:val="0"/>
              <w:kinsoku/>
              <w:wordWrap/>
              <w:overflowPunct/>
              <w:topLinePunct w:val="0"/>
              <w:autoSpaceDE/>
              <w:autoSpaceDN/>
              <w:bidi w:val="0"/>
              <w:adjustRightInd/>
              <w:snapToGrid/>
              <w:spacing w:line="240" w:lineRule="auto"/>
              <w:ind w:firstLine="0"/>
              <w:textAlignment w:val="auto"/>
              <w:outlineLvl w:val="9"/>
              <w:rPr>
                <w:rStyle w:val="32"/>
                <w:color w:val="auto"/>
                <w:sz w:val="18"/>
                <w:szCs w:val="18"/>
                <w:highlight w:val="none"/>
              </w:rPr>
            </w:pPr>
            <w:r>
              <w:rPr>
                <w:rStyle w:val="32"/>
                <w:color w:val="auto"/>
                <w:sz w:val="18"/>
                <w:szCs w:val="18"/>
                <w:highlight w:val="none"/>
              </w:rPr>
              <w:t>月</w:t>
            </w:r>
          </w:p>
        </w:tc>
        <w:tc>
          <w:tcPr>
            <w:tcW w:w="1022" w:type="dxa"/>
            <w:tcBorders>
              <w:top w:val="single" w:color="auto" w:sz="4" w:space="0"/>
              <w:left w:val="single" w:color="auto" w:sz="4" w:space="0"/>
            </w:tcBorders>
            <w:shd w:val="clear" w:color="auto" w:fill="FFFFFF"/>
            <w:noWrap w:val="0"/>
            <w:vAlign w:val="center"/>
          </w:tcPr>
          <w:p w14:paraId="51D49EBB">
            <w:pPr>
              <w:pStyle w:val="99"/>
              <w:pageBreakBefore w:val="0"/>
              <w:kinsoku/>
              <w:wordWrap/>
              <w:overflowPunct/>
              <w:topLinePunct w:val="0"/>
              <w:autoSpaceDE/>
              <w:autoSpaceDN/>
              <w:bidi w:val="0"/>
              <w:adjustRightInd/>
              <w:snapToGrid/>
              <w:spacing w:line="240" w:lineRule="auto"/>
              <w:ind w:firstLine="0"/>
              <w:textAlignment w:val="auto"/>
              <w:outlineLvl w:val="9"/>
              <w:rPr>
                <w:rStyle w:val="32"/>
                <w:color w:val="auto"/>
                <w:sz w:val="18"/>
                <w:szCs w:val="18"/>
                <w:highlight w:val="none"/>
              </w:rPr>
            </w:pPr>
            <w:r>
              <w:rPr>
                <w:rStyle w:val="32"/>
                <w:color w:val="auto"/>
                <w:sz w:val="18"/>
                <w:szCs w:val="18"/>
                <w:highlight w:val="none"/>
              </w:rPr>
              <w:t>工程预付款</w:t>
            </w:r>
          </w:p>
        </w:tc>
        <w:tc>
          <w:tcPr>
            <w:tcW w:w="1416" w:type="dxa"/>
            <w:tcBorders>
              <w:top w:val="single" w:color="auto" w:sz="4" w:space="0"/>
              <w:left w:val="single" w:color="auto" w:sz="4" w:space="0"/>
            </w:tcBorders>
            <w:shd w:val="clear" w:color="auto" w:fill="FFFFFF"/>
            <w:noWrap w:val="0"/>
            <w:vAlign w:val="center"/>
          </w:tcPr>
          <w:p w14:paraId="74B3CA08">
            <w:pPr>
              <w:pStyle w:val="99"/>
              <w:pageBreakBefore w:val="0"/>
              <w:kinsoku/>
              <w:wordWrap/>
              <w:overflowPunct/>
              <w:topLinePunct w:val="0"/>
              <w:autoSpaceDE/>
              <w:autoSpaceDN/>
              <w:bidi w:val="0"/>
              <w:adjustRightInd/>
              <w:snapToGrid/>
              <w:spacing w:line="240" w:lineRule="auto"/>
              <w:ind w:firstLine="0"/>
              <w:textAlignment w:val="auto"/>
              <w:outlineLvl w:val="9"/>
              <w:rPr>
                <w:rStyle w:val="32"/>
                <w:color w:val="auto"/>
                <w:sz w:val="18"/>
                <w:szCs w:val="18"/>
                <w:highlight w:val="none"/>
              </w:rPr>
            </w:pPr>
            <w:r>
              <w:rPr>
                <w:rStyle w:val="32"/>
                <w:color w:val="auto"/>
                <w:sz w:val="18"/>
                <w:szCs w:val="18"/>
                <w:highlight w:val="none"/>
              </w:rPr>
              <w:t>完成工作量付款</w:t>
            </w:r>
          </w:p>
        </w:tc>
        <w:tc>
          <w:tcPr>
            <w:tcW w:w="1022" w:type="dxa"/>
            <w:tcBorders>
              <w:top w:val="single" w:color="auto" w:sz="4" w:space="0"/>
              <w:left w:val="single" w:color="auto" w:sz="4" w:space="0"/>
            </w:tcBorders>
            <w:shd w:val="clear" w:color="auto" w:fill="FFFFFF"/>
            <w:noWrap w:val="0"/>
            <w:vAlign w:val="center"/>
          </w:tcPr>
          <w:p w14:paraId="121BE83A">
            <w:pPr>
              <w:pStyle w:val="99"/>
              <w:pageBreakBefore w:val="0"/>
              <w:kinsoku/>
              <w:wordWrap/>
              <w:overflowPunct/>
              <w:topLinePunct w:val="0"/>
              <w:autoSpaceDE/>
              <w:autoSpaceDN/>
              <w:bidi w:val="0"/>
              <w:adjustRightInd/>
              <w:snapToGrid/>
              <w:spacing w:line="240" w:lineRule="auto"/>
              <w:ind w:firstLine="0"/>
              <w:textAlignment w:val="auto"/>
              <w:outlineLvl w:val="9"/>
              <w:rPr>
                <w:rStyle w:val="32"/>
                <w:color w:val="auto"/>
                <w:sz w:val="18"/>
                <w:szCs w:val="18"/>
                <w:highlight w:val="none"/>
              </w:rPr>
            </w:pPr>
            <w:r>
              <w:rPr>
                <w:rStyle w:val="32"/>
                <w:color w:val="auto"/>
                <w:sz w:val="18"/>
                <w:szCs w:val="18"/>
                <w:highlight w:val="none"/>
              </w:rPr>
              <w:t>保留金扣留</w:t>
            </w:r>
          </w:p>
        </w:tc>
        <w:tc>
          <w:tcPr>
            <w:tcW w:w="1018" w:type="dxa"/>
            <w:tcBorders>
              <w:top w:val="single" w:color="auto" w:sz="4" w:space="0"/>
              <w:left w:val="single" w:color="auto" w:sz="4" w:space="0"/>
            </w:tcBorders>
            <w:shd w:val="clear" w:color="auto" w:fill="FFFFFF"/>
            <w:noWrap w:val="0"/>
            <w:vAlign w:val="center"/>
          </w:tcPr>
          <w:p w14:paraId="655FDA29">
            <w:pPr>
              <w:pStyle w:val="99"/>
              <w:pageBreakBefore w:val="0"/>
              <w:kinsoku/>
              <w:wordWrap/>
              <w:overflowPunct/>
              <w:topLinePunct w:val="0"/>
              <w:autoSpaceDE/>
              <w:autoSpaceDN/>
              <w:bidi w:val="0"/>
              <w:adjustRightInd/>
              <w:snapToGrid/>
              <w:spacing w:line="240" w:lineRule="auto"/>
              <w:ind w:firstLine="0"/>
              <w:jc w:val="right"/>
              <w:textAlignment w:val="auto"/>
              <w:outlineLvl w:val="9"/>
              <w:rPr>
                <w:rStyle w:val="32"/>
                <w:color w:val="auto"/>
                <w:sz w:val="18"/>
                <w:szCs w:val="18"/>
                <w:highlight w:val="none"/>
              </w:rPr>
            </w:pPr>
            <w:r>
              <w:rPr>
                <w:rStyle w:val="32"/>
                <w:color w:val="auto"/>
                <w:sz w:val="18"/>
                <w:szCs w:val="18"/>
                <w:highlight w:val="none"/>
              </w:rPr>
              <w:t>材料款扣除</w:t>
            </w:r>
          </w:p>
        </w:tc>
        <w:tc>
          <w:tcPr>
            <w:tcW w:w="1022" w:type="dxa"/>
            <w:tcBorders>
              <w:top w:val="single" w:color="auto" w:sz="4" w:space="0"/>
              <w:left w:val="single" w:color="auto" w:sz="4" w:space="0"/>
            </w:tcBorders>
            <w:shd w:val="clear" w:color="auto" w:fill="FFFFFF"/>
            <w:noWrap w:val="0"/>
            <w:vAlign w:val="center"/>
          </w:tcPr>
          <w:p w14:paraId="328F058E">
            <w:pPr>
              <w:pStyle w:val="99"/>
              <w:pageBreakBefore w:val="0"/>
              <w:kinsoku/>
              <w:wordWrap/>
              <w:overflowPunct/>
              <w:topLinePunct w:val="0"/>
              <w:autoSpaceDE/>
              <w:autoSpaceDN/>
              <w:bidi w:val="0"/>
              <w:adjustRightInd/>
              <w:snapToGrid/>
              <w:spacing w:line="240" w:lineRule="auto"/>
              <w:ind w:firstLine="0"/>
              <w:jc w:val="right"/>
              <w:textAlignment w:val="auto"/>
              <w:outlineLvl w:val="9"/>
              <w:rPr>
                <w:rStyle w:val="32"/>
                <w:color w:val="auto"/>
                <w:sz w:val="18"/>
                <w:szCs w:val="18"/>
                <w:highlight w:val="none"/>
              </w:rPr>
            </w:pPr>
            <w:r>
              <w:rPr>
                <w:rStyle w:val="32"/>
                <w:color w:val="auto"/>
                <w:sz w:val="18"/>
                <w:szCs w:val="18"/>
                <w:highlight w:val="none"/>
              </w:rPr>
              <w:t>预付款扣还</w:t>
            </w:r>
          </w:p>
        </w:tc>
        <w:tc>
          <w:tcPr>
            <w:tcW w:w="451" w:type="dxa"/>
            <w:tcBorders>
              <w:top w:val="single" w:color="auto" w:sz="4" w:space="0"/>
              <w:left w:val="single" w:color="auto" w:sz="4" w:space="0"/>
            </w:tcBorders>
            <w:shd w:val="clear" w:color="auto" w:fill="FFFFFF"/>
            <w:noWrap w:val="0"/>
            <w:vAlign w:val="center"/>
          </w:tcPr>
          <w:p w14:paraId="4D161748">
            <w:pPr>
              <w:pStyle w:val="99"/>
              <w:pageBreakBefore w:val="0"/>
              <w:kinsoku/>
              <w:wordWrap/>
              <w:overflowPunct/>
              <w:topLinePunct w:val="0"/>
              <w:autoSpaceDE/>
              <w:autoSpaceDN/>
              <w:bidi w:val="0"/>
              <w:adjustRightInd/>
              <w:snapToGrid/>
              <w:spacing w:line="240" w:lineRule="auto"/>
              <w:ind w:firstLine="0"/>
              <w:jc w:val="right"/>
              <w:textAlignment w:val="auto"/>
              <w:outlineLvl w:val="9"/>
              <w:rPr>
                <w:rStyle w:val="32"/>
                <w:color w:val="auto"/>
                <w:sz w:val="18"/>
                <w:szCs w:val="18"/>
                <w:highlight w:val="none"/>
              </w:rPr>
            </w:pPr>
            <w:r>
              <w:rPr>
                <w:rStyle w:val="32"/>
                <w:color w:val="auto"/>
                <w:sz w:val="18"/>
                <w:szCs w:val="18"/>
                <w:highlight w:val="none"/>
              </w:rPr>
              <w:t>其他</w:t>
            </w:r>
          </w:p>
        </w:tc>
        <w:tc>
          <w:tcPr>
            <w:tcW w:w="682" w:type="dxa"/>
            <w:tcBorders>
              <w:top w:val="single" w:color="auto" w:sz="4" w:space="0"/>
              <w:left w:val="single" w:color="auto" w:sz="4" w:space="0"/>
            </w:tcBorders>
            <w:shd w:val="clear" w:color="auto" w:fill="FFFFFF"/>
            <w:noWrap w:val="0"/>
            <w:vAlign w:val="center"/>
          </w:tcPr>
          <w:p w14:paraId="50BE3012">
            <w:pPr>
              <w:pStyle w:val="99"/>
              <w:pageBreakBefore w:val="0"/>
              <w:kinsoku/>
              <w:wordWrap/>
              <w:overflowPunct/>
              <w:topLinePunct w:val="0"/>
              <w:autoSpaceDE/>
              <w:autoSpaceDN/>
              <w:bidi w:val="0"/>
              <w:adjustRightInd/>
              <w:snapToGrid/>
              <w:spacing w:line="240" w:lineRule="auto"/>
              <w:ind w:firstLine="0"/>
              <w:jc w:val="right"/>
              <w:textAlignment w:val="auto"/>
              <w:outlineLvl w:val="9"/>
              <w:rPr>
                <w:rStyle w:val="32"/>
                <w:color w:val="auto"/>
                <w:sz w:val="18"/>
                <w:szCs w:val="18"/>
                <w:highlight w:val="none"/>
              </w:rPr>
            </w:pPr>
            <w:r>
              <w:rPr>
                <w:rStyle w:val="32"/>
                <w:color w:val="auto"/>
                <w:sz w:val="18"/>
                <w:szCs w:val="18"/>
                <w:highlight w:val="none"/>
              </w:rPr>
              <w:t>应收款</w:t>
            </w:r>
          </w:p>
        </w:tc>
        <w:tc>
          <w:tcPr>
            <w:tcW w:w="1142" w:type="dxa"/>
            <w:tcBorders>
              <w:top w:val="single" w:color="auto" w:sz="4" w:space="0"/>
              <w:left w:val="single" w:color="auto" w:sz="4" w:space="0"/>
              <w:right w:val="single" w:color="auto" w:sz="4" w:space="0"/>
            </w:tcBorders>
            <w:shd w:val="clear" w:color="auto" w:fill="FFFFFF"/>
            <w:noWrap w:val="0"/>
            <w:vAlign w:val="center"/>
          </w:tcPr>
          <w:p w14:paraId="37EB87F6">
            <w:pPr>
              <w:pStyle w:val="99"/>
              <w:pageBreakBefore w:val="0"/>
              <w:kinsoku/>
              <w:wordWrap/>
              <w:overflowPunct/>
              <w:topLinePunct w:val="0"/>
              <w:autoSpaceDE/>
              <w:autoSpaceDN/>
              <w:bidi w:val="0"/>
              <w:adjustRightInd/>
              <w:snapToGrid/>
              <w:spacing w:line="240" w:lineRule="auto"/>
              <w:ind w:firstLine="0"/>
              <w:jc w:val="center"/>
              <w:textAlignment w:val="auto"/>
              <w:outlineLvl w:val="9"/>
              <w:rPr>
                <w:rStyle w:val="32"/>
                <w:color w:val="auto"/>
                <w:sz w:val="18"/>
                <w:szCs w:val="18"/>
                <w:highlight w:val="none"/>
              </w:rPr>
            </w:pPr>
            <w:r>
              <w:rPr>
                <w:rStyle w:val="32"/>
                <w:color w:val="auto"/>
                <w:sz w:val="18"/>
                <w:szCs w:val="18"/>
                <w:highlight w:val="none"/>
              </w:rPr>
              <w:t>累计应收款</w:t>
            </w:r>
          </w:p>
        </w:tc>
      </w:tr>
      <w:tr w14:paraId="53CA5F27">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noWrap w:val="0"/>
            <w:vAlign w:val="top"/>
          </w:tcPr>
          <w:p w14:paraId="7B1B3E0A">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283" w:type="dxa"/>
            <w:tcBorders>
              <w:top w:val="single" w:color="auto" w:sz="4" w:space="0"/>
              <w:left w:val="single" w:color="auto" w:sz="4" w:space="0"/>
            </w:tcBorders>
            <w:shd w:val="clear" w:color="auto" w:fill="FFFFFF"/>
            <w:noWrap w:val="0"/>
            <w:vAlign w:val="top"/>
          </w:tcPr>
          <w:p w14:paraId="13017DC8">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tcBorders>
            <w:shd w:val="clear" w:color="auto" w:fill="FFFFFF"/>
            <w:noWrap w:val="0"/>
            <w:vAlign w:val="top"/>
          </w:tcPr>
          <w:p w14:paraId="08A8C4D6">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416" w:type="dxa"/>
            <w:tcBorders>
              <w:top w:val="single" w:color="auto" w:sz="4" w:space="0"/>
              <w:left w:val="single" w:color="auto" w:sz="4" w:space="0"/>
            </w:tcBorders>
            <w:shd w:val="clear" w:color="auto" w:fill="FFFFFF"/>
            <w:noWrap w:val="0"/>
            <w:vAlign w:val="top"/>
          </w:tcPr>
          <w:p w14:paraId="1476BED9">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tcBorders>
            <w:shd w:val="clear" w:color="auto" w:fill="FFFFFF"/>
            <w:noWrap w:val="0"/>
            <w:vAlign w:val="top"/>
          </w:tcPr>
          <w:p w14:paraId="14352621">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18" w:type="dxa"/>
            <w:tcBorders>
              <w:top w:val="single" w:color="auto" w:sz="4" w:space="0"/>
              <w:left w:val="single" w:color="auto" w:sz="4" w:space="0"/>
            </w:tcBorders>
            <w:shd w:val="clear" w:color="auto" w:fill="FFFFFF"/>
            <w:noWrap w:val="0"/>
            <w:vAlign w:val="top"/>
          </w:tcPr>
          <w:p w14:paraId="46633609">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tcBorders>
            <w:shd w:val="clear" w:color="auto" w:fill="FFFFFF"/>
            <w:noWrap w:val="0"/>
            <w:vAlign w:val="top"/>
          </w:tcPr>
          <w:p w14:paraId="21A1A08E">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451" w:type="dxa"/>
            <w:tcBorders>
              <w:top w:val="single" w:color="auto" w:sz="4" w:space="0"/>
              <w:left w:val="single" w:color="auto" w:sz="4" w:space="0"/>
            </w:tcBorders>
            <w:shd w:val="clear" w:color="auto" w:fill="FFFFFF"/>
            <w:noWrap w:val="0"/>
            <w:vAlign w:val="top"/>
          </w:tcPr>
          <w:p w14:paraId="4A898254">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682" w:type="dxa"/>
            <w:tcBorders>
              <w:top w:val="single" w:color="auto" w:sz="4" w:space="0"/>
              <w:left w:val="single" w:color="auto" w:sz="4" w:space="0"/>
            </w:tcBorders>
            <w:shd w:val="clear" w:color="auto" w:fill="FFFFFF"/>
            <w:noWrap w:val="0"/>
            <w:vAlign w:val="top"/>
          </w:tcPr>
          <w:p w14:paraId="008B179B">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159EE103">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r>
      <w:tr w14:paraId="5D31BCA7">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noWrap w:val="0"/>
            <w:vAlign w:val="top"/>
          </w:tcPr>
          <w:p w14:paraId="1FD668C0">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283" w:type="dxa"/>
            <w:tcBorders>
              <w:top w:val="single" w:color="auto" w:sz="4" w:space="0"/>
              <w:left w:val="single" w:color="auto" w:sz="4" w:space="0"/>
            </w:tcBorders>
            <w:shd w:val="clear" w:color="auto" w:fill="FFFFFF"/>
            <w:noWrap w:val="0"/>
            <w:vAlign w:val="top"/>
          </w:tcPr>
          <w:p w14:paraId="52931EDC">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tcBorders>
            <w:shd w:val="clear" w:color="auto" w:fill="FFFFFF"/>
            <w:noWrap w:val="0"/>
            <w:vAlign w:val="top"/>
          </w:tcPr>
          <w:p w14:paraId="0286E4ED">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416" w:type="dxa"/>
            <w:tcBorders>
              <w:top w:val="single" w:color="auto" w:sz="4" w:space="0"/>
              <w:left w:val="single" w:color="auto" w:sz="4" w:space="0"/>
            </w:tcBorders>
            <w:shd w:val="clear" w:color="auto" w:fill="FFFFFF"/>
            <w:noWrap w:val="0"/>
            <w:vAlign w:val="top"/>
          </w:tcPr>
          <w:p w14:paraId="09E85253">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tcBorders>
            <w:shd w:val="clear" w:color="auto" w:fill="FFFFFF"/>
            <w:noWrap w:val="0"/>
            <w:vAlign w:val="top"/>
          </w:tcPr>
          <w:p w14:paraId="47723076">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18" w:type="dxa"/>
            <w:tcBorders>
              <w:top w:val="single" w:color="auto" w:sz="4" w:space="0"/>
              <w:left w:val="single" w:color="auto" w:sz="4" w:space="0"/>
            </w:tcBorders>
            <w:shd w:val="clear" w:color="auto" w:fill="FFFFFF"/>
            <w:noWrap w:val="0"/>
            <w:vAlign w:val="top"/>
          </w:tcPr>
          <w:p w14:paraId="1D492BCB">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tcBorders>
            <w:shd w:val="clear" w:color="auto" w:fill="FFFFFF"/>
            <w:noWrap w:val="0"/>
            <w:vAlign w:val="top"/>
          </w:tcPr>
          <w:p w14:paraId="76C16112">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451" w:type="dxa"/>
            <w:tcBorders>
              <w:top w:val="single" w:color="auto" w:sz="4" w:space="0"/>
              <w:left w:val="single" w:color="auto" w:sz="4" w:space="0"/>
            </w:tcBorders>
            <w:shd w:val="clear" w:color="auto" w:fill="FFFFFF"/>
            <w:noWrap w:val="0"/>
            <w:vAlign w:val="top"/>
          </w:tcPr>
          <w:p w14:paraId="25AF9955">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682" w:type="dxa"/>
            <w:tcBorders>
              <w:top w:val="single" w:color="auto" w:sz="4" w:space="0"/>
              <w:left w:val="single" w:color="auto" w:sz="4" w:space="0"/>
            </w:tcBorders>
            <w:shd w:val="clear" w:color="auto" w:fill="FFFFFF"/>
            <w:noWrap w:val="0"/>
            <w:vAlign w:val="top"/>
          </w:tcPr>
          <w:p w14:paraId="5C7BABF5">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5F2F9DAF">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r>
      <w:tr w14:paraId="5C213A0C">
        <w:tblPrEx>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tcBorders>
            <w:shd w:val="clear" w:color="auto" w:fill="FFFFFF"/>
            <w:noWrap w:val="0"/>
            <w:vAlign w:val="top"/>
          </w:tcPr>
          <w:p w14:paraId="32D0EF70">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283" w:type="dxa"/>
            <w:tcBorders>
              <w:top w:val="single" w:color="auto" w:sz="4" w:space="0"/>
              <w:left w:val="single" w:color="auto" w:sz="4" w:space="0"/>
              <w:bottom w:val="single" w:color="auto" w:sz="4" w:space="0"/>
            </w:tcBorders>
            <w:shd w:val="clear" w:color="auto" w:fill="FFFFFF"/>
            <w:noWrap w:val="0"/>
            <w:vAlign w:val="top"/>
          </w:tcPr>
          <w:p w14:paraId="34D3F7ED">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bottom w:val="single" w:color="auto" w:sz="4" w:space="0"/>
            </w:tcBorders>
            <w:shd w:val="clear" w:color="auto" w:fill="FFFFFF"/>
            <w:noWrap w:val="0"/>
            <w:vAlign w:val="top"/>
          </w:tcPr>
          <w:p w14:paraId="130F41A6">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0C9787C1">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bottom w:val="single" w:color="auto" w:sz="4" w:space="0"/>
            </w:tcBorders>
            <w:shd w:val="clear" w:color="auto" w:fill="FFFFFF"/>
            <w:noWrap w:val="0"/>
            <w:vAlign w:val="top"/>
          </w:tcPr>
          <w:p w14:paraId="13FE9462">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18" w:type="dxa"/>
            <w:tcBorders>
              <w:top w:val="single" w:color="auto" w:sz="4" w:space="0"/>
              <w:left w:val="single" w:color="auto" w:sz="4" w:space="0"/>
              <w:bottom w:val="single" w:color="auto" w:sz="4" w:space="0"/>
            </w:tcBorders>
            <w:shd w:val="clear" w:color="auto" w:fill="FFFFFF"/>
            <w:noWrap w:val="0"/>
            <w:vAlign w:val="top"/>
          </w:tcPr>
          <w:p w14:paraId="6E0FEAE7">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022" w:type="dxa"/>
            <w:tcBorders>
              <w:top w:val="single" w:color="auto" w:sz="4" w:space="0"/>
              <w:left w:val="single" w:color="auto" w:sz="4" w:space="0"/>
              <w:bottom w:val="single" w:color="auto" w:sz="4" w:space="0"/>
            </w:tcBorders>
            <w:shd w:val="clear" w:color="auto" w:fill="FFFFFF"/>
            <w:noWrap w:val="0"/>
            <w:vAlign w:val="top"/>
          </w:tcPr>
          <w:p w14:paraId="1993B686">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451" w:type="dxa"/>
            <w:tcBorders>
              <w:top w:val="single" w:color="auto" w:sz="4" w:space="0"/>
              <w:left w:val="single" w:color="auto" w:sz="4" w:space="0"/>
              <w:bottom w:val="single" w:color="auto" w:sz="4" w:space="0"/>
            </w:tcBorders>
            <w:shd w:val="clear" w:color="auto" w:fill="FFFFFF"/>
            <w:noWrap w:val="0"/>
            <w:vAlign w:val="top"/>
          </w:tcPr>
          <w:p w14:paraId="61BE7796">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18F139B3">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3653ECA">
            <w:pPr>
              <w:pStyle w:val="95"/>
              <w:pageBreakBefore w:val="0"/>
              <w:kinsoku/>
              <w:wordWrap/>
              <w:overflowPunct/>
              <w:topLinePunct w:val="0"/>
              <w:autoSpaceDE/>
              <w:autoSpaceDN/>
              <w:bidi w:val="0"/>
              <w:adjustRightInd/>
              <w:snapToGrid/>
              <w:textAlignment w:val="auto"/>
              <w:outlineLvl w:val="9"/>
              <w:rPr>
                <w:rStyle w:val="32"/>
                <w:rFonts w:ascii="Times New Roman" w:hAnsi="Times New Roman" w:cs="Times New Roman"/>
                <w:color w:val="auto"/>
                <w:sz w:val="18"/>
                <w:szCs w:val="18"/>
                <w:highlight w:val="none"/>
              </w:rPr>
            </w:pPr>
          </w:p>
        </w:tc>
      </w:tr>
    </w:tbl>
    <w:p w14:paraId="5F0D6636">
      <w:pPr>
        <w:pStyle w:val="95"/>
        <w:pageBreakBefore w:val="0"/>
        <w:kinsoku/>
        <w:wordWrap/>
        <w:overflowPunct/>
        <w:topLinePunct w:val="0"/>
        <w:autoSpaceDE/>
        <w:autoSpaceDN/>
        <w:bidi w:val="0"/>
        <w:adjustRightInd/>
        <w:snapToGrid/>
        <w:spacing w:after="579" w:line="1" w:lineRule="exact"/>
        <w:textAlignment w:val="auto"/>
        <w:outlineLvl w:val="9"/>
        <w:rPr>
          <w:rStyle w:val="32"/>
          <w:rFonts w:ascii="Times New Roman" w:hAnsi="Times New Roman" w:cs="Times New Roman"/>
          <w:color w:val="auto"/>
          <w:highlight w:val="none"/>
        </w:rPr>
      </w:pPr>
    </w:p>
    <w:p w14:paraId="2CAD163D">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614" w:name="bookmark1166"/>
      <w:bookmarkEnd w:id="614"/>
      <w:bookmarkStart w:id="615" w:name="bookmark1167"/>
      <w:bookmarkStart w:id="616" w:name="_Toc14490"/>
      <w:bookmarkStart w:id="617" w:name="bookmark1165"/>
      <w:bookmarkStart w:id="618" w:name="_Toc24903"/>
      <w:bookmarkStart w:id="619" w:name="bookmark1164"/>
      <w:bookmarkStart w:id="620" w:name="_Toc256000083"/>
      <w:r>
        <w:rPr>
          <w:rStyle w:val="32"/>
          <w:rFonts w:hint="eastAsia" w:cs="Times New Roman"/>
          <w:color w:val="auto"/>
          <w:highlight w:val="none"/>
          <w:lang w:eastAsia="zh-CN"/>
        </w:rPr>
        <w:t>11. 开工和竣工（完工）</w:t>
      </w:r>
      <w:bookmarkEnd w:id="615"/>
      <w:bookmarkEnd w:id="616"/>
      <w:bookmarkEnd w:id="617"/>
      <w:bookmarkEnd w:id="618"/>
      <w:bookmarkEnd w:id="619"/>
      <w:bookmarkEnd w:id="620"/>
    </w:p>
    <w:p w14:paraId="5F66A66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21" w:name="bookmark1170"/>
      <w:bookmarkStart w:id="622" w:name="bookmark1169"/>
      <w:bookmarkStart w:id="623" w:name="bookmark1168"/>
      <w:bookmarkStart w:id="624" w:name="_Toc23713"/>
      <w:bookmarkStart w:id="625" w:name="_Toc21224"/>
      <w:bookmarkStart w:id="626" w:name="_Toc256000084"/>
      <w:r>
        <w:rPr>
          <w:rStyle w:val="32"/>
          <w:rFonts w:ascii="宋体" w:hAnsi="宋体" w:cs="Times New Roman"/>
          <w:color w:val="auto"/>
          <w:sz w:val="24"/>
          <w:szCs w:val="24"/>
          <w:highlight w:val="none"/>
          <w:lang w:eastAsia="zh-CN"/>
        </w:rPr>
        <w:t>11.1 开工</w:t>
      </w:r>
      <w:bookmarkEnd w:id="621"/>
      <w:bookmarkEnd w:id="622"/>
      <w:bookmarkEnd w:id="623"/>
      <w:bookmarkEnd w:id="624"/>
      <w:bookmarkEnd w:id="625"/>
      <w:bookmarkEnd w:id="626"/>
    </w:p>
    <w:p w14:paraId="4302409A">
      <w:pPr>
        <w:pStyle w:val="97"/>
        <w:pageBreakBefore w:val="0"/>
        <w:kinsoku/>
        <w:wordWrap/>
        <w:overflowPunct/>
        <w:topLinePunct w:val="0"/>
        <w:autoSpaceDE/>
        <w:autoSpaceDN/>
        <w:bidi w:val="0"/>
        <w:adjustRightInd/>
        <w:snapToGrid/>
        <w:spacing w:line="351" w:lineRule="exact"/>
        <w:ind w:firstLine="42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.1.1</w:t>
      </w:r>
      <w:r>
        <w:rPr>
          <w:rStyle w:val="32"/>
          <w:color w:val="auto"/>
          <w:highlight w:val="none"/>
        </w:rPr>
        <w:t>监理人应在开工日期</w:t>
      </w:r>
      <w:r>
        <w:rPr>
          <w:rStyle w:val="32"/>
          <w:rFonts w:ascii="Times New Roman" w:hAnsi="Times New Roman" w:eastAsia="Times New Roman" w:cs="Times New Roman"/>
          <w:color w:val="auto"/>
          <w:highlight w:val="none"/>
        </w:rPr>
        <w:t>7</w:t>
      </w:r>
      <w:r>
        <w:rPr>
          <w:rStyle w:val="32"/>
          <w:color w:val="auto"/>
          <w:highlight w:val="none"/>
        </w:rPr>
        <w:t>天前向承包人发出开工通知。监理人在发出开工通知前应获得发包人同意。工期自监理人发出的开工通知中载明的开工日期起计算。承包人应 在开工日期后尽快施工。</w:t>
      </w:r>
    </w:p>
    <w:p w14:paraId="53E9465A">
      <w:pPr>
        <w:pStyle w:val="97"/>
        <w:pageBreakBefore w:val="0"/>
        <w:kinsoku/>
        <w:wordWrap/>
        <w:overflowPunct/>
        <w:topLinePunct w:val="0"/>
        <w:autoSpaceDE/>
        <w:autoSpaceDN/>
        <w:bidi w:val="0"/>
        <w:adjustRightInd/>
        <w:snapToGrid/>
        <w:spacing w:line="351" w:lineRule="exact"/>
        <w:ind w:firstLine="42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.1.</w:t>
      </w:r>
      <w:r>
        <w:rPr>
          <w:rStyle w:val="32"/>
          <w:rFonts w:ascii="Times New Roman" w:hAnsi="Times New Roman" w:eastAsia="Times New Roman" w:cs="Times New Roman"/>
          <w:color w:val="auto"/>
          <w:highlight w:val="none"/>
        </w:rPr>
        <w:t>2</w:t>
      </w:r>
      <w:r>
        <w:rPr>
          <w:rStyle w:val="32"/>
          <w:color w:val="auto"/>
          <w:highlight w:val="none"/>
        </w:rPr>
        <w:t>承包人应按第</w:t>
      </w:r>
      <w:r>
        <w:rPr>
          <w:rStyle w:val="32"/>
          <w:rFonts w:ascii="Times New Roman" w:hAnsi="Times New Roman" w:eastAsia="Times New Roman" w:cs="Times New Roman"/>
          <w:color w:val="auto"/>
          <w:highlight w:val="none"/>
          <w:lang w:val="en-US" w:bidi="en-US"/>
        </w:rPr>
        <w:t xml:space="preserve">10. </w:t>
      </w:r>
      <w:r>
        <w:rPr>
          <w:rStyle w:val="32"/>
          <w:rFonts w:ascii="Times New Roman" w:hAnsi="Times New Roman" w:eastAsia="Times New Roman" w:cs="Times New Roman"/>
          <w:color w:val="auto"/>
          <w:highlight w:val="none"/>
        </w:rPr>
        <w:t>1</w:t>
      </w:r>
      <w:r>
        <w:rPr>
          <w:rStyle w:val="32"/>
          <w:color w:val="auto"/>
          <w:highlight w:val="none"/>
        </w:rPr>
        <w:t>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5923E9A1">
      <w:pPr>
        <w:pStyle w:val="97"/>
        <w:pageBreakBefore w:val="0"/>
        <w:kinsoku/>
        <w:wordWrap/>
        <w:overflowPunct/>
        <w:topLinePunct w:val="0"/>
        <w:autoSpaceDE/>
        <w:autoSpaceDN/>
        <w:bidi w:val="0"/>
        <w:adjustRightInd/>
        <w:snapToGrid/>
        <w:spacing w:line="351" w:lineRule="exact"/>
        <w:ind w:firstLine="42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.1.3</w:t>
      </w:r>
      <w:r>
        <w:rPr>
          <w:rStyle w:val="32"/>
          <w:color w:val="auto"/>
          <w:highlight w:val="none"/>
        </w:rPr>
        <w:t>若发包人未能按合同约定向承包人提供开工的必要条件，承包人有权要求延 长工期。监理人应在收到承包人的书面要求后，按第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款的约定，与合同双方商定或确定增加的费用和延长的工期。</w:t>
      </w:r>
    </w:p>
    <w:p w14:paraId="22B6BC7B">
      <w:pPr>
        <w:pStyle w:val="97"/>
        <w:pageBreakBefore w:val="0"/>
        <w:kinsoku/>
        <w:wordWrap/>
        <w:overflowPunct/>
        <w:topLinePunct w:val="0"/>
        <w:autoSpaceDE/>
        <w:autoSpaceDN/>
        <w:bidi w:val="0"/>
        <w:adjustRightInd/>
        <w:snapToGrid/>
        <w:spacing w:after="140" w:line="351" w:lineRule="exact"/>
        <w:ind w:firstLine="42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.1.4</w:t>
      </w:r>
      <w:r>
        <w:rPr>
          <w:rStyle w:val="32"/>
          <w:color w:val="auto"/>
          <w:highlight w:val="none"/>
        </w:rPr>
        <w:t>承包人在接到开工通知后</w:t>
      </w:r>
      <w:r>
        <w:rPr>
          <w:rStyle w:val="32"/>
          <w:rFonts w:ascii="Times New Roman" w:hAnsi="Times New Roman" w:eastAsia="Times New Roman" w:cs="Times New Roman"/>
          <w:color w:val="auto"/>
          <w:highlight w:val="none"/>
        </w:rPr>
        <w:t>14</w:t>
      </w:r>
      <w:r>
        <w:rPr>
          <w:rStyle w:val="32"/>
          <w:color w:val="auto"/>
          <w:highlight w:val="none"/>
        </w:rPr>
        <w:t>天内未按进度计划要求及时进场组织施工，监理人可通知承包人在接到通知后</w:t>
      </w:r>
      <w:r>
        <w:rPr>
          <w:rStyle w:val="32"/>
          <w:rFonts w:ascii="Times New Roman" w:hAnsi="Times New Roman" w:eastAsia="Times New Roman" w:cs="Times New Roman"/>
          <w:color w:val="auto"/>
          <w:highlight w:val="none"/>
        </w:rPr>
        <w:t>7</w:t>
      </w:r>
      <w:r>
        <w:rPr>
          <w:rStyle w:val="32"/>
          <w:color w:val="auto"/>
          <w:highlight w:val="none"/>
        </w:rPr>
        <w:t>天内提交一份说明其进场延误的书面报告，报送监理人。书面报告应说明不能及时进场的原因和补救措施，由此增加的费用和工期延误责任由承包人承担。</w:t>
      </w:r>
    </w:p>
    <w:p w14:paraId="7F7F77C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27" w:name="bookmark1172"/>
      <w:bookmarkStart w:id="628" w:name="_Toc29025"/>
      <w:bookmarkStart w:id="629" w:name="_Toc19403"/>
      <w:bookmarkStart w:id="630" w:name="bookmark1173"/>
      <w:bookmarkStart w:id="631" w:name="_Toc256000085"/>
      <w:bookmarkStart w:id="632" w:name="bookmark1171"/>
      <w:r>
        <w:rPr>
          <w:rStyle w:val="32"/>
          <w:rFonts w:ascii="宋体" w:hAnsi="宋体" w:cs="Times New Roman"/>
          <w:color w:val="auto"/>
          <w:sz w:val="24"/>
          <w:szCs w:val="24"/>
          <w:highlight w:val="none"/>
          <w:lang w:eastAsia="zh-CN"/>
        </w:rPr>
        <w:t>11.2竣工(完工)</w:t>
      </w:r>
      <w:bookmarkEnd w:id="627"/>
      <w:bookmarkEnd w:id="628"/>
      <w:bookmarkEnd w:id="629"/>
      <w:bookmarkEnd w:id="630"/>
      <w:bookmarkEnd w:id="631"/>
      <w:bookmarkEnd w:id="632"/>
    </w:p>
    <w:p w14:paraId="7A90207E">
      <w:pPr>
        <w:pStyle w:val="97"/>
        <w:pageBreakBefore w:val="0"/>
        <w:kinsoku/>
        <w:wordWrap/>
        <w:overflowPunct/>
        <w:topLinePunct w:val="0"/>
        <w:autoSpaceDE/>
        <w:autoSpaceDN/>
        <w:bidi w:val="0"/>
        <w:adjustRightInd/>
        <w:snapToGrid/>
        <w:spacing w:after="140" w:line="366" w:lineRule="exact"/>
        <w:ind w:firstLine="440"/>
        <w:jc w:val="both"/>
        <w:textAlignment w:val="auto"/>
        <w:outlineLvl w:val="9"/>
        <w:rPr>
          <w:rStyle w:val="32"/>
          <w:color w:val="auto"/>
          <w:highlight w:val="none"/>
        </w:rPr>
      </w:pPr>
      <w:r>
        <w:rPr>
          <w:rStyle w:val="32"/>
          <w:color w:val="auto"/>
          <w:highlight w:val="none"/>
        </w:rPr>
        <w:t>承包人应在第</w:t>
      </w:r>
      <w:r>
        <w:rPr>
          <w:rStyle w:val="32"/>
          <w:rFonts w:ascii="Times New Roman" w:hAnsi="Times New Roman" w:eastAsia="Times New Roman" w:cs="Times New Roman"/>
          <w:color w:val="auto"/>
          <w:highlight w:val="none"/>
          <w:lang w:val="en-US" w:bidi="en-US"/>
        </w:rPr>
        <w:t xml:space="preserve">1.1. 4. </w:t>
      </w:r>
      <w:r>
        <w:rPr>
          <w:rStyle w:val="32"/>
          <w:rFonts w:ascii="Times New Roman" w:hAnsi="Times New Roman" w:eastAsia="Times New Roman" w:cs="Times New Roman"/>
          <w:color w:val="auto"/>
          <w:highlight w:val="none"/>
        </w:rPr>
        <w:t>3</w:t>
      </w:r>
      <w:r>
        <w:rPr>
          <w:rStyle w:val="32"/>
          <w:color w:val="auto"/>
          <w:highlight w:val="none"/>
        </w:rPr>
        <w:t>目约定的期限内完成合同工程。合同工程实际完工时间在合同工程完工证书中明确</w:t>
      </w:r>
      <w:r>
        <w:rPr>
          <w:rStyle w:val="32"/>
          <w:rFonts w:hint="eastAsia"/>
          <w:color w:val="auto"/>
          <w:highlight w:val="none"/>
        </w:rPr>
        <w:t>（</w:t>
      </w:r>
      <w:r>
        <w:rPr>
          <w:rStyle w:val="32"/>
          <w:color w:val="auto"/>
          <w:highlight w:val="none"/>
        </w:rPr>
        <w:t>以完工验收鉴定书或竣工验收鉴定书标明的验收日期为准，没有标明验收日期的则以印发鉴定书的日期为准</w:t>
      </w:r>
      <w:r>
        <w:rPr>
          <w:rStyle w:val="32"/>
          <w:rFonts w:hint="eastAsia"/>
          <w:color w:val="auto"/>
          <w:highlight w:val="none"/>
        </w:rPr>
        <w:t>）</w:t>
      </w:r>
      <w:r>
        <w:rPr>
          <w:rStyle w:val="32"/>
          <w:rFonts w:hint="eastAsia" w:ascii="Times New Roman" w:hAnsi="Times New Roman" w:cs="Times New Roman"/>
          <w:color w:val="auto"/>
          <w:highlight w:val="none"/>
          <w:lang w:val="en-US" w:bidi="en-US"/>
        </w:rPr>
        <w:t>。</w:t>
      </w:r>
    </w:p>
    <w:p w14:paraId="148E5D9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33" w:name="bookmark1176"/>
      <w:bookmarkStart w:id="634" w:name="_Toc1391"/>
      <w:bookmarkStart w:id="635" w:name="_Toc7284"/>
      <w:bookmarkStart w:id="636" w:name="bookmark1175"/>
      <w:bookmarkStart w:id="637" w:name="bookmark1174"/>
      <w:bookmarkStart w:id="638" w:name="_Toc256000086"/>
      <w:r>
        <w:rPr>
          <w:rStyle w:val="32"/>
          <w:rFonts w:ascii="宋体" w:hAnsi="宋体" w:cs="Times New Roman"/>
          <w:color w:val="auto"/>
          <w:sz w:val="24"/>
          <w:szCs w:val="24"/>
          <w:highlight w:val="none"/>
          <w:lang w:eastAsia="zh-CN"/>
        </w:rPr>
        <w:t>11.3发包人的工期延误</w:t>
      </w:r>
      <w:bookmarkEnd w:id="633"/>
      <w:bookmarkEnd w:id="634"/>
      <w:bookmarkEnd w:id="635"/>
      <w:bookmarkEnd w:id="636"/>
      <w:bookmarkEnd w:id="637"/>
      <w:bookmarkEnd w:id="638"/>
    </w:p>
    <w:p w14:paraId="1DA91FC5">
      <w:pPr>
        <w:pStyle w:val="97"/>
        <w:pageBreakBefore w:val="0"/>
        <w:kinsoku/>
        <w:wordWrap/>
        <w:overflowPunct/>
        <w:topLinePunct w:val="0"/>
        <w:autoSpaceDE/>
        <w:autoSpaceDN/>
        <w:bidi w:val="0"/>
        <w:adjustRightInd/>
        <w:snapToGrid/>
        <w:spacing w:after="140" w:line="360" w:lineRule="exact"/>
        <w:ind w:firstLine="440"/>
        <w:jc w:val="both"/>
        <w:textAlignment w:val="auto"/>
        <w:outlineLvl w:val="9"/>
        <w:rPr>
          <w:rStyle w:val="32"/>
          <w:color w:val="auto"/>
          <w:highlight w:val="none"/>
        </w:rPr>
      </w:pPr>
      <w:r>
        <w:rPr>
          <w:rStyle w:val="32"/>
          <w:color w:val="auto"/>
          <w:highlight w:val="none"/>
        </w:rPr>
        <w:t>在履行合同过程中，由于发包人的下列原因造成工期延误的，承包人有权要求发包人延长工期和(或)增加费用，并支付合理利润。需要修订合同进度计划的，按照第</w:t>
      </w:r>
      <w:r>
        <w:rPr>
          <w:rStyle w:val="32"/>
          <w:rFonts w:ascii="Times New Roman" w:hAnsi="Times New Roman" w:eastAsia="Times New Roman" w:cs="Times New Roman"/>
          <w:color w:val="auto"/>
          <w:highlight w:val="none"/>
          <w:lang w:val="en-US" w:bidi="en-US"/>
        </w:rPr>
        <w:t xml:space="preserve">10. </w:t>
      </w:r>
      <w:r>
        <w:rPr>
          <w:rStyle w:val="32"/>
          <w:rFonts w:ascii="Times New Roman" w:hAnsi="Times New Roman" w:eastAsia="Times New Roman" w:cs="Times New Roman"/>
          <w:color w:val="auto"/>
          <w:highlight w:val="none"/>
        </w:rPr>
        <w:t>2</w:t>
      </w:r>
      <w:r>
        <w:rPr>
          <w:rStyle w:val="32"/>
          <w:color w:val="auto"/>
          <w:highlight w:val="none"/>
        </w:rPr>
        <w:t>款的约定办理。</w:t>
      </w:r>
    </w:p>
    <w:p w14:paraId="4B888E37">
      <w:pPr>
        <w:pStyle w:val="97"/>
        <w:pageBreakBefore w:val="0"/>
        <w:numPr>
          <w:ilvl w:val="0"/>
          <w:numId w:val="11"/>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639" w:name="bookmark1177"/>
      <w:bookmarkEnd w:id="639"/>
      <w:r>
        <w:rPr>
          <w:rStyle w:val="32"/>
          <w:color w:val="auto"/>
          <w:highlight w:val="none"/>
        </w:rPr>
        <w:t>增加合同工作内容；</w:t>
      </w:r>
    </w:p>
    <w:p w14:paraId="73B50E81">
      <w:pPr>
        <w:pStyle w:val="97"/>
        <w:pageBreakBefore w:val="0"/>
        <w:numPr>
          <w:ilvl w:val="0"/>
          <w:numId w:val="11"/>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40" w:name="bookmark1178"/>
      <w:bookmarkEnd w:id="640"/>
      <w:r>
        <w:rPr>
          <w:rStyle w:val="32"/>
          <w:color w:val="auto"/>
          <w:highlight w:val="none"/>
        </w:rPr>
        <w:t>改变合同中任何一项工作的质量要求或其他特性；</w:t>
      </w:r>
    </w:p>
    <w:p w14:paraId="39462BCE">
      <w:pPr>
        <w:pStyle w:val="97"/>
        <w:pageBreakBefore w:val="0"/>
        <w:numPr>
          <w:ilvl w:val="0"/>
          <w:numId w:val="11"/>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41" w:name="bookmark1179"/>
      <w:bookmarkEnd w:id="641"/>
      <w:r>
        <w:rPr>
          <w:rStyle w:val="32"/>
          <w:color w:val="auto"/>
          <w:highlight w:val="none"/>
        </w:rPr>
        <w:t>发包人迟延提供材料、工程设备或变更交货地点的；</w:t>
      </w:r>
    </w:p>
    <w:p w14:paraId="53F0869B">
      <w:pPr>
        <w:pStyle w:val="97"/>
        <w:pageBreakBefore w:val="0"/>
        <w:numPr>
          <w:ilvl w:val="0"/>
          <w:numId w:val="11"/>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42" w:name="bookmark1180"/>
      <w:bookmarkEnd w:id="642"/>
      <w:r>
        <w:rPr>
          <w:rStyle w:val="32"/>
          <w:color w:val="auto"/>
          <w:highlight w:val="none"/>
        </w:rPr>
        <w:t>因发包人原因导致的暂停施工；</w:t>
      </w:r>
    </w:p>
    <w:p w14:paraId="6BEB3C31">
      <w:pPr>
        <w:pStyle w:val="97"/>
        <w:pageBreakBefore w:val="0"/>
        <w:numPr>
          <w:ilvl w:val="0"/>
          <w:numId w:val="11"/>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43" w:name="bookmark1181"/>
      <w:bookmarkEnd w:id="643"/>
      <w:r>
        <w:rPr>
          <w:rStyle w:val="32"/>
          <w:color w:val="auto"/>
          <w:highlight w:val="none"/>
        </w:rPr>
        <w:t>提供图纸延误；</w:t>
      </w:r>
    </w:p>
    <w:p w14:paraId="7D56380D">
      <w:pPr>
        <w:pStyle w:val="97"/>
        <w:pageBreakBefore w:val="0"/>
        <w:numPr>
          <w:ilvl w:val="0"/>
          <w:numId w:val="11"/>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44" w:name="bookmark1182"/>
      <w:bookmarkEnd w:id="644"/>
      <w:r>
        <w:rPr>
          <w:rStyle w:val="32"/>
          <w:color w:val="auto"/>
          <w:highlight w:val="none"/>
        </w:rPr>
        <w:t>未按合同约定及时支付预付款、进度款；</w:t>
      </w:r>
    </w:p>
    <w:p w14:paraId="70AB5EE8">
      <w:pPr>
        <w:pStyle w:val="97"/>
        <w:pageBreakBefore w:val="0"/>
        <w:numPr>
          <w:ilvl w:val="0"/>
          <w:numId w:val="11"/>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45" w:name="bookmark1183"/>
      <w:bookmarkEnd w:id="645"/>
      <w:r>
        <w:rPr>
          <w:rStyle w:val="32"/>
          <w:color w:val="auto"/>
          <w:highlight w:val="none"/>
        </w:rPr>
        <w:t>发包人造成工期延误的其他原因。</w:t>
      </w:r>
    </w:p>
    <w:p w14:paraId="5D627D6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46" w:name="bookmark1184"/>
      <w:bookmarkStart w:id="647" w:name="_Toc10371"/>
      <w:bookmarkStart w:id="648" w:name="_Toc14471"/>
      <w:bookmarkStart w:id="649" w:name="bookmark1185"/>
      <w:bookmarkStart w:id="650" w:name="bookmark1186"/>
      <w:bookmarkStart w:id="651" w:name="_Toc256000087"/>
      <w:r>
        <w:rPr>
          <w:rStyle w:val="32"/>
          <w:rFonts w:ascii="宋体" w:hAnsi="宋体" w:cs="Times New Roman"/>
          <w:color w:val="auto"/>
          <w:sz w:val="24"/>
          <w:szCs w:val="24"/>
          <w:highlight w:val="none"/>
          <w:lang w:eastAsia="zh-CN"/>
        </w:rPr>
        <w:t>11.4异常恶劣的气候条件</w:t>
      </w:r>
      <w:bookmarkEnd w:id="646"/>
      <w:bookmarkEnd w:id="647"/>
      <w:bookmarkEnd w:id="648"/>
      <w:bookmarkEnd w:id="649"/>
      <w:bookmarkEnd w:id="650"/>
      <w:bookmarkEnd w:id="651"/>
    </w:p>
    <w:p w14:paraId="26108E30">
      <w:pPr>
        <w:pStyle w:val="97"/>
        <w:pageBreakBefore w:val="0"/>
        <w:kinsoku/>
        <w:wordWrap/>
        <w:overflowPunct/>
        <w:topLinePunct w:val="0"/>
        <w:autoSpaceDE/>
        <w:autoSpaceDN/>
        <w:bidi w:val="0"/>
        <w:adjustRightInd/>
        <w:snapToGrid/>
        <w:spacing w:line="368" w:lineRule="exact"/>
        <w:ind w:firstLine="44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.4.1</w:t>
      </w:r>
      <w:r>
        <w:rPr>
          <w:rStyle w:val="32"/>
          <w:color w:val="auto"/>
          <w:highlight w:val="none"/>
        </w:rPr>
        <w:t>当工程所在地发生危及施工安全的异常恶劣气候时，发包人和承包人应按本合同通用合同条款第</w:t>
      </w:r>
      <w:r>
        <w:rPr>
          <w:rStyle w:val="32"/>
          <w:rFonts w:ascii="Times New Roman" w:hAnsi="Times New Roman" w:eastAsia="Times New Roman" w:cs="Times New Roman"/>
          <w:color w:val="auto"/>
          <w:highlight w:val="none"/>
        </w:rPr>
        <w:t>12</w:t>
      </w:r>
      <w:r>
        <w:rPr>
          <w:rStyle w:val="32"/>
          <w:color w:val="auto"/>
          <w:highlight w:val="none"/>
        </w:rPr>
        <w:t>条的约定，及时采取暂停施工或部分暂停施工措施。异常恶劣气候条件解除后，承包人应及时安排复工。</w:t>
      </w:r>
    </w:p>
    <w:p w14:paraId="4C1B58C0">
      <w:pPr>
        <w:pStyle w:val="97"/>
        <w:pageBreakBefore w:val="0"/>
        <w:kinsoku/>
        <w:wordWrap/>
        <w:overflowPunct/>
        <w:topLinePunct w:val="0"/>
        <w:autoSpaceDE/>
        <w:autoSpaceDN/>
        <w:bidi w:val="0"/>
        <w:adjustRightInd/>
        <w:snapToGrid/>
        <w:spacing w:after="140" w:line="360" w:lineRule="exact"/>
        <w:ind w:firstLine="44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.4.2</w:t>
      </w:r>
      <w:r>
        <w:rPr>
          <w:rStyle w:val="32"/>
          <w:color w:val="auto"/>
          <w:highlight w:val="none"/>
        </w:rPr>
        <w:t>异常恶劣气候条件造成的工期延误和工程损坏，应由发包人与承包人参照本合同通用合同条款第</w:t>
      </w:r>
      <w:r>
        <w:rPr>
          <w:rStyle w:val="32"/>
          <w:rFonts w:ascii="Times New Roman" w:hAnsi="Times New Roman" w:eastAsia="Times New Roman" w:cs="Times New Roman"/>
          <w:color w:val="auto"/>
          <w:highlight w:val="none"/>
          <w:lang w:val="en-US" w:bidi="en-US"/>
        </w:rPr>
        <w:t xml:space="preserve">21. </w:t>
      </w:r>
      <w:r>
        <w:rPr>
          <w:rStyle w:val="32"/>
          <w:rFonts w:ascii="Times New Roman" w:hAnsi="Times New Roman" w:eastAsia="Times New Roman" w:cs="Times New Roman"/>
          <w:color w:val="auto"/>
          <w:highlight w:val="none"/>
        </w:rPr>
        <w:t>3</w:t>
      </w:r>
      <w:r>
        <w:rPr>
          <w:rStyle w:val="32"/>
          <w:color w:val="auto"/>
          <w:highlight w:val="none"/>
        </w:rPr>
        <w:t>款的约定共同协商处理。</w:t>
      </w:r>
    </w:p>
    <w:p w14:paraId="6F4A87D9">
      <w:pPr>
        <w:pStyle w:val="97"/>
        <w:pageBreakBefore w:val="0"/>
        <w:kinsoku/>
        <w:wordWrap/>
        <w:overflowPunct/>
        <w:topLinePunct w:val="0"/>
        <w:autoSpaceDE/>
        <w:autoSpaceDN/>
        <w:bidi w:val="0"/>
        <w:adjustRightInd/>
        <w:snapToGrid/>
        <w:spacing w:line="377" w:lineRule="auto"/>
        <w:ind w:firstLine="420"/>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.4.</w:t>
      </w:r>
      <w:r>
        <w:rPr>
          <w:rStyle w:val="32"/>
          <w:rFonts w:ascii="Times New Roman" w:hAnsi="Times New Roman" w:eastAsia="Times New Roman" w:cs="Times New Roman"/>
          <w:color w:val="auto"/>
          <w:highlight w:val="none"/>
        </w:rPr>
        <w:t>3</w:t>
      </w:r>
      <w:r>
        <w:rPr>
          <w:rStyle w:val="32"/>
          <w:color w:val="auto"/>
          <w:highlight w:val="none"/>
        </w:rPr>
        <w:t>本合同工程界定异常恶劣气候条件的范围在专用合同条款中约定。</w:t>
      </w:r>
    </w:p>
    <w:p w14:paraId="75C2A7D7">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52" w:name="bookmark1188"/>
      <w:bookmarkStart w:id="653" w:name="bookmark1189"/>
      <w:bookmarkStart w:id="654" w:name="bookmark1187"/>
      <w:bookmarkStart w:id="655" w:name="_Toc22626"/>
      <w:bookmarkStart w:id="656" w:name="_Toc1075"/>
      <w:bookmarkStart w:id="657" w:name="_Toc256000088"/>
      <w:r>
        <w:rPr>
          <w:rStyle w:val="32"/>
          <w:rFonts w:ascii="宋体" w:hAnsi="宋体" w:cs="Times New Roman"/>
          <w:color w:val="auto"/>
          <w:sz w:val="24"/>
          <w:szCs w:val="24"/>
          <w:highlight w:val="none"/>
          <w:lang w:eastAsia="zh-CN"/>
        </w:rPr>
        <w:t>11.5承包人工期延误</w:t>
      </w:r>
      <w:bookmarkEnd w:id="652"/>
      <w:bookmarkEnd w:id="653"/>
      <w:bookmarkEnd w:id="654"/>
      <w:bookmarkEnd w:id="655"/>
      <w:bookmarkEnd w:id="656"/>
      <w:bookmarkEnd w:id="657"/>
    </w:p>
    <w:p w14:paraId="47FA93DB">
      <w:pPr>
        <w:pStyle w:val="97"/>
        <w:pageBreakBefore w:val="0"/>
        <w:kinsoku/>
        <w:wordWrap/>
        <w:overflowPunct/>
        <w:topLinePunct w:val="0"/>
        <w:autoSpaceDE/>
        <w:autoSpaceDN/>
        <w:bidi w:val="0"/>
        <w:adjustRightInd/>
        <w:snapToGrid/>
        <w:spacing w:after="140" w:line="359" w:lineRule="exact"/>
        <w:ind w:firstLine="440"/>
        <w:jc w:val="both"/>
        <w:textAlignment w:val="auto"/>
        <w:outlineLvl w:val="9"/>
        <w:rPr>
          <w:rStyle w:val="32"/>
          <w:color w:val="auto"/>
          <w:highlight w:val="none"/>
        </w:rPr>
      </w:pPr>
      <w:r>
        <w:rPr>
          <w:rStyle w:val="32"/>
          <w:color w:val="auto"/>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655130A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58" w:name="bookmark1192"/>
      <w:bookmarkStart w:id="659" w:name="_Toc14969"/>
      <w:bookmarkStart w:id="660" w:name="bookmark1191"/>
      <w:bookmarkStart w:id="661" w:name="bookmark1190"/>
      <w:bookmarkStart w:id="662" w:name="_Toc474"/>
      <w:bookmarkStart w:id="663" w:name="_Toc256000089"/>
      <w:r>
        <w:rPr>
          <w:rStyle w:val="32"/>
          <w:rFonts w:ascii="宋体" w:hAnsi="宋体" w:cs="Times New Roman"/>
          <w:color w:val="auto"/>
          <w:sz w:val="24"/>
          <w:szCs w:val="24"/>
          <w:highlight w:val="none"/>
          <w:lang w:eastAsia="zh-CN"/>
        </w:rPr>
        <w:t>11.6工期提前</w:t>
      </w:r>
      <w:bookmarkEnd w:id="658"/>
      <w:bookmarkEnd w:id="659"/>
      <w:bookmarkEnd w:id="660"/>
      <w:bookmarkEnd w:id="661"/>
      <w:bookmarkEnd w:id="662"/>
      <w:bookmarkEnd w:id="663"/>
    </w:p>
    <w:p w14:paraId="430CC8C8">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color w:val="auto"/>
          <w:highlight w:val="none"/>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747D799E">
      <w:pPr>
        <w:pStyle w:val="97"/>
        <w:pageBreakBefore w:val="0"/>
        <w:kinsoku/>
        <w:wordWrap/>
        <w:overflowPunct/>
        <w:topLinePunct w:val="0"/>
        <w:autoSpaceDE/>
        <w:autoSpaceDN/>
        <w:bidi w:val="0"/>
        <w:adjustRightInd/>
        <w:snapToGrid/>
        <w:spacing w:after="140" w:line="360" w:lineRule="exact"/>
        <w:ind w:firstLine="420"/>
        <w:textAlignment w:val="auto"/>
        <w:outlineLvl w:val="9"/>
        <w:rPr>
          <w:rStyle w:val="32"/>
          <w:color w:val="auto"/>
          <w:highlight w:val="none"/>
        </w:rPr>
      </w:pPr>
      <w:r>
        <w:rPr>
          <w:rStyle w:val="32"/>
          <w:color w:val="auto"/>
          <w:highlight w:val="none"/>
        </w:rPr>
        <w:t>发包人要求提前完工的，双方协商一致后应签订提前完工协议，协议内容包括：</w:t>
      </w:r>
    </w:p>
    <w:p w14:paraId="3CCD2538">
      <w:pPr>
        <w:pStyle w:val="97"/>
        <w:pageBreakBefore w:val="0"/>
        <w:numPr>
          <w:ilvl w:val="0"/>
          <w:numId w:val="12"/>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64" w:name="bookmark1193"/>
      <w:bookmarkEnd w:id="664"/>
      <w:r>
        <w:rPr>
          <w:rStyle w:val="32"/>
          <w:color w:val="auto"/>
          <w:highlight w:val="none"/>
        </w:rPr>
        <w:t>提前的时间和修订后的进度计划。</w:t>
      </w:r>
    </w:p>
    <w:p w14:paraId="08217F6E">
      <w:pPr>
        <w:pStyle w:val="97"/>
        <w:pageBreakBefore w:val="0"/>
        <w:numPr>
          <w:ilvl w:val="0"/>
          <w:numId w:val="12"/>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665" w:name="bookmark1194"/>
      <w:bookmarkEnd w:id="665"/>
      <w:r>
        <w:rPr>
          <w:rStyle w:val="32"/>
          <w:color w:val="auto"/>
          <w:highlight w:val="none"/>
        </w:rPr>
        <w:t>承包人的赶工措施。</w:t>
      </w:r>
    </w:p>
    <w:p w14:paraId="14006F46">
      <w:pPr>
        <w:pStyle w:val="97"/>
        <w:pageBreakBefore w:val="0"/>
        <w:numPr>
          <w:ilvl w:val="0"/>
          <w:numId w:val="12"/>
        </w:numPr>
        <w:tabs>
          <w:tab w:val="left" w:pos="923"/>
        </w:tabs>
        <w:kinsoku/>
        <w:wordWrap/>
        <w:overflowPunct/>
        <w:topLinePunct w:val="0"/>
        <w:autoSpaceDE/>
        <w:autoSpaceDN/>
        <w:bidi w:val="0"/>
        <w:adjustRightInd/>
        <w:snapToGrid/>
        <w:spacing w:line="360" w:lineRule="exact"/>
        <w:ind w:firstLine="440"/>
        <w:textAlignment w:val="auto"/>
        <w:outlineLvl w:val="9"/>
        <w:rPr>
          <w:rStyle w:val="32"/>
          <w:color w:val="auto"/>
          <w:highlight w:val="none"/>
        </w:rPr>
      </w:pPr>
      <w:r>
        <w:rPr>
          <w:rStyle w:val="32"/>
          <w:color w:val="auto"/>
          <w:highlight w:val="none"/>
        </w:rPr>
        <w:t>发包人为赶工提供的条件。</w:t>
      </w:r>
    </w:p>
    <w:p w14:paraId="1E6258D5">
      <w:pPr>
        <w:pStyle w:val="97"/>
        <w:pageBreakBefore w:val="0"/>
        <w:numPr>
          <w:ilvl w:val="0"/>
          <w:numId w:val="12"/>
        </w:numPr>
        <w:tabs>
          <w:tab w:val="left" w:pos="923"/>
        </w:tabs>
        <w:kinsoku/>
        <w:wordWrap/>
        <w:overflowPunct/>
        <w:topLinePunct w:val="0"/>
        <w:autoSpaceDE/>
        <w:autoSpaceDN/>
        <w:bidi w:val="0"/>
        <w:adjustRightInd/>
        <w:snapToGrid/>
        <w:spacing w:after="280" w:line="360" w:lineRule="exact"/>
        <w:ind w:firstLine="440"/>
        <w:textAlignment w:val="auto"/>
        <w:outlineLvl w:val="9"/>
        <w:rPr>
          <w:rStyle w:val="32"/>
          <w:color w:val="auto"/>
          <w:highlight w:val="none"/>
        </w:rPr>
      </w:pPr>
      <w:bookmarkStart w:id="666" w:name="bookmark1196"/>
      <w:bookmarkEnd w:id="666"/>
      <w:r>
        <w:rPr>
          <w:rStyle w:val="32"/>
          <w:color w:val="auto"/>
          <w:highlight w:val="none"/>
        </w:rPr>
        <w:t>赶工费用(包括利润和奖金)</w:t>
      </w:r>
    </w:p>
    <w:p w14:paraId="2715CC35">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667" w:name="bookmark1198"/>
      <w:bookmarkStart w:id="668" w:name="bookmark1199"/>
      <w:bookmarkStart w:id="669" w:name="_Toc8400"/>
      <w:bookmarkStart w:id="670" w:name="_Toc3335"/>
      <w:bookmarkStart w:id="671" w:name="bookmark1197"/>
      <w:bookmarkStart w:id="672" w:name="_Toc256000090"/>
      <w:r>
        <w:rPr>
          <w:rStyle w:val="32"/>
          <w:rFonts w:hint="eastAsia" w:cs="Times New Roman"/>
          <w:color w:val="auto"/>
          <w:highlight w:val="none"/>
          <w:lang w:eastAsia="zh-CN"/>
        </w:rPr>
        <w:t>12.暂停施工</w:t>
      </w:r>
      <w:bookmarkEnd w:id="667"/>
      <w:bookmarkEnd w:id="668"/>
      <w:bookmarkEnd w:id="669"/>
      <w:bookmarkEnd w:id="670"/>
      <w:bookmarkEnd w:id="671"/>
      <w:bookmarkEnd w:id="672"/>
    </w:p>
    <w:p w14:paraId="6EA8419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73" w:name="_Toc11440"/>
      <w:bookmarkStart w:id="674" w:name="bookmark1202"/>
      <w:bookmarkStart w:id="675" w:name="bookmark1200"/>
      <w:bookmarkStart w:id="676" w:name="_Toc256000091"/>
      <w:bookmarkStart w:id="677" w:name="bookmark1201"/>
      <w:bookmarkStart w:id="678" w:name="_Toc25279"/>
      <w:r>
        <w:rPr>
          <w:rStyle w:val="32"/>
          <w:rFonts w:ascii="宋体" w:hAnsi="宋体" w:cs="Times New Roman"/>
          <w:color w:val="auto"/>
          <w:sz w:val="24"/>
          <w:szCs w:val="24"/>
          <w:highlight w:val="none"/>
          <w:lang w:eastAsia="zh-CN"/>
        </w:rPr>
        <w:t>12.1承包人暂停施工的责任</w:t>
      </w:r>
      <w:bookmarkEnd w:id="673"/>
      <w:bookmarkEnd w:id="674"/>
      <w:bookmarkEnd w:id="675"/>
      <w:bookmarkEnd w:id="676"/>
      <w:bookmarkEnd w:id="677"/>
      <w:bookmarkEnd w:id="678"/>
    </w:p>
    <w:p w14:paraId="7F0598EF">
      <w:pPr>
        <w:pStyle w:val="97"/>
        <w:pageBreakBefore w:val="0"/>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r>
        <w:rPr>
          <w:rStyle w:val="32"/>
          <w:color w:val="auto"/>
          <w:highlight w:val="none"/>
        </w:rPr>
        <w:t>因下列暂停施工增加的费用和(或)工期延误由承包人承担：</w:t>
      </w:r>
    </w:p>
    <w:p w14:paraId="0A1C38D3">
      <w:pPr>
        <w:pStyle w:val="97"/>
        <w:pageBreakBefore w:val="0"/>
        <w:numPr>
          <w:ilvl w:val="0"/>
          <w:numId w:val="13"/>
        </w:numPr>
        <w:tabs>
          <w:tab w:val="left" w:pos="923"/>
        </w:tabs>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bookmarkStart w:id="679" w:name="bookmark1203"/>
      <w:bookmarkEnd w:id="679"/>
      <w:r>
        <w:rPr>
          <w:rStyle w:val="32"/>
          <w:color w:val="auto"/>
          <w:highlight w:val="none"/>
        </w:rPr>
        <w:t>承包人违约引起的暂停施工；</w:t>
      </w:r>
    </w:p>
    <w:p w14:paraId="73D20D98">
      <w:pPr>
        <w:pStyle w:val="97"/>
        <w:pageBreakBefore w:val="0"/>
        <w:numPr>
          <w:ilvl w:val="0"/>
          <w:numId w:val="13"/>
        </w:numPr>
        <w:tabs>
          <w:tab w:val="left" w:pos="923"/>
        </w:tabs>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bookmarkStart w:id="680" w:name="bookmark1204"/>
      <w:bookmarkEnd w:id="680"/>
      <w:r>
        <w:rPr>
          <w:rStyle w:val="32"/>
          <w:color w:val="auto"/>
          <w:highlight w:val="none"/>
        </w:rPr>
        <w:t>由于承包人原因为工程合理施工和安全保障所必需的暂停施工；</w:t>
      </w:r>
    </w:p>
    <w:p w14:paraId="690AFFBD">
      <w:pPr>
        <w:pStyle w:val="97"/>
        <w:pageBreakBefore w:val="0"/>
        <w:numPr>
          <w:ilvl w:val="0"/>
          <w:numId w:val="13"/>
        </w:numPr>
        <w:tabs>
          <w:tab w:val="left" w:pos="923"/>
        </w:tabs>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bookmarkStart w:id="681" w:name="bookmark1205"/>
      <w:bookmarkEnd w:id="681"/>
      <w:r>
        <w:rPr>
          <w:rStyle w:val="32"/>
          <w:color w:val="auto"/>
          <w:highlight w:val="none"/>
        </w:rPr>
        <w:t>承包人擅自暂停施工；</w:t>
      </w:r>
    </w:p>
    <w:p w14:paraId="05E5282E">
      <w:pPr>
        <w:pStyle w:val="97"/>
        <w:pageBreakBefore w:val="0"/>
        <w:numPr>
          <w:ilvl w:val="0"/>
          <w:numId w:val="13"/>
        </w:numPr>
        <w:tabs>
          <w:tab w:val="left" w:pos="923"/>
        </w:tabs>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bookmarkStart w:id="682" w:name="bookmark1206"/>
      <w:bookmarkEnd w:id="682"/>
      <w:r>
        <w:rPr>
          <w:rStyle w:val="32"/>
          <w:color w:val="auto"/>
          <w:highlight w:val="none"/>
        </w:rPr>
        <w:t>承包人其他原因引起的暂停施工；</w:t>
      </w:r>
    </w:p>
    <w:p w14:paraId="410ACFDE">
      <w:pPr>
        <w:pStyle w:val="97"/>
        <w:pageBreakBefore w:val="0"/>
        <w:numPr>
          <w:ilvl w:val="0"/>
          <w:numId w:val="13"/>
        </w:numPr>
        <w:tabs>
          <w:tab w:val="left" w:pos="923"/>
        </w:tabs>
        <w:kinsoku/>
        <w:wordWrap/>
        <w:overflowPunct/>
        <w:topLinePunct w:val="0"/>
        <w:autoSpaceDE/>
        <w:autoSpaceDN/>
        <w:bidi w:val="0"/>
        <w:adjustRightInd/>
        <w:snapToGrid/>
        <w:spacing w:after="120" w:line="360" w:lineRule="exact"/>
        <w:ind w:firstLine="442"/>
        <w:textAlignment w:val="auto"/>
        <w:outlineLvl w:val="9"/>
        <w:rPr>
          <w:rStyle w:val="32"/>
          <w:color w:val="auto"/>
          <w:highlight w:val="none"/>
        </w:rPr>
      </w:pPr>
      <w:bookmarkStart w:id="683" w:name="bookmark1207"/>
      <w:bookmarkEnd w:id="683"/>
      <w:r>
        <w:rPr>
          <w:rStyle w:val="32"/>
          <w:color w:val="auto"/>
          <w:highlight w:val="none"/>
        </w:rPr>
        <w:t>专用合同条款约定由承包人承担的其他暂停施工。</w:t>
      </w:r>
    </w:p>
    <w:p w14:paraId="4EE8781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84" w:name="bookmark1210"/>
      <w:bookmarkStart w:id="685" w:name="_Toc19655"/>
      <w:bookmarkStart w:id="686" w:name="_Toc256000092"/>
      <w:bookmarkStart w:id="687" w:name="_Toc16980"/>
      <w:bookmarkStart w:id="688" w:name="bookmark1209"/>
      <w:bookmarkStart w:id="689" w:name="bookmark1208"/>
      <w:r>
        <w:rPr>
          <w:rStyle w:val="32"/>
          <w:rFonts w:ascii="宋体" w:hAnsi="宋体" w:cs="Times New Roman"/>
          <w:color w:val="auto"/>
          <w:sz w:val="24"/>
          <w:szCs w:val="24"/>
          <w:highlight w:val="none"/>
          <w:lang w:eastAsia="zh-CN"/>
        </w:rPr>
        <w:t>12.2发包人暂停施工的责任</w:t>
      </w:r>
      <w:bookmarkEnd w:id="684"/>
      <w:bookmarkEnd w:id="685"/>
      <w:bookmarkEnd w:id="686"/>
      <w:bookmarkEnd w:id="687"/>
      <w:bookmarkEnd w:id="688"/>
      <w:bookmarkEnd w:id="689"/>
    </w:p>
    <w:p w14:paraId="7EACA44F">
      <w:pPr>
        <w:pStyle w:val="97"/>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color w:val="auto"/>
          <w:highlight w:val="none"/>
        </w:rPr>
        <w:t>由于发包人原因引起的暂停施工造成工期延误的，承包人有权要求发包人延长工期和 (或)增加费用，并支付合理利润。属于下列任何一种情况引起的暂停施工，均为发包人的责任：</w:t>
      </w:r>
    </w:p>
    <w:p w14:paraId="26FEC5CE">
      <w:pPr>
        <w:pStyle w:val="97"/>
        <w:pageBreakBefore w:val="0"/>
        <w:numPr>
          <w:ilvl w:val="0"/>
          <w:numId w:val="14"/>
        </w:numPr>
        <w:tabs>
          <w:tab w:val="left" w:pos="923"/>
        </w:tabs>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bookmarkStart w:id="690" w:name="bookmark1211"/>
      <w:bookmarkEnd w:id="690"/>
      <w:r>
        <w:rPr>
          <w:rStyle w:val="32"/>
          <w:color w:val="auto"/>
          <w:highlight w:val="none"/>
        </w:rPr>
        <w:t>由于发包人违约引起的暂停施工。</w:t>
      </w:r>
    </w:p>
    <w:p w14:paraId="77852E72">
      <w:pPr>
        <w:pStyle w:val="97"/>
        <w:pageBreakBefore w:val="0"/>
        <w:numPr>
          <w:ilvl w:val="0"/>
          <w:numId w:val="14"/>
        </w:numPr>
        <w:tabs>
          <w:tab w:val="left" w:pos="923"/>
        </w:tabs>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bookmarkStart w:id="691" w:name="bookmark1212"/>
      <w:bookmarkEnd w:id="691"/>
      <w:r>
        <w:rPr>
          <w:rStyle w:val="32"/>
          <w:color w:val="auto"/>
          <w:highlight w:val="none"/>
        </w:rPr>
        <w:t>由于不可抗力的自然或社会因素引起的暂停施工。</w:t>
      </w:r>
    </w:p>
    <w:p w14:paraId="3C42FCC8">
      <w:pPr>
        <w:pStyle w:val="97"/>
        <w:pageBreakBefore w:val="0"/>
        <w:numPr>
          <w:ilvl w:val="0"/>
          <w:numId w:val="14"/>
        </w:numPr>
        <w:tabs>
          <w:tab w:val="left" w:pos="923"/>
        </w:tabs>
        <w:kinsoku/>
        <w:wordWrap/>
        <w:overflowPunct/>
        <w:topLinePunct w:val="0"/>
        <w:autoSpaceDE/>
        <w:autoSpaceDN/>
        <w:bidi w:val="0"/>
        <w:adjustRightInd/>
        <w:snapToGrid/>
        <w:spacing w:after="120" w:line="360" w:lineRule="exact"/>
        <w:ind w:firstLine="442"/>
        <w:textAlignment w:val="auto"/>
        <w:outlineLvl w:val="9"/>
        <w:rPr>
          <w:rStyle w:val="32"/>
          <w:color w:val="auto"/>
          <w:highlight w:val="none"/>
        </w:rPr>
      </w:pPr>
      <w:bookmarkStart w:id="692" w:name="bookmark1213"/>
      <w:bookmarkEnd w:id="692"/>
      <w:r>
        <w:rPr>
          <w:rStyle w:val="32"/>
          <w:color w:val="auto"/>
          <w:highlight w:val="none"/>
        </w:rPr>
        <w:t>专用合同条款中约定的其它由于发包人原因引起的暂停施工。</w:t>
      </w:r>
    </w:p>
    <w:p w14:paraId="04C62B2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93" w:name="bookmark1216"/>
      <w:bookmarkStart w:id="694" w:name="_Toc256000093"/>
      <w:bookmarkStart w:id="695" w:name="bookmark1214"/>
      <w:bookmarkStart w:id="696" w:name="bookmark1215"/>
      <w:bookmarkStart w:id="697" w:name="_Toc15099"/>
      <w:bookmarkStart w:id="698" w:name="_Toc4901"/>
      <w:r>
        <w:rPr>
          <w:rStyle w:val="32"/>
          <w:rFonts w:ascii="宋体" w:hAnsi="宋体" w:cs="Times New Roman"/>
          <w:color w:val="auto"/>
          <w:sz w:val="24"/>
          <w:szCs w:val="24"/>
          <w:highlight w:val="none"/>
          <w:lang w:eastAsia="zh-CN"/>
        </w:rPr>
        <w:t>12.3监理人暂停施工指示</w:t>
      </w:r>
      <w:bookmarkEnd w:id="693"/>
      <w:bookmarkEnd w:id="694"/>
      <w:bookmarkEnd w:id="695"/>
      <w:bookmarkEnd w:id="696"/>
      <w:bookmarkEnd w:id="697"/>
      <w:bookmarkEnd w:id="698"/>
    </w:p>
    <w:p w14:paraId="070AD617">
      <w:pPr>
        <w:pStyle w:val="97"/>
        <w:pageBreakBefore w:val="0"/>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12.3.1</w:t>
      </w:r>
      <w:r>
        <w:rPr>
          <w:rStyle w:val="32"/>
          <w:color w:val="auto"/>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67EE8940">
      <w:pPr>
        <w:pStyle w:val="97"/>
        <w:pageBreakBefore w:val="0"/>
        <w:kinsoku/>
        <w:wordWrap/>
        <w:overflowPunct/>
        <w:topLinePunct w:val="0"/>
        <w:autoSpaceDE/>
        <w:autoSpaceDN/>
        <w:bidi w:val="0"/>
        <w:adjustRightInd/>
        <w:snapToGrid/>
        <w:spacing w:after="120" w:line="35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12.3.2</w:t>
      </w:r>
      <w:r>
        <w:rPr>
          <w:rStyle w:val="32"/>
          <w:color w:val="auto"/>
          <w:highlight w:val="none"/>
        </w:rPr>
        <w:t>由于发包人的原因发生暂停施工的紧急情况，且监理人未及时下达暂停施工指示的，承包人可先暂停施工，并及时向监理人提出暂停施工的书面请求。监理人应在接到书面请求后的</w:t>
      </w:r>
      <w:r>
        <w:rPr>
          <w:rStyle w:val="32"/>
          <w:rFonts w:ascii="Times New Roman" w:hAnsi="Times New Roman" w:eastAsia="Times New Roman" w:cs="Times New Roman"/>
          <w:color w:val="auto"/>
          <w:highlight w:val="none"/>
        </w:rPr>
        <w:t>24</w:t>
      </w:r>
      <w:r>
        <w:rPr>
          <w:rStyle w:val="32"/>
          <w:color w:val="auto"/>
          <w:highlight w:val="none"/>
        </w:rPr>
        <w:t>小时内予以答复，逾期未答复的，视为同意承包人的暂停施工请求。</w:t>
      </w:r>
    </w:p>
    <w:p w14:paraId="162DE0A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699" w:name="bookmark1217"/>
      <w:bookmarkStart w:id="700" w:name="bookmark1219"/>
      <w:bookmarkStart w:id="701" w:name="_Toc7679"/>
      <w:bookmarkStart w:id="702" w:name="bookmark1218"/>
      <w:bookmarkStart w:id="703" w:name="_Toc14048"/>
      <w:bookmarkStart w:id="704" w:name="_Toc256000094"/>
      <w:r>
        <w:rPr>
          <w:rStyle w:val="32"/>
          <w:rFonts w:ascii="宋体" w:hAnsi="宋体" w:cs="Times New Roman"/>
          <w:color w:val="auto"/>
          <w:sz w:val="24"/>
          <w:szCs w:val="24"/>
          <w:highlight w:val="none"/>
          <w:lang w:eastAsia="zh-CN"/>
        </w:rPr>
        <w:t>12.4暂停施工后的复工</w:t>
      </w:r>
      <w:bookmarkEnd w:id="699"/>
      <w:bookmarkEnd w:id="700"/>
      <w:bookmarkEnd w:id="701"/>
      <w:bookmarkEnd w:id="702"/>
      <w:bookmarkEnd w:id="703"/>
      <w:bookmarkEnd w:id="704"/>
    </w:p>
    <w:p w14:paraId="5FC2E12F">
      <w:pPr>
        <w:pStyle w:val="97"/>
        <w:pageBreakBefore w:val="0"/>
        <w:kinsoku/>
        <w:wordWrap/>
        <w:overflowPunct/>
        <w:topLinePunct w:val="0"/>
        <w:autoSpaceDE/>
        <w:autoSpaceDN/>
        <w:bidi w:val="0"/>
        <w:adjustRightInd/>
        <w:snapToGrid/>
        <w:spacing w:after="120" w:line="359" w:lineRule="exact"/>
        <w:ind w:firstLine="440"/>
        <w:jc w:val="both"/>
        <w:textAlignment w:val="auto"/>
        <w:outlineLvl w:val="9"/>
        <w:rPr>
          <w:rStyle w:val="32"/>
          <w:rFonts w:ascii="Times New Roman" w:hAnsi="Times New Roman" w:cs="Times New Roman"/>
          <w:color w:val="auto"/>
          <w:highlight w:val="none"/>
        </w:rPr>
      </w:pPr>
      <w:bookmarkStart w:id="705" w:name="bookmark1220"/>
      <w:bookmarkEnd w:id="705"/>
      <w:r>
        <w:rPr>
          <w:rStyle w:val="32"/>
          <w:rFonts w:ascii="Times New Roman" w:hAnsi="Times New Roman" w:cs="Times New Roman"/>
          <w:color w:val="auto"/>
          <w:highlight w:val="none"/>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7D6BB96F">
      <w:pPr>
        <w:pStyle w:val="97"/>
        <w:pageBreakBefore w:val="0"/>
        <w:kinsoku/>
        <w:wordWrap/>
        <w:overflowPunct/>
        <w:topLinePunct w:val="0"/>
        <w:autoSpaceDE/>
        <w:autoSpaceDN/>
        <w:bidi w:val="0"/>
        <w:adjustRightInd/>
        <w:snapToGrid/>
        <w:spacing w:after="120" w:line="359" w:lineRule="exact"/>
        <w:ind w:firstLine="440"/>
        <w:jc w:val="both"/>
        <w:textAlignment w:val="auto"/>
        <w:outlineLvl w:val="9"/>
        <w:rPr>
          <w:rStyle w:val="32"/>
          <w:color w:val="auto"/>
          <w:highlight w:val="none"/>
        </w:rPr>
      </w:pPr>
      <w:bookmarkStart w:id="706" w:name="bookmark1221"/>
      <w:bookmarkEnd w:id="706"/>
      <w:r>
        <w:rPr>
          <w:rStyle w:val="32"/>
          <w:rFonts w:ascii="Times New Roman" w:hAnsi="Times New Roman" w:cs="Times New Roman"/>
          <w:color w:val="auto"/>
          <w:highlight w:val="none"/>
        </w:rPr>
        <w:t>12</w:t>
      </w:r>
      <w:r>
        <w:rPr>
          <w:rStyle w:val="32"/>
          <w:rFonts w:hint="eastAsia" w:ascii="Times New Roman" w:hAnsi="Times New Roman" w:cs="Times New Roman"/>
          <w:color w:val="auto"/>
          <w:highlight w:val="none"/>
          <w:lang w:val="en-US"/>
        </w:rPr>
        <w:t>.4.</w:t>
      </w:r>
      <w:r>
        <w:rPr>
          <w:rStyle w:val="32"/>
          <w:rFonts w:ascii="Times New Roman" w:hAnsi="Times New Roman" w:cs="Times New Roman"/>
          <w:color w:val="auto"/>
          <w:highlight w:val="none"/>
        </w:rPr>
        <w:t>2承</w:t>
      </w:r>
      <w:r>
        <w:rPr>
          <w:rStyle w:val="32"/>
          <w:color w:val="auto"/>
          <w:highlight w:val="none"/>
        </w:rPr>
        <w:t>包人无故拖延和拒绝复工的，由此增加的费用和工期延误由承包人承担</w:t>
      </w:r>
      <w:r>
        <w:rPr>
          <w:rStyle w:val="32"/>
          <w:rFonts w:hint="eastAsia"/>
          <w:color w:val="auto"/>
          <w:highlight w:val="none"/>
        </w:rPr>
        <w:t>；</w:t>
      </w:r>
      <w:r>
        <w:rPr>
          <w:rStyle w:val="32"/>
          <w:color w:val="auto"/>
          <w:highlight w:val="none"/>
        </w:rPr>
        <w:t>因发包人原因无法按时复工的，承包人有权要求发包人延长工期和(或)增加费用，并支付合理利润。</w:t>
      </w:r>
    </w:p>
    <w:p w14:paraId="463AB4C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07" w:name="bookmark1195"/>
      <w:bookmarkEnd w:id="707"/>
      <w:bookmarkStart w:id="708" w:name="_Toc6811"/>
      <w:bookmarkStart w:id="709" w:name="bookmark1224"/>
      <w:bookmarkStart w:id="710" w:name="_Toc24826"/>
      <w:bookmarkStart w:id="711" w:name="bookmark1223"/>
      <w:bookmarkStart w:id="712" w:name="bookmark1222"/>
      <w:bookmarkStart w:id="713" w:name="_Toc256000095"/>
      <w:r>
        <w:rPr>
          <w:rStyle w:val="32"/>
          <w:rFonts w:ascii="宋体" w:hAnsi="宋体" w:cs="Times New Roman"/>
          <w:color w:val="auto"/>
          <w:sz w:val="24"/>
          <w:szCs w:val="24"/>
          <w:highlight w:val="none"/>
          <w:lang w:eastAsia="zh-CN"/>
        </w:rPr>
        <w:t>12.5暂停施工持续56天以上</w:t>
      </w:r>
      <w:bookmarkEnd w:id="708"/>
      <w:bookmarkEnd w:id="709"/>
      <w:bookmarkEnd w:id="710"/>
      <w:bookmarkEnd w:id="711"/>
      <w:bookmarkEnd w:id="712"/>
      <w:bookmarkEnd w:id="713"/>
    </w:p>
    <w:p w14:paraId="2E0BBC87">
      <w:pPr>
        <w:pStyle w:val="97"/>
        <w:pageBreakBefore w:val="0"/>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12.5.1</w:t>
      </w:r>
      <w:r>
        <w:rPr>
          <w:rStyle w:val="32"/>
          <w:color w:val="auto"/>
          <w:highlight w:val="none"/>
        </w:rPr>
        <w:t>监理人发出暂停施工指示后</w:t>
      </w:r>
      <w:r>
        <w:rPr>
          <w:rStyle w:val="32"/>
          <w:rFonts w:ascii="Times New Roman" w:hAnsi="Times New Roman" w:eastAsia="Times New Roman" w:cs="Times New Roman"/>
          <w:color w:val="auto"/>
          <w:highlight w:val="none"/>
        </w:rPr>
        <w:t>56</w:t>
      </w:r>
      <w:r>
        <w:rPr>
          <w:rStyle w:val="32"/>
          <w:color w:val="auto"/>
          <w:highlight w:val="none"/>
        </w:rPr>
        <w:t>天内未向承包人发出复工通知，除了该项停工属于第</w:t>
      </w:r>
      <w:r>
        <w:rPr>
          <w:rStyle w:val="32"/>
          <w:rFonts w:ascii="Times New Roman" w:hAnsi="Times New Roman" w:eastAsia="Times New Roman" w:cs="Times New Roman"/>
          <w:color w:val="auto"/>
          <w:highlight w:val="none"/>
          <w:lang w:val="en-US" w:bidi="en-US"/>
        </w:rPr>
        <w:t>12.1</w:t>
      </w:r>
      <w:r>
        <w:rPr>
          <w:rStyle w:val="32"/>
          <w:color w:val="auto"/>
          <w:highlight w:val="none"/>
        </w:rPr>
        <w:t xml:space="preserve">款的情况外，承包人可向监理人提交书面通知，要求监理人在收到书面通知后 </w:t>
      </w:r>
      <w:r>
        <w:rPr>
          <w:rStyle w:val="32"/>
          <w:rFonts w:ascii="Times New Roman" w:hAnsi="Times New Roman" w:eastAsia="Times New Roman" w:cs="Times New Roman"/>
          <w:color w:val="auto"/>
          <w:highlight w:val="none"/>
        </w:rPr>
        <w:t>28</w:t>
      </w:r>
      <w:r>
        <w:rPr>
          <w:rStyle w:val="32"/>
          <w:color w:val="auto"/>
          <w:highlight w:val="none"/>
        </w:rPr>
        <w:t>天内准许已暂停施工的工程或其中一部分工程继续施工。如监理人逾期不予批准，则承包人可以通知监理人，将工程受影响的部分视为按第</w:t>
      </w:r>
      <w:r>
        <w:rPr>
          <w:rStyle w:val="32"/>
          <w:rFonts w:ascii="Times New Roman" w:hAnsi="Times New Roman" w:eastAsia="Times New Roman" w:cs="Times New Roman"/>
          <w:color w:val="auto"/>
          <w:highlight w:val="none"/>
          <w:lang w:val="en-US" w:bidi="en-US"/>
        </w:rPr>
        <w:t xml:space="preserve">15.1 </w:t>
      </w:r>
      <w:r>
        <w:rPr>
          <w:rStyle w:val="32"/>
          <w:rFonts w:ascii="Times New Roman" w:hAnsi="Times New Roman" w:eastAsia="Times New Roman" w:cs="Times New Roman"/>
          <w:color w:val="auto"/>
          <w:highlight w:val="none"/>
        </w:rPr>
        <w:t>(1)</w:t>
      </w:r>
      <w:r>
        <w:rPr>
          <w:rStyle w:val="32"/>
          <w:color w:val="auto"/>
          <w:highlight w:val="none"/>
        </w:rPr>
        <w:t>项的可取消工作。如暂停 施工影响到整个工程，可视为发包人违约，应按第</w:t>
      </w:r>
      <w:r>
        <w:rPr>
          <w:rStyle w:val="32"/>
          <w:rFonts w:ascii="Times New Roman" w:hAnsi="Times New Roman" w:eastAsia="Times New Roman" w:cs="Times New Roman"/>
          <w:color w:val="auto"/>
          <w:highlight w:val="none"/>
          <w:lang w:val="en-US" w:bidi="en-US"/>
        </w:rPr>
        <w:t xml:space="preserve">22. </w:t>
      </w:r>
      <w:r>
        <w:rPr>
          <w:rStyle w:val="32"/>
          <w:rFonts w:ascii="Times New Roman" w:hAnsi="Times New Roman" w:eastAsia="Times New Roman" w:cs="Times New Roman"/>
          <w:color w:val="auto"/>
          <w:highlight w:val="none"/>
        </w:rPr>
        <w:t>2</w:t>
      </w:r>
      <w:r>
        <w:rPr>
          <w:rStyle w:val="32"/>
          <w:color w:val="auto"/>
          <w:highlight w:val="none"/>
        </w:rPr>
        <w:t>款的约定办理。</w:t>
      </w:r>
    </w:p>
    <w:p w14:paraId="19CBC127">
      <w:pPr>
        <w:pStyle w:val="97"/>
        <w:pageBreakBefore w:val="0"/>
        <w:kinsoku/>
        <w:wordWrap/>
        <w:overflowPunct/>
        <w:topLinePunct w:val="0"/>
        <w:autoSpaceDE/>
        <w:autoSpaceDN/>
        <w:bidi w:val="0"/>
        <w:adjustRightInd/>
        <w:snapToGrid/>
        <w:spacing w:after="280" w:line="37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12.5.2</w:t>
      </w:r>
      <w:r>
        <w:rPr>
          <w:rStyle w:val="32"/>
          <w:color w:val="auto"/>
          <w:highlight w:val="none"/>
        </w:rPr>
        <w:t>由于承包人责任引起的暂停施工，如承包人在收到监理人暂停施工指示后</w:t>
      </w:r>
      <w:r>
        <w:rPr>
          <w:rStyle w:val="32"/>
          <w:rFonts w:ascii="Times New Roman" w:hAnsi="Times New Roman" w:eastAsia="Times New Roman" w:cs="Times New Roman"/>
          <w:color w:val="auto"/>
          <w:highlight w:val="none"/>
        </w:rPr>
        <w:t xml:space="preserve">56 </w:t>
      </w:r>
      <w:r>
        <w:rPr>
          <w:rStyle w:val="32"/>
          <w:color w:val="auto"/>
          <w:highlight w:val="none"/>
        </w:rPr>
        <w:t>天内不认真采取有效的复工措施，造成工期延误，可视为承包人违约，应按第</w:t>
      </w:r>
      <w:r>
        <w:rPr>
          <w:rStyle w:val="32"/>
          <w:rFonts w:ascii="Times New Roman" w:hAnsi="Times New Roman" w:eastAsia="Times New Roman" w:cs="Times New Roman"/>
          <w:color w:val="auto"/>
          <w:highlight w:val="none"/>
          <w:lang w:val="en-US" w:bidi="en-US"/>
        </w:rPr>
        <w:t>22.1</w:t>
      </w:r>
      <w:r>
        <w:rPr>
          <w:rStyle w:val="32"/>
          <w:color w:val="auto"/>
          <w:highlight w:val="none"/>
        </w:rPr>
        <w:t>款的约定办理。</w:t>
      </w:r>
    </w:p>
    <w:p w14:paraId="6C87AC5D">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714" w:name="_Toc6946"/>
      <w:bookmarkStart w:id="715" w:name="bookmark1225"/>
      <w:bookmarkStart w:id="716" w:name="_Toc256000096"/>
      <w:bookmarkStart w:id="717" w:name="bookmark1226"/>
      <w:bookmarkStart w:id="718" w:name="bookmark1227"/>
      <w:bookmarkStart w:id="719" w:name="_Toc10322"/>
      <w:r>
        <w:rPr>
          <w:rStyle w:val="32"/>
          <w:rFonts w:hint="eastAsia" w:cs="Times New Roman"/>
          <w:color w:val="auto"/>
          <w:highlight w:val="none"/>
          <w:lang w:eastAsia="zh-CN"/>
        </w:rPr>
        <w:t>13.工程质量</w:t>
      </w:r>
      <w:bookmarkEnd w:id="714"/>
      <w:bookmarkEnd w:id="715"/>
      <w:bookmarkEnd w:id="716"/>
      <w:bookmarkEnd w:id="717"/>
      <w:bookmarkEnd w:id="718"/>
      <w:bookmarkEnd w:id="719"/>
    </w:p>
    <w:p w14:paraId="292EEF7B">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20" w:name="_Toc256000097"/>
      <w:bookmarkStart w:id="721" w:name="_Toc9064"/>
      <w:bookmarkStart w:id="722" w:name="bookmark1228"/>
      <w:bookmarkStart w:id="723" w:name="bookmark1229"/>
      <w:bookmarkStart w:id="724" w:name="_Toc19924"/>
      <w:bookmarkStart w:id="725" w:name="bookmark1230"/>
      <w:r>
        <w:rPr>
          <w:rStyle w:val="32"/>
          <w:rFonts w:ascii="宋体" w:hAnsi="宋体" w:cs="Times New Roman"/>
          <w:color w:val="auto"/>
          <w:sz w:val="24"/>
          <w:szCs w:val="24"/>
          <w:highlight w:val="none"/>
          <w:lang w:eastAsia="zh-CN"/>
        </w:rPr>
        <w:t>13.1工程质量要求</w:t>
      </w:r>
      <w:bookmarkEnd w:id="720"/>
      <w:bookmarkEnd w:id="721"/>
      <w:bookmarkEnd w:id="722"/>
      <w:bookmarkEnd w:id="723"/>
      <w:bookmarkEnd w:id="724"/>
      <w:bookmarkEnd w:id="725"/>
    </w:p>
    <w:p w14:paraId="35AA36F9">
      <w:pPr>
        <w:pStyle w:val="97"/>
        <w:pageBreakBefore w:val="0"/>
        <w:tabs>
          <w:tab w:val="left" w:pos="820"/>
        </w:tabs>
        <w:kinsoku/>
        <w:wordWrap/>
        <w:overflowPunct/>
        <w:topLinePunct w:val="0"/>
        <w:autoSpaceDE/>
        <w:autoSpaceDN/>
        <w:bidi w:val="0"/>
        <w:adjustRightInd/>
        <w:snapToGrid/>
        <w:spacing w:line="374" w:lineRule="exact"/>
        <w:ind w:left="420" w:firstLine="0"/>
        <w:jc w:val="both"/>
        <w:textAlignment w:val="auto"/>
        <w:outlineLvl w:val="9"/>
        <w:rPr>
          <w:rStyle w:val="32"/>
          <w:color w:val="auto"/>
          <w:highlight w:val="none"/>
        </w:rPr>
      </w:pPr>
      <w:bookmarkStart w:id="726" w:name="bookmark1231"/>
      <w:bookmarkEnd w:id="726"/>
      <w:r>
        <w:rPr>
          <w:rStyle w:val="32"/>
          <w:rFonts w:ascii="Times New Roman" w:hAnsi="Times New Roman" w:eastAsia="Times New Roman" w:cs="Times New Roman"/>
          <w:color w:val="auto"/>
          <w:highlight w:val="none"/>
          <w:lang w:val="en-US" w:bidi="en-US"/>
        </w:rPr>
        <w:t xml:space="preserve">13.1. </w:t>
      </w:r>
      <w:r>
        <w:rPr>
          <w:rStyle w:val="32"/>
          <w:rFonts w:ascii="Times New Roman" w:hAnsi="Times New Roman" w:eastAsia="Times New Roman" w:cs="Times New Roman"/>
          <w:color w:val="auto"/>
          <w:highlight w:val="none"/>
        </w:rPr>
        <w:t>1</w:t>
      </w:r>
      <w:r>
        <w:rPr>
          <w:rStyle w:val="32"/>
          <w:color w:val="auto"/>
          <w:highlight w:val="none"/>
        </w:rPr>
        <w:t>工程质量验收按合同约定验收标准执行。</w:t>
      </w:r>
    </w:p>
    <w:p w14:paraId="5762A306">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13.1.2</w:t>
      </w:r>
      <w:r>
        <w:rPr>
          <w:rStyle w:val="32"/>
          <w:color w:val="auto"/>
          <w:highlight w:val="none"/>
        </w:rPr>
        <w:t>因承包人原因造成工程质量达不到合同约定验收标准的，监理人有权要求承包人返工直至符合合同要求为止，由此造成的费用增加和（或）工期延误由承包人承担。</w:t>
      </w:r>
    </w:p>
    <w:p w14:paraId="1ED47F91">
      <w:pPr>
        <w:pStyle w:val="97"/>
        <w:pageBreakBefore w:val="0"/>
        <w:kinsoku/>
        <w:wordWrap/>
        <w:overflowPunct/>
        <w:topLinePunct w:val="0"/>
        <w:autoSpaceDE/>
        <w:autoSpaceDN/>
        <w:bidi w:val="0"/>
        <w:adjustRightInd/>
        <w:snapToGrid/>
        <w:spacing w:after="160" w:line="37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13.1.3</w:t>
      </w:r>
      <w:r>
        <w:rPr>
          <w:rStyle w:val="32"/>
          <w:color w:val="auto"/>
          <w:highlight w:val="none"/>
        </w:rPr>
        <w:t>因发包人原因造成工程质量达不到合同约定验收标准的，发包人应承担由于承包人返工造成的费用增加和（或）工期延误，并支付承包人合理利润。</w:t>
      </w:r>
    </w:p>
    <w:p w14:paraId="7C591427">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27" w:name="_Toc6308"/>
      <w:bookmarkStart w:id="728" w:name="bookmark1234"/>
      <w:bookmarkStart w:id="729" w:name="bookmark1233"/>
      <w:bookmarkStart w:id="730" w:name="_Toc256000098"/>
      <w:bookmarkStart w:id="731" w:name="_Toc4852"/>
      <w:bookmarkStart w:id="732" w:name="bookmark1232"/>
      <w:r>
        <w:rPr>
          <w:rStyle w:val="32"/>
          <w:rFonts w:ascii="宋体" w:hAnsi="宋体" w:cs="Times New Roman"/>
          <w:color w:val="auto"/>
          <w:sz w:val="24"/>
          <w:szCs w:val="24"/>
          <w:highlight w:val="none"/>
          <w:lang w:eastAsia="zh-CN"/>
        </w:rPr>
        <w:t>13.2承包人的质量管理</w:t>
      </w:r>
      <w:bookmarkEnd w:id="727"/>
      <w:bookmarkEnd w:id="728"/>
      <w:bookmarkEnd w:id="729"/>
      <w:bookmarkEnd w:id="730"/>
      <w:bookmarkEnd w:id="731"/>
      <w:bookmarkEnd w:id="732"/>
    </w:p>
    <w:p w14:paraId="00A2E2F2">
      <w:pPr>
        <w:pStyle w:val="97"/>
        <w:pageBreakBefore w:val="0"/>
        <w:kinsoku/>
        <w:wordWrap/>
        <w:overflowPunct/>
        <w:topLinePunct w:val="0"/>
        <w:autoSpaceDE/>
        <w:autoSpaceDN/>
        <w:bidi w:val="0"/>
        <w:adjustRightInd/>
        <w:snapToGrid/>
        <w:spacing w:line="361"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13.2.1</w:t>
      </w:r>
      <w:r>
        <w:rPr>
          <w:rStyle w:val="32"/>
          <w:color w:val="auto"/>
          <w:highlight w:val="none"/>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2FE5E5BE">
      <w:pPr>
        <w:pStyle w:val="97"/>
        <w:pageBreakBefore w:val="0"/>
        <w:kinsoku/>
        <w:wordWrap/>
        <w:overflowPunct/>
        <w:topLinePunct w:val="0"/>
        <w:autoSpaceDE/>
        <w:autoSpaceDN/>
        <w:bidi w:val="0"/>
        <w:adjustRightInd/>
        <w:snapToGrid/>
        <w:spacing w:after="240" w:line="361" w:lineRule="exact"/>
        <w:ind w:firstLine="440"/>
        <w:jc w:val="both"/>
        <w:textAlignment w:val="auto"/>
        <w:outlineLvl w:val="9"/>
        <w:rPr>
          <w:rStyle w:val="32"/>
          <w:color w:val="auto"/>
          <w:highlight w:val="none"/>
        </w:rPr>
      </w:pPr>
      <w:bookmarkStart w:id="733" w:name="bookmark1235"/>
      <w:bookmarkEnd w:id="733"/>
      <w:r>
        <w:rPr>
          <w:rStyle w:val="32"/>
          <w:rFonts w:ascii="Times New Roman" w:hAnsi="Times New Roman" w:cs="Times New Roman"/>
          <w:color w:val="auto"/>
          <w:highlight w:val="none"/>
        </w:rPr>
        <w:t>13.2. 2承包人应加强对施工人员的质量教育和技术培训，定期考核施工人员的劳动 技能，严格执行规范和操作规程</w:t>
      </w:r>
      <w:r>
        <w:rPr>
          <w:rStyle w:val="32"/>
          <w:color w:val="auto"/>
          <w:highlight w:val="none"/>
        </w:rPr>
        <w:t>。</w:t>
      </w:r>
    </w:p>
    <w:p w14:paraId="2D46D2DE">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34" w:name="bookmark1236"/>
      <w:bookmarkStart w:id="735" w:name="bookmark1238"/>
      <w:bookmarkStart w:id="736" w:name="_Toc256000099"/>
      <w:bookmarkStart w:id="737" w:name="_Toc19429"/>
      <w:bookmarkStart w:id="738" w:name="bookmark1237"/>
      <w:bookmarkStart w:id="739" w:name="_Toc27102"/>
      <w:r>
        <w:rPr>
          <w:rStyle w:val="32"/>
          <w:rFonts w:ascii="宋体" w:hAnsi="宋体" w:cs="Times New Roman"/>
          <w:color w:val="auto"/>
          <w:sz w:val="24"/>
          <w:szCs w:val="24"/>
          <w:highlight w:val="none"/>
          <w:lang w:eastAsia="zh-CN"/>
        </w:rPr>
        <w:t>13.3承包人的质量检查</w:t>
      </w:r>
      <w:bookmarkEnd w:id="734"/>
      <w:bookmarkEnd w:id="735"/>
      <w:bookmarkEnd w:id="736"/>
      <w:bookmarkEnd w:id="737"/>
      <w:bookmarkEnd w:id="738"/>
      <w:bookmarkEnd w:id="739"/>
    </w:p>
    <w:p w14:paraId="03C7DF2F">
      <w:pPr>
        <w:pStyle w:val="97"/>
        <w:pageBreakBefore w:val="0"/>
        <w:kinsoku/>
        <w:wordWrap/>
        <w:overflowPunct/>
        <w:topLinePunct w:val="0"/>
        <w:autoSpaceDE/>
        <w:autoSpaceDN/>
        <w:bidi w:val="0"/>
        <w:adjustRightInd/>
        <w:snapToGrid/>
        <w:spacing w:after="160" w:line="362" w:lineRule="exact"/>
        <w:ind w:firstLine="440"/>
        <w:jc w:val="both"/>
        <w:textAlignment w:val="auto"/>
        <w:outlineLvl w:val="9"/>
        <w:rPr>
          <w:rStyle w:val="32"/>
          <w:color w:val="auto"/>
          <w:highlight w:val="none"/>
        </w:rPr>
      </w:pPr>
      <w:r>
        <w:rPr>
          <w:rStyle w:val="32"/>
          <w:color w:val="auto"/>
          <w:highlight w:val="none"/>
        </w:rPr>
        <w:t>承包人应按合同约定对材料、工程设备以及工程的所有部位及其施工工艺进行全过程的质量检查和检验，并作详细记录，编制工程质量报表，报送监理人审查。</w:t>
      </w:r>
    </w:p>
    <w:p w14:paraId="4775522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40" w:name="bookmark1239"/>
      <w:bookmarkStart w:id="741" w:name="_Toc26103"/>
      <w:bookmarkStart w:id="742" w:name="bookmark1240"/>
      <w:bookmarkStart w:id="743" w:name="bookmark1241"/>
      <w:bookmarkStart w:id="744" w:name="_Toc256000100"/>
      <w:bookmarkStart w:id="745" w:name="_Toc30829"/>
      <w:r>
        <w:rPr>
          <w:rStyle w:val="32"/>
          <w:rFonts w:ascii="宋体" w:hAnsi="宋体" w:cs="Times New Roman"/>
          <w:color w:val="auto"/>
          <w:sz w:val="24"/>
          <w:szCs w:val="24"/>
          <w:highlight w:val="none"/>
          <w:lang w:eastAsia="zh-CN"/>
        </w:rPr>
        <w:t>13.4监理人的质量检查</w:t>
      </w:r>
      <w:bookmarkEnd w:id="740"/>
      <w:bookmarkEnd w:id="741"/>
      <w:bookmarkEnd w:id="742"/>
      <w:bookmarkEnd w:id="743"/>
      <w:bookmarkEnd w:id="744"/>
      <w:bookmarkEnd w:id="745"/>
    </w:p>
    <w:p w14:paraId="0F9F87DA">
      <w:pPr>
        <w:pStyle w:val="97"/>
        <w:pageBreakBefore w:val="0"/>
        <w:kinsoku/>
        <w:wordWrap/>
        <w:overflowPunct/>
        <w:topLinePunct w:val="0"/>
        <w:autoSpaceDE/>
        <w:autoSpaceDN/>
        <w:bidi w:val="0"/>
        <w:adjustRightInd/>
        <w:snapToGrid/>
        <w:spacing w:after="160" w:line="359" w:lineRule="exact"/>
        <w:ind w:firstLine="440"/>
        <w:jc w:val="both"/>
        <w:textAlignment w:val="auto"/>
        <w:outlineLvl w:val="9"/>
        <w:rPr>
          <w:rStyle w:val="32"/>
          <w:color w:val="auto"/>
          <w:highlight w:val="none"/>
        </w:rPr>
      </w:pPr>
      <w:r>
        <w:rPr>
          <w:rStyle w:val="32"/>
          <w:color w:val="auto"/>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F198B62">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46" w:name="_Toc16458"/>
      <w:bookmarkStart w:id="747" w:name="_Toc256000101"/>
      <w:bookmarkStart w:id="748" w:name="bookmark1242"/>
      <w:bookmarkStart w:id="749" w:name="bookmark1243"/>
      <w:bookmarkStart w:id="750" w:name="_Toc30255"/>
      <w:bookmarkStart w:id="751" w:name="bookmark1244"/>
      <w:r>
        <w:rPr>
          <w:rStyle w:val="32"/>
          <w:rFonts w:ascii="宋体" w:hAnsi="宋体" w:cs="Times New Roman"/>
          <w:color w:val="auto"/>
          <w:sz w:val="24"/>
          <w:szCs w:val="24"/>
          <w:highlight w:val="none"/>
          <w:lang w:eastAsia="zh-CN"/>
        </w:rPr>
        <w:t>13.5工程隐蔽部位覆盖前的检查</w:t>
      </w:r>
      <w:bookmarkEnd w:id="746"/>
      <w:bookmarkEnd w:id="747"/>
      <w:bookmarkEnd w:id="748"/>
      <w:bookmarkEnd w:id="749"/>
      <w:bookmarkEnd w:id="750"/>
      <w:bookmarkEnd w:id="751"/>
    </w:p>
    <w:p w14:paraId="5644EBBA">
      <w:pPr>
        <w:pStyle w:val="97"/>
        <w:pageBreakBefore w:val="0"/>
        <w:tabs>
          <w:tab w:val="left" w:pos="840"/>
        </w:tabs>
        <w:kinsoku/>
        <w:wordWrap/>
        <w:overflowPunct/>
        <w:topLinePunct w:val="0"/>
        <w:autoSpaceDE/>
        <w:autoSpaceDN/>
        <w:bidi w:val="0"/>
        <w:adjustRightInd/>
        <w:snapToGrid/>
        <w:spacing w:line="360" w:lineRule="exact"/>
        <w:ind w:firstLine="400" w:firstLineChars="200"/>
        <w:jc w:val="both"/>
        <w:textAlignment w:val="auto"/>
        <w:outlineLvl w:val="9"/>
        <w:rPr>
          <w:rStyle w:val="32"/>
          <w:color w:val="auto"/>
          <w:highlight w:val="none"/>
        </w:rPr>
      </w:pPr>
      <w:bookmarkStart w:id="752" w:name="bookmark1245"/>
      <w:bookmarkEnd w:id="752"/>
      <w:r>
        <w:rPr>
          <w:rStyle w:val="32"/>
          <w:rFonts w:hint="eastAsia" w:ascii="Times New Roman" w:hAnsi="Times New Roman" w:cs="Times New Roman"/>
          <w:color w:val="auto"/>
          <w:highlight w:val="none"/>
          <w:lang w:val="en-US" w:bidi="en-US"/>
        </w:rPr>
        <w:t>13.</w:t>
      </w:r>
      <w:r>
        <w:rPr>
          <w:rStyle w:val="32"/>
          <w:rFonts w:ascii="Times New Roman" w:hAnsi="Times New Roman" w:eastAsia="Times New Roman" w:cs="Times New Roman"/>
          <w:color w:val="auto"/>
          <w:highlight w:val="none"/>
          <w:lang w:val="en-US" w:bidi="en-US"/>
        </w:rPr>
        <w:t xml:space="preserve">5. </w:t>
      </w:r>
      <w:r>
        <w:rPr>
          <w:rStyle w:val="32"/>
          <w:rFonts w:ascii="Times New Roman" w:hAnsi="Times New Roman" w:eastAsia="Times New Roman" w:cs="Times New Roman"/>
          <w:color w:val="auto"/>
          <w:highlight w:val="none"/>
        </w:rPr>
        <w:t>1</w:t>
      </w:r>
      <w:r>
        <w:rPr>
          <w:rStyle w:val="32"/>
          <w:color w:val="auto"/>
          <w:highlight w:val="none"/>
        </w:rPr>
        <w:t>通知监理人检查</w:t>
      </w:r>
    </w:p>
    <w:p w14:paraId="61EB5754">
      <w:pPr>
        <w:pStyle w:val="97"/>
        <w:pageBreakBefore w:val="0"/>
        <w:kinsoku/>
        <w:wordWrap/>
        <w:overflowPunct/>
        <w:topLinePunct w:val="0"/>
        <w:autoSpaceDE/>
        <w:autoSpaceDN/>
        <w:bidi w:val="0"/>
        <w:adjustRightInd/>
        <w:snapToGrid/>
        <w:spacing w:after="160" w:line="360" w:lineRule="exact"/>
        <w:ind w:firstLine="440"/>
        <w:jc w:val="both"/>
        <w:textAlignment w:val="auto"/>
        <w:outlineLvl w:val="9"/>
        <w:rPr>
          <w:rStyle w:val="32"/>
          <w:color w:val="auto"/>
          <w:highlight w:val="none"/>
        </w:rPr>
      </w:pPr>
      <w:r>
        <w:rPr>
          <w:rStyle w:val="32"/>
          <w:color w:val="auto"/>
          <w:highlight w:val="none"/>
        </w:rPr>
        <w:t>经承包人自检确认的工程隐蔽部位具备覆盖条件后，承包人应通知监理人在约定的期 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2F3EA536">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13.5.2</w:t>
      </w:r>
      <w:r>
        <w:rPr>
          <w:rStyle w:val="32"/>
          <w:color w:val="auto"/>
          <w:highlight w:val="none"/>
        </w:rPr>
        <w:t>监理人未到场检查</w:t>
      </w:r>
    </w:p>
    <w:p w14:paraId="533937A9">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color w:val="auto"/>
          <w:highlight w:val="none"/>
        </w:rPr>
        <w:t>监理人未按第</w:t>
      </w:r>
      <w:r>
        <w:rPr>
          <w:rStyle w:val="32"/>
          <w:rFonts w:ascii="Times New Roman" w:hAnsi="Times New Roman" w:eastAsia="Times New Roman" w:cs="Times New Roman"/>
          <w:color w:val="auto"/>
          <w:highlight w:val="none"/>
          <w:lang w:val="en-US" w:bidi="en-US"/>
        </w:rPr>
        <w:t>13.5.1</w:t>
      </w:r>
      <w:r>
        <w:rPr>
          <w:rStyle w:val="32"/>
          <w:color w:val="auto"/>
          <w:highlight w:val="none"/>
        </w:rPr>
        <w:t>项约定的时间进行检查的，除监理人另有指示外，承包人可自行完成覆盖工作，并作相应记录报送监理人，监理人应签字确认。监理人事后对检查记录有疑问的，可按第</w:t>
      </w:r>
      <w:r>
        <w:rPr>
          <w:rStyle w:val="32"/>
          <w:rFonts w:ascii="Times New Roman" w:hAnsi="Times New Roman" w:eastAsia="Times New Roman" w:cs="Times New Roman"/>
          <w:color w:val="auto"/>
          <w:highlight w:val="none"/>
          <w:lang w:val="en-US" w:bidi="en-US"/>
        </w:rPr>
        <w:t>13.5.3</w:t>
      </w:r>
      <w:r>
        <w:rPr>
          <w:rStyle w:val="32"/>
          <w:color w:val="auto"/>
          <w:highlight w:val="none"/>
        </w:rPr>
        <w:t>项的约定重新检查。</w:t>
      </w:r>
    </w:p>
    <w:p w14:paraId="7900FB01">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13.5.3</w:t>
      </w:r>
      <w:r>
        <w:rPr>
          <w:rStyle w:val="32"/>
          <w:color w:val="auto"/>
          <w:highlight w:val="none"/>
        </w:rPr>
        <w:t>监理人重新检查</w:t>
      </w:r>
    </w:p>
    <w:p w14:paraId="5E5763EE">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color w:val="auto"/>
          <w:highlight w:val="none"/>
        </w:rPr>
        <w:t>承包人按第</w:t>
      </w:r>
      <w:r>
        <w:rPr>
          <w:rStyle w:val="32"/>
          <w:rFonts w:ascii="Times New Roman" w:hAnsi="Times New Roman" w:eastAsia="Times New Roman" w:cs="Times New Roman"/>
          <w:color w:val="auto"/>
          <w:highlight w:val="none"/>
          <w:lang w:val="en-US" w:bidi="en-US"/>
        </w:rPr>
        <w:t xml:space="preserve">13. 5. </w:t>
      </w:r>
      <w:r>
        <w:rPr>
          <w:rStyle w:val="32"/>
          <w:rFonts w:ascii="Times New Roman" w:hAnsi="Times New Roman" w:eastAsia="Times New Roman" w:cs="Times New Roman"/>
          <w:color w:val="auto"/>
          <w:highlight w:val="none"/>
        </w:rPr>
        <w:t>1</w:t>
      </w:r>
      <w:r>
        <w:rPr>
          <w:rStyle w:val="32"/>
          <w:color w:val="auto"/>
          <w:highlight w:val="none"/>
        </w:rPr>
        <w:t>项或第</w:t>
      </w:r>
      <w:r>
        <w:rPr>
          <w:rStyle w:val="32"/>
          <w:rFonts w:ascii="Times New Roman" w:hAnsi="Times New Roman" w:eastAsia="Times New Roman" w:cs="Times New Roman"/>
          <w:color w:val="auto"/>
          <w:highlight w:val="none"/>
          <w:lang w:val="en-US" w:bidi="en-US"/>
        </w:rPr>
        <w:t xml:space="preserve">13. 5. </w:t>
      </w:r>
      <w:r>
        <w:rPr>
          <w:rStyle w:val="32"/>
          <w:rFonts w:ascii="Times New Roman" w:hAnsi="Times New Roman" w:eastAsia="Times New Roman" w:cs="Times New Roman"/>
          <w:color w:val="auto"/>
          <w:highlight w:val="none"/>
        </w:rPr>
        <w:t>2</w:t>
      </w:r>
      <w:r>
        <w:rPr>
          <w:rStyle w:val="32"/>
          <w:color w:val="auto"/>
          <w:highlight w:val="none"/>
        </w:rPr>
        <w:t>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4582071">
      <w:pPr>
        <w:pStyle w:val="97"/>
        <w:pageBreakBefore w:val="0"/>
        <w:kinsoku/>
        <w:wordWrap/>
        <w:overflowPunct/>
        <w:topLinePunct w:val="0"/>
        <w:autoSpaceDE/>
        <w:autoSpaceDN/>
        <w:bidi w:val="0"/>
        <w:adjustRightInd/>
        <w:snapToGrid/>
        <w:spacing w:line="35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13.5.4</w:t>
      </w:r>
      <w:r>
        <w:rPr>
          <w:rStyle w:val="32"/>
          <w:color w:val="auto"/>
          <w:highlight w:val="none"/>
        </w:rPr>
        <w:t>承包人私自覆盖</w:t>
      </w:r>
    </w:p>
    <w:p w14:paraId="184DB2A1">
      <w:pPr>
        <w:pStyle w:val="97"/>
        <w:pageBreakBefore w:val="0"/>
        <w:kinsoku/>
        <w:wordWrap/>
        <w:overflowPunct/>
        <w:topLinePunct w:val="0"/>
        <w:autoSpaceDE/>
        <w:autoSpaceDN/>
        <w:bidi w:val="0"/>
        <w:adjustRightInd/>
        <w:snapToGrid/>
        <w:spacing w:after="120" w:line="355" w:lineRule="exact"/>
        <w:ind w:firstLine="440"/>
        <w:jc w:val="both"/>
        <w:textAlignment w:val="auto"/>
        <w:outlineLvl w:val="9"/>
        <w:rPr>
          <w:rStyle w:val="32"/>
          <w:color w:val="auto"/>
          <w:highlight w:val="none"/>
        </w:rPr>
      </w:pPr>
      <w:r>
        <w:rPr>
          <w:rStyle w:val="32"/>
          <w:color w:val="auto"/>
          <w:highlight w:val="none"/>
        </w:rPr>
        <w:t>承包人未通知监理人到场检查，私自将工程隐蔽部位覆盖的，监理人有权指示承包人钻孔探测或揭开检查，由此增加的费用和（或）工期延误由承包人承担。</w:t>
      </w:r>
    </w:p>
    <w:p w14:paraId="4D8DFE4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53" w:name="bookmark1246"/>
      <w:bookmarkStart w:id="754" w:name="_Toc31851"/>
      <w:bookmarkStart w:id="755" w:name="_Toc17861"/>
      <w:bookmarkStart w:id="756" w:name="bookmark1248"/>
      <w:bookmarkStart w:id="757" w:name="_Toc256000102"/>
      <w:bookmarkStart w:id="758" w:name="bookmark1247"/>
      <w:r>
        <w:rPr>
          <w:rStyle w:val="32"/>
          <w:rFonts w:ascii="宋体" w:hAnsi="宋体" w:cs="Times New Roman"/>
          <w:color w:val="auto"/>
          <w:sz w:val="24"/>
          <w:szCs w:val="24"/>
          <w:highlight w:val="none"/>
          <w:lang w:eastAsia="zh-CN"/>
        </w:rPr>
        <w:t>13.6清除不合格工程</w:t>
      </w:r>
      <w:bookmarkEnd w:id="753"/>
      <w:bookmarkEnd w:id="754"/>
      <w:bookmarkEnd w:id="755"/>
      <w:bookmarkEnd w:id="756"/>
      <w:bookmarkEnd w:id="757"/>
      <w:bookmarkEnd w:id="758"/>
    </w:p>
    <w:p w14:paraId="3E901C6C">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13.6.1</w:t>
      </w:r>
      <w:r>
        <w:rPr>
          <w:rStyle w:val="32"/>
          <w:color w:val="auto"/>
          <w:highlight w:val="none"/>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472F5F21">
      <w:pPr>
        <w:pStyle w:val="97"/>
        <w:pageBreakBefore w:val="0"/>
        <w:kinsoku/>
        <w:wordWrap/>
        <w:overflowPunct/>
        <w:topLinePunct w:val="0"/>
        <w:autoSpaceDE/>
        <w:autoSpaceDN/>
        <w:bidi w:val="0"/>
        <w:adjustRightInd/>
        <w:snapToGrid/>
        <w:spacing w:line="383"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13.6.2</w:t>
      </w:r>
      <w:r>
        <w:rPr>
          <w:rStyle w:val="32"/>
          <w:color w:val="auto"/>
          <w:highlight w:val="none"/>
        </w:rPr>
        <w:t>由于发包人提供的材料或工程设备不合格造成的工程不合格，需要承包人采取措施补救的，发包人应承担由此增加的费用和（或）工期延误，并支付承包人合理利润。</w:t>
      </w:r>
    </w:p>
    <w:p w14:paraId="2653FB4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59" w:name="_Toc3708"/>
      <w:bookmarkStart w:id="760" w:name="_Toc256000103"/>
      <w:bookmarkStart w:id="761" w:name="_Toc14095"/>
      <w:r>
        <w:rPr>
          <w:rStyle w:val="32"/>
          <w:rFonts w:ascii="宋体" w:hAnsi="宋体" w:cs="Times New Roman"/>
          <w:color w:val="auto"/>
          <w:sz w:val="24"/>
          <w:szCs w:val="24"/>
          <w:highlight w:val="none"/>
          <w:lang w:eastAsia="zh-CN"/>
        </w:rPr>
        <w:t>13.7质量评定</w:t>
      </w:r>
      <w:bookmarkEnd w:id="759"/>
      <w:bookmarkEnd w:id="760"/>
      <w:bookmarkEnd w:id="761"/>
    </w:p>
    <w:p w14:paraId="4D9B095E">
      <w:pPr>
        <w:pStyle w:val="97"/>
        <w:pageBreakBefore w:val="0"/>
        <w:kinsoku/>
        <w:wordWrap/>
        <w:overflowPunct/>
        <w:topLinePunct w:val="0"/>
        <w:autoSpaceDE/>
        <w:autoSpaceDN/>
        <w:bidi w:val="0"/>
        <w:adjustRightInd/>
        <w:snapToGrid/>
        <w:spacing w:line="37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13.7.1</w:t>
      </w:r>
      <w:r>
        <w:rPr>
          <w:rStyle w:val="32"/>
          <w:color w:val="auto"/>
          <w:highlight w:val="none"/>
        </w:rPr>
        <w:t>发包人应组织承包人进行工程项目划分，并确定单位工程、主要分部工程、重要隐蔽单元工程和关键部位单元工程。</w:t>
      </w:r>
    </w:p>
    <w:p w14:paraId="29E8D823">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13.7.2</w:t>
      </w:r>
      <w:r>
        <w:rPr>
          <w:rStyle w:val="32"/>
          <w:color w:val="auto"/>
          <w:highlight w:val="none"/>
        </w:rPr>
        <w:t>工程实施过程中，单位工程、主要分部工程、重要隐蔽单元工程和关键部位单元工程的项目划分需要调整时，承包人应报发包人确认。</w:t>
      </w:r>
    </w:p>
    <w:p w14:paraId="434C1FCE">
      <w:pPr>
        <w:pStyle w:val="97"/>
        <w:pageBreakBefore w:val="0"/>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13.7.3</w:t>
      </w:r>
      <w:r>
        <w:rPr>
          <w:rStyle w:val="32"/>
          <w:color w:val="auto"/>
          <w:highlight w:val="none"/>
        </w:rPr>
        <w:t>承包人应在单元（工序）工程质量自评合格后，报监理人核定质量等级并签证认可。</w:t>
      </w:r>
    </w:p>
    <w:p w14:paraId="450132CC">
      <w:pPr>
        <w:pStyle w:val="97"/>
        <w:pageBreakBefore w:val="0"/>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13.7.4</w:t>
      </w:r>
      <w:r>
        <w:rPr>
          <w:rStyle w:val="32"/>
          <w:color w:val="auto"/>
          <w:highlight w:val="none"/>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15513D1">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13.7.5</w:t>
      </w:r>
      <w:r>
        <w:rPr>
          <w:rStyle w:val="32"/>
          <w:color w:val="auto"/>
          <w:highlight w:val="none"/>
        </w:rPr>
        <w:t>承包人应在分部工程质量自评合格后，报监理人复核和发包人认定。发包人负责按有关规定完成分部工程质量结论报工程质量监督机构核备（核定）手续。</w:t>
      </w:r>
    </w:p>
    <w:p w14:paraId="79EC0861">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13.7.6</w:t>
      </w:r>
      <w:r>
        <w:rPr>
          <w:rStyle w:val="32"/>
          <w:color w:val="auto"/>
          <w:highlight w:val="none"/>
        </w:rPr>
        <w:t>承包人应在单位工程质量自评合格后，报监理人复核和发包人认定。发包人负责按有关规定完成单位工程质量结论报工程质量监督机构核定手续。</w:t>
      </w:r>
    </w:p>
    <w:p w14:paraId="4541C35B">
      <w:pPr>
        <w:pStyle w:val="97"/>
        <w:pageBreakBefore w:val="0"/>
        <w:kinsoku/>
        <w:wordWrap/>
        <w:overflowPunct/>
        <w:topLinePunct w:val="0"/>
        <w:autoSpaceDE/>
        <w:autoSpaceDN/>
        <w:bidi w:val="0"/>
        <w:adjustRightInd/>
        <w:snapToGrid/>
        <w:spacing w:after="120"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13.7.7</w:t>
      </w:r>
      <w:r>
        <w:rPr>
          <w:rStyle w:val="32"/>
          <w:color w:val="auto"/>
          <w:highlight w:val="none"/>
        </w:rPr>
        <w:t>除专用合同条款另有约定外，工程质量等级分为合格和优良，应分别达到约定的标准。</w:t>
      </w:r>
    </w:p>
    <w:p w14:paraId="1089C51B">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62" w:name="bookmark1251"/>
      <w:bookmarkStart w:id="763" w:name="bookmark1249"/>
      <w:bookmarkStart w:id="764" w:name="bookmark1250"/>
      <w:bookmarkStart w:id="765" w:name="_Toc19883"/>
      <w:bookmarkStart w:id="766" w:name="_Toc21295"/>
      <w:bookmarkStart w:id="767" w:name="_Toc256000104"/>
      <w:r>
        <w:rPr>
          <w:rStyle w:val="32"/>
          <w:rFonts w:ascii="宋体" w:hAnsi="宋体" w:cs="Times New Roman"/>
          <w:color w:val="auto"/>
          <w:sz w:val="24"/>
          <w:szCs w:val="24"/>
          <w:highlight w:val="none"/>
          <w:lang w:eastAsia="zh-CN"/>
        </w:rPr>
        <w:t>13.8质量事故处理</w:t>
      </w:r>
      <w:bookmarkEnd w:id="762"/>
      <w:bookmarkEnd w:id="763"/>
      <w:bookmarkEnd w:id="764"/>
      <w:bookmarkEnd w:id="765"/>
      <w:bookmarkEnd w:id="766"/>
      <w:bookmarkEnd w:id="767"/>
    </w:p>
    <w:p w14:paraId="50BCF97C">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13.8.1</w:t>
      </w:r>
      <w:r>
        <w:rPr>
          <w:rStyle w:val="32"/>
          <w:color w:val="auto"/>
          <w:highlight w:val="none"/>
        </w:rPr>
        <w:t>发生质量事故时，承包人应及时向发包人和监理人报告。</w:t>
      </w:r>
    </w:p>
    <w:p w14:paraId="27D0AF2C">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13.8.2</w:t>
      </w:r>
      <w:r>
        <w:rPr>
          <w:rStyle w:val="32"/>
          <w:color w:val="auto"/>
          <w:highlight w:val="none"/>
        </w:rPr>
        <w:t>质量事故调查处理由发包人按相关规定履行手续，承包人应配合。</w:t>
      </w:r>
    </w:p>
    <w:p w14:paraId="67E21793">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13.8.3</w:t>
      </w:r>
      <w:r>
        <w:rPr>
          <w:rStyle w:val="32"/>
          <w:color w:val="auto"/>
          <w:highlight w:val="none"/>
        </w:rPr>
        <w:t>承包人应对质量缺陷进行备案。发包人委托监理人对质量缺陷备案情况进行监督检查并履行相关手续。</w:t>
      </w:r>
    </w:p>
    <w:p w14:paraId="68BD0AF8">
      <w:pPr>
        <w:pStyle w:val="97"/>
        <w:pageBreakBefore w:val="0"/>
        <w:kinsoku/>
        <w:wordWrap/>
        <w:overflowPunct/>
        <w:topLinePunct w:val="0"/>
        <w:autoSpaceDE/>
        <w:autoSpaceDN/>
        <w:bidi w:val="0"/>
        <w:adjustRightInd/>
        <w:snapToGrid/>
        <w:spacing w:after="240" w:line="358"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13.8.4</w:t>
      </w:r>
      <w:r>
        <w:rPr>
          <w:rStyle w:val="32"/>
          <w:color w:val="auto"/>
          <w:highlight w:val="none"/>
        </w:rPr>
        <w:t>除专用合同条款另有约定外，工程竣工验收时，发包人负责向竣工验收委员会汇报并提交历次质量缺陷处理的备案资料。</w:t>
      </w:r>
    </w:p>
    <w:p w14:paraId="1BDE6D74">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768" w:name="_Toc256000105"/>
      <w:bookmarkStart w:id="769" w:name="bookmark1252"/>
      <w:bookmarkStart w:id="770" w:name="_Toc17645"/>
      <w:bookmarkStart w:id="771" w:name="_Toc3911"/>
      <w:bookmarkStart w:id="772" w:name="bookmark1253"/>
      <w:bookmarkStart w:id="773" w:name="bookmark1254"/>
      <w:r>
        <w:rPr>
          <w:rStyle w:val="32"/>
          <w:rFonts w:hint="eastAsia" w:cs="Times New Roman"/>
          <w:color w:val="auto"/>
          <w:highlight w:val="none"/>
          <w:lang w:eastAsia="zh-CN"/>
        </w:rPr>
        <w:t>14 .试验和检验</w:t>
      </w:r>
      <w:bookmarkEnd w:id="768"/>
      <w:bookmarkEnd w:id="769"/>
      <w:bookmarkEnd w:id="770"/>
      <w:bookmarkEnd w:id="771"/>
      <w:bookmarkEnd w:id="772"/>
      <w:bookmarkEnd w:id="773"/>
    </w:p>
    <w:p w14:paraId="608345F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74" w:name="bookmark1256"/>
      <w:bookmarkStart w:id="775" w:name="_Toc16875"/>
      <w:bookmarkStart w:id="776" w:name="_Toc256000106"/>
      <w:bookmarkStart w:id="777" w:name="bookmark1255"/>
      <w:bookmarkStart w:id="778" w:name="bookmark1257"/>
      <w:bookmarkStart w:id="779" w:name="_Toc18503"/>
      <w:r>
        <w:rPr>
          <w:rStyle w:val="32"/>
          <w:rFonts w:ascii="宋体" w:hAnsi="宋体" w:cs="Times New Roman"/>
          <w:color w:val="auto"/>
          <w:sz w:val="24"/>
          <w:szCs w:val="24"/>
          <w:highlight w:val="none"/>
          <w:lang w:eastAsia="zh-CN"/>
        </w:rPr>
        <w:t>14.1材料、工程设备和工程的试验和检验</w:t>
      </w:r>
      <w:bookmarkEnd w:id="774"/>
      <w:bookmarkEnd w:id="775"/>
      <w:bookmarkEnd w:id="776"/>
      <w:bookmarkEnd w:id="777"/>
      <w:bookmarkEnd w:id="778"/>
      <w:bookmarkEnd w:id="779"/>
    </w:p>
    <w:p w14:paraId="36865B5A">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rFonts w:ascii="Times New Roman" w:hAnsi="Times New Roman" w:cs="Times New Roman"/>
          <w:color w:val="auto"/>
          <w:highlight w:val="none"/>
        </w:rPr>
      </w:pPr>
      <w:bookmarkStart w:id="780" w:name="bookmark1258"/>
      <w:bookmarkEnd w:id="780"/>
      <w:r>
        <w:rPr>
          <w:rStyle w:val="32"/>
          <w:rFonts w:ascii="Times New Roman" w:hAnsi="Times New Roman" w:cs="Times New Roman"/>
          <w:color w:val="auto"/>
          <w:highlight w:val="none"/>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34FC88A">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14.1.2</w:t>
      </w:r>
      <w:r>
        <w:rPr>
          <w:rStyle w:val="32"/>
          <w:rFonts w:ascii="Times New Roman" w:hAnsi="Times New Roman" w:cs="Times New Roman"/>
          <w:color w:val="auto"/>
          <w:highlight w:val="none"/>
        </w:rPr>
        <w:t>监</w:t>
      </w:r>
      <w:r>
        <w:rPr>
          <w:rStyle w:val="32"/>
          <w:color w:val="auto"/>
          <w:highlight w:val="none"/>
        </w:rPr>
        <w:t>理人未按合同约定派员参加试验和检验的，除监理人另有指示外，承包人可自行试验和检验，并应立即将试验和检验结果报送监理人，监理人应签字确认。</w:t>
      </w:r>
    </w:p>
    <w:p w14:paraId="1565D271">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14.1.3</w:t>
      </w:r>
      <w:r>
        <w:rPr>
          <w:rStyle w:val="32"/>
          <w:color w:val="auto"/>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C955162">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14.1.4</w:t>
      </w:r>
      <w:r>
        <w:rPr>
          <w:rStyle w:val="32"/>
          <w:color w:val="auto"/>
          <w:highlight w:val="none"/>
        </w:rPr>
        <w:t>承包人应按相关规定和标准对水泥、钢材等原材料与中间产品质量进行检验, 并报监理人复核。</w:t>
      </w:r>
    </w:p>
    <w:p w14:paraId="51D76B3F">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14.1.5</w:t>
      </w:r>
      <w:r>
        <w:rPr>
          <w:rStyle w:val="32"/>
          <w:color w:val="auto"/>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42298D22">
      <w:pPr>
        <w:pStyle w:val="97"/>
        <w:pageBreakBefore w:val="0"/>
        <w:kinsoku/>
        <w:wordWrap/>
        <w:overflowPunct/>
        <w:topLinePunct w:val="0"/>
        <w:autoSpaceDE/>
        <w:autoSpaceDN/>
        <w:bidi w:val="0"/>
        <w:adjustRightInd/>
        <w:snapToGrid/>
        <w:spacing w:after="120"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14.1.6</w:t>
      </w:r>
      <w:r>
        <w:rPr>
          <w:rStyle w:val="32"/>
          <w:color w:val="auto"/>
          <w:highlight w:val="none"/>
        </w:rPr>
        <w:t>对专用合同条款约定的试块、试件及有关材料，监理人实行见证取样。见证取样资料由承包人制备，记录应真实齐全，监理人、承包人等参与见证取样人员均应在相关文件上签字。</w:t>
      </w:r>
    </w:p>
    <w:p w14:paraId="742AD91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81" w:name="_Toc24338"/>
      <w:bookmarkStart w:id="782" w:name="_Toc14685"/>
      <w:bookmarkStart w:id="783" w:name="bookmark1261"/>
      <w:bookmarkStart w:id="784" w:name="bookmark1259"/>
      <w:bookmarkStart w:id="785" w:name="bookmark1260"/>
      <w:bookmarkStart w:id="786" w:name="_Toc256000107"/>
      <w:r>
        <w:rPr>
          <w:rStyle w:val="32"/>
          <w:rFonts w:ascii="宋体" w:hAnsi="宋体" w:cs="Times New Roman"/>
          <w:color w:val="auto"/>
          <w:sz w:val="24"/>
          <w:szCs w:val="24"/>
          <w:highlight w:val="none"/>
          <w:lang w:eastAsia="zh-CN"/>
        </w:rPr>
        <w:t>14.2现场材料试验</w:t>
      </w:r>
      <w:bookmarkEnd w:id="781"/>
      <w:bookmarkEnd w:id="782"/>
      <w:bookmarkEnd w:id="783"/>
      <w:bookmarkEnd w:id="784"/>
      <w:bookmarkEnd w:id="785"/>
      <w:bookmarkEnd w:id="786"/>
    </w:p>
    <w:p w14:paraId="7FF60135">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rFonts w:ascii="Times New Roman" w:hAnsi="Times New Roman" w:cs="Times New Roman"/>
          <w:color w:val="auto"/>
          <w:highlight w:val="none"/>
        </w:rPr>
      </w:pPr>
      <w:bookmarkStart w:id="787" w:name="bookmark1262"/>
      <w:bookmarkEnd w:id="787"/>
      <w:r>
        <w:rPr>
          <w:rStyle w:val="32"/>
          <w:rFonts w:ascii="Times New Roman" w:hAnsi="Times New Roman" w:cs="Times New Roman"/>
          <w:color w:val="auto"/>
          <w:highlight w:val="none"/>
          <w:lang w:val="en-US" w:bidi="en-US"/>
        </w:rPr>
        <w:t>14.2.</w:t>
      </w:r>
      <w:r>
        <w:rPr>
          <w:rStyle w:val="32"/>
          <w:rFonts w:ascii="Times New Roman" w:hAnsi="Times New Roman" w:eastAsia="Times New Roman" w:cs="Times New Roman"/>
          <w:color w:val="auto"/>
          <w:highlight w:val="none"/>
        </w:rPr>
        <w:t>1</w:t>
      </w:r>
      <w:r>
        <w:rPr>
          <w:rStyle w:val="32"/>
          <w:rFonts w:ascii="Times New Roman" w:hAnsi="Times New Roman" w:cs="Times New Roman"/>
          <w:color w:val="auto"/>
          <w:highlight w:val="none"/>
        </w:rPr>
        <w:t>承包人根据合同约定或监理人指示进行的现场材料试验，应由承包人提供试 验场所、试验人员、试验设备器材以及其他必要的试验条件。</w:t>
      </w:r>
    </w:p>
    <w:p w14:paraId="6A191B37">
      <w:pPr>
        <w:pStyle w:val="97"/>
        <w:pageBreakBefore w:val="0"/>
        <w:kinsoku/>
        <w:wordWrap/>
        <w:overflowPunct/>
        <w:topLinePunct w:val="0"/>
        <w:autoSpaceDE/>
        <w:autoSpaceDN/>
        <w:bidi w:val="0"/>
        <w:adjustRightInd/>
        <w:snapToGrid/>
        <w:spacing w:line="356" w:lineRule="exact"/>
        <w:ind w:firstLine="440"/>
        <w:jc w:val="both"/>
        <w:textAlignment w:val="auto"/>
        <w:outlineLvl w:val="9"/>
        <w:rPr>
          <w:rStyle w:val="32"/>
          <w:rFonts w:ascii="Times New Roman" w:hAnsi="Times New Roman" w:cs="Times New Roman"/>
          <w:color w:val="auto"/>
          <w:highlight w:val="none"/>
        </w:rPr>
      </w:pPr>
      <w:bookmarkStart w:id="788" w:name="bookmark1263"/>
      <w:bookmarkEnd w:id="788"/>
      <w:r>
        <w:rPr>
          <w:rStyle w:val="32"/>
          <w:rFonts w:ascii="Times New Roman" w:hAnsi="Times New Roman" w:cs="Times New Roman"/>
          <w:color w:val="auto"/>
          <w:highlight w:val="none"/>
          <w:lang w:val="en-US" w:bidi="en-US"/>
        </w:rPr>
        <w:t>14.2.</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监理人在必要时可以使用承包人的试验场所、试验设备器材以及其他试验条件，进行以工程质量检查为目的的复核性材料试验，承包人应予以协助。</w:t>
      </w:r>
    </w:p>
    <w:p w14:paraId="4317C57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789" w:name="bookmark1266"/>
      <w:bookmarkStart w:id="790" w:name="_Toc9735"/>
      <w:bookmarkStart w:id="791" w:name="bookmark1264"/>
      <w:bookmarkStart w:id="792" w:name="_Toc256000108"/>
      <w:bookmarkStart w:id="793" w:name="bookmark1265"/>
      <w:bookmarkStart w:id="794" w:name="_Toc21991"/>
      <w:r>
        <w:rPr>
          <w:rStyle w:val="32"/>
          <w:rFonts w:ascii="宋体" w:hAnsi="宋体" w:cs="Times New Roman"/>
          <w:color w:val="auto"/>
          <w:sz w:val="24"/>
          <w:szCs w:val="24"/>
          <w:highlight w:val="none"/>
          <w:lang w:eastAsia="zh-CN"/>
        </w:rPr>
        <w:t>14.3现场工艺试验</w:t>
      </w:r>
      <w:bookmarkEnd w:id="789"/>
      <w:bookmarkEnd w:id="790"/>
      <w:bookmarkEnd w:id="791"/>
      <w:bookmarkEnd w:id="792"/>
      <w:bookmarkEnd w:id="793"/>
      <w:bookmarkEnd w:id="794"/>
    </w:p>
    <w:p w14:paraId="2DC60B4C">
      <w:pPr>
        <w:pStyle w:val="97"/>
        <w:pageBreakBefore w:val="0"/>
        <w:kinsoku/>
        <w:wordWrap/>
        <w:overflowPunct/>
        <w:topLinePunct w:val="0"/>
        <w:autoSpaceDE/>
        <w:autoSpaceDN/>
        <w:bidi w:val="0"/>
        <w:adjustRightInd/>
        <w:snapToGrid/>
        <w:spacing w:after="120" w:line="360" w:lineRule="exact"/>
        <w:ind w:firstLine="440"/>
        <w:jc w:val="both"/>
        <w:textAlignment w:val="auto"/>
        <w:outlineLvl w:val="9"/>
        <w:rPr>
          <w:rStyle w:val="32"/>
          <w:color w:val="auto"/>
          <w:highlight w:val="none"/>
        </w:rPr>
      </w:pPr>
      <w:r>
        <w:rPr>
          <w:rStyle w:val="32"/>
          <w:color w:val="auto"/>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6A21DA3A">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795" w:name="_Toc256000109"/>
      <w:bookmarkStart w:id="796" w:name="_Toc9858"/>
      <w:bookmarkStart w:id="797" w:name="bookmark1269"/>
      <w:bookmarkStart w:id="798" w:name="_Toc5435"/>
      <w:bookmarkStart w:id="799" w:name="bookmark1267"/>
      <w:bookmarkStart w:id="800" w:name="bookmark1268"/>
      <w:r>
        <w:rPr>
          <w:rStyle w:val="32"/>
          <w:rFonts w:hint="eastAsia" w:cs="Times New Roman"/>
          <w:color w:val="auto"/>
          <w:highlight w:val="none"/>
          <w:lang w:eastAsia="zh-CN"/>
        </w:rPr>
        <w:t>15.变更</w:t>
      </w:r>
      <w:bookmarkEnd w:id="795"/>
      <w:bookmarkEnd w:id="796"/>
      <w:bookmarkEnd w:id="797"/>
      <w:bookmarkEnd w:id="798"/>
    </w:p>
    <w:p w14:paraId="2DF2C60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01" w:name="bookmark1270"/>
      <w:bookmarkStart w:id="802" w:name="_Toc8153"/>
      <w:bookmarkStart w:id="803" w:name="_Toc256000110"/>
      <w:bookmarkStart w:id="804" w:name="_Toc30097"/>
      <w:r>
        <w:rPr>
          <w:rStyle w:val="32"/>
          <w:rFonts w:ascii="宋体" w:hAnsi="宋体" w:cs="Times New Roman"/>
          <w:color w:val="auto"/>
          <w:sz w:val="24"/>
          <w:szCs w:val="24"/>
          <w:highlight w:val="none"/>
          <w:lang w:eastAsia="zh-CN"/>
        </w:rPr>
        <w:t>15.1变更的范围和内容</w:t>
      </w:r>
      <w:bookmarkEnd w:id="799"/>
      <w:bookmarkEnd w:id="800"/>
      <w:bookmarkEnd w:id="801"/>
      <w:bookmarkEnd w:id="802"/>
      <w:bookmarkEnd w:id="803"/>
      <w:bookmarkEnd w:id="804"/>
    </w:p>
    <w:p w14:paraId="477D99F5">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color w:val="auto"/>
          <w:highlight w:val="none"/>
        </w:rPr>
        <w:t>在履行合同中发生以下情形之一，应按照本条规定进行变更。</w:t>
      </w:r>
    </w:p>
    <w:p w14:paraId="05C7953C">
      <w:pPr>
        <w:pStyle w:val="97"/>
        <w:pageBreakBefore w:val="0"/>
        <w:numPr>
          <w:ilvl w:val="0"/>
          <w:numId w:val="15"/>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05" w:name="bookmark1271"/>
      <w:bookmarkEnd w:id="805"/>
      <w:r>
        <w:rPr>
          <w:rStyle w:val="32"/>
          <w:color w:val="auto"/>
          <w:highlight w:val="none"/>
        </w:rPr>
        <w:t>取消合同中任何一项工作，但被取消的工作不能转由发包人或其它人实施；</w:t>
      </w:r>
    </w:p>
    <w:p w14:paraId="7058F180">
      <w:pPr>
        <w:pStyle w:val="97"/>
        <w:pageBreakBefore w:val="0"/>
        <w:numPr>
          <w:ilvl w:val="0"/>
          <w:numId w:val="15"/>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06" w:name="bookmark1272"/>
      <w:bookmarkEnd w:id="806"/>
      <w:r>
        <w:rPr>
          <w:rStyle w:val="32"/>
          <w:color w:val="auto"/>
          <w:highlight w:val="none"/>
        </w:rPr>
        <w:t>改变合同中任何一项工作的质量或其它特性；</w:t>
      </w:r>
    </w:p>
    <w:p w14:paraId="6DE64C11">
      <w:pPr>
        <w:pStyle w:val="97"/>
        <w:pageBreakBefore w:val="0"/>
        <w:numPr>
          <w:ilvl w:val="0"/>
          <w:numId w:val="15"/>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07" w:name="bookmark1273"/>
      <w:bookmarkEnd w:id="807"/>
      <w:r>
        <w:rPr>
          <w:rStyle w:val="32"/>
          <w:color w:val="auto"/>
          <w:highlight w:val="none"/>
        </w:rPr>
        <w:t>改变合同工程的基线、标高、位置或尺寸；</w:t>
      </w:r>
    </w:p>
    <w:p w14:paraId="7220D863">
      <w:pPr>
        <w:pStyle w:val="97"/>
        <w:pageBreakBefore w:val="0"/>
        <w:numPr>
          <w:ilvl w:val="0"/>
          <w:numId w:val="15"/>
        </w:numPr>
        <w:tabs>
          <w:tab w:val="left" w:pos="923"/>
        </w:tabs>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bookmarkStart w:id="808" w:name="bookmark1274"/>
      <w:bookmarkEnd w:id="808"/>
      <w:r>
        <w:rPr>
          <w:rStyle w:val="32"/>
          <w:color w:val="auto"/>
          <w:highlight w:val="none"/>
        </w:rPr>
        <w:t>改变合同中任何一项工作的施工时间或改变已批准的施工工艺或顺序；</w:t>
      </w:r>
    </w:p>
    <w:p w14:paraId="733C367C">
      <w:pPr>
        <w:pStyle w:val="97"/>
        <w:pageBreakBefore w:val="0"/>
        <w:numPr>
          <w:ilvl w:val="0"/>
          <w:numId w:val="15"/>
        </w:numPr>
        <w:tabs>
          <w:tab w:val="left" w:pos="923"/>
        </w:tabs>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bookmarkStart w:id="809" w:name="bookmark1275"/>
      <w:bookmarkEnd w:id="809"/>
      <w:r>
        <w:rPr>
          <w:rStyle w:val="32"/>
          <w:color w:val="auto"/>
          <w:highlight w:val="none"/>
        </w:rPr>
        <w:t>为完成工程需要追加的额外工作；</w:t>
      </w:r>
    </w:p>
    <w:p w14:paraId="1773233D">
      <w:pPr>
        <w:pStyle w:val="97"/>
        <w:pageBreakBefore w:val="0"/>
        <w:numPr>
          <w:ilvl w:val="0"/>
          <w:numId w:val="15"/>
        </w:numPr>
        <w:tabs>
          <w:tab w:val="left" w:pos="920"/>
        </w:tabs>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bookmarkStart w:id="810" w:name="bookmark1276"/>
      <w:bookmarkEnd w:id="810"/>
      <w:r>
        <w:rPr>
          <w:rStyle w:val="32"/>
          <w:color w:val="auto"/>
          <w:highlight w:val="none"/>
        </w:rPr>
        <w:t>增加或减少专用合同条款中约定的关键项目工程量超过其工程总量的一定数量的百分比。</w:t>
      </w:r>
    </w:p>
    <w:p w14:paraId="44AC8A32">
      <w:pPr>
        <w:pStyle w:val="97"/>
        <w:pageBreakBefore w:val="0"/>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r>
        <w:rPr>
          <w:rStyle w:val="32"/>
          <w:color w:val="auto"/>
          <w:highlight w:val="none"/>
        </w:rPr>
        <w:t>上述第(</w:t>
      </w:r>
      <w:r>
        <w:rPr>
          <w:rStyle w:val="32"/>
          <w:rFonts w:ascii="Times New Roman" w:hAnsi="Times New Roman" w:eastAsia="Times New Roman" w:cs="Times New Roman"/>
          <w:color w:val="auto"/>
          <w:highlight w:val="none"/>
        </w:rPr>
        <w:t>1)~ (6)</w:t>
      </w:r>
      <w:r>
        <w:rPr>
          <w:rStyle w:val="32"/>
          <w:color w:val="auto"/>
          <w:highlight w:val="none"/>
        </w:rPr>
        <w:t>目的变更内容引起工程施工组织和进度计划发生实质性变动和影响其原定的价格时，才予调整该项目的单价。第(</w:t>
      </w:r>
      <w:r>
        <w:rPr>
          <w:rStyle w:val="32"/>
          <w:rFonts w:ascii="Times New Roman" w:hAnsi="Times New Roman" w:eastAsia="Times New Roman" w:cs="Times New Roman"/>
          <w:color w:val="auto"/>
          <w:highlight w:val="none"/>
        </w:rPr>
        <w:t>6)</w:t>
      </w:r>
      <w:r>
        <w:rPr>
          <w:rStyle w:val="32"/>
          <w:color w:val="auto"/>
          <w:highlight w:val="none"/>
        </w:rPr>
        <w:t>目情形下单价调整方式在专用合同条款中约定。</w:t>
      </w:r>
    </w:p>
    <w:p w14:paraId="0AB0E73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11" w:name="bookmark1278"/>
      <w:bookmarkStart w:id="812" w:name="bookmark1279"/>
      <w:bookmarkStart w:id="813" w:name="bookmark1277"/>
      <w:bookmarkStart w:id="814" w:name="_Toc256000111"/>
      <w:bookmarkStart w:id="815" w:name="_Toc25903"/>
      <w:bookmarkStart w:id="816" w:name="_Toc17873"/>
      <w:r>
        <w:rPr>
          <w:rStyle w:val="32"/>
          <w:rFonts w:ascii="宋体" w:hAnsi="宋体" w:cs="Times New Roman"/>
          <w:color w:val="auto"/>
          <w:sz w:val="24"/>
          <w:szCs w:val="24"/>
          <w:highlight w:val="none"/>
          <w:lang w:eastAsia="zh-CN"/>
        </w:rPr>
        <w:t>15.2变更权</w:t>
      </w:r>
      <w:bookmarkEnd w:id="811"/>
      <w:bookmarkEnd w:id="812"/>
      <w:bookmarkEnd w:id="813"/>
      <w:bookmarkEnd w:id="814"/>
      <w:bookmarkEnd w:id="815"/>
      <w:bookmarkEnd w:id="816"/>
    </w:p>
    <w:p w14:paraId="53063B36">
      <w:pPr>
        <w:pStyle w:val="97"/>
        <w:pageBreakBefore w:val="0"/>
        <w:kinsoku/>
        <w:wordWrap/>
        <w:overflowPunct/>
        <w:topLinePunct w:val="0"/>
        <w:autoSpaceDE/>
        <w:autoSpaceDN/>
        <w:bidi w:val="0"/>
        <w:adjustRightInd/>
        <w:snapToGrid/>
        <w:spacing w:after="240" w:line="374" w:lineRule="exact"/>
        <w:ind w:firstLine="440"/>
        <w:jc w:val="both"/>
        <w:textAlignment w:val="auto"/>
        <w:outlineLvl w:val="9"/>
        <w:rPr>
          <w:rStyle w:val="32"/>
          <w:color w:val="auto"/>
          <w:highlight w:val="none"/>
        </w:rPr>
      </w:pPr>
      <w:r>
        <w:rPr>
          <w:rStyle w:val="32"/>
          <w:color w:val="auto"/>
          <w:highlight w:val="none"/>
        </w:rPr>
        <w:t>在履行合同过程中，经发包人同意，监理人可按第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rPr>
        <w:t>3</w:t>
      </w:r>
      <w:r>
        <w:rPr>
          <w:rStyle w:val="32"/>
          <w:color w:val="auto"/>
          <w:highlight w:val="none"/>
        </w:rPr>
        <w:t>款约定的变更程序向承包人作出变更指示，承包人应遵照执行。没有监理人的变更指示，承包人不得擅自变更。</w:t>
      </w:r>
    </w:p>
    <w:p w14:paraId="0ED2CFA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17" w:name="_Toc24991"/>
      <w:bookmarkStart w:id="818" w:name="bookmark1281"/>
      <w:bookmarkStart w:id="819" w:name="bookmark1282"/>
      <w:bookmarkStart w:id="820" w:name="bookmark1280"/>
      <w:bookmarkStart w:id="821" w:name="_Toc256000112"/>
      <w:bookmarkStart w:id="822" w:name="_Toc6368"/>
      <w:r>
        <w:rPr>
          <w:rStyle w:val="32"/>
          <w:rFonts w:ascii="宋体" w:hAnsi="宋体" w:cs="Times New Roman"/>
          <w:color w:val="auto"/>
          <w:sz w:val="24"/>
          <w:szCs w:val="24"/>
          <w:highlight w:val="none"/>
          <w:lang w:eastAsia="zh-CN"/>
        </w:rPr>
        <w:t>15.3变更程序</w:t>
      </w:r>
      <w:bookmarkEnd w:id="817"/>
      <w:bookmarkEnd w:id="818"/>
      <w:bookmarkEnd w:id="819"/>
      <w:bookmarkEnd w:id="820"/>
      <w:bookmarkEnd w:id="821"/>
      <w:bookmarkEnd w:id="822"/>
    </w:p>
    <w:p w14:paraId="1D060F47">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eastAsia="en-US" w:bidi="en-US"/>
        </w:rPr>
        <w:t>15.3.1</w:t>
      </w:r>
      <w:r>
        <w:rPr>
          <w:rStyle w:val="32"/>
          <w:color w:val="auto"/>
          <w:highlight w:val="none"/>
        </w:rPr>
        <w:t>变更的提出</w:t>
      </w:r>
    </w:p>
    <w:p w14:paraId="08AAE73F">
      <w:pPr>
        <w:pStyle w:val="97"/>
        <w:pageBreakBefore w:val="0"/>
        <w:numPr>
          <w:ilvl w:val="0"/>
          <w:numId w:val="16"/>
        </w:numPr>
        <w:tabs>
          <w:tab w:val="left" w:pos="918"/>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23" w:name="bookmark1283"/>
      <w:bookmarkEnd w:id="823"/>
      <w:r>
        <w:rPr>
          <w:rStyle w:val="32"/>
          <w:color w:val="auto"/>
          <w:highlight w:val="none"/>
        </w:rPr>
        <w:t>在合同履行过程中，可能发生第</w:t>
      </w:r>
      <w:r>
        <w:rPr>
          <w:rStyle w:val="32"/>
          <w:rFonts w:ascii="Times New Roman" w:hAnsi="Times New Roman" w:eastAsia="Times New Roman" w:cs="Times New Roman"/>
          <w:color w:val="auto"/>
          <w:highlight w:val="none"/>
          <w:lang w:val="en-US" w:bidi="en-US"/>
        </w:rPr>
        <w:t>15.1</w:t>
      </w:r>
      <w:r>
        <w:rPr>
          <w:rStyle w:val="32"/>
          <w:color w:val="auto"/>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lang w:val="en-US" w:eastAsia="en-US" w:bidi="en-US"/>
        </w:rPr>
        <w:t xml:space="preserve">3. </w:t>
      </w:r>
      <w:r>
        <w:rPr>
          <w:rStyle w:val="32"/>
          <w:rFonts w:ascii="Times New Roman" w:hAnsi="Times New Roman" w:eastAsia="Times New Roman" w:cs="Times New Roman"/>
          <w:color w:val="auto"/>
          <w:highlight w:val="none"/>
        </w:rPr>
        <w:t>3</w:t>
      </w:r>
      <w:r>
        <w:rPr>
          <w:rStyle w:val="32"/>
          <w:color w:val="auto"/>
          <w:highlight w:val="none"/>
        </w:rPr>
        <w:t>项约定发出变更指示。</w:t>
      </w:r>
    </w:p>
    <w:p w14:paraId="0FE09A02">
      <w:pPr>
        <w:pStyle w:val="97"/>
        <w:pageBreakBefore w:val="0"/>
        <w:numPr>
          <w:ilvl w:val="0"/>
          <w:numId w:val="16"/>
        </w:numPr>
        <w:tabs>
          <w:tab w:val="left" w:pos="901"/>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24" w:name="bookmark1284"/>
      <w:bookmarkEnd w:id="824"/>
      <w:r>
        <w:rPr>
          <w:rStyle w:val="32"/>
          <w:color w:val="auto"/>
          <w:highlight w:val="none"/>
        </w:rPr>
        <w:t>在合同履行过程中，发生第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rPr>
        <w:t>1</w:t>
      </w:r>
      <w:r>
        <w:rPr>
          <w:rStyle w:val="32"/>
          <w:color w:val="auto"/>
          <w:highlight w:val="none"/>
        </w:rPr>
        <w:t>款约定情形的，监理人应按照第</w:t>
      </w:r>
      <w:r>
        <w:rPr>
          <w:rStyle w:val="32"/>
          <w:rFonts w:ascii="Times New Roman" w:hAnsi="Times New Roman" w:eastAsia="Times New Roman" w:cs="Times New Roman"/>
          <w:color w:val="auto"/>
          <w:highlight w:val="none"/>
          <w:lang w:val="en-US" w:bidi="en-US"/>
        </w:rPr>
        <w:t xml:space="preserve">15. 3. </w:t>
      </w:r>
      <w:r>
        <w:rPr>
          <w:rStyle w:val="32"/>
          <w:rFonts w:ascii="Times New Roman" w:hAnsi="Times New Roman" w:eastAsia="Times New Roman" w:cs="Times New Roman"/>
          <w:color w:val="auto"/>
          <w:highlight w:val="none"/>
        </w:rPr>
        <w:t>3</w:t>
      </w:r>
      <w:r>
        <w:rPr>
          <w:rStyle w:val="32"/>
          <w:color w:val="auto"/>
          <w:highlight w:val="none"/>
        </w:rPr>
        <w:t>项约定向承包人发出变更指示。</w:t>
      </w:r>
    </w:p>
    <w:p w14:paraId="027C3FE3">
      <w:pPr>
        <w:pStyle w:val="97"/>
        <w:pageBreakBefore w:val="0"/>
        <w:numPr>
          <w:ilvl w:val="0"/>
          <w:numId w:val="16"/>
        </w:numPr>
        <w:tabs>
          <w:tab w:val="left" w:pos="922"/>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25" w:name="bookmark1285"/>
      <w:bookmarkEnd w:id="825"/>
      <w:r>
        <w:rPr>
          <w:rStyle w:val="32"/>
          <w:color w:val="auto"/>
          <w:highlight w:val="none"/>
        </w:rPr>
        <w:t>承包人收到监理人按合同约定发出的图纸和文件，经检查认为其中存在第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rPr>
        <w:t>1</w:t>
      </w:r>
      <w:r>
        <w:rPr>
          <w:rStyle w:val="32"/>
          <w:color w:val="auto"/>
          <w:highlight w:val="none"/>
        </w:rPr>
        <w:t>款 约定情形的，可向监理人提出书面变更建议。变更建议应阐明要求变更的依据，并附必要的图纸和说明。监理人收到承包人书面建议后，应与发包人共同研究，确认存在变更的，应在收到承包人书面建议后的</w:t>
      </w:r>
      <w:r>
        <w:rPr>
          <w:rStyle w:val="32"/>
          <w:rFonts w:ascii="Times New Roman" w:hAnsi="Times New Roman" w:eastAsia="Times New Roman" w:cs="Times New Roman"/>
          <w:color w:val="auto"/>
          <w:highlight w:val="none"/>
        </w:rPr>
        <w:t>14</w:t>
      </w:r>
      <w:r>
        <w:rPr>
          <w:rStyle w:val="32"/>
          <w:color w:val="auto"/>
          <w:highlight w:val="none"/>
        </w:rPr>
        <w:t>天内作出变更指示。经研究后不同意作为变更的，应由监理人书面答复承包人。</w:t>
      </w:r>
    </w:p>
    <w:p w14:paraId="43948FAF">
      <w:pPr>
        <w:pStyle w:val="97"/>
        <w:pageBreakBefore w:val="0"/>
        <w:numPr>
          <w:ilvl w:val="0"/>
          <w:numId w:val="16"/>
        </w:numPr>
        <w:tabs>
          <w:tab w:val="left" w:pos="922"/>
        </w:tabs>
        <w:kinsoku/>
        <w:wordWrap/>
        <w:overflowPunct/>
        <w:topLinePunct w:val="0"/>
        <w:autoSpaceDE/>
        <w:autoSpaceDN/>
        <w:bidi w:val="0"/>
        <w:adjustRightInd/>
        <w:snapToGrid/>
        <w:spacing w:after="80" w:line="360" w:lineRule="exact"/>
        <w:ind w:firstLine="440"/>
        <w:jc w:val="both"/>
        <w:textAlignment w:val="auto"/>
        <w:outlineLvl w:val="9"/>
        <w:rPr>
          <w:rStyle w:val="32"/>
          <w:color w:val="auto"/>
          <w:highlight w:val="none"/>
        </w:rPr>
      </w:pPr>
      <w:bookmarkStart w:id="826" w:name="bookmark1286"/>
      <w:bookmarkEnd w:id="826"/>
      <w:r>
        <w:rPr>
          <w:rStyle w:val="32"/>
          <w:color w:val="auto"/>
          <w:highlight w:val="none"/>
        </w:rPr>
        <w:t>若承包人收到监理人的变更意向书后认为难以实施此项变更，应立即通知监理人, 说明原因并附详细依据。监理人与承包人和发包人协商后确定撤销、改变或不改变原变更 意向书。</w:t>
      </w:r>
    </w:p>
    <w:p w14:paraId="7FD970AC">
      <w:pPr>
        <w:pStyle w:val="98"/>
        <w:pageBreakBefore w:val="0"/>
        <w:kinsoku/>
        <w:wordWrap/>
        <w:overflowPunct/>
        <w:topLinePunct w:val="0"/>
        <w:autoSpaceDE/>
        <w:autoSpaceDN/>
        <w:bidi w:val="0"/>
        <w:adjustRightInd/>
        <w:snapToGrid/>
        <w:spacing w:after="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15.3.2</w:t>
      </w:r>
      <w:r>
        <w:rPr>
          <w:rStyle w:val="32"/>
          <w:rFonts w:ascii="宋体" w:hAnsi="宋体" w:cs="宋体"/>
          <w:color w:val="auto"/>
          <w:highlight w:val="none"/>
          <w:lang w:val="zh-CN" w:eastAsia="zh-CN" w:bidi="zh-CN"/>
        </w:rPr>
        <w:t>变更估价</w:t>
      </w:r>
    </w:p>
    <w:p w14:paraId="35C90FD9">
      <w:pPr>
        <w:pStyle w:val="97"/>
        <w:pageBreakBefore w:val="0"/>
        <w:numPr>
          <w:ilvl w:val="0"/>
          <w:numId w:val="17"/>
        </w:numPr>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27" w:name="bookmark1287"/>
      <w:bookmarkEnd w:id="827"/>
      <w:r>
        <w:rPr>
          <w:rStyle w:val="32"/>
          <w:color w:val="auto"/>
          <w:highlight w:val="none"/>
        </w:rPr>
        <w:t>除专用合同条款对期限另有约定外，承包人应在收到变更指示或变更意向书后的</w:t>
      </w:r>
      <w:r>
        <w:rPr>
          <w:rStyle w:val="32"/>
          <w:rFonts w:ascii="Times New Roman" w:hAnsi="Times New Roman" w:eastAsia="Times New Roman" w:cs="Times New Roman"/>
          <w:color w:val="auto"/>
          <w:highlight w:val="none"/>
        </w:rPr>
        <w:t>14</w:t>
      </w:r>
      <w:r>
        <w:rPr>
          <w:rStyle w:val="32"/>
          <w:color w:val="auto"/>
          <w:highlight w:val="none"/>
        </w:rPr>
        <w:t>天内，向监理人提交变更报价书，报价内容应根据第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rPr>
        <w:t>4</w:t>
      </w:r>
      <w:r>
        <w:rPr>
          <w:rStyle w:val="32"/>
          <w:color w:val="auto"/>
          <w:highlight w:val="none"/>
        </w:rPr>
        <w:t>款约定的估价原则，详细开列变更工作的价格组成及其依据，并附必要的施工方法说明和有关图纸。</w:t>
      </w:r>
    </w:p>
    <w:p w14:paraId="51E901E3">
      <w:pPr>
        <w:pStyle w:val="97"/>
        <w:pageBreakBefore w:val="0"/>
        <w:numPr>
          <w:ilvl w:val="0"/>
          <w:numId w:val="17"/>
        </w:numPr>
        <w:tabs>
          <w:tab w:val="left" w:pos="915"/>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28" w:name="bookmark1288"/>
      <w:bookmarkEnd w:id="828"/>
      <w:r>
        <w:rPr>
          <w:rStyle w:val="32"/>
          <w:color w:val="auto"/>
          <w:highlight w:val="none"/>
        </w:rPr>
        <w:t>变更工作影响工期的，承包人应提出调整工期的具体细节。监理人认为有必要时, 可要求承包人提交要求提前或延长工期的施工进度计划及相应施工措施等详细资料。</w:t>
      </w:r>
    </w:p>
    <w:p w14:paraId="1CD549A8">
      <w:pPr>
        <w:pStyle w:val="97"/>
        <w:pageBreakBefore w:val="0"/>
        <w:numPr>
          <w:ilvl w:val="0"/>
          <w:numId w:val="17"/>
        </w:numPr>
        <w:tabs>
          <w:tab w:val="left" w:pos="920"/>
        </w:tabs>
        <w:kinsoku/>
        <w:wordWrap/>
        <w:overflowPunct/>
        <w:topLinePunct w:val="0"/>
        <w:autoSpaceDE/>
        <w:autoSpaceDN/>
        <w:bidi w:val="0"/>
        <w:adjustRightInd/>
        <w:snapToGrid/>
        <w:spacing w:after="120" w:line="360" w:lineRule="exact"/>
        <w:ind w:firstLine="440"/>
        <w:jc w:val="both"/>
        <w:textAlignment w:val="auto"/>
        <w:outlineLvl w:val="9"/>
        <w:rPr>
          <w:rStyle w:val="32"/>
          <w:color w:val="auto"/>
          <w:highlight w:val="none"/>
        </w:rPr>
      </w:pPr>
      <w:bookmarkStart w:id="829" w:name="bookmark1289"/>
      <w:bookmarkEnd w:id="829"/>
      <w:r>
        <w:rPr>
          <w:rStyle w:val="32"/>
          <w:color w:val="auto"/>
          <w:highlight w:val="none"/>
        </w:rPr>
        <w:t>除专用合同条款对期限另有约定外，监理人收到承包人变更报价书后的</w:t>
      </w:r>
      <w:r>
        <w:rPr>
          <w:rStyle w:val="32"/>
          <w:rFonts w:ascii="Times New Roman" w:hAnsi="Times New Roman" w:eastAsia="Times New Roman" w:cs="Times New Roman"/>
          <w:color w:val="auto"/>
          <w:highlight w:val="none"/>
        </w:rPr>
        <w:t>14</w:t>
      </w:r>
      <w:r>
        <w:rPr>
          <w:rStyle w:val="32"/>
          <w:color w:val="auto"/>
          <w:highlight w:val="none"/>
        </w:rPr>
        <w:t>天内，根据第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rPr>
        <w:t>4</w:t>
      </w:r>
      <w:r>
        <w:rPr>
          <w:rStyle w:val="32"/>
          <w:color w:val="auto"/>
          <w:highlight w:val="none"/>
        </w:rPr>
        <w:t>款约定的估价原则，按照第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款商定或确定变更价格。</w:t>
      </w:r>
    </w:p>
    <w:p w14:paraId="4BCBC428">
      <w:pPr>
        <w:pStyle w:val="98"/>
        <w:pageBreakBefore w:val="0"/>
        <w:kinsoku/>
        <w:wordWrap/>
        <w:overflowPunct/>
        <w:topLinePunct w:val="0"/>
        <w:autoSpaceDE/>
        <w:autoSpaceDN/>
        <w:bidi w:val="0"/>
        <w:adjustRightInd/>
        <w:snapToGrid/>
        <w:spacing w:after="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15.3.3</w:t>
      </w:r>
      <w:r>
        <w:rPr>
          <w:rStyle w:val="32"/>
          <w:rFonts w:ascii="宋体" w:hAnsi="宋体" w:cs="宋体"/>
          <w:color w:val="auto"/>
          <w:highlight w:val="none"/>
          <w:lang w:val="zh-CN" w:eastAsia="zh-CN" w:bidi="zh-CN"/>
        </w:rPr>
        <w:t>变更指示</w:t>
      </w:r>
    </w:p>
    <w:p w14:paraId="2DA0B132">
      <w:pPr>
        <w:pStyle w:val="97"/>
        <w:pageBreakBefore w:val="0"/>
        <w:numPr>
          <w:ilvl w:val="0"/>
          <w:numId w:val="18"/>
        </w:numPr>
        <w:tabs>
          <w:tab w:val="left" w:pos="923"/>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830" w:name="bookmark1290"/>
      <w:bookmarkEnd w:id="830"/>
      <w:r>
        <w:rPr>
          <w:rStyle w:val="32"/>
          <w:color w:val="auto"/>
          <w:highlight w:val="none"/>
        </w:rPr>
        <w:t>变更指示只能由监理人发出。</w:t>
      </w:r>
    </w:p>
    <w:p w14:paraId="5F695944">
      <w:pPr>
        <w:pStyle w:val="97"/>
        <w:pageBreakBefore w:val="0"/>
        <w:numPr>
          <w:ilvl w:val="0"/>
          <w:numId w:val="18"/>
        </w:numPr>
        <w:tabs>
          <w:tab w:val="left" w:pos="922"/>
        </w:tabs>
        <w:kinsoku/>
        <w:wordWrap/>
        <w:overflowPunct/>
        <w:topLinePunct w:val="0"/>
        <w:autoSpaceDE/>
        <w:autoSpaceDN/>
        <w:bidi w:val="0"/>
        <w:adjustRightInd/>
        <w:snapToGrid/>
        <w:spacing w:after="120" w:line="360" w:lineRule="exact"/>
        <w:ind w:firstLine="440"/>
        <w:jc w:val="both"/>
        <w:textAlignment w:val="auto"/>
        <w:outlineLvl w:val="9"/>
        <w:rPr>
          <w:rStyle w:val="32"/>
          <w:color w:val="auto"/>
          <w:highlight w:val="none"/>
        </w:rPr>
      </w:pPr>
      <w:bookmarkStart w:id="831" w:name="bookmark1291"/>
      <w:bookmarkEnd w:id="831"/>
      <w:r>
        <w:rPr>
          <w:rStyle w:val="32"/>
          <w:color w:val="auto"/>
          <w:highlight w:val="none"/>
        </w:rPr>
        <w:t>变更指示应说明变更的目的、范围、变更内容以及变更的工程量及其进度和技术要求，并附有关图纸和文件。承包人收到变更指示后，应按变更指示进行变更工作。</w:t>
      </w:r>
    </w:p>
    <w:p w14:paraId="03F270E2">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32" w:name="bookmark1294"/>
      <w:bookmarkStart w:id="833" w:name="_Toc19837"/>
      <w:bookmarkStart w:id="834" w:name="bookmark1292"/>
      <w:bookmarkStart w:id="835" w:name="bookmark1293"/>
      <w:bookmarkStart w:id="836" w:name="_Toc256000113"/>
      <w:bookmarkStart w:id="837" w:name="_Toc9569"/>
      <w:r>
        <w:rPr>
          <w:rStyle w:val="32"/>
          <w:rFonts w:ascii="宋体" w:hAnsi="宋体" w:cs="Times New Roman"/>
          <w:color w:val="auto"/>
          <w:sz w:val="24"/>
          <w:szCs w:val="24"/>
          <w:highlight w:val="none"/>
          <w:lang w:eastAsia="zh-CN"/>
        </w:rPr>
        <w:t>15.4变更的估价原则</w:t>
      </w:r>
      <w:bookmarkEnd w:id="832"/>
      <w:bookmarkEnd w:id="833"/>
      <w:bookmarkEnd w:id="834"/>
      <w:bookmarkEnd w:id="835"/>
      <w:bookmarkEnd w:id="836"/>
      <w:bookmarkEnd w:id="837"/>
    </w:p>
    <w:p w14:paraId="7865BB5D">
      <w:pPr>
        <w:pStyle w:val="97"/>
        <w:pageBreakBefore w:val="0"/>
        <w:kinsoku/>
        <w:wordWrap/>
        <w:overflowPunct/>
        <w:topLinePunct w:val="0"/>
        <w:autoSpaceDE/>
        <w:autoSpaceDN/>
        <w:bidi w:val="0"/>
        <w:adjustRightInd/>
        <w:snapToGrid/>
        <w:spacing w:after="120" w:line="358" w:lineRule="exact"/>
        <w:ind w:firstLine="420"/>
        <w:textAlignment w:val="auto"/>
        <w:outlineLvl w:val="9"/>
        <w:rPr>
          <w:rStyle w:val="32"/>
          <w:color w:val="auto"/>
          <w:highlight w:val="none"/>
        </w:rPr>
      </w:pPr>
      <w:r>
        <w:rPr>
          <w:rStyle w:val="32"/>
          <w:color w:val="auto"/>
          <w:highlight w:val="none"/>
        </w:rPr>
        <w:t>除专用合同条款另有约定外，因变更引起的价格调整按照本款约定处理。</w:t>
      </w:r>
    </w:p>
    <w:p w14:paraId="4FC4DBE0">
      <w:pPr>
        <w:pStyle w:val="97"/>
        <w:pageBreakBefore w:val="0"/>
        <w:kinsoku/>
        <w:wordWrap/>
        <w:overflowPunct/>
        <w:topLinePunct w:val="0"/>
        <w:autoSpaceDE/>
        <w:autoSpaceDN/>
        <w:bidi w:val="0"/>
        <w:adjustRightInd/>
        <w:snapToGrid/>
        <w:spacing w:line="374"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15.4.1</w:t>
      </w:r>
      <w:r>
        <w:rPr>
          <w:rStyle w:val="32"/>
          <w:color w:val="auto"/>
          <w:highlight w:val="none"/>
        </w:rPr>
        <w:t>已标价工程量清单中有适用于变更工作的子目的，采用该子目的单价。</w:t>
      </w:r>
    </w:p>
    <w:p w14:paraId="5AC734AD">
      <w:pPr>
        <w:pStyle w:val="97"/>
        <w:pageBreakBefore w:val="0"/>
        <w:kinsoku/>
        <w:wordWrap/>
        <w:overflowPunct/>
        <w:topLinePunct w:val="0"/>
        <w:autoSpaceDE/>
        <w:autoSpaceDN/>
        <w:bidi w:val="0"/>
        <w:adjustRightInd/>
        <w:snapToGrid/>
        <w:spacing w:line="358"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15.4.2</w:t>
      </w:r>
      <w:r>
        <w:rPr>
          <w:rStyle w:val="32"/>
          <w:color w:val="auto"/>
          <w:highlight w:val="none"/>
        </w:rPr>
        <w:t>已标价工程量清单中无适用于变更工作的子目，但有类似子目的，可在合理范围内参照类似子目的单价，由监理人按第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款商定或确定变更工作的单价。</w:t>
      </w:r>
    </w:p>
    <w:p w14:paraId="58BA3C4B">
      <w:pPr>
        <w:pStyle w:val="97"/>
        <w:pageBreakBefore w:val="0"/>
        <w:kinsoku/>
        <w:wordWrap/>
        <w:overflowPunct/>
        <w:topLinePunct w:val="0"/>
        <w:autoSpaceDE/>
        <w:autoSpaceDN/>
        <w:bidi w:val="0"/>
        <w:adjustRightInd/>
        <w:snapToGrid/>
        <w:spacing w:after="120" w:line="358"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15.4.3</w:t>
      </w:r>
      <w:r>
        <w:rPr>
          <w:rStyle w:val="32"/>
          <w:color w:val="auto"/>
          <w:highlight w:val="none"/>
        </w:rPr>
        <w:t>已标价工程量清单中无适用或类似子目的单价，可按照成本加利润的原则，由监理人按第</w:t>
      </w:r>
      <w:r>
        <w:rPr>
          <w:rStyle w:val="32"/>
          <w:rFonts w:ascii="Times New Roman" w:hAnsi="Times New Roman" w:eastAsia="Times New Roman" w:cs="Times New Roman"/>
          <w:color w:val="auto"/>
          <w:highlight w:val="none"/>
          <w:lang w:val="en-US" w:bidi="en-US"/>
        </w:rPr>
        <w:t>3.</w:t>
      </w:r>
      <w:r>
        <w:rPr>
          <w:rStyle w:val="32"/>
          <w:rFonts w:ascii="Times New Roman" w:hAnsi="Times New Roman" w:eastAsia="Times New Roman" w:cs="Times New Roman"/>
          <w:color w:val="auto"/>
          <w:highlight w:val="none"/>
        </w:rPr>
        <w:t>5</w:t>
      </w:r>
      <w:r>
        <w:rPr>
          <w:rStyle w:val="32"/>
          <w:color w:val="auto"/>
          <w:highlight w:val="none"/>
        </w:rPr>
        <w:t>款商定或确定变更工作的单价。</w:t>
      </w:r>
    </w:p>
    <w:p w14:paraId="63B7C2B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38" w:name="_Toc256000114"/>
      <w:bookmarkStart w:id="839" w:name="bookmark1297"/>
      <w:bookmarkStart w:id="840" w:name="bookmark1296"/>
      <w:bookmarkStart w:id="841" w:name="bookmark1295"/>
      <w:bookmarkStart w:id="842" w:name="_Toc28730"/>
      <w:r>
        <w:rPr>
          <w:rStyle w:val="32"/>
          <w:rFonts w:ascii="宋体" w:hAnsi="宋体" w:cs="Times New Roman"/>
          <w:color w:val="auto"/>
          <w:sz w:val="24"/>
          <w:szCs w:val="24"/>
          <w:highlight w:val="none"/>
          <w:lang w:eastAsia="zh-CN"/>
        </w:rPr>
        <w:t>15.5承包人的合理化建议</w:t>
      </w:r>
      <w:bookmarkEnd w:id="838"/>
      <w:bookmarkEnd w:id="839"/>
      <w:bookmarkEnd w:id="840"/>
      <w:bookmarkEnd w:id="841"/>
      <w:bookmarkEnd w:id="842"/>
    </w:p>
    <w:p w14:paraId="7B886293">
      <w:pPr>
        <w:pStyle w:val="97"/>
        <w:pageBreakBefore w:val="0"/>
        <w:tabs>
          <w:tab w:val="left" w:pos="854"/>
        </w:tabs>
        <w:kinsoku/>
        <w:wordWrap/>
        <w:overflowPunct/>
        <w:topLinePunct w:val="0"/>
        <w:autoSpaceDE/>
        <w:autoSpaceDN/>
        <w:bidi w:val="0"/>
        <w:adjustRightInd/>
        <w:snapToGrid/>
        <w:spacing w:line="365" w:lineRule="exact"/>
        <w:ind w:left="440" w:firstLine="0"/>
        <w:jc w:val="both"/>
        <w:textAlignment w:val="auto"/>
        <w:outlineLvl w:val="9"/>
        <w:rPr>
          <w:rStyle w:val="32"/>
          <w:color w:val="auto"/>
          <w:highlight w:val="none"/>
        </w:rPr>
      </w:pPr>
      <w:bookmarkStart w:id="843" w:name="bookmark1298"/>
      <w:bookmarkEnd w:id="843"/>
      <w:r>
        <w:rPr>
          <w:rStyle w:val="32"/>
          <w:rFonts w:hint="eastAsia" w:ascii="Times New Roman" w:hAnsi="Times New Roman" w:cs="Times New Roman"/>
          <w:color w:val="auto"/>
          <w:highlight w:val="none"/>
          <w:lang w:val="en-US" w:bidi="en-US"/>
        </w:rPr>
        <w:t>15.</w:t>
      </w:r>
      <w:r>
        <w:rPr>
          <w:rStyle w:val="32"/>
          <w:rFonts w:ascii="Times New Roman" w:hAnsi="Times New Roman" w:eastAsia="Times New Roman" w:cs="Times New Roman"/>
          <w:color w:val="auto"/>
          <w:highlight w:val="none"/>
          <w:lang w:val="en-US" w:bidi="en-US"/>
        </w:rPr>
        <w:t xml:space="preserve">5. </w:t>
      </w:r>
      <w:r>
        <w:rPr>
          <w:rStyle w:val="32"/>
          <w:rFonts w:ascii="Times New Roman" w:hAnsi="Times New Roman" w:eastAsia="Times New Roman" w:cs="Times New Roman"/>
          <w:color w:val="auto"/>
          <w:highlight w:val="none"/>
        </w:rPr>
        <w:t>1</w:t>
      </w:r>
      <w:r>
        <w:rPr>
          <w:rStyle w:val="32"/>
          <w:color w:val="auto"/>
          <w:highlight w:val="none"/>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Style w:val="32"/>
          <w:rFonts w:ascii="Times New Roman" w:hAnsi="Times New Roman" w:eastAsia="Times New Roman" w:cs="Times New Roman"/>
          <w:color w:val="auto"/>
          <w:highlight w:val="none"/>
          <w:lang w:val="en-US" w:bidi="en-US"/>
        </w:rPr>
        <w:t xml:space="preserve">15. 3. </w:t>
      </w:r>
      <w:r>
        <w:rPr>
          <w:rStyle w:val="32"/>
          <w:rFonts w:ascii="Times New Roman" w:hAnsi="Times New Roman" w:eastAsia="Times New Roman" w:cs="Times New Roman"/>
          <w:color w:val="auto"/>
          <w:highlight w:val="none"/>
        </w:rPr>
        <w:t>3</w:t>
      </w:r>
      <w:r>
        <w:rPr>
          <w:rStyle w:val="32"/>
          <w:color w:val="auto"/>
          <w:highlight w:val="none"/>
        </w:rPr>
        <w:t>项约定向承包人发出变更指示。</w:t>
      </w:r>
    </w:p>
    <w:p w14:paraId="07BE7DED">
      <w:pPr>
        <w:pStyle w:val="97"/>
        <w:pageBreakBefore w:val="0"/>
        <w:kinsoku/>
        <w:wordWrap/>
        <w:overflowPunct/>
        <w:topLinePunct w:val="0"/>
        <w:autoSpaceDE/>
        <w:autoSpaceDN/>
        <w:bidi w:val="0"/>
        <w:adjustRightInd/>
        <w:snapToGrid/>
        <w:spacing w:after="120" w:line="37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15.5.2</w:t>
      </w:r>
      <w:r>
        <w:rPr>
          <w:rStyle w:val="32"/>
          <w:color w:val="auto"/>
          <w:highlight w:val="none"/>
        </w:rPr>
        <w:t>承包人提出的合理化建议降低了合同价格、缩短了工期或者提高了工程经济效益的，发包人可按国家有关规定在专用合同条款中约定给予奖励。</w:t>
      </w:r>
    </w:p>
    <w:p w14:paraId="1D49005B">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44" w:name="_Toc7702"/>
      <w:bookmarkStart w:id="845" w:name="bookmark1299"/>
      <w:bookmarkStart w:id="846" w:name="_Toc10362"/>
      <w:bookmarkStart w:id="847" w:name="bookmark1301"/>
      <w:bookmarkStart w:id="848" w:name="bookmark1300"/>
      <w:bookmarkStart w:id="849" w:name="_Toc256000115"/>
      <w:r>
        <w:rPr>
          <w:rStyle w:val="32"/>
          <w:rFonts w:ascii="宋体" w:hAnsi="宋体" w:cs="Times New Roman"/>
          <w:color w:val="auto"/>
          <w:sz w:val="24"/>
          <w:szCs w:val="24"/>
          <w:highlight w:val="none"/>
          <w:lang w:eastAsia="zh-CN"/>
        </w:rPr>
        <w:t>15.6暂列金额</w:t>
      </w:r>
      <w:bookmarkEnd w:id="844"/>
      <w:bookmarkEnd w:id="845"/>
      <w:bookmarkEnd w:id="846"/>
      <w:bookmarkEnd w:id="847"/>
      <w:bookmarkEnd w:id="848"/>
      <w:bookmarkEnd w:id="849"/>
    </w:p>
    <w:p w14:paraId="6B6BF84D">
      <w:pPr>
        <w:pStyle w:val="97"/>
        <w:pageBreakBefore w:val="0"/>
        <w:kinsoku/>
        <w:wordWrap/>
        <w:overflowPunct/>
        <w:topLinePunct w:val="0"/>
        <w:autoSpaceDE/>
        <w:autoSpaceDN/>
        <w:bidi w:val="0"/>
        <w:adjustRightInd/>
        <w:snapToGrid/>
        <w:spacing w:after="120" w:line="365" w:lineRule="exact"/>
        <w:ind w:firstLine="420"/>
        <w:textAlignment w:val="auto"/>
        <w:outlineLvl w:val="9"/>
        <w:rPr>
          <w:rStyle w:val="32"/>
          <w:color w:val="auto"/>
          <w:highlight w:val="none"/>
        </w:rPr>
      </w:pPr>
      <w:r>
        <w:rPr>
          <w:rStyle w:val="32"/>
          <w:color w:val="auto"/>
          <w:highlight w:val="none"/>
        </w:rPr>
        <w:t>暂列金额只能按照监理人的指示使用，并对合同价格进行相应调整。</w:t>
      </w:r>
    </w:p>
    <w:p w14:paraId="47653CB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50" w:name="bookmark1304"/>
      <w:bookmarkStart w:id="851" w:name="_Toc23161"/>
      <w:bookmarkStart w:id="852" w:name="bookmark1302"/>
      <w:bookmarkStart w:id="853" w:name="_Toc256000116"/>
      <w:bookmarkStart w:id="854" w:name="bookmark1303"/>
      <w:bookmarkStart w:id="855" w:name="_Toc14275"/>
      <w:r>
        <w:rPr>
          <w:rStyle w:val="32"/>
          <w:rFonts w:ascii="宋体" w:hAnsi="宋体" w:cs="Times New Roman"/>
          <w:color w:val="auto"/>
          <w:sz w:val="24"/>
          <w:szCs w:val="24"/>
          <w:highlight w:val="none"/>
          <w:lang w:eastAsia="zh-CN"/>
        </w:rPr>
        <w:t>15.7计日工</w:t>
      </w:r>
      <w:bookmarkEnd w:id="850"/>
      <w:bookmarkEnd w:id="851"/>
      <w:bookmarkEnd w:id="852"/>
      <w:bookmarkEnd w:id="853"/>
      <w:bookmarkEnd w:id="854"/>
      <w:bookmarkEnd w:id="855"/>
    </w:p>
    <w:p w14:paraId="6A83C87E">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15.7.1</w:t>
      </w:r>
      <w:r>
        <w:rPr>
          <w:rStyle w:val="32"/>
          <w:rFonts w:ascii="Times New Roman" w:hAnsi="Times New Roman" w:cs="Times New Roman"/>
          <w:color w:val="auto"/>
          <w:highlight w:val="none"/>
        </w:rPr>
        <w:t>发包人认为有必要时，由监理人通知承包人以计日工方式实施变更的零星工作。其价款按列入已标价工程量清单中的计日工计价子目及其单价进行计算。</w:t>
      </w:r>
    </w:p>
    <w:p w14:paraId="4C5EB9BA">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15.7.2</w:t>
      </w:r>
      <w:r>
        <w:rPr>
          <w:rStyle w:val="32"/>
          <w:rFonts w:ascii="Times New Roman" w:hAnsi="Times New Roman" w:cs="Times New Roman"/>
          <w:color w:val="auto"/>
          <w:highlight w:val="none"/>
        </w:rPr>
        <w:t>采用计日工计价的任何一项变更工作，应从暂列金额中支付，承包人应在该项变更的实施过程中，每天提交以下报表和有关凭证报送监理人审批：</w:t>
      </w:r>
    </w:p>
    <w:p w14:paraId="705495E7">
      <w:pPr>
        <w:pStyle w:val="97"/>
        <w:pageBreakBefore w:val="0"/>
        <w:numPr>
          <w:ilvl w:val="0"/>
          <w:numId w:val="19"/>
        </w:numPr>
        <w:tabs>
          <w:tab w:val="left" w:pos="903"/>
        </w:tabs>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bookmarkStart w:id="856" w:name="bookmark1305"/>
      <w:bookmarkEnd w:id="856"/>
      <w:r>
        <w:rPr>
          <w:rStyle w:val="32"/>
          <w:rFonts w:ascii="Times New Roman" w:hAnsi="Times New Roman" w:cs="Times New Roman"/>
          <w:color w:val="auto"/>
          <w:highlight w:val="none"/>
        </w:rPr>
        <w:t>工作名称、内容和数量；</w:t>
      </w:r>
    </w:p>
    <w:p w14:paraId="64CF9988">
      <w:pPr>
        <w:pStyle w:val="97"/>
        <w:pageBreakBefore w:val="0"/>
        <w:numPr>
          <w:ilvl w:val="0"/>
          <w:numId w:val="19"/>
        </w:numPr>
        <w:tabs>
          <w:tab w:val="left" w:pos="903"/>
        </w:tabs>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bookmarkStart w:id="857" w:name="bookmark1306"/>
      <w:bookmarkEnd w:id="857"/>
      <w:r>
        <w:rPr>
          <w:rStyle w:val="32"/>
          <w:rFonts w:ascii="Times New Roman" w:hAnsi="Times New Roman" w:cs="Times New Roman"/>
          <w:color w:val="auto"/>
          <w:highlight w:val="none"/>
        </w:rPr>
        <w:t>投入该工作所有人员的姓名、工种、级别和耗用工时；</w:t>
      </w:r>
    </w:p>
    <w:p w14:paraId="13CA8C3F">
      <w:pPr>
        <w:pStyle w:val="97"/>
        <w:pageBreakBefore w:val="0"/>
        <w:numPr>
          <w:ilvl w:val="0"/>
          <w:numId w:val="19"/>
        </w:numPr>
        <w:tabs>
          <w:tab w:val="left" w:pos="903"/>
        </w:tabs>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bookmarkStart w:id="858" w:name="bookmark1307"/>
      <w:bookmarkEnd w:id="858"/>
      <w:r>
        <w:rPr>
          <w:rStyle w:val="32"/>
          <w:rFonts w:ascii="Times New Roman" w:hAnsi="Times New Roman" w:cs="Times New Roman"/>
          <w:color w:val="auto"/>
          <w:highlight w:val="none"/>
        </w:rPr>
        <w:t>投入该工作的材料类别和数量；</w:t>
      </w:r>
    </w:p>
    <w:p w14:paraId="79A6BE20">
      <w:pPr>
        <w:pStyle w:val="97"/>
        <w:pageBreakBefore w:val="0"/>
        <w:numPr>
          <w:ilvl w:val="0"/>
          <w:numId w:val="19"/>
        </w:numPr>
        <w:tabs>
          <w:tab w:val="left" w:pos="903"/>
        </w:tabs>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bookmarkStart w:id="859" w:name="bookmark1308"/>
      <w:bookmarkEnd w:id="859"/>
      <w:r>
        <w:rPr>
          <w:rStyle w:val="32"/>
          <w:rFonts w:ascii="Times New Roman" w:hAnsi="Times New Roman" w:cs="Times New Roman"/>
          <w:color w:val="auto"/>
          <w:highlight w:val="none"/>
        </w:rPr>
        <w:t>投入该工作的施工设备型号、台数和耗用台时；</w:t>
      </w:r>
    </w:p>
    <w:p w14:paraId="6DD9B3DB">
      <w:pPr>
        <w:pStyle w:val="97"/>
        <w:pageBreakBefore w:val="0"/>
        <w:numPr>
          <w:ilvl w:val="0"/>
          <w:numId w:val="19"/>
        </w:numPr>
        <w:tabs>
          <w:tab w:val="left" w:pos="903"/>
        </w:tabs>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bookmarkStart w:id="860" w:name="bookmark1309"/>
      <w:bookmarkEnd w:id="860"/>
      <w:r>
        <w:rPr>
          <w:rStyle w:val="32"/>
          <w:rFonts w:ascii="Times New Roman" w:hAnsi="Times New Roman" w:cs="Times New Roman"/>
          <w:color w:val="auto"/>
          <w:highlight w:val="none"/>
        </w:rPr>
        <w:t>监理人要求提交的其他资料和凭证。</w:t>
      </w:r>
    </w:p>
    <w:p w14:paraId="212D9DEA">
      <w:pPr>
        <w:pStyle w:val="97"/>
        <w:pageBreakBefore w:val="0"/>
        <w:kinsoku/>
        <w:wordWrap/>
        <w:overflowPunct/>
        <w:topLinePunct w:val="0"/>
        <w:autoSpaceDE/>
        <w:autoSpaceDN/>
        <w:bidi w:val="0"/>
        <w:adjustRightInd/>
        <w:snapToGrid/>
        <w:spacing w:after="8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15.7.3</w:t>
      </w:r>
      <w:r>
        <w:rPr>
          <w:rStyle w:val="32"/>
          <w:rFonts w:ascii="Times New Roman" w:hAnsi="Times New Roman" w:cs="Times New Roman"/>
          <w:color w:val="auto"/>
          <w:highlight w:val="none"/>
        </w:rPr>
        <w:t>计日工由承包人汇总后，按第</w:t>
      </w:r>
      <w:r>
        <w:rPr>
          <w:rStyle w:val="32"/>
          <w:rFonts w:ascii="Times New Roman" w:hAnsi="Times New Roman" w:eastAsia="Times New Roman" w:cs="Times New Roman"/>
          <w:color w:val="auto"/>
          <w:highlight w:val="none"/>
          <w:lang w:val="en-US" w:bidi="en-US"/>
        </w:rPr>
        <w:t>17.3.2</w:t>
      </w:r>
      <w:r>
        <w:rPr>
          <w:rStyle w:val="32"/>
          <w:rFonts w:ascii="Times New Roman" w:hAnsi="Times New Roman" w:cs="Times New Roman"/>
          <w:color w:val="auto"/>
          <w:highlight w:val="none"/>
        </w:rPr>
        <w:t>项的约定列入进度付款申请单，由监理人复核并经发包人同意后列入进度付款。</w:t>
      </w:r>
    </w:p>
    <w:p w14:paraId="3D5BCB2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61" w:name="_Toc256000117"/>
      <w:bookmarkStart w:id="862" w:name="bookmark1312"/>
      <w:bookmarkStart w:id="863" w:name="bookmark1311"/>
      <w:bookmarkStart w:id="864" w:name="_Toc6776"/>
      <w:bookmarkStart w:id="865" w:name="_Toc21886"/>
      <w:bookmarkStart w:id="866" w:name="bookmark1310"/>
      <w:r>
        <w:rPr>
          <w:rStyle w:val="32"/>
          <w:rFonts w:ascii="宋体" w:hAnsi="宋体" w:cs="Times New Roman"/>
          <w:color w:val="auto"/>
          <w:sz w:val="24"/>
          <w:szCs w:val="24"/>
          <w:highlight w:val="none"/>
          <w:lang w:eastAsia="zh-CN"/>
        </w:rPr>
        <w:t>15.8暂估价</w:t>
      </w:r>
      <w:bookmarkEnd w:id="861"/>
      <w:bookmarkEnd w:id="862"/>
      <w:bookmarkEnd w:id="863"/>
      <w:bookmarkEnd w:id="864"/>
      <w:bookmarkEnd w:id="865"/>
      <w:bookmarkEnd w:id="866"/>
    </w:p>
    <w:p w14:paraId="5C908E9C">
      <w:pPr>
        <w:pStyle w:val="97"/>
        <w:pageBreakBefore w:val="0"/>
        <w:kinsoku/>
        <w:wordWrap/>
        <w:overflowPunct/>
        <w:topLinePunct w:val="0"/>
        <w:autoSpaceDE/>
        <w:autoSpaceDN/>
        <w:bidi w:val="0"/>
        <w:adjustRightInd/>
        <w:snapToGrid/>
        <w:spacing w:after="80" w:line="374" w:lineRule="exact"/>
        <w:ind w:firstLine="440"/>
        <w:jc w:val="both"/>
        <w:textAlignment w:val="auto"/>
        <w:outlineLvl w:val="9"/>
        <w:rPr>
          <w:rStyle w:val="32"/>
          <w:rFonts w:ascii="Times New Roman" w:hAnsi="Times New Roman" w:cs="Times New Roman"/>
          <w:color w:val="auto"/>
          <w:highlight w:val="none"/>
        </w:rPr>
      </w:pPr>
      <w:bookmarkStart w:id="867" w:name="bookmark1313"/>
      <w:bookmarkEnd w:id="867"/>
      <w:r>
        <w:rPr>
          <w:rStyle w:val="32"/>
          <w:rFonts w:ascii="Times New Roman" w:hAnsi="Times New Roman" w:cs="Times New Roman"/>
          <w:color w:val="auto"/>
          <w:highlight w:val="none"/>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15F6395B">
      <w:pPr>
        <w:pStyle w:val="97"/>
        <w:pageBreakBefore w:val="0"/>
        <w:kinsoku/>
        <w:wordWrap/>
        <w:overflowPunct/>
        <w:topLinePunct w:val="0"/>
        <w:autoSpaceDE/>
        <w:autoSpaceDN/>
        <w:bidi w:val="0"/>
        <w:adjustRightInd/>
        <w:snapToGrid/>
        <w:spacing w:after="80" w:line="374" w:lineRule="exact"/>
        <w:ind w:firstLine="440"/>
        <w:jc w:val="both"/>
        <w:textAlignment w:val="auto"/>
        <w:outlineLvl w:val="9"/>
        <w:rPr>
          <w:rStyle w:val="32"/>
          <w:rFonts w:ascii="Times New Roman" w:hAnsi="Times New Roman" w:cs="Times New Roman"/>
          <w:color w:val="auto"/>
          <w:highlight w:val="none"/>
        </w:rPr>
      </w:pPr>
      <w:bookmarkStart w:id="868" w:name="bookmark1314"/>
      <w:bookmarkEnd w:id="868"/>
      <w:r>
        <w:rPr>
          <w:rStyle w:val="32"/>
          <w:rFonts w:ascii="Times New Roman" w:hAnsi="Times New Roman" w:cs="Times New Roman"/>
          <w:color w:val="auto"/>
          <w:highlight w:val="none"/>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2D60186">
      <w:pPr>
        <w:pStyle w:val="97"/>
        <w:pageBreakBefore w:val="0"/>
        <w:kinsoku/>
        <w:wordWrap/>
        <w:overflowPunct/>
        <w:topLinePunct w:val="0"/>
        <w:autoSpaceDE/>
        <w:autoSpaceDN/>
        <w:bidi w:val="0"/>
        <w:adjustRightInd/>
        <w:snapToGrid/>
        <w:spacing w:after="80" w:line="374" w:lineRule="exact"/>
        <w:ind w:firstLine="440"/>
        <w:jc w:val="both"/>
        <w:textAlignment w:val="auto"/>
        <w:outlineLvl w:val="9"/>
        <w:rPr>
          <w:rStyle w:val="32"/>
          <w:rFonts w:ascii="Times New Roman" w:hAnsi="Times New Roman" w:cs="Times New Roman"/>
          <w:color w:val="auto"/>
          <w:highlight w:val="none"/>
        </w:rPr>
      </w:pPr>
      <w:bookmarkStart w:id="869" w:name="bookmark1315"/>
      <w:bookmarkEnd w:id="869"/>
      <w:r>
        <w:rPr>
          <w:rStyle w:val="32"/>
          <w:rFonts w:ascii="Times New Roman" w:hAnsi="Times New Roman" w:cs="Times New Roman"/>
          <w:color w:val="auto"/>
          <w:highlight w:val="none"/>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28D1885D">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870" w:name="bookmark1316"/>
      <w:bookmarkStart w:id="871" w:name="_Toc32383"/>
      <w:bookmarkStart w:id="872" w:name="_Toc242"/>
      <w:bookmarkStart w:id="873" w:name="_Toc256000118"/>
      <w:bookmarkStart w:id="874" w:name="bookmark1317"/>
      <w:bookmarkStart w:id="875" w:name="bookmark1318"/>
      <w:r>
        <w:rPr>
          <w:rStyle w:val="32"/>
          <w:rFonts w:hint="eastAsia" w:cs="Times New Roman"/>
          <w:color w:val="auto"/>
          <w:highlight w:val="none"/>
          <w:lang w:eastAsia="zh-CN"/>
        </w:rPr>
        <w:t>16 .价格调整</w:t>
      </w:r>
      <w:bookmarkEnd w:id="870"/>
      <w:bookmarkEnd w:id="871"/>
      <w:bookmarkEnd w:id="872"/>
      <w:bookmarkEnd w:id="873"/>
      <w:bookmarkEnd w:id="874"/>
      <w:bookmarkEnd w:id="875"/>
    </w:p>
    <w:p w14:paraId="3F292DE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76" w:name="_Toc3602"/>
      <w:bookmarkStart w:id="877" w:name="_Toc256000119"/>
      <w:bookmarkStart w:id="878" w:name="bookmark1321"/>
      <w:bookmarkStart w:id="879" w:name="bookmark1319"/>
      <w:bookmarkStart w:id="880" w:name="bookmark1320"/>
      <w:bookmarkStart w:id="881" w:name="_Toc2131"/>
      <w:r>
        <w:rPr>
          <w:rStyle w:val="32"/>
          <w:rFonts w:ascii="宋体" w:hAnsi="宋体" w:cs="Times New Roman"/>
          <w:color w:val="auto"/>
          <w:sz w:val="24"/>
          <w:szCs w:val="24"/>
          <w:highlight w:val="none"/>
          <w:lang w:eastAsia="zh-CN"/>
        </w:rPr>
        <w:t>16.1物价波动引起的价格调整</w:t>
      </w:r>
      <w:bookmarkEnd w:id="876"/>
      <w:bookmarkEnd w:id="877"/>
      <w:bookmarkEnd w:id="878"/>
      <w:bookmarkEnd w:id="879"/>
      <w:bookmarkEnd w:id="880"/>
      <w:bookmarkEnd w:id="881"/>
    </w:p>
    <w:p w14:paraId="6C361933">
      <w:pPr>
        <w:pStyle w:val="97"/>
        <w:pageBreakBefore w:val="0"/>
        <w:kinsoku/>
        <w:wordWrap/>
        <w:overflowPunct/>
        <w:topLinePunct w:val="0"/>
        <w:autoSpaceDE/>
        <w:autoSpaceDN/>
        <w:bidi w:val="0"/>
        <w:adjustRightInd/>
        <w:snapToGrid/>
        <w:spacing w:line="347" w:lineRule="exact"/>
        <w:ind w:firstLine="420"/>
        <w:jc w:val="both"/>
        <w:textAlignment w:val="auto"/>
        <w:outlineLvl w:val="9"/>
        <w:rPr>
          <w:rStyle w:val="32"/>
          <w:color w:val="auto"/>
          <w:highlight w:val="none"/>
        </w:rPr>
      </w:pPr>
      <w:r>
        <w:rPr>
          <w:rStyle w:val="32"/>
          <w:color w:val="auto"/>
          <w:highlight w:val="none"/>
        </w:rPr>
        <w:t>由于物价波动原因引起合同价格需要调整的，其价格调整方式在专用合同条款中约定</w:t>
      </w:r>
      <w:r>
        <w:rPr>
          <w:rStyle w:val="32"/>
          <w:rFonts w:hint="eastAsia"/>
          <w:color w:val="auto"/>
          <w:highlight w:val="none"/>
        </w:rPr>
        <w:t>；</w:t>
      </w:r>
      <w:r>
        <w:rPr>
          <w:rStyle w:val="32"/>
          <w:color w:val="auto"/>
          <w:highlight w:val="none"/>
        </w:rPr>
        <w:t>除专用合同条款另有约定外，因物价波动引起的价格调整按照本款约定处理。</w:t>
      </w:r>
    </w:p>
    <w:p w14:paraId="1BE4D8DF">
      <w:pPr>
        <w:pStyle w:val="97"/>
        <w:pageBreakBefore w:val="0"/>
        <w:tabs>
          <w:tab w:val="left" w:pos="839"/>
        </w:tabs>
        <w:kinsoku/>
        <w:wordWrap/>
        <w:overflowPunct/>
        <w:topLinePunct w:val="0"/>
        <w:autoSpaceDE/>
        <w:autoSpaceDN/>
        <w:bidi w:val="0"/>
        <w:adjustRightInd/>
        <w:snapToGrid/>
        <w:spacing w:line="347" w:lineRule="exact"/>
        <w:ind w:left="420" w:firstLine="0"/>
        <w:jc w:val="both"/>
        <w:textAlignment w:val="auto"/>
        <w:outlineLvl w:val="9"/>
        <w:rPr>
          <w:rStyle w:val="32"/>
          <w:color w:val="auto"/>
          <w:highlight w:val="none"/>
        </w:rPr>
      </w:pPr>
      <w:bookmarkStart w:id="882" w:name="bookmark1322"/>
      <w:bookmarkEnd w:id="882"/>
      <w:r>
        <w:rPr>
          <w:rStyle w:val="32"/>
          <w:rFonts w:hint="eastAsia" w:ascii="Times New Roman" w:hAnsi="Times New Roman" w:cs="Times New Roman"/>
          <w:color w:val="auto"/>
          <w:highlight w:val="none"/>
          <w:lang w:val="en-US" w:bidi="en-US"/>
        </w:rPr>
        <w:t>16.</w:t>
      </w:r>
      <w:r>
        <w:rPr>
          <w:rStyle w:val="32"/>
          <w:rFonts w:ascii="Times New Roman" w:hAnsi="Times New Roman" w:eastAsia="Times New Roman" w:cs="Times New Roman"/>
          <w:color w:val="auto"/>
          <w:highlight w:val="none"/>
          <w:lang w:val="en-US" w:bidi="en-US"/>
        </w:rPr>
        <w:t xml:space="preserve">1. </w:t>
      </w:r>
      <w:r>
        <w:rPr>
          <w:rStyle w:val="32"/>
          <w:rFonts w:ascii="Times New Roman" w:hAnsi="Times New Roman" w:eastAsia="Times New Roman" w:cs="Times New Roman"/>
          <w:color w:val="auto"/>
          <w:highlight w:val="none"/>
        </w:rPr>
        <w:t>1</w:t>
      </w:r>
      <w:r>
        <w:rPr>
          <w:rStyle w:val="32"/>
          <w:color w:val="auto"/>
          <w:highlight w:val="none"/>
        </w:rPr>
        <w:t>采用价格指数调整价格差额</w:t>
      </w:r>
    </w:p>
    <w:p w14:paraId="57FAFE84">
      <w:pPr>
        <w:pStyle w:val="98"/>
        <w:pageBreakBefore w:val="0"/>
        <w:tabs>
          <w:tab w:val="left" w:pos="839"/>
        </w:tabs>
        <w:kinsoku/>
        <w:wordWrap/>
        <w:overflowPunct/>
        <w:topLinePunct w:val="0"/>
        <w:autoSpaceDE/>
        <w:autoSpaceDN/>
        <w:bidi w:val="0"/>
        <w:adjustRightInd/>
        <w:snapToGrid/>
        <w:spacing w:after="0" w:line="347" w:lineRule="exact"/>
        <w:ind w:left="420" w:firstLine="0"/>
        <w:jc w:val="both"/>
        <w:textAlignment w:val="auto"/>
        <w:outlineLvl w:val="9"/>
        <w:rPr>
          <w:rStyle w:val="32"/>
          <w:rFonts w:ascii="Times New Roman" w:hAnsi="Times New Roman" w:cs="Times New Roman"/>
          <w:color w:val="auto"/>
          <w:highlight w:val="none"/>
          <w:lang w:eastAsia="zh-CN"/>
        </w:rPr>
      </w:pPr>
      <w:bookmarkStart w:id="883" w:name="bookmark1323"/>
      <w:bookmarkEnd w:id="883"/>
      <w:r>
        <w:rPr>
          <w:rStyle w:val="32"/>
          <w:rFonts w:hint="eastAsia" w:ascii="Times New Roman" w:hAnsi="Times New Roman" w:cs="Times New Roman"/>
          <w:color w:val="auto"/>
          <w:highlight w:val="none"/>
          <w:lang w:eastAsia="zh-CN"/>
        </w:rPr>
        <w:t xml:space="preserve">16. </w:t>
      </w:r>
      <w:r>
        <w:rPr>
          <w:rStyle w:val="32"/>
          <w:rFonts w:ascii="Times New Roman" w:hAnsi="Times New Roman" w:cs="Times New Roman"/>
          <w:color w:val="auto"/>
          <w:highlight w:val="none"/>
          <w:lang w:eastAsia="zh-CN"/>
        </w:rPr>
        <w:t xml:space="preserve">1. 1. </w:t>
      </w:r>
      <w:r>
        <w:rPr>
          <w:rStyle w:val="32"/>
          <w:rFonts w:ascii="Times New Roman" w:hAnsi="Times New Roman" w:cs="Times New Roman"/>
          <w:color w:val="auto"/>
          <w:highlight w:val="none"/>
          <w:lang w:val="zh-CN" w:eastAsia="zh-CN" w:bidi="zh-CN"/>
        </w:rPr>
        <w:t>1</w:t>
      </w:r>
      <w:r>
        <w:rPr>
          <w:rStyle w:val="32"/>
          <w:rFonts w:ascii="宋体" w:hAnsi="宋体" w:cs="宋体"/>
          <w:color w:val="auto"/>
          <w:highlight w:val="none"/>
          <w:lang w:val="zh-CN" w:eastAsia="zh-CN" w:bidi="zh-CN"/>
        </w:rPr>
        <w:t>价格调整公式</w:t>
      </w:r>
    </w:p>
    <w:p w14:paraId="60E756A7">
      <w:pPr>
        <w:pStyle w:val="97"/>
        <w:pageBreakBefore w:val="0"/>
        <w:kinsoku/>
        <w:wordWrap/>
        <w:overflowPunct/>
        <w:topLinePunct w:val="0"/>
        <w:autoSpaceDE/>
        <w:autoSpaceDN/>
        <w:bidi w:val="0"/>
        <w:adjustRightInd/>
        <w:snapToGrid/>
        <w:spacing w:after="140" w:line="347" w:lineRule="exact"/>
        <w:ind w:firstLine="420"/>
        <w:jc w:val="both"/>
        <w:textAlignment w:val="auto"/>
        <w:outlineLvl w:val="9"/>
        <w:rPr>
          <w:rStyle w:val="32"/>
          <w:color w:val="auto"/>
          <w:highlight w:val="none"/>
        </w:rPr>
      </w:pPr>
      <w:r>
        <w:rPr>
          <w:rStyle w:val="32"/>
          <w:color w:val="auto"/>
          <w:highlight w:val="none"/>
        </w:rPr>
        <w:t>因人工、材料和设备等价格波动影响合同价格时，根据投标函附录中的价格指数和权重表约定的数据，按以下公式计算差额并调整合同价格。</w:t>
      </w:r>
    </w:p>
    <w:p w14:paraId="6ABF91A8">
      <w:pPr>
        <w:pStyle w:val="97"/>
        <w:pageBreakBefore w:val="0"/>
        <w:kinsoku/>
        <w:wordWrap/>
        <w:overflowPunct/>
        <w:topLinePunct w:val="0"/>
        <w:autoSpaceDE/>
        <w:autoSpaceDN/>
        <w:bidi w:val="0"/>
        <w:adjustRightInd/>
        <w:snapToGrid/>
        <w:spacing w:line="240" w:lineRule="auto"/>
        <w:ind w:firstLine="420"/>
        <w:textAlignment w:val="auto"/>
        <w:outlineLvl w:val="9"/>
        <w:rPr>
          <w:rStyle w:val="32"/>
          <w:color w:val="auto"/>
          <w:highlight w:val="none"/>
          <w:lang w:val="en-US"/>
        </w:rPr>
      </w:pPr>
      <w:r>
        <w:rPr>
          <w:rFonts w:hint="eastAsia"/>
          <w:color w:val="auto"/>
          <w:position w:val="-34"/>
          <w:sz w:val="24"/>
          <w:highlight w:val="none"/>
        </w:rPr>
        <w:object>
          <v:shape id="_x0000_i1025" o:spt="75" type="#_x0000_t75" style="height:49.5pt;width:324.05pt;" o:ole="t" filled="f" o:preferrelative="t" stroked="f" coordsize="21600,21600">
            <v:path/>
            <v:fill on="f" focussize="0,0"/>
            <v:stroke on="f"/>
            <v:imagedata r:id="rId21" o:title=""/>
            <o:lock v:ext="edit" aspectratio="t"/>
            <w10:wrap type="none"/>
            <w10:anchorlock/>
          </v:shape>
          <o:OLEObject Type="Embed" ProgID="Equation.3" ShapeID="_x0000_i1025" DrawAspect="Content" ObjectID="_1468075725" r:id="rId20">
            <o:LockedField>false</o:LockedField>
          </o:OLEObject>
        </w:object>
      </w:r>
    </w:p>
    <w:p w14:paraId="0435CA0D">
      <w:pPr>
        <w:pStyle w:val="97"/>
        <w:pageBreakBefore w:val="0"/>
        <w:kinsoku/>
        <w:wordWrap/>
        <w:overflowPunct/>
        <w:topLinePunct w:val="0"/>
        <w:autoSpaceDE/>
        <w:autoSpaceDN/>
        <w:bidi w:val="0"/>
        <w:adjustRightInd/>
        <w:snapToGrid/>
        <w:spacing w:line="374" w:lineRule="exact"/>
        <w:ind w:firstLine="420"/>
        <w:textAlignment w:val="auto"/>
        <w:outlineLvl w:val="9"/>
        <w:rPr>
          <w:rStyle w:val="32"/>
          <w:color w:val="auto"/>
          <w:highlight w:val="none"/>
          <w:lang w:val="en-US"/>
        </w:rPr>
      </w:pPr>
    </w:p>
    <w:p w14:paraId="44F722A6">
      <w:pPr>
        <w:pStyle w:val="97"/>
        <w:pageBreakBefore w:val="0"/>
        <w:kinsoku/>
        <w:wordWrap/>
        <w:overflowPunct/>
        <w:topLinePunct w:val="0"/>
        <w:autoSpaceDE/>
        <w:autoSpaceDN/>
        <w:bidi w:val="0"/>
        <w:adjustRightInd/>
        <w:snapToGrid/>
        <w:spacing w:line="374" w:lineRule="exact"/>
        <w:ind w:firstLine="420"/>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式中： △P -- 需调整的价格差额；</w:t>
      </w:r>
    </w:p>
    <w:p w14:paraId="03758165">
      <w:pPr>
        <w:pStyle w:val="97"/>
        <w:pageBreakBefore w:val="0"/>
        <w:kinsoku/>
        <w:wordWrap/>
        <w:overflowPunct/>
        <w:topLinePunct w:val="0"/>
        <w:autoSpaceDE/>
        <w:autoSpaceDN/>
        <w:bidi w:val="0"/>
        <w:adjustRightInd/>
        <w:snapToGrid/>
        <w:spacing w:line="374" w:lineRule="exact"/>
        <w:ind w:firstLine="420"/>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5E658A5">
      <w:pPr>
        <w:pStyle w:val="97"/>
        <w:pageBreakBefore w:val="0"/>
        <w:kinsoku/>
        <w:wordWrap/>
        <w:overflowPunct/>
        <w:topLinePunct w:val="0"/>
        <w:autoSpaceDE/>
        <w:autoSpaceDN/>
        <w:bidi w:val="0"/>
        <w:adjustRightInd/>
        <w:snapToGrid/>
        <w:spacing w:line="374" w:lineRule="exact"/>
        <w:ind w:firstLine="420"/>
        <w:textAlignment w:val="auto"/>
        <w:outlineLvl w:val="9"/>
        <w:rPr>
          <w:rStyle w:val="32"/>
          <w:rFonts w:ascii="Times New Roman" w:hAnsi="Times New Roman" w:cs="Times New Roman"/>
          <w:color w:val="auto"/>
          <w:highlight w:val="none"/>
          <w:lang w:val="en-US"/>
        </w:rPr>
      </w:pPr>
      <w:bookmarkStart w:id="884" w:name="_Toc144974686"/>
      <w:bookmarkStart w:id="885" w:name="_Toc152042495"/>
      <w:r>
        <w:rPr>
          <w:rStyle w:val="32"/>
          <w:rFonts w:ascii="Times New Roman" w:hAnsi="Times New Roman" w:cs="Times New Roman"/>
          <w:color w:val="auto"/>
          <w:highlight w:val="none"/>
          <w:lang w:val="en-US"/>
        </w:rPr>
        <w:t>A -- 定值权重(即不调部分的权重)；</w:t>
      </w:r>
      <w:bookmarkEnd w:id="884"/>
      <w:bookmarkEnd w:id="885"/>
    </w:p>
    <w:p w14:paraId="748AFF17">
      <w:pPr>
        <w:pStyle w:val="97"/>
        <w:pageBreakBefore w:val="0"/>
        <w:kinsoku/>
        <w:wordWrap/>
        <w:overflowPunct/>
        <w:topLinePunct w:val="0"/>
        <w:autoSpaceDE/>
        <w:autoSpaceDN/>
        <w:bidi w:val="0"/>
        <w:adjustRightInd/>
        <w:snapToGrid/>
        <w:spacing w:line="374" w:lineRule="exact"/>
        <w:ind w:firstLine="420"/>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B1；B2；B3·····Bn -- 各可调因子的变值权重(即可调部分的权重)为各可调因子在投标函投标总报价中所占的比例；</w:t>
      </w:r>
    </w:p>
    <w:p w14:paraId="67820E25">
      <w:pPr>
        <w:pStyle w:val="97"/>
        <w:pageBreakBefore w:val="0"/>
        <w:kinsoku/>
        <w:wordWrap/>
        <w:overflowPunct/>
        <w:topLinePunct w:val="0"/>
        <w:autoSpaceDE/>
        <w:autoSpaceDN/>
        <w:bidi w:val="0"/>
        <w:adjustRightInd/>
        <w:snapToGrid/>
        <w:spacing w:line="374" w:lineRule="exact"/>
        <w:ind w:firstLine="420"/>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Ft1；Ft2；Ft3·····Ftn -- 各可调因子的现行价格指数，指第17.3.3项、第17.5.2项和第17.6.2项约定的付款证书相关周期最后一天的前42天的各可调因子的价格指数；</w:t>
      </w:r>
    </w:p>
    <w:p w14:paraId="64A0C0FA">
      <w:pPr>
        <w:pStyle w:val="97"/>
        <w:pageBreakBefore w:val="0"/>
        <w:kinsoku/>
        <w:wordWrap/>
        <w:overflowPunct/>
        <w:topLinePunct w:val="0"/>
        <w:autoSpaceDE/>
        <w:autoSpaceDN/>
        <w:bidi w:val="0"/>
        <w:adjustRightInd/>
        <w:snapToGrid/>
        <w:spacing w:line="374" w:lineRule="exact"/>
        <w:ind w:firstLine="420"/>
        <w:jc w:val="both"/>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Fo1；Fo2; Fo3·····Fon -- 各可调因子的基本价格指数，指基准日期的各可调因子的价格指数。</w:t>
      </w:r>
    </w:p>
    <w:p w14:paraId="6FBF88CD">
      <w:pPr>
        <w:pStyle w:val="97"/>
        <w:pageBreakBefore w:val="0"/>
        <w:kinsoku/>
        <w:wordWrap/>
        <w:overflowPunct/>
        <w:topLinePunct w:val="0"/>
        <w:autoSpaceDE/>
        <w:autoSpaceDN/>
        <w:bidi w:val="0"/>
        <w:adjustRightInd/>
        <w:snapToGrid/>
        <w:spacing w:after="120" w:line="353" w:lineRule="exact"/>
        <w:ind w:firstLine="420"/>
        <w:jc w:val="both"/>
        <w:textAlignment w:val="auto"/>
        <w:outlineLvl w:val="9"/>
        <w:rPr>
          <w:rStyle w:val="32"/>
          <w:color w:val="auto"/>
          <w:highlight w:val="none"/>
        </w:rPr>
      </w:pPr>
      <w:r>
        <w:rPr>
          <w:rStyle w:val="32"/>
          <w:rFonts w:ascii="Times New Roman" w:hAnsi="Times New Roman" w:cs="Times New Roman"/>
          <w:color w:val="auto"/>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740D53AB">
      <w:pPr>
        <w:pStyle w:val="97"/>
        <w:pageBreakBefore w:val="0"/>
        <w:kinsoku/>
        <w:wordWrap/>
        <w:overflowPunct/>
        <w:topLinePunct w:val="0"/>
        <w:autoSpaceDE/>
        <w:autoSpaceDN/>
        <w:bidi w:val="0"/>
        <w:adjustRightInd/>
        <w:snapToGrid/>
        <w:spacing w:line="379"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16.1.1.2</w:t>
      </w:r>
      <w:r>
        <w:rPr>
          <w:rStyle w:val="32"/>
          <w:color w:val="auto"/>
          <w:highlight w:val="none"/>
        </w:rPr>
        <w:t>暂时确定调整差额</w:t>
      </w:r>
    </w:p>
    <w:p w14:paraId="0301D317">
      <w:pPr>
        <w:pStyle w:val="97"/>
        <w:pageBreakBefore w:val="0"/>
        <w:kinsoku/>
        <w:wordWrap/>
        <w:overflowPunct/>
        <w:topLinePunct w:val="0"/>
        <w:autoSpaceDE/>
        <w:autoSpaceDN/>
        <w:bidi w:val="0"/>
        <w:adjustRightInd/>
        <w:snapToGrid/>
        <w:spacing w:after="120" w:line="362" w:lineRule="exact"/>
        <w:ind w:firstLine="440"/>
        <w:jc w:val="both"/>
        <w:textAlignment w:val="auto"/>
        <w:outlineLvl w:val="9"/>
        <w:rPr>
          <w:rStyle w:val="32"/>
          <w:color w:val="auto"/>
          <w:highlight w:val="none"/>
        </w:rPr>
      </w:pPr>
      <w:r>
        <w:rPr>
          <w:rStyle w:val="32"/>
          <w:color w:val="auto"/>
          <w:highlight w:val="none"/>
        </w:rPr>
        <w:t>在计算调整差额时得不到现行价格指数的，可暂用上一次价格指数计算，并在以后的付款中再按实际价格指数进行调整。</w:t>
      </w:r>
    </w:p>
    <w:p w14:paraId="68BE1E03">
      <w:pPr>
        <w:pStyle w:val="98"/>
        <w:pageBreakBefore w:val="0"/>
        <w:kinsoku/>
        <w:wordWrap/>
        <w:overflowPunct/>
        <w:topLinePunct w:val="0"/>
        <w:autoSpaceDE/>
        <w:autoSpaceDN/>
        <w:bidi w:val="0"/>
        <w:adjustRightInd/>
        <w:snapToGrid/>
        <w:spacing w:after="0" w:line="386" w:lineRule="auto"/>
        <w:ind w:firstLine="440"/>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16.1.1.3</w:t>
      </w:r>
      <w:r>
        <w:rPr>
          <w:rStyle w:val="32"/>
          <w:rFonts w:ascii="宋体" w:hAnsi="宋体" w:cs="宋体"/>
          <w:color w:val="auto"/>
          <w:highlight w:val="none"/>
          <w:lang w:val="zh-CN" w:eastAsia="zh-CN" w:bidi="zh-CN"/>
        </w:rPr>
        <w:t>权重的调整</w:t>
      </w:r>
    </w:p>
    <w:p w14:paraId="348A0D88">
      <w:pPr>
        <w:pStyle w:val="97"/>
        <w:pageBreakBefore w:val="0"/>
        <w:kinsoku/>
        <w:wordWrap/>
        <w:overflowPunct/>
        <w:topLinePunct w:val="0"/>
        <w:autoSpaceDE/>
        <w:autoSpaceDN/>
        <w:bidi w:val="0"/>
        <w:adjustRightInd/>
        <w:snapToGrid/>
        <w:spacing w:after="120" w:line="370" w:lineRule="exact"/>
        <w:ind w:firstLine="440"/>
        <w:jc w:val="both"/>
        <w:textAlignment w:val="auto"/>
        <w:outlineLvl w:val="9"/>
        <w:rPr>
          <w:rStyle w:val="32"/>
          <w:color w:val="auto"/>
          <w:highlight w:val="none"/>
        </w:rPr>
      </w:pPr>
      <w:r>
        <w:rPr>
          <w:rStyle w:val="32"/>
          <w:color w:val="auto"/>
          <w:highlight w:val="none"/>
        </w:rPr>
        <w:t>按第</w:t>
      </w:r>
      <w:r>
        <w:rPr>
          <w:rStyle w:val="32"/>
          <w:rFonts w:ascii="Times New Roman" w:hAnsi="Times New Roman" w:eastAsia="Times New Roman" w:cs="Times New Roman"/>
          <w:color w:val="auto"/>
          <w:highlight w:val="none"/>
          <w:lang w:val="en-US" w:bidi="en-US"/>
        </w:rPr>
        <w:t xml:space="preserve">15. </w:t>
      </w:r>
      <w:r>
        <w:rPr>
          <w:rStyle w:val="32"/>
          <w:rFonts w:ascii="Times New Roman" w:hAnsi="Times New Roman" w:eastAsia="Times New Roman" w:cs="Times New Roman"/>
          <w:color w:val="auto"/>
          <w:highlight w:val="none"/>
        </w:rPr>
        <w:t>1</w:t>
      </w:r>
      <w:r>
        <w:rPr>
          <w:rStyle w:val="32"/>
          <w:color w:val="auto"/>
          <w:highlight w:val="none"/>
        </w:rPr>
        <w:t>款约定的变更导致原定合同中的权重不合理时，由监理人与承包人和发包人协商后进行调整。</w:t>
      </w:r>
    </w:p>
    <w:p w14:paraId="6CF6D171">
      <w:pPr>
        <w:pStyle w:val="97"/>
        <w:pageBreakBefore w:val="0"/>
        <w:kinsoku/>
        <w:wordWrap/>
        <w:overflowPunct/>
        <w:topLinePunct w:val="0"/>
        <w:autoSpaceDE/>
        <w:autoSpaceDN/>
        <w:bidi w:val="0"/>
        <w:adjustRightInd/>
        <w:snapToGrid/>
        <w:spacing w:line="374"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16.1.1.4</w:t>
      </w:r>
      <w:r>
        <w:rPr>
          <w:rStyle w:val="32"/>
          <w:color w:val="auto"/>
          <w:highlight w:val="none"/>
        </w:rPr>
        <w:t>承包人工期延误后的价格调整</w:t>
      </w:r>
    </w:p>
    <w:p w14:paraId="78414C2B">
      <w:pPr>
        <w:pStyle w:val="97"/>
        <w:pageBreakBefore w:val="0"/>
        <w:kinsoku/>
        <w:wordWrap/>
        <w:overflowPunct/>
        <w:topLinePunct w:val="0"/>
        <w:autoSpaceDE/>
        <w:autoSpaceDN/>
        <w:bidi w:val="0"/>
        <w:adjustRightInd/>
        <w:snapToGrid/>
        <w:spacing w:after="120" w:line="356" w:lineRule="exact"/>
        <w:ind w:firstLine="440"/>
        <w:jc w:val="both"/>
        <w:textAlignment w:val="auto"/>
        <w:outlineLvl w:val="9"/>
        <w:rPr>
          <w:rStyle w:val="32"/>
          <w:color w:val="auto"/>
          <w:highlight w:val="none"/>
        </w:rPr>
      </w:pPr>
      <w:r>
        <w:rPr>
          <w:rStyle w:val="32"/>
          <w:color w:val="auto"/>
          <w:highlight w:val="none"/>
        </w:rPr>
        <w:t>由于承包人原因未在约定的工期内竣工的，则对原约定竣工日期后继续施工的工程, 在使用第</w:t>
      </w:r>
      <w:r>
        <w:rPr>
          <w:rStyle w:val="32"/>
          <w:rFonts w:ascii="Times New Roman" w:hAnsi="Times New Roman" w:eastAsia="Times New Roman" w:cs="Times New Roman"/>
          <w:color w:val="auto"/>
          <w:highlight w:val="none"/>
          <w:lang w:val="en-US" w:bidi="en-US"/>
        </w:rPr>
        <w:t xml:space="preserve">16. 1. 1. </w:t>
      </w:r>
      <w:r>
        <w:rPr>
          <w:rStyle w:val="32"/>
          <w:rFonts w:ascii="Times New Roman" w:hAnsi="Times New Roman" w:eastAsia="Times New Roman" w:cs="Times New Roman"/>
          <w:color w:val="auto"/>
          <w:highlight w:val="none"/>
        </w:rPr>
        <w:t>1</w:t>
      </w:r>
      <w:r>
        <w:rPr>
          <w:rStyle w:val="32"/>
          <w:color w:val="auto"/>
          <w:highlight w:val="none"/>
        </w:rPr>
        <w:t>目价格调整公式时，应采用原约定竣工日期与实际竣工日期的两个价格指数中较低的一个作为现行价格指数。</w:t>
      </w:r>
    </w:p>
    <w:p w14:paraId="635BEF3A">
      <w:pPr>
        <w:pStyle w:val="97"/>
        <w:pageBreakBefore w:val="0"/>
        <w:tabs>
          <w:tab w:val="left" w:pos="861"/>
        </w:tabs>
        <w:kinsoku/>
        <w:wordWrap/>
        <w:overflowPunct/>
        <w:topLinePunct w:val="0"/>
        <w:autoSpaceDE/>
        <w:autoSpaceDN/>
        <w:bidi w:val="0"/>
        <w:adjustRightInd/>
        <w:snapToGrid/>
        <w:spacing w:line="374" w:lineRule="auto"/>
        <w:ind w:firstLine="0"/>
        <w:jc w:val="both"/>
        <w:textAlignment w:val="auto"/>
        <w:outlineLvl w:val="9"/>
        <w:rPr>
          <w:rStyle w:val="32"/>
          <w:color w:val="auto"/>
          <w:highlight w:val="none"/>
        </w:rPr>
      </w:pPr>
      <w:bookmarkStart w:id="886" w:name="bookmark1325"/>
      <w:bookmarkEnd w:id="886"/>
      <w:r>
        <w:rPr>
          <w:rStyle w:val="32"/>
          <w:rFonts w:hint="eastAsia" w:ascii="Times New Roman" w:hAnsi="Times New Roman" w:cs="Times New Roman"/>
          <w:color w:val="auto"/>
          <w:highlight w:val="none"/>
          <w:lang w:val="en-US" w:bidi="en-US"/>
        </w:rPr>
        <w:t>16.</w:t>
      </w:r>
      <w:r>
        <w:rPr>
          <w:rStyle w:val="32"/>
          <w:rFonts w:ascii="Times New Roman" w:hAnsi="Times New Roman" w:eastAsia="Times New Roman" w:cs="Times New Roman"/>
          <w:color w:val="auto"/>
          <w:highlight w:val="none"/>
          <w:lang w:val="en-US" w:bidi="en-US"/>
        </w:rPr>
        <w:t xml:space="preserve">1. </w:t>
      </w:r>
      <w:r>
        <w:rPr>
          <w:rStyle w:val="32"/>
          <w:rFonts w:ascii="Times New Roman" w:hAnsi="Times New Roman" w:eastAsia="Times New Roman" w:cs="Times New Roman"/>
          <w:color w:val="auto"/>
          <w:highlight w:val="none"/>
        </w:rPr>
        <w:t>2</w:t>
      </w:r>
      <w:r>
        <w:rPr>
          <w:rStyle w:val="32"/>
          <w:color w:val="auto"/>
          <w:highlight w:val="none"/>
        </w:rPr>
        <w:t>采用造价信息调整价格差额</w:t>
      </w:r>
    </w:p>
    <w:p w14:paraId="2CBD199E">
      <w:pPr>
        <w:pStyle w:val="97"/>
        <w:pageBreakBefore w:val="0"/>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r>
        <w:rPr>
          <w:rStyle w:val="32"/>
          <w:color w:val="auto"/>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2BE7F8D2">
      <w:pPr>
        <w:pStyle w:val="97"/>
        <w:pageBreakBefore w:val="0"/>
        <w:kinsoku/>
        <w:wordWrap/>
        <w:overflowPunct/>
        <w:topLinePunct w:val="0"/>
        <w:autoSpaceDE/>
        <w:autoSpaceDN/>
        <w:bidi w:val="0"/>
        <w:adjustRightInd/>
        <w:snapToGrid/>
        <w:spacing w:after="160" w:line="359" w:lineRule="exact"/>
        <w:ind w:firstLine="420"/>
        <w:textAlignment w:val="auto"/>
        <w:outlineLvl w:val="9"/>
        <w:rPr>
          <w:rStyle w:val="32"/>
          <w:color w:val="auto"/>
          <w:highlight w:val="none"/>
        </w:rPr>
      </w:pPr>
      <w:r>
        <w:rPr>
          <w:rStyle w:val="32"/>
          <w:color w:val="auto"/>
          <w:highlight w:val="none"/>
        </w:rPr>
        <w:t>工程造价信息的来源以及价格调整的项目和系数在专用合同条款中约定。</w:t>
      </w:r>
    </w:p>
    <w:p w14:paraId="1DDF724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87" w:name="_Toc30516"/>
      <w:bookmarkStart w:id="888" w:name="bookmark1327"/>
      <w:bookmarkStart w:id="889" w:name="_Toc256000120"/>
      <w:bookmarkStart w:id="890" w:name="bookmark1326"/>
      <w:bookmarkStart w:id="891" w:name="_Toc19456"/>
      <w:bookmarkStart w:id="892" w:name="bookmark1328"/>
      <w:r>
        <w:rPr>
          <w:rStyle w:val="32"/>
          <w:rFonts w:ascii="宋体" w:hAnsi="宋体" w:cs="Times New Roman"/>
          <w:color w:val="auto"/>
          <w:sz w:val="24"/>
          <w:szCs w:val="24"/>
          <w:highlight w:val="none"/>
          <w:lang w:eastAsia="zh-CN"/>
        </w:rPr>
        <w:t>16.2法律变化引起的价格调整</w:t>
      </w:r>
      <w:bookmarkEnd w:id="887"/>
      <w:bookmarkEnd w:id="888"/>
      <w:bookmarkEnd w:id="889"/>
      <w:bookmarkEnd w:id="890"/>
      <w:bookmarkEnd w:id="891"/>
      <w:bookmarkEnd w:id="892"/>
    </w:p>
    <w:p w14:paraId="0148B268">
      <w:pPr>
        <w:pStyle w:val="97"/>
        <w:pageBreakBefore w:val="0"/>
        <w:kinsoku/>
        <w:wordWrap/>
        <w:overflowPunct/>
        <w:topLinePunct w:val="0"/>
        <w:autoSpaceDE/>
        <w:autoSpaceDN/>
        <w:bidi w:val="0"/>
        <w:adjustRightInd/>
        <w:snapToGrid/>
        <w:spacing w:after="300" w:line="348" w:lineRule="exact"/>
        <w:ind w:firstLine="440"/>
        <w:jc w:val="both"/>
        <w:textAlignment w:val="auto"/>
        <w:outlineLvl w:val="9"/>
        <w:rPr>
          <w:rStyle w:val="32"/>
          <w:color w:val="auto"/>
          <w:highlight w:val="none"/>
        </w:rPr>
      </w:pPr>
      <w:r>
        <w:rPr>
          <w:rStyle w:val="32"/>
          <w:color w:val="auto"/>
          <w:highlight w:val="none"/>
        </w:rPr>
        <w:t>在基准日后，因法律变化导致承包人在合同履行中所需要的工程费用发生除第</w:t>
      </w:r>
      <w:r>
        <w:rPr>
          <w:rStyle w:val="32"/>
          <w:rFonts w:ascii="Times New Roman" w:hAnsi="Times New Roman" w:eastAsia="Times New Roman" w:cs="Times New Roman"/>
          <w:color w:val="auto"/>
          <w:highlight w:val="none"/>
          <w:lang w:val="en-US" w:bidi="en-US"/>
        </w:rPr>
        <w:t xml:space="preserve">16. </w:t>
      </w:r>
      <w:r>
        <w:rPr>
          <w:rStyle w:val="32"/>
          <w:rFonts w:ascii="Times New Roman" w:hAnsi="Times New Roman" w:eastAsia="Times New Roman" w:cs="Times New Roman"/>
          <w:color w:val="auto"/>
          <w:highlight w:val="none"/>
        </w:rPr>
        <w:t>1</w:t>
      </w:r>
      <w:r>
        <w:rPr>
          <w:rStyle w:val="32"/>
          <w:color w:val="auto"/>
          <w:highlight w:val="none"/>
        </w:rPr>
        <w:t>款约定以外的增减时，监理人应根据法律、国家或省、自治区、直辖市有关部门的规定，按第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款商定或确定需调整的合同价款。</w:t>
      </w:r>
    </w:p>
    <w:p w14:paraId="2B0068C9">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893" w:name="_Toc256000121"/>
      <w:bookmarkStart w:id="894" w:name="_Toc26355"/>
      <w:bookmarkStart w:id="895" w:name="_Toc15158"/>
      <w:bookmarkStart w:id="896" w:name="bookmark1331"/>
      <w:bookmarkStart w:id="897" w:name="bookmark1330"/>
      <w:bookmarkStart w:id="898" w:name="bookmark1329"/>
      <w:r>
        <w:rPr>
          <w:rStyle w:val="32"/>
          <w:rFonts w:hint="eastAsia" w:cs="Times New Roman"/>
          <w:color w:val="auto"/>
          <w:highlight w:val="none"/>
          <w:lang w:eastAsia="zh-CN"/>
        </w:rPr>
        <w:t>17.计量与支付</w:t>
      </w:r>
      <w:bookmarkEnd w:id="893"/>
      <w:bookmarkEnd w:id="894"/>
      <w:bookmarkEnd w:id="895"/>
      <w:bookmarkEnd w:id="896"/>
      <w:bookmarkEnd w:id="897"/>
      <w:bookmarkEnd w:id="898"/>
    </w:p>
    <w:p w14:paraId="1AC55DF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899" w:name="bookmark1332"/>
      <w:bookmarkStart w:id="900" w:name="_Toc256000122"/>
      <w:bookmarkStart w:id="901" w:name="_Toc2006"/>
      <w:bookmarkStart w:id="902" w:name="_Toc7733"/>
      <w:bookmarkStart w:id="903" w:name="bookmark1333"/>
      <w:bookmarkStart w:id="904" w:name="bookmark1334"/>
      <w:r>
        <w:rPr>
          <w:rStyle w:val="32"/>
          <w:rFonts w:ascii="宋体" w:hAnsi="宋体" w:cs="Times New Roman"/>
          <w:color w:val="auto"/>
          <w:sz w:val="24"/>
          <w:szCs w:val="24"/>
          <w:highlight w:val="none"/>
          <w:lang w:eastAsia="zh-CN"/>
        </w:rPr>
        <w:t>17.1计量</w:t>
      </w:r>
      <w:bookmarkEnd w:id="899"/>
      <w:bookmarkEnd w:id="900"/>
      <w:bookmarkEnd w:id="901"/>
      <w:bookmarkEnd w:id="902"/>
      <w:bookmarkEnd w:id="903"/>
      <w:bookmarkEnd w:id="904"/>
    </w:p>
    <w:p w14:paraId="23B8B35A">
      <w:pPr>
        <w:pStyle w:val="98"/>
        <w:pageBreakBefore w:val="0"/>
        <w:tabs>
          <w:tab w:val="left" w:pos="841"/>
        </w:tabs>
        <w:kinsoku/>
        <w:wordWrap/>
        <w:overflowPunct/>
        <w:topLinePunct w:val="0"/>
        <w:autoSpaceDE/>
        <w:autoSpaceDN/>
        <w:bidi w:val="0"/>
        <w:adjustRightInd/>
        <w:snapToGrid/>
        <w:spacing w:after="0" w:line="360" w:lineRule="exact"/>
        <w:ind w:firstLine="0"/>
        <w:textAlignment w:val="auto"/>
        <w:outlineLvl w:val="9"/>
        <w:rPr>
          <w:rStyle w:val="32"/>
          <w:rFonts w:ascii="Times New Roman" w:hAnsi="Times New Roman" w:cs="Times New Roman"/>
          <w:color w:val="auto"/>
          <w:highlight w:val="none"/>
          <w:lang w:eastAsia="zh-CN"/>
        </w:rPr>
      </w:pPr>
      <w:bookmarkStart w:id="905" w:name="bookmark1335"/>
      <w:bookmarkEnd w:id="905"/>
      <w:r>
        <w:rPr>
          <w:rStyle w:val="32"/>
          <w:rFonts w:ascii="Times New Roman" w:hAnsi="Times New Roman" w:cs="Times New Roman"/>
          <w:color w:val="auto"/>
          <w:highlight w:val="none"/>
          <w:lang w:eastAsia="zh-CN"/>
        </w:rPr>
        <w:t xml:space="preserve">        17.1. </w:t>
      </w:r>
      <w:r>
        <w:rPr>
          <w:rStyle w:val="32"/>
          <w:rFonts w:ascii="Times New Roman" w:hAnsi="Times New Roman" w:cs="Times New Roman"/>
          <w:color w:val="auto"/>
          <w:highlight w:val="none"/>
          <w:lang w:val="zh-CN" w:eastAsia="zh-CN" w:bidi="zh-CN"/>
        </w:rPr>
        <w:t>1计量单位</w:t>
      </w:r>
    </w:p>
    <w:p w14:paraId="4EE8401B">
      <w:pPr>
        <w:pStyle w:val="97"/>
        <w:pageBreakBefore w:val="0"/>
        <w:kinsoku/>
        <w:wordWrap/>
        <w:overflowPunct/>
        <w:topLinePunct w:val="0"/>
        <w:autoSpaceDE/>
        <w:autoSpaceDN/>
        <w:bidi w:val="0"/>
        <w:adjustRightInd/>
        <w:snapToGrid/>
        <w:spacing w:after="120" w:line="36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计量采用国家法定的计量单位。</w:t>
      </w:r>
    </w:p>
    <w:p w14:paraId="5BD09F4B">
      <w:pPr>
        <w:pStyle w:val="97"/>
        <w:pageBreakBefore w:val="0"/>
        <w:tabs>
          <w:tab w:val="left" w:pos="841"/>
        </w:tabs>
        <w:kinsoku/>
        <w:wordWrap/>
        <w:overflowPunct/>
        <w:topLinePunct w:val="0"/>
        <w:autoSpaceDE/>
        <w:autoSpaceDN/>
        <w:bidi w:val="0"/>
        <w:adjustRightInd/>
        <w:snapToGrid/>
        <w:spacing w:line="360" w:lineRule="exact"/>
        <w:ind w:left="420" w:firstLine="0"/>
        <w:textAlignment w:val="auto"/>
        <w:outlineLvl w:val="9"/>
        <w:rPr>
          <w:rStyle w:val="32"/>
          <w:rFonts w:ascii="Times New Roman" w:hAnsi="Times New Roman" w:cs="Times New Roman"/>
          <w:color w:val="auto"/>
          <w:highlight w:val="none"/>
        </w:rPr>
      </w:pPr>
      <w:bookmarkStart w:id="906" w:name="bookmark1336"/>
      <w:bookmarkEnd w:id="906"/>
      <w:r>
        <w:rPr>
          <w:rStyle w:val="32"/>
          <w:rFonts w:hint="eastAsia" w:ascii="Times New Roman" w:hAnsi="Times New Roman" w:cs="Times New Roman"/>
          <w:color w:val="auto"/>
          <w:highlight w:val="none"/>
          <w:lang w:val="en-US" w:bidi="en-US"/>
        </w:rPr>
        <w:t>17.</w:t>
      </w:r>
      <w:r>
        <w:rPr>
          <w:rStyle w:val="32"/>
          <w:rFonts w:ascii="Times New Roman" w:hAnsi="Times New Roman" w:eastAsia="Times New Roman" w:cs="Times New Roman"/>
          <w:color w:val="auto"/>
          <w:highlight w:val="none"/>
          <w:lang w:val="en-US" w:bidi="en-US"/>
        </w:rPr>
        <w:t xml:space="preserve">1. </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计量方法</w:t>
      </w:r>
    </w:p>
    <w:p w14:paraId="7498D1FA">
      <w:pPr>
        <w:pStyle w:val="97"/>
        <w:pageBreakBefore w:val="0"/>
        <w:kinsoku/>
        <w:wordWrap/>
        <w:overflowPunct/>
        <w:topLinePunct w:val="0"/>
        <w:autoSpaceDE/>
        <w:autoSpaceDN/>
        <w:bidi w:val="0"/>
        <w:adjustRightInd/>
        <w:snapToGrid/>
        <w:spacing w:after="120" w:line="36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结算工程量应按工程量清单中约定的方法计算。</w:t>
      </w:r>
    </w:p>
    <w:p w14:paraId="053A918B">
      <w:pPr>
        <w:pStyle w:val="98"/>
        <w:pageBreakBefore w:val="0"/>
        <w:kinsoku/>
        <w:wordWrap/>
        <w:overflowPunct/>
        <w:topLinePunct w:val="0"/>
        <w:autoSpaceDE/>
        <w:autoSpaceDN/>
        <w:bidi w:val="0"/>
        <w:adjustRightInd/>
        <w:snapToGrid/>
        <w:spacing w:after="0" w:line="360" w:lineRule="exact"/>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17.1.</w:t>
      </w:r>
      <w:r>
        <w:rPr>
          <w:rStyle w:val="32"/>
          <w:rFonts w:ascii="Times New Roman" w:hAnsi="Times New Roman" w:cs="Times New Roman"/>
          <w:color w:val="auto"/>
          <w:highlight w:val="none"/>
          <w:lang w:val="zh-CN" w:eastAsia="zh-CN" w:bidi="zh-CN"/>
        </w:rPr>
        <w:t>3计量周期</w:t>
      </w:r>
    </w:p>
    <w:p w14:paraId="6DD32312">
      <w:pPr>
        <w:pStyle w:val="97"/>
        <w:pageBreakBefore w:val="0"/>
        <w:kinsoku/>
        <w:wordWrap/>
        <w:overflowPunct/>
        <w:topLinePunct w:val="0"/>
        <w:autoSpaceDE/>
        <w:autoSpaceDN/>
        <w:bidi w:val="0"/>
        <w:adjustRightInd/>
        <w:snapToGrid/>
        <w:spacing w:after="120"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除专用合同条款另有约定外，单价子目已完成工程量按月计量，总价子目的计量周期 按批准的支付分解报告确定。</w:t>
      </w:r>
    </w:p>
    <w:p w14:paraId="1F566D32">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eastAsia="en-US" w:bidi="en-US"/>
        </w:rPr>
        <w:t>17.1.4</w:t>
      </w:r>
      <w:r>
        <w:rPr>
          <w:rStyle w:val="32"/>
          <w:rFonts w:ascii="Times New Roman" w:hAnsi="Times New Roman" w:cs="Times New Roman"/>
          <w:color w:val="auto"/>
          <w:highlight w:val="none"/>
        </w:rPr>
        <w:t>单价子目的计量</w:t>
      </w:r>
    </w:p>
    <w:p w14:paraId="3A0D0EA4">
      <w:pPr>
        <w:pStyle w:val="97"/>
        <w:pageBreakBefore w:val="0"/>
        <w:numPr>
          <w:ilvl w:val="0"/>
          <w:numId w:val="20"/>
        </w:numPr>
        <w:tabs>
          <w:tab w:val="left" w:pos="920"/>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07" w:name="bookmark1337"/>
      <w:bookmarkEnd w:id="907"/>
      <w:r>
        <w:rPr>
          <w:rStyle w:val="32"/>
          <w:rFonts w:ascii="Times New Roman" w:hAnsi="Times New Roman" w:cs="Times New Roman"/>
          <w:color w:val="auto"/>
          <w:highlight w:val="none"/>
        </w:rPr>
        <w:t>已标价工程量清单中的单价子目工程量为估算工程量。结算工程量是承包人实际完成的，并按合同约定的计量方法进行计量的工程量。</w:t>
      </w:r>
    </w:p>
    <w:p w14:paraId="0A445358">
      <w:pPr>
        <w:pStyle w:val="97"/>
        <w:pageBreakBefore w:val="0"/>
        <w:numPr>
          <w:ilvl w:val="0"/>
          <w:numId w:val="20"/>
        </w:numPr>
        <w:tabs>
          <w:tab w:val="left" w:pos="920"/>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08" w:name="bookmark1338"/>
      <w:bookmarkEnd w:id="908"/>
      <w:r>
        <w:rPr>
          <w:rStyle w:val="32"/>
          <w:rFonts w:ascii="Times New Roman" w:hAnsi="Times New Roman" w:cs="Times New Roman"/>
          <w:color w:val="auto"/>
          <w:highlight w:val="none"/>
        </w:rPr>
        <w:t>承包人对已完成的工程进行计量，向监理人提交进度付款申请单、已完成工程量报表和有关计量资料。</w:t>
      </w:r>
    </w:p>
    <w:p w14:paraId="16DFA1BA">
      <w:pPr>
        <w:pStyle w:val="97"/>
        <w:pageBreakBefore w:val="0"/>
        <w:numPr>
          <w:ilvl w:val="0"/>
          <w:numId w:val="20"/>
        </w:numPr>
        <w:tabs>
          <w:tab w:val="left" w:pos="483"/>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监理人对承包人提交的工程量报表进行复核，以确定实际完成的工程量。对数量</w:t>
      </w:r>
      <w:bookmarkStart w:id="909" w:name="bookmark1339"/>
      <w:bookmarkEnd w:id="909"/>
      <w:r>
        <w:rPr>
          <w:rStyle w:val="32"/>
          <w:rFonts w:ascii="Times New Roman" w:hAnsi="Times New Roman" w:cs="Times New Roman"/>
          <w:color w:val="auto"/>
          <w:highlight w:val="none"/>
        </w:rPr>
        <w:t>有异议的，可要求承包人按第</w:t>
      </w:r>
      <w:r>
        <w:rPr>
          <w:rStyle w:val="32"/>
          <w:rFonts w:ascii="Times New Roman" w:hAnsi="Times New Roman" w:eastAsia="Times New Roman" w:cs="Times New Roman"/>
          <w:color w:val="auto"/>
          <w:highlight w:val="none"/>
          <w:lang w:val="en-US" w:bidi="en-US"/>
        </w:rPr>
        <w:t xml:space="preserve">8. </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款约定进行共同复核和抽样复测。承包人应协助监理人进行复核并按监理人要求提供补充计量资料。承包人未按监理人要求参加复核，监理人复核或修正的工程量视为承包人实际完成的工程量。</w:t>
      </w:r>
    </w:p>
    <w:p w14:paraId="1AE272D7">
      <w:pPr>
        <w:pStyle w:val="97"/>
        <w:pageBreakBefore w:val="0"/>
        <w:numPr>
          <w:ilvl w:val="0"/>
          <w:numId w:val="20"/>
        </w:numPr>
        <w:tabs>
          <w:tab w:val="left" w:pos="899"/>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10" w:name="bookmark1340"/>
      <w:bookmarkEnd w:id="910"/>
      <w:r>
        <w:rPr>
          <w:rStyle w:val="32"/>
          <w:rFonts w:ascii="Times New Roman" w:hAnsi="Times New Roman" w:cs="Times New Roman"/>
          <w:color w:val="auto"/>
          <w:highlight w:val="none"/>
        </w:rPr>
        <w:t>监理人认为有必要时，可通知承包人共同进行联合测量、计量，承包人应遵照执行。</w:t>
      </w:r>
    </w:p>
    <w:p w14:paraId="38F9B7A2">
      <w:pPr>
        <w:pStyle w:val="97"/>
        <w:pageBreakBefore w:val="0"/>
        <w:numPr>
          <w:ilvl w:val="0"/>
          <w:numId w:val="20"/>
        </w:numPr>
        <w:tabs>
          <w:tab w:val="left" w:pos="902"/>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11" w:name="bookmark1341"/>
      <w:bookmarkEnd w:id="911"/>
      <w:r>
        <w:rPr>
          <w:rStyle w:val="32"/>
          <w:rFonts w:ascii="Times New Roman" w:hAnsi="Times New Roman" w:cs="Times New Roman"/>
          <w:color w:val="auto"/>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015B65B">
      <w:pPr>
        <w:pStyle w:val="97"/>
        <w:pageBreakBefore w:val="0"/>
        <w:numPr>
          <w:ilvl w:val="0"/>
          <w:numId w:val="20"/>
        </w:numPr>
        <w:tabs>
          <w:tab w:val="left" w:pos="902"/>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12" w:name="bookmark1342"/>
      <w:bookmarkEnd w:id="912"/>
      <w:r>
        <w:rPr>
          <w:rStyle w:val="32"/>
          <w:rFonts w:ascii="Times New Roman" w:hAnsi="Times New Roman" w:cs="Times New Roman"/>
          <w:color w:val="auto"/>
          <w:highlight w:val="none"/>
        </w:rPr>
        <w:t>监理人应在收到承包人提交的工程量报表后的</w:t>
      </w:r>
      <w:r>
        <w:rPr>
          <w:rStyle w:val="32"/>
          <w:rFonts w:ascii="Times New Roman" w:hAnsi="Times New Roman" w:eastAsia="Times New Roman" w:cs="Times New Roman"/>
          <w:color w:val="auto"/>
          <w:highlight w:val="none"/>
        </w:rPr>
        <w:t>7</w:t>
      </w:r>
      <w:r>
        <w:rPr>
          <w:rStyle w:val="32"/>
          <w:rFonts w:ascii="Times New Roman" w:hAnsi="Times New Roman" w:cs="Times New Roman"/>
          <w:color w:val="auto"/>
          <w:highlight w:val="none"/>
        </w:rPr>
        <w:t>天内进行复核，监理人未在约定时间内复核的，承包人提交的工程量报表中的工程量视为承包人实际完成的工程量，据此计算工程价款。</w:t>
      </w:r>
    </w:p>
    <w:p w14:paraId="38A85D33">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17.1.5</w:t>
      </w:r>
      <w:r>
        <w:rPr>
          <w:rStyle w:val="32"/>
          <w:rFonts w:ascii="Times New Roman" w:hAnsi="Times New Roman" w:cs="Times New Roman"/>
          <w:color w:val="auto"/>
          <w:highlight w:val="none"/>
        </w:rPr>
        <w:t>总价子目的计量</w:t>
      </w:r>
    </w:p>
    <w:p w14:paraId="50CE872C">
      <w:pPr>
        <w:pStyle w:val="97"/>
        <w:pageBreakBefore w:val="0"/>
        <w:kinsoku/>
        <w:wordWrap/>
        <w:overflowPunct/>
        <w:topLinePunct w:val="0"/>
        <w:autoSpaceDE/>
        <w:autoSpaceDN/>
        <w:bidi w:val="0"/>
        <w:adjustRightInd/>
        <w:snapToGrid/>
        <w:spacing w:line="36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总价子目的分解和计量按照下述约定进行。</w:t>
      </w:r>
    </w:p>
    <w:p w14:paraId="5A191B35">
      <w:pPr>
        <w:pStyle w:val="97"/>
        <w:pageBreakBefore w:val="0"/>
        <w:numPr>
          <w:ilvl w:val="0"/>
          <w:numId w:val="21"/>
        </w:numPr>
        <w:tabs>
          <w:tab w:val="left" w:pos="899"/>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13" w:name="bookmark1343"/>
      <w:bookmarkEnd w:id="913"/>
      <w:r>
        <w:rPr>
          <w:rStyle w:val="32"/>
          <w:rFonts w:ascii="Times New Roman" w:hAnsi="Times New Roman" w:cs="Times New Roman"/>
          <w:color w:val="auto"/>
          <w:highlight w:val="none"/>
        </w:rPr>
        <w:t>总价子目的计量和支付应以总价为基础，不因第</w:t>
      </w:r>
      <w:r>
        <w:rPr>
          <w:rStyle w:val="32"/>
          <w:rFonts w:ascii="Times New Roman" w:hAnsi="Times New Roman" w:eastAsia="Times New Roman" w:cs="Times New Roman"/>
          <w:color w:val="auto"/>
          <w:highlight w:val="none"/>
          <w:lang w:val="en-US" w:bidi="en-US"/>
        </w:rPr>
        <w:t>16.1</w:t>
      </w:r>
      <w:r>
        <w:rPr>
          <w:rStyle w:val="32"/>
          <w:rFonts w:ascii="Times New Roman" w:hAnsi="Times New Roman" w:cs="Times New Roman"/>
          <w:color w:val="auto"/>
          <w:highlight w:val="none"/>
        </w:rPr>
        <w:t>款中的因素而进行调整。承包人实际完成的工程量，是进行工程目标管理和控制进度支付的依据。</w:t>
      </w:r>
    </w:p>
    <w:p w14:paraId="5EADFF27">
      <w:pPr>
        <w:pStyle w:val="97"/>
        <w:pageBreakBefore w:val="0"/>
        <w:numPr>
          <w:ilvl w:val="0"/>
          <w:numId w:val="21"/>
        </w:numPr>
        <w:tabs>
          <w:tab w:val="left" w:pos="899"/>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14" w:name="bookmark1344"/>
      <w:bookmarkEnd w:id="914"/>
      <w:r>
        <w:rPr>
          <w:rStyle w:val="32"/>
          <w:rFonts w:ascii="Times New Roman" w:hAnsi="Times New Roman" w:cs="Times New Roman"/>
          <w:color w:val="auto"/>
          <w:highlight w:val="none"/>
        </w:rPr>
        <w:t>承包人应按工程量清单的要求对总价子目进行分解，并在签订协议书后的</w:t>
      </w:r>
      <w:r>
        <w:rPr>
          <w:rStyle w:val="32"/>
          <w:rFonts w:ascii="Times New Roman" w:hAnsi="Times New Roman" w:eastAsia="Times New Roman" w:cs="Times New Roman"/>
          <w:color w:val="auto"/>
          <w:highlight w:val="none"/>
        </w:rPr>
        <w:t>28</w:t>
      </w:r>
      <w:r>
        <w:rPr>
          <w:rStyle w:val="32"/>
          <w:rFonts w:ascii="Times New Roman" w:hAnsi="Times New Roman" w:cs="Times New Roman"/>
          <w:color w:val="auto"/>
          <w:highlight w:val="none"/>
        </w:rPr>
        <w:t>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501F8FEF">
      <w:pPr>
        <w:pStyle w:val="97"/>
        <w:pageBreakBefore w:val="0"/>
        <w:numPr>
          <w:ilvl w:val="0"/>
          <w:numId w:val="21"/>
        </w:numPr>
        <w:tabs>
          <w:tab w:val="left" w:pos="899"/>
        </w:tabs>
        <w:kinsoku/>
        <w:wordWrap/>
        <w:overflowPunct/>
        <w:topLinePunct w:val="0"/>
        <w:autoSpaceDE/>
        <w:autoSpaceDN/>
        <w:bidi w:val="0"/>
        <w:adjustRightInd/>
        <w:snapToGrid/>
        <w:spacing w:line="360" w:lineRule="exact"/>
        <w:ind w:firstLine="440"/>
        <w:jc w:val="both"/>
        <w:textAlignment w:val="auto"/>
        <w:outlineLvl w:val="9"/>
        <w:rPr>
          <w:rStyle w:val="32"/>
          <w:rFonts w:ascii="Times New Roman" w:hAnsi="Times New Roman" w:cs="Times New Roman"/>
          <w:color w:val="auto"/>
          <w:highlight w:val="none"/>
        </w:rPr>
      </w:pPr>
      <w:bookmarkStart w:id="915" w:name="bookmark1345"/>
      <w:bookmarkEnd w:id="915"/>
      <w:r>
        <w:rPr>
          <w:rStyle w:val="32"/>
          <w:rFonts w:ascii="Times New Roman" w:hAnsi="Times New Roman" w:cs="Times New Roman"/>
          <w:color w:val="auto"/>
          <w:highlight w:val="none"/>
        </w:rPr>
        <w:t>监理人对承包人提交的上述资料进行复核，以确定分阶段实际完成的工程量和工程形象目标。对其有异议的，可要求承包人按第</w:t>
      </w:r>
      <w:r>
        <w:rPr>
          <w:rStyle w:val="32"/>
          <w:rFonts w:ascii="Times New Roman" w:hAnsi="Times New Roman" w:eastAsia="Times New Roman" w:cs="Times New Roman"/>
          <w:color w:val="auto"/>
          <w:highlight w:val="none"/>
          <w:lang w:val="en-US" w:bidi="en-US"/>
        </w:rPr>
        <w:t xml:space="preserve">8. </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款约定进行共同复核和抽样复测。</w:t>
      </w:r>
    </w:p>
    <w:p w14:paraId="7360F7AB">
      <w:pPr>
        <w:pStyle w:val="97"/>
        <w:pageBreakBefore w:val="0"/>
        <w:numPr>
          <w:ilvl w:val="0"/>
          <w:numId w:val="21"/>
        </w:numPr>
        <w:tabs>
          <w:tab w:val="left" w:pos="899"/>
        </w:tabs>
        <w:kinsoku/>
        <w:wordWrap/>
        <w:overflowPunct/>
        <w:topLinePunct w:val="0"/>
        <w:autoSpaceDE/>
        <w:autoSpaceDN/>
        <w:bidi w:val="0"/>
        <w:adjustRightInd/>
        <w:snapToGrid/>
        <w:spacing w:after="140" w:line="360" w:lineRule="exact"/>
        <w:ind w:firstLine="440"/>
        <w:jc w:val="both"/>
        <w:textAlignment w:val="auto"/>
        <w:outlineLvl w:val="9"/>
        <w:rPr>
          <w:rStyle w:val="32"/>
          <w:rFonts w:ascii="Times New Roman" w:hAnsi="Times New Roman" w:cs="Times New Roman"/>
          <w:color w:val="auto"/>
          <w:highlight w:val="none"/>
        </w:rPr>
      </w:pPr>
      <w:bookmarkStart w:id="916" w:name="bookmark1346"/>
      <w:bookmarkEnd w:id="916"/>
      <w:r>
        <w:rPr>
          <w:rStyle w:val="32"/>
          <w:rFonts w:ascii="Times New Roman" w:hAnsi="Times New Roman" w:cs="Times New Roman"/>
          <w:color w:val="auto"/>
          <w:highlight w:val="none"/>
        </w:rPr>
        <w:t>除按照第</w:t>
      </w:r>
      <w:r>
        <w:rPr>
          <w:rStyle w:val="32"/>
          <w:rFonts w:ascii="Times New Roman" w:hAnsi="Times New Roman" w:eastAsia="Times New Roman" w:cs="Times New Roman"/>
          <w:color w:val="auto"/>
          <w:highlight w:val="none"/>
        </w:rPr>
        <w:t>15</w:t>
      </w:r>
      <w:r>
        <w:rPr>
          <w:rStyle w:val="32"/>
          <w:rFonts w:ascii="Times New Roman" w:hAnsi="Times New Roman" w:cs="Times New Roman"/>
          <w:color w:val="auto"/>
          <w:highlight w:val="none"/>
        </w:rPr>
        <w:t>条约定的变更外，总价子目的工程量是承包人用于结算的最终工程量。</w:t>
      </w:r>
    </w:p>
    <w:p w14:paraId="346277E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17" w:name="_Toc16419"/>
      <w:bookmarkStart w:id="918" w:name="_Toc1366"/>
      <w:bookmarkStart w:id="919" w:name="bookmark1349"/>
      <w:bookmarkStart w:id="920" w:name="_Toc256000123"/>
      <w:bookmarkStart w:id="921" w:name="bookmark1347"/>
      <w:bookmarkStart w:id="922" w:name="bookmark1348"/>
      <w:r>
        <w:rPr>
          <w:rStyle w:val="32"/>
          <w:rFonts w:ascii="宋体" w:hAnsi="宋体" w:cs="Times New Roman"/>
          <w:color w:val="auto"/>
          <w:sz w:val="24"/>
          <w:szCs w:val="24"/>
          <w:highlight w:val="none"/>
          <w:lang w:eastAsia="zh-CN"/>
        </w:rPr>
        <w:t>17.2预付款</w:t>
      </w:r>
      <w:bookmarkEnd w:id="917"/>
      <w:bookmarkEnd w:id="918"/>
      <w:bookmarkEnd w:id="919"/>
      <w:bookmarkEnd w:id="920"/>
      <w:bookmarkEnd w:id="921"/>
      <w:bookmarkEnd w:id="922"/>
    </w:p>
    <w:p w14:paraId="10051C50">
      <w:pPr>
        <w:pStyle w:val="98"/>
        <w:pageBreakBefore w:val="0"/>
        <w:kinsoku/>
        <w:wordWrap/>
        <w:overflowPunct/>
        <w:topLinePunct w:val="0"/>
        <w:autoSpaceDE/>
        <w:autoSpaceDN/>
        <w:bidi w:val="0"/>
        <w:adjustRightInd/>
        <w:snapToGrid/>
        <w:spacing w:after="0" w:line="394" w:lineRule="auto"/>
        <w:ind w:firstLine="440"/>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17.2.1</w:t>
      </w:r>
      <w:r>
        <w:rPr>
          <w:rStyle w:val="32"/>
          <w:rFonts w:ascii="宋体" w:hAnsi="宋体" w:cs="宋体"/>
          <w:color w:val="auto"/>
          <w:highlight w:val="none"/>
          <w:lang w:val="zh-CN" w:eastAsia="zh-CN" w:bidi="zh-CN"/>
        </w:rPr>
        <w:t>预付款</w:t>
      </w:r>
    </w:p>
    <w:p w14:paraId="01900E5A">
      <w:pPr>
        <w:pStyle w:val="97"/>
        <w:pageBreakBefore w:val="0"/>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r>
        <w:rPr>
          <w:rStyle w:val="32"/>
          <w:color w:val="auto"/>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38862DBD">
      <w:pPr>
        <w:pStyle w:val="97"/>
        <w:pageBreakBefore w:val="0"/>
        <w:kinsoku/>
        <w:wordWrap/>
        <w:overflowPunct/>
        <w:topLinePunct w:val="0"/>
        <w:autoSpaceDE/>
        <w:autoSpaceDN/>
        <w:bidi w:val="0"/>
        <w:adjustRightInd/>
        <w:snapToGrid/>
        <w:spacing w:line="35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eastAsia="en-US" w:bidi="en-US"/>
        </w:rPr>
        <w:t>17.2.2</w:t>
      </w:r>
      <w:r>
        <w:rPr>
          <w:rStyle w:val="32"/>
          <w:color w:val="auto"/>
          <w:highlight w:val="none"/>
        </w:rPr>
        <w:t>预付款保函(担保)</w:t>
      </w:r>
    </w:p>
    <w:p w14:paraId="6FE29710">
      <w:pPr>
        <w:pStyle w:val="97"/>
        <w:pageBreakBefore w:val="0"/>
        <w:numPr>
          <w:ilvl w:val="0"/>
          <w:numId w:val="22"/>
        </w:numPr>
        <w:tabs>
          <w:tab w:val="left" w:pos="899"/>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923" w:name="bookmark1350"/>
      <w:bookmarkEnd w:id="923"/>
      <w:r>
        <w:rPr>
          <w:rStyle w:val="32"/>
          <w:color w:val="auto"/>
          <w:highlight w:val="none"/>
        </w:rPr>
        <w:t>承包人应在收到第一次工程预付款的同时向发包人提交工程预付款担保，担保金额应与第一次工程预付款金额相同，工程预付款担保在第一次工程预付款被发包人扣回前一直有效。</w:t>
      </w:r>
    </w:p>
    <w:p w14:paraId="5A6B82CC">
      <w:pPr>
        <w:pStyle w:val="97"/>
        <w:pageBreakBefore w:val="0"/>
        <w:numPr>
          <w:ilvl w:val="0"/>
          <w:numId w:val="22"/>
        </w:numPr>
        <w:tabs>
          <w:tab w:val="left" w:pos="903"/>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924" w:name="bookmark1351"/>
      <w:bookmarkEnd w:id="924"/>
      <w:r>
        <w:rPr>
          <w:rStyle w:val="32"/>
          <w:color w:val="auto"/>
          <w:highlight w:val="none"/>
        </w:rPr>
        <w:t>工程材料预付款的担保在专用合同条款中约定。</w:t>
      </w:r>
    </w:p>
    <w:p w14:paraId="5000C3D2">
      <w:pPr>
        <w:pStyle w:val="97"/>
        <w:pageBreakBefore w:val="0"/>
        <w:numPr>
          <w:ilvl w:val="0"/>
          <w:numId w:val="22"/>
        </w:numPr>
        <w:tabs>
          <w:tab w:val="left" w:pos="883"/>
        </w:tabs>
        <w:kinsoku/>
        <w:wordWrap/>
        <w:overflowPunct/>
        <w:topLinePunct w:val="0"/>
        <w:autoSpaceDE/>
        <w:autoSpaceDN/>
        <w:bidi w:val="0"/>
        <w:adjustRightInd/>
        <w:snapToGrid/>
        <w:spacing w:line="352" w:lineRule="exact"/>
        <w:ind w:firstLine="420"/>
        <w:textAlignment w:val="auto"/>
        <w:outlineLvl w:val="9"/>
        <w:rPr>
          <w:rStyle w:val="32"/>
          <w:color w:val="auto"/>
          <w:highlight w:val="none"/>
        </w:rPr>
      </w:pPr>
      <w:bookmarkStart w:id="925" w:name="bookmark1352"/>
      <w:bookmarkEnd w:id="925"/>
      <w:r>
        <w:rPr>
          <w:rStyle w:val="32"/>
          <w:color w:val="auto"/>
          <w:highlight w:val="none"/>
        </w:rPr>
        <w:t>预付款担保的担保金额可根据预付款扣回的金额相应递减。</w:t>
      </w:r>
    </w:p>
    <w:p w14:paraId="1FA21816">
      <w:pPr>
        <w:pStyle w:val="97"/>
        <w:pageBreakBefore w:val="0"/>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17.2.3</w:t>
      </w:r>
      <w:r>
        <w:rPr>
          <w:rStyle w:val="32"/>
          <w:color w:val="auto"/>
          <w:highlight w:val="none"/>
        </w:rPr>
        <w:t>预付款的扣回与还清</w:t>
      </w:r>
    </w:p>
    <w:p w14:paraId="0B3A9561">
      <w:pPr>
        <w:pStyle w:val="97"/>
        <w:pageBreakBefore w:val="0"/>
        <w:kinsoku/>
        <w:wordWrap/>
        <w:overflowPunct/>
        <w:topLinePunct w:val="0"/>
        <w:autoSpaceDE/>
        <w:autoSpaceDN/>
        <w:bidi w:val="0"/>
        <w:adjustRightInd/>
        <w:snapToGrid/>
        <w:spacing w:after="240" w:line="352" w:lineRule="exact"/>
        <w:ind w:firstLine="440"/>
        <w:jc w:val="both"/>
        <w:textAlignment w:val="auto"/>
        <w:outlineLvl w:val="9"/>
        <w:rPr>
          <w:rStyle w:val="32"/>
          <w:color w:val="auto"/>
          <w:highlight w:val="none"/>
        </w:rPr>
      </w:pPr>
      <w:r>
        <w:rPr>
          <w:rStyle w:val="32"/>
          <w:color w:val="auto"/>
          <w:highlight w:val="none"/>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77400A1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26" w:name="bookmark1353"/>
      <w:bookmarkStart w:id="927" w:name="bookmark1354"/>
      <w:bookmarkStart w:id="928" w:name="bookmark1355"/>
      <w:bookmarkStart w:id="929" w:name="_Toc256000124"/>
      <w:bookmarkStart w:id="930" w:name="_Toc13772"/>
      <w:bookmarkStart w:id="931" w:name="_Toc2053"/>
      <w:r>
        <w:rPr>
          <w:rStyle w:val="32"/>
          <w:rFonts w:ascii="宋体" w:hAnsi="宋体" w:cs="Times New Roman"/>
          <w:color w:val="auto"/>
          <w:sz w:val="24"/>
          <w:szCs w:val="24"/>
          <w:highlight w:val="none"/>
          <w:lang w:eastAsia="zh-CN"/>
        </w:rPr>
        <w:t>17.3工程进度付款</w:t>
      </w:r>
      <w:bookmarkEnd w:id="926"/>
      <w:bookmarkEnd w:id="927"/>
      <w:bookmarkEnd w:id="928"/>
      <w:bookmarkEnd w:id="929"/>
      <w:bookmarkEnd w:id="930"/>
      <w:bookmarkEnd w:id="931"/>
    </w:p>
    <w:p w14:paraId="6CBCE0E1">
      <w:pPr>
        <w:pStyle w:val="98"/>
        <w:pageBreakBefore w:val="0"/>
        <w:kinsoku/>
        <w:wordWrap/>
        <w:overflowPunct/>
        <w:topLinePunct w:val="0"/>
        <w:autoSpaceDE/>
        <w:autoSpaceDN/>
        <w:bidi w:val="0"/>
        <w:adjustRightInd/>
        <w:snapToGrid/>
        <w:spacing w:after="0" w:line="377" w:lineRule="auto"/>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17.3.1</w:t>
      </w:r>
      <w:r>
        <w:rPr>
          <w:rStyle w:val="32"/>
          <w:rFonts w:ascii="宋体" w:hAnsi="宋体" w:cs="宋体"/>
          <w:color w:val="auto"/>
          <w:highlight w:val="none"/>
          <w:lang w:val="zh-CN" w:eastAsia="zh-CN" w:bidi="zh-CN"/>
        </w:rPr>
        <w:t>付款周期</w:t>
      </w:r>
    </w:p>
    <w:p w14:paraId="652A8559">
      <w:pPr>
        <w:pStyle w:val="97"/>
        <w:pageBreakBefore w:val="0"/>
        <w:kinsoku/>
        <w:wordWrap/>
        <w:overflowPunct/>
        <w:topLinePunct w:val="0"/>
        <w:autoSpaceDE/>
        <w:autoSpaceDN/>
        <w:bidi w:val="0"/>
        <w:adjustRightInd/>
        <w:snapToGrid/>
        <w:spacing w:line="240" w:lineRule="auto"/>
        <w:ind w:firstLine="420"/>
        <w:textAlignment w:val="auto"/>
        <w:outlineLvl w:val="9"/>
        <w:rPr>
          <w:rStyle w:val="32"/>
          <w:color w:val="auto"/>
          <w:highlight w:val="none"/>
        </w:rPr>
      </w:pPr>
      <w:r>
        <w:rPr>
          <w:rStyle w:val="32"/>
          <w:color w:val="auto"/>
          <w:highlight w:val="none"/>
        </w:rPr>
        <w:t>付款周期同计量周期。</w:t>
      </w:r>
    </w:p>
    <w:p w14:paraId="3110BF24">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17.3.2</w:t>
      </w:r>
      <w:r>
        <w:rPr>
          <w:rStyle w:val="32"/>
          <w:color w:val="auto"/>
          <w:highlight w:val="none"/>
        </w:rPr>
        <w:t>进度付款申请单</w:t>
      </w:r>
    </w:p>
    <w:p w14:paraId="5B7D8B7E">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color w:val="auto"/>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7DA92A84">
      <w:pPr>
        <w:pStyle w:val="97"/>
        <w:pageBreakBefore w:val="0"/>
        <w:numPr>
          <w:ilvl w:val="0"/>
          <w:numId w:val="23"/>
        </w:numPr>
        <w:tabs>
          <w:tab w:val="left" w:pos="903"/>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932" w:name="bookmark1356"/>
      <w:bookmarkEnd w:id="932"/>
      <w:r>
        <w:rPr>
          <w:rStyle w:val="32"/>
          <w:color w:val="auto"/>
          <w:highlight w:val="none"/>
        </w:rPr>
        <w:t>截至本次付款周期末已实施工程的价款；</w:t>
      </w:r>
    </w:p>
    <w:p w14:paraId="5D343DB2">
      <w:pPr>
        <w:pStyle w:val="97"/>
        <w:pageBreakBefore w:val="0"/>
        <w:numPr>
          <w:ilvl w:val="0"/>
          <w:numId w:val="23"/>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933" w:name="bookmark1357"/>
      <w:bookmarkEnd w:id="933"/>
      <w:r>
        <w:rPr>
          <w:rStyle w:val="32"/>
          <w:color w:val="auto"/>
          <w:highlight w:val="none"/>
        </w:rPr>
        <w:t>根据第</w:t>
      </w:r>
      <w:r>
        <w:rPr>
          <w:rStyle w:val="32"/>
          <w:rFonts w:ascii="Times New Roman" w:hAnsi="Times New Roman" w:eastAsia="Times New Roman" w:cs="Times New Roman"/>
          <w:color w:val="auto"/>
          <w:highlight w:val="none"/>
        </w:rPr>
        <w:t>15</w:t>
      </w:r>
      <w:r>
        <w:rPr>
          <w:rStyle w:val="32"/>
          <w:color w:val="auto"/>
          <w:highlight w:val="none"/>
        </w:rPr>
        <w:t>条应增加和扣减的变更金额；</w:t>
      </w:r>
    </w:p>
    <w:p w14:paraId="7FE79272">
      <w:pPr>
        <w:pStyle w:val="97"/>
        <w:pageBreakBefore w:val="0"/>
        <w:numPr>
          <w:ilvl w:val="0"/>
          <w:numId w:val="23"/>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934" w:name="bookmark1358"/>
      <w:bookmarkEnd w:id="934"/>
      <w:r>
        <w:rPr>
          <w:rStyle w:val="32"/>
          <w:color w:val="auto"/>
          <w:highlight w:val="none"/>
        </w:rPr>
        <w:t>根据第</w:t>
      </w:r>
      <w:r>
        <w:rPr>
          <w:rStyle w:val="32"/>
          <w:rFonts w:ascii="Times New Roman" w:hAnsi="Times New Roman" w:eastAsia="Times New Roman" w:cs="Times New Roman"/>
          <w:color w:val="auto"/>
          <w:highlight w:val="none"/>
        </w:rPr>
        <w:t>23</w:t>
      </w:r>
      <w:r>
        <w:rPr>
          <w:rStyle w:val="32"/>
          <w:color w:val="auto"/>
          <w:highlight w:val="none"/>
        </w:rPr>
        <w:t>条应增加和扣减的索赔金额；</w:t>
      </w:r>
    </w:p>
    <w:p w14:paraId="65DE387C">
      <w:pPr>
        <w:pStyle w:val="97"/>
        <w:pageBreakBefore w:val="0"/>
        <w:numPr>
          <w:ilvl w:val="0"/>
          <w:numId w:val="23"/>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935" w:name="bookmark1359"/>
      <w:bookmarkEnd w:id="935"/>
      <w:r>
        <w:rPr>
          <w:rStyle w:val="32"/>
          <w:color w:val="auto"/>
          <w:highlight w:val="none"/>
        </w:rPr>
        <w:t>根据第</w:t>
      </w:r>
      <w:r>
        <w:rPr>
          <w:rStyle w:val="32"/>
          <w:rFonts w:ascii="Times New Roman" w:hAnsi="Times New Roman" w:eastAsia="Times New Roman" w:cs="Times New Roman"/>
          <w:color w:val="auto"/>
          <w:highlight w:val="none"/>
          <w:lang w:val="en-US" w:bidi="en-US"/>
        </w:rPr>
        <w:t xml:space="preserve">17. </w:t>
      </w:r>
      <w:r>
        <w:rPr>
          <w:rStyle w:val="32"/>
          <w:rFonts w:ascii="Times New Roman" w:hAnsi="Times New Roman" w:eastAsia="Times New Roman" w:cs="Times New Roman"/>
          <w:color w:val="auto"/>
          <w:highlight w:val="none"/>
        </w:rPr>
        <w:t>2</w:t>
      </w:r>
      <w:r>
        <w:rPr>
          <w:rStyle w:val="32"/>
          <w:color w:val="auto"/>
          <w:highlight w:val="none"/>
        </w:rPr>
        <w:t>款约定应支付的预付款和扣减的返还预付款；</w:t>
      </w:r>
    </w:p>
    <w:p w14:paraId="1C1B7D84">
      <w:pPr>
        <w:pStyle w:val="97"/>
        <w:pageBreakBefore w:val="0"/>
        <w:numPr>
          <w:ilvl w:val="0"/>
          <w:numId w:val="23"/>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936" w:name="bookmark1360"/>
      <w:bookmarkEnd w:id="936"/>
      <w:r>
        <w:rPr>
          <w:rStyle w:val="32"/>
          <w:color w:val="auto"/>
          <w:highlight w:val="none"/>
        </w:rPr>
        <w:t>根据第</w:t>
      </w:r>
      <w:r>
        <w:rPr>
          <w:rStyle w:val="32"/>
          <w:rFonts w:ascii="Times New Roman" w:hAnsi="Times New Roman" w:eastAsia="Times New Roman" w:cs="Times New Roman"/>
          <w:color w:val="auto"/>
          <w:highlight w:val="none"/>
          <w:lang w:val="en-US" w:bidi="en-US"/>
        </w:rPr>
        <w:t xml:space="preserve">17.4. </w:t>
      </w:r>
      <w:r>
        <w:rPr>
          <w:rStyle w:val="32"/>
          <w:rFonts w:ascii="Times New Roman" w:hAnsi="Times New Roman" w:eastAsia="Times New Roman" w:cs="Times New Roman"/>
          <w:color w:val="auto"/>
          <w:highlight w:val="none"/>
        </w:rPr>
        <w:t>1</w:t>
      </w:r>
      <w:r>
        <w:rPr>
          <w:rStyle w:val="32"/>
          <w:color w:val="auto"/>
          <w:highlight w:val="none"/>
        </w:rPr>
        <w:t>项约定应扣减的质量保证金；</w:t>
      </w:r>
    </w:p>
    <w:p w14:paraId="25DF341D">
      <w:pPr>
        <w:pStyle w:val="97"/>
        <w:pageBreakBefore w:val="0"/>
        <w:numPr>
          <w:ilvl w:val="0"/>
          <w:numId w:val="23"/>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937" w:name="bookmark1361"/>
      <w:bookmarkEnd w:id="937"/>
      <w:r>
        <w:rPr>
          <w:rStyle w:val="32"/>
          <w:color w:val="auto"/>
          <w:highlight w:val="none"/>
        </w:rPr>
        <w:t>根据合同应增加和扣减的其他金额。</w:t>
      </w:r>
    </w:p>
    <w:p w14:paraId="670811B1">
      <w:pPr>
        <w:pStyle w:val="97"/>
        <w:pageBreakBefore w:val="0"/>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17.3.3</w:t>
      </w:r>
      <w:r>
        <w:rPr>
          <w:rStyle w:val="32"/>
          <w:color w:val="auto"/>
          <w:highlight w:val="none"/>
        </w:rPr>
        <w:t>进度付款证书和支付时间</w:t>
      </w:r>
    </w:p>
    <w:p w14:paraId="57F30809">
      <w:pPr>
        <w:pStyle w:val="97"/>
        <w:pageBreakBefore w:val="0"/>
        <w:numPr>
          <w:ilvl w:val="0"/>
          <w:numId w:val="24"/>
        </w:numPr>
        <w:tabs>
          <w:tab w:val="left" w:pos="920"/>
        </w:tabs>
        <w:kinsoku/>
        <w:wordWrap/>
        <w:overflowPunct/>
        <w:topLinePunct w:val="0"/>
        <w:autoSpaceDE/>
        <w:autoSpaceDN/>
        <w:bidi w:val="0"/>
        <w:adjustRightInd/>
        <w:snapToGrid/>
        <w:spacing w:line="358" w:lineRule="exact"/>
        <w:ind w:firstLine="440"/>
        <w:jc w:val="both"/>
        <w:textAlignment w:val="auto"/>
        <w:outlineLvl w:val="9"/>
        <w:rPr>
          <w:rStyle w:val="32"/>
          <w:color w:val="auto"/>
          <w:highlight w:val="none"/>
        </w:rPr>
      </w:pPr>
      <w:bookmarkStart w:id="938" w:name="bookmark1362"/>
      <w:bookmarkEnd w:id="938"/>
      <w:r>
        <w:rPr>
          <w:rStyle w:val="32"/>
          <w:color w:val="auto"/>
          <w:highlight w:val="none"/>
        </w:rPr>
        <w:t>监理人在收到承包人进度付款申请单以及相应的支持性证明文件后的</w:t>
      </w:r>
      <w:r>
        <w:rPr>
          <w:rStyle w:val="32"/>
          <w:rFonts w:ascii="Times New Roman" w:hAnsi="Times New Roman" w:eastAsia="Times New Roman" w:cs="Times New Roman"/>
          <w:color w:val="auto"/>
          <w:highlight w:val="none"/>
        </w:rPr>
        <w:t>14</w:t>
      </w:r>
      <w:r>
        <w:rPr>
          <w:rStyle w:val="32"/>
          <w:color w:val="auto"/>
          <w:highlight w:val="none"/>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9E8E0A1">
      <w:pPr>
        <w:pStyle w:val="97"/>
        <w:pageBreakBefore w:val="0"/>
        <w:numPr>
          <w:ilvl w:val="0"/>
          <w:numId w:val="24"/>
        </w:numPr>
        <w:tabs>
          <w:tab w:val="left" w:pos="922"/>
        </w:tabs>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bookmarkStart w:id="939" w:name="bookmark1363"/>
      <w:bookmarkEnd w:id="939"/>
      <w:r>
        <w:rPr>
          <w:rStyle w:val="32"/>
          <w:color w:val="auto"/>
          <w:highlight w:val="none"/>
        </w:rPr>
        <w:t>发包人应在监理人收到进度付款申请单后的</w:t>
      </w:r>
      <w:r>
        <w:rPr>
          <w:rStyle w:val="32"/>
          <w:rFonts w:ascii="Times New Roman" w:hAnsi="Times New Roman" w:eastAsia="Times New Roman" w:cs="Times New Roman"/>
          <w:color w:val="auto"/>
          <w:highlight w:val="none"/>
        </w:rPr>
        <w:t>28</w:t>
      </w:r>
      <w:r>
        <w:rPr>
          <w:rStyle w:val="32"/>
          <w:color w:val="auto"/>
          <w:highlight w:val="none"/>
        </w:rPr>
        <w:t>天内，将进度应付款支付给承包人。发包人不按期支付的，按专用合同条款的约定支付逾期付款违约金。</w:t>
      </w:r>
    </w:p>
    <w:p w14:paraId="4278CB7A">
      <w:pPr>
        <w:pStyle w:val="97"/>
        <w:pageBreakBefore w:val="0"/>
        <w:numPr>
          <w:ilvl w:val="0"/>
          <w:numId w:val="24"/>
        </w:numPr>
        <w:tabs>
          <w:tab w:val="left" w:pos="922"/>
        </w:tabs>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bookmarkStart w:id="940" w:name="bookmark1364"/>
      <w:bookmarkEnd w:id="940"/>
      <w:r>
        <w:rPr>
          <w:rStyle w:val="32"/>
          <w:color w:val="auto"/>
          <w:highlight w:val="none"/>
        </w:rPr>
        <w:t>监理人出具进度付款证书，不应视为监理人已同意、批准或接受了承包人完成的该部分工作。</w:t>
      </w:r>
    </w:p>
    <w:p w14:paraId="44D8E55C">
      <w:pPr>
        <w:pStyle w:val="97"/>
        <w:pageBreakBefore w:val="0"/>
        <w:numPr>
          <w:ilvl w:val="0"/>
          <w:numId w:val="24"/>
        </w:numPr>
        <w:tabs>
          <w:tab w:val="left" w:pos="918"/>
        </w:tabs>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bookmarkStart w:id="941" w:name="bookmark1365"/>
      <w:bookmarkEnd w:id="941"/>
      <w:r>
        <w:rPr>
          <w:rStyle w:val="32"/>
          <w:color w:val="auto"/>
          <w:highlight w:val="none"/>
        </w:rPr>
        <w:t>进度付款涉及政府投资资金的，按照国库集中支付等国家相关规定和专用合同条款的约定办理。</w:t>
      </w:r>
    </w:p>
    <w:p w14:paraId="16783489">
      <w:pPr>
        <w:pStyle w:val="97"/>
        <w:pageBreakBefore w:val="0"/>
        <w:kinsoku/>
        <w:wordWrap/>
        <w:overflowPunct/>
        <w:topLinePunct w:val="0"/>
        <w:autoSpaceDE/>
        <w:autoSpaceDN/>
        <w:bidi w:val="0"/>
        <w:adjustRightInd/>
        <w:snapToGrid/>
        <w:spacing w:line="361"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17.3.4</w:t>
      </w:r>
      <w:r>
        <w:rPr>
          <w:rStyle w:val="32"/>
          <w:color w:val="auto"/>
          <w:highlight w:val="none"/>
        </w:rPr>
        <w:t>工程进度付款的修正</w:t>
      </w:r>
    </w:p>
    <w:p w14:paraId="4804D907">
      <w:pPr>
        <w:pStyle w:val="97"/>
        <w:pageBreakBefore w:val="0"/>
        <w:kinsoku/>
        <w:wordWrap/>
        <w:overflowPunct/>
        <w:topLinePunct w:val="0"/>
        <w:autoSpaceDE/>
        <w:autoSpaceDN/>
        <w:bidi w:val="0"/>
        <w:adjustRightInd/>
        <w:snapToGrid/>
        <w:spacing w:after="120" w:line="361" w:lineRule="exact"/>
        <w:ind w:firstLine="440"/>
        <w:jc w:val="both"/>
        <w:textAlignment w:val="auto"/>
        <w:outlineLvl w:val="9"/>
        <w:rPr>
          <w:rStyle w:val="32"/>
          <w:color w:val="auto"/>
          <w:highlight w:val="none"/>
        </w:rPr>
      </w:pPr>
      <w:r>
        <w:rPr>
          <w:rStyle w:val="32"/>
          <w:color w:val="auto"/>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0276994E">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42" w:name="_Toc27343"/>
      <w:bookmarkStart w:id="943" w:name="bookmark1367"/>
      <w:bookmarkStart w:id="944" w:name="bookmark1366"/>
      <w:bookmarkStart w:id="945" w:name="bookmark1368"/>
      <w:bookmarkStart w:id="946" w:name="_Toc24179"/>
      <w:bookmarkStart w:id="947" w:name="_Toc256000125"/>
      <w:r>
        <w:rPr>
          <w:rStyle w:val="32"/>
          <w:rFonts w:ascii="宋体" w:hAnsi="宋体" w:cs="Times New Roman"/>
          <w:color w:val="auto"/>
          <w:sz w:val="24"/>
          <w:szCs w:val="24"/>
          <w:highlight w:val="none"/>
          <w:lang w:eastAsia="zh-CN"/>
        </w:rPr>
        <w:t>17.4质量保证金</w:t>
      </w:r>
      <w:bookmarkEnd w:id="942"/>
      <w:bookmarkEnd w:id="943"/>
      <w:bookmarkEnd w:id="944"/>
      <w:bookmarkEnd w:id="945"/>
      <w:bookmarkEnd w:id="946"/>
      <w:bookmarkEnd w:id="947"/>
    </w:p>
    <w:p w14:paraId="70D85777">
      <w:pPr>
        <w:pStyle w:val="97"/>
        <w:pageBreakBefore w:val="0"/>
        <w:kinsoku/>
        <w:wordWrap/>
        <w:overflowPunct/>
        <w:topLinePunct w:val="0"/>
        <w:autoSpaceDE/>
        <w:autoSpaceDN/>
        <w:bidi w:val="0"/>
        <w:adjustRightInd/>
        <w:snapToGrid/>
        <w:spacing w:line="36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17.4.1</w:t>
      </w:r>
      <w:r>
        <w:rPr>
          <w:rStyle w:val="32"/>
          <w:color w:val="auto"/>
          <w:highlight w:val="none"/>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6502D75A">
      <w:pPr>
        <w:pStyle w:val="97"/>
        <w:pageBreakBefore w:val="0"/>
        <w:kinsoku/>
        <w:wordWrap/>
        <w:overflowPunct/>
        <w:topLinePunct w:val="0"/>
        <w:autoSpaceDE/>
        <w:autoSpaceDN/>
        <w:bidi w:val="0"/>
        <w:adjustRightInd/>
        <w:snapToGrid/>
        <w:spacing w:line="36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17.4.2</w:t>
      </w:r>
      <w:r>
        <w:rPr>
          <w:rStyle w:val="32"/>
          <w:color w:val="auto"/>
          <w:highlight w:val="none"/>
        </w:rPr>
        <w:t>竣工验收鉴定书签署后</w:t>
      </w:r>
      <w:r>
        <w:rPr>
          <w:rStyle w:val="32"/>
          <w:rFonts w:ascii="Times New Roman" w:hAnsi="Times New Roman" w:eastAsia="Times New Roman" w:cs="Times New Roman"/>
          <w:color w:val="auto"/>
          <w:highlight w:val="none"/>
        </w:rPr>
        <w:t>14</w:t>
      </w:r>
      <w:r>
        <w:rPr>
          <w:rStyle w:val="32"/>
          <w:color w:val="auto"/>
          <w:highlight w:val="none"/>
        </w:rPr>
        <w:t>天内，发包人将质量保证金总额的一半支付给承包人。在第</w:t>
      </w:r>
      <w:r>
        <w:rPr>
          <w:rStyle w:val="32"/>
          <w:rFonts w:ascii="Times New Roman" w:hAnsi="Times New Roman" w:eastAsia="Times New Roman" w:cs="Times New Roman"/>
          <w:color w:val="auto"/>
          <w:highlight w:val="none"/>
          <w:lang w:val="en-US" w:bidi="en-US"/>
        </w:rPr>
        <w:t xml:space="preserve">1.1. 4. </w:t>
      </w:r>
      <w:r>
        <w:rPr>
          <w:rStyle w:val="32"/>
          <w:rFonts w:ascii="Times New Roman" w:hAnsi="Times New Roman" w:eastAsia="Times New Roman" w:cs="Times New Roman"/>
          <w:color w:val="auto"/>
          <w:highlight w:val="none"/>
        </w:rPr>
        <w:t>5</w:t>
      </w:r>
      <w:r>
        <w:rPr>
          <w:rStyle w:val="32"/>
          <w:color w:val="auto"/>
          <w:highlight w:val="none"/>
        </w:rPr>
        <w:t>目约定的缺陷责任期(工程质量保修期)满时，发包人将在</w:t>
      </w:r>
      <w:r>
        <w:rPr>
          <w:rStyle w:val="32"/>
          <w:rFonts w:ascii="Times New Roman" w:hAnsi="Times New Roman" w:eastAsia="Times New Roman" w:cs="Times New Roman"/>
          <w:color w:val="auto"/>
          <w:highlight w:val="none"/>
        </w:rPr>
        <w:t>30</w:t>
      </w:r>
      <w:r>
        <w:rPr>
          <w:rStyle w:val="32"/>
          <w:color w:val="auto"/>
          <w:highlight w:val="none"/>
        </w:rPr>
        <w:t>个工作日内会同承包人按照合同约定的内容核实承包人是否完成保修责任。如无异议，发包人应当在核实后将剩余的质量保证金支付给承包人。</w:t>
      </w:r>
    </w:p>
    <w:p w14:paraId="33645EE8">
      <w:pPr>
        <w:pStyle w:val="97"/>
        <w:pageBreakBefore w:val="0"/>
        <w:kinsoku/>
        <w:wordWrap/>
        <w:overflowPunct/>
        <w:topLinePunct w:val="0"/>
        <w:autoSpaceDE/>
        <w:autoSpaceDN/>
        <w:bidi w:val="0"/>
        <w:adjustRightInd/>
        <w:snapToGrid/>
        <w:spacing w:after="120" w:line="37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17.4.3</w:t>
      </w:r>
      <w:r>
        <w:rPr>
          <w:rStyle w:val="32"/>
          <w:color w:val="auto"/>
          <w:highlight w:val="none"/>
        </w:rPr>
        <w:t>在第</w:t>
      </w:r>
      <w:r>
        <w:rPr>
          <w:rStyle w:val="32"/>
          <w:rFonts w:ascii="Times New Roman" w:hAnsi="Times New Roman" w:eastAsia="Times New Roman" w:cs="Times New Roman"/>
          <w:color w:val="auto"/>
          <w:highlight w:val="none"/>
          <w:lang w:val="en-US" w:bidi="en-US"/>
        </w:rPr>
        <w:t>1.1.4.</w:t>
      </w:r>
      <w:r>
        <w:rPr>
          <w:rStyle w:val="32"/>
          <w:rFonts w:ascii="Times New Roman" w:hAnsi="Times New Roman" w:eastAsia="Times New Roman" w:cs="Times New Roman"/>
          <w:color w:val="auto"/>
          <w:highlight w:val="none"/>
        </w:rPr>
        <w:t>5</w:t>
      </w:r>
      <w:r>
        <w:rPr>
          <w:rStyle w:val="32"/>
          <w:color w:val="auto"/>
          <w:highlight w:val="none"/>
        </w:rPr>
        <w:t>目约定的缺陷责任期满时，承包人没有完成缺陷责任的，发包人有权扣留与未履行责任剩余工作所需金额相应的质量保证金余额，并有权根据第</w:t>
      </w:r>
      <w:r>
        <w:rPr>
          <w:rStyle w:val="32"/>
          <w:rFonts w:ascii="Times New Roman" w:hAnsi="Times New Roman" w:eastAsia="Times New Roman" w:cs="Times New Roman"/>
          <w:color w:val="auto"/>
          <w:highlight w:val="none"/>
          <w:lang w:val="en-US" w:bidi="en-US"/>
        </w:rPr>
        <w:t xml:space="preserve">19. </w:t>
      </w:r>
      <w:r>
        <w:rPr>
          <w:rStyle w:val="32"/>
          <w:rFonts w:ascii="Times New Roman" w:hAnsi="Times New Roman" w:eastAsia="Times New Roman" w:cs="Times New Roman"/>
          <w:color w:val="auto"/>
          <w:highlight w:val="none"/>
        </w:rPr>
        <w:t>3</w:t>
      </w:r>
      <w:r>
        <w:rPr>
          <w:rStyle w:val="32"/>
          <w:color w:val="auto"/>
          <w:highlight w:val="none"/>
        </w:rPr>
        <w:t>款约定要求延长缺陷责任期，直至完成剩余工作为止。</w:t>
      </w:r>
    </w:p>
    <w:p w14:paraId="73BAD73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48" w:name="_Toc27561"/>
      <w:bookmarkStart w:id="949" w:name="_Toc256000126"/>
      <w:bookmarkStart w:id="950" w:name="bookmark1371"/>
      <w:bookmarkStart w:id="951" w:name="bookmark1370"/>
      <w:bookmarkStart w:id="952" w:name="_Toc23362"/>
      <w:bookmarkStart w:id="953" w:name="bookmark1369"/>
      <w:r>
        <w:rPr>
          <w:rStyle w:val="32"/>
          <w:rFonts w:ascii="宋体" w:hAnsi="宋体" w:cs="Times New Roman"/>
          <w:color w:val="auto"/>
          <w:sz w:val="24"/>
          <w:szCs w:val="24"/>
          <w:highlight w:val="none"/>
          <w:lang w:eastAsia="zh-CN"/>
        </w:rPr>
        <w:t>17.5竣工结算(完工结算)</w:t>
      </w:r>
      <w:bookmarkEnd w:id="948"/>
      <w:bookmarkEnd w:id="949"/>
      <w:bookmarkEnd w:id="950"/>
      <w:bookmarkEnd w:id="951"/>
      <w:bookmarkEnd w:id="952"/>
      <w:bookmarkEnd w:id="953"/>
    </w:p>
    <w:p w14:paraId="204D694A">
      <w:pPr>
        <w:pStyle w:val="97"/>
        <w:pageBreakBefore w:val="0"/>
        <w:kinsoku/>
        <w:wordWrap/>
        <w:overflowPunct/>
        <w:topLinePunct w:val="0"/>
        <w:autoSpaceDE/>
        <w:autoSpaceDN/>
        <w:bidi w:val="0"/>
        <w:adjustRightInd/>
        <w:snapToGrid/>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17.5.1</w:t>
      </w:r>
      <w:r>
        <w:rPr>
          <w:rStyle w:val="32"/>
          <w:color w:val="auto"/>
          <w:highlight w:val="none"/>
        </w:rPr>
        <w:t>竣工(完工)付款申请单</w:t>
      </w:r>
    </w:p>
    <w:p w14:paraId="1ADC57A6">
      <w:pPr>
        <w:pStyle w:val="97"/>
        <w:pageBreakBefore w:val="0"/>
        <w:numPr>
          <w:ilvl w:val="0"/>
          <w:numId w:val="25"/>
        </w:numPr>
        <w:tabs>
          <w:tab w:val="left" w:pos="918"/>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954" w:name="bookmark1372"/>
      <w:bookmarkEnd w:id="954"/>
      <w:r>
        <w:rPr>
          <w:rStyle w:val="32"/>
          <w:color w:val="auto"/>
          <w:highlight w:val="none"/>
        </w:rPr>
        <w:t>承包人应在合同工程完工证书颁发后</w:t>
      </w:r>
      <w:r>
        <w:rPr>
          <w:rStyle w:val="32"/>
          <w:rFonts w:ascii="Times New Roman" w:hAnsi="Times New Roman" w:eastAsia="Times New Roman" w:cs="Times New Roman"/>
          <w:color w:val="auto"/>
          <w:highlight w:val="none"/>
        </w:rPr>
        <w:t>28</w:t>
      </w:r>
      <w:r>
        <w:rPr>
          <w:rStyle w:val="32"/>
          <w:color w:val="auto"/>
          <w:highlight w:val="none"/>
        </w:rPr>
        <w:t>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6FCAFFE7">
      <w:pPr>
        <w:pStyle w:val="97"/>
        <w:pageBreakBefore w:val="0"/>
        <w:numPr>
          <w:ilvl w:val="0"/>
          <w:numId w:val="25"/>
        </w:numPr>
        <w:tabs>
          <w:tab w:val="left" w:pos="916"/>
        </w:tabs>
        <w:kinsoku/>
        <w:wordWrap/>
        <w:overflowPunct/>
        <w:topLinePunct w:val="0"/>
        <w:autoSpaceDE/>
        <w:autoSpaceDN/>
        <w:bidi w:val="0"/>
        <w:adjustRightInd/>
        <w:snapToGrid/>
        <w:spacing w:after="120" w:line="352" w:lineRule="exact"/>
        <w:ind w:firstLine="440"/>
        <w:jc w:val="both"/>
        <w:textAlignment w:val="auto"/>
        <w:outlineLvl w:val="9"/>
        <w:rPr>
          <w:rStyle w:val="32"/>
          <w:color w:val="auto"/>
          <w:highlight w:val="none"/>
        </w:rPr>
      </w:pPr>
      <w:bookmarkStart w:id="955" w:name="bookmark1373"/>
      <w:bookmarkEnd w:id="955"/>
      <w:r>
        <w:rPr>
          <w:rStyle w:val="32"/>
          <w:color w:val="auto"/>
          <w:highlight w:val="none"/>
        </w:rPr>
        <w:t>监理人对完工付款申请单有异议的，有权要求承包人进行修正和提供补充资料。经监理人和承包人协商后，由承包人向监理人提交修正后的完工付款申请单。</w:t>
      </w:r>
    </w:p>
    <w:p w14:paraId="65883D24">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17.5.2</w:t>
      </w:r>
      <w:r>
        <w:rPr>
          <w:rStyle w:val="32"/>
          <w:color w:val="auto"/>
          <w:highlight w:val="none"/>
        </w:rPr>
        <w:t>竣工(完工)付款证书及支付时间</w:t>
      </w:r>
    </w:p>
    <w:p w14:paraId="73D31597">
      <w:pPr>
        <w:pStyle w:val="97"/>
        <w:pageBreakBefore w:val="0"/>
        <w:numPr>
          <w:ilvl w:val="0"/>
          <w:numId w:val="26"/>
        </w:numPr>
        <w:tabs>
          <w:tab w:val="left" w:pos="918"/>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956" w:name="bookmark1374"/>
      <w:bookmarkEnd w:id="956"/>
      <w:r>
        <w:rPr>
          <w:rStyle w:val="32"/>
          <w:color w:val="auto"/>
          <w:highlight w:val="none"/>
        </w:rPr>
        <w:t>监理人在收到承包人提交的完工付款申请单后的</w:t>
      </w:r>
      <w:r>
        <w:rPr>
          <w:rStyle w:val="32"/>
          <w:rFonts w:ascii="Times New Roman" w:hAnsi="Times New Roman" w:eastAsia="Times New Roman" w:cs="Times New Roman"/>
          <w:color w:val="auto"/>
          <w:highlight w:val="none"/>
        </w:rPr>
        <w:t>14</w:t>
      </w:r>
      <w:r>
        <w:rPr>
          <w:rStyle w:val="32"/>
          <w:color w:val="auto"/>
          <w:highlight w:val="none"/>
        </w:rPr>
        <w:t>天内完成核查，提出发包人到期应支付给承包人的价款送发包人审核并抄送承包人。发包人应在收到后</w:t>
      </w:r>
      <w:r>
        <w:rPr>
          <w:rStyle w:val="32"/>
          <w:rFonts w:ascii="Times New Roman" w:hAnsi="Times New Roman" w:eastAsia="Times New Roman" w:cs="Times New Roman"/>
          <w:color w:val="auto"/>
          <w:highlight w:val="none"/>
        </w:rPr>
        <w:t>14</w:t>
      </w:r>
      <w:r>
        <w:rPr>
          <w:rStyle w:val="32"/>
          <w:color w:val="auto"/>
          <w:highlight w:val="none"/>
        </w:rPr>
        <w:t>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为已经发包人同意。</w:t>
      </w:r>
    </w:p>
    <w:p w14:paraId="4D620F78">
      <w:pPr>
        <w:pStyle w:val="97"/>
        <w:pageBreakBefore w:val="0"/>
        <w:numPr>
          <w:ilvl w:val="0"/>
          <w:numId w:val="26"/>
        </w:numPr>
        <w:tabs>
          <w:tab w:val="left" w:pos="918"/>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957" w:name="bookmark1375"/>
      <w:bookmarkEnd w:id="957"/>
      <w:r>
        <w:rPr>
          <w:rStyle w:val="32"/>
          <w:color w:val="auto"/>
          <w:highlight w:val="none"/>
        </w:rPr>
        <w:t>发包人应在监理人出具完工付款证书后的</w:t>
      </w:r>
      <w:r>
        <w:rPr>
          <w:rStyle w:val="32"/>
          <w:rFonts w:ascii="Times New Roman" w:hAnsi="Times New Roman" w:eastAsia="Times New Roman" w:cs="Times New Roman"/>
          <w:color w:val="auto"/>
          <w:highlight w:val="none"/>
        </w:rPr>
        <w:t>14</w:t>
      </w:r>
      <w:r>
        <w:rPr>
          <w:rStyle w:val="32"/>
          <w:color w:val="auto"/>
          <w:highlight w:val="none"/>
        </w:rPr>
        <w:t>天内，将应支付款支付给承包人。发包人不按期支付的，按第</w:t>
      </w:r>
      <w:r>
        <w:rPr>
          <w:rStyle w:val="32"/>
          <w:rFonts w:ascii="Times New Roman" w:hAnsi="Times New Roman" w:eastAsia="Times New Roman" w:cs="Times New Roman"/>
          <w:color w:val="auto"/>
          <w:highlight w:val="none"/>
          <w:lang w:val="en-US" w:bidi="en-US"/>
        </w:rPr>
        <w:t xml:space="preserve">17.3.3 </w:t>
      </w:r>
      <w:r>
        <w:rPr>
          <w:rStyle w:val="32"/>
          <w:rFonts w:ascii="Times New Roman" w:hAnsi="Times New Roman" w:eastAsia="Times New Roman" w:cs="Times New Roman"/>
          <w:color w:val="auto"/>
          <w:highlight w:val="none"/>
        </w:rPr>
        <w:t>(2)</w:t>
      </w:r>
      <w:r>
        <w:rPr>
          <w:rStyle w:val="32"/>
          <w:color w:val="auto"/>
          <w:highlight w:val="none"/>
        </w:rPr>
        <w:t>目的约定，将逾期付款违约金支付给承包人。</w:t>
      </w:r>
    </w:p>
    <w:p w14:paraId="09FD4397">
      <w:pPr>
        <w:pStyle w:val="97"/>
        <w:pageBreakBefore w:val="0"/>
        <w:numPr>
          <w:ilvl w:val="0"/>
          <w:numId w:val="26"/>
        </w:numPr>
        <w:tabs>
          <w:tab w:val="left" w:pos="914"/>
        </w:tabs>
        <w:kinsoku/>
        <w:wordWrap/>
        <w:overflowPunct/>
        <w:topLinePunct w:val="0"/>
        <w:autoSpaceDE/>
        <w:autoSpaceDN/>
        <w:bidi w:val="0"/>
        <w:adjustRightInd/>
        <w:snapToGrid/>
        <w:spacing w:after="120" w:line="360" w:lineRule="exact"/>
        <w:ind w:firstLine="440"/>
        <w:jc w:val="both"/>
        <w:textAlignment w:val="auto"/>
        <w:outlineLvl w:val="9"/>
        <w:rPr>
          <w:rStyle w:val="32"/>
          <w:color w:val="auto"/>
          <w:highlight w:val="none"/>
        </w:rPr>
      </w:pPr>
      <w:bookmarkStart w:id="958" w:name="bookmark1376"/>
      <w:bookmarkEnd w:id="958"/>
      <w:r>
        <w:rPr>
          <w:rStyle w:val="32"/>
          <w:color w:val="auto"/>
          <w:highlight w:val="none"/>
        </w:rPr>
        <w:t>承包人对发包人签认的完工付款证书有异议的，发包人可出具完工付款申请单中承包人已同意部分的临时付款证书。存在争议的部分，按第</w:t>
      </w:r>
      <w:r>
        <w:rPr>
          <w:rStyle w:val="32"/>
          <w:rFonts w:ascii="Times New Roman" w:hAnsi="Times New Roman" w:eastAsia="Times New Roman" w:cs="Times New Roman"/>
          <w:color w:val="auto"/>
          <w:highlight w:val="none"/>
        </w:rPr>
        <w:t>24</w:t>
      </w:r>
      <w:r>
        <w:rPr>
          <w:rStyle w:val="32"/>
          <w:color w:val="auto"/>
          <w:highlight w:val="none"/>
        </w:rPr>
        <w:t>条的约定办理。</w:t>
      </w:r>
    </w:p>
    <w:p w14:paraId="0B8ADF82">
      <w:pPr>
        <w:pStyle w:val="97"/>
        <w:pageBreakBefore w:val="0"/>
        <w:numPr>
          <w:ilvl w:val="0"/>
          <w:numId w:val="26"/>
        </w:numPr>
        <w:tabs>
          <w:tab w:val="left" w:pos="922"/>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bookmarkStart w:id="959" w:name="bookmark1377"/>
      <w:bookmarkEnd w:id="959"/>
      <w:r>
        <w:rPr>
          <w:rStyle w:val="32"/>
          <w:color w:val="auto"/>
          <w:highlight w:val="none"/>
        </w:rPr>
        <w:t>完工付款涉及政府投资资金的，按第</w:t>
      </w:r>
      <w:r>
        <w:rPr>
          <w:rStyle w:val="32"/>
          <w:rFonts w:ascii="Times New Roman" w:hAnsi="Times New Roman" w:eastAsia="Times New Roman" w:cs="Times New Roman"/>
          <w:color w:val="auto"/>
          <w:highlight w:val="none"/>
          <w:lang w:val="en-US" w:bidi="en-US"/>
        </w:rPr>
        <w:t xml:space="preserve">17.3.3 </w:t>
      </w:r>
      <w:r>
        <w:rPr>
          <w:rStyle w:val="32"/>
          <w:rFonts w:ascii="Times New Roman" w:hAnsi="Times New Roman" w:eastAsia="Times New Roman" w:cs="Times New Roman"/>
          <w:color w:val="auto"/>
          <w:highlight w:val="none"/>
        </w:rPr>
        <w:t>(4)</w:t>
      </w:r>
      <w:r>
        <w:rPr>
          <w:rStyle w:val="32"/>
          <w:color w:val="auto"/>
          <w:highlight w:val="none"/>
        </w:rPr>
        <w:t>目的约定办理。</w:t>
      </w:r>
    </w:p>
    <w:p w14:paraId="770401F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60" w:name="bookmark1379"/>
      <w:bookmarkStart w:id="961" w:name="_Toc20149"/>
      <w:bookmarkStart w:id="962" w:name="bookmark1380"/>
      <w:bookmarkStart w:id="963" w:name="bookmark1378"/>
      <w:bookmarkStart w:id="964" w:name="_Toc12143"/>
      <w:bookmarkStart w:id="965" w:name="_Toc256000127"/>
      <w:r>
        <w:rPr>
          <w:rStyle w:val="32"/>
          <w:rFonts w:ascii="宋体" w:hAnsi="宋体" w:cs="Times New Roman"/>
          <w:color w:val="auto"/>
          <w:sz w:val="24"/>
          <w:szCs w:val="24"/>
          <w:highlight w:val="none"/>
          <w:lang w:eastAsia="zh-CN"/>
        </w:rPr>
        <w:t>17.6最终结清</w:t>
      </w:r>
      <w:bookmarkEnd w:id="960"/>
      <w:bookmarkEnd w:id="961"/>
      <w:bookmarkEnd w:id="962"/>
      <w:bookmarkEnd w:id="963"/>
      <w:bookmarkEnd w:id="964"/>
      <w:bookmarkEnd w:id="965"/>
    </w:p>
    <w:p w14:paraId="017C0FA6">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17.6.1</w:t>
      </w:r>
      <w:r>
        <w:rPr>
          <w:rStyle w:val="32"/>
          <w:color w:val="auto"/>
          <w:highlight w:val="none"/>
        </w:rPr>
        <w:t>最终结清申请单</w:t>
      </w:r>
    </w:p>
    <w:p w14:paraId="6F9EC67A">
      <w:pPr>
        <w:pStyle w:val="97"/>
        <w:pageBreakBefore w:val="0"/>
        <w:numPr>
          <w:ilvl w:val="0"/>
          <w:numId w:val="27"/>
        </w:numPr>
        <w:tabs>
          <w:tab w:val="left" w:pos="894"/>
        </w:tabs>
        <w:kinsoku/>
        <w:wordWrap/>
        <w:overflowPunct/>
        <w:topLinePunct w:val="0"/>
        <w:autoSpaceDE/>
        <w:autoSpaceDN/>
        <w:bidi w:val="0"/>
        <w:adjustRightInd/>
        <w:snapToGrid/>
        <w:spacing w:line="346" w:lineRule="exact"/>
        <w:ind w:firstLine="440"/>
        <w:jc w:val="both"/>
        <w:textAlignment w:val="auto"/>
        <w:outlineLvl w:val="9"/>
        <w:rPr>
          <w:rStyle w:val="32"/>
          <w:color w:val="auto"/>
          <w:highlight w:val="none"/>
        </w:rPr>
      </w:pPr>
      <w:bookmarkStart w:id="966" w:name="bookmark1381"/>
      <w:bookmarkEnd w:id="966"/>
      <w:r>
        <w:rPr>
          <w:rStyle w:val="32"/>
          <w:color w:val="auto"/>
          <w:highlight w:val="none"/>
        </w:rPr>
        <w:t>工程质量保修责任终止证书签发后，承包人应按监理人批准的格式提交最终结清申请单。提交最终结清申请单的份数在专用合同条款中约定。</w:t>
      </w:r>
    </w:p>
    <w:p w14:paraId="2813684E">
      <w:pPr>
        <w:pStyle w:val="97"/>
        <w:pageBreakBefore w:val="0"/>
        <w:numPr>
          <w:ilvl w:val="0"/>
          <w:numId w:val="27"/>
        </w:numPr>
        <w:tabs>
          <w:tab w:val="left" w:pos="918"/>
        </w:tabs>
        <w:kinsoku/>
        <w:wordWrap/>
        <w:overflowPunct/>
        <w:topLinePunct w:val="0"/>
        <w:autoSpaceDE/>
        <w:autoSpaceDN/>
        <w:bidi w:val="0"/>
        <w:adjustRightInd/>
        <w:snapToGrid/>
        <w:spacing w:after="120" w:line="346" w:lineRule="exact"/>
        <w:ind w:firstLine="440"/>
        <w:jc w:val="both"/>
        <w:textAlignment w:val="auto"/>
        <w:outlineLvl w:val="9"/>
        <w:rPr>
          <w:rStyle w:val="32"/>
          <w:color w:val="auto"/>
          <w:highlight w:val="none"/>
        </w:rPr>
      </w:pPr>
      <w:bookmarkStart w:id="967" w:name="bookmark1382"/>
      <w:bookmarkEnd w:id="967"/>
      <w:r>
        <w:rPr>
          <w:rStyle w:val="32"/>
          <w:color w:val="auto"/>
          <w:highlight w:val="none"/>
        </w:rPr>
        <w:t>发包人对最终结清申请单内容有异议的，有权要求承包人进行修正和提供补充资料，由承包人向监理人提交修正后的最终结清申请单。</w:t>
      </w:r>
    </w:p>
    <w:p w14:paraId="5EF60359">
      <w:pPr>
        <w:pStyle w:val="97"/>
        <w:pageBreakBefore w:val="0"/>
        <w:kinsoku/>
        <w:wordWrap/>
        <w:overflowPunct/>
        <w:topLinePunct w:val="0"/>
        <w:autoSpaceDE/>
        <w:autoSpaceDN/>
        <w:bidi w:val="0"/>
        <w:adjustRightInd/>
        <w:snapToGrid/>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17.6.2</w:t>
      </w:r>
      <w:r>
        <w:rPr>
          <w:rStyle w:val="32"/>
          <w:color w:val="auto"/>
          <w:highlight w:val="none"/>
        </w:rPr>
        <w:t>最终结清证书和支付时间</w:t>
      </w:r>
    </w:p>
    <w:p w14:paraId="1B6FFBE8">
      <w:pPr>
        <w:pStyle w:val="97"/>
        <w:pageBreakBefore w:val="0"/>
        <w:numPr>
          <w:ilvl w:val="0"/>
          <w:numId w:val="28"/>
        </w:numPr>
        <w:tabs>
          <w:tab w:val="left" w:pos="918"/>
        </w:tabs>
        <w:kinsoku/>
        <w:wordWrap/>
        <w:overflowPunct/>
        <w:topLinePunct w:val="0"/>
        <w:autoSpaceDE/>
        <w:autoSpaceDN/>
        <w:bidi w:val="0"/>
        <w:adjustRightInd/>
        <w:snapToGrid/>
        <w:spacing w:line="346" w:lineRule="exact"/>
        <w:ind w:firstLine="440"/>
        <w:jc w:val="both"/>
        <w:textAlignment w:val="auto"/>
        <w:outlineLvl w:val="9"/>
        <w:rPr>
          <w:rStyle w:val="32"/>
          <w:color w:val="auto"/>
          <w:highlight w:val="none"/>
        </w:rPr>
      </w:pPr>
      <w:bookmarkStart w:id="968" w:name="bookmark1383"/>
      <w:bookmarkEnd w:id="968"/>
      <w:r>
        <w:rPr>
          <w:rStyle w:val="32"/>
          <w:color w:val="auto"/>
          <w:highlight w:val="none"/>
        </w:rPr>
        <w:t>监理人收到承包人提交的最终结清申请单后的</w:t>
      </w:r>
      <w:r>
        <w:rPr>
          <w:rStyle w:val="32"/>
          <w:rFonts w:ascii="Times New Roman" w:hAnsi="Times New Roman" w:eastAsia="Times New Roman" w:cs="Times New Roman"/>
          <w:color w:val="auto"/>
          <w:highlight w:val="none"/>
        </w:rPr>
        <w:t>14</w:t>
      </w:r>
      <w:r>
        <w:rPr>
          <w:rStyle w:val="32"/>
          <w:color w:val="auto"/>
          <w:highlight w:val="none"/>
        </w:rPr>
        <w:t>天内，提出发包人应支付给承包人的价款送发包人审核并抄送承包人。发包人应在收到后</w:t>
      </w:r>
      <w:r>
        <w:rPr>
          <w:rStyle w:val="32"/>
          <w:rFonts w:ascii="Times New Roman" w:hAnsi="Times New Roman" w:eastAsia="Times New Roman" w:cs="Times New Roman"/>
          <w:color w:val="auto"/>
          <w:highlight w:val="none"/>
        </w:rPr>
        <w:t>14</w:t>
      </w:r>
      <w:r>
        <w:rPr>
          <w:rStyle w:val="32"/>
          <w:color w:val="auto"/>
          <w:highlight w:val="none"/>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79D91219">
      <w:pPr>
        <w:pStyle w:val="97"/>
        <w:pageBreakBefore w:val="0"/>
        <w:numPr>
          <w:ilvl w:val="0"/>
          <w:numId w:val="28"/>
        </w:numPr>
        <w:tabs>
          <w:tab w:val="left" w:pos="918"/>
        </w:tabs>
        <w:kinsoku/>
        <w:wordWrap/>
        <w:overflowPunct/>
        <w:topLinePunct w:val="0"/>
        <w:autoSpaceDE/>
        <w:autoSpaceDN/>
        <w:bidi w:val="0"/>
        <w:adjustRightInd/>
        <w:snapToGrid/>
        <w:spacing w:line="346" w:lineRule="exact"/>
        <w:ind w:firstLine="440"/>
        <w:jc w:val="both"/>
        <w:textAlignment w:val="auto"/>
        <w:outlineLvl w:val="9"/>
        <w:rPr>
          <w:rStyle w:val="32"/>
          <w:color w:val="auto"/>
          <w:highlight w:val="none"/>
        </w:rPr>
      </w:pPr>
      <w:bookmarkStart w:id="969" w:name="bookmark1384"/>
      <w:bookmarkEnd w:id="969"/>
      <w:r>
        <w:rPr>
          <w:rStyle w:val="32"/>
          <w:color w:val="auto"/>
          <w:highlight w:val="none"/>
        </w:rPr>
        <w:t>发包人应在监理人出具最终结清证书后的</w:t>
      </w:r>
      <w:r>
        <w:rPr>
          <w:rStyle w:val="32"/>
          <w:rFonts w:ascii="Times New Roman" w:hAnsi="Times New Roman" w:eastAsia="Times New Roman" w:cs="Times New Roman"/>
          <w:color w:val="auto"/>
          <w:highlight w:val="none"/>
        </w:rPr>
        <w:t>14</w:t>
      </w:r>
      <w:r>
        <w:rPr>
          <w:rStyle w:val="32"/>
          <w:color w:val="auto"/>
          <w:highlight w:val="none"/>
        </w:rPr>
        <w:t>天内，将应支付款支付给承包人。发包人不按期支付的，按第</w:t>
      </w:r>
      <w:r>
        <w:rPr>
          <w:rStyle w:val="32"/>
          <w:rFonts w:ascii="Times New Roman" w:hAnsi="Times New Roman" w:eastAsia="Times New Roman" w:cs="Times New Roman"/>
          <w:color w:val="auto"/>
          <w:highlight w:val="none"/>
          <w:lang w:val="en-US" w:bidi="en-US"/>
        </w:rPr>
        <w:t xml:space="preserve">17.3.3 </w:t>
      </w:r>
      <w:r>
        <w:rPr>
          <w:rStyle w:val="32"/>
          <w:rFonts w:ascii="Times New Roman" w:hAnsi="Times New Roman" w:eastAsia="Times New Roman" w:cs="Times New Roman"/>
          <w:color w:val="auto"/>
          <w:highlight w:val="none"/>
        </w:rPr>
        <w:t>(2)</w:t>
      </w:r>
      <w:r>
        <w:rPr>
          <w:rStyle w:val="32"/>
          <w:color w:val="auto"/>
          <w:highlight w:val="none"/>
        </w:rPr>
        <w:t>目的约定，将逾期付款违约金支付给承包人。</w:t>
      </w:r>
    </w:p>
    <w:p w14:paraId="06793423">
      <w:pPr>
        <w:pStyle w:val="97"/>
        <w:pageBreakBefore w:val="0"/>
        <w:numPr>
          <w:ilvl w:val="0"/>
          <w:numId w:val="28"/>
        </w:numPr>
        <w:tabs>
          <w:tab w:val="left" w:pos="922"/>
        </w:tabs>
        <w:kinsoku/>
        <w:wordWrap/>
        <w:overflowPunct/>
        <w:topLinePunct w:val="0"/>
        <w:autoSpaceDE/>
        <w:autoSpaceDN/>
        <w:bidi w:val="0"/>
        <w:adjustRightInd/>
        <w:snapToGrid/>
        <w:spacing w:line="346" w:lineRule="exact"/>
        <w:ind w:firstLine="440"/>
        <w:jc w:val="both"/>
        <w:textAlignment w:val="auto"/>
        <w:outlineLvl w:val="9"/>
        <w:rPr>
          <w:rStyle w:val="32"/>
          <w:color w:val="auto"/>
          <w:highlight w:val="none"/>
        </w:rPr>
      </w:pPr>
      <w:bookmarkStart w:id="970" w:name="bookmark1385"/>
      <w:bookmarkEnd w:id="970"/>
      <w:r>
        <w:rPr>
          <w:rStyle w:val="32"/>
          <w:color w:val="auto"/>
          <w:highlight w:val="none"/>
        </w:rPr>
        <w:t>承包人对发包人签认的最终结清证书有异议的，按第</w:t>
      </w:r>
      <w:r>
        <w:rPr>
          <w:rStyle w:val="32"/>
          <w:rFonts w:ascii="Times New Roman" w:hAnsi="Times New Roman" w:eastAsia="Times New Roman" w:cs="Times New Roman"/>
          <w:color w:val="auto"/>
          <w:highlight w:val="none"/>
        </w:rPr>
        <w:t>24</w:t>
      </w:r>
      <w:r>
        <w:rPr>
          <w:rStyle w:val="32"/>
          <w:color w:val="auto"/>
          <w:highlight w:val="none"/>
        </w:rPr>
        <w:t>条的约定办理。</w:t>
      </w:r>
    </w:p>
    <w:p w14:paraId="41CFDE8F">
      <w:pPr>
        <w:pStyle w:val="97"/>
        <w:pageBreakBefore w:val="0"/>
        <w:numPr>
          <w:ilvl w:val="0"/>
          <w:numId w:val="28"/>
        </w:numPr>
        <w:tabs>
          <w:tab w:val="left" w:pos="922"/>
        </w:tabs>
        <w:kinsoku/>
        <w:wordWrap/>
        <w:overflowPunct/>
        <w:topLinePunct w:val="0"/>
        <w:autoSpaceDE/>
        <w:autoSpaceDN/>
        <w:bidi w:val="0"/>
        <w:adjustRightInd/>
        <w:snapToGrid/>
        <w:spacing w:after="120" w:line="346" w:lineRule="exact"/>
        <w:ind w:firstLine="440"/>
        <w:jc w:val="both"/>
        <w:textAlignment w:val="auto"/>
        <w:outlineLvl w:val="9"/>
        <w:rPr>
          <w:rStyle w:val="32"/>
          <w:color w:val="auto"/>
          <w:highlight w:val="none"/>
        </w:rPr>
      </w:pPr>
      <w:bookmarkStart w:id="971" w:name="bookmark1386"/>
      <w:bookmarkEnd w:id="971"/>
      <w:r>
        <w:rPr>
          <w:rStyle w:val="32"/>
          <w:color w:val="auto"/>
          <w:highlight w:val="none"/>
        </w:rPr>
        <w:t>最终结清付款涉及政府投资资金的，按第</w:t>
      </w:r>
      <w:r>
        <w:rPr>
          <w:rStyle w:val="32"/>
          <w:rFonts w:ascii="Times New Roman" w:hAnsi="Times New Roman" w:eastAsia="Times New Roman" w:cs="Times New Roman"/>
          <w:color w:val="auto"/>
          <w:highlight w:val="none"/>
          <w:lang w:val="en-US" w:bidi="en-US"/>
        </w:rPr>
        <w:t xml:space="preserve">17.3.3 </w:t>
      </w:r>
      <w:r>
        <w:rPr>
          <w:rStyle w:val="32"/>
          <w:rFonts w:ascii="Times New Roman" w:hAnsi="Times New Roman" w:eastAsia="Times New Roman" w:cs="Times New Roman"/>
          <w:color w:val="auto"/>
          <w:highlight w:val="none"/>
        </w:rPr>
        <w:t>(4)</w:t>
      </w:r>
      <w:r>
        <w:rPr>
          <w:rStyle w:val="32"/>
          <w:color w:val="auto"/>
          <w:highlight w:val="none"/>
        </w:rPr>
        <w:t>目的约定办理。</w:t>
      </w:r>
    </w:p>
    <w:p w14:paraId="18363A5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72" w:name="_Toc256000128"/>
      <w:bookmarkStart w:id="973" w:name="bookmark1387"/>
      <w:bookmarkStart w:id="974" w:name="bookmark1388"/>
      <w:bookmarkStart w:id="975" w:name="bookmark1389"/>
      <w:bookmarkStart w:id="976" w:name="_Toc4347"/>
      <w:bookmarkStart w:id="977" w:name="_Toc1639"/>
      <w:r>
        <w:rPr>
          <w:rStyle w:val="32"/>
          <w:rFonts w:ascii="宋体" w:hAnsi="宋体" w:cs="Times New Roman"/>
          <w:color w:val="auto"/>
          <w:sz w:val="24"/>
          <w:szCs w:val="24"/>
          <w:highlight w:val="none"/>
          <w:lang w:eastAsia="zh-CN"/>
        </w:rPr>
        <w:t>17.7竣工财务决算</w:t>
      </w:r>
      <w:bookmarkEnd w:id="972"/>
      <w:bookmarkEnd w:id="973"/>
      <w:bookmarkEnd w:id="974"/>
      <w:bookmarkEnd w:id="975"/>
      <w:bookmarkEnd w:id="976"/>
      <w:bookmarkEnd w:id="977"/>
    </w:p>
    <w:p w14:paraId="0AADF0F5">
      <w:pPr>
        <w:pStyle w:val="97"/>
        <w:pageBreakBefore w:val="0"/>
        <w:kinsoku/>
        <w:wordWrap/>
        <w:overflowPunct/>
        <w:topLinePunct w:val="0"/>
        <w:autoSpaceDE/>
        <w:autoSpaceDN/>
        <w:bidi w:val="0"/>
        <w:adjustRightInd/>
        <w:snapToGrid/>
        <w:spacing w:after="160" w:line="346" w:lineRule="exact"/>
        <w:ind w:firstLine="420"/>
        <w:jc w:val="both"/>
        <w:textAlignment w:val="auto"/>
        <w:outlineLvl w:val="9"/>
        <w:rPr>
          <w:rStyle w:val="32"/>
          <w:color w:val="auto"/>
          <w:highlight w:val="none"/>
        </w:rPr>
      </w:pPr>
      <w:r>
        <w:rPr>
          <w:rStyle w:val="32"/>
          <w:color w:val="auto"/>
          <w:highlight w:val="none"/>
        </w:rPr>
        <w:t>发包人负责编制本工程项目竣工财务决算，承包人应按专用合同条款的约定提供竣工财务决算编制所需的相关材料。</w:t>
      </w:r>
    </w:p>
    <w:p w14:paraId="7C8D296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78" w:name="bookmark1390"/>
      <w:bookmarkStart w:id="979" w:name="bookmark1391"/>
      <w:bookmarkStart w:id="980" w:name="_Toc22243"/>
      <w:bookmarkStart w:id="981" w:name="bookmark1392"/>
      <w:bookmarkStart w:id="982" w:name="_Toc9623"/>
      <w:bookmarkStart w:id="983" w:name="_Toc256000129"/>
      <w:r>
        <w:rPr>
          <w:rStyle w:val="32"/>
          <w:rFonts w:ascii="宋体" w:hAnsi="宋体" w:cs="Times New Roman"/>
          <w:color w:val="auto"/>
          <w:sz w:val="24"/>
          <w:szCs w:val="24"/>
          <w:highlight w:val="none"/>
          <w:lang w:eastAsia="zh-CN"/>
        </w:rPr>
        <w:t>17.8竣工审计</w:t>
      </w:r>
      <w:bookmarkEnd w:id="978"/>
      <w:bookmarkEnd w:id="979"/>
      <w:bookmarkEnd w:id="980"/>
      <w:bookmarkEnd w:id="981"/>
      <w:bookmarkEnd w:id="982"/>
      <w:bookmarkEnd w:id="983"/>
    </w:p>
    <w:p w14:paraId="000F0CD6">
      <w:pPr>
        <w:pStyle w:val="97"/>
        <w:pageBreakBefore w:val="0"/>
        <w:kinsoku/>
        <w:wordWrap/>
        <w:overflowPunct/>
        <w:topLinePunct w:val="0"/>
        <w:autoSpaceDE/>
        <w:autoSpaceDN/>
        <w:bidi w:val="0"/>
        <w:adjustRightInd/>
        <w:snapToGrid/>
        <w:spacing w:after="300" w:line="362" w:lineRule="exact"/>
        <w:ind w:firstLine="420"/>
        <w:textAlignment w:val="auto"/>
        <w:outlineLvl w:val="9"/>
        <w:rPr>
          <w:rStyle w:val="32"/>
          <w:color w:val="auto"/>
          <w:highlight w:val="none"/>
        </w:rPr>
      </w:pPr>
      <w:r>
        <w:rPr>
          <w:rStyle w:val="32"/>
          <w:color w:val="auto"/>
          <w:highlight w:val="none"/>
        </w:rPr>
        <w:t>发包人负责完成本工程竣工审计手续，承包人应完成相关配合工作。</w:t>
      </w:r>
    </w:p>
    <w:p w14:paraId="42C013DD">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984" w:name="_Toc27318"/>
      <w:bookmarkStart w:id="985" w:name="bookmark1395"/>
      <w:bookmarkStart w:id="986" w:name="bookmark1393"/>
      <w:bookmarkStart w:id="987" w:name="_Toc15468"/>
      <w:bookmarkStart w:id="988" w:name="_Toc256000130"/>
      <w:bookmarkStart w:id="989" w:name="bookmark1394"/>
      <w:r>
        <w:rPr>
          <w:rStyle w:val="32"/>
          <w:rFonts w:hint="eastAsia" w:cs="Times New Roman"/>
          <w:color w:val="auto"/>
          <w:highlight w:val="none"/>
          <w:lang w:eastAsia="zh-CN"/>
        </w:rPr>
        <w:t>18.竣工验收（验收）</w:t>
      </w:r>
      <w:bookmarkEnd w:id="984"/>
      <w:bookmarkEnd w:id="985"/>
      <w:bookmarkEnd w:id="986"/>
      <w:bookmarkEnd w:id="987"/>
      <w:bookmarkEnd w:id="988"/>
      <w:bookmarkEnd w:id="989"/>
    </w:p>
    <w:p w14:paraId="2485562E">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90" w:name="bookmark1398"/>
      <w:bookmarkStart w:id="991" w:name="bookmark1397"/>
      <w:bookmarkStart w:id="992" w:name="_Toc1314"/>
      <w:bookmarkStart w:id="993" w:name="_Toc20245"/>
      <w:bookmarkStart w:id="994" w:name="bookmark1396"/>
      <w:bookmarkStart w:id="995" w:name="_Toc256000131"/>
      <w:r>
        <w:rPr>
          <w:rStyle w:val="32"/>
          <w:rFonts w:ascii="宋体" w:hAnsi="宋体" w:cs="Times New Roman"/>
          <w:color w:val="auto"/>
          <w:sz w:val="24"/>
          <w:szCs w:val="24"/>
          <w:highlight w:val="none"/>
          <w:lang w:eastAsia="zh-CN"/>
        </w:rPr>
        <w:t>18.1验收工作分类</w:t>
      </w:r>
      <w:bookmarkEnd w:id="990"/>
      <w:bookmarkEnd w:id="991"/>
      <w:bookmarkEnd w:id="992"/>
      <w:bookmarkEnd w:id="993"/>
      <w:bookmarkEnd w:id="994"/>
      <w:bookmarkEnd w:id="995"/>
    </w:p>
    <w:p w14:paraId="1C2F94A7">
      <w:pPr>
        <w:pStyle w:val="97"/>
        <w:pageBreakBefore w:val="0"/>
        <w:kinsoku/>
        <w:wordWrap/>
        <w:overflowPunct/>
        <w:topLinePunct w:val="0"/>
        <w:autoSpaceDE/>
        <w:autoSpaceDN/>
        <w:bidi w:val="0"/>
        <w:adjustRightInd/>
        <w:snapToGrid/>
        <w:spacing w:after="160" w:line="358" w:lineRule="exact"/>
        <w:ind w:firstLine="440"/>
        <w:jc w:val="both"/>
        <w:textAlignment w:val="auto"/>
        <w:outlineLvl w:val="9"/>
        <w:rPr>
          <w:rStyle w:val="32"/>
          <w:color w:val="auto"/>
          <w:highlight w:val="none"/>
        </w:rPr>
      </w:pPr>
      <w:r>
        <w:rPr>
          <w:rStyle w:val="32"/>
          <w:color w:val="auto"/>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42561AA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996" w:name="bookmark1401"/>
      <w:bookmarkStart w:id="997" w:name="bookmark1400"/>
      <w:bookmarkStart w:id="998" w:name="_Toc8655"/>
      <w:bookmarkStart w:id="999" w:name="_Toc256000132"/>
      <w:bookmarkStart w:id="1000" w:name="_Toc29537"/>
      <w:bookmarkStart w:id="1001" w:name="bookmark1399"/>
      <w:r>
        <w:rPr>
          <w:rStyle w:val="32"/>
          <w:rFonts w:ascii="宋体" w:hAnsi="宋体" w:cs="Times New Roman"/>
          <w:color w:val="auto"/>
          <w:sz w:val="24"/>
          <w:szCs w:val="24"/>
          <w:highlight w:val="none"/>
          <w:lang w:eastAsia="zh-CN"/>
        </w:rPr>
        <w:t>18.2分部工程验收</w:t>
      </w:r>
      <w:bookmarkEnd w:id="996"/>
      <w:bookmarkEnd w:id="997"/>
      <w:bookmarkEnd w:id="998"/>
      <w:bookmarkEnd w:id="999"/>
      <w:bookmarkEnd w:id="1000"/>
      <w:bookmarkEnd w:id="1001"/>
    </w:p>
    <w:p w14:paraId="190940F1">
      <w:pPr>
        <w:pStyle w:val="97"/>
        <w:pageBreakBefore w:val="0"/>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18.2.1</w:t>
      </w:r>
      <w:r>
        <w:rPr>
          <w:rStyle w:val="32"/>
          <w:color w:val="auto"/>
          <w:highlight w:val="none"/>
        </w:rPr>
        <w:t>分部工程具备验收条件时，承包人应向发包人提交验收申请报告，发包人应在收到验收申请报告之日起</w:t>
      </w:r>
      <w:r>
        <w:rPr>
          <w:rStyle w:val="32"/>
          <w:rFonts w:ascii="Times New Roman" w:hAnsi="Times New Roman" w:eastAsia="Times New Roman" w:cs="Times New Roman"/>
          <w:color w:val="auto"/>
          <w:highlight w:val="none"/>
        </w:rPr>
        <w:t>10</w:t>
      </w:r>
      <w:r>
        <w:rPr>
          <w:rStyle w:val="32"/>
          <w:color w:val="auto"/>
          <w:highlight w:val="none"/>
        </w:rPr>
        <w:t>个工作日内决定是否同意进行验收。</w:t>
      </w:r>
    </w:p>
    <w:p w14:paraId="43707A89">
      <w:pPr>
        <w:pStyle w:val="97"/>
        <w:pageBreakBefore w:val="0"/>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18.2.2</w:t>
      </w:r>
      <w:r>
        <w:rPr>
          <w:rStyle w:val="32"/>
          <w:color w:val="auto"/>
          <w:highlight w:val="none"/>
        </w:rPr>
        <w:t>除专用合同条款另有约定外，监理人主持分部工程验收，承包人应派符合条件的代表参加验收工作组。</w:t>
      </w:r>
    </w:p>
    <w:p w14:paraId="68C1E7D8">
      <w:pPr>
        <w:pStyle w:val="97"/>
        <w:pageBreakBefore w:val="0"/>
        <w:kinsoku/>
        <w:wordWrap/>
        <w:overflowPunct/>
        <w:topLinePunct w:val="0"/>
        <w:autoSpaceDE/>
        <w:autoSpaceDN/>
        <w:bidi w:val="0"/>
        <w:adjustRightInd/>
        <w:snapToGrid/>
        <w:spacing w:after="160" w:line="37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18.2.3</w:t>
      </w:r>
      <w:r>
        <w:rPr>
          <w:rStyle w:val="32"/>
          <w:color w:val="auto"/>
          <w:highlight w:val="none"/>
        </w:rPr>
        <w:t>分部工程验收通过后，发包人向承包人发送分部工程验收鉴定书。承包人应及时完成分部工程验收鉴定书载明应由承包人处理的遗留问题。</w:t>
      </w:r>
    </w:p>
    <w:p w14:paraId="0AD0114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02" w:name="bookmark1404"/>
      <w:bookmarkStart w:id="1003" w:name="bookmark1403"/>
      <w:bookmarkStart w:id="1004" w:name="_Toc256000133"/>
      <w:bookmarkStart w:id="1005" w:name="_Toc16242"/>
      <w:bookmarkStart w:id="1006" w:name="_Toc19460"/>
      <w:bookmarkStart w:id="1007" w:name="bookmark1402"/>
      <w:r>
        <w:rPr>
          <w:rStyle w:val="32"/>
          <w:rFonts w:ascii="宋体" w:hAnsi="宋体" w:cs="Times New Roman"/>
          <w:color w:val="auto"/>
          <w:sz w:val="24"/>
          <w:szCs w:val="24"/>
          <w:highlight w:val="none"/>
          <w:lang w:eastAsia="zh-CN"/>
        </w:rPr>
        <w:t>18.3单位工程验收</w:t>
      </w:r>
      <w:bookmarkEnd w:id="1002"/>
      <w:bookmarkEnd w:id="1003"/>
      <w:bookmarkEnd w:id="1004"/>
      <w:bookmarkEnd w:id="1005"/>
      <w:bookmarkEnd w:id="1006"/>
      <w:bookmarkEnd w:id="1007"/>
    </w:p>
    <w:p w14:paraId="503CCB48">
      <w:pPr>
        <w:pStyle w:val="97"/>
        <w:pageBreakBefore w:val="0"/>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18.3.1</w:t>
      </w:r>
      <w:r>
        <w:rPr>
          <w:rStyle w:val="32"/>
          <w:color w:val="auto"/>
          <w:highlight w:val="none"/>
        </w:rPr>
        <w:t>单位工程具备验收条件时，承包人应向发包人提交验收申请报告，发包人应在收到验收申请报告之日起</w:t>
      </w:r>
      <w:r>
        <w:rPr>
          <w:rStyle w:val="32"/>
          <w:rFonts w:ascii="Times New Roman" w:hAnsi="Times New Roman" w:eastAsia="Times New Roman" w:cs="Times New Roman"/>
          <w:color w:val="auto"/>
          <w:highlight w:val="none"/>
        </w:rPr>
        <w:t>10</w:t>
      </w:r>
      <w:r>
        <w:rPr>
          <w:rStyle w:val="32"/>
          <w:color w:val="auto"/>
          <w:highlight w:val="none"/>
        </w:rPr>
        <w:t>个工作日内决定是否同意进行验收。</w:t>
      </w:r>
    </w:p>
    <w:p w14:paraId="319D932F">
      <w:pPr>
        <w:pStyle w:val="97"/>
        <w:pageBreakBefore w:val="0"/>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18.3.2</w:t>
      </w:r>
      <w:r>
        <w:rPr>
          <w:rStyle w:val="32"/>
          <w:color w:val="auto"/>
          <w:highlight w:val="none"/>
        </w:rPr>
        <w:t>发包人主持单位工程验收，承包人应派符合条件的代表参加验收工作组。</w:t>
      </w:r>
    </w:p>
    <w:p w14:paraId="7FAC2927">
      <w:pPr>
        <w:pStyle w:val="97"/>
        <w:pageBreakBefore w:val="0"/>
        <w:kinsoku/>
        <w:wordWrap/>
        <w:overflowPunct/>
        <w:topLinePunct w:val="0"/>
        <w:autoSpaceDE/>
        <w:autoSpaceDN/>
        <w:bidi w:val="0"/>
        <w:adjustRightInd/>
        <w:snapToGrid/>
        <w:spacing w:after="100"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18.3.3</w:t>
      </w:r>
      <w:r>
        <w:rPr>
          <w:rStyle w:val="32"/>
          <w:color w:val="auto"/>
          <w:highlight w:val="none"/>
        </w:rPr>
        <w:t>单位工程验收通过后，发包人向承包人发送单位工程验收鉴定书。承包人应及时完成单位工程验收鉴定书载明应由承包人处理的遗留问题。</w:t>
      </w:r>
    </w:p>
    <w:p w14:paraId="5D75009E">
      <w:pPr>
        <w:pStyle w:val="97"/>
        <w:pageBreakBefore w:val="0"/>
        <w:kinsoku/>
        <w:wordWrap/>
        <w:overflowPunct/>
        <w:topLinePunct w:val="0"/>
        <w:autoSpaceDE/>
        <w:autoSpaceDN/>
        <w:bidi w:val="0"/>
        <w:adjustRightInd/>
        <w:snapToGrid/>
        <w:spacing w:after="160" w:line="240"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18.3.4</w:t>
      </w:r>
      <w:r>
        <w:rPr>
          <w:rStyle w:val="32"/>
          <w:color w:val="auto"/>
          <w:highlight w:val="none"/>
        </w:rPr>
        <w:t>需提前投入使用的单位工程在专用合同条款中明确。</w:t>
      </w:r>
    </w:p>
    <w:p w14:paraId="7290555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08" w:name="_Toc23192"/>
      <w:bookmarkStart w:id="1009" w:name="_Toc24227"/>
      <w:bookmarkStart w:id="1010" w:name="_Toc256000134"/>
      <w:bookmarkStart w:id="1011" w:name="bookmark1406"/>
      <w:bookmarkStart w:id="1012" w:name="bookmark1405"/>
      <w:bookmarkStart w:id="1013" w:name="bookmark1407"/>
      <w:r>
        <w:rPr>
          <w:rStyle w:val="32"/>
          <w:rFonts w:ascii="宋体" w:hAnsi="宋体" w:cs="Times New Roman"/>
          <w:color w:val="auto"/>
          <w:sz w:val="24"/>
          <w:szCs w:val="24"/>
          <w:highlight w:val="none"/>
          <w:lang w:eastAsia="zh-CN"/>
        </w:rPr>
        <w:t>18.4合同工程完工验收</w:t>
      </w:r>
      <w:bookmarkEnd w:id="1008"/>
      <w:bookmarkEnd w:id="1009"/>
      <w:bookmarkEnd w:id="1010"/>
      <w:bookmarkEnd w:id="1011"/>
      <w:bookmarkEnd w:id="1012"/>
      <w:bookmarkEnd w:id="1013"/>
    </w:p>
    <w:p w14:paraId="649AF817">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18.4.1</w:t>
      </w:r>
      <w:r>
        <w:rPr>
          <w:rStyle w:val="32"/>
          <w:color w:val="auto"/>
          <w:highlight w:val="none"/>
        </w:rPr>
        <w:t>合同工程具备验收条件时，承包人应向发包人提交验收申请报告，发包人应在收到验收申请报告之日起</w:t>
      </w:r>
      <w:r>
        <w:rPr>
          <w:rStyle w:val="32"/>
          <w:rFonts w:ascii="Times New Roman" w:hAnsi="Times New Roman" w:eastAsia="Times New Roman" w:cs="Times New Roman"/>
          <w:color w:val="auto"/>
          <w:highlight w:val="none"/>
        </w:rPr>
        <w:t>20</w:t>
      </w:r>
      <w:r>
        <w:rPr>
          <w:rStyle w:val="32"/>
          <w:color w:val="auto"/>
          <w:highlight w:val="none"/>
        </w:rPr>
        <w:t>个工作日内决定是否同意进行验收。</w:t>
      </w:r>
    </w:p>
    <w:p w14:paraId="1A3E4D88">
      <w:pPr>
        <w:pStyle w:val="97"/>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18.4.2</w:t>
      </w:r>
      <w:r>
        <w:rPr>
          <w:rStyle w:val="32"/>
          <w:color w:val="auto"/>
          <w:highlight w:val="none"/>
        </w:rPr>
        <w:t>发包人主持合同工程完工验收，承包人应派项目经理参加验收工作组。</w:t>
      </w:r>
    </w:p>
    <w:p w14:paraId="03328048">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18.4.3</w:t>
      </w:r>
      <w:r>
        <w:rPr>
          <w:rStyle w:val="32"/>
          <w:color w:val="auto"/>
          <w:highlight w:val="none"/>
        </w:rPr>
        <w:t>合同工程完工验收通过后，发包人向承包人发送合同工程完工验收鉴定书。承包人应及时完成合同工程完工验收鉴定书载明应由承包人处理的遗留问题。</w:t>
      </w:r>
    </w:p>
    <w:p w14:paraId="56EDEDE2">
      <w:pPr>
        <w:pStyle w:val="97"/>
        <w:pageBreakBefore w:val="0"/>
        <w:kinsoku/>
        <w:wordWrap/>
        <w:overflowPunct/>
        <w:topLinePunct w:val="0"/>
        <w:autoSpaceDE/>
        <w:autoSpaceDN/>
        <w:bidi w:val="0"/>
        <w:adjustRightInd/>
        <w:snapToGrid/>
        <w:spacing w:after="160"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18.4.4</w:t>
      </w:r>
      <w:r>
        <w:rPr>
          <w:rStyle w:val="32"/>
          <w:color w:val="auto"/>
          <w:highlight w:val="none"/>
        </w:rPr>
        <w:t>合同工程完工验收通过后，发包人与承包人应在</w:t>
      </w:r>
      <w:r>
        <w:rPr>
          <w:rStyle w:val="32"/>
          <w:rFonts w:ascii="Times New Roman" w:hAnsi="Times New Roman" w:eastAsia="Times New Roman" w:cs="Times New Roman"/>
          <w:color w:val="auto"/>
          <w:highlight w:val="none"/>
        </w:rPr>
        <w:t>30</w:t>
      </w:r>
      <w:r>
        <w:rPr>
          <w:rStyle w:val="32"/>
          <w:color w:val="auto"/>
          <w:highlight w:val="none"/>
        </w:rPr>
        <w:t>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w:t>
      </w:r>
      <w:r>
        <w:rPr>
          <w:rStyle w:val="32"/>
          <w:rFonts w:ascii="Times New Roman" w:hAnsi="Times New Roman" w:eastAsia="Times New Roman" w:cs="Times New Roman"/>
          <w:color w:val="auto"/>
          <w:highlight w:val="none"/>
        </w:rPr>
        <w:t>30</w:t>
      </w:r>
      <w:r>
        <w:rPr>
          <w:rStyle w:val="32"/>
          <w:color w:val="auto"/>
          <w:highlight w:val="none"/>
        </w:rPr>
        <w:t>个工作日内 向承包人颁发合同工程完工证书。</w:t>
      </w:r>
    </w:p>
    <w:p w14:paraId="7C969D5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14" w:name="bookmark1410"/>
      <w:bookmarkStart w:id="1015" w:name="_Toc32064"/>
      <w:bookmarkStart w:id="1016" w:name="bookmark1409"/>
      <w:bookmarkStart w:id="1017" w:name="bookmark1408"/>
      <w:bookmarkStart w:id="1018" w:name="_Toc14197"/>
      <w:bookmarkStart w:id="1019" w:name="_Toc256000135"/>
      <w:r>
        <w:rPr>
          <w:rStyle w:val="32"/>
          <w:rFonts w:ascii="宋体" w:hAnsi="宋体" w:cs="Times New Roman"/>
          <w:color w:val="auto"/>
          <w:sz w:val="24"/>
          <w:szCs w:val="24"/>
          <w:highlight w:val="none"/>
          <w:lang w:eastAsia="zh-CN"/>
        </w:rPr>
        <w:t>18.5阶段验收</w:t>
      </w:r>
      <w:bookmarkEnd w:id="1014"/>
      <w:bookmarkEnd w:id="1015"/>
      <w:bookmarkEnd w:id="1016"/>
      <w:bookmarkEnd w:id="1017"/>
      <w:bookmarkEnd w:id="1018"/>
      <w:bookmarkEnd w:id="1019"/>
    </w:p>
    <w:p w14:paraId="7C0EB75D">
      <w:pPr>
        <w:pStyle w:val="97"/>
        <w:pageBreakBefore w:val="0"/>
        <w:kinsoku/>
        <w:wordWrap/>
        <w:overflowPunct/>
        <w:topLinePunct w:val="0"/>
        <w:autoSpaceDE/>
        <w:autoSpaceDN/>
        <w:bidi w:val="0"/>
        <w:adjustRightInd/>
        <w:snapToGrid/>
        <w:spacing w:line="372" w:lineRule="exact"/>
        <w:ind w:firstLine="426" w:firstLineChars="213"/>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18.5.1</w:t>
      </w:r>
      <w:r>
        <w:rPr>
          <w:rStyle w:val="32"/>
          <w:color w:val="auto"/>
          <w:highlight w:val="none"/>
        </w:rPr>
        <w:t>工程建设具备阶段验收条件时，发包人负责提出阶段验收申请报告。承包人应派代表参加阶段验收，并作为被验收单位在验收鉴定书上签字。阶段验收的具体类别在专用合同条款中约定。</w:t>
      </w:r>
    </w:p>
    <w:p w14:paraId="48D131DD">
      <w:pPr>
        <w:pStyle w:val="97"/>
        <w:pageBreakBefore w:val="0"/>
        <w:tabs>
          <w:tab w:val="left" w:pos="841"/>
        </w:tabs>
        <w:kinsoku/>
        <w:wordWrap/>
        <w:overflowPunct/>
        <w:topLinePunct w:val="0"/>
        <w:autoSpaceDE/>
        <w:autoSpaceDN/>
        <w:bidi w:val="0"/>
        <w:adjustRightInd/>
        <w:snapToGrid/>
        <w:spacing w:after="140" w:line="355" w:lineRule="exact"/>
        <w:ind w:left="420" w:firstLine="0"/>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18.</w:t>
      </w:r>
      <w:r>
        <w:rPr>
          <w:rStyle w:val="32"/>
          <w:rFonts w:ascii="Times New Roman" w:hAnsi="Times New Roman" w:eastAsia="Times New Roman" w:cs="Times New Roman"/>
          <w:color w:val="auto"/>
          <w:highlight w:val="none"/>
          <w:lang w:val="en-US" w:bidi="en-US"/>
        </w:rPr>
        <w:t>5.</w:t>
      </w:r>
      <w:r>
        <w:rPr>
          <w:rStyle w:val="32"/>
          <w:rFonts w:ascii="Times New Roman" w:hAnsi="Times New Roman" w:eastAsia="Times New Roman" w:cs="Times New Roman"/>
          <w:color w:val="auto"/>
          <w:highlight w:val="none"/>
        </w:rPr>
        <w:t>2</w:t>
      </w:r>
      <w:r>
        <w:rPr>
          <w:rStyle w:val="32"/>
          <w:color w:val="auto"/>
          <w:highlight w:val="none"/>
        </w:rPr>
        <w:t>承包人应及时完成阶段验收鉴定书载明应由承包人处理的遗留问题。</w:t>
      </w:r>
    </w:p>
    <w:p w14:paraId="2128B18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20" w:name="_Toc256000136"/>
      <w:bookmarkStart w:id="1021" w:name="_Toc16235"/>
      <w:bookmarkStart w:id="1022" w:name="bookmark1412"/>
      <w:bookmarkStart w:id="1023" w:name="bookmark1414"/>
      <w:bookmarkStart w:id="1024" w:name="bookmark1413"/>
      <w:bookmarkStart w:id="1025" w:name="_Toc22175"/>
      <w:r>
        <w:rPr>
          <w:rStyle w:val="32"/>
          <w:rFonts w:ascii="宋体" w:hAnsi="宋体" w:cs="Times New Roman"/>
          <w:color w:val="auto"/>
          <w:sz w:val="24"/>
          <w:szCs w:val="24"/>
          <w:highlight w:val="none"/>
          <w:lang w:eastAsia="zh-CN"/>
        </w:rPr>
        <w:t>18.6专项验收</w:t>
      </w:r>
      <w:bookmarkEnd w:id="1020"/>
      <w:bookmarkEnd w:id="1021"/>
      <w:bookmarkEnd w:id="1022"/>
      <w:bookmarkEnd w:id="1023"/>
      <w:bookmarkEnd w:id="1024"/>
      <w:bookmarkEnd w:id="1025"/>
    </w:p>
    <w:p w14:paraId="78DDDA29">
      <w:pPr>
        <w:pStyle w:val="97"/>
        <w:pageBreakBefore w:val="0"/>
        <w:kinsoku/>
        <w:wordWrap/>
        <w:overflowPunct/>
        <w:topLinePunct w:val="0"/>
        <w:autoSpaceDE/>
        <w:autoSpaceDN/>
        <w:bidi w:val="0"/>
        <w:adjustRightInd/>
        <w:snapToGrid/>
        <w:spacing w:line="353"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18.6.1</w:t>
      </w:r>
      <w:r>
        <w:rPr>
          <w:rStyle w:val="32"/>
          <w:color w:val="auto"/>
          <w:highlight w:val="none"/>
        </w:rPr>
        <w:t>发包人负责提出专项验收申请报告。承包人应按专项验收的相关规定参加专项验收。专项验收的具体类别在专用合同条款中约定。</w:t>
      </w:r>
    </w:p>
    <w:p w14:paraId="5E76C21B">
      <w:pPr>
        <w:pStyle w:val="97"/>
        <w:pageBreakBefore w:val="0"/>
        <w:kinsoku/>
        <w:wordWrap/>
        <w:overflowPunct/>
        <w:topLinePunct w:val="0"/>
        <w:autoSpaceDE/>
        <w:autoSpaceDN/>
        <w:bidi w:val="0"/>
        <w:adjustRightInd/>
        <w:snapToGrid/>
        <w:spacing w:after="140" w:line="355"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18.6.</w:t>
      </w:r>
      <w:r>
        <w:rPr>
          <w:rStyle w:val="32"/>
          <w:rFonts w:ascii="Times New Roman" w:hAnsi="Times New Roman" w:eastAsia="Times New Roman" w:cs="Times New Roman"/>
          <w:color w:val="auto"/>
          <w:highlight w:val="none"/>
        </w:rPr>
        <w:t>2</w:t>
      </w:r>
      <w:r>
        <w:rPr>
          <w:rStyle w:val="32"/>
          <w:color w:val="auto"/>
          <w:highlight w:val="none"/>
        </w:rPr>
        <w:t>承包应及时完成专项验收成果性文件载明应由承包人处理的遗留问题。</w:t>
      </w:r>
    </w:p>
    <w:p w14:paraId="15D73CE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26" w:name="bookmark1415"/>
      <w:bookmarkStart w:id="1027" w:name="_Toc13138"/>
      <w:bookmarkStart w:id="1028" w:name="bookmark1417"/>
      <w:bookmarkStart w:id="1029" w:name="_Toc256000137"/>
      <w:bookmarkStart w:id="1030" w:name="_Toc31377"/>
      <w:bookmarkStart w:id="1031" w:name="bookmark1416"/>
      <w:r>
        <w:rPr>
          <w:rStyle w:val="32"/>
          <w:rFonts w:ascii="宋体" w:hAnsi="宋体" w:cs="Times New Roman"/>
          <w:color w:val="auto"/>
          <w:sz w:val="24"/>
          <w:szCs w:val="24"/>
          <w:highlight w:val="none"/>
          <w:lang w:eastAsia="zh-CN"/>
        </w:rPr>
        <w:t>18.7竣工验收</w:t>
      </w:r>
      <w:bookmarkEnd w:id="1026"/>
      <w:bookmarkEnd w:id="1027"/>
      <w:bookmarkEnd w:id="1028"/>
      <w:bookmarkEnd w:id="1029"/>
      <w:bookmarkEnd w:id="1030"/>
      <w:bookmarkEnd w:id="1031"/>
    </w:p>
    <w:p w14:paraId="0EC0BA76">
      <w:pPr>
        <w:pStyle w:val="97"/>
        <w:pageBreakBefore w:val="0"/>
        <w:kinsoku/>
        <w:wordWrap/>
        <w:overflowPunct/>
        <w:topLinePunct w:val="0"/>
        <w:autoSpaceDE/>
        <w:autoSpaceDN/>
        <w:bidi w:val="0"/>
        <w:adjustRightInd/>
        <w:snapToGrid/>
        <w:spacing w:line="355"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18.7.1</w:t>
      </w:r>
      <w:r>
        <w:rPr>
          <w:rStyle w:val="32"/>
          <w:rFonts w:ascii="Times New Roman" w:hAnsi="Times New Roman" w:cs="Times New Roman"/>
          <w:color w:val="auto"/>
          <w:highlight w:val="none"/>
        </w:rPr>
        <w:t>申请竣工验收前，发包人组织竣工验收自查，承包人应派项目经理或技术负责人参加。</w:t>
      </w:r>
    </w:p>
    <w:p w14:paraId="422B1B20">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18.7.2</w:t>
      </w:r>
      <w:r>
        <w:rPr>
          <w:rStyle w:val="32"/>
          <w:color w:val="auto"/>
          <w:highlight w:val="none"/>
        </w:rPr>
        <w:t>竣工验收分为竣工技术预验收和竣工验收两个阶段，发包人应通知承包人派法定代表人或项目经理参加技术预验收和竣工验收。</w:t>
      </w:r>
    </w:p>
    <w:p w14:paraId="5888BD9D">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18.7.3</w:t>
      </w:r>
      <w:r>
        <w:rPr>
          <w:rStyle w:val="32"/>
          <w:color w:val="auto"/>
          <w:highlight w:val="none"/>
        </w:rPr>
        <w:t>专用合同条款约定工程需要进行技术鉴定的，承包人应提交有关资料并完成配合工作。</w:t>
      </w:r>
    </w:p>
    <w:p w14:paraId="634A929B">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18.7.4</w:t>
      </w:r>
      <w:r>
        <w:rPr>
          <w:rStyle w:val="32"/>
          <w:color w:val="auto"/>
          <w:highlight w:val="none"/>
        </w:rPr>
        <w:t>竣工验收需要进行质量检测的，所需费用由发包人承担，但因承包人原因造成质量不合格的除外。</w:t>
      </w:r>
    </w:p>
    <w:p w14:paraId="460CDCE0">
      <w:pPr>
        <w:pStyle w:val="97"/>
        <w:pageBreakBefore w:val="0"/>
        <w:kinsoku/>
        <w:wordWrap/>
        <w:overflowPunct/>
        <w:topLinePunct w:val="0"/>
        <w:autoSpaceDE/>
        <w:autoSpaceDN/>
        <w:bidi w:val="0"/>
        <w:adjustRightInd/>
        <w:snapToGrid/>
        <w:spacing w:after="140" w:line="35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18.7.5</w:t>
      </w:r>
      <w:r>
        <w:rPr>
          <w:rStyle w:val="32"/>
          <w:color w:val="auto"/>
          <w:highlight w:val="none"/>
        </w:rPr>
        <w:t>工程质量保修期满以及竣工验收遗留问题和尾工处理完成并通过验收后，发包人负责将处理情况和验收成果报送竣工验收主持单位，申请领取工程竣工证书，并发送承包人。</w:t>
      </w:r>
    </w:p>
    <w:p w14:paraId="32CA81E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32" w:name="_Toc7258"/>
      <w:bookmarkStart w:id="1033" w:name="bookmark1420"/>
      <w:bookmarkStart w:id="1034" w:name="bookmark1419"/>
      <w:bookmarkStart w:id="1035" w:name="bookmark1418"/>
      <w:bookmarkStart w:id="1036" w:name="_Toc28956"/>
      <w:bookmarkStart w:id="1037" w:name="_Toc256000138"/>
      <w:r>
        <w:rPr>
          <w:rStyle w:val="32"/>
          <w:rFonts w:ascii="宋体" w:hAnsi="宋体" w:cs="Times New Roman"/>
          <w:color w:val="auto"/>
          <w:sz w:val="24"/>
          <w:szCs w:val="24"/>
          <w:highlight w:val="none"/>
          <w:lang w:eastAsia="zh-CN"/>
        </w:rPr>
        <w:t>18.8施工期运行</w:t>
      </w:r>
      <w:bookmarkEnd w:id="1032"/>
      <w:bookmarkEnd w:id="1033"/>
      <w:bookmarkEnd w:id="1034"/>
      <w:bookmarkEnd w:id="1035"/>
      <w:bookmarkEnd w:id="1036"/>
      <w:bookmarkEnd w:id="1037"/>
    </w:p>
    <w:p w14:paraId="06E1DD2F">
      <w:pPr>
        <w:pStyle w:val="97"/>
        <w:pageBreakBefore w:val="0"/>
        <w:kinsoku/>
        <w:wordWrap/>
        <w:overflowPunct/>
        <w:topLinePunct w:val="0"/>
        <w:autoSpaceDE/>
        <w:autoSpaceDN/>
        <w:bidi w:val="0"/>
        <w:adjustRightInd/>
        <w:snapToGrid/>
        <w:spacing w:line="35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18.8.1</w:t>
      </w:r>
      <w:r>
        <w:rPr>
          <w:rStyle w:val="32"/>
          <w:color w:val="auto"/>
          <w:highlight w:val="none"/>
        </w:rPr>
        <w:t>施工期运行是指合同工程尚未全部完工，其中某单位工程或部分工程已完工, 需要投入施工期运行的，经发包人按第</w:t>
      </w:r>
      <w:r>
        <w:rPr>
          <w:rStyle w:val="32"/>
          <w:rFonts w:ascii="Times New Roman" w:hAnsi="Times New Roman" w:eastAsia="Times New Roman" w:cs="Times New Roman"/>
          <w:color w:val="auto"/>
          <w:highlight w:val="none"/>
          <w:lang w:val="en-US" w:bidi="en-US"/>
        </w:rPr>
        <w:t xml:space="preserve">18. </w:t>
      </w:r>
      <w:r>
        <w:rPr>
          <w:rStyle w:val="32"/>
          <w:rFonts w:ascii="Times New Roman" w:hAnsi="Times New Roman" w:eastAsia="Times New Roman" w:cs="Times New Roman"/>
          <w:color w:val="auto"/>
          <w:highlight w:val="none"/>
        </w:rPr>
        <w:t>2</w:t>
      </w:r>
      <w:r>
        <w:rPr>
          <w:rStyle w:val="32"/>
          <w:color w:val="auto"/>
          <w:highlight w:val="none"/>
        </w:rPr>
        <w:t>款或第</w:t>
      </w:r>
      <w:r>
        <w:rPr>
          <w:rStyle w:val="32"/>
          <w:rFonts w:ascii="Times New Roman" w:hAnsi="Times New Roman" w:eastAsia="Times New Roman" w:cs="Times New Roman"/>
          <w:color w:val="auto"/>
          <w:highlight w:val="none"/>
          <w:lang w:val="en-US" w:bidi="en-US"/>
        </w:rPr>
        <w:t xml:space="preserve">18. </w:t>
      </w:r>
      <w:r>
        <w:rPr>
          <w:rStyle w:val="32"/>
          <w:rFonts w:ascii="Times New Roman" w:hAnsi="Times New Roman" w:eastAsia="Times New Roman" w:cs="Times New Roman"/>
          <w:color w:val="auto"/>
          <w:highlight w:val="none"/>
        </w:rPr>
        <w:t>3</w:t>
      </w:r>
      <w:r>
        <w:rPr>
          <w:rStyle w:val="32"/>
          <w:color w:val="auto"/>
          <w:highlight w:val="none"/>
        </w:rPr>
        <w:t>款的约定验收合格，证明能确保安全后，才能在施工期投入运行。需要在施工期运行的单位工程或部分工程在专用合同条款中约定。</w:t>
      </w:r>
    </w:p>
    <w:p w14:paraId="6D79BD95">
      <w:pPr>
        <w:pStyle w:val="97"/>
        <w:pageBreakBefore w:val="0"/>
        <w:kinsoku/>
        <w:wordWrap/>
        <w:overflowPunct/>
        <w:topLinePunct w:val="0"/>
        <w:autoSpaceDE/>
        <w:autoSpaceDN/>
        <w:bidi w:val="0"/>
        <w:adjustRightInd/>
        <w:snapToGrid/>
        <w:spacing w:after="140" w:line="37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18.8.2</w:t>
      </w:r>
      <w:r>
        <w:rPr>
          <w:rStyle w:val="32"/>
          <w:color w:val="auto"/>
          <w:highlight w:val="none"/>
        </w:rPr>
        <w:t>在施工期运行中发现工程或工程设备损坏或存在缺陷的，由承包人按第</w:t>
      </w:r>
      <w:r>
        <w:rPr>
          <w:rStyle w:val="32"/>
          <w:rFonts w:ascii="Times New Roman" w:hAnsi="Times New Roman" w:eastAsia="Times New Roman" w:cs="Times New Roman"/>
          <w:color w:val="auto"/>
          <w:highlight w:val="none"/>
          <w:lang w:val="en-US" w:bidi="en-US"/>
        </w:rPr>
        <w:t xml:space="preserve">19. </w:t>
      </w:r>
      <w:r>
        <w:rPr>
          <w:rStyle w:val="32"/>
          <w:rFonts w:ascii="Times New Roman" w:hAnsi="Times New Roman" w:eastAsia="Times New Roman" w:cs="Times New Roman"/>
          <w:color w:val="auto"/>
          <w:highlight w:val="none"/>
        </w:rPr>
        <w:t xml:space="preserve">2 </w:t>
      </w:r>
      <w:r>
        <w:rPr>
          <w:rStyle w:val="32"/>
          <w:color w:val="auto"/>
          <w:highlight w:val="none"/>
        </w:rPr>
        <w:t>款约定进行修复。</w:t>
      </w:r>
    </w:p>
    <w:p w14:paraId="0576373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38" w:name="bookmark1423"/>
      <w:bookmarkStart w:id="1039" w:name="bookmark1421"/>
      <w:bookmarkStart w:id="1040" w:name="_Toc20150"/>
      <w:bookmarkStart w:id="1041" w:name="_Toc256000139"/>
      <w:bookmarkStart w:id="1042" w:name="bookmark1422"/>
      <w:bookmarkStart w:id="1043" w:name="_Toc6863"/>
      <w:r>
        <w:rPr>
          <w:rStyle w:val="32"/>
          <w:rFonts w:ascii="宋体" w:hAnsi="宋体" w:cs="Times New Roman"/>
          <w:color w:val="auto"/>
          <w:sz w:val="24"/>
          <w:szCs w:val="24"/>
          <w:highlight w:val="none"/>
          <w:lang w:eastAsia="zh-CN"/>
        </w:rPr>
        <w:t>18.9试运行</w:t>
      </w:r>
      <w:bookmarkEnd w:id="1038"/>
      <w:bookmarkEnd w:id="1039"/>
      <w:bookmarkEnd w:id="1040"/>
      <w:bookmarkEnd w:id="1041"/>
      <w:bookmarkEnd w:id="1042"/>
      <w:bookmarkEnd w:id="1043"/>
    </w:p>
    <w:p w14:paraId="6E1DF5B9">
      <w:pPr>
        <w:pStyle w:val="97"/>
        <w:pageBreakBefore w:val="0"/>
        <w:kinsoku/>
        <w:wordWrap/>
        <w:overflowPunct/>
        <w:topLinePunct w:val="0"/>
        <w:autoSpaceDE/>
        <w:autoSpaceDN/>
        <w:bidi w:val="0"/>
        <w:adjustRightInd/>
        <w:snapToGrid/>
        <w:spacing w:line="35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18.9.1</w:t>
      </w:r>
      <w:r>
        <w:rPr>
          <w:rStyle w:val="32"/>
          <w:color w:val="auto"/>
          <w:highlight w:val="none"/>
        </w:rPr>
        <w:t>除专用合同条款另有约定外，承包人应按规定进行工程及工程设备试运行, 负责提供试运行所需的人员、器材和必要的条件，并承担全部试运行费用。</w:t>
      </w:r>
    </w:p>
    <w:p w14:paraId="4297AFFC">
      <w:pPr>
        <w:pStyle w:val="97"/>
        <w:pageBreakBefore w:val="0"/>
        <w:kinsoku/>
        <w:wordWrap/>
        <w:overflowPunct/>
        <w:topLinePunct w:val="0"/>
        <w:autoSpaceDE/>
        <w:autoSpaceDN/>
        <w:bidi w:val="0"/>
        <w:adjustRightInd/>
        <w:snapToGrid/>
        <w:spacing w:after="240" w:line="372" w:lineRule="exact"/>
        <w:ind w:firstLine="426" w:firstLineChars="213"/>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18.9.2</w:t>
      </w:r>
      <w:r>
        <w:rPr>
          <w:rStyle w:val="32"/>
          <w:color w:val="auto"/>
          <w:highlight w:val="none"/>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1044" w:name="bookmark1411"/>
      <w:bookmarkEnd w:id="1044"/>
    </w:p>
    <w:p w14:paraId="40FC95D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45" w:name="bookmark1425"/>
      <w:bookmarkStart w:id="1046" w:name="bookmark1426"/>
      <w:bookmarkStart w:id="1047" w:name="_Toc256000140"/>
      <w:bookmarkStart w:id="1048" w:name="_Toc1706"/>
      <w:bookmarkStart w:id="1049" w:name="_Toc3577"/>
      <w:bookmarkStart w:id="1050" w:name="bookmark1424"/>
      <w:r>
        <w:rPr>
          <w:rStyle w:val="32"/>
          <w:rFonts w:ascii="宋体" w:hAnsi="宋体" w:cs="Times New Roman"/>
          <w:color w:val="auto"/>
          <w:sz w:val="24"/>
          <w:szCs w:val="24"/>
          <w:highlight w:val="none"/>
          <w:lang w:eastAsia="zh-CN"/>
        </w:rPr>
        <w:t>18.10竣工（完工）清场</w:t>
      </w:r>
      <w:bookmarkEnd w:id="1045"/>
      <w:bookmarkEnd w:id="1046"/>
      <w:bookmarkEnd w:id="1047"/>
      <w:bookmarkEnd w:id="1048"/>
      <w:bookmarkEnd w:id="1049"/>
      <w:bookmarkEnd w:id="1050"/>
    </w:p>
    <w:p w14:paraId="0ABAF87A">
      <w:pPr>
        <w:pStyle w:val="97"/>
        <w:pageBreakBefore w:val="0"/>
        <w:kinsoku/>
        <w:wordWrap/>
        <w:overflowPunct/>
        <w:topLinePunct w:val="0"/>
        <w:autoSpaceDE/>
        <w:autoSpaceDN/>
        <w:bidi w:val="0"/>
        <w:adjustRightInd/>
        <w:snapToGrid/>
        <w:spacing w:line="355"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18.10.1</w:t>
      </w:r>
      <w:r>
        <w:rPr>
          <w:rStyle w:val="32"/>
          <w:rFonts w:ascii="Times New Roman" w:hAnsi="Times New Roman" w:cs="Times New Roman"/>
          <w:color w:val="auto"/>
          <w:highlight w:val="none"/>
        </w:rPr>
        <w:t>工程项目竣工（完工）清场的工作范围和内容在技术标准和要求（合同技术条款）中约定。</w:t>
      </w:r>
    </w:p>
    <w:p w14:paraId="707B4409">
      <w:pPr>
        <w:pStyle w:val="97"/>
        <w:pageBreakBefore w:val="0"/>
        <w:kinsoku/>
        <w:wordWrap/>
        <w:overflowPunct/>
        <w:topLinePunct w:val="0"/>
        <w:autoSpaceDE/>
        <w:autoSpaceDN/>
        <w:bidi w:val="0"/>
        <w:adjustRightInd/>
        <w:snapToGrid/>
        <w:spacing w:after="240"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18.10.2</w:t>
      </w:r>
      <w:r>
        <w:rPr>
          <w:rStyle w:val="32"/>
          <w:color w:val="auto"/>
          <w:highlight w:val="none"/>
        </w:rPr>
        <w:t>承包未按监理人的要求恢复临时占地，或者场地清理未达到合同约定的，发包人有权委托其它人恢复或清理，所发生的金额从拟支付给承包人的款项中扣除。</w:t>
      </w:r>
    </w:p>
    <w:p w14:paraId="76B5D6F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51" w:name="_Toc28474"/>
      <w:bookmarkStart w:id="1052" w:name="_Toc256000141"/>
      <w:bookmarkStart w:id="1053" w:name="_Toc22352"/>
      <w:bookmarkStart w:id="1054" w:name="bookmark1427"/>
      <w:bookmarkStart w:id="1055" w:name="bookmark1428"/>
      <w:bookmarkStart w:id="1056" w:name="bookmark1429"/>
      <w:r>
        <w:rPr>
          <w:rStyle w:val="32"/>
          <w:rFonts w:ascii="宋体" w:hAnsi="宋体" w:cs="Times New Roman"/>
          <w:color w:val="auto"/>
          <w:sz w:val="24"/>
          <w:szCs w:val="24"/>
          <w:highlight w:val="none"/>
          <w:lang w:eastAsia="zh-CN"/>
        </w:rPr>
        <w:t>18.11施工队伍的撤离</w:t>
      </w:r>
      <w:bookmarkEnd w:id="1051"/>
      <w:bookmarkEnd w:id="1052"/>
      <w:bookmarkEnd w:id="1053"/>
      <w:bookmarkEnd w:id="1054"/>
      <w:bookmarkEnd w:id="1055"/>
      <w:bookmarkEnd w:id="1056"/>
    </w:p>
    <w:p w14:paraId="4CC4A675">
      <w:pPr>
        <w:pStyle w:val="97"/>
        <w:pageBreakBefore w:val="0"/>
        <w:kinsoku/>
        <w:wordWrap/>
        <w:overflowPunct/>
        <w:topLinePunct w:val="0"/>
        <w:autoSpaceDE/>
        <w:autoSpaceDN/>
        <w:bidi w:val="0"/>
        <w:adjustRightInd/>
        <w:snapToGrid/>
        <w:spacing w:after="300" w:line="355" w:lineRule="exact"/>
        <w:ind w:firstLine="420"/>
        <w:jc w:val="both"/>
        <w:textAlignment w:val="auto"/>
        <w:outlineLvl w:val="9"/>
        <w:rPr>
          <w:rStyle w:val="32"/>
          <w:color w:val="auto"/>
          <w:highlight w:val="none"/>
        </w:rPr>
      </w:pPr>
      <w:r>
        <w:rPr>
          <w:rStyle w:val="32"/>
          <w:color w:val="auto"/>
          <w:highlight w:val="none"/>
        </w:rPr>
        <w:t>合同工程完工证书颁发后的</w:t>
      </w:r>
      <w:r>
        <w:rPr>
          <w:rStyle w:val="32"/>
          <w:rFonts w:ascii="Times New Roman" w:hAnsi="Times New Roman" w:eastAsia="Times New Roman" w:cs="Times New Roman"/>
          <w:color w:val="auto"/>
          <w:highlight w:val="none"/>
        </w:rPr>
        <w:t>56</w:t>
      </w:r>
      <w:r>
        <w:rPr>
          <w:rStyle w:val="32"/>
          <w:color w:val="auto"/>
          <w:highlight w:val="none"/>
        </w:rPr>
        <w:t>天内，除了经监理人同意需在缺陷责任期（工程质量保修期）内继续工作和使用的人员、施工设备和临时工程外，其余的人员、施工设备和临时工程均应撤离施工场地或拆除。除合同另有约定外，缺陷责任期（工程质量保修期）满时, 承包人的人员和施工设备应全部撤离施工场地。</w:t>
      </w:r>
    </w:p>
    <w:p w14:paraId="3480FBCF">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057" w:name="bookmark1431"/>
      <w:bookmarkStart w:id="1058" w:name="_Toc15410"/>
      <w:bookmarkStart w:id="1059" w:name="_Toc1913"/>
      <w:bookmarkStart w:id="1060" w:name="bookmark1430"/>
      <w:bookmarkStart w:id="1061" w:name="_Toc256000142"/>
      <w:bookmarkStart w:id="1062" w:name="bookmark1432"/>
      <w:r>
        <w:rPr>
          <w:rStyle w:val="32"/>
          <w:rFonts w:hint="eastAsia" w:cs="Times New Roman"/>
          <w:color w:val="auto"/>
          <w:highlight w:val="none"/>
          <w:lang w:eastAsia="zh-CN"/>
        </w:rPr>
        <w:t>19.缺陷责任与保修责任</w:t>
      </w:r>
      <w:bookmarkEnd w:id="1057"/>
      <w:bookmarkEnd w:id="1058"/>
      <w:bookmarkEnd w:id="1059"/>
      <w:bookmarkEnd w:id="1060"/>
      <w:bookmarkEnd w:id="1061"/>
      <w:bookmarkEnd w:id="1062"/>
    </w:p>
    <w:p w14:paraId="5B905926">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63" w:name="bookmark1433"/>
      <w:bookmarkStart w:id="1064" w:name="bookmark1434"/>
      <w:bookmarkStart w:id="1065" w:name="_Toc13406"/>
      <w:bookmarkStart w:id="1066" w:name="_Toc22913"/>
      <w:bookmarkStart w:id="1067" w:name="bookmark1435"/>
      <w:bookmarkStart w:id="1068" w:name="_Toc256000143"/>
      <w:r>
        <w:rPr>
          <w:rStyle w:val="32"/>
          <w:rFonts w:ascii="宋体" w:hAnsi="宋体" w:cs="Times New Roman"/>
          <w:color w:val="auto"/>
          <w:sz w:val="24"/>
          <w:szCs w:val="24"/>
          <w:highlight w:val="none"/>
          <w:lang w:eastAsia="zh-CN"/>
        </w:rPr>
        <w:t>19.1缺陷责任期（工程质量保修期）的起算时间</w:t>
      </w:r>
      <w:bookmarkEnd w:id="1063"/>
      <w:bookmarkEnd w:id="1064"/>
      <w:bookmarkEnd w:id="1065"/>
      <w:bookmarkEnd w:id="1066"/>
      <w:bookmarkEnd w:id="1067"/>
      <w:bookmarkEnd w:id="1068"/>
    </w:p>
    <w:p w14:paraId="3A3B06F1">
      <w:pPr>
        <w:pStyle w:val="97"/>
        <w:pageBreakBefore w:val="0"/>
        <w:kinsoku/>
        <w:wordWrap/>
        <w:overflowPunct/>
        <w:topLinePunct w:val="0"/>
        <w:autoSpaceDE/>
        <w:autoSpaceDN/>
        <w:bidi w:val="0"/>
        <w:adjustRightInd/>
        <w:snapToGrid/>
        <w:spacing w:after="160" w:line="354" w:lineRule="exact"/>
        <w:ind w:firstLine="440"/>
        <w:jc w:val="both"/>
        <w:textAlignment w:val="auto"/>
        <w:outlineLvl w:val="9"/>
        <w:rPr>
          <w:rStyle w:val="32"/>
          <w:color w:val="auto"/>
          <w:highlight w:val="none"/>
        </w:rPr>
      </w:pPr>
      <w:r>
        <w:rPr>
          <w:rStyle w:val="32"/>
          <w:color w:val="auto"/>
          <w:highlight w:val="none"/>
        </w:rPr>
        <w:t>除专用合同条款另有约定外，缺陷责任期（工程质量保修期）从工程通过合同工程完 工验收后开始计算。在合同工程完工验收前，已经发包人提前验收的单位工程或部分工程, 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793D586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69" w:name="bookmark1438"/>
      <w:bookmarkStart w:id="1070" w:name="bookmark1436"/>
      <w:bookmarkStart w:id="1071" w:name="bookmark1437"/>
      <w:bookmarkStart w:id="1072" w:name="_Toc256000144"/>
      <w:bookmarkStart w:id="1073" w:name="_Toc27743"/>
      <w:bookmarkStart w:id="1074" w:name="_Toc4030"/>
      <w:r>
        <w:rPr>
          <w:rStyle w:val="32"/>
          <w:rFonts w:ascii="宋体" w:hAnsi="宋体" w:cs="Times New Roman"/>
          <w:color w:val="auto"/>
          <w:sz w:val="24"/>
          <w:szCs w:val="24"/>
          <w:highlight w:val="none"/>
          <w:lang w:eastAsia="zh-CN"/>
        </w:rPr>
        <w:t>19.2缺陷责任</w:t>
      </w:r>
      <w:bookmarkEnd w:id="1069"/>
      <w:bookmarkEnd w:id="1070"/>
      <w:bookmarkEnd w:id="1071"/>
      <w:bookmarkEnd w:id="1072"/>
      <w:bookmarkEnd w:id="1073"/>
      <w:bookmarkEnd w:id="1074"/>
    </w:p>
    <w:p w14:paraId="382307F7">
      <w:pPr>
        <w:pStyle w:val="97"/>
        <w:pageBreakBefore w:val="0"/>
        <w:tabs>
          <w:tab w:val="left" w:pos="853"/>
        </w:tabs>
        <w:kinsoku/>
        <w:wordWrap/>
        <w:overflowPunct/>
        <w:topLinePunct w:val="0"/>
        <w:autoSpaceDE/>
        <w:autoSpaceDN/>
        <w:bidi w:val="0"/>
        <w:adjustRightInd/>
        <w:snapToGrid/>
        <w:spacing w:line="360" w:lineRule="exact"/>
        <w:ind w:left="440" w:firstLine="0"/>
        <w:jc w:val="both"/>
        <w:textAlignment w:val="auto"/>
        <w:outlineLvl w:val="9"/>
        <w:rPr>
          <w:rStyle w:val="32"/>
          <w:color w:val="auto"/>
          <w:highlight w:val="none"/>
        </w:rPr>
      </w:pPr>
      <w:bookmarkStart w:id="1075" w:name="bookmark1439"/>
      <w:bookmarkEnd w:id="1075"/>
      <w:r>
        <w:rPr>
          <w:rStyle w:val="32"/>
          <w:rFonts w:hint="eastAsia" w:ascii="Times New Roman" w:hAnsi="Times New Roman" w:cs="Times New Roman"/>
          <w:color w:val="auto"/>
          <w:highlight w:val="none"/>
          <w:lang w:val="en-US" w:bidi="en-US"/>
        </w:rPr>
        <w:t>19.</w:t>
      </w:r>
      <w:r>
        <w:rPr>
          <w:rStyle w:val="32"/>
          <w:rFonts w:ascii="Times New Roman" w:hAnsi="Times New Roman" w:eastAsia="Times New Roman" w:cs="Times New Roman"/>
          <w:color w:val="auto"/>
          <w:highlight w:val="none"/>
          <w:lang w:val="en-US" w:bidi="en-US"/>
        </w:rPr>
        <w:t xml:space="preserve">2. </w:t>
      </w:r>
      <w:r>
        <w:rPr>
          <w:rStyle w:val="32"/>
          <w:rFonts w:ascii="Times New Roman" w:hAnsi="Times New Roman" w:eastAsia="Times New Roman" w:cs="Times New Roman"/>
          <w:color w:val="auto"/>
          <w:highlight w:val="none"/>
        </w:rPr>
        <w:t>1</w:t>
      </w:r>
      <w:r>
        <w:rPr>
          <w:rStyle w:val="32"/>
          <w:color w:val="auto"/>
          <w:highlight w:val="none"/>
        </w:rPr>
        <w:t>承包人应在缺陷责任期内对已交付使用的工程承担缺陷责任。</w:t>
      </w:r>
    </w:p>
    <w:p w14:paraId="6F841F59">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19.2.2</w:t>
      </w:r>
      <w:r>
        <w:rPr>
          <w:rStyle w:val="32"/>
          <w:color w:val="auto"/>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78EC22A9">
      <w:pPr>
        <w:pStyle w:val="97"/>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19.2.3</w:t>
      </w:r>
      <w:r>
        <w:rPr>
          <w:rStyle w:val="32"/>
          <w:color w:val="auto"/>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46C5534C">
      <w:pPr>
        <w:pStyle w:val="97"/>
        <w:pageBreakBefore w:val="0"/>
        <w:kinsoku/>
        <w:wordWrap/>
        <w:overflowPunct/>
        <w:topLinePunct w:val="0"/>
        <w:autoSpaceDE/>
        <w:autoSpaceDN/>
        <w:bidi w:val="0"/>
        <w:adjustRightInd/>
        <w:snapToGrid/>
        <w:spacing w:after="160"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19.2.4</w:t>
      </w:r>
      <w:r>
        <w:rPr>
          <w:rStyle w:val="32"/>
          <w:color w:val="auto"/>
          <w:highlight w:val="none"/>
        </w:rPr>
        <w:t>承包人不能在合理时间内修复缺陷的，发包人可自行修复或委托其他人修复, 所需费用和利润的承担，按第</w:t>
      </w:r>
      <w:r>
        <w:rPr>
          <w:rStyle w:val="32"/>
          <w:rFonts w:ascii="Times New Roman" w:hAnsi="Times New Roman" w:eastAsia="Times New Roman" w:cs="Times New Roman"/>
          <w:color w:val="auto"/>
          <w:highlight w:val="none"/>
          <w:lang w:val="en-US" w:bidi="en-US"/>
        </w:rPr>
        <w:t xml:space="preserve">19. 2. </w:t>
      </w:r>
      <w:r>
        <w:rPr>
          <w:rStyle w:val="32"/>
          <w:rFonts w:ascii="Times New Roman" w:hAnsi="Times New Roman" w:eastAsia="Times New Roman" w:cs="Times New Roman"/>
          <w:color w:val="auto"/>
          <w:highlight w:val="none"/>
        </w:rPr>
        <w:t>3</w:t>
      </w:r>
      <w:r>
        <w:rPr>
          <w:rStyle w:val="32"/>
          <w:color w:val="auto"/>
          <w:highlight w:val="none"/>
        </w:rPr>
        <w:t>项约定办理。</w:t>
      </w:r>
    </w:p>
    <w:p w14:paraId="55FED2C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76" w:name="bookmark1441"/>
      <w:bookmarkStart w:id="1077" w:name="_Toc18661"/>
      <w:bookmarkStart w:id="1078" w:name="_Toc19734"/>
      <w:bookmarkStart w:id="1079" w:name="bookmark1442"/>
      <w:bookmarkStart w:id="1080" w:name="bookmark1440"/>
      <w:bookmarkStart w:id="1081" w:name="_Toc256000145"/>
      <w:r>
        <w:rPr>
          <w:rStyle w:val="32"/>
          <w:rFonts w:ascii="宋体" w:hAnsi="宋体" w:cs="Times New Roman"/>
          <w:color w:val="auto"/>
          <w:sz w:val="24"/>
          <w:szCs w:val="24"/>
          <w:highlight w:val="none"/>
          <w:lang w:eastAsia="zh-CN"/>
        </w:rPr>
        <w:t>19.3缺陷责任期的延长</w:t>
      </w:r>
      <w:bookmarkEnd w:id="1076"/>
      <w:bookmarkEnd w:id="1077"/>
      <w:bookmarkEnd w:id="1078"/>
      <w:bookmarkEnd w:id="1079"/>
      <w:bookmarkEnd w:id="1080"/>
      <w:bookmarkEnd w:id="1081"/>
    </w:p>
    <w:p w14:paraId="700EC4E6">
      <w:pPr>
        <w:pStyle w:val="97"/>
        <w:pageBreakBefore w:val="0"/>
        <w:kinsoku/>
        <w:wordWrap/>
        <w:overflowPunct/>
        <w:topLinePunct w:val="0"/>
        <w:autoSpaceDE/>
        <w:autoSpaceDN/>
        <w:bidi w:val="0"/>
        <w:adjustRightInd/>
        <w:snapToGrid/>
        <w:spacing w:after="160" w:line="343" w:lineRule="exact"/>
        <w:ind w:firstLine="440"/>
        <w:jc w:val="both"/>
        <w:textAlignment w:val="auto"/>
        <w:outlineLvl w:val="9"/>
        <w:rPr>
          <w:rStyle w:val="32"/>
          <w:color w:val="auto"/>
          <w:highlight w:val="none"/>
        </w:rPr>
      </w:pPr>
      <w:r>
        <w:rPr>
          <w:rStyle w:val="32"/>
          <w:color w:val="auto"/>
          <w:highlight w:val="none"/>
        </w:rPr>
        <w:t>由于承包人原因造成某项缺陷或损坏使某项工程或工程设备不能按原定目标使用而需要再次检查、检验和修复的，发包人有权要求承包人相应延长缺陷责任期，但缺陷责任期最长不超过</w:t>
      </w:r>
      <w:r>
        <w:rPr>
          <w:rStyle w:val="32"/>
          <w:rFonts w:ascii="Times New Roman" w:hAnsi="Times New Roman" w:eastAsia="Times New Roman" w:cs="Times New Roman"/>
          <w:color w:val="auto"/>
          <w:highlight w:val="none"/>
        </w:rPr>
        <w:t>2</w:t>
      </w:r>
      <w:r>
        <w:rPr>
          <w:rStyle w:val="32"/>
          <w:color w:val="auto"/>
          <w:highlight w:val="none"/>
        </w:rPr>
        <w:t>年。</w:t>
      </w:r>
    </w:p>
    <w:p w14:paraId="24AF8F3C">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82" w:name="_Toc10058"/>
      <w:bookmarkStart w:id="1083" w:name="_Toc256000146"/>
      <w:bookmarkStart w:id="1084" w:name="bookmark1445"/>
      <w:bookmarkStart w:id="1085" w:name="bookmark1444"/>
      <w:bookmarkStart w:id="1086" w:name="_Toc4593"/>
      <w:bookmarkStart w:id="1087" w:name="bookmark1443"/>
      <w:r>
        <w:rPr>
          <w:rStyle w:val="32"/>
          <w:rFonts w:ascii="宋体" w:hAnsi="宋体" w:cs="Times New Roman"/>
          <w:color w:val="auto"/>
          <w:sz w:val="24"/>
          <w:szCs w:val="24"/>
          <w:highlight w:val="none"/>
          <w:lang w:eastAsia="zh-CN"/>
        </w:rPr>
        <w:t>19.4进一步试验和试运行</w:t>
      </w:r>
      <w:bookmarkEnd w:id="1082"/>
      <w:bookmarkEnd w:id="1083"/>
      <w:bookmarkEnd w:id="1084"/>
      <w:bookmarkEnd w:id="1085"/>
      <w:bookmarkEnd w:id="1086"/>
      <w:bookmarkEnd w:id="1087"/>
    </w:p>
    <w:p w14:paraId="3F964CCC">
      <w:pPr>
        <w:pStyle w:val="97"/>
        <w:pageBreakBefore w:val="0"/>
        <w:kinsoku/>
        <w:wordWrap/>
        <w:overflowPunct/>
        <w:topLinePunct w:val="0"/>
        <w:autoSpaceDE/>
        <w:autoSpaceDN/>
        <w:bidi w:val="0"/>
        <w:adjustRightInd/>
        <w:snapToGrid/>
        <w:spacing w:after="160" w:line="360" w:lineRule="exact"/>
        <w:ind w:firstLine="440"/>
        <w:jc w:val="both"/>
        <w:textAlignment w:val="auto"/>
        <w:outlineLvl w:val="9"/>
        <w:rPr>
          <w:rStyle w:val="32"/>
          <w:color w:val="auto"/>
          <w:highlight w:val="none"/>
        </w:rPr>
      </w:pPr>
      <w:r>
        <w:rPr>
          <w:rStyle w:val="32"/>
          <w:color w:val="auto"/>
          <w:highlight w:val="none"/>
        </w:rPr>
        <w:t>任何一项缺陷或损坏修复后，经检查证明其影响了工程或工程设备的使用性能，承包人应重新进行合同约定的试验和试运行，试验和试运行的全部费用应由责任方承担。</w:t>
      </w:r>
    </w:p>
    <w:p w14:paraId="2C6E20F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88" w:name="bookmark1446"/>
      <w:bookmarkStart w:id="1089" w:name="_Toc13710"/>
      <w:bookmarkStart w:id="1090" w:name="_Toc27517"/>
      <w:bookmarkStart w:id="1091" w:name="bookmark1448"/>
      <w:bookmarkStart w:id="1092" w:name="bookmark1447"/>
      <w:bookmarkStart w:id="1093" w:name="_Toc256000147"/>
      <w:r>
        <w:rPr>
          <w:rStyle w:val="32"/>
          <w:rFonts w:ascii="宋体" w:hAnsi="宋体" w:cs="Times New Roman"/>
          <w:color w:val="auto"/>
          <w:sz w:val="24"/>
          <w:szCs w:val="24"/>
          <w:highlight w:val="none"/>
          <w:lang w:eastAsia="zh-CN"/>
        </w:rPr>
        <w:t>19.5承包人的进入权</w:t>
      </w:r>
      <w:bookmarkEnd w:id="1088"/>
      <w:bookmarkEnd w:id="1089"/>
      <w:bookmarkEnd w:id="1090"/>
      <w:bookmarkEnd w:id="1091"/>
      <w:bookmarkEnd w:id="1092"/>
      <w:bookmarkEnd w:id="1093"/>
    </w:p>
    <w:p w14:paraId="77AE8A7D">
      <w:pPr>
        <w:pStyle w:val="97"/>
        <w:pageBreakBefore w:val="0"/>
        <w:kinsoku/>
        <w:wordWrap/>
        <w:overflowPunct/>
        <w:topLinePunct w:val="0"/>
        <w:autoSpaceDE/>
        <w:autoSpaceDN/>
        <w:bidi w:val="0"/>
        <w:adjustRightInd/>
        <w:snapToGrid/>
        <w:spacing w:after="160" w:line="362" w:lineRule="exact"/>
        <w:ind w:firstLine="440"/>
        <w:jc w:val="both"/>
        <w:textAlignment w:val="auto"/>
        <w:outlineLvl w:val="9"/>
        <w:rPr>
          <w:rStyle w:val="32"/>
          <w:color w:val="auto"/>
          <w:highlight w:val="none"/>
        </w:rPr>
      </w:pPr>
      <w:r>
        <w:rPr>
          <w:rStyle w:val="32"/>
          <w:color w:val="auto"/>
          <w:highlight w:val="none"/>
        </w:rPr>
        <w:t>缺陷责任期内承包人为缺陷修复工作需要，有权进入工程现场，但应遵守发包人的保安和保密规定。</w:t>
      </w:r>
    </w:p>
    <w:p w14:paraId="5026608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094" w:name="_Toc256000148"/>
      <w:bookmarkStart w:id="1095" w:name="bookmark1450"/>
      <w:bookmarkStart w:id="1096" w:name="bookmark1449"/>
      <w:bookmarkStart w:id="1097" w:name="bookmark1451"/>
      <w:bookmarkStart w:id="1098" w:name="_Toc16024"/>
      <w:bookmarkStart w:id="1099" w:name="_Toc18929"/>
      <w:r>
        <w:rPr>
          <w:rStyle w:val="32"/>
          <w:rFonts w:ascii="宋体" w:hAnsi="宋体" w:cs="Times New Roman"/>
          <w:color w:val="auto"/>
          <w:sz w:val="24"/>
          <w:szCs w:val="24"/>
          <w:highlight w:val="none"/>
          <w:lang w:eastAsia="zh-CN"/>
        </w:rPr>
        <w:t>19.6缺陷责任期终止证书（工程质量保修责任终止证书）</w:t>
      </w:r>
      <w:bookmarkEnd w:id="1094"/>
      <w:bookmarkEnd w:id="1095"/>
      <w:bookmarkEnd w:id="1096"/>
      <w:bookmarkEnd w:id="1097"/>
      <w:bookmarkEnd w:id="1098"/>
      <w:bookmarkEnd w:id="1099"/>
    </w:p>
    <w:p w14:paraId="6CCDFA5A">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color w:val="auto"/>
          <w:highlight w:val="none"/>
        </w:rPr>
        <w:t>合同工程完工验收后，发包人与承包人应办理工程交接手续，承包人应向发包人递交工程质量保修书。</w:t>
      </w:r>
    </w:p>
    <w:p w14:paraId="186A5400">
      <w:pPr>
        <w:pStyle w:val="97"/>
        <w:pageBreakBefore w:val="0"/>
        <w:kinsoku/>
        <w:wordWrap/>
        <w:overflowPunct/>
        <w:topLinePunct w:val="0"/>
        <w:autoSpaceDE/>
        <w:autoSpaceDN/>
        <w:bidi w:val="0"/>
        <w:adjustRightInd/>
        <w:snapToGrid/>
        <w:spacing w:after="160" w:line="361" w:lineRule="exact"/>
        <w:ind w:firstLine="440"/>
        <w:jc w:val="both"/>
        <w:textAlignment w:val="auto"/>
        <w:outlineLvl w:val="9"/>
        <w:rPr>
          <w:rStyle w:val="32"/>
          <w:color w:val="auto"/>
          <w:highlight w:val="none"/>
        </w:rPr>
      </w:pPr>
      <w:r>
        <w:rPr>
          <w:rStyle w:val="32"/>
          <w:color w:val="auto"/>
          <w:highlight w:val="none"/>
        </w:rPr>
        <w:t>缺陷责任期（工程质量保修期）满后</w:t>
      </w:r>
      <w:r>
        <w:rPr>
          <w:rStyle w:val="32"/>
          <w:rFonts w:ascii="Times New Roman" w:hAnsi="Times New Roman" w:eastAsia="Times New Roman" w:cs="Times New Roman"/>
          <w:color w:val="auto"/>
          <w:highlight w:val="none"/>
        </w:rPr>
        <w:t>30</w:t>
      </w:r>
      <w:r>
        <w:rPr>
          <w:rStyle w:val="32"/>
          <w:color w:val="auto"/>
          <w:highlight w:val="none"/>
        </w:rPr>
        <w:t>个工作日内，发包人应向承包人颁发工程质量保修责任终止证书，并退还剩余的质量保证金，但保修责任范围内的质量缺陷未处理完成的应除外。</w:t>
      </w:r>
    </w:p>
    <w:p w14:paraId="4BFD2FF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00" w:name="bookmark1452"/>
      <w:bookmarkStart w:id="1101" w:name="_Toc10377"/>
      <w:bookmarkStart w:id="1102" w:name="_Toc256000149"/>
      <w:bookmarkStart w:id="1103" w:name="bookmark1454"/>
      <w:bookmarkStart w:id="1104" w:name="bookmark1453"/>
      <w:bookmarkStart w:id="1105" w:name="_Toc4569"/>
      <w:r>
        <w:rPr>
          <w:rStyle w:val="32"/>
          <w:rFonts w:ascii="宋体" w:hAnsi="宋体" w:cs="Times New Roman"/>
          <w:color w:val="auto"/>
          <w:sz w:val="24"/>
          <w:szCs w:val="24"/>
          <w:highlight w:val="none"/>
          <w:lang w:eastAsia="zh-CN"/>
        </w:rPr>
        <w:t>19.7保修责任</w:t>
      </w:r>
      <w:bookmarkEnd w:id="1100"/>
      <w:bookmarkEnd w:id="1101"/>
      <w:bookmarkEnd w:id="1102"/>
      <w:bookmarkEnd w:id="1103"/>
      <w:bookmarkEnd w:id="1104"/>
      <w:bookmarkEnd w:id="1105"/>
    </w:p>
    <w:p w14:paraId="3CAD5B12">
      <w:pPr>
        <w:pStyle w:val="97"/>
        <w:pageBreakBefore w:val="0"/>
        <w:kinsoku/>
        <w:wordWrap/>
        <w:overflowPunct/>
        <w:topLinePunct w:val="0"/>
        <w:autoSpaceDE/>
        <w:autoSpaceDN/>
        <w:bidi w:val="0"/>
        <w:adjustRightInd/>
        <w:snapToGrid/>
        <w:spacing w:after="260" w:line="347" w:lineRule="exact"/>
        <w:ind w:firstLine="440"/>
        <w:jc w:val="both"/>
        <w:textAlignment w:val="auto"/>
        <w:outlineLvl w:val="9"/>
        <w:rPr>
          <w:rStyle w:val="32"/>
          <w:color w:val="auto"/>
          <w:highlight w:val="none"/>
        </w:rPr>
      </w:pPr>
      <w:r>
        <w:rPr>
          <w:rStyle w:val="32"/>
          <w:color w:val="auto"/>
          <w:highlight w:val="none"/>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608D9697">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106" w:name="_Toc8963"/>
      <w:bookmarkStart w:id="1107" w:name="bookmark1457"/>
      <w:bookmarkStart w:id="1108" w:name="_Toc31099"/>
      <w:bookmarkStart w:id="1109" w:name="_Toc256000150"/>
      <w:bookmarkStart w:id="1110" w:name="bookmark1455"/>
      <w:bookmarkStart w:id="1111" w:name="bookmark1456"/>
      <w:r>
        <w:rPr>
          <w:rStyle w:val="32"/>
          <w:rFonts w:hint="eastAsia" w:cs="Times New Roman"/>
          <w:color w:val="auto"/>
          <w:highlight w:val="none"/>
          <w:lang w:eastAsia="zh-CN"/>
        </w:rPr>
        <w:t>20.保险</w:t>
      </w:r>
      <w:bookmarkEnd w:id="1106"/>
      <w:bookmarkEnd w:id="1107"/>
      <w:bookmarkEnd w:id="1108"/>
      <w:bookmarkEnd w:id="1109"/>
    </w:p>
    <w:p w14:paraId="74DC9E8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12" w:name="_Toc15571"/>
      <w:bookmarkStart w:id="1113" w:name="bookmark1458"/>
      <w:bookmarkStart w:id="1114" w:name="_Toc256000151"/>
      <w:bookmarkStart w:id="1115" w:name="_Toc16520"/>
      <w:r>
        <w:rPr>
          <w:rStyle w:val="32"/>
          <w:rFonts w:ascii="宋体" w:hAnsi="宋体" w:cs="Times New Roman"/>
          <w:color w:val="auto"/>
          <w:sz w:val="24"/>
          <w:szCs w:val="24"/>
          <w:highlight w:val="none"/>
          <w:lang w:eastAsia="zh-CN"/>
        </w:rPr>
        <w:t>20.1工程保险</w:t>
      </w:r>
      <w:bookmarkEnd w:id="1110"/>
      <w:bookmarkEnd w:id="1111"/>
      <w:bookmarkEnd w:id="1112"/>
      <w:bookmarkEnd w:id="1113"/>
      <w:bookmarkEnd w:id="1114"/>
      <w:bookmarkEnd w:id="1115"/>
    </w:p>
    <w:p w14:paraId="7774B978">
      <w:pPr>
        <w:pStyle w:val="97"/>
        <w:pageBreakBefore w:val="0"/>
        <w:kinsoku/>
        <w:wordWrap/>
        <w:overflowPunct/>
        <w:topLinePunct w:val="0"/>
        <w:autoSpaceDE/>
        <w:autoSpaceDN/>
        <w:bidi w:val="0"/>
        <w:adjustRightInd/>
        <w:snapToGrid/>
        <w:spacing w:after="120" w:line="348" w:lineRule="exact"/>
        <w:ind w:firstLine="440"/>
        <w:jc w:val="both"/>
        <w:textAlignment w:val="auto"/>
        <w:outlineLvl w:val="9"/>
        <w:rPr>
          <w:rStyle w:val="32"/>
          <w:color w:val="auto"/>
          <w:highlight w:val="none"/>
        </w:rPr>
      </w:pPr>
      <w:r>
        <w:rPr>
          <w:rStyle w:val="32"/>
          <w:color w:val="auto"/>
          <w:highlight w:val="none"/>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7017238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16" w:name="bookmark1459"/>
      <w:bookmarkStart w:id="1117" w:name="_Toc19236"/>
      <w:bookmarkStart w:id="1118" w:name="_Toc12206"/>
      <w:bookmarkStart w:id="1119" w:name="_Toc256000152"/>
      <w:bookmarkStart w:id="1120" w:name="bookmark1461"/>
      <w:bookmarkStart w:id="1121" w:name="bookmark1460"/>
      <w:r>
        <w:rPr>
          <w:rStyle w:val="32"/>
          <w:rFonts w:ascii="宋体" w:hAnsi="宋体" w:cs="Times New Roman"/>
          <w:color w:val="auto"/>
          <w:sz w:val="24"/>
          <w:szCs w:val="24"/>
          <w:highlight w:val="none"/>
          <w:lang w:eastAsia="zh-CN"/>
        </w:rPr>
        <w:t>20.2人员工伤事故的保险</w:t>
      </w:r>
      <w:bookmarkEnd w:id="1116"/>
      <w:bookmarkEnd w:id="1117"/>
      <w:bookmarkEnd w:id="1118"/>
      <w:bookmarkEnd w:id="1119"/>
      <w:bookmarkEnd w:id="1120"/>
      <w:bookmarkEnd w:id="1121"/>
    </w:p>
    <w:p w14:paraId="40EF259F">
      <w:pPr>
        <w:pStyle w:val="97"/>
        <w:pageBreakBefore w:val="0"/>
        <w:tabs>
          <w:tab w:val="left" w:pos="878"/>
        </w:tabs>
        <w:kinsoku/>
        <w:wordWrap/>
        <w:overflowPunct/>
        <w:topLinePunct w:val="0"/>
        <w:autoSpaceDE/>
        <w:autoSpaceDN/>
        <w:bidi w:val="0"/>
        <w:adjustRightInd/>
        <w:snapToGrid/>
        <w:spacing w:line="353" w:lineRule="exact"/>
        <w:ind w:left="440" w:firstLine="0"/>
        <w:jc w:val="both"/>
        <w:textAlignment w:val="auto"/>
        <w:outlineLvl w:val="9"/>
        <w:rPr>
          <w:rStyle w:val="32"/>
          <w:color w:val="auto"/>
          <w:highlight w:val="none"/>
        </w:rPr>
      </w:pPr>
      <w:bookmarkStart w:id="1122" w:name="bookmark1462"/>
      <w:bookmarkEnd w:id="1122"/>
      <w:r>
        <w:rPr>
          <w:rStyle w:val="32"/>
          <w:rFonts w:hint="eastAsia" w:ascii="Times New Roman" w:hAnsi="Times New Roman" w:cs="Times New Roman"/>
          <w:color w:val="auto"/>
          <w:highlight w:val="none"/>
          <w:lang w:val="en-US" w:bidi="en-US"/>
        </w:rPr>
        <w:t>20.</w:t>
      </w:r>
      <w:r>
        <w:rPr>
          <w:rStyle w:val="32"/>
          <w:rFonts w:ascii="Times New Roman" w:hAnsi="Times New Roman" w:eastAsia="Times New Roman" w:cs="Times New Roman"/>
          <w:color w:val="auto"/>
          <w:highlight w:val="none"/>
          <w:lang w:val="en-US" w:bidi="en-US"/>
        </w:rPr>
        <w:t>2.</w:t>
      </w:r>
      <w:r>
        <w:rPr>
          <w:rStyle w:val="32"/>
          <w:rFonts w:ascii="Times New Roman" w:hAnsi="Times New Roman" w:eastAsia="Times New Roman" w:cs="Times New Roman"/>
          <w:color w:val="auto"/>
          <w:highlight w:val="none"/>
        </w:rPr>
        <w:t>1</w:t>
      </w:r>
      <w:r>
        <w:rPr>
          <w:rStyle w:val="32"/>
          <w:color w:val="auto"/>
          <w:highlight w:val="none"/>
        </w:rPr>
        <w:t>承包人员工伤事故的保险</w:t>
      </w:r>
    </w:p>
    <w:p w14:paraId="6261E786">
      <w:pPr>
        <w:pStyle w:val="97"/>
        <w:pageBreakBefore w:val="0"/>
        <w:kinsoku/>
        <w:wordWrap/>
        <w:overflowPunct/>
        <w:topLinePunct w:val="0"/>
        <w:autoSpaceDE/>
        <w:autoSpaceDN/>
        <w:bidi w:val="0"/>
        <w:adjustRightInd/>
        <w:snapToGrid/>
        <w:spacing w:line="353" w:lineRule="exact"/>
        <w:ind w:firstLine="440"/>
        <w:jc w:val="both"/>
        <w:textAlignment w:val="auto"/>
        <w:outlineLvl w:val="9"/>
        <w:rPr>
          <w:rStyle w:val="32"/>
          <w:color w:val="auto"/>
          <w:highlight w:val="none"/>
        </w:rPr>
      </w:pPr>
      <w:r>
        <w:rPr>
          <w:rStyle w:val="32"/>
          <w:color w:val="auto"/>
          <w:highlight w:val="none"/>
        </w:rPr>
        <w:t>承包人应依照有关法律规定参加工伤保险，为其履行合同所雇佣的全部人员，缴纳工 伤保险费，并要求其分包人也进行此项保险。</w:t>
      </w:r>
    </w:p>
    <w:p w14:paraId="1E2384BC">
      <w:pPr>
        <w:pStyle w:val="97"/>
        <w:pageBreakBefore w:val="0"/>
        <w:kinsoku/>
        <w:wordWrap/>
        <w:overflowPunct/>
        <w:topLinePunct w:val="0"/>
        <w:autoSpaceDE/>
        <w:autoSpaceDN/>
        <w:bidi w:val="0"/>
        <w:adjustRightInd/>
        <w:snapToGrid/>
        <w:spacing w:line="358"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20.2.</w:t>
      </w:r>
      <w:r>
        <w:rPr>
          <w:rStyle w:val="32"/>
          <w:rFonts w:ascii="Times New Roman" w:hAnsi="Times New Roman" w:eastAsia="Times New Roman" w:cs="Times New Roman"/>
          <w:color w:val="auto"/>
          <w:highlight w:val="none"/>
        </w:rPr>
        <w:t>2</w:t>
      </w:r>
      <w:r>
        <w:rPr>
          <w:rStyle w:val="32"/>
          <w:color w:val="auto"/>
          <w:highlight w:val="none"/>
        </w:rPr>
        <w:t>发包人员工伤事故的保险</w:t>
      </w:r>
    </w:p>
    <w:p w14:paraId="596F146D">
      <w:pPr>
        <w:pStyle w:val="97"/>
        <w:pageBreakBefore w:val="0"/>
        <w:kinsoku/>
        <w:wordWrap/>
        <w:overflowPunct/>
        <w:topLinePunct w:val="0"/>
        <w:autoSpaceDE/>
        <w:autoSpaceDN/>
        <w:bidi w:val="0"/>
        <w:adjustRightInd/>
        <w:snapToGrid/>
        <w:spacing w:after="120" w:line="358" w:lineRule="exact"/>
        <w:ind w:firstLine="440"/>
        <w:jc w:val="both"/>
        <w:textAlignment w:val="auto"/>
        <w:outlineLvl w:val="9"/>
        <w:rPr>
          <w:rStyle w:val="32"/>
          <w:color w:val="auto"/>
          <w:highlight w:val="none"/>
        </w:rPr>
      </w:pPr>
      <w:r>
        <w:rPr>
          <w:rStyle w:val="32"/>
          <w:color w:val="auto"/>
          <w:highlight w:val="none"/>
        </w:rPr>
        <w:t>发包人应依照有关法律规定参加工伤保险，为其现场机构雇佣的全部人员，缴纳工伤保险费，并要求其监理人也进行此项保险。</w:t>
      </w:r>
    </w:p>
    <w:p w14:paraId="4474529D">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23" w:name="bookmark1464"/>
      <w:bookmarkStart w:id="1124" w:name="bookmark1465"/>
      <w:bookmarkStart w:id="1125" w:name="_Toc256000153"/>
      <w:bookmarkStart w:id="1126" w:name="_Toc9146"/>
      <w:bookmarkStart w:id="1127" w:name="bookmark1463"/>
      <w:bookmarkStart w:id="1128" w:name="_Toc23979"/>
      <w:r>
        <w:rPr>
          <w:rStyle w:val="32"/>
          <w:rFonts w:ascii="宋体" w:hAnsi="宋体" w:cs="Times New Roman"/>
          <w:color w:val="auto"/>
          <w:sz w:val="24"/>
          <w:szCs w:val="24"/>
          <w:highlight w:val="none"/>
          <w:lang w:eastAsia="zh-CN"/>
        </w:rPr>
        <w:t>20.3人身意外伤害险</w:t>
      </w:r>
      <w:bookmarkEnd w:id="1123"/>
      <w:bookmarkEnd w:id="1124"/>
      <w:bookmarkEnd w:id="1125"/>
      <w:bookmarkEnd w:id="1126"/>
      <w:bookmarkEnd w:id="1127"/>
      <w:bookmarkEnd w:id="1128"/>
    </w:p>
    <w:p w14:paraId="0B76C43B">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20.3.1</w:t>
      </w:r>
      <w:r>
        <w:rPr>
          <w:rStyle w:val="32"/>
          <w:color w:val="auto"/>
          <w:highlight w:val="none"/>
        </w:rPr>
        <w:t>发包人应在整个施工期间为其现场机构雇用的全部人员，投保人身意外伤害险，缴纳保险费，并要求其监理人也进行此项保险。</w:t>
      </w:r>
    </w:p>
    <w:p w14:paraId="11B70109">
      <w:pPr>
        <w:pStyle w:val="97"/>
        <w:pageBreakBefore w:val="0"/>
        <w:kinsoku/>
        <w:wordWrap/>
        <w:overflowPunct/>
        <w:topLinePunct w:val="0"/>
        <w:autoSpaceDE/>
        <w:autoSpaceDN/>
        <w:bidi w:val="0"/>
        <w:adjustRightInd/>
        <w:snapToGrid/>
        <w:spacing w:after="120"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20.3.2</w:t>
      </w:r>
      <w:r>
        <w:rPr>
          <w:rStyle w:val="32"/>
          <w:color w:val="auto"/>
          <w:highlight w:val="none"/>
        </w:rPr>
        <w:t>承包人应在整个施工期间为其现场机构雇用的全部人员，投保人身意外伤害险，缴纳保险费，并要求其分包人也进行此项保险。</w:t>
      </w:r>
    </w:p>
    <w:p w14:paraId="70D439AB">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29" w:name="_Toc256000154"/>
      <w:bookmarkStart w:id="1130" w:name="_Toc10679"/>
      <w:bookmarkStart w:id="1131" w:name="bookmark1467"/>
      <w:bookmarkStart w:id="1132" w:name="bookmark1468"/>
      <w:bookmarkStart w:id="1133" w:name="bookmark1466"/>
      <w:bookmarkStart w:id="1134" w:name="_Toc10666"/>
      <w:r>
        <w:rPr>
          <w:rStyle w:val="32"/>
          <w:rFonts w:ascii="宋体" w:hAnsi="宋体" w:cs="Times New Roman"/>
          <w:color w:val="auto"/>
          <w:sz w:val="24"/>
          <w:szCs w:val="24"/>
          <w:highlight w:val="none"/>
          <w:lang w:eastAsia="zh-CN"/>
        </w:rPr>
        <w:t>20.4第三者责任险</w:t>
      </w:r>
      <w:bookmarkEnd w:id="1129"/>
      <w:bookmarkEnd w:id="1130"/>
      <w:bookmarkEnd w:id="1131"/>
      <w:bookmarkEnd w:id="1132"/>
      <w:bookmarkEnd w:id="1133"/>
      <w:bookmarkEnd w:id="1134"/>
    </w:p>
    <w:p w14:paraId="7C2DF797">
      <w:pPr>
        <w:pStyle w:val="97"/>
        <w:pageBreakBefore w:val="0"/>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20.4.1</w:t>
      </w:r>
      <w:r>
        <w:rPr>
          <w:rStyle w:val="32"/>
          <w:color w:val="auto"/>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2448896E">
      <w:pPr>
        <w:pStyle w:val="97"/>
        <w:pageBreakBefore w:val="0"/>
        <w:kinsoku/>
        <w:wordWrap/>
        <w:overflowPunct/>
        <w:topLinePunct w:val="0"/>
        <w:autoSpaceDE/>
        <w:autoSpaceDN/>
        <w:bidi w:val="0"/>
        <w:adjustRightInd/>
        <w:snapToGrid/>
        <w:spacing w:after="120" w:line="361"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20.4.2</w:t>
      </w:r>
      <w:r>
        <w:rPr>
          <w:rStyle w:val="32"/>
          <w:color w:val="auto"/>
          <w:highlight w:val="none"/>
        </w:rPr>
        <w:t>在缺陷责任期终止证书颁发前，承包人应以承包人和发包人的共同名义，投保第</w:t>
      </w:r>
      <w:r>
        <w:rPr>
          <w:rStyle w:val="32"/>
          <w:rFonts w:ascii="Times New Roman" w:hAnsi="Times New Roman" w:eastAsia="Times New Roman" w:cs="Times New Roman"/>
          <w:color w:val="auto"/>
          <w:highlight w:val="none"/>
          <w:lang w:val="en-US" w:bidi="en-US"/>
        </w:rPr>
        <w:t>20. 4.1</w:t>
      </w:r>
      <w:r>
        <w:rPr>
          <w:rStyle w:val="32"/>
          <w:color w:val="auto"/>
          <w:highlight w:val="none"/>
        </w:rPr>
        <w:t>项约定的第三者责任险，其保险费率、保险金额等有关内容在专用合同条款中约定。</w:t>
      </w:r>
    </w:p>
    <w:p w14:paraId="0C1E0CB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35" w:name="bookmark1471"/>
      <w:bookmarkStart w:id="1136" w:name="bookmark1469"/>
      <w:bookmarkStart w:id="1137" w:name="_Toc256000155"/>
      <w:bookmarkStart w:id="1138" w:name="_Toc15855"/>
      <w:bookmarkStart w:id="1139" w:name="bookmark1470"/>
      <w:bookmarkStart w:id="1140" w:name="_Toc18039"/>
      <w:r>
        <w:rPr>
          <w:rStyle w:val="32"/>
          <w:rFonts w:ascii="宋体" w:hAnsi="宋体" w:cs="Times New Roman"/>
          <w:color w:val="auto"/>
          <w:sz w:val="24"/>
          <w:szCs w:val="24"/>
          <w:highlight w:val="none"/>
          <w:lang w:eastAsia="zh-CN"/>
        </w:rPr>
        <w:t>20.5其他保险</w:t>
      </w:r>
      <w:bookmarkEnd w:id="1135"/>
      <w:bookmarkEnd w:id="1136"/>
      <w:bookmarkEnd w:id="1137"/>
      <w:bookmarkEnd w:id="1138"/>
      <w:bookmarkEnd w:id="1139"/>
      <w:bookmarkEnd w:id="1140"/>
    </w:p>
    <w:p w14:paraId="1EBDEE2D">
      <w:pPr>
        <w:pStyle w:val="97"/>
        <w:pageBreakBefore w:val="0"/>
        <w:kinsoku/>
        <w:wordWrap/>
        <w:overflowPunct/>
        <w:topLinePunct w:val="0"/>
        <w:autoSpaceDE/>
        <w:autoSpaceDN/>
        <w:bidi w:val="0"/>
        <w:adjustRightInd/>
        <w:snapToGrid/>
        <w:spacing w:after="120" w:line="350" w:lineRule="exact"/>
        <w:ind w:firstLine="440"/>
        <w:jc w:val="both"/>
        <w:textAlignment w:val="auto"/>
        <w:outlineLvl w:val="9"/>
        <w:rPr>
          <w:rStyle w:val="32"/>
          <w:color w:val="auto"/>
          <w:highlight w:val="none"/>
        </w:rPr>
      </w:pPr>
      <w:r>
        <w:rPr>
          <w:rStyle w:val="32"/>
          <w:color w:val="auto"/>
          <w:highlight w:val="none"/>
        </w:rPr>
        <w:t>除专用合同条款另有约定外，承包人应为其施工设备、进场的材料和工程设备等办理保险。</w:t>
      </w:r>
    </w:p>
    <w:p w14:paraId="540222A9">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41" w:name="_Toc9403"/>
      <w:bookmarkStart w:id="1142" w:name="_Toc20306"/>
      <w:bookmarkStart w:id="1143" w:name="bookmark1472"/>
      <w:bookmarkStart w:id="1144" w:name="_Toc256000156"/>
      <w:bookmarkStart w:id="1145" w:name="bookmark1473"/>
      <w:bookmarkStart w:id="1146" w:name="bookmark1474"/>
      <w:r>
        <w:rPr>
          <w:rStyle w:val="32"/>
          <w:rFonts w:ascii="宋体" w:hAnsi="宋体" w:cs="Times New Roman"/>
          <w:color w:val="auto"/>
          <w:sz w:val="24"/>
          <w:szCs w:val="24"/>
          <w:highlight w:val="none"/>
          <w:lang w:eastAsia="zh-CN"/>
        </w:rPr>
        <w:t>20.6对各项保险的一般要求</w:t>
      </w:r>
      <w:bookmarkEnd w:id="1141"/>
      <w:bookmarkEnd w:id="1142"/>
      <w:bookmarkEnd w:id="1143"/>
      <w:bookmarkEnd w:id="1144"/>
      <w:bookmarkEnd w:id="1145"/>
      <w:bookmarkEnd w:id="1146"/>
    </w:p>
    <w:p w14:paraId="1AF959A9">
      <w:pPr>
        <w:pStyle w:val="98"/>
        <w:pageBreakBefore w:val="0"/>
        <w:kinsoku/>
        <w:wordWrap/>
        <w:overflowPunct/>
        <w:topLinePunct w:val="0"/>
        <w:autoSpaceDE/>
        <w:autoSpaceDN/>
        <w:bidi w:val="0"/>
        <w:adjustRightInd/>
        <w:snapToGrid/>
        <w:spacing w:after="0" w:line="360" w:lineRule="exact"/>
        <w:ind w:firstLine="442"/>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20. 6.</w:t>
      </w:r>
      <w:r>
        <w:rPr>
          <w:rStyle w:val="32"/>
          <w:rFonts w:ascii="Times New Roman" w:hAnsi="Times New Roman" w:cs="Times New Roman"/>
          <w:color w:val="auto"/>
          <w:highlight w:val="none"/>
          <w:lang w:val="zh-CN" w:eastAsia="zh-CN" w:bidi="zh-CN"/>
        </w:rPr>
        <w:t>1</w:t>
      </w:r>
      <w:r>
        <w:rPr>
          <w:rStyle w:val="32"/>
          <w:rFonts w:ascii="宋体" w:hAnsi="宋体" w:cs="宋体"/>
          <w:color w:val="auto"/>
          <w:highlight w:val="none"/>
          <w:lang w:val="zh-CN" w:eastAsia="zh-CN" w:bidi="zh-CN"/>
        </w:rPr>
        <w:t>保险凭证</w:t>
      </w:r>
    </w:p>
    <w:p w14:paraId="5F683F1C">
      <w:pPr>
        <w:pStyle w:val="97"/>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color w:val="auto"/>
          <w:highlight w:val="none"/>
        </w:rPr>
        <w:t>承包人应在专用合同条款约定的期限内向发包人提交各项保险生效的证据和保险单副本，保险单必须与专用合同条款约定的条件保持一致。</w:t>
      </w:r>
    </w:p>
    <w:p w14:paraId="499AD834">
      <w:pPr>
        <w:pStyle w:val="97"/>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20.6.2</w:t>
      </w:r>
      <w:r>
        <w:rPr>
          <w:rStyle w:val="32"/>
          <w:color w:val="auto"/>
          <w:highlight w:val="none"/>
        </w:rPr>
        <w:t>保险合同条款的变动</w:t>
      </w:r>
    </w:p>
    <w:p w14:paraId="260B8DC6">
      <w:pPr>
        <w:pStyle w:val="97"/>
        <w:pageBreakBefore w:val="0"/>
        <w:kinsoku/>
        <w:wordWrap/>
        <w:overflowPunct/>
        <w:topLinePunct w:val="0"/>
        <w:autoSpaceDE/>
        <w:autoSpaceDN/>
        <w:bidi w:val="0"/>
        <w:adjustRightInd/>
        <w:snapToGrid/>
        <w:spacing w:after="120" w:line="360" w:lineRule="exact"/>
        <w:ind w:firstLine="442"/>
        <w:jc w:val="both"/>
        <w:textAlignment w:val="auto"/>
        <w:outlineLvl w:val="9"/>
        <w:rPr>
          <w:rStyle w:val="32"/>
          <w:color w:val="auto"/>
          <w:highlight w:val="none"/>
        </w:rPr>
      </w:pPr>
      <w:r>
        <w:rPr>
          <w:rStyle w:val="32"/>
          <w:color w:val="auto"/>
          <w:highlight w:val="none"/>
        </w:rPr>
        <w:t>承包人需要变动保险合同条款时，应事先征得发包人同意，并通知监理人。保险人作出变动的，承包人应在收到保险人通知后立即通知发包人和监理人。</w:t>
      </w:r>
    </w:p>
    <w:p w14:paraId="5D529FD4">
      <w:pPr>
        <w:pStyle w:val="98"/>
        <w:pageBreakBefore w:val="0"/>
        <w:kinsoku/>
        <w:wordWrap/>
        <w:overflowPunct/>
        <w:topLinePunct w:val="0"/>
        <w:autoSpaceDE/>
        <w:autoSpaceDN/>
        <w:bidi w:val="0"/>
        <w:adjustRightInd/>
        <w:snapToGrid/>
        <w:spacing w:after="0" w:line="360" w:lineRule="exact"/>
        <w:ind w:firstLine="442"/>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20.6.</w:t>
      </w:r>
      <w:r>
        <w:rPr>
          <w:rStyle w:val="32"/>
          <w:rFonts w:ascii="Times New Roman" w:hAnsi="Times New Roman" w:cs="Times New Roman"/>
          <w:color w:val="auto"/>
          <w:highlight w:val="none"/>
          <w:lang w:val="zh-CN" w:eastAsia="zh-CN" w:bidi="zh-CN"/>
        </w:rPr>
        <w:t>3</w:t>
      </w:r>
      <w:r>
        <w:rPr>
          <w:rStyle w:val="32"/>
          <w:rFonts w:ascii="宋体" w:hAnsi="宋体" w:cs="宋体"/>
          <w:color w:val="auto"/>
          <w:highlight w:val="none"/>
          <w:lang w:val="zh-CN" w:eastAsia="zh-CN" w:bidi="zh-CN"/>
        </w:rPr>
        <w:t>持续保险</w:t>
      </w:r>
    </w:p>
    <w:p w14:paraId="5ABDF211">
      <w:pPr>
        <w:pStyle w:val="97"/>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color w:val="auto"/>
          <w:highlight w:val="none"/>
        </w:rPr>
        <w:t>承包人应与保险人保持联系，使保险人能够随时了解工程实施中的变动，并确保按保险合同条款要求持续保险。</w:t>
      </w:r>
    </w:p>
    <w:p w14:paraId="5A49707A">
      <w:pPr>
        <w:pStyle w:val="97"/>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20.6.4</w:t>
      </w:r>
      <w:r>
        <w:rPr>
          <w:rStyle w:val="32"/>
          <w:color w:val="auto"/>
          <w:highlight w:val="none"/>
        </w:rPr>
        <w:t>保险金不足的补偿</w:t>
      </w:r>
    </w:p>
    <w:p w14:paraId="3CC6E680">
      <w:pPr>
        <w:pStyle w:val="97"/>
        <w:pageBreakBefore w:val="0"/>
        <w:kinsoku/>
        <w:wordWrap/>
        <w:overflowPunct/>
        <w:topLinePunct w:val="0"/>
        <w:autoSpaceDE/>
        <w:autoSpaceDN/>
        <w:bidi w:val="0"/>
        <w:adjustRightInd/>
        <w:snapToGrid/>
        <w:spacing w:after="120" w:line="360" w:lineRule="exact"/>
        <w:ind w:firstLine="442"/>
        <w:jc w:val="both"/>
        <w:textAlignment w:val="auto"/>
        <w:outlineLvl w:val="9"/>
        <w:rPr>
          <w:rStyle w:val="32"/>
          <w:color w:val="auto"/>
          <w:highlight w:val="none"/>
        </w:rPr>
      </w:pPr>
      <w:r>
        <w:rPr>
          <w:rStyle w:val="32"/>
          <w:color w:val="auto"/>
          <w:highlight w:val="none"/>
        </w:rPr>
        <w:t>保险金不足以补偿损失时，应由承包人和发包人各自负责补偿的范围和金额在专用合 同条款中约定。</w:t>
      </w:r>
    </w:p>
    <w:p w14:paraId="3BFF60C0">
      <w:pPr>
        <w:pStyle w:val="97"/>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eastAsia="en-US" w:bidi="en-US"/>
        </w:rPr>
        <w:t>20. 6.</w:t>
      </w:r>
      <w:r>
        <w:rPr>
          <w:rStyle w:val="32"/>
          <w:rFonts w:ascii="Times New Roman" w:hAnsi="Times New Roman" w:eastAsia="Times New Roman" w:cs="Times New Roman"/>
          <w:color w:val="auto"/>
          <w:highlight w:val="none"/>
        </w:rPr>
        <w:t>5</w:t>
      </w:r>
      <w:r>
        <w:rPr>
          <w:rStyle w:val="32"/>
          <w:color w:val="auto"/>
          <w:highlight w:val="none"/>
        </w:rPr>
        <w:t>未按约定投保的补救</w:t>
      </w:r>
    </w:p>
    <w:p w14:paraId="1C7C7E93">
      <w:pPr>
        <w:pStyle w:val="97"/>
        <w:pageBreakBefore w:val="0"/>
        <w:numPr>
          <w:ilvl w:val="0"/>
          <w:numId w:val="29"/>
        </w:numPr>
        <w:tabs>
          <w:tab w:val="left" w:pos="903"/>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147" w:name="bookmark1475"/>
      <w:bookmarkEnd w:id="1147"/>
      <w:r>
        <w:rPr>
          <w:rStyle w:val="32"/>
          <w:color w:val="auto"/>
          <w:highlight w:val="none"/>
        </w:rPr>
        <w:t>由于负有投保义务的一方当事人未按合同约定办理保险，或未能使保险持续有效的，另一方当事人可代为办理，所需费用由对方当事人承担。</w:t>
      </w:r>
    </w:p>
    <w:p w14:paraId="4B644FD8">
      <w:pPr>
        <w:pStyle w:val="97"/>
        <w:pageBreakBefore w:val="0"/>
        <w:numPr>
          <w:ilvl w:val="0"/>
          <w:numId w:val="29"/>
        </w:numPr>
        <w:tabs>
          <w:tab w:val="left" w:pos="915"/>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148" w:name="bookmark1476"/>
      <w:bookmarkEnd w:id="1148"/>
      <w:r>
        <w:rPr>
          <w:rStyle w:val="32"/>
          <w:color w:val="auto"/>
          <w:highlight w:val="none"/>
        </w:rPr>
        <w:t>由于负有投保义务的一方当事人未按合同约定办理某项保险，导致受益人未能得到保险人的赔偿，原应从该项保险得到的保险金应由负有投保义务的一方当事人支付。</w:t>
      </w:r>
    </w:p>
    <w:p w14:paraId="42668BEA">
      <w:pPr>
        <w:pStyle w:val="98"/>
        <w:pageBreakBefore w:val="0"/>
        <w:kinsoku/>
        <w:wordWrap/>
        <w:overflowPunct/>
        <w:topLinePunct w:val="0"/>
        <w:autoSpaceDE/>
        <w:autoSpaceDN/>
        <w:bidi w:val="0"/>
        <w:adjustRightInd/>
        <w:snapToGrid/>
        <w:spacing w:after="0" w:line="353" w:lineRule="exact"/>
        <w:jc w:val="both"/>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20.6.6</w:t>
      </w:r>
      <w:r>
        <w:rPr>
          <w:rStyle w:val="32"/>
          <w:rFonts w:ascii="宋体" w:hAnsi="宋体" w:cs="宋体"/>
          <w:color w:val="auto"/>
          <w:highlight w:val="none"/>
          <w:lang w:val="zh-CN" w:eastAsia="zh-CN" w:bidi="zh-CN"/>
        </w:rPr>
        <w:t>报告义务</w:t>
      </w:r>
    </w:p>
    <w:p w14:paraId="721EAC3E">
      <w:pPr>
        <w:pStyle w:val="97"/>
        <w:pageBreakBefore w:val="0"/>
        <w:kinsoku/>
        <w:wordWrap/>
        <w:overflowPunct/>
        <w:topLinePunct w:val="0"/>
        <w:autoSpaceDE/>
        <w:autoSpaceDN/>
        <w:bidi w:val="0"/>
        <w:adjustRightInd/>
        <w:snapToGrid/>
        <w:spacing w:after="120" w:line="353" w:lineRule="exact"/>
        <w:ind w:firstLine="420"/>
        <w:jc w:val="both"/>
        <w:textAlignment w:val="auto"/>
        <w:outlineLvl w:val="9"/>
        <w:rPr>
          <w:rStyle w:val="32"/>
          <w:color w:val="auto"/>
          <w:highlight w:val="none"/>
        </w:rPr>
      </w:pPr>
      <w:r>
        <w:rPr>
          <w:rStyle w:val="32"/>
          <w:color w:val="auto"/>
          <w:highlight w:val="none"/>
        </w:rPr>
        <w:t>当保险事故发生时，投保人应按照保险单规定的条件和期限及时向保险人报告。</w:t>
      </w:r>
    </w:p>
    <w:p w14:paraId="4BC95FC4">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49" w:name="_Toc1749"/>
      <w:bookmarkStart w:id="1150" w:name="bookmark1479"/>
      <w:bookmarkStart w:id="1151" w:name="_Toc256000157"/>
      <w:bookmarkStart w:id="1152" w:name="_Toc12103"/>
      <w:bookmarkStart w:id="1153" w:name="bookmark1477"/>
      <w:bookmarkStart w:id="1154" w:name="bookmark1478"/>
      <w:r>
        <w:rPr>
          <w:rStyle w:val="32"/>
          <w:rFonts w:ascii="宋体" w:hAnsi="宋体" w:cs="Times New Roman"/>
          <w:color w:val="auto"/>
          <w:sz w:val="24"/>
          <w:szCs w:val="24"/>
          <w:highlight w:val="none"/>
          <w:lang w:eastAsia="zh-CN"/>
        </w:rPr>
        <w:t>20.7风险责任的转移</w:t>
      </w:r>
      <w:bookmarkEnd w:id="1149"/>
      <w:bookmarkEnd w:id="1150"/>
      <w:bookmarkEnd w:id="1151"/>
      <w:bookmarkEnd w:id="1152"/>
      <w:bookmarkEnd w:id="1153"/>
      <w:bookmarkEnd w:id="1154"/>
    </w:p>
    <w:p w14:paraId="5B9ADA9F">
      <w:pPr>
        <w:pStyle w:val="97"/>
        <w:pageBreakBefore w:val="0"/>
        <w:kinsoku/>
        <w:wordWrap/>
        <w:overflowPunct/>
        <w:topLinePunct w:val="0"/>
        <w:autoSpaceDE/>
        <w:autoSpaceDN/>
        <w:bidi w:val="0"/>
        <w:adjustRightInd/>
        <w:snapToGrid/>
        <w:spacing w:after="260" w:line="353" w:lineRule="exact"/>
        <w:ind w:firstLine="440"/>
        <w:jc w:val="both"/>
        <w:textAlignment w:val="auto"/>
        <w:outlineLvl w:val="9"/>
        <w:rPr>
          <w:rStyle w:val="32"/>
          <w:color w:val="auto"/>
          <w:highlight w:val="none"/>
        </w:rPr>
      </w:pPr>
      <w:r>
        <w:rPr>
          <w:rStyle w:val="32"/>
          <w:color w:val="auto"/>
          <w:highlight w:val="none"/>
        </w:rPr>
        <w:t>工程通过合同工程完工验收并移交给发包人后，原由承包人应承担的风险责任，以及保险的责任、权利和义务同时转移给发包人，但承包人在缺陷责任期(工程质量保修期) 前造成损失和损坏情形除外</w:t>
      </w:r>
      <w:r>
        <w:rPr>
          <w:rStyle w:val="32"/>
          <w:color w:val="auto"/>
          <w:highlight w:val="none"/>
          <w:lang w:val="en-US" w:bidi="en-US"/>
        </w:rPr>
        <w:t>。</w:t>
      </w:r>
    </w:p>
    <w:p w14:paraId="7445F1A3">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155" w:name="bookmark1482"/>
      <w:bookmarkStart w:id="1156" w:name="_Toc24408"/>
      <w:bookmarkStart w:id="1157" w:name="bookmark1480"/>
      <w:bookmarkStart w:id="1158" w:name="_Toc5879"/>
      <w:bookmarkStart w:id="1159" w:name="_Toc256000158"/>
      <w:bookmarkStart w:id="1160" w:name="bookmark1481"/>
      <w:r>
        <w:rPr>
          <w:rStyle w:val="32"/>
          <w:rFonts w:hint="eastAsia" w:cs="Times New Roman"/>
          <w:color w:val="auto"/>
          <w:highlight w:val="none"/>
          <w:lang w:eastAsia="zh-CN"/>
        </w:rPr>
        <w:t>21.不可抗力</w:t>
      </w:r>
      <w:bookmarkEnd w:id="1155"/>
      <w:bookmarkEnd w:id="1156"/>
      <w:bookmarkEnd w:id="1157"/>
      <w:bookmarkEnd w:id="1158"/>
      <w:bookmarkEnd w:id="1159"/>
      <w:bookmarkEnd w:id="1160"/>
    </w:p>
    <w:p w14:paraId="6E76BC12">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61" w:name="_Toc18271"/>
      <w:bookmarkStart w:id="1162" w:name="bookmark1484"/>
      <w:bookmarkStart w:id="1163" w:name="_Toc15722"/>
      <w:bookmarkStart w:id="1164" w:name="bookmark1483"/>
      <w:bookmarkStart w:id="1165" w:name="bookmark1485"/>
      <w:bookmarkStart w:id="1166" w:name="_Toc256000159"/>
      <w:r>
        <w:rPr>
          <w:rStyle w:val="32"/>
          <w:rFonts w:ascii="宋体" w:hAnsi="宋体" w:cs="Times New Roman"/>
          <w:color w:val="auto"/>
          <w:sz w:val="24"/>
          <w:szCs w:val="24"/>
          <w:highlight w:val="none"/>
          <w:lang w:eastAsia="zh-CN"/>
        </w:rPr>
        <w:t>21.1不可抗力的确认</w:t>
      </w:r>
      <w:bookmarkEnd w:id="1161"/>
      <w:bookmarkEnd w:id="1162"/>
      <w:bookmarkEnd w:id="1163"/>
      <w:bookmarkEnd w:id="1164"/>
      <w:bookmarkEnd w:id="1165"/>
      <w:bookmarkEnd w:id="1166"/>
    </w:p>
    <w:p w14:paraId="0A9815E5">
      <w:pPr>
        <w:pStyle w:val="97"/>
        <w:pageBreakBefore w:val="0"/>
        <w:kinsoku/>
        <w:wordWrap/>
        <w:overflowPunct/>
        <w:topLinePunct w:val="0"/>
        <w:autoSpaceDE/>
        <w:autoSpaceDN/>
        <w:bidi w:val="0"/>
        <w:adjustRightInd/>
        <w:snapToGrid/>
        <w:spacing w:line="353"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21.1.1</w:t>
      </w:r>
      <w:r>
        <w:rPr>
          <w:rStyle w:val="32"/>
          <w:color w:val="auto"/>
          <w:highlight w:val="none"/>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27D217C2">
      <w:pPr>
        <w:pStyle w:val="97"/>
        <w:pageBreakBefore w:val="0"/>
        <w:kinsoku/>
        <w:wordWrap/>
        <w:overflowPunct/>
        <w:topLinePunct w:val="0"/>
        <w:autoSpaceDE/>
        <w:autoSpaceDN/>
        <w:bidi w:val="0"/>
        <w:adjustRightInd/>
        <w:snapToGrid/>
        <w:spacing w:after="120" w:line="353"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21.1.2</w:t>
      </w:r>
      <w:r>
        <w:rPr>
          <w:rStyle w:val="32"/>
          <w:color w:val="auto"/>
          <w:highlight w:val="none"/>
        </w:rPr>
        <w:t>不可抗力发生后，发包人和承包人应及时认真统计所造成的损失，收集不可抗力造成损失的证据。合同双方对是否属于不可抗力或其损失的意见不一致的，由监理人按第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款商定或确定。发生争议时，按第</w:t>
      </w:r>
      <w:r>
        <w:rPr>
          <w:rStyle w:val="32"/>
          <w:rFonts w:ascii="Times New Roman" w:hAnsi="Times New Roman" w:eastAsia="Times New Roman" w:cs="Times New Roman"/>
          <w:color w:val="auto"/>
          <w:highlight w:val="none"/>
        </w:rPr>
        <w:t>24</w:t>
      </w:r>
      <w:r>
        <w:rPr>
          <w:rStyle w:val="32"/>
          <w:color w:val="auto"/>
          <w:highlight w:val="none"/>
        </w:rPr>
        <w:t>条的约定办理。</w:t>
      </w:r>
    </w:p>
    <w:p w14:paraId="60E1BBC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67" w:name="bookmark1486"/>
      <w:bookmarkStart w:id="1168" w:name="bookmark1488"/>
      <w:bookmarkStart w:id="1169" w:name="_Toc5372"/>
      <w:bookmarkStart w:id="1170" w:name="_Toc2385"/>
      <w:bookmarkStart w:id="1171" w:name="bookmark1487"/>
      <w:bookmarkStart w:id="1172" w:name="_Toc256000160"/>
      <w:r>
        <w:rPr>
          <w:rStyle w:val="32"/>
          <w:rFonts w:ascii="宋体" w:hAnsi="宋体" w:cs="Times New Roman"/>
          <w:color w:val="auto"/>
          <w:sz w:val="24"/>
          <w:szCs w:val="24"/>
          <w:highlight w:val="none"/>
          <w:lang w:eastAsia="zh-CN"/>
        </w:rPr>
        <w:t>21.2不可抗力的通知</w:t>
      </w:r>
      <w:bookmarkEnd w:id="1167"/>
      <w:bookmarkEnd w:id="1168"/>
      <w:bookmarkEnd w:id="1169"/>
      <w:bookmarkEnd w:id="1170"/>
      <w:bookmarkEnd w:id="1171"/>
      <w:bookmarkEnd w:id="1172"/>
    </w:p>
    <w:p w14:paraId="65AFEDDA">
      <w:pPr>
        <w:pStyle w:val="97"/>
        <w:pageBreakBefore w:val="0"/>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21.2.1</w:t>
      </w:r>
      <w:r>
        <w:rPr>
          <w:rStyle w:val="32"/>
          <w:color w:val="auto"/>
          <w:highlight w:val="none"/>
        </w:rPr>
        <w:t>合同一方当事人遇到不可抗力事件，使其履行合同义务受到阻碍时，应立即通知合同另一方当事人和监理人，书面说明不可抗力和受阻碍的详细情况，并提供必要的证明。</w:t>
      </w:r>
    </w:p>
    <w:p w14:paraId="4F86DED5">
      <w:pPr>
        <w:pStyle w:val="97"/>
        <w:pageBreakBefore w:val="0"/>
        <w:kinsoku/>
        <w:wordWrap/>
        <w:overflowPunct/>
        <w:topLinePunct w:val="0"/>
        <w:autoSpaceDE/>
        <w:autoSpaceDN/>
        <w:bidi w:val="0"/>
        <w:adjustRightInd/>
        <w:snapToGrid/>
        <w:spacing w:after="240" w:line="361"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21.2.2</w:t>
      </w:r>
      <w:r>
        <w:rPr>
          <w:rStyle w:val="32"/>
          <w:color w:val="auto"/>
          <w:highlight w:val="none"/>
        </w:rPr>
        <w:t>如不可抗力持续发生，合同一方当事人应及时向合同另一方当事人和监理人提交中间报告，说明不可抗力和履行合同受阻的情况，并于不可抗力事件结束后</w:t>
      </w:r>
      <w:r>
        <w:rPr>
          <w:rStyle w:val="32"/>
          <w:rFonts w:ascii="Times New Roman" w:hAnsi="Times New Roman" w:eastAsia="Times New Roman" w:cs="Times New Roman"/>
          <w:color w:val="auto"/>
          <w:highlight w:val="none"/>
        </w:rPr>
        <w:t>28</w:t>
      </w:r>
      <w:r>
        <w:rPr>
          <w:rStyle w:val="32"/>
          <w:color w:val="auto"/>
          <w:highlight w:val="none"/>
        </w:rPr>
        <w:t>天内提交最终报告及有关资料。</w:t>
      </w:r>
    </w:p>
    <w:p w14:paraId="03D43D1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73" w:name="_Toc17208"/>
      <w:bookmarkStart w:id="1174" w:name="bookmark1489"/>
      <w:bookmarkStart w:id="1175" w:name="bookmark1490"/>
      <w:bookmarkStart w:id="1176" w:name="_Toc32024"/>
      <w:bookmarkStart w:id="1177" w:name="bookmark1491"/>
      <w:bookmarkStart w:id="1178" w:name="_Toc256000161"/>
      <w:r>
        <w:rPr>
          <w:rStyle w:val="32"/>
          <w:rFonts w:ascii="宋体" w:hAnsi="宋体" w:cs="Times New Roman"/>
          <w:color w:val="auto"/>
          <w:sz w:val="24"/>
          <w:szCs w:val="24"/>
          <w:highlight w:val="none"/>
          <w:lang w:eastAsia="zh-CN"/>
        </w:rPr>
        <w:t>21.3不可抗力后果及其处理</w:t>
      </w:r>
      <w:bookmarkEnd w:id="1173"/>
      <w:bookmarkEnd w:id="1174"/>
      <w:bookmarkEnd w:id="1175"/>
      <w:bookmarkEnd w:id="1176"/>
      <w:bookmarkEnd w:id="1177"/>
      <w:bookmarkEnd w:id="1178"/>
    </w:p>
    <w:p w14:paraId="7D7E302F">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21.3.1</w:t>
      </w:r>
      <w:r>
        <w:rPr>
          <w:rStyle w:val="32"/>
          <w:color w:val="auto"/>
          <w:highlight w:val="none"/>
        </w:rPr>
        <w:t>不可抗力造成损害的责任</w:t>
      </w:r>
    </w:p>
    <w:p w14:paraId="5E904F8F">
      <w:pPr>
        <w:pStyle w:val="97"/>
        <w:pageBreakBefore w:val="0"/>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r>
        <w:rPr>
          <w:rStyle w:val="32"/>
          <w:color w:val="auto"/>
          <w:highlight w:val="none"/>
        </w:rPr>
        <w:t>除专用合同条款另有约定外，不可抗力导致的人员伤亡、财产损失、费用增加和(或) 工期延误等后果，由合同双方按以下原则承担：</w:t>
      </w:r>
    </w:p>
    <w:p w14:paraId="5CEA66F4">
      <w:pPr>
        <w:pStyle w:val="97"/>
        <w:pageBreakBefore w:val="0"/>
        <w:numPr>
          <w:ilvl w:val="0"/>
          <w:numId w:val="30"/>
        </w:numPr>
        <w:tabs>
          <w:tab w:val="left" w:pos="903"/>
        </w:tabs>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bookmarkStart w:id="1179" w:name="bookmark1492"/>
      <w:bookmarkEnd w:id="1179"/>
      <w:r>
        <w:rPr>
          <w:rStyle w:val="32"/>
          <w:color w:val="auto"/>
          <w:highlight w:val="none"/>
        </w:rPr>
        <w:t>永久工程，包括已运至施工场地的材料和工程设备的损害，以及因工程损害造成的第三者人员伤亡和财产损失由发包人承担；</w:t>
      </w:r>
    </w:p>
    <w:p w14:paraId="52E3EA18">
      <w:pPr>
        <w:pStyle w:val="97"/>
        <w:pageBreakBefore w:val="0"/>
        <w:numPr>
          <w:ilvl w:val="0"/>
          <w:numId w:val="30"/>
        </w:numPr>
        <w:tabs>
          <w:tab w:val="left" w:pos="923"/>
        </w:tabs>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bookmarkStart w:id="1180" w:name="bookmark1493"/>
      <w:bookmarkEnd w:id="1180"/>
      <w:r>
        <w:rPr>
          <w:rStyle w:val="32"/>
          <w:color w:val="auto"/>
          <w:highlight w:val="none"/>
        </w:rPr>
        <w:t>承包人设备的损坏由承包人承担；</w:t>
      </w:r>
    </w:p>
    <w:p w14:paraId="61DDAE07">
      <w:pPr>
        <w:pStyle w:val="97"/>
        <w:pageBreakBefore w:val="0"/>
        <w:numPr>
          <w:ilvl w:val="0"/>
          <w:numId w:val="30"/>
        </w:numPr>
        <w:tabs>
          <w:tab w:val="left" w:pos="923"/>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181" w:name="bookmark1494"/>
      <w:bookmarkEnd w:id="1181"/>
      <w:r>
        <w:rPr>
          <w:rStyle w:val="32"/>
          <w:color w:val="auto"/>
          <w:highlight w:val="none"/>
        </w:rPr>
        <w:t>发包人和承包人各自承担其人员伤亡和其他财产损失及其相关费用；</w:t>
      </w:r>
    </w:p>
    <w:p w14:paraId="2A602C64">
      <w:pPr>
        <w:pStyle w:val="97"/>
        <w:pageBreakBefore w:val="0"/>
        <w:numPr>
          <w:ilvl w:val="0"/>
          <w:numId w:val="30"/>
        </w:numPr>
        <w:tabs>
          <w:tab w:val="left" w:pos="915"/>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182" w:name="bookmark1495"/>
      <w:bookmarkEnd w:id="1182"/>
      <w:r>
        <w:rPr>
          <w:rStyle w:val="32"/>
          <w:color w:val="auto"/>
          <w:highlight w:val="none"/>
        </w:rPr>
        <w:t>承包人的停工损失由承包人承担，但停工期间应监理人要求照管工程和清理、修复工程的金额由发包人承担；</w:t>
      </w:r>
    </w:p>
    <w:p w14:paraId="67787D67">
      <w:pPr>
        <w:pStyle w:val="97"/>
        <w:pageBreakBefore w:val="0"/>
        <w:numPr>
          <w:ilvl w:val="0"/>
          <w:numId w:val="30"/>
        </w:numPr>
        <w:tabs>
          <w:tab w:val="left" w:pos="920"/>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183" w:name="bookmark1496"/>
      <w:bookmarkEnd w:id="1183"/>
      <w:r>
        <w:rPr>
          <w:rStyle w:val="32"/>
          <w:color w:val="auto"/>
          <w:highlight w:val="none"/>
        </w:rPr>
        <w:t>不能按期竣工的，应合理延长工期，承包人不需支付逾期竣工违约金。发包人要求赶工的，承包人应采取赶工措施，赶工费用由发包人承担。</w:t>
      </w:r>
    </w:p>
    <w:p w14:paraId="365B8FDA">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21.3.2</w:t>
      </w:r>
      <w:r>
        <w:rPr>
          <w:rStyle w:val="32"/>
          <w:rFonts w:ascii="Times New Roman" w:hAnsi="Times New Roman" w:cs="Times New Roman"/>
          <w:color w:val="auto"/>
          <w:highlight w:val="none"/>
        </w:rPr>
        <w:t>延迟履行期间发生的不可抗力</w:t>
      </w:r>
    </w:p>
    <w:p w14:paraId="002D41FE">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合同一方当事人延迟履行，在延迟履行期间发生不可抗力的，不免除其责任。</w:t>
      </w:r>
    </w:p>
    <w:p w14:paraId="06D82447">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21.3.3</w:t>
      </w:r>
      <w:r>
        <w:rPr>
          <w:rStyle w:val="32"/>
          <w:rFonts w:ascii="Times New Roman" w:hAnsi="Times New Roman" w:cs="Times New Roman"/>
          <w:color w:val="auto"/>
          <w:highlight w:val="none"/>
        </w:rPr>
        <w:t>避免和减少不可抗力损失</w:t>
      </w:r>
    </w:p>
    <w:p w14:paraId="38CD3734">
      <w:pPr>
        <w:pStyle w:val="97"/>
        <w:pageBreakBefore w:val="0"/>
        <w:kinsoku/>
        <w:wordWrap/>
        <w:overflowPunct/>
        <w:topLinePunct w:val="0"/>
        <w:autoSpaceDE/>
        <w:autoSpaceDN/>
        <w:bidi w:val="0"/>
        <w:adjustRightInd/>
        <w:snapToGrid/>
        <w:spacing w:line="358"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不可抗力发生后，发包人和承包人均应采取措施尽量避免和减少损失的扩大，任何一 方没有采取有效措施导致损失扩大的，应对扩大的损失承担责任。</w:t>
      </w:r>
    </w:p>
    <w:p w14:paraId="30B75245">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21.3.4因不可抗力解除合同</w:t>
      </w:r>
    </w:p>
    <w:p w14:paraId="6B04DD56">
      <w:pPr>
        <w:pStyle w:val="97"/>
        <w:pageBreakBefore w:val="0"/>
        <w:kinsoku/>
        <w:wordWrap/>
        <w:overflowPunct/>
        <w:topLinePunct w:val="0"/>
        <w:autoSpaceDE/>
        <w:autoSpaceDN/>
        <w:bidi w:val="0"/>
        <w:adjustRightInd/>
        <w:snapToGrid/>
        <w:spacing w:after="280" w:line="349" w:lineRule="exact"/>
        <w:ind w:firstLine="440"/>
        <w:jc w:val="both"/>
        <w:textAlignment w:val="auto"/>
        <w:outlineLvl w:val="9"/>
        <w:rPr>
          <w:rStyle w:val="32"/>
          <w:color w:val="auto"/>
          <w:highlight w:val="none"/>
        </w:rPr>
      </w:pPr>
      <w:r>
        <w:rPr>
          <w:rStyle w:val="32"/>
          <w:rFonts w:ascii="Times New Roman" w:hAnsi="Times New Roman" w:cs="Times New Roman"/>
          <w:color w:val="auto"/>
          <w:highlight w:val="none"/>
        </w:rPr>
        <w:t>合同一</w:t>
      </w:r>
      <w:r>
        <w:rPr>
          <w:rStyle w:val="32"/>
          <w:color w:val="auto"/>
          <w:highlight w:val="none"/>
        </w:rPr>
        <w:t>方当事人因不可抗力不能履行合同的，应当及时通知对方解除合同。合同解除后，承包人应按照第</w:t>
      </w:r>
      <w:r>
        <w:rPr>
          <w:rStyle w:val="32"/>
          <w:rFonts w:ascii="Times New Roman" w:hAnsi="Times New Roman" w:eastAsia="Times New Roman" w:cs="Times New Roman"/>
          <w:color w:val="auto"/>
          <w:highlight w:val="none"/>
          <w:lang w:val="en-US" w:bidi="en-US"/>
        </w:rPr>
        <w:t>22.2.5</w:t>
      </w:r>
      <w:r>
        <w:rPr>
          <w:rStyle w:val="32"/>
          <w:color w:val="auto"/>
          <w:highlight w:val="none"/>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Style w:val="32"/>
          <w:rFonts w:ascii="Times New Roman" w:hAnsi="Times New Roman" w:eastAsia="Times New Roman" w:cs="Times New Roman"/>
          <w:color w:val="auto"/>
          <w:highlight w:val="none"/>
          <w:lang w:val="en-US" w:bidi="en-US"/>
        </w:rPr>
        <w:t>22. 2.4</w:t>
      </w:r>
      <w:r>
        <w:rPr>
          <w:rStyle w:val="32"/>
          <w:color w:val="auto"/>
          <w:highlight w:val="none"/>
        </w:rPr>
        <w:t>项约定，由监理人按第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w:t>
      </w:r>
    </w:p>
    <w:p w14:paraId="078B1FDE">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184" w:name="bookmark1499"/>
      <w:bookmarkStart w:id="1185" w:name="_Toc6299"/>
      <w:bookmarkStart w:id="1186" w:name="_Toc256000162"/>
      <w:bookmarkStart w:id="1187" w:name="_Toc15837"/>
      <w:bookmarkStart w:id="1188" w:name="bookmark1497"/>
      <w:bookmarkStart w:id="1189" w:name="bookmark1498"/>
      <w:r>
        <w:rPr>
          <w:rStyle w:val="32"/>
          <w:rFonts w:hint="eastAsia" w:cs="Times New Roman"/>
          <w:color w:val="auto"/>
          <w:highlight w:val="none"/>
          <w:lang w:eastAsia="zh-CN"/>
        </w:rPr>
        <w:t>22.违约</w:t>
      </w:r>
      <w:bookmarkEnd w:id="1184"/>
      <w:bookmarkEnd w:id="1185"/>
      <w:bookmarkEnd w:id="1186"/>
      <w:bookmarkEnd w:id="1187"/>
    </w:p>
    <w:p w14:paraId="530C09E2">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190" w:name="bookmark1500"/>
      <w:bookmarkStart w:id="1191" w:name="_Toc3191"/>
      <w:bookmarkStart w:id="1192" w:name="_Toc256000163"/>
      <w:bookmarkStart w:id="1193" w:name="_Toc15198"/>
      <w:r>
        <w:rPr>
          <w:rStyle w:val="32"/>
          <w:rFonts w:ascii="宋体" w:hAnsi="宋体" w:cs="Times New Roman"/>
          <w:color w:val="auto"/>
          <w:sz w:val="24"/>
          <w:szCs w:val="24"/>
          <w:highlight w:val="none"/>
          <w:lang w:eastAsia="zh-CN"/>
        </w:rPr>
        <w:t>22.1承包人违约</w:t>
      </w:r>
      <w:bookmarkEnd w:id="1188"/>
      <w:bookmarkEnd w:id="1189"/>
      <w:bookmarkEnd w:id="1190"/>
      <w:bookmarkEnd w:id="1191"/>
      <w:bookmarkEnd w:id="1192"/>
      <w:bookmarkEnd w:id="1193"/>
    </w:p>
    <w:p w14:paraId="471BEA09">
      <w:pPr>
        <w:pStyle w:val="97"/>
        <w:pageBreakBefore w:val="0"/>
        <w:kinsoku/>
        <w:wordWrap/>
        <w:overflowPunct/>
        <w:topLinePunct w:val="0"/>
        <w:autoSpaceDE/>
        <w:autoSpaceDN/>
        <w:bidi w:val="0"/>
        <w:adjustRightInd/>
        <w:snapToGrid/>
        <w:spacing w:line="379" w:lineRule="auto"/>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22.1.1</w:t>
      </w:r>
      <w:r>
        <w:rPr>
          <w:rStyle w:val="32"/>
          <w:color w:val="auto"/>
          <w:highlight w:val="none"/>
        </w:rPr>
        <w:t>承包人违约的情形</w:t>
      </w:r>
    </w:p>
    <w:p w14:paraId="0878341C">
      <w:pPr>
        <w:pStyle w:val="97"/>
        <w:pageBreakBefore w:val="0"/>
        <w:kinsoku/>
        <w:wordWrap/>
        <w:overflowPunct/>
        <w:topLinePunct w:val="0"/>
        <w:autoSpaceDE/>
        <w:autoSpaceDN/>
        <w:bidi w:val="0"/>
        <w:adjustRightInd/>
        <w:snapToGrid/>
        <w:spacing w:line="362" w:lineRule="exact"/>
        <w:ind w:firstLine="420"/>
        <w:jc w:val="both"/>
        <w:textAlignment w:val="auto"/>
        <w:outlineLvl w:val="9"/>
        <w:rPr>
          <w:rStyle w:val="32"/>
          <w:color w:val="auto"/>
          <w:highlight w:val="none"/>
        </w:rPr>
      </w:pPr>
      <w:r>
        <w:rPr>
          <w:rStyle w:val="32"/>
          <w:color w:val="auto"/>
          <w:highlight w:val="none"/>
        </w:rPr>
        <w:t>在履行合同过程中发生的下列情况属承包人违约：</w:t>
      </w:r>
    </w:p>
    <w:p w14:paraId="48FCEF04">
      <w:pPr>
        <w:pStyle w:val="97"/>
        <w:pageBreakBefore w:val="0"/>
        <w:numPr>
          <w:ilvl w:val="0"/>
          <w:numId w:val="31"/>
        </w:numPr>
        <w:tabs>
          <w:tab w:val="left" w:pos="920"/>
        </w:tabs>
        <w:kinsoku/>
        <w:wordWrap/>
        <w:overflowPunct/>
        <w:topLinePunct w:val="0"/>
        <w:autoSpaceDE/>
        <w:autoSpaceDN/>
        <w:bidi w:val="0"/>
        <w:adjustRightInd/>
        <w:snapToGrid/>
        <w:spacing w:line="379" w:lineRule="exact"/>
        <w:ind w:firstLine="440"/>
        <w:jc w:val="both"/>
        <w:textAlignment w:val="auto"/>
        <w:outlineLvl w:val="9"/>
        <w:rPr>
          <w:rStyle w:val="32"/>
          <w:color w:val="auto"/>
          <w:highlight w:val="none"/>
        </w:rPr>
      </w:pPr>
      <w:bookmarkStart w:id="1194" w:name="bookmark1501"/>
      <w:bookmarkEnd w:id="1194"/>
      <w:r>
        <w:rPr>
          <w:rStyle w:val="32"/>
          <w:color w:val="auto"/>
          <w:highlight w:val="none"/>
        </w:rPr>
        <w:t>承包人违反第</w:t>
      </w:r>
      <w:r>
        <w:rPr>
          <w:rStyle w:val="32"/>
          <w:rFonts w:ascii="Times New Roman" w:hAnsi="Times New Roman" w:eastAsia="Times New Roman" w:cs="Times New Roman"/>
          <w:color w:val="auto"/>
          <w:highlight w:val="none"/>
          <w:lang w:val="en-US" w:bidi="en-US"/>
        </w:rPr>
        <w:t>1.8</w:t>
      </w:r>
      <w:r>
        <w:rPr>
          <w:rStyle w:val="32"/>
          <w:color w:val="auto"/>
          <w:highlight w:val="none"/>
        </w:rPr>
        <w:t>款或第</w:t>
      </w:r>
      <w:r>
        <w:rPr>
          <w:rStyle w:val="32"/>
          <w:rFonts w:ascii="Times New Roman" w:hAnsi="Times New Roman" w:eastAsia="Times New Roman" w:cs="Times New Roman"/>
          <w:color w:val="auto"/>
          <w:highlight w:val="none"/>
          <w:lang w:val="en-US" w:bidi="en-US"/>
        </w:rPr>
        <w:t xml:space="preserve">4. </w:t>
      </w:r>
      <w:r>
        <w:rPr>
          <w:rStyle w:val="32"/>
          <w:rFonts w:ascii="Times New Roman" w:hAnsi="Times New Roman" w:eastAsia="Times New Roman" w:cs="Times New Roman"/>
          <w:color w:val="auto"/>
          <w:highlight w:val="none"/>
        </w:rPr>
        <w:t>3</w:t>
      </w:r>
      <w:r>
        <w:rPr>
          <w:rStyle w:val="32"/>
          <w:color w:val="auto"/>
          <w:highlight w:val="none"/>
        </w:rPr>
        <w:t>款的约定，私自将合同的全部或部分权利转让给其他人，或私自将合同的全部或部分义务转移给其他人；</w:t>
      </w:r>
    </w:p>
    <w:p w14:paraId="7149493E">
      <w:pPr>
        <w:pStyle w:val="97"/>
        <w:pageBreakBefore w:val="0"/>
        <w:numPr>
          <w:ilvl w:val="0"/>
          <w:numId w:val="31"/>
        </w:numPr>
        <w:tabs>
          <w:tab w:val="left" w:pos="920"/>
        </w:tabs>
        <w:kinsoku/>
        <w:wordWrap/>
        <w:overflowPunct/>
        <w:topLinePunct w:val="0"/>
        <w:autoSpaceDE/>
        <w:autoSpaceDN/>
        <w:bidi w:val="0"/>
        <w:adjustRightInd/>
        <w:snapToGrid/>
        <w:spacing w:line="377" w:lineRule="exact"/>
        <w:ind w:firstLine="440"/>
        <w:jc w:val="both"/>
        <w:textAlignment w:val="auto"/>
        <w:outlineLvl w:val="9"/>
        <w:rPr>
          <w:rStyle w:val="32"/>
          <w:color w:val="auto"/>
          <w:highlight w:val="none"/>
        </w:rPr>
      </w:pPr>
      <w:bookmarkStart w:id="1195" w:name="bookmark1502"/>
      <w:bookmarkEnd w:id="1195"/>
      <w:r>
        <w:rPr>
          <w:rStyle w:val="32"/>
          <w:color w:val="auto"/>
          <w:highlight w:val="none"/>
        </w:rPr>
        <w:t>承包人违反第</w:t>
      </w:r>
      <w:r>
        <w:rPr>
          <w:rStyle w:val="32"/>
          <w:rFonts w:ascii="Times New Roman" w:hAnsi="Times New Roman" w:eastAsia="Times New Roman" w:cs="Times New Roman"/>
          <w:color w:val="auto"/>
          <w:highlight w:val="none"/>
          <w:lang w:val="en-US" w:bidi="en-US"/>
        </w:rPr>
        <w:t xml:space="preserve">5. </w:t>
      </w:r>
      <w:r>
        <w:rPr>
          <w:rStyle w:val="32"/>
          <w:rFonts w:ascii="Times New Roman" w:hAnsi="Times New Roman" w:eastAsia="Times New Roman" w:cs="Times New Roman"/>
          <w:color w:val="auto"/>
          <w:highlight w:val="none"/>
        </w:rPr>
        <w:t>3</w:t>
      </w:r>
      <w:r>
        <w:rPr>
          <w:rStyle w:val="32"/>
          <w:color w:val="auto"/>
          <w:highlight w:val="none"/>
        </w:rPr>
        <w:t>款或第</w:t>
      </w:r>
      <w:r>
        <w:rPr>
          <w:rStyle w:val="32"/>
          <w:rFonts w:ascii="Times New Roman" w:hAnsi="Times New Roman" w:eastAsia="Times New Roman" w:cs="Times New Roman"/>
          <w:color w:val="auto"/>
          <w:highlight w:val="none"/>
          <w:lang w:val="en-US" w:bidi="en-US"/>
        </w:rPr>
        <w:t xml:space="preserve">6. </w:t>
      </w:r>
      <w:r>
        <w:rPr>
          <w:rStyle w:val="32"/>
          <w:rFonts w:ascii="Times New Roman" w:hAnsi="Times New Roman" w:eastAsia="Times New Roman" w:cs="Times New Roman"/>
          <w:color w:val="auto"/>
          <w:highlight w:val="none"/>
        </w:rPr>
        <w:t>4</w:t>
      </w:r>
      <w:r>
        <w:rPr>
          <w:rStyle w:val="32"/>
          <w:color w:val="auto"/>
          <w:highlight w:val="none"/>
        </w:rPr>
        <w:t>款的约定，未经监理人批准，私自将已按合同约定进入施工场地的施工设备、临时设施或材料撤离施工场地；</w:t>
      </w:r>
    </w:p>
    <w:p w14:paraId="66C8203B">
      <w:pPr>
        <w:pStyle w:val="97"/>
        <w:pageBreakBefore w:val="0"/>
        <w:numPr>
          <w:ilvl w:val="0"/>
          <w:numId w:val="31"/>
        </w:numPr>
        <w:tabs>
          <w:tab w:val="left" w:pos="922"/>
        </w:tabs>
        <w:kinsoku/>
        <w:wordWrap/>
        <w:overflowPunct/>
        <w:topLinePunct w:val="0"/>
        <w:autoSpaceDE/>
        <w:autoSpaceDN/>
        <w:bidi w:val="0"/>
        <w:adjustRightInd/>
        <w:snapToGrid/>
        <w:spacing w:line="379" w:lineRule="exact"/>
        <w:ind w:firstLine="440"/>
        <w:jc w:val="both"/>
        <w:textAlignment w:val="auto"/>
        <w:outlineLvl w:val="9"/>
        <w:rPr>
          <w:rStyle w:val="32"/>
          <w:color w:val="auto"/>
          <w:highlight w:val="none"/>
        </w:rPr>
      </w:pPr>
      <w:bookmarkStart w:id="1196" w:name="bookmark1503"/>
      <w:bookmarkEnd w:id="1196"/>
      <w:r>
        <w:rPr>
          <w:rStyle w:val="32"/>
          <w:color w:val="auto"/>
          <w:highlight w:val="none"/>
        </w:rPr>
        <w:t>承包人违反第</w:t>
      </w:r>
      <w:r>
        <w:rPr>
          <w:rStyle w:val="32"/>
          <w:rFonts w:ascii="Times New Roman" w:hAnsi="Times New Roman" w:eastAsia="Times New Roman" w:cs="Times New Roman"/>
          <w:color w:val="auto"/>
          <w:highlight w:val="none"/>
          <w:lang w:val="en-US" w:bidi="en-US"/>
        </w:rPr>
        <w:t xml:space="preserve">5. </w:t>
      </w:r>
      <w:r>
        <w:rPr>
          <w:rStyle w:val="32"/>
          <w:rFonts w:ascii="Times New Roman" w:hAnsi="Times New Roman" w:eastAsia="Times New Roman" w:cs="Times New Roman"/>
          <w:color w:val="auto"/>
          <w:highlight w:val="none"/>
        </w:rPr>
        <w:t>4</w:t>
      </w:r>
      <w:r>
        <w:rPr>
          <w:rStyle w:val="32"/>
          <w:color w:val="auto"/>
          <w:highlight w:val="none"/>
        </w:rPr>
        <w:t>款的约定使用了不合格材料或工程设备，工程质量达不到标准要求，又拒绝清除不合格工程；</w:t>
      </w:r>
    </w:p>
    <w:p w14:paraId="55196580">
      <w:pPr>
        <w:pStyle w:val="97"/>
        <w:pageBreakBefore w:val="0"/>
        <w:numPr>
          <w:ilvl w:val="0"/>
          <w:numId w:val="31"/>
        </w:numPr>
        <w:tabs>
          <w:tab w:val="left" w:pos="922"/>
        </w:tabs>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bookmarkStart w:id="1197" w:name="bookmark1504"/>
      <w:bookmarkEnd w:id="1197"/>
      <w:r>
        <w:rPr>
          <w:rStyle w:val="32"/>
          <w:color w:val="auto"/>
          <w:highlight w:val="none"/>
        </w:rPr>
        <w:t>承包人未能按合同进度计划及时完成合同约定的工作，已造成或预期造成工期延误；</w:t>
      </w:r>
    </w:p>
    <w:p w14:paraId="07F0263C">
      <w:pPr>
        <w:pStyle w:val="97"/>
        <w:pageBreakBefore w:val="0"/>
        <w:numPr>
          <w:ilvl w:val="0"/>
          <w:numId w:val="31"/>
        </w:numPr>
        <w:tabs>
          <w:tab w:val="left" w:pos="922"/>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198" w:name="bookmark1505"/>
      <w:bookmarkEnd w:id="1198"/>
      <w:r>
        <w:rPr>
          <w:rStyle w:val="32"/>
          <w:color w:val="auto"/>
          <w:highlight w:val="none"/>
        </w:rPr>
        <w:t>承包人在缺陷责任期(工程质量保修期)内，未能对合同工程完工验收鉴定书中所列的缺陷清单的内容或缺陷责任期(工程质量保修期)内发生的缺陷进行修复，而又拒绝按监理人指示再进行修补；</w:t>
      </w:r>
    </w:p>
    <w:p w14:paraId="5FFA5ADB">
      <w:pPr>
        <w:pStyle w:val="97"/>
        <w:pageBreakBefore w:val="0"/>
        <w:numPr>
          <w:ilvl w:val="0"/>
          <w:numId w:val="31"/>
        </w:numPr>
        <w:tabs>
          <w:tab w:val="left" w:pos="903"/>
        </w:tabs>
        <w:kinsoku/>
        <w:wordWrap/>
        <w:overflowPunct/>
        <w:topLinePunct w:val="0"/>
        <w:autoSpaceDE/>
        <w:autoSpaceDN/>
        <w:bidi w:val="0"/>
        <w:adjustRightInd/>
        <w:snapToGrid/>
        <w:spacing w:line="349" w:lineRule="exact"/>
        <w:ind w:firstLine="420"/>
        <w:jc w:val="both"/>
        <w:textAlignment w:val="auto"/>
        <w:outlineLvl w:val="9"/>
        <w:rPr>
          <w:rStyle w:val="32"/>
          <w:color w:val="auto"/>
          <w:highlight w:val="none"/>
        </w:rPr>
      </w:pPr>
      <w:bookmarkStart w:id="1199" w:name="bookmark1506"/>
      <w:bookmarkEnd w:id="1199"/>
      <w:r>
        <w:rPr>
          <w:rStyle w:val="32"/>
          <w:color w:val="auto"/>
          <w:highlight w:val="none"/>
        </w:rPr>
        <w:t>承包人无法继续履行或明确表示不履行或实质上已停止履行合同；</w:t>
      </w:r>
    </w:p>
    <w:p w14:paraId="3BDFA3A8">
      <w:pPr>
        <w:pStyle w:val="97"/>
        <w:pageBreakBefore w:val="0"/>
        <w:numPr>
          <w:ilvl w:val="0"/>
          <w:numId w:val="31"/>
        </w:numPr>
        <w:tabs>
          <w:tab w:val="left" w:pos="903"/>
        </w:tabs>
        <w:kinsoku/>
        <w:wordWrap/>
        <w:overflowPunct/>
        <w:topLinePunct w:val="0"/>
        <w:autoSpaceDE/>
        <w:autoSpaceDN/>
        <w:bidi w:val="0"/>
        <w:adjustRightInd/>
        <w:snapToGrid/>
        <w:spacing w:line="349" w:lineRule="exact"/>
        <w:ind w:firstLine="420"/>
        <w:jc w:val="both"/>
        <w:textAlignment w:val="auto"/>
        <w:outlineLvl w:val="9"/>
        <w:rPr>
          <w:rStyle w:val="32"/>
          <w:color w:val="auto"/>
          <w:highlight w:val="none"/>
        </w:rPr>
      </w:pPr>
      <w:bookmarkStart w:id="1200" w:name="bookmark1507"/>
      <w:bookmarkEnd w:id="1200"/>
      <w:r>
        <w:rPr>
          <w:rStyle w:val="32"/>
          <w:color w:val="auto"/>
          <w:highlight w:val="none"/>
        </w:rPr>
        <w:t>承包人不按合同约定履行义务的其他情况。</w:t>
      </w:r>
    </w:p>
    <w:p w14:paraId="60997648">
      <w:pPr>
        <w:pStyle w:val="97"/>
        <w:pageBreakBefore w:val="0"/>
        <w:kinsoku/>
        <w:wordWrap/>
        <w:overflowPunct/>
        <w:topLinePunct w:val="0"/>
        <w:autoSpaceDE/>
        <w:autoSpaceDN/>
        <w:bidi w:val="0"/>
        <w:adjustRightInd/>
        <w:snapToGrid/>
        <w:spacing w:line="349"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eastAsia="en-US" w:bidi="en-US"/>
        </w:rPr>
        <w:t>22.1.2</w:t>
      </w:r>
      <w:r>
        <w:rPr>
          <w:rStyle w:val="32"/>
          <w:color w:val="auto"/>
          <w:highlight w:val="none"/>
        </w:rPr>
        <w:t>对承包人违约的处理</w:t>
      </w:r>
    </w:p>
    <w:p w14:paraId="3DAA2521">
      <w:pPr>
        <w:pStyle w:val="97"/>
        <w:pageBreakBefore w:val="0"/>
        <w:numPr>
          <w:ilvl w:val="0"/>
          <w:numId w:val="32"/>
        </w:numPr>
        <w:tabs>
          <w:tab w:val="left" w:pos="922"/>
        </w:tabs>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bookmarkStart w:id="1201" w:name="bookmark1508"/>
      <w:bookmarkEnd w:id="1201"/>
      <w:r>
        <w:rPr>
          <w:rStyle w:val="32"/>
          <w:color w:val="auto"/>
          <w:highlight w:val="none"/>
        </w:rPr>
        <w:t>承包人发生第</w:t>
      </w:r>
      <w:r>
        <w:rPr>
          <w:rStyle w:val="32"/>
          <w:rFonts w:ascii="Times New Roman" w:hAnsi="Times New Roman" w:eastAsia="Times New Roman" w:cs="Times New Roman"/>
          <w:color w:val="auto"/>
          <w:highlight w:val="none"/>
          <w:lang w:val="en-US" w:bidi="en-US"/>
        </w:rPr>
        <w:t xml:space="preserve">22.1.1 </w:t>
      </w:r>
      <w:r>
        <w:rPr>
          <w:rStyle w:val="32"/>
          <w:rFonts w:ascii="Times New Roman" w:hAnsi="Times New Roman" w:eastAsia="Times New Roman" w:cs="Times New Roman"/>
          <w:color w:val="auto"/>
          <w:highlight w:val="none"/>
        </w:rPr>
        <w:t>(6)</w:t>
      </w:r>
      <w:r>
        <w:rPr>
          <w:rStyle w:val="32"/>
          <w:color w:val="auto"/>
          <w:highlight w:val="none"/>
        </w:rPr>
        <w:t>目约定的违约情况时，发包人可通知承包人立即解除合同，并按有关法律处理。</w:t>
      </w:r>
    </w:p>
    <w:p w14:paraId="0BD2ABC2">
      <w:pPr>
        <w:pStyle w:val="97"/>
        <w:pageBreakBefore w:val="0"/>
        <w:numPr>
          <w:ilvl w:val="0"/>
          <w:numId w:val="32"/>
        </w:numPr>
        <w:tabs>
          <w:tab w:val="left" w:pos="920"/>
        </w:tabs>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bookmarkStart w:id="1202" w:name="bookmark1509"/>
      <w:bookmarkEnd w:id="1202"/>
      <w:r>
        <w:rPr>
          <w:rStyle w:val="32"/>
          <w:color w:val="auto"/>
          <w:highlight w:val="none"/>
        </w:rPr>
        <w:t>承包人发生除第</w:t>
      </w:r>
      <w:r>
        <w:rPr>
          <w:rStyle w:val="32"/>
          <w:rFonts w:ascii="Times New Roman" w:hAnsi="Times New Roman" w:eastAsia="Times New Roman" w:cs="Times New Roman"/>
          <w:color w:val="auto"/>
          <w:highlight w:val="none"/>
          <w:lang w:val="en-US" w:bidi="en-US"/>
        </w:rPr>
        <w:t xml:space="preserve">22. 1. </w:t>
      </w:r>
      <w:r>
        <w:rPr>
          <w:rStyle w:val="32"/>
          <w:rFonts w:ascii="Times New Roman" w:hAnsi="Times New Roman" w:eastAsia="Times New Roman" w:cs="Times New Roman"/>
          <w:color w:val="auto"/>
          <w:highlight w:val="none"/>
        </w:rPr>
        <w:t>1 (6)</w:t>
      </w:r>
      <w:r>
        <w:rPr>
          <w:rStyle w:val="32"/>
          <w:color w:val="auto"/>
          <w:highlight w:val="none"/>
        </w:rPr>
        <w:t>目约定以外的其他违约情况时，监理人可向承包人发出整改通知，要求其在指定的期限内改正。承包人应承担其违约所引起的费用增加和 (或)工期延误。</w:t>
      </w:r>
    </w:p>
    <w:p w14:paraId="779A3A64">
      <w:pPr>
        <w:pStyle w:val="97"/>
        <w:pageBreakBefore w:val="0"/>
        <w:numPr>
          <w:ilvl w:val="0"/>
          <w:numId w:val="32"/>
        </w:numPr>
        <w:tabs>
          <w:tab w:val="left" w:pos="922"/>
        </w:tabs>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rPr>
      </w:pPr>
      <w:bookmarkStart w:id="1203" w:name="bookmark1510"/>
      <w:bookmarkEnd w:id="1203"/>
      <w:r>
        <w:rPr>
          <w:rStyle w:val="32"/>
          <w:color w:val="auto"/>
          <w:highlight w:val="none"/>
        </w:rPr>
        <w:t>经检查证明承包人已采取了有效措施纠正违约行为，具备复工条件的，可由监理人签发复工通知复工。</w:t>
      </w:r>
    </w:p>
    <w:p w14:paraId="05D3B305">
      <w:pPr>
        <w:pStyle w:val="97"/>
        <w:pageBreakBefore w:val="0"/>
        <w:kinsoku/>
        <w:wordWrap/>
        <w:overflowPunct/>
        <w:topLinePunct w:val="0"/>
        <w:autoSpaceDE/>
        <w:autoSpaceDN/>
        <w:bidi w:val="0"/>
        <w:adjustRightInd/>
        <w:snapToGrid/>
        <w:spacing w:line="349"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22.1.3</w:t>
      </w:r>
      <w:r>
        <w:rPr>
          <w:rStyle w:val="32"/>
          <w:rFonts w:ascii="Times New Roman" w:hAnsi="Times New Roman" w:cs="Times New Roman"/>
          <w:color w:val="auto"/>
          <w:highlight w:val="none"/>
        </w:rPr>
        <w:t>承包人违约解除合同</w:t>
      </w:r>
    </w:p>
    <w:p w14:paraId="529F76FD">
      <w:pPr>
        <w:pStyle w:val="97"/>
        <w:pageBreakBefore w:val="0"/>
        <w:kinsoku/>
        <w:wordWrap/>
        <w:overflowPunct/>
        <w:topLinePunct w:val="0"/>
        <w:autoSpaceDE/>
        <w:autoSpaceDN/>
        <w:bidi w:val="0"/>
        <w:adjustRightInd/>
        <w:snapToGrid/>
        <w:spacing w:line="349"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监理人发出整改通知</w:t>
      </w:r>
      <w:r>
        <w:rPr>
          <w:rStyle w:val="32"/>
          <w:rFonts w:ascii="Times New Roman" w:hAnsi="Times New Roman" w:eastAsia="Times New Roman" w:cs="Times New Roman"/>
          <w:color w:val="auto"/>
          <w:highlight w:val="none"/>
        </w:rPr>
        <w:t>28</w:t>
      </w:r>
      <w:r>
        <w:rPr>
          <w:rStyle w:val="32"/>
          <w:rFonts w:ascii="Times New Roman" w:hAnsi="Times New Roman" w:cs="Times New Roman"/>
          <w:color w:val="auto"/>
          <w:highlight w:val="none"/>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18D5D515">
      <w:pPr>
        <w:pStyle w:val="97"/>
        <w:pageBreakBefore w:val="0"/>
        <w:kinsoku/>
        <w:wordWrap/>
        <w:overflowPunct/>
        <w:topLinePunct w:val="0"/>
        <w:autoSpaceDE/>
        <w:autoSpaceDN/>
        <w:bidi w:val="0"/>
        <w:adjustRightInd/>
        <w:snapToGrid/>
        <w:spacing w:line="349"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lang w:val="en-US"/>
        </w:rPr>
        <w:t>22.1.4</w:t>
      </w:r>
      <w:r>
        <w:rPr>
          <w:rStyle w:val="32"/>
          <w:rFonts w:ascii="Times New Roman" w:hAnsi="Times New Roman" w:cs="Times New Roman"/>
          <w:color w:val="auto"/>
          <w:highlight w:val="none"/>
        </w:rPr>
        <w:t>合同解除后的估价、付款和结清</w:t>
      </w:r>
    </w:p>
    <w:p w14:paraId="5B21DA69">
      <w:pPr>
        <w:pStyle w:val="97"/>
        <w:pageBreakBefore w:val="0"/>
        <w:numPr>
          <w:ilvl w:val="0"/>
          <w:numId w:val="33"/>
        </w:numPr>
        <w:tabs>
          <w:tab w:val="left" w:pos="920"/>
        </w:tabs>
        <w:kinsoku/>
        <w:wordWrap/>
        <w:overflowPunct/>
        <w:topLinePunct w:val="0"/>
        <w:autoSpaceDE/>
        <w:autoSpaceDN/>
        <w:bidi w:val="0"/>
        <w:adjustRightInd/>
        <w:snapToGrid/>
        <w:spacing w:line="361" w:lineRule="exact"/>
        <w:ind w:firstLine="440"/>
        <w:jc w:val="both"/>
        <w:textAlignment w:val="auto"/>
        <w:outlineLvl w:val="9"/>
        <w:rPr>
          <w:rStyle w:val="32"/>
          <w:rFonts w:ascii="Times New Roman" w:hAnsi="Times New Roman" w:cs="Times New Roman"/>
          <w:color w:val="auto"/>
          <w:highlight w:val="none"/>
        </w:rPr>
      </w:pPr>
      <w:bookmarkStart w:id="1204" w:name="bookmark1511"/>
      <w:bookmarkEnd w:id="1204"/>
      <w:r>
        <w:rPr>
          <w:rStyle w:val="32"/>
          <w:rFonts w:ascii="Times New Roman" w:hAnsi="Times New Roman" w:cs="Times New Roman"/>
          <w:color w:val="auto"/>
          <w:highlight w:val="none"/>
        </w:rPr>
        <w:t>合同解除后，监理人按第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rFonts w:ascii="Times New Roman" w:hAnsi="Times New Roman" w:cs="Times New Roman"/>
          <w:color w:val="auto"/>
          <w:highlight w:val="none"/>
        </w:rPr>
        <w:t>款商定或确定承包人实际完成工作的价值，以及承包人已提供的材料、施工设备、工程设备和临时工程等的价值。</w:t>
      </w:r>
    </w:p>
    <w:p w14:paraId="223AF029">
      <w:pPr>
        <w:pStyle w:val="97"/>
        <w:pageBreakBefore w:val="0"/>
        <w:numPr>
          <w:ilvl w:val="0"/>
          <w:numId w:val="33"/>
        </w:numPr>
        <w:tabs>
          <w:tab w:val="left" w:pos="922"/>
        </w:tabs>
        <w:kinsoku/>
        <w:wordWrap/>
        <w:overflowPunct/>
        <w:topLinePunct w:val="0"/>
        <w:autoSpaceDE/>
        <w:autoSpaceDN/>
        <w:bidi w:val="0"/>
        <w:adjustRightInd/>
        <w:snapToGrid/>
        <w:spacing w:line="361" w:lineRule="exact"/>
        <w:ind w:firstLine="440"/>
        <w:jc w:val="both"/>
        <w:textAlignment w:val="auto"/>
        <w:outlineLvl w:val="9"/>
        <w:rPr>
          <w:rStyle w:val="32"/>
          <w:rFonts w:ascii="Times New Roman" w:hAnsi="Times New Roman" w:cs="Times New Roman"/>
          <w:color w:val="auto"/>
          <w:highlight w:val="none"/>
        </w:rPr>
      </w:pPr>
      <w:bookmarkStart w:id="1205" w:name="bookmark1512"/>
      <w:bookmarkEnd w:id="1205"/>
      <w:r>
        <w:rPr>
          <w:rStyle w:val="32"/>
          <w:rFonts w:ascii="Times New Roman" w:hAnsi="Times New Roman" w:cs="Times New Roman"/>
          <w:color w:val="auto"/>
          <w:highlight w:val="none"/>
        </w:rPr>
        <w:t>合同解除后，发包人应暂停对承包人的一切付款，查清各项付款和已扣款金额, 包括承包人应支付的违约金。</w:t>
      </w:r>
    </w:p>
    <w:p w14:paraId="2E5075AB">
      <w:pPr>
        <w:pStyle w:val="97"/>
        <w:pageBreakBefore w:val="0"/>
        <w:numPr>
          <w:ilvl w:val="0"/>
          <w:numId w:val="33"/>
        </w:numPr>
        <w:tabs>
          <w:tab w:val="left" w:pos="920"/>
        </w:tabs>
        <w:kinsoku/>
        <w:wordWrap/>
        <w:overflowPunct/>
        <w:topLinePunct w:val="0"/>
        <w:autoSpaceDE/>
        <w:autoSpaceDN/>
        <w:bidi w:val="0"/>
        <w:adjustRightInd/>
        <w:snapToGrid/>
        <w:spacing w:line="374" w:lineRule="exact"/>
        <w:ind w:firstLine="440"/>
        <w:jc w:val="both"/>
        <w:textAlignment w:val="auto"/>
        <w:outlineLvl w:val="9"/>
        <w:rPr>
          <w:rStyle w:val="32"/>
          <w:rFonts w:ascii="Times New Roman" w:hAnsi="Times New Roman" w:cs="Times New Roman"/>
          <w:color w:val="auto"/>
          <w:highlight w:val="none"/>
        </w:rPr>
      </w:pPr>
      <w:bookmarkStart w:id="1206" w:name="bookmark1513"/>
      <w:bookmarkEnd w:id="1206"/>
      <w:r>
        <w:rPr>
          <w:rStyle w:val="32"/>
          <w:rFonts w:ascii="Times New Roman" w:hAnsi="Times New Roman" w:cs="Times New Roman"/>
          <w:color w:val="auto"/>
          <w:highlight w:val="none"/>
        </w:rPr>
        <w:t>合同解除后，发包人应按第</w:t>
      </w:r>
      <w:r>
        <w:rPr>
          <w:rStyle w:val="32"/>
          <w:rFonts w:ascii="Times New Roman" w:hAnsi="Times New Roman" w:eastAsia="Times New Roman" w:cs="Times New Roman"/>
          <w:color w:val="auto"/>
          <w:highlight w:val="none"/>
          <w:lang w:val="en-US" w:bidi="en-US"/>
        </w:rPr>
        <w:t xml:space="preserve">23. </w:t>
      </w:r>
      <w:r>
        <w:rPr>
          <w:rStyle w:val="32"/>
          <w:rFonts w:ascii="Times New Roman" w:hAnsi="Times New Roman" w:eastAsia="Times New Roman" w:cs="Times New Roman"/>
          <w:color w:val="auto"/>
          <w:highlight w:val="none"/>
        </w:rPr>
        <w:t>4</w:t>
      </w:r>
      <w:r>
        <w:rPr>
          <w:rStyle w:val="32"/>
          <w:rFonts w:ascii="Times New Roman" w:hAnsi="Times New Roman" w:cs="Times New Roman"/>
          <w:color w:val="auto"/>
          <w:highlight w:val="none"/>
        </w:rPr>
        <w:t>款的约定向承包人索赔由于解除合同给发包人造成的损失。</w:t>
      </w:r>
    </w:p>
    <w:p w14:paraId="30EC0DF5">
      <w:pPr>
        <w:pStyle w:val="97"/>
        <w:pageBreakBefore w:val="0"/>
        <w:numPr>
          <w:ilvl w:val="0"/>
          <w:numId w:val="33"/>
        </w:numPr>
        <w:tabs>
          <w:tab w:val="left" w:pos="903"/>
        </w:tabs>
        <w:kinsoku/>
        <w:wordWrap/>
        <w:overflowPunct/>
        <w:topLinePunct w:val="0"/>
        <w:autoSpaceDE/>
        <w:autoSpaceDN/>
        <w:bidi w:val="0"/>
        <w:adjustRightInd/>
        <w:snapToGrid/>
        <w:spacing w:line="360" w:lineRule="exact"/>
        <w:ind w:firstLine="420"/>
        <w:jc w:val="both"/>
        <w:textAlignment w:val="auto"/>
        <w:outlineLvl w:val="9"/>
        <w:rPr>
          <w:rStyle w:val="32"/>
          <w:rFonts w:ascii="Times New Roman" w:hAnsi="Times New Roman" w:cs="Times New Roman"/>
          <w:color w:val="auto"/>
          <w:highlight w:val="none"/>
        </w:rPr>
      </w:pPr>
      <w:bookmarkStart w:id="1207" w:name="bookmark1514"/>
      <w:bookmarkEnd w:id="1207"/>
      <w:r>
        <w:rPr>
          <w:rStyle w:val="32"/>
          <w:rFonts w:ascii="Times New Roman" w:hAnsi="Times New Roman" w:cs="Times New Roman"/>
          <w:color w:val="auto"/>
          <w:highlight w:val="none"/>
        </w:rPr>
        <w:t>合同双方确认上述往来款项后，出具最终结清付款证书，结清全部合同款项。</w:t>
      </w:r>
    </w:p>
    <w:p w14:paraId="625C3D93">
      <w:pPr>
        <w:pStyle w:val="97"/>
        <w:pageBreakBefore w:val="0"/>
        <w:numPr>
          <w:ilvl w:val="0"/>
          <w:numId w:val="33"/>
        </w:numPr>
        <w:tabs>
          <w:tab w:val="left" w:pos="922"/>
        </w:tabs>
        <w:kinsoku/>
        <w:wordWrap/>
        <w:overflowPunct/>
        <w:topLinePunct w:val="0"/>
        <w:autoSpaceDE/>
        <w:autoSpaceDN/>
        <w:bidi w:val="0"/>
        <w:adjustRightInd/>
        <w:snapToGrid/>
        <w:spacing w:after="120" w:line="360" w:lineRule="exact"/>
        <w:ind w:firstLine="440"/>
        <w:jc w:val="both"/>
        <w:textAlignment w:val="auto"/>
        <w:outlineLvl w:val="9"/>
        <w:rPr>
          <w:rStyle w:val="32"/>
          <w:rFonts w:ascii="Times New Roman" w:hAnsi="Times New Roman" w:cs="Times New Roman"/>
          <w:color w:val="auto"/>
          <w:highlight w:val="none"/>
        </w:rPr>
      </w:pPr>
      <w:bookmarkStart w:id="1208" w:name="bookmark1515"/>
      <w:bookmarkEnd w:id="1208"/>
      <w:r>
        <w:rPr>
          <w:rStyle w:val="32"/>
          <w:rFonts w:ascii="Times New Roman" w:hAnsi="Times New Roman" w:cs="Times New Roman"/>
          <w:color w:val="auto"/>
          <w:highlight w:val="none"/>
        </w:rPr>
        <w:t>发包人和承包人未能就解除合同后的结清达成一致而形成争议的，按第</w:t>
      </w:r>
      <w:r>
        <w:rPr>
          <w:rStyle w:val="32"/>
          <w:rFonts w:ascii="Times New Roman" w:hAnsi="Times New Roman" w:eastAsia="Times New Roman" w:cs="Times New Roman"/>
          <w:color w:val="auto"/>
          <w:highlight w:val="none"/>
        </w:rPr>
        <w:t>24</w:t>
      </w:r>
      <w:r>
        <w:rPr>
          <w:rStyle w:val="32"/>
          <w:rFonts w:ascii="Times New Roman" w:hAnsi="Times New Roman" w:cs="Times New Roman"/>
          <w:color w:val="auto"/>
          <w:highlight w:val="none"/>
        </w:rPr>
        <w:t>条的约定办理。</w:t>
      </w:r>
    </w:p>
    <w:p w14:paraId="5F51CCA8">
      <w:pPr>
        <w:pStyle w:val="97"/>
        <w:pageBreakBefore w:val="0"/>
        <w:kinsoku/>
        <w:wordWrap/>
        <w:overflowPunct/>
        <w:topLinePunct w:val="0"/>
        <w:autoSpaceDE/>
        <w:autoSpaceDN/>
        <w:bidi w:val="0"/>
        <w:adjustRightInd/>
        <w:snapToGrid/>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22.1.5</w:t>
      </w:r>
      <w:r>
        <w:rPr>
          <w:rStyle w:val="32"/>
          <w:rFonts w:ascii="Times New Roman" w:hAnsi="Times New Roman" w:cs="Times New Roman"/>
          <w:color w:val="auto"/>
          <w:highlight w:val="none"/>
        </w:rPr>
        <w:t>协议利益的转让</w:t>
      </w:r>
    </w:p>
    <w:p w14:paraId="7B7E8734">
      <w:pPr>
        <w:pStyle w:val="97"/>
        <w:pageBreakBefore w:val="0"/>
        <w:kinsoku/>
        <w:wordWrap/>
        <w:overflowPunct/>
        <w:topLinePunct w:val="0"/>
        <w:autoSpaceDE/>
        <w:autoSpaceDN/>
        <w:bidi w:val="0"/>
        <w:adjustRightInd/>
        <w:snapToGrid/>
        <w:spacing w:line="351"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因承包人违约解除合同的，发包人有权要求承包人将其为实施合同而签订的材料和设备的订货协议或任何服务协议利益转让给发包人，并在解除合同后的</w:t>
      </w:r>
      <w:r>
        <w:rPr>
          <w:rStyle w:val="32"/>
          <w:rFonts w:ascii="Times New Roman" w:hAnsi="Times New Roman" w:eastAsia="Times New Roman" w:cs="Times New Roman"/>
          <w:color w:val="auto"/>
          <w:highlight w:val="none"/>
        </w:rPr>
        <w:t>14</w:t>
      </w:r>
      <w:r>
        <w:rPr>
          <w:rStyle w:val="32"/>
          <w:rFonts w:ascii="Times New Roman" w:hAnsi="Times New Roman" w:cs="Times New Roman"/>
          <w:color w:val="auto"/>
          <w:highlight w:val="none"/>
        </w:rPr>
        <w:t>天内，依法办理转让手续。</w:t>
      </w:r>
    </w:p>
    <w:p w14:paraId="78CCAF16">
      <w:pPr>
        <w:pStyle w:val="97"/>
        <w:pageBreakBefore w:val="0"/>
        <w:kinsoku/>
        <w:wordWrap/>
        <w:overflowPunct/>
        <w:topLinePunct w:val="0"/>
        <w:autoSpaceDE/>
        <w:autoSpaceDN/>
        <w:bidi w:val="0"/>
        <w:adjustRightInd/>
        <w:snapToGrid/>
        <w:spacing w:line="349" w:lineRule="exact"/>
        <w:ind w:firstLine="440"/>
        <w:jc w:val="both"/>
        <w:textAlignment w:val="auto"/>
        <w:outlineLvl w:val="9"/>
        <w:rPr>
          <w:rStyle w:val="32"/>
          <w:color w:val="auto"/>
          <w:highlight w:val="none"/>
          <w:lang w:val="en-US"/>
        </w:rPr>
      </w:pPr>
      <w:bookmarkStart w:id="1209" w:name="bookmark1516"/>
      <w:bookmarkEnd w:id="1209"/>
      <w:r>
        <w:rPr>
          <w:rStyle w:val="32"/>
          <w:rFonts w:ascii="Times New Roman" w:hAnsi="Times New Roman" w:cs="Times New Roman"/>
          <w:color w:val="auto"/>
          <w:highlight w:val="none"/>
          <w:lang w:val="en-US"/>
        </w:rPr>
        <w:t>22.1.6紧</w:t>
      </w:r>
      <w:r>
        <w:rPr>
          <w:rStyle w:val="32"/>
          <w:color w:val="auto"/>
          <w:highlight w:val="none"/>
          <w:lang w:val="en-US"/>
        </w:rPr>
        <w:t>急情况下无能力或不愿进行抢救</w:t>
      </w:r>
    </w:p>
    <w:p w14:paraId="7DDBBE13">
      <w:pPr>
        <w:pStyle w:val="97"/>
        <w:pageBreakBefore w:val="0"/>
        <w:kinsoku/>
        <w:wordWrap/>
        <w:overflowPunct/>
        <w:topLinePunct w:val="0"/>
        <w:autoSpaceDE/>
        <w:autoSpaceDN/>
        <w:bidi w:val="0"/>
        <w:adjustRightInd/>
        <w:snapToGrid/>
        <w:spacing w:after="120" w:line="351" w:lineRule="exact"/>
        <w:ind w:firstLine="440"/>
        <w:jc w:val="both"/>
        <w:textAlignment w:val="auto"/>
        <w:outlineLvl w:val="9"/>
        <w:rPr>
          <w:rStyle w:val="32"/>
          <w:color w:val="auto"/>
          <w:highlight w:val="none"/>
        </w:rPr>
      </w:pPr>
      <w:r>
        <w:rPr>
          <w:rStyle w:val="32"/>
          <w:color w:val="auto"/>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63850F1">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10" w:name="_Toc256000164"/>
      <w:bookmarkStart w:id="1211" w:name="bookmark1518"/>
      <w:bookmarkStart w:id="1212" w:name="bookmark1519"/>
      <w:bookmarkStart w:id="1213" w:name="_Toc32348"/>
      <w:bookmarkStart w:id="1214" w:name="_Toc24772"/>
      <w:bookmarkStart w:id="1215" w:name="bookmark1517"/>
      <w:r>
        <w:rPr>
          <w:rStyle w:val="32"/>
          <w:rFonts w:ascii="宋体" w:hAnsi="宋体" w:cs="Times New Roman"/>
          <w:color w:val="auto"/>
          <w:sz w:val="24"/>
          <w:szCs w:val="24"/>
          <w:highlight w:val="none"/>
          <w:lang w:eastAsia="zh-CN"/>
        </w:rPr>
        <w:t>22.2发包人违约</w:t>
      </w:r>
      <w:bookmarkEnd w:id="1210"/>
      <w:bookmarkEnd w:id="1211"/>
      <w:bookmarkEnd w:id="1212"/>
      <w:bookmarkEnd w:id="1213"/>
      <w:bookmarkEnd w:id="1214"/>
      <w:bookmarkEnd w:id="1215"/>
    </w:p>
    <w:p w14:paraId="3CD0D51D">
      <w:pPr>
        <w:pStyle w:val="97"/>
        <w:pageBreakBefore w:val="0"/>
        <w:kinsoku/>
        <w:wordWrap/>
        <w:overflowPunct/>
        <w:topLinePunct w:val="0"/>
        <w:autoSpaceDE/>
        <w:autoSpaceDN/>
        <w:bidi w:val="0"/>
        <w:adjustRightInd/>
        <w:snapToGrid/>
        <w:spacing w:line="350" w:lineRule="exact"/>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22.2.1</w:t>
      </w:r>
      <w:r>
        <w:rPr>
          <w:rStyle w:val="32"/>
          <w:color w:val="auto"/>
          <w:highlight w:val="none"/>
        </w:rPr>
        <w:t>发包人违约的情形</w:t>
      </w:r>
    </w:p>
    <w:p w14:paraId="60770373">
      <w:pPr>
        <w:pStyle w:val="97"/>
        <w:pageBreakBefore w:val="0"/>
        <w:kinsoku/>
        <w:wordWrap/>
        <w:overflowPunct/>
        <w:topLinePunct w:val="0"/>
        <w:autoSpaceDE/>
        <w:autoSpaceDN/>
        <w:bidi w:val="0"/>
        <w:adjustRightInd/>
        <w:snapToGrid/>
        <w:spacing w:line="350" w:lineRule="exact"/>
        <w:ind w:firstLine="420"/>
        <w:jc w:val="both"/>
        <w:textAlignment w:val="auto"/>
        <w:outlineLvl w:val="9"/>
        <w:rPr>
          <w:rStyle w:val="32"/>
          <w:color w:val="auto"/>
          <w:highlight w:val="none"/>
        </w:rPr>
      </w:pPr>
      <w:r>
        <w:rPr>
          <w:rStyle w:val="32"/>
          <w:color w:val="auto"/>
          <w:highlight w:val="none"/>
        </w:rPr>
        <w:t>在履行合同过程中发生的下列情形，属发包人违约：</w:t>
      </w:r>
    </w:p>
    <w:p w14:paraId="0C3BF41C">
      <w:pPr>
        <w:pStyle w:val="97"/>
        <w:pageBreakBefore w:val="0"/>
        <w:numPr>
          <w:ilvl w:val="0"/>
          <w:numId w:val="34"/>
        </w:numPr>
        <w:kinsoku/>
        <w:wordWrap/>
        <w:overflowPunct/>
        <w:topLinePunct w:val="0"/>
        <w:autoSpaceDE/>
        <w:autoSpaceDN/>
        <w:bidi w:val="0"/>
        <w:adjustRightInd/>
        <w:snapToGrid/>
        <w:spacing w:line="350" w:lineRule="exact"/>
        <w:ind w:firstLine="420"/>
        <w:jc w:val="both"/>
        <w:textAlignment w:val="auto"/>
        <w:outlineLvl w:val="9"/>
        <w:rPr>
          <w:rStyle w:val="32"/>
          <w:color w:val="auto"/>
          <w:highlight w:val="none"/>
        </w:rPr>
      </w:pPr>
      <w:bookmarkStart w:id="1216" w:name="bookmark1520"/>
      <w:bookmarkEnd w:id="1216"/>
      <w:r>
        <w:rPr>
          <w:rStyle w:val="32"/>
          <w:color w:val="auto"/>
          <w:highlight w:val="none"/>
        </w:rPr>
        <w:t>发包人未能按合同约定支付预付款或合同价款，或拖延、拒绝批准付款申请和支付凭证，导致付款延误的；</w:t>
      </w:r>
    </w:p>
    <w:p w14:paraId="5D09D42D">
      <w:pPr>
        <w:pStyle w:val="97"/>
        <w:pageBreakBefore w:val="0"/>
        <w:numPr>
          <w:ilvl w:val="0"/>
          <w:numId w:val="34"/>
        </w:numPr>
        <w:tabs>
          <w:tab w:val="left" w:pos="903"/>
        </w:tabs>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bookmarkStart w:id="1217" w:name="bookmark1521"/>
      <w:bookmarkEnd w:id="1217"/>
      <w:r>
        <w:rPr>
          <w:rStyle w:val="32"/>
          <w:color w:val="auto"/>
          <w:highlight w:val="none"/>
        </w:rPr>
        <w:t>发包人原因造成停工的；</w:t>
      </w:r>
    </w:p>
    <w:p w14:paraId="69B8FC47">
      <w:pPr>
        <w:pStyle w:val="97"/>
        <w:pageBreakBefore w:val="0"/>
        <w:numPr>
          <w:ilvl w:val="0"/>
          <w:numId w:val="34"/>
        </w:numPr>
        <w:tabs>
          <w:tab w:val="left" w:pos="903"/>
        </w:tabs>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bookmarkStart w:id="1218" w:name="bookmark1522"/>
      <w:bookmarkEnd w:id="1218"/>
      <w:r>
        <w:rPr>
          <w:rStyle w:val="32"/>
          <w:color w:val="auto"/>
          <w:highlight w:val="none"/>
        </w:rPr>
        <w:t>监理人无正当理由没有在约定期限内发出复工指示，导致承包人无法复工的；</w:t>
      </w:r>
    </w:p>
    <w:p w14:paraId="79CF566F">
      <w:pPr>
        <w:pStyle w:val="97"/>
        <w:pageBreakBefore w:val="0"/>
        <w:numPr>
          <w:ilvl w:val="0"/>
          <w:numId w:val="34"/>
        </w:numPr>
        <w:tabs>
          <w:tab w:val="left" w:pos="903"/>
        </w:tabs>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bookmarkStart w:id="1219" w:name="bookmark1523"/>
      <w:bookmarkEnd w:id="1219"/>
      <w:r>
        <w:rPr>
          <w:rStyle w:val="32"/>
          <w:color w:val="auto"/>
          <w:highlight w:val="none"/>
        </w:rPr>
        <w:t>发包人无法继续履行或明确表示不履行或实质上已停止履行合同的；</w:t>
      </w:r>
    </w:p>
    <w:p w14:paraId="662C00ED">
      <w:pPr>
        <w:pStyle w:val="97"/>
        <w:pageBreakBefore w:val="0"/>
        <w:numPr>
          <w:ilvl w:val="0"/>
          <w:numId w:val="34"/>
        </w:numPr>
        <w:tabs>
          <w:tab w:val="left" w:pos="903"/>
        </w:tabs>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bookmarkStart w:id="1220" w:name="bookmark1524"/>
      <w:bookmarkEnd w:id="1220"/>
      <w:r>
        <w:rPr>
          <w:rStyle w:val="32"/>
          <w:color w:val="auto"/>
          <w:highlight w:val="none"/>
        </w:rPr>
        <w:t>发包人不履行合同约定其他义务的。</w:t>
      </w:r>
    </w:p>
    <w:p w14:paraId="65E2D578">
      <w:pPr>
        <w:pStyle w:val="97"/>
        <w:pageBreakBefore w:val="0"/>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22.2.2</w:t>
      </w:r>
      <w:r>
        <w:rPr>
          <w:rStyle w:val="32"/>
          <w:color w:val="auto"/>
          <w:highlight w:val="none"/>
        </w:rPr>
        <w:t>承包人有权暂停施工</w:t>
      </w:r>
    </w:p>
    <w:p w14:paraId="2E7547A8">
      <w:pPr>
        <w:pStyle w:val="97"/>
        <w:pageBreakBefore w:val="0"/>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r>
        <w:rPr>
          <w:rStyle w:val="32"/>
          <w:color w:val="auto"/>
          <w:highlight w:val="none"/>
        </w:rPr>
        <w:t>发包人发生除第</w:t>
      </w:r>
      <w:r>
        <w:rPr>
          <w:rStyle w:val="32"/>
          <w:rFonts w:ascii="Times New Roman" w:hAnsi="Times New Roman" w:eastAsia="Times New Roman" w:cs="Times New Roman"/>
          <w:color w:val="auto"/>
          <w:highlight w:val="none"/>
          <w:lang w:val="en-US" w:bidi="en-US"/>
        </w:rPr>
        <w:t xml:space="preserve">22.2.1 </w:t>
      </w:r>
      <w:r>
        <w:rPr>
          <w:rStyle w:val="32"/>
          <w:rFonts w:ascii="Times New Roman" w:hAnsi="Times New Roman" w:eastAsia="Times New Roman" w:cs="Times New Roman"/>
          <w:color w:val="auto"/>
          <w:highlight w:val="none"/>
        </w:rPr>
        <w:t>(4)</w:t>
      </w:r>
      <w:r>
        <w:rPr>
          <w:rStyle w:val="32"/>
          <w:color w:val="auto"/>
          <w:highlight w:val="none"/>
        </w:rPr>
        <w:t>目以外的违约情况时，承包人可向发包人发出通知，要求发包人采取有效措施纠正违约行为。发包人收到承包人通知后的</w:t>
      </w:r>
      <w:r>
        <w:rPr>
          <w:rStyle w:val="32"/>
          <w:rFonts w:ascii="Times New Roman" w:hAnsi="Times New Roman" w:eastAsia="Times New Roman" w:cs="Times New Roman"/>
          <w:color w:val="auto"/>
          <w:highlight w:val="none"/>
        </w:rPr>
        <w:t>28</w:t>
      </w:r>
      <w:r>
        <w:rPr>
          <w:rStyle w:val="32"/>
          <w:color w:val="auto"/>
          <w:highlight w:val="none"/>
        </w:rPr>
        <w:t>天内仍不履行合同义 务，承包人有权暂停施工，并通知监理人，发包人应承担由此增加的费用和(或)工期延误，并支付承包人合理利润。</w:t>
      </w:r>
    </w:p>
    <w:p w14:paraId="395C53C0">
      <w:pPr>
        <w:pStyle w:val="97"/>
        <w:pageBreakBefore w:val="0"/>
        <w:kinsoku/>
        <w:wordWrap/>
        <w:overflowPunct/>
        <w:topLinePunct w:val="0"/>
        <w:autoSpaceDE/>
        <w:autoSpaceDN/>
        <w:bidi w:val="0"/>
        <w:adjustRightInd/>
        <w:snapToGrid/>
        <w:spacing w:line="362" w:lineRule="exact"/>
        <w:ind w:firstLine="420"/>
        <w:textAlignment w:val="auto"/>
        <w:outlineLvl w:val="9"/>
        <w:rPr>
          <w:rStyle w:val="32"/>
          <w:color w:val="auto"/>
          <w:highlight w:val="none"/>
        </w:rPr>
      </w:pPr>
      <w:r>
        <w:rPr>
          <w:rStyle w:val="32"/>
          <w:color w:val="auto"/>
          <w:highlight w:val="none"/>
          <w:lang w:val="en-US" w:eastAsia="en-US"/>
        </w:rPr>
        <w:t>22.2.3</w:t>
      </w:r>
      <w:r>
        <w:rPr>
          <w:rStyle w:val="32"/>
          <w:color w:val="auto"/>
          <w:highlight w:val="none"/>
        </w:rPr>
        <w:t>发包人违约解除合同</w:t>
      </w:r>
    </w:p>
    <w:p w14:paraId="67EB1751">
      <w:pPr>
        <w:pStyle w:val="97"/>
        <w:pageBreakBefore w:val="0"/>
        <w:numPr>
          <w:ilvl w:val="0"/>
          <w:numId w:val="35"/>
        </w:numPr>
        <w:tabs>
          <w:tab w:val="left" w:pos="923"/>
        </w:tabs>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bookmarkStart w:id="1221" w:name="bookmark1525"/>
      <w:bookmarkEnd w:id="1221"/>
      <w:r>
        <w:rPr>
          <w:rStyle w:val="32"/>
          <w:color w:val="auto"/>
          <w:highlight w:val="none"/>
        </w:rPr>
        <w:t>发生第</w:t>
      </w:r>
      <w:r>
        <w:rPr>
          <w:rStyle w:val="32"/>
          <w:rFonts w:ascii="Times New Roman" w:hAnsi="Times New Roman" w:eastAsia="Times New Roman" w:cs="Times New Roman"/>
          <w:color w:val="auto"/>
          <w:highlight w:val="none"/>
          <w:lang w:val="en-US" w:bidi="en-US"/>
        </w:rPr>
        <w:t xml:space="preserve">22.2.1 </w:t>
      </w:r>
      <w:r>
        <w:rPr>
          <w:rStyle w:val="32"/>
          <w:rFonts w:ascii="Times New Roman" w:hAnsi="Times New Roman" w:eastAsia="Times New Roman" w:cs="Times New Roman"/>
          <w:color w:val="auto"/>
          <w:highlight w:val="none"/>
        </w:rPr>
        <w:t>(4)</w:t>
      </w:r>
      <w:r>
        <w:rPr>
          <w:rStyle w:val="32"/>
          <w:color w:val="auto"/>
          <w:highlight w:val="none"/>
        </w:rPr>
        <w:t>目的违约情况时，承包人可书面通知发包人解除合同。</w:t>
      </w:r>
    </w:p>
    <w:p w14:paraId="625F38AC">
      <w:pPr>
        <w:pStyle w:val="97"/>
        <w:pageBreakBefore w:val="0"/>
        <w:numPr>
          <w:ilvl w:val="0"/>
          <w:numId w:val="35"/>
        </w:numPr>
        <w:tabs>
          <w:tab w:val="left" w:pos="920"/>
        </w:tabs>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bookmarkStart w:id="1222" w:name="bookmark1526"/>
      <w:bookmarkEnd w:id="1222"/>
      <w:r>
        <w:rPr>
          <w:rStyle w:val="32"/>
          <w:color w:val="auto"/>
          <w:highlight w:val="none"/>
        </w:rPr>
        <w:t>承包人按</w:t>
      </w:r>
      <w:r>
        <w:rPr>
          <w:rStyle w:val="32"/>
          <w:rFonts w:ascii="Times New Roman" w:hAnsi="Times New Roman" w:eastAsia="Times New Roman" w:cs="Times New Roman"/>
          <w:color w:val="auto"/>
          <w:highlight w:val="none"/>
          <w:lang w:val="en-US" w:bidi="en-US"/>
        </w:rPr>
        <w:t xml:space="preserve">22. 2. </w:t>
      </w:r>
      <w:r>
        <w:rPr>
          <w:rStyle w:val="32"/>
          <w:rFonts w:ascii="Times New Roman" w:hAnsi="Times New Roman" w:eastAsia="Times New Roman" w:cs="Times New Roman"/>
          <w:color w:val="auto"/>
          <w:highlight w:val="none"/>
        </w:rPr>
        <w:t>2</w:t>
      </w:r>
      <w:r>
        <w:rPr>
          <w:rStyle w:val="32"/>
          <w:color w:val="auto"/>
          <w:highlight w:val="none"/>
        </w:rPr>
        <w:t>项暂停施工</w:t>
      </w:r>
      <w:r>
        <w:rPr>
          <w:rStyle w:val="32"/>
          <w:rFonts w:ascii="Times New Roman" w:hAnsi="Times New Roman" w:eastAsia="Times New Roman" w:cs="Times New Roman"/>
          <w:color w:val="auto"/>
          <w:highlight w:val="none"/>
        </w:rPr>
        <w:t>28</w:t>
      </w:r>
      <w:r>
        <w:rPr>
          <w:rStyle w:val="32"/>
          <w:color w:val="auto"/>
          <w:highlight w:val="none"/>
        </w:rPr>
        <w:t>天后，发包人仍不纠正违约行为的，承包人可向发包人发出解除合同通知。但承包人的这一行动不免除发包人承担的违约责任，也不影响承包人根据合同约定享有的索赔权利。</w:t>
      </w:r>
    </w:p>
    <w:p w14:paraId="0DFB3F7A">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22.2.4</w:t>
      </w:r>
      <w:r>
        <w:rPr>
          <w:rStyle w:val="32"/>
          <w:color w:val="auto"/>
          <w:highlight w:val="none"/>
        </w:rPr>
        <w:t>解除合同后的付款</w:t>
      </w:r>
    </w:p>
    <w:p w14:paraId="02AF7F8A">
      <w:pPr>
        <w:pStyle w:val="97"/>
        <w:pageBreakBefore w:val="0"/>
        <w:kinsoku/>
        <w:wordWrap/>
        <w:overflowPunct/>
        <w:topLinePunct w:val="0"/>
        <w:autoSpaceDE/>
        <w:autoSpaceDN/>
        <w:bidi w:val="0"/>
        <w:adjustRightInd/>
        <w:snapToGrid/>
        <w:spacing w:line="374" w:lineRule="exact"/>
        <w:ind w:firstLine="440"/>
        <w:jc w:val="both"/>
        <w:textAlignment w:val="auto"/>
        <w:outlineLvl w:val="9"/>
        <w:rPr>
          <w:rStyle w:val="32"/>
          <w:color w:val="auto"/>
          <w:highlight w:val="none"/>
        </w:rPr>
      </w:pPr>
      <w:r>
        <w:rPr>
          <w:rStyle w:val="32"/>
          <w:color w:val="auto"/>
          <w:highlight w:val="none"/>
        </w:rPr>
        <w:t>因发包人违约解除合同的，发包人应在解除合同后</w:t>
      </w:r>
      <w:r>
        <w:rPr>
          <w:rStyle w:val="32"/>
          <w:rFonts w:ascii="Times New Roman" w:hAnsi="Times New Roman" w:eastAsia="Times New Roman" w:cs="Times New Roman"/>
          <w:color w:val="auto"/>
          <w:highlight w:val="none"/>
        </w:rPr>
        <w:t>28</w:t>
      </w:r>
      <w:r>
        <w:rPr>
          <w:rStyle w:val="32"/>
          <w:color w:val="auto"/>
          <w:highlight w:val="none"/>
        </w:rPr>
        <w:t>天内向承包人支付下列金额，承包人应在此期限内及时向发包人提交要求支付下列金额的有关资料和凭证：</w:t>
      </w:r>
    </w:p>
    <w:p w14:paraId="240C9350">
      <w:pPr>
        <w:pStyle w:val="97"/>
        <w:pageBreakBefore w:val="0"/>
        <w:numPr>
          <w:ilvl w:val="0"/>
          <w:numId w:val="36"/>
        </w:numPr>
        <w:tabs>
          <w:tab w:val="left" w:pos="903"/>
        </w:tabs>
        <w:kinsoku/>
        <w:wordWrap/>
        <w:overflowPunct/>
        <w:topLinePunct w:val="0"/>
        <w:autoSpaceDE/>
        <w:autoSpaceDN/>
        <w:bidi w:val="0"/>
        <w:adjustRightInd/>
        <w:snapToGrid/>
        <w:spacing w:line="374" w:lineRule="exact"/>
        <w:ind w:firstLine="420"/>
        <w:textAlignment w:val="auto"/>
        <w:outlineLvl w:val="9"/>
        <w:rPr>
          <w:rStyle w:val="32"/>
          <w:color w:val="auto"/>
          <w:highlight w:val="none"/>
        </w:rPr>
      </w:pPr>
      <w:bookmarkStart w:id="1223" w:name="bookmark1527"/>
      <w:bookmarkEnd w:id="1223"/>
      <w:r>
        <w:rPr>
          <w:rStyle w:val="32"/>
          <w:color w:val="auto"/>
          <w:highlight w:val="none"/>
        </w:rPr>
        <w:t>合同解除日以前所完成工作的价款；</w:t>
      </w:r>
    </w:p>
    <w:p w14:paraId="58C80D04">
      <w:pPr>
        <w:pStyle w:val="97"/>
        <w:pageBreakBefore w:val="0"/>
        <w:numPr>
          <w:ilvl w:val="0"/>
          <w:numId w:val="36"/>
        </w:numPr>
        <w:tabs>
          <w:tab w:val="left" w:pos="920"/>
        </w:tabs>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bookmarkStart w:id="1224" w:name="bookmark1528"/>
      <w:bookmarkEnd w:id="1224"/>
      <w:r>
        <w:rPr>
          <w:rStyle w:val="32"/>
          <w:color w:val="auto"/>
          <w:highlight w:val="none"/>
        </w:rPr>
        <w:t>承包人为该工程施工订购并已付款的材料、工程设备和其他物品的金额。发包人付还后，该材料、工程设备和其他物品归发包人所有；</w:t>
      </w:r>
    </w:p>
    <w:p w14:paraId="7C6142AA">
      <w:pPr>
        <w:pStyle w:val="97"/>
        <w:pageBreakBefore w:val="0"/>
        <w:numPr>
          <w:ilvl w:val="0"/>
          <w:numId w:val="36"/>
        </w:numPr>
        <w:tabs>
          <w:tab w:val="left" w:pos="903"/>
        </w:tabs>
        <w:kinsoku/>
        <w:wordWrap/>
        <w:overflowPunct/>
        <w:topLinePunct w:val="0"/>
        <w:autoSpaceDE/>
        <w:autoSpaceDN/>
        <w:bidi w:val="0"/>
        <w:adjustRightInd/>
        <w:snapToGrid/>
        <w:spacing w:line="365" w:lineRule="exact"/>
        <w:ind w:firstLine="420"/>
        <w:textAlignment w:val="auto"/>
        <w:outlineLvl w:val="9"/>
        <w:rPr>
          <w:rStyle w:val="32"/>
          <w:color w:val="auto"/>
          <w:highlight w:val="none"/>
        </w:rPr>
      </w:pPr>
      <w:bookmarkStart w:id="1225" w:name="bookmark1529"/>
      <w:bookmarkEnd w:id="1225"/>
      <w:r>
        <w:rPr>
          <w:rStyle w:val="32"/>
          <w:color w:val="auto"/>
          <w:highlight w:val="none"/>
        </w:rPr>
        <w:t>承包人为完成工程所发生的，而发包人未支付的金额；</w:t>
      </w:r>
    </w:p>
    <w:p w14:paraId="1AA8638A">
      <w:pPr>
        <w:pStyle w:val="97"/>
        <w:pageBreakBefore w:val="0"/>
        <w:numPr>
          <w:ilvl w:val="0"/>
          <w:numId w:val="36"/>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1226" w:name="bookmark1530"/>
      <w:bookmarkEnd w:id="1226"/>
      <w:r>
        <w:rPr>
          <w:rStyle w:val="32"/>
          <w:color w:val="auto"/>
          <w:highlight w:val="none"/>
        </w:rPr>
        <w:t>承包人撤离施工场地以及遣散承包人人员的金额；</w:t>
      </w:r>
    </w:p>
    <w:p w14:paraId="101D6905">
      <w:pPr>
        <w:pStyle w:val="97"/>
        <w:pageBreakBefore w:val="0"/>
        <w:numPr>
          <w:ilvl w:val="0"/>
          <w:numId w:val="36"/>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1227" w:name="bookmark1531"/>
      <w:bookmarkEnd w:id="1227"/>
      <w:r>
        <w:rPr>
          <w:rStyle w:val="32"/>
          <w:color w:val="auto"/>
          <w:highlight w:val="none"/>
        </w:rPr>
        <w:t>由于解除合同应赔偿的承包人损失；</w:t>
      </w:r>
    </w:p>
    <w:p w14:paraId="15951F97">
      <w:pPr>
        <w:pStyle w:val="97"/>
        <w:pageBreakBefore w:val="0"/>
        <w:numPr>
          <w:ilvl w:val="0"/>
          <w:numId w:val="36"/>
        </w:numPr>
        <w:tabs>
          <w:tab w:val="left" w:pos="903"/>
        </w:tabs>
        <w:kinsoku/>
        <w:wordWrap/>
        <w:overflowPunct/>
        <w:topLinePunct w:val="0"/>
        <w:autoSpaceDE/>
        <w:autoSpaceDN/>
        <w:bidi w:val="0"/>
        <w:adjustRightInd/>
        <w:snapToGrid/>
        <w:spacing w:line="358" w:lineRule="exact"/>
        <w:ind w:firstLine="420"/>
        <w:textAlignment w:val="auto"/>
        <w:outlineLvl w:val="9"/>
        <w:rPr>
          <w:rStyle w:val="32"/>
          <w:color w:val="auto"/>
          <w:highlight w:val="none"/>
        </w:rPr>
      </w:pPr>
      <w:bookmarkStart w:id="1228" w:name="bookmark1532"/>
      <w:bookmarkEnd w:id="1228"/>
      <w:r>
        <w:rPr>
          <w:rStyle w:val="32"/>
          <w:color w:val="auto"/>
          <w:highlight w:val="none"/>
        </w:rPr>
        <w:t>按合同约定在合同解除日前应支付给承包人的其他金额。</w:t>
      </w:r>
    </w:p>
    <w:p w14:paraId="76E576B7">
      <w:pPr>
        <w:pStyle w:val="97"/>
        <w:pageBreakBefore w:val="0"/>
        <w:kinsoku/>
        <w:wordWrap/>
        <w:overflowPunct/>
        <w:topLinePunct w:val="0"/>
        <w:autoSpaceDE/>
        <w:autoSpaceDN/>
        <w:bidi w:val="0"/>
        <w:adjustRightInd/>
        <w:snapToGrid/>
        <w:spacing w:line="358" w:lineRule="exact"/>
        <w:ind w:firstLine="440"/>
        <w:jc w:val="both"/>
        <w:textAlignment w:val="auto"/>
        <w:outlineLvl w:val="9"/>
        <w:rPr>
          <w:rStyle w:val="32"/>
          <w:color w:val="auto"/>
          <w:highlight w:val="none"/>
        </w:rPr>
      </w:pPr>
      <w:r>
        <w:rPr>
          <w:rStyle w:val="32"/>
          <w:color w:val="auto"/>
          <w:highlight w:val="none"/>
        </w:rPr>
        <w:t>发包人应按本项约定支付上述金额并退还质量保证金和履约担保，但有权要求承包人支付应偿还给发包人的各项金额。</w:t>
      </w:r>
    </w:p>
    <w:p w14:paraId="14E26DB5">
      <w:pPr>
        <w:pStyle w:val="97"/>
        <w:pageBreakBefore w:val="0"/>
        <w:kinsoku/>
        <w:wordWrap/>
        <w:overflowPunct/>
        <w:topLinePunct w:val="0"/>
        <w:autoSpaceDE/>
        <w:autoSpaceDN/>
        <w:bidi w:val="0"/>
        <w:adjustRightInd/>
        <w:snapToGrid/>
        <w:spacing w:line="362" w:lineRule="exact"/>
        <w:ind w:firstLine="420"/>
        <w:textAlignment w:val="auto"/>
        <w:outlineLvl w:val="9"/>
        <w:rPr>
          <w:rStyle w:val="32"/>
          <w:color w:val="auto"/>
          <w:highlight w:val="none"/>
          <w:lang w:val="en-US"/>
        </w:rPr>
      </w:pPr>
      <w:r>
        <w:rPr>
          <w:rStyle w:val="32"/>
          <w:color w:val="auto"/>
          <w:highlight w:val="none"/>
          <w:lang w:val="en-US"/>
        </w:rPr>
        <w:t>22.2.5解除合同后的承包人撤离</w:t>
      </w:r>
    </w:p>
    <w:p w14:paraId="6A7A20B2">
      <w:pPr>
        <w:pStyle w:val="97"/>
        <w:pageBreakBefore w:val="0"/>
        <w:kinsoku/>
        <w:wordWrap/>
        <w:overflowPunct/>
        <w:topLinePunct w:val="0"/>
        <w:autoSpaceDE/>
        <w:autoSpaceDN/>
        <w:bidi w:val="0"/>
        <w:adjustRightInd/>
        <w:snapToGrid/>
        <w:spacing w:after="180" w:line="348" w:lineRule="exact"/>
        <w:ind w:firstLine="440"/>
        <w:jc w:val="both"/>
        <w:textAlignment w:val="auto"/>
        <w:outlineLvl w:val="9"/>
        <w:rPr>
          <w:rStyle w:val="32"/>
          <w:color w:val="auto"/>
          <w:highlight w:val="none"/>
        </w:rPr>
      </w:pPr>
      <w:r>
        <w:rPr>
          <w:rStyle w:val="32"/>
          <w:color w:val="auto"/>
          <w:highlight w:val="none"/>
        </w:rPr>
        <w:t>因发包人违约而解除合同后，承包人应妥善做好已竣工工程和已购材料、设备的保护和移交工作，按发包人要求将承包人设备和人员撤出施工场地。承包人撤出施工场地应遵 守第</w:t>
      </w:r>
      <w:r>
        <w:rPr>
          <w:rStyle w:val="32"/>
          <w:rFonts w:ascii="Times New Roman" w:hAnsi="Times New Roman" w:eastAsia="Times New Roman" w:cs="Times New Roman"/>
          <w:color w:val="auto"/>
          <w:highlight w:val="none"/>
          <w:lang w:val="en-US" w:bidi="en-US"/>
        </w:rPr>
        <w:t xml:space="preserve">18. 7. </w:t>
      </w:r>
      <w:r>
        <w:rPr>
          <w:rStyle w:val="32"/>
          <w:rFonts w:ascii="Times New Roman" w:hAnsi="Times New Roman" w:eastAsia="Times New Roman" w:cs="Times New Roman"/>
          <w:color w:val="auto"/>
          <w:highlight w:val="none"/>
        </w:rPr>
        <w:t>1</w:t>
      </w:r>
      <w:r>
        <w:rPr>
          <w:rStyle w:val="32"/>
          <w:color w:val="auto"/>
          <w:highlight w:val="none"/>
        </w:rPr>
        <w:t>项的约定，发包人应为承包人撤出提供必要条件。</w:t>
      </w:r>
    </w:p>
    <w:p w14:paraId="2CA44C03">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29" w:name="_Toc7744"/>
      <w:bookmarkStart w:id="1230" w:name="_Toc256000165"/>
      <w:bookmarkStart w:id="1231" w:name="bookmark1534"/>
      <w:bookmarkStart w:id="1232" w:name="bookmark1535"/>
      <w:bookmarkStart w:id="1233" w:name="bookmark1533"/>
      <w:bookmarkStart w:id="1234" w:name="_Toc9266"/>
      <w:r>
        <w:rPr>
          <w:rStyle w:val="32"/>
          <w:rFonts w:ascii="宋体" w:hAnsi="宋体" w:cs="Times New Roman"/>
          <w:color w:val="auto"/>
          <w:sz w:val="24"/>
          <w:szCs w:val="24"/>
          <w:highlight w:val="none"/>
          <w:lang w:eastAsia="zh-CN"/>
        </w:rPr>
        <w:t>22.3第三人造成的违约</w:t>
      </w:r>
      <w:bookmarkEnd w:id="1229"/>
      <w:bookmarkEnd w:id="1230"/>
      <w:bookmarkEnd w:id="1231"/>
      <w:bookmarkEnd w:id="1232"/>
      <w:bookmarkEnd w:id="1233"/>
      <w:bookmarkEnd w:id="1234"/>
    </w:p>
    <w:p w14:paraId="1006DB8D">
      <w:pPr>
        <w:pStyle w:val="97"/>
        <w:pageBreakBefore w:val="0"/>
        <w:kinsoku/>
        <w:wordWrap/>
        <w:overflowPunct/>
        <w:topLinePunct w:val="0"/>
        <w:autoSpaceDE/>
        <w:autoSpaceDN/>
        <w:bidi w:val="0"/>
        <w:adjustRightInd/>
        <w:snapToGrid/>
        <w:spacing w:after="260" w:line="350" w:lineRule="exact"/>
        <w:ind w:firstLine="440"/>
        <w:jc w:val="both"/>
        <w:textAlignment w:val="auto"/>
        <w:outlineLvl w:val="9"/>
        <w:rPr>
          <w:rStyle w:val="32"/>
          <w:color w:val="auto"/>
          <w:highlight w:val="none"/>
        </w:rPr>
      </w:pPr>
      <w:r>
        <w:rPr>
          <w:rStyle w:val="32"/>
          <w:color w:val="auto"/>
          <w:highlight w:val="none"/>
        </w:rPr>
        <w:t>在履行合同过程中，一方当事人因第三人的原因造成违约的，应当向对方当事人承担违约责任。一方当事人和第三人之间的纠纷，依照法律规定或者按照约定解决。</w:t>
      </w:r>
    </w:p>
    <w:p w14:paraId="0466D420">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235" w:name="_Toc26868"/>
      <w:bookmarkStart w:id="1236" w:name="_Toc256000166"/>
      <w:bookmarkStart w:id="1237" w:name="_Toc29128"/>
      <w:r>
        <w:rPr>
          <w:rStyle w:val="32"/>
          <w:rFonts w:hint="eastAsia" w:cs="Times New Roman"/>
          <w:color w:val="auto"/>
          <w:highlight w:val="none"/>
          <w:lang w:eastAsia="zh-CN"/>
        </w:rPr>
        <w:t>23.索赔</w:t>
      </w:r>
      <w:bookmarkEnd w:id="1235"/>
      <w:bookmarkEnd w:id="1236"/>
      <w:bookmarkEnd w:id="1237"/>
    </w:p>
    <w:p w14:paraId="260FC41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38" w:name="bookmark1538"/>
      <w:bookmarkStart w:id="1239" w:name="_Toc12223"/>
      <w:bookmarkStart w:id="1240" w:name="_Toc256000167"/>
      <w:bookmarkStart w:id="1241" w:name="_Toc25030"/>
      <w:bookmarkStart w:id="1242" w:name="bookmark1536"/>
      <w:bookmarkStart w:id="1243" w:name="bookmark1537"/>
      <w:r>
        <w:rPr>
          <w:rStyle w:val="32"/>
          <w:rFonts w:ascii="宋体" w:hAnsi="宋体" w:cs="Times New Roman"/>
          <w:color w:val="auto"/>
          <w:sz w:val="24"/>
          <w:szCs w:val="24"/>
          <w:highlight w:val="none"/>
          <w:lang w:eastAsia="zh-CN"/>
        </w:rPr>
        <w:t>23.1承包人索赔的提出</w:t>
      </w:r>
      <w:bookmarkEnd w:id="1238"/>
      <w:bookmarkEnd w:id="1239"/>
      <w:bookmarkEnd w:id="1240"/>
      <w:bookmarkEnd w:id="1241"/>
      <w:bookmarkEnd w:id="1242"/>
      <w:bookmarkEnd w:id="1243"/>
    </w:p>
    <w:p w14:paraId="2C551635">
      <w:pPr>
        <w:pStyle w:val="95"/>
        <w:pageBreakBefore w:val="0"/>
        <w:kinsoku/>
        <w:wordWrap/>
        <w:overflowPunct/>
        <w:topLinePunct w:val="0"/>
        <w:autoSpaceDE/>
        <w:autoSpaceDN/>
        <w:bidi w:val="0"/>
        <w:adjustRightInd/>
        <w:snapToGrid/>
        <w:ind w:firstLine="400" w:firstLineChars="200"/>
        <w:textAlignment w:val="auto"/>
        <w:outlineLvl w:val="9"/>
        <w:rPr>
          <w:rStyle w:val="32"/>
          <w:rFonts w:ascii="Times New Roman" w:hAnsi="Times New Roman" w:cs="Times New Roman"/>
          <w:color w:val="auto"/>
          <w:sz w:val="20"/>
          <w:szCs w:val="20"/>
          <w:highlight w:val="none"/>
          <w:lang w:eastAsia="zh-CN"/>
        </w:rPr>
      </w:pPr>
      <w:r>
        <w:rPr>
          <w:rStyle w:val="32"/>
          <w:rFonts w:ascii="Times New Roman" w:hAnsi="Times New Roman" w:cs="Times New Roman"/>
          <w:color w:val="auto"/>
          <w:sz w:val="20"/>
          <w:szCs w:val="20"/>
          <w:highlight w:val="none"/>
          <w:lang w:eastAsia="zh-CN"/>
        </w:rPr>
        <w:t>根据合同约定，承包人认为有权得到追加付款和(或)延长工期的，应按以下程序向发包人提出索赔：</w:t>
      </w:r>
    </w:p>
    <w:p w14:paraId="28EFA9AF">
      <w:pPr>
        <w:pStyle w:val="97"/>
        <w:pageBreakBefore w:val="0"/>
        <w:numPr>
          <w:ilvl w:val="0"/>
          <w:numId w:val="37"/>
        </w:numPr>
        <w:tabs>
          <w:tab w:val="left" w:pos="918"/>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244" w:name="bookmark1539"/>
      <w:bookmarkEnd w:id="1244"/>
      <w:r>
        <w:rPr>
          <w:rStyle w:val="32"/>
          <w:color w:val="auto"/>
          <w:highlight w:val="none"/>
        </w:rPr>
        <w:t>承包人应在知道或应当知道索赔事件发生后</w:t>
      </w:r>
      <w:r>
        <w:rPr>
          <w:rStyle w:val="32"/>
          <w:rFonts w:ascii="Times New Roman" w:hAnsi="Times New Roman" w:eastAsia="Times New Roman" w:cs="Times New Roman"/>
          <w:color w:val="auto"/>
          <w:highlight w:val="none"/>
        </w:rPr>
        <w:t>28</w:t>
      </w:r>
      <w:r>
        <w:rPr>
          <w:rStyle w:val="32"/>
          <w:color w:val="auto"/>
          <w:highlight w:val="none"/>
        </w:rPr>
        <w:t>天内，向监理人递交索赔意向通知书，并说明发生索赔事件的事由。承包人未在前述</w:t>
      </w:r>
      <w:r>
        <w:rPr>
          <w:rStyle w:val="32"/>
          <w:rFonts w:ascii="Times New Roman" w:hAnsi="Times New Roman" w:eastAsia="Times New Roman" w:cs="Times New Roman"/>
          <w:color w:val="auto"/>
          <w:highlight w:val="none"/>
        </w:rPr>
        <w:t>28</w:t>
      </w:r>
      <w:r>
        <w:rPr>
          <w:rStyle w:val="32"/>
          <w:color w:val="auto"/>
          <w:highlight w:val="none"/>
        </w:rPr>
        <w:t>天内发出索赔意向通知书的，丧失要求追加付款和(或)延长工期的权利；</w:t>
      </w:r>
    </w:p>
    <w:p w14:paraId="2EB64350">
      <w:pPr>
        <w:pStyle w:val="97"/>
        <w:pageBreakBefore w:val="0"/>
        <w:numPr>
          <w:ilvl w:val="0"/>
          <w:numId w:val="37"/>
        </w:numPr>
        <w:tabs>
          <w:tab w:val="left" w:pos="918"/>
        </w:tabs>
        <w:kinsoku/>
        <w:wordWrap/>
        <w:overflowPunct/>
        <w:topLinePunct w:val="0"/>
        <w:autoSpaceDE/>
        <w:autoSpaceDN/>
        <w:bidi w:val="0"/>
        <w:adjustRightInd/>
        <w:snapToGrid/>
        <w:spacing w:line="354" w:lineRule="exact"/>
        <w:ind w:firstLine="440"/>
        <w:jc w:val="both"/>
        <w:textAlignment w:val="auto"/>
        <w:outlineLvl w:val="9"/>
        <w:rPr>
          <w:rStyle w:val="32"/>
          <w:color w:val="auto"/>
          <w:highlight w:val="none"/>
        </w:rPr>
      </w:pPr>
      <w:bookmarkStart w:id="1245" w:name="bookmark1540"/>
      <w:bookmarkEnd w:id="1245"/>
      <w:r>
        <w:rPr>
          <w:rStyle w:val="32"/>
          <w:color w:val="auto"/>
          <w:highlight w:val="none"/>
        </w:rPr>
        <w:t>承包人应在发出索赔意向通知书后</w:t>
      </w:r>
      <w:r>
        <w:rPr>
          <w:rStyle w:val="32"/>
          <w:rFonts w:ascii="Times New Roman" w:hAnsi="Times New Roman" w:eastAsia="Times New Roman" w:cs="Times New Roman"/>
          <w:color w:val="auto"/>
          <w:highlight w:val="none"/>
        </w:rPr>
        <w:t>28</w:t>
      </w:r>
      <w:r>
        <w:rPr>
          <w:rStyle w:val="32"/>
          <w:color w:val="auto"/>
          <w:highlight w:val="none"/>
        </w:rPr>
        <w:t>天内，向监理人正式递交索赔通知书。索赔通知书应详细说明索赔理由以及要求追加的付款金额和(或)延长的工期，并附必要的记 录和证明材料；</w:t>
      </w:r>
    </w:p>
    <w:p w14:paraId="64C2CCC3">
      <w:pPr>
        <w:pStyle w:val="97"/>
        <w:pageBreakBefore w:val="0"/>
        <w:numPr>
          <w:ilvl w:val="0"/>
          <w:numId w:val="37"/>
        </w:numPr>
        <w:tabs>
          <w:tab w:val="left" w:pos="903"/>
        </w:tabs>
        <w:kinsoku/>
        <w:wordWrap/>
        <w:overflowPunct/>
        <w:topLinePunct w:val="0"/>
        <w:autoSpaceDE/>
        <w:autoSpaceDN/>
        <w:bidi w:val="0"/>
        <w:adjustRightInd/>
        <w:snapToGrid/>
        <w:spacing w:line="354" w:lineRule="exact"/>
        <w:ind w:firstLine="440"/>
        <w:jc w:val="both"/>
        <w:textAlignment w:val="auto"/>
        <w:outlineLvl w:val="9"/>
        <w:rPr>
          <w:rStyle w:val="32"/>
          <w:color w:val="auto"/>
          <w:highlight w:val="none"/>
        </w:rPr>
      </w:pPr>
      <w:bookmarkStart w:id="1246" w:name="bookmark1541"/>
      <w:bookmarkEnd w:id="1246"/>
      <w:r>
        <w:rPr>
          <w:rStyle w:val="32"/>
          <w:color w:val="auto"/>
          <w:highlight w:val="none"/>
        </w:rPr>
        <w:t>索赔事件具有连续影响的，承包人应按合理时间间隔继续递交延续索赔通知，说明连续影响的实际情况和记录，列出累计的追加付款金额和(或)工期延长天数；</w:t>
      </w:r>
    </w:p>
    <w:p w14:paraId="28AA12FD">
      <w:pPr>
        <w:pStyle w:val="97"/>
        <w:pageBreakBefore w:val="0"/>
        <w:numPr>
          <w:ilvl w:val="0"/>
          <w:numId w:val="37"/>
        </w:numPr>
        <w:tabs>
          <w:tab w:val="left" w:pos="920"/>
        </w:tabs>
        <w:kinsoku/>
        <w:wordWrap/>
        <w:overflowPunct/>
        <w:topLinePunct w:val="0"/>
        <w:autoSpaceDE/>
        <w:autoSpaceDN/>
        <w:bidi w:val="0"/>
        <w:adjustRightInd/>
        <w:snapToGrid/>
        <w:spacing w:after="120" w:line="367" w:lineRule="exact"/>
        <w:ind w:firstLine="440"/>
        <w:jc w:val="both"/>
        <w:textAlignment w:val="auto"/>
        <w:outlineLvl w:val="9"/>
        <w:rPr>
          <w:rStyle w:val="32"/>
          <w:color w:val="auto"/>
          <w:highlight w:val="none"/>
        </w:rPr>
      </w:pPr>
      <w:bookmarkStart w:id="1247" w:name="bookmark1542"/>
      <w:bookmarkEnd w:id="1247"/>
      <w:r>
        <w:rPr>
          <w:rStyle w:val="32"/>
          <w:color w:val="auto"/>
          <w:highlight w:val="none"/>
        </w:rPr>
        <w:t>在索赔事件影响结束后的</w:t>
      </w:r>
      <w:r>
        <w:rPr>
          <w:rStyle w:val="32"/>
          <w:rFonts w:ascii="Times New Roman" w:hAnsi="Times New Roman" w:eastAsia="Times New Roman" w:cs="Times New Roman"/>
          <w:color w:val="auto"/>
          <w:highlight w:val="none"/>
        </w:rPr>
        <w:t>28</w:t>
      </w:r>
      <w:r>
        <w:rPr>
          <w:rStyle w:val="32"/>
          <w:color w:val="auto"/>
          <w:highlight w:val="none"/>
        </w:rPr>
        <w:t>天内，承包人应向监理人递交最终索赔通知书，说明最终要求索赔的追加付款金额和延长的工期，并附必要的记录和证明材料。</w:t>
      </w:r>
    </w:p>
    <w:p w14:paraId="12809E1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48" w:name="bookmark1544"/>
      <w:bookmarkStart w:id="1249" w:name="_Toc256000168"/>
      <w:bookmarkStart w:id="1250" w:name="_Toc5534"/>
      <w:bookmarkStart w:id="1251" w:name="bookmark1543"/>
      <w:bookmarkStart w:id="1252" w:name="bookmark1545"/>
      <w:bookmarkStart w:id="1253" w:name="_Toc1402"/>
      <w:r>
        <w:rPr>
          <w:rStyle w:val="32"/>
          <w:rFonts w:ascii="宋体" w:hAnsi="宋体" w:cs="Times New Roman"/>
          <w:color w:val="auto"/>
          <w:sz w:val="24"/>
          <w:szCs w:val="24"/>
          <w:highlight w:val="none"/>
          <w:lang w:eastAsia="zh-CN"/>
        </w:rPr>
        <w:t>23.2承包人索赔处理程序</w:t>
      </w:r>
      <w:bookmarkEnd w:id="1248"/>
      <w:bookmarkEnd w:id="1249"/>
      <w:bookmarkEnd w:id="1250"/>
      <w:bookmarkEnd w:id="1251"/>
      <w:bookmarkEnd w:id="1252"/>
      <w:bookmarkEnd w:id="1253"/>
    </w:p>
    <w:p w14:paraId="0D3E0357">
      <w:pPr>
        <w:pStyle w:val="97"/>
        <w:pageBreakBefore w:val="0"/>
        <w:numPr>
          <w:ilvl w:val="0"/>
          <w:numId w:val="38"/>
        </w:numPr>
        <w:tabs>
          <w:tab w:val="left" w:pos="922"/>
        </w:tabs>
        <w:kinsoku/>
        <w:wordWrap/>
        <w:overflowPunct/>
        <w:topLinePunct w:val="0"/>
        <w:autoSpaceDE/>
        <w:autoSpaceDN/>
        <w:bidi w:val="0"/>
        <w:adjustRightInd/>
        <w:snapToGrid/>
        <w:spacing w:line="348" w:lineRule="exact"/>
        <w:ind w:firstLine="440"/>
        <w:jc w:val="both"/>
        <w:textAlignment w:val="auto"/>
        <w:outlineLvl w:val="9"/>
        <w:rPr>
          <w:rStyle w:val="32"/>
          <w:color w:val="auto"/>
          <w:highlight w:val="none"/>
        </w:rPr>
      </w:pPr>
      <w:bookmarkStart w:id="1254" w:name="bookmark1546"/>
      <w:bookmarkEnd w:id="1254"/>
      <w:r>
        <w:rPr>
          <w:rStyle w:val="32"/>
          <w:color w:val="auto"/>
          <w:highlight w:val="none"/>
        </w:rPr>
        <w:t>监理人收到承包人提交的索赔通知书后，应及时审查索赔通知书的内容、查验承包人的记录和证明材料，必要时监理人可要求承包人提交全部原始记录副本。</w:t>
      </w:r>
    </w:p>
    <w:p w14:paraId="72EB09D4">
      <w:pPr>
        <w:pStyle w:val="97"/>
        <w:pageBreakBefore w:val="0"/>
        <w:numPr>
          <w:ilvl w:val="0"/>
          <w:numId w:val="38"/>
        </w:numPr>
        <w:tabs>
          <w:tab w:val="left" w:pos="918"/>
        </w:tabs>
        <w:kinsoku/>
        <w:wordWrap/>
        <w:overflowPunct/>
        <w:topLinePunct w:val="0"/>
        <w:autoSpaceDE/>
        <w:autoSpaceDN/>
        <w:bidi w:val="0"/>
        <w:adjustRightInd/>
        <w:snapToGrid/>
        <w:spacing w:line="361" w:lineRule="exact"/>
        <w:ind w:firstLine="440"/>
        <w:jc w:val="both"/>
        <w:textAlignment w:val="auto"/>
        <w:outlineLvl w:val="9"/>
        <w:rPr>
          <w:rStyle w:val="32"/>
          <w:color w:val="auto"/>
          <w:highlight w:val="none"/>
        </w:rPr>
      </w:pPr>
      <w:bookmarkStart w:id="1255" w:name="bookmark1547"/>
      <w:bookmarkEnd w:id="1255"/>
      <w:r>
        <w:rPr>
          <w:rStyle w:val="32"/>
          <w:color w:val="auto"/>
          <w:highlight w:val="none"/>
        </w:rPr>
        <w:t>监理人应按第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款商定或确定追加的付款和(或)延长的工期，并在收到上述索赔通知书或有关索赔的进一步证明材料后的</w:t>
      </w:r>
      <w:r>
        <w:rPr>
          <w:rStyle w:val="32"/>
          <w:rFonts w:ascii="Times New Roman" w:hAnsi="Times New Roman" w:eastAsia="Times New Roman" w:cs="Times New Roman"/>
          <w:color w:val="auto"/>
          <w:highlight w:val="none"/>
        </w:rPr>
        <w:t>42</w:t>
      </w:r>
      <w:r>
        <w:rPr>
          <w:rStyle w:val="32"/>
          <w:color w:val="auto"/>
          <w:highlight w:val="none"/>
        </w:rPr>
        <w:t>天内，将索赔处理结果答复承包人。</w:t>
      </w:r>
    </w:p>
    <w:p w14:paraId="73B807E5">
      <w:pPr>
        <w:pStyle w:val="97"/>
        <w:pageBreakBefore w:val="0"/>
        <w:numPr>
          <w:ilvl w:val="0"/>
          <w:numId w:val="38"/>
        </w:numPr>
        <w:tabs>
          <w:tab w:val="left" w:pos="920"/>
        </w:tabs>
        <w:kinsoku/>
        <w:wordWrap/>
        <w:overflowPunct/>
        <w:topLinePunct w:val="0"/>
        <w:autoSpaceDE/>
        <w:autoSpaceDN/>
        <w:bidi w:val="0"/>
        <w:adjustRightInd/>
        <w:snapToGrid/>
        <w:spacing w:after="120" w:line="361" w:lineRule="exact"/>
        <w:ind w:firstLine="440"/>
        <w:jc w:val="both"/>
        <w:textAlignment w:val="auto"/>
        <w:outlineLvl w:val="9"/>
        <w:rPr>
          <w:rStyle w:val="32"/>
          <w:color w:val="auto"/>
          <w:highlight w:val="none"/>
        </w:rPr>
      </w:pPr>
      <w:bookmarkStart w:id="1256" w:name="bookmark1548"/>
      <w:bookmarkEnd w:id="1256"/>
      <w:r>
        <w:rPr>
          <w:rStyle w:val="32"/>
          <w:color w:val="auto"/>
          <w:highlight w:val="none"/>
        </w:rPr>
        <w:t>承包人接受索赔处理结果的，发包人应在作出索赔处理结果答复后</w:t>
      </w:r>
      <w:r>
        <w:rPr>
          <w:rStyle w:val="32"/>
          <w:rFonts w:ascii="Times New Roman" w:hAnsi="Times New Roman" w:eastAsia="Times New Roman" w:cs="Times New Roman"/>
          <w:color w:val="auto"/>
          <w:highlight w:val="none"/>
        </w:rPr>
        <w:t>28</w:t>
      </w:r>
      <w:r>
        <w:rPr>
          <w:rStyle w:val="32"/>
          <w:color w:val="auto"/>
          <w:highlight w:val="none"/>
        </w:rPr>
        <w:t>天内完成赔付。承包人不接受索赔处理结果的，按第</w:t>
      </w:r>
      <w:r>
        <w:rPr>
          <w:rStyle w:val="32"/>
          <w:rFonts w:ascii="Times New Roman" w:hAnsi="Times New Roman" w:eastAsia="Times New Roman" w:cs="Times New Roman"/>
          <w:color w:val="auto"/>
          <w:highlight w:val="none"/>
        </w:rPr>
        <w:t>24</w:t>
      </w:r>
      <w:r>
        <w:rPr>
          <w:rStyle w:val="32"/>
          <w:color w:val="auto"/>
          <w:highlight w:val="none"/>
        </w:rPr>
        <w:t>条的约定办理。</w:t>
      </w:r>
    </w:p>
    <w:p w14:paraId="4C9A22F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57" w:name="_Toc25861"/>
      <w:bookmarkStart w:id="1258" w:name="_Toc2285"/>
      <w:bookmarkStart w:id="1259" w:name="bookmark1550"/>
      <w:bookmarkStart w:id="1260" w:name="bookmark1549"/>
      <w:bookmarkStart w:id="1261" w:name="_Toc256000169"/>
      <w:bookmarkStart w:id="1262" w:name="bookmark1551"/>
      <w:r>
        <w:rPr>
          <w:rStyle w:val="32"/>
          <w:rFonts w:ascii="宋体" w:hAnsi="宋体" w:cs="Times New Roman"/>
          <w:color w:val="auto"/>
          <w:sz w:val="24"/>
          <w:szCs w:val="24"/>
          <w:highlight w:val="none"/>
          <w:lang w:eastAsia="zh-CN"/>
        </w:rPr>
        <w:t>23.3承包人提出索赔的期限</w:t>
      </w:r>
      <w:bookmarkEnd w:id="1257"/>
      <w:bookmarkEnd w:id="1258"/>
      <w:bookmarkEnd w:id="1259"/>
      <w:bookmarkEnd w:id="1260"/>
      <w:bookmarkEnd w:id="1261"/>
      <w:bookmarkEnd w:id="1262"/>
    </w:p>
    <w:p w14:paraId="699A7366">
      <w:pPr>
        <w:pStyle w:val="97"/>
        <w:pageBreakBefore w:val="0"/>
        <w:numPr>
          <w:ilvl w:val="0"/>
          <w:numId w:val="39"/>
        </w:numPr>
        <w:tabs>
          <w:tab w:val="left" w:pos="855"/>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263" w:name="bookmark1552"/>
      <w:bookmarkEnd w:id="1263"/>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1</w:t>
      </w:r>
      <w:r>
        <w:rPr>
          <w:rStyle w:val="32"/>
          <w:color w:val="auto"/>
          <w:highlight w:val="none"/>
        </w:rPr>
        <w:t>承包人按第</w:t>
      </w:r>
      <w:r>
        <w:rPr>
          <w:rStyle w:val="32"/>
          <w:rFonts w:ascii="Times New Roman" w:hAnsi="Times New Roman" w:eastAsia="Times New Roman" w:cs="Times New Roman"/>
          <w:color w:val="auto"/>
          <w:highlight w:val="none"/>
          <w:lang w:val="en-US" w:bidi="en-US"/>
        </w:rPr>
        <w:t xml:space="preserve">17. </w:t>
      </w:r>
      <w:r>
        <w:rPr>
          <w:rStyle w:val="32"/>
          <w:rFonts w:ascii="Times New Roman" w:hAnsi="Times New Roman" w:eastAsia="Times New Roman" w:cs="Times New Roman"/>
          <w:color w:val="auto"/>
          <w:highlight w:val="none"/>
        </w:rPr>
        <w:t>5</w:t>
      </w:r>
      <w:r>
        <w:rPr>
          <w:rStyle w:val="32"/>
          <w:color w:val="auto"/>
          <w:highlight w:val="none"/>
        </w:rPr>
        <w:t>款的约定接受了完工付款证书后，应被认为已无权再提出在合同工程完工证书颁发前所发生的任何索赔。</w:t>
      </w:r>
    </w:p>
    <w:p w14:paraId="72CEA435">
      <w:pPr>
        <w:pStyle w:val="97"/>
        <w:pageBreakBefore w:val="0"/>
        <w:kinsoku/>
        <w:wordWrap/>
        <w:overflowPunct/>
        <w:topLinePunct w:val="0"/>
        <w:autoSpaceDE/>
        <w:autoSpaceDN/>
        <w:bidi w:val="0"/>
        <w:adjustRightInd/>
        <w:snapToGrid/>
        <w:spacing w:after="120" w:line="37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23.3.2</w:t>
      </w:r>
      <w:r>
        <w:rPr>
          <w:rStyle w:val="32"/>
          <w:color w:val="auto"/>
          <w:highlight w:val="none"/>
        </w:rPr>
        <w:t>承包人按第</w:t>
      </w:r>
      <w:r>
        <w:rPr>
          <w:rStyle w:val="32"/>
          <w:rFonts w:ascii="Times New Roman" w:hAnsi="Times New Roman" w:eastAsia="Times New Roman" w:cs="Times New Roman"/>
          <w:color w:val="auto"/>
          <w:highlight w:val="none"/>
          <w:lang w:val="en-US" w:bidi="en-US"/>
        </w:rPr>
        <w:t xml:space="preserve">17. </w:t>
      </w:r>
      <w:r>
        <w:rPr>
          <w:rStyle w:val="32"/>
          <w:rFonts w:ascii="Times New Roman" w:hAnsi="Times New Roman" w:eastAsia="Times New Roman" w:cs="Times New Roman"/>
          <w:color w:val="auto"/>
          <w:highlight w:val="none"/>
        </w:rPr>
        <w:t>6</w:t>
      </w:r>
      <w:r>
        <w:rPr>
          <w:rStyle w:val="32"/>
          <w:color w:val="auto"/>
          <w:highlight w:val="none"/>
        </w:rPr>
        <w:t>款的约定提交的最终结清申请单中，只限于提出合同工程完工证书颁发后发生的索赔。提出索赔的期限自接受最终结清证书时终止。</w:t>
      </w:r>
    </w:p>
    <w:p w14:paraId="4CA77FA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64" w:name="bookmark1554"/>
      <w:bookmarkStart w:id="1265" w:name="_Toc1321"/>
      <w:bookmarkStart w:id="1266" w:name="bookmark1555"/>
      <w:bookmarkStart w:id="1267" w:name="_Toc256000170"/>
      <w:bookmarkStart w:id="1268" w:name="bookmark1553"/>
      <w:bookmarkStart w:id="1269" w:name="_Toc13664"/>
      <w:r>
        <w:rPr>
          <w:rStyle w:val="32"/>
          <w:rFonts w:ascii="宋体" w:hAnsi="宋体" w:cs="Times New Roman"/>
          <w:color w:val="auto"/>
          <w:sz w:val="24"/>
          <w:szCs w:val="24"/>
          <w:highlight w:val="none"/>
          <w:lang w:eastAsia="zh-CN"/>
        </w:rPr>
        <w:t>23.4发包人的索赔</w:t>
      </w:r>
      <w:bookmarkEnd w:id="1264"/>
      <w:bookmarkEnd w:id="1265"/>
      <w:bookmarkEnd w:id="1266"/>
      <w:bookmarkEnd w:id="1267"/>
      <w:bookmarkEnd w:id="1268"/>
      <w:bookmarkEnd w:id="1269"/>
    </w:p>
    <w:p w14:paraId="34F496B1">
      <w:pPr>
        <w:pStyle w:val="97"/>
        <w:pageBreakBefore w:val="0"/>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23.4.1</w:t>
      </w:r>
      <w:r>
        <w:rPr>
          <w:rStyle w:val="32"/>
          <w:color w:val="auto"/>
          <w:highlight w:val="none"/>
        </w:rPr>
        <w:t>发生索赔事件后，监理人应及时书面通知承包人，详细说明发包人有权得到的索赔金额和(或)延长缺陷责任期的细节和依据。发包人提出索赔的期限和要求与第</w:t>
      </w:r>
      <w:bookmarkStart w:id="1270" w:name="bookmark1556"/>
      <w:bookmarkEnd w:id="1270"/>
      <w:r>
        <w:rPr>
          <w:rStyle w:val="32"/>
          <w:rFonts w:hint="eastAsia"/>
          <w:color w:val="auto"/>
          <w:highlight w:val="none"/>
          <w:lang w:val="en-US"/>
        </w:rPr>
        <w:t>23.</w:t>
      </w:r>
      <w:r>
        <w:rPr>
          <w:rStyle w:val="32"/>
          <w:rFonts w:ascii="Times New Roman" w:hAnsi="Times New Roman" w:eastAsia="Times New Roman" w:cs="Times New Roman"/>
          <w:color w:val="auto"/>
          <w:highlight w:val="none"/>
        </w:rPr>
        <w:t>3</w:t>
      </w:r>
      <w:r>
        <w:rPr>
          <w:rStyle w:val="32"/>
          <w:color w:val="auto"/>
          <w:highlight w:val="none"/>
        </w:rPr>
        <w:t>款的约定相同，延长缺陷责任期的通知应在缺陷责任期届满前发出。</w:t>
      </w:r>
    </w:p>
    <w:p w14:paraId="07110600">
      <w:pPr>
        <w:pStyle w:val="97"/>
        <w:pageBreakBefore w:val="0"/>
        <w:kinsoku/>
        <w:wordWrap/>
        <w:overflowPunct/>
        <w:topLinePunct w:val="0"/>
        <w:autoSpaceDE/>
        <w:autoSpaceDN/>
        <w:bidi w:val="0"/>
        <w:adjustRightInd/>
        <w:snapToGrid/>
        <w:spacing w:line="367"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23.4.2</w:t>
      </w:r>
      <w:r>
        <w:rPr>
          <w:rStyle w:val="32"/>
          <w:color w:val="auto"/>
          <w:highlight w:val="none"/>
        </w:rPr>
        <w:t>监理人按第</w:t>
      </w:r>
      <w:r>
        <w:rPr>
          <w:rStyle w:val="32"/>
          <w:rFonts w:ascii="Times New Roman" w:hAnsi="Times New Roman" w:eastAsia="Times New Roman" w:cs="Times New Roman"/>
          <w:color w:val="auto"/>
          <w:highlight w:val="none"/>
          <w:lang w:val="en-US" w:bidi="en-US"/>
        </w:rPr>
        <w:t xml:space="preserve">3. </w:t>
      </w:r>
      <w:r>
        <w:rPr>
          <w:rStyle w:val="32"/>
          <w:rFonts w:ascii="Times New Roman" w:hAnsi="Times New Roman" w:eastAsia="Times New Roman" w:cs="Times New Roman"/>
          <w:color w:val="auto"/>
          <w:highlight w:val="none"/>
        </w:rPr>
        <w:t>5</w:t>
      </w:r>
      <w:r>
        <w:rPr>
          <w:rStyle w:val="32"/>
          <w:color w:val="auto"/>
          <w:highlight w:val="none"/>
        </w:rPr>
        <w:t>款商定或确定发包人从承包人处得到赔付的金额和(或)缺陷责任期的延长期。承包人应付给发包人的金额可从拟支付给承包人的合同价款中扣除, 或由承包人以其他方式支付给发包人。</w:t>
      </w:r>
    </w:p>
    <w:p w14:paraId="535B17AB">
      <w:pPr>
        <w:pStyle w:val="97"/>
        <w:pageBreakBefore w:val="0"/>
        <w:kinsoku/>
        <w:wordWrap/>
        <w:overflowPunct/>
        <w:topLinePunct w:val="0"/>
        <w:autoSpaceDE/>
        <w:autoSpaceDN/>
        <w:bidi w:val="0"/>
        <w:adjustRightInd/>
        <w:snapToGrid/>
        <w:spacing w:after="260" w:line="35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23. 4. </w:t>
      </w:r>
      <w:r>
        <w:rPr>
          <w:rStyle w:val="32"/>
          <w:rFonts w:ascii="Times New Roman" w:hAnsi="Times New Roman" w:eastAsia="Times New Roman" w:cs="Times New Roman"/>
          <w:color w:val="auto"/>
          <w:highlight w:val="none"/>
        </w:rPr>
        <w:t>3</w:t>
      </w:r>
      <w:r>
        <w:rPr>
          <w:rStyle w:val="32"/>
          <w:color w:val="auto"/>
          <w:highlight w:val="none"/>
        </w:rPr>
        <w:t>承包人对监理人按第</w:t>
      </w:r>
      <w:r>
        <w:rPr>
          <w:rStyle w:val="32"/>
          <w:rFonts w:ascii="Times New Roman" w:hAnsi="Times New Roman" w:eastAsia="Times New Roman" w:cs="Times New Roman"/>
          <w:color w:val="auto"/>
          <w:highlight w:val="none"/>
          <w:lang w:val="en-US" w:bidi="en-US"/>
        </w:rPr>
        <w:t xml:space="preserve">23.4. </w:t>
      </w:r>
      <w:r>
        <w:rPr>
          <w:rStyle w:val="32"/>
          <w:rFonts w:ascii="Times New Roman" w:hAnsi="Times New Roman" w:eastAsia="Times New Roman" w:cs="Times New Roman"/>
          <w:color w:val="auto"/>
          <w:highlight w:val="none"/>
        </w:rPr>
        <w:t>1</w:t>
      </w:r>
      <w:r>
        <w:rPr>
          <w:rStyle w:val="32"/>
          <w:color w:val="auto"/>
          <w:highlight w:val="none"/>
        </w:rPr>
        <w:t>项发出的索赔书面通知内容持异议时，应在收到书面通知后的</w:t>
      </w:r>
      <w:r>
        <w:rPr>
          <w:rStyle w:val="32"/>
          <w:rFonts w:ascii="Times New Roman" w:hAnsi="Times New Roman" w:eastAsia="Times New Roman" w:cs="Times New Roman"/>
          <w:color w:val="auto"/>
          <w:highlight w:val="none"/>
        </w:rPr>
        <w:t>14</w:t>
      </w:r>
      <w:r>
        <w:rPr>
          <w:rStyle w:val="32"/>
          <w:color w:val="auto"/>
          <w:highlight w:val="none"/>
        </w:rPr>
        <w:t>天内，将持有异议的书面报告及其证明材料提交监理人。监理人应在收到 承包人书面报告后的</w:t>
      </w:r>
      <w:r>
        <w:rPr>
          <w:rStyle w:val="32"/>
          <w:rFonts w:ascii="Times New Roman" w:hAnsi="Times New Roman" w:eastAsia="Times New Roman" w:cs="Times New Roman"/>
          <w:color w:val="auto"/>
          <w:highlight w:val="none"/>
        </w:rPr>
        <w:t>14</w:t>
      </w:r>
      <w:r>
        <w:rPr>
          <w:rStyle w:val="32"/>
          <w:color w:val="auto"/>
          <w:highlight w:val="none"/>
        </w:rPr>
        <w:t>天内，将异议的处理意见通知承包人，并按第</w:t>
      </w:r>
      <w:r>
        <w:rPr>
          <w:rStyle w:val="32"/>
          <w:rFonts w:ascii="Times New Roman" w:hAnsi="Times New Roman" w:eastAsia="Times New Roman" w:cs="Times New Roman"/>
          <w:color w:val="auto"/>
          <w:highlight w:val="none"/>
          <w:lang w:val="en-US" w:bidi="en-US"/>
        </w:rPr>
        <w:t>23.4.2</w:t>
      </w:r>
      <w:r>
        <w:rPr>
          <w:rStyle w:val="32"/>
          <w:color w:val="auto"/>
          <w:highlight w:val="none"/>
        </w:rPr>
        <w:t>项的约定执 行赔付。若承包人不接受监理人的索赔处理意见，可按本合同第</w:t>
      </w:r>
      <w:r>
        <w:rPr>
          <w:rStyle w:val="32"/>
          <w:rFonts w:ascii="Times New Roman" w:hAnsi="Times New Roman" w:eastAsia="Times New Roman" w:cs="Times New Roman"/>
          <w:color w:val="auto"/>
          <w:highlight w:val="none"/>
        </w:rPr>
        <w:t>24</w:t>
      </w:r>
      <w:r>
        <w:rPr>
          <w:rStyle w:val="32"/>
          <w:color w:val="auto"/>
          <w:highlight w:val="none"/>
        </w:rPr>
        <w:t>条的规定办理。</w:t>
      </w:r>
    </w:p>
    <w:p w14:paraId="645FC182">
      <w:pPr>
        <w:pStyle w:val="96"/>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271" w:name="bookmark1559"/>
      <w:bookmarkEnd w:id="1271"/>
      <w:bookmarkStart w:id="1272" w:name="_Toc19085"/>
      <w:bookmarkStart w:id="1273" w:name="bookmark1560"/>
      <w:bookmarkStart w:id="1274" w:name="bookmark1558"/>
      <w:bookmarkStart w:id="1275" w:name="bookmark1557"/>
      <w:bookmarkStart w:id="1276" w:name="_Toc256000171"/>
      <w:bookmarkStart w:id="1277" w:name="_Toc32550"/>
      <w:r>
        <w:rPr>
          <w:rStyle w:val="32"/>
          <w:rFonts w:hint="eastAsia" w:cs="Times New Roman"/>
          <w:color w:val="auto"/>
          <w:highlight w:val="none"/>
          <w:lang w:eastAsia="zh-CN"/>
        </w:rPr>
        <w:t>2</w:t>
      </w:r>
      <w:r>
        <w:rPr>
          <w:rStyle w:val="32"/>
          <w:rFonts w:cs="Times New Roman"/>
          <w:color w:val="auto"/>
          <w:highlight w:val="none"/>
          <w:lang w:eastAsia="zh-CN"/>
        </w:rPr>
        <w:t>4.</w:t>
      </w:r>
      <w:r>
        <w:rPr>
          <w:rStyle w:val="32"/>
          <w:rFonts w:hint="eastAsia" w:cs="Times New Roman"/>
          <w:color w:val="auto"/>
          <w:highlight w:val="none"/>
          <w:lang w:eastAsia="zh-CN"/>
        </w:rPr>
        <w:t>争议的解决</w:t>
      </w:r>
      <w:bookmarkEnd w:id="1272"/>
      <w:bookmarkEnd w:id="1273"/>
      <w:bookmarkEnd w:id="1274"/>
      <w:bookmarkEnd w:id="1275"/>
      <w:bookmarkEnd w:id="1276"/>
      <w:bookmarkEnd w:id="1277"/>
    </w:p>
    <w:p w14:paraId="0BEECF0F">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78" w:name="bookmark1561"/>
      <w:bookmarkStart w:id="1279" w:name="_Toc256000172"/>
      <w:bookmarkStart w:id="1280" w:name="_Toc12687"/>
      <w:bookmarkStart w:id="1281" w:name="bookmark1563"/>
      <w:bookmarkStart w:id="1282" w:name="_Toc16058"/>
      <w:bookmarkStart w:id="1283" w:name="bookmark1562"/>
      <w:r>
        <w:rPr>
          <w:rStyle w:val="32"/>
          <w:rFonts w:ascii="宋体" w:hAnsi="宋体" w:cs="Times New Roman"/>
          <w:color w:val="auto"/>
          <w:sz w:val="24"/>
          <w:szCs w:val="24"/>
          <w:highlight w:val="none"/>
          <w:lang w:eastAsia="zh-CN"/>
        </w:rPr>
        <w:t>24.1争议的解决方式</w:t>
      </w:r>
      <w:bookmarkEnd w:id="1278"/>
      <w:bookmarkEnd w:id="1279"/>
      <w:bookmarkEnd w:id="1280"/>
      <w:bookmarkEnd w:id="1281"/>
      <w:bookmarkEnd w:id="1282"/>
      <w:bookmarkEnd w:id="1283"/>
    </w:p>
    <w:p w14:paraId="1179679A">
      <w:pPr>
        <w:pStyle w:val="97"/>
        <w:pageBreakBefore w:val="0"/>
        <w:kinsoku/>
        <w:wordWrap/>
        <w:overflowPunct/>
        <w:topLinePunct w:val="0"/>
        <w:autoSpaceDE/>
        <w:autoSpaceDN/>
        <w:bidi w:val="0"/>
        <w:adjustRightInd/>
        <w:snapToGrid/>
        <w:spacing w:after="80" w:line="362" w:lineRule="exact"/>
        <w:ind w:firstLine="420"/>
        <w:jc w:val="both"/>
        <w:textAlignment w:val="auto"/>
        <w:outlineLvl w:val="9"/>
        <w:rPr>
          <w:rStyle w:val="32"/>
          <w:color w:val="auto"/>
          <w:highlight w:val="none"/>
        </w:rPr>
      </w:pPr>
      <w:r>
        <w:rPr>
          <w:rStyle w:val="32"/>
          <w:color w:val="auto"/>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0173120E">
      <w:pPr>
        <w:pStyle w:val="97"/>
        <w:pageBreakBefore w:val="0"/>
        <w:numPr>
          <w:ilvl w:val="0"/>
          <w:numId w:val="40"/>
        </w:numPr>
        <w:tabs>
          <w:tab w:val="left" w:pos="901"/>
        </w:tabs>
        <w:kinsoku/>
        <w:wordWrap/>
        <w:overflowPunct/>
        <w:topLinePunct w:val="0"/>
        <w:autoSpaceDE/>
        <w:autoSpaceDN/>
        <w:bidi w:val="0"/>
        <w:adjustRightInd/>
        <w:snapToGrid/>
        <w:spacing w:line="382" w:lineRule="auto"/>
        <w:ind w:firstLine="420"/>
        <w:jc w:val="both"/>
        <w:textAlignment w:val="auto"/>
        <w:outlineLvl w:val="9"/>
        <w:rPr>
          <w:rStyle w:val="32"/>
          <w:color w:val="auto"/>
          <w:highlight w:val="none"/>
        </w:rPr>
      </w:pPr>
      <w:bookmarkStart w:id="1284" w:name="bookmark1564"/>
      <w:bookmarkEnd w:id="1284"/>
      <w:r>
        <w:rPr>
          <w:rStyle w:val="32"/>
          <w:color w:val="auto"/>
          <w:highlight w:val="none"/>
        </w:rPr>
        <w:t>向约定的仲裁委员会申请仲裁；</w:t>
      </w:r>
    </w:p>
    <w:p w14:paraId="39D23BB5">
      <w:pPr>
        <w:pStyle w:val="97"/>
        <w:pageBreakBefore w:val="0"/>
        <w:numPr>
          <w:ilvl w:val="0"/>
          <w:numId w:val="40"/>
        </w:numPr>
        <w:tabs>
          <w:tab w:val="left" w:pos="901"/>
        </w:tabs>
        <w:kinsoku/>
        <w:wordWrap/>
        <w:overflowPunct/>
        <w:topLinePunct w:val="0"/>
        <w:autoSpaceDE/>
        <w:autoSpaceDN/>
        <w:bidi w:val="0"/>
        <w:adjustRightInd/>
        <w:snapToGrid/>
        <w:spacing w:line="379" w:lineRule="auto"/>
        <w:ind w:firstLine="420"/>
        <w:jc w:val="both"/>
        <w:textAlignment w:val="auto"/>
        <w:outlineLvl w:val="9"/>
        <w:rPr>
          <w:rStyle w:val="32"/>
          <w:color w:val="auto"/>
          <w:highlight w:val="none"/>
        </w:rPr>
      </w:pPr>
      <w:bookmarkStart w:id="1285" w:name="bookmark1565"/>
      <w:bookmarkEnd w:id="1285"/>
      <w:r>
        <w:rPr>
          <w:rStyle w:val="32"/>
          <w:color w:val="auto"/>
          <w:highlight w:val="none"/>
        </w:rPr>
        <w:t>向有管辖权的人民法院提起诉讼。</w:t>
      </w:r>
    </w:p>
    <w:p w14:paraId="30A27558">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86" w:name="bookmark1567"/>
      <w:bookmarkStart w:id="1287" w:name="_Toc256000173"/>
      <w:bookmarkStart w:id="1288" w:name="bookmark1568"/>
      <w:bookmarkStart w:id="1289" w:name="_Toc13288"/>
      <w:bookmarkStart w:id="1290" w:name="bookmark1566"/>
      <w:bookmarkStart w:id="1291" w:name="_Toc13255"/>
      <w:r>
        <w:rPr>
          <w:rStyle w:val="32"/>
          <w:rFonts w:ascii="宋体" w:hAnsi="宋体" w:cs="Times New Roman"/>
          <w:color w:val="auto"/>
          <w:sz w:val="24"/>
          <w:szCs w:val="24"/>
          <w:highlight w:val="none"/>
          <w:lang w:eastAsia="zh-CN"/>
        </w:rPr>
        <w:t>24.2友好解决</w:t>
      </w:r>
      <w:bookmarkEnd w:id="1286"/>
      <w:bookmarkEnd w:id="1287"/>
      <w:bookmarkEnd w:id="1288"/>
      <w:bookmarkEnd w:id="1289"/>
      <w:bookmarkEnd w:id="1290"/>
      <w:bookmarkEnd w:id="1291"/>
    </w:p>
    <w:p w14:paraId="2024C039">
      <w:pPr>
        <w:pStyle w:val="97"/>
        <w:pageBreakBefore w:val="0"/>
        <w:kinsoku/>
        <w:wordWrap/>
        <w:overflowPunct/>
        <w:topLinePunct w:val="0"/>
        <w:autoSpaceDE/>
        <w:autoSpaceDN/>
        <w:bidi w:val="0"/>
        <w:adjustRightInd/>
        <w:snapToGrid/>
        <w:spacing w:after="140" w:line="346" w:lineRule="exact"/>
        <w:ind w:firstLine="440"/>
        <w:jc w:val="both"/>
        <w:textAlignment w:val="auto"/>
        <w:outlineLvl w:val="9"/>
        <w:rPr>
          <w:rStyle w:val="32"/>
          <w:color w:val="auto"/>
          <w:highlight w:val="none"/>
        </w:rPr>
      </w:pPr>
      <w:r>
        <w:rPr>
          <w:rStyle w:val="32"/>
          <w:color w:val="auto"/>
          <w:highlight w:val="none"/>
        </w:rPr>
        <w:t>在提请争议评审、仲裁或者诉讼前，以及在争议评审、仲裁或诉讼过程中，发包人和承包人均可共同努力友好协商解决争议。</w:t>
      </w:r>
    </w:p>
    <w:p w14:paraId="23128F6A">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92" w:name="bookmark1571"/>
      <w:bookmarkStart w:id="1293" w:name="_Toc256000174"/>
      <w:bookmarkStart w:id="1294" w:name="_Toc12305"/>
      <w:bookmarkStart w:id="1295" w:name="_Toc22991"/>
      <w:bookmarkStart w:id="1296" w:name="bookmark1570"/>
      <w:bookmarkStart w:id="1297" w:name="bookmark1569"/>
      <w:r>
        <w:rPr>
          <w:rStyle w:val="32"/>
          <w:rFonts w:ascii="宋体" w:hAnsi="宋体" w:cs="Times New Roman"/>
          <w:color w:val="auto"/>
          <w:sz w:val="24"/>
          <w:szCs w:val="24"/>
          <w:highlight w:val="none"/>
          <w:lang w:eastAsia="zh-CN"/>
        </w:rPr>
        <w:t>24.3争议评审</w:t>
      </w:r>
      <w:bookmarkEnd w:id="1292"/>
      <w:bookmarkEnd w:id="1293"/>
      <w:bookmarkEnd w:id="1294"/>
      <w:bookmarkEnd w:id="1295"/>
      <w:bookmarkEnd w:id="1296"/>
      <w:bookmarkEnd w:id="1297"/>
    </w:p>
    <w:p w14:paraId="1968E9CE">
      <w:pPr>
        <w:pStyle w:val="97"/>
        <w:pageBreakBefore w:val="0"/>
        <w:kinsoku/>
        <w:wordWrap/>
        <w:overflowPunct/>
        <w:topLinePunct w:val="0"/>
        <w:autoSpaceDE/>
        <w:autoSpaceDN/>
        <w:bidi w:val="0"/>
        <w:adjustRightInd/>
        <w:snapToGrid/>
        <w:spacing w:line="37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24.3.1</w:t>
      </w:r>
      <w:r>
        <w:rPr>
          <w:rStyle w:val="32"/>
          <w:color w:val="auto"/>
          <w:highlight w:val="none"/>
        </w:rPr>
        <w:t>采用争议评审的，发包人和承包人应在开工日后的</w:t>
      </w:r>
      <w:r>
        <w:rPr>
          <w:rStyle w:val="32"/>
          <w:rFonts w:ascii="Times New Roman" w:hAnsi="Times New Roman" w:eastAsia="Times New Roman" w:cs="Times New Roman"/>
          <w:color w:val="auto"/>
          <w:highlight w:val="none"/>
        </w:rPr>
        <w:t>28</w:t>
      </w:r>
      <w:r>
        <w:rPr>
          <w:rStyle w:val="32"/>
          <w:color w:val="auto"/>
          <w:highlight w:val="none"/>
        </w:rPr>
        <w:t>天内或在争议发生后, 协商成立争议评审组。争议评审组由有合同管理和工程实践经验的专家组成。</w:t>
      </w:r>
    </w:p>
    <w:p w14:paraId="26486E67">
      <w:pPr>
        <w:pStyle w:val="97"/>
        <w:pageBreakBefore w:val="0"/>
        <w:kinsoku/>
        <w:wordWrap/>
        <w:overflowPunct/>
        <w:topLinePunct w:val="0"/>
        <w:autoSpaceDE/>
        <w:autoSpaceDN/>
        <w:bidi w:val="0"/>
        <w:adjustRightInd/>
        <w:snapToGrid/>
        <w:spacing w:line="358"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24.3.2</w:t>
      </w:r>
      <w:r>
        <w:rPr>
          <w:rStyle w:val="32"/>
          <w:color w:val="auto"/>
          <w:highlight w:val="none"/>
        </w:rPr>
        <w:t>合同双方的争议，应首先由申请人向争议评审组提交一份详细的评审申请报告，并附必要的文件、图纸和证明材料，申请人还应将上述报告的副本同时提交给被申请人和监理人。</w:t>
      </w:r>
    </w:p>
    <w:p w14:paraId="60140679">
      <w:pPr>
        <w:pStyle w:val="97"/>
        <w:pageBreakBefore w:val="0"/>
        <w:kinsoku/>
        <w:wordWrap/>
        <w:overflowPunct/>
        <w:topLinePunct w:val="0"/>
        <w:autoSpaceDE/>
        <w:autoSpaceDN/>
        <w:bidi w:val="0"/>
        <w:adjustRightInd/>
        <w:snapToGrid/>
        <w:spacing w:line="37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24.3.3</w:t>
      </w:r>
      <w:r>
        <w:rPr>
          <w:rStyle w:val="32"/>
          <w:color w:val="auto"/>
          <w:highlight w:val="none"/>
        </w:rPr>
        <w:t>被申请人在收到申请人评审申请报告副本后的</w:t>
      </w:r>
      <w:r>
        <w:rPr>
          <w:rStyle w:val="32"/>
          <w:rFonts w:ascii="Times New Roman" w:hAnsi="Times New Roman" w:eastAsia="Times New Roman" w:cs="Times New Roman"/>
          <w:color w:val="auto"/>
          <w:highlight w:val="none"/>
        </w:rPr>
        <w:t>28</w:t>
      </w:r>
      <w:r>
        <w:rPr>
          <w:rStyle w:val="32"/>
          <w:color w:val="auto"/>
          <w:highlight w:val="none"/>
        </w:rPr>
        <w:t>天内，向争议评审组提交一份答辩报告，并附证明材料。被申请人应将答辩报告的副本同时提交给申请人和监理人。</w:t>
      </w:r>
    </w:p>
    <w:p w14:paraId="6542D845">
      <w:pPr>
        <w:pStyle w:val="97"/>
        <w:pageBreakBefore w:val="0"/>
        <w:kinsoku/>
        <w:wordWrap/>
        <w:overflowPunct/>
        <w:topLinePunct w:val="0"/>
        <w:autoSpaceDE/>
        <w:autoSpaceDN/>
        <w:bidi w:val="0"/>
        <w:adjustRightInd/>
        <w:snapToGrid/>
        <w:spacing w:line="364"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24.3.4</w:t>
      </w:r>
      <w:r>
        <w:rPr>
          <w:rStyle w:val="32"/>
          <w:color w:val="auto"/>
          <w:highlight w:val="none"/>
        </w:rPr>
        <w:t>除专用合同条款另有约定外，争议评审组在收到合同双方报告后的</w:t>
      </w:r>
      <w:r>
        <w:rPr>
          <w:rStyle w:val="32"/>
          <w:rFonts w:ascii="Times New Roman" w:hAnsi="Times New Roman" w:eastAsia="Times New Roman" w:cs="Times New Roman"/>
          <w:color w:val="auto"/>
          <w:highlight w:val="none"/>
        </w:rPr>
        <w:t>14</w:t>
      </w:r>
      <w:r>
        <w:rPr>
          <w:rStyle w:val="32"/>
          <w:color w:val="auto"/>
          <w:highlight w:val="none"/>
        </w:rPr>
        <w:t>天内， 邀请双方代表和有关人员举行调查会，向双方调查争议细节；必要时争议评审组可要求双方进一步提供补</w:t>
      </w:r>
      <w:r>
        <w:rPr>
          <w:rStyle w:val="32"/>
          <w:rFonts w:ascii="Times New Roman" w:hAnsi="Times New Roman" w:cs="Times New Roman"/>
          <w:color w:val="auto"/>
          <w:highlight w:val="none"/>
        </w:rPr>
        <w:t>充材料。</w:t>
      </w:r>
    </w:p>
    <w:p w14:paraId="298E7593">
      <w:pPr>
        <w:pStyle w:val="97"/>
        <w:pageBreakBefore w:val="0"/>
        <w:kinsoku/>
        <w:wordWrap/>
        <w:overflowPunct/>
        <w:topLinePunct w:val="0"/>
        <w:autoSpaceDE/>
        <w:autoSpaceDN/>
        <w:bidi w:val="0"/>
        <w:adjustRightInd/>
        <w:snapToGrid/>
        <w:spacing w:line="364" w:lineRule="exact"/>
        <w:ind w:firstLine="440"/>
        <w:jc w:val="both"/>
        <w:textAlignment w:val="auto"/>
        <w:outlineLvl w:val="9"/>
        <w:rPr>
          <w:rStyle w:val="32"/>
          <w:color w:val="auto"/>
          <w:highlight w:val="none"/>
        </w:rPr>
      </w:pPr>
      <w:bookmarkStart w:id="1298" w:name="bookmark1572"/>
      <w:bookmarkEnd w:id="1298"/>
      <w:r>
        <w:rPr>
          <w:rStyle w:val="32"/>
          <w:rFonts w:ascii="Times New Roman" w:hAnsi="Times New Roman" w:cs="Times New Roman"/>
          <w:color w:val="auto"/>
          <w:highlight w:val="none"/>
        </w:rPr>
        <w:t>24.3.5</w:t>
      </w:r>
      <w:r>
        <w:rPr>
          <w:rStyle w:val="32"/>
          <w:color w:val="auto"/>
          <w:highlight w:val="none"/>
        </w:rPr>
        <w:t>除专用合同条款另有约定外，在调查会结束后的14天内，争议评审组应在不受任何干扰的情况下进行独立、公正的评审，作出书面评审意见，并说明理由。在争议评审期间，争议双方暂按总监理工程师的确定执行。</w:t>
      </w:r>
    </w:p>
    <w:p w14:paraId="56BBA610">
      <w:pPr>
        <w:pStyle w:val="97"/>
        <w:pageBreakBefore w:val="0"/>
        <w:kinsoku/>
        <w:wordWrap/>
        <w:overflowPunct/>
        <w:topLinePunct w:val="0"/>
        <w:autoSpaceDE/>
        <w:autoSpaceDN/>
        <w:bidi w:val="0"/>
        <w:adjustRightInd/>
        <w:snapToGrid/>
        <w:spacing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24.3.6</w:t>
      </w:r>
      <w:r>
        <w:rPr>
          <w:rStyle w:val="32"/>
          <w:color w:val="auto"/>
          <w:highlight w:val="none"/>
        </w:rPr>
        <w:t>发包人和承包人接受评审意见的，由监理人根据评审意见拟定执行协议，经争议双方签字后作为合同的补充文件，并遵照执行。</w:t>
      </w:r>
    </w:p>
    <w:p w14:paraId="0E51F094">
      <w:pPr>
        <w:pStyle w:val="97"/>
        <w:pageBreakBefore w:val="0"/>
        <w:kinsoku/>
        <w:wordWrap/>
        <w:overflowPunct/>
        <w:topLinePunct w:val="0"/>
        <w:autoSpaceDE/>
        <w:autoSpaceDN/>
        <w:bidi w:val="0"/>
        <w:adjustRightInd/>
        <w:snapToGrid/>
        <w:spacing w:after="140" w:line="359"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24.3.7</w:t>
      </w:r>
      <w:r>
        <w:rPr>
          <w:rStyle w:val="32"/>
          <w:color w:val="auto"/>
          <w:highlight w:val="none"/>
        </w:rPr>
        <w:t>发包人或承包人不接受评审意见，并要求提交仲裁或提起诉讼的，应在收到评审意见后的</w:t>
      </w:r>
      <w:r>
        <w:rPr>
          <w:rStyle w:val="32"/>
          <w:rFonts w:ascii="Times New Roman" w:hAnsi="Times New Roman" w:eastAsia="Times New Roman" w:cs="Times New Roman"/>
          <w:color w:val="auto"/>
          <w:highlight w:val="none"/>
        </w:rPr>
        <w:t>14</w:t>
      </w:r>
      <w:r>
        <w:rPr>
          <w:rStyle w:val="32"/>
          <w:color w:val="auto"/>
          <w:highlight w:val="none"/>
        </w:rPr>
        <w:t>天内将仲裁或起诉意向书面通知另一方，并抄送监理人，但在仲裁或诉讼结束前应暂按总监理工程师的确定执行。</w:t>
      </w:r>
    </w:p>
    <w:p w14:paraId="004592A5">
      <w:pPr>
        <w:pStyle w:val="96"/>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299" w:name="_Toc256000175"/>
      <w:bookmarkStart w:id="1300" w:name="_Toc10843"/>
      <w:bookmarkStart w:id="1301" w:name="bookmark1575"/>
      <w:bookmarkStart w:id="1302" w:name="_Toc548"/>
      <w:bookmarkStart w:id="1303" w:name="bookmark1573"/>
      <w:bookmarkStart w:id="1304" w:name="bookmark1574"/>
      <w:r>
        <w:rPr>
          <w:rStyle w:val="32"/>
          <w:rFonts w:ascii="宋体" w:hAnsi="宋体" w:cs="Times New Roman"/>
          <w:color w:val="auto"/>
          <w:sz w:val="24"/>
          <w:szCs w:val="24"/>
          <w:highlight w:val="none"/>
          <w:lang w:eastAsia="zh-CN"/>
        </w:rPr>
        <w:t>24.4仲裁</w:t>
      </w:r>
      <w:bookmarkEnd w:id="1299"/>
      <w:bookmarkEnd w:id="1300"/>
      <w:bookmarkEnd w:id="1301"/>
      <w:bookmarkEnd w:id="1302"/>
      <w:bookmarkEnd w:id="1303"/>
      <w:bookmarkEnd w:id="1304"/>
    </w:p>
    <w:p w14:paraId="2085444E">
      <w:pPr>
        <w:pStyle w:val="97"/>
        <w:pageBreakBefore w:val="0"/>
        <w:kinsoku/>
        <w:wordWrap/>
        <w:overflowPunct/>
        <w:topLinePunct w:val="0"/>
        <w:autoSpaceDE/>
        <w:autoSpaceDN/>
        <w:bidi w:val="0"/>
        <w:adjustRightInd/>
        <w:snapToGrid/>
        <w:spacing w:line="384" w:lineRule="auto"/>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24.4.1</w:t>
      </w:r>
      <w:r>
        <w:rPr>
          <w:rStyle w:val="32"/>
          <w:color w:val="auto"/>
          <w:highlight w:val="none"/>
        </w:rPr>
        <w:t>若合同双方商定直接向仲裁机构申请仲裁，应签订仲裁协议并约定仲裁机构。</w:t>
      </w:r>
    </w:p>
    <w:p w14:paraId="21CB756F">
      <w:pPr>
        <w:pStyle w:val="97"/>
        <w:pageBreakBefore w:val="0"/>
        <w:kinsoku/>
        <w:wordWrap/>
        <w:overflowPunct/>
        <w:topLinePunct w:val="0"/>
        <w:autoSpaceDE/>
        <w:autoSpaceDN/>
        <w:bidi w:val="0"/>
        <w:adjustRightInd/>
        <w:snapToGrid/>
        <w:spacing w:after="140" w:line="367" w:lineRule="exact"/>
        <w:ind w:firstLine="440"/>
        <w:jc w:val="both"/>
        <w:textAlignment w:val="auto"/>
        <w:outlineLvl w:val="9"/>
        <w:rPr>
          <w:rStyle w:val="32"/>
          <w:rFonts w:hint="eastAsia"/>
          <w:color w:val="auto"/>
          <w:highlight w:val="none"/>
        </w:rPr>
      </w:pPr>
      <w:r>
        <w:rPr>
          <w:rStyle w:val="32"/>
          <w:rFonts w:ascii="Times New Roman" w:hAnsi="Times New Roman" w:eastAsia="Times New Roman" w:cs="Times New Roman"/>
          <w:color w:val="auto"/>
          <w:highlight w:val="none"/>
          <w:lang w:val="en-US" w:bidi="en-US"/>
        </w:rPr>
        <w:t>24.4.2</w:t>
      </w:r>
      <w:r>
        <w:rPr>
          <w:rStyle w:val="32"/>
          <w:color w:val="auto"/>
          <w:highlight w:val="none"/>
        </w:rPr>
        <w:t>若合同双方未能达成仲裁协议，则本合同的仲裁条款无效，任一方均有权向人民法院提起诉讼。</w:t>
      </w:r>
    </w:p>
    <w:p w14:paraId="2EDDDC0F">
      <w:pPr>
        <w:pStyle w:val="94"/>
        <w:pageBreakBefore w:val="0"/>
        <w:kinsoku/>
        <w:wordWrap/>
        <w:overflowPunct/>
        <w:topLinePunct w:val="0"/>
        <w:autoSpaceDE/>
        <w:autoSpaceDN/>
        <w:bidi w:val="0"/>
        <w:adjustRightInd/>
        <w:snapToGrid/>
        <w:textAlignment w:val="auto"/>
        <w:outlineLvl w:val="9"/>
        <w:rPr>
          <w:rStyle w:val="32"/>
          <w:color w:val="auto"/>
          <w:sz w:val="32"/>
          <w:szCs w:val="32"/>
          <w:highlight w:val="none"/>
          <w:lang w:eastAsia="zh-CN"/>
        </w:rPr>
      </w:pPr>
      <w:bookmarkStart w:id="1305" w:name="bookmark1577"/>
      <w:bookmarkStart w:id="1306" w:name="_Toc14907"/>
      <w:bookmarkStart w:id="1307" w:name="bookmark1578"/>
      <w:bookmarkStart w:id="1308" w:name="_Toc27368"/>
      <w:bookmarkStart w:id="1309" w:name="_Toc1972"/>
      <w:bookmarkStart w:id="1310" w:name="bookmark1576"/>
      <w:r>
        <w:rPr>
          <w:rStyle w:val="32"/>
          <w:color w:val="auto"/>
          <w:sz w:val="32"/>
          <w:szCs w:val="32"/>
          <w:highlight w:val="none"/>
          <w:lang w:eastAsia="zh-CN"/>
        </w:rPr>
        <w:br w:type="page"/>
      </w:r>
      <w:bookmarkStart w:id="1311" w:name="_Toc256000176"/>
      <w:r>
        <w:rPr>
          <w:rStyle w:val="32"/>
          <w:color w:val="auto"/>
          <w:sz w:val="32"/>
          <w:szCs w:val="32"/>
          <w:highlight w:val="none"/>
          <w:lang w:eastAsia="zh-CN"/>
        </w:rPr>
        <w:t>第二节 专用合同条款</w:t>
      </w:r>
      <w:bookmarkEnd w:id="1305"/>
      <w:bookmarkEnd w:id="1306"/>
      <w:bookmarkEnd w:id="1307"/>
      <w:bookmarkEnd w:id="1308"/>
      <w:bookmarkEnd w:id="1309"/>
      <w:bookmarkEnd w:id="1310"/>
      <w:bookmarkEnd w:id="1311"/>
    </w:p>
    <w:p w14:paraId="12EE224E">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312" w:name="bookmark1581"/>
      <w:bookmarkEnd w:id="1312"/>
      <w:bookmarkStart w:id="1313" w:name="_Toc27068"/>
      <w:bookmarkStart w:id="1314" w:name="bookmark1582"/>
      <w:bookmarkStart w:id="1315" w:name="_Toc256000254"/>
      <w:bookmarkStart w:id="1316" w:name="_Toc21852"/>
      <w:bookmarkStart w:id="1317" w:name="_Toc30818"/>
      <w:bookmarkStart w:id="1318" w:name="_Toc256000177"/>
      <w:bookmarkStart w:id="1319" w:name="bookmark1579"/>
      <w:bookmarkStart w:id="1320" w:name="bookmark1580"/>
      <w:bookmarkStart w:id="1321" w:name="bookmark1893"/>
      <w:bookmarkStart w:id="1322" w:name="_Toc14930"/>
      <w:bookmarkStart w:id="1323" w:name="bookmark1892"/>
      <w:bookmarkStart w:id="1324" w:name="_Toc15420"/>
      <w:bookmarkStart w:id="1325" w:name="_Toc10268"/>
      <w:bookmarkStart w:id="1326" w:name="bookmark1891"/>
      <w:r>
        <w:rPr>
          <w:rStyle w:val="32"/>
          <w:rFonts w:hint="eastAsia" w:cs="Times New Roman"/>
          <w:color w:val="auto"/>
          <w:highlight w:val="none"/>
          <w:lang w:eastAsia="zh-CN"/>
        </w:rPr>
        <w:t>1. 一般约定</w:t>
      </w:r>
      <w:bookmarkEnd w:id="1313"/>
      <w:bookmarkEnd w:id="1314"/>
      <w:bookmarkEnd w:id="1315"/>
      <w:bookmarkEnd w:id="1316"/>
      <w:bookmarkEnd w:id="1317"/>
      <w:bookmarkEnd w:id="1318"/>
      <w:bookmarkEnd w:id="1319"/>
      <w:bookmarkEnd w:id="1320"/>
    </w:p>
    <w:p w14:paraId="00188F61">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327" w:name="bookmark1584"/>
      <w:bookmarkStart w:id="1328" w:name="bookmark1585"/>
      <w:bookmarkStart w:id="1329" w:name="_Toc256000178"/>
      <w:bookmarkStart w:id="1330" w:name="bookmark1583"/>
      <w:bookmarkStart w:id="1331" w:name="_Toc256000255"/>
      <w:r>
        <w:rPr>
          <w:rStyle w:val="32"/>
          <w:rFonts w:ascii="宋体" w:hAnsi="宋体" w:cs="Times New Roman"/>
          <w:color w:val="auto"/>
          <w:sz w:val="24"/>
          <w:szCs w:val="24"/>
          <w:highlight w:val="none"/>
          <w:lang w:eastAsia="zh-CN"/>
        </w:rPr>
        <w:t>1.1词语定义</w:t>
      </w:r>
      <w:bookmarkEnd w:id="1327"/>
      <w:bookmarkEnd w:id="1328"/>
      <w:bookmarkEnd w:id="1329"/>
      <w:bookmarkEnd w:id="1330"/>
      <w:bookmarkEnd w:id="1331"/>
    </w:p>
    <w:p w14:paraId="246611D2">
      <w:pPr>
        <w:pStyle w:val="102"/>
        <w:pageBreakBefore w:val="0"/>
        <w:kinsoku/>
        <w:wordWrap/>
        <w:overflowPunct/>
        <w:topLinePunct w:val="0"/>
        <w:autoSpaceDE/>
        <w:autoSpaceDN/>
        <w:bidi w:val="0"/>
        <w:adjustRightInd/>
        <w:snapToGrid/>
        <w:spacing w:after="100" w:line="402" w:lineRule="exact"/>
        <w:ind w:firstLine="44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1.1.2</w:t>
      </w:r>
      <w:r>
        <w:rPr>
          <w:rStyle w:val="32"/>
          <w:color w:val="auto"/>
          <w:highlight w:val="none"/>
        </w:rPr>
        <w:t>合同当事人和人员</w:t>
      </w:r>
    </w:p>
    <w:p w14:paraId="315FBD7F">
      <w:pPr>
        <w:pStyle w:val="103"/>
        <w:pageBreakBefore w:val="0"/>
        <w:tabs>
          <w:tab w:val="left" w:pos="4064"/>
        </w:tabs>
        <w:kinsoku/>
        <w:wordWrap/>
        <w:overflowPunct/>
        <w:topLinePunct w:val="0"/>
        <w:autoSpaceDE/>
        <w:autoSpaceDN/>
        <w:bidi w:val="0"/>
        <w:adjustRightInd/>
        <w:snapToGrid/>
        <w:spacing w:after="100"/>
        <w:ind w:firstLine="440"/>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1.1.2.</w:t>
      </w:r>
      <w:r>
        <w:rPr>
          <w:rStyle w:val="32"/>
          <w:rFonts w:ascii="Times New Roman" w:hAnsi="Times New Roman" w:cs="Times New Roman"/>
          <w:color w:val="auto"/>
          <w:highlight w:val="none"/>
          <w:lang w:val="zh-CN" w:eastAsia="zh-CN" w:bidi="zh-CN"/>
        </w:rPr>
        <w:t>2</w:t>
      </w:r>
      <w:r>
        <w:rPr>
          <w:rStyle w:val="32"/>
          <w:rFonts w:ascii="宋体" w:hAnsi="宋体" w:cs="宋体"/>
          <w:color w:val="auto"/>
          <w:highlight w:val="none"/>
          <w:lang w:val="zh-CN" w:eastAsia="zh-CN" w:bidi="zh-CN"/>
        </w:rPr>
        <w:t>发包人：</w:t>
      </w:r>
      <w:r>
        <w:rPr>
          <w:rStyle w:val="32"/>
          <w:rFonts w:hint="eastAsia" w:ascii="宋体" w:hAnsi="宋体" w:cs="宋体"/>
          <w:color w:val="auto"/>
          <w:kern w:val="0"/>
          <w:sz w:val="20"/>
          <w:szCs w:val="20"/>
          <w:highlight w:val="none"/>
          <w:u w:val="single"/>
          <w:lang w:eastAsia="zh-CN"/>
        </w:rPr>
        <w:t>南宁市兴宁区昆仑镇人民政府</w:t>
      </w:r>
      <w:r>
        <w:rPr>
          <w:rStyle w:val="32"/>
          <w:rFonts w:hint="eastAsia" w:ascii="Times New Roman" w:hAnsi="Times New Roman" w:cs="Times New Roman"/>
          <w:color w:val="auto"/>
          <w:highlight w:val="none"/>
          <w:lang w:eastAsia="zh-CN"/>
        </w:rPr>
        <w:t>。</w:t>
      </w:r>
    </w:p>
    <w:p w14:paraId="0A927338">
      <w:pPr>
        <w:pStyle w:val="103"/>
        <w:pageBreakBefore w:val="0"/>
        <w:tabs>
          <w:tab w:val="left" w:pos="4066"/>
        </w:tabs>
        <w:kinsoku/>
        <w:wordWrap/>
        <w:overflowPunct/>
        <w:topLinePunct w:val="0"/>
        <w:autoSpaceDE/>
        <w:autoSpaceDN/>
        <w:bidi w:val="0"/>
        <w:adjustRightInd/>
        <w:snapToGrid/>
        <w:spacing w:after="100"/>
        <w:ind w:firstLine="440"/>
        <w:textAlignment w:val="auto"/>
        <w:outlineLvl w:val="9"/>
        <w:rPr>
          <w:rStyle w:val="32"/>
          <w:rFonts w:hint="eastAsia"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1.1.2.</w:t>
      </w:r>
      <w:r>
        <w:rPr>
          <w:rStyle w:val="32"/>
          <w:rFonts w:ascii="Times New Roman" w:hAnsi="Times New Roman" w:cs="Times New Roman"/>
          <w:color w:val="auto"/>
          <w:highlight w:val="none"/>
          <w:lang w:val="zh-CN" w:eastAsia="zh-CN" w:bidi="zh-CN"/>
        </w:rPr>
        <w:t>3</w:t>
      </w:r>
      <w:r>
        <w:rPr>
          <w:rStyle w:val="32"/>
          <w:rFonts w:ascii="宋体" w:hAnsi="宋体" w:cs="宋体"/>
          <w:color w:val="auto"/>
          <w:highlight w:val="none"/>
          <w:lang w:val="zh-CN" w:eastAsia="zh-CN" w:bidi="zh-CN"/>
        </w:rPr>
        <w:t>承包人：</w:t>
      </w:r>
      <w:r>
        <w:rPr>
          <w:rStyle w:val="32"/>
          <w:rFonts w:ascii="Times New Roman" w:hAnsi="Times New Roman" w:cs="Times New Roman"/>
          <w:color w:val="auto"/>
          <w:highlight w:val="none"/>
          <w:u w:val="single"/>
          <w:lang w:eastAsia="zh-CN"/>
        </w:rPr>
        <w:tab/>
      </w:r>
      <w:r>
        <w:rPr>
          <w:rStyle w:val="32"/>
          <w:rFonts w:hint="eastAsia" w:ascii="Times New Roman" w:hAnsi="Times New Roman" w:cs="Times New Roman"/>
          <w:color w:val="auto"/>
          <w:highlight w:val="none"/>
          <w:lang w:eastAsia="zh-CN"/>
        </w:rPr>
        <w:t>。</w:t>
      </w:r>
    </w:p>
    <w:p w14:paraId="156925C1">
      <w:pPr>
        <w:pStyle w:val="103"/>
        <w:pageBreakBefore w:val="0"/>
        <w:tabs>
          <w:tab w:val="left" w:pos="4066"/>
        </w:tabs>
        <w:kinsoku/>
        <w:wordWrap/>
        <w:overflowPunct/>
        <w:topLinePunct w:val="0"/>
        <w:autoSpaceDE/>
        <w:autoSpaceDN/>
        <w:bidi w:val="0"/>
        <w:adjustRightInd/>
        <w:snapToGrid/>
        <w:spacing w:after="100"/>
        <w:ind w:firstLine="440"/>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1.1.2.</w:t>
      </w:r>
      <w:r>
        <w:rPr>
          <w:rStyle w:val="32"/>
          <w:rFonts w:hint="eastAsia" w:ascii="Times New Roman" w:hAnsi="Times New Roman" w:cs="Times New Roman"/>
          <w:color w:val="auto"/>
          <w:highlight w:val="none"/>
          <w:lang w:eastAsia="zh-CN" w:bidi="zh-CN"/>
        </w:rPr>
        <w:t>4承包人项目负责人、技术负责人和专职安全员</w:t>
      </w:r>
      <w:r>
        <w:rPr>
          <w:rStyle w:val="32"/>
          <w:rFonts w:ascii="宋体" w:hAnsi="宋体" w:cs="宋体"/>
          <w:color w:val="auto"/>
          <w:highlight w:val="none"/>
          <w:lang w:val="zh-CN" w:eastAsia="zh-CN" w:bidi="zh-CN"/>
        </w:rPr>
        <w:t>：</w:t>
      </w:r>
      <w:r>
        <w:rPr>
          <w:rStyle w:val="32"/>
          <w:rFonts w:ascii="Times New Roman" w:hAnsi="Times New Roman" w:cs="Times New Roman"/>
          <w:color w:val="auto"/>
          <w:highlight w:val="none"/>
          <w:u w:val="single"/>
          <w:lang w:eastAsia="zh-CN"/>
        </w:rPr>
        <w:tab/>
      </w:r>
      <w:r>
        <w:rPr>
          <w:rStyle w:val="32"/>
          <w:rFonts w:hint="eastAsia" w:ascii="Times New Roman" w:hAnsi="Times New Roman" w:cs="Times New Roman"/>
          <w:color w:val="auto"/>
          <w:highlight w:val="none"/>
          <w:u w:val="single"/>
          <w:lang w:eastAsia="zh-CN"/>
        </w:rPr>
        <w:t xml:space="preserve">             </w:t>
      </w:r>
      <w:r>
        <w:rPr>
          <w:rStyle w:val="32"/>
          <w:rFonts w:hint="eastAsia" w:ascii="Times New Roman" w:hAnsi="Times New Roman" w:cs="Times New Roman"/>
          <w:color w:val="auto"/>
          <w:highlight w:val="none"/>
          <w:lang w:eastAsia="zh-CN"/>
        </w:rPr>
        <w:t>（项目负责人、技术负责人和专职安全员的姓名、身份证号号码，项目负责人执业证书号码以及项目负责人和专职安全员水行政主管部门颁发的安全生产考核合格证书号码）。</w:t>
      </w:r>
    </w:p>
    <w:p w14:paraId="6F25A0F6">
      <w:pPr>
        <w:pStyle w:val="103"/>
        <w:pageBreakBefore w:val="0"/>
        <w:tabs>
          <w:tab w:val="left" w:pos="4064"/>
        </w:tabs>
        <w:kinsoku/>
        <w:wordWrap/>
        <w:overflowPunct/>
        <w:topLinePunct w:val="0"/>
        <w:autoSpaceDE/>
        <w:autoSpaceDN/>
        <w:bidi w:val="0"/>
        <w:adjustRightInd/>
        <w:snapToGrid/>
        <w:spacing w:after="100"/>
        <w:ind w:firstLine="440"/>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1.1.2.</w:t>
      </w:r>
      <w:r>
        <w:rPr>
          <w:rStyle w:val="32"/>
          <w:rFonts w:ascii="Times New Roman" w:hAnsi="Times New Roman" w:cs="Times New Roman"/>
          <w:color w:val="auto"/>
          <w:highlight w:val="none"/>
          <w:lang w:val="zh-CN" w:eastAsia="zh-CN" w:bidi="zh-CN"/>
        </w:rPr>
        <w:t>5</w:t>
      </w:r>
      <w:r>
        <w:rPr>
          <w:rStyle w:val="32"/>
          <w:rFonts w:ascii="宋体" w:hAnsi="宋体" w:cs="宋体"/>
          <w:color w:val="auto"/>
          <w:highlight w:val="none"/>
          <w:lang w:val="zh-CN" w:eastAsia="zh-CN" w:bidi="zh-CN"/>
        </w:rPr>
        <w:t>分包人:</w:t>
      </w:r>
      <w:r>
        <w:rPr>
          <w:rStyle w:val="32"/>
          <w:rFonts w:ascii="Times New Roman" w:hAnsi="Times New Roman" w:cs="Times New Roman"/>
          <w:color w:val="auto"/>
          <w:highlight w:val="none"/>
          <w:u w:val="single"/>
          <w:lang w:eastAsia="zh-CN"/>
        </w:rPr>
        <w:tab/>
      </w:r>
      <w:r>
        <w:rPr>
          <w:rStyle w:val="32"/>
          <w:rFonts w:hint="eastAsia" w:ascii="Times New Roman" w:hAnsi="Times New Roman" w:cs="Times New Roman"/>
          <w:color w:val="auto"/>
          <w:highlight w:val="none"/>
          <w:lang w:eastAsia="zh-CN"/>
        </w:rPr>
        <w:t>。</w:t>
      </w:r>
    </w:p>
    <w:p w14:paraId="5E63756E">
      <w:pPr>
        <w:pStyle w:val="103"/>
        <w:pageBreakBefore w:val="0"/>
        <w:tabs>
          <w:tab w:val="left" w:pos="4064"/>
        </w:tabs>
        <w:kinsoku/>
        <w:wordWrap/>
        <w:overflowPunct/>
        <w:topLinePunct w:val="0"/>
        <w:autoSpaceDE/>
        <w:autoSpaceDN/>
        <w:bidi w:val="0"/>
        <w:adjustRightInd/>
        <w:snapToGrid/>
        <w:spacing w:after="100"/>
        <w:ind w:firstLine="440"/>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1.1.2.6</w:t>
      </w:r>
      <w:r>
        <w:rPr>
          <w:rStyle w:val="32"/>
          <w:rFonts w:ascii="宋体" w:hAnsi="宋体" w:cs="宋体"/>
          <w:color w:val="auto"/>
          <w:highlight w:val="none"/>
          <w:lang w:val="zh-CN" w:eastAsia="zh-CN" w:bidi="zh-CN"/>
        </w:rPr>
        <w:t>监理人：</w:t>
      </w:r>
      <w:r>
        <w:rPr>
          <w:rStyle w:val="32"/>
          <w:rFonts w:ascii="Times New Roman" w:hAnsi="Times New Roman" w:cs="Times New Roman"/>
          <w:color w:val="auto"/>
          <w:highlight w:val="none"/>
          <w:u w:val="single"/>
          <w:lang w:eastAsia="zh-CN"/>
        </w:rPr>
        <w:tab/>
      </w:r>
      <w:r>
        <w:rPr>
          <w:rStyle w:val="32"/>
          <w:rFonts w:hint="eastAsia" w:ascii="Times New Roman" w:hAnsi="Times New Roman" w:cs="Times New Roman"/>
          <w:color w:val="auto"/>
          <w:highlight w:val="none"/>
          <w:lang w:eastAsia="zh-CN"/>
        </w:rPr>
        <w:t>。</w:t>
      </w:r>
    </w:p>
    <w:p w14:paraId="705F4D17">
      <w:pPr>
        <w:pStyle w:val="103"/>
        <w:pageBreakBefore w:val="0"/>
        <w:tabs>
          <w:tab w:val="left" w:pos="3649"/>
        </w:tabs>
        <w:kinsoku/>
        <w:wordWrap/>
        <w:overflowPunct/>
        <w:topLinePunct w:val="0"/>
        <w:autoSpaceDE/>
        <w:autoSpaceDN/>
        <w:bidi w:val="0"/>
        <w:adjustRightInd/>
        <w:snapToGrid/>
        <w:spacing w:after="100"/>
        <w:ind w:firstLine="440"/>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1.1.4</w:t>
      </w:r>
      <w:r>
        <w:rPr>
          <w:rStyle w:val="32"/>
          <w:rFonts w:ascii="宋体" w:hAnsi="宋体" w:cs="宋体"/>
          <w:color w:val="auto"/>
          <w:highlight w:val="none"/>
          <w:lang w:val="zh-CN" w:eastAsia="zh-CN" w:bidi="zh-CN"/>
        </w:rPr>
        <w:t>日期：</w:t>
      </w:r>
      <w:r>
        <w:rPr>
          <w:rStyle w:val="32"/>
          <w:rFonts w:ascii="Times New Roman" w:hAnsi="Times New Roman" w:cs="Times New Roman"/>
          <w:color w:val="auto"/>
          <w:highlight w:val="none"/>
          <w:u w:val="single"/>
          <w:lang w:eastAsia="zh-CN"/>
        </w:rPr>
        <w:tab/>
      </w:r>
      <w:r>
        <w:rPr>
          <w:rStyle w:val="32"/>
          <w:rFonts w:hint="eastAsia" w:ascii="Times New Roman" w:hAnsi="Times New Roman" w:cs="Times New Roman"/>
          <w:color w:val="auto"/>
          <w:highlight w:val="none"/>
          <w:lang w:eastAsia="zh-CN"/>
        </w:rPr>
        <w:t>。</w:t>
      </w:r>
    </w:p>
    <w:p w14:paraId="312E79BD">
      <w:pPr>
        <w:pStyle w:val="102"/>
        <w:pageBreakBefore w:val="0"/>
        <w:tabs>
          <w:tab w:val="left" w:pos="6303"/>
        </w:tabs>
        <w:kinsoku/>
        <w:wordWrap/>
        <w:overflowPunct/>
        <w:topLinePunct w:val="0"/>
        <w:autoSpaceDE/>
        <w:autoSpaceDN/>
        <w:bidi w:val="0"/>
        <w:adjustRightInd/>
        <w:snapToGrid/>
        <w:spacing w:after="240" w:line="240" w:lineRule="auto"/>
        <w:ind w:firstLine="44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1.1.4.</w:t>
      </w:r>
      <w:r>
        <w:rPr>
          <w:rStyle w:val="32"/>
          <w:rFonts w:ascii="Times New Roman" w:hAnsi="Times New Roman" w:eastAsia="Times New Roman" w:cs="Times New Roman"/>
          <w:color w:val="auto"/>
          <w:highlight w:val="none"/>
        </w:rPr>
        <w:t>5</w:t>
      </w:r>
      <w:r>
        <w:rPr>
          <w:rStyle w:val="32"/>
          <w:color w:val="auto"/>
          <w:highlight w:val="none"/>
        </w:rPr>
        <w:t>缺陷责任期(工程质量保修期):</w:t>
      </w:r>
      <w:r>
        <w:rPr>
          <w:rStyle w:val="32"/>
          <w:rFonts w:hint="eastAsia" w:ascii="Times New Roman" w:hAnsi="Times New Roman" w:cs="Times New Roman"/>
          <w:color w:val="auto"/>
          <w:highlight w:val="none"/>
          <w:u w:val="single"/>
        </w:rPr>
        <w:t>工程通过竣工验收后12个</w:t>
      </w:r>
      <w:r>
        <w:rPr>
          <w:rStyle w:val="32"/>
          <w:rFonts w:hint="eastAsia" w:ascii="Times New Roman" w:hAnsi="Times New Roman" w:cs="Times New Roman"/>
          <w:color w:val="auto"/>
          <w:highlight w:val="none"/>
        </w:rPr>
        <w:t>月</w:t>
      </w:r>
      <w:r>
        <w:rPr>
          <w:rStyle w:val="32"/>
          <w:rFonts w:hint="eastAsia" w:ascii="Times New Roman" w:hAnsi="Times New Roman" w:cs="Times New Roman"/>
          <w:color w:val="auto"/>
          <w:highlight w:val="none"/>
          <w:lang w:val="en-US" w:bidi="en-US"/>
        </w:rPr>
        <w:t>。</w:t>
      </w:r>
    </w:p>
    <w:p w14:paraId="375BB8B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332" w:name="bookmark1588"/>
      <w:bookmarkStart w:id="1333" w:name="_Toc256000179"/>
      <w:bookmarkStart w:id="1334" w:name="_Toc256000256"/>
      <w:bookmarkStart w:id="1335" w:name="bookmark1586"/>
      <w:bookmarkStart w:id="1336" w:name="bookmark1587"/>
      <w:r>
        <w:rPr>
          <w:rStyle w:val="32"/>
          <w:rFonts w:ascii="宋体" w:hAnsi="宋体" w:cs="Times New Roman"/>
          <w:color w:val="auto"/>
          <w:sz w:val="24"/>
          <w:szCs w:val="24"/>
          <w:highlight w:val="none"/>
          <w:lang w:eastAsia="zh-CN"/>
        </w:rPr>
        <w:t>1.4合同文件的优先顺序</w:t>
      </w:r>
      <w:bookmarkEnd w:id="1332"/>
      <w:bookmarkEnd w:id="1333"/>
      <w:bookmarkEnd w:id="1334"/>
      <w:bookmarkEnd w:id="1335"/>
      <w:bookmarkEnd w:id="1336"/>
    </w:p>
    <w:p w14:paraId="577BBD8A">
      <w:pPr>
        <w:pStyle w:val="102"/>
        <w:pageBreakBefore w:val="0"/>
        <w:kinsoku/>
        <w:wordWrap/>
        <w:overflowPunct/>
        <w:topLinePunct w:val="0"/>
        <w:autoSpaceDE/>
        <w:autoSpaceDN/>
        <w:bidi w:val="0"/>
        <w:adjustRightInd/>
        <w:snapToGrid/>
        <w:spacing w:after="100" w:line="402" w:lineRule="exact"/>
        <w:ind w:firstLine="440"/>
        <w:textAlignment w:val="auto"/>
        <w:outlineLvl w:val="9"/>
        <w:rPr>
          <w:rStyle w:val="32"/>
          <w:color w:val="auto"/>
          <w:highlight w:val="none"/>
        </w:rPr>
      </w:pPr>
      <w:r>
        <w:rPr>
          <w:rStyle w:val="32"/>
          <w:color w:val="auto"/>
          <w:highlight w:val="none"/>
        </w:rPr>
        <w:t>进入合同的各项文件及其优先顺序如下：</w:t>
      </w:r>
    </w:p>
    <w:p w14:paraId="7BE752C4">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37" w:name="bookmark1589"/>
      <w:bookmarkEnd w:id="1337"/>
      <w:r>
        <w:rPr>
          <w:rStyle w:val="32"/>
          <w:color w:val="auto"/>
          <w:highlight w:val="none"/>
        </w:rPr>
        <w:t>合同协议书(包括补充协议、合同谈判备忘录)；</w:t>
      </w:r>
    </w:p>
    <w:p w14:paraId="2A955F79">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38" w:name="bookmark1590"/>
      <w:bookmarkEnd w:id="1338"/>
      <w:r>
        <w:rPr>
          <w:rStyle w:val="32"/>
          <w:color w:val="auto"/>
          <w:highlight w:val="none"/>
        </w:rPr>
        <w:t>中标通知书；</w:t>
      </w:r>
    </w:p>
    <w:p w14:paraId="099EC580">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39" w:name="bookmark1591"/>
      <w:bookmarkEnd w:id="1339"/>
      <w:r>
        <w:rPr>
          <w:rStyle w:val="32"/>
          <w:color w:val="auto"/>
          <w:highlight w:val="none"/>
        </w:rPr>
        <w:t>投标函及投标函附录；</w:t>
      </w:r>
    </w:p>
    <w:p w14:paraId="73A5E8FA">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40" w:name="bookmark1592"/>
      <w:bookmarkEnd w:id="1340"/>
      <w:r>
        <w:rPr>
          <w:rStyle w:val="32"/>
          <w:color w:val="auto"/>
          <w:highlight w:val="none"/>
        </w:rPr>
        <w:t>专用合同条款(含附加条款)；</w:t>
      </w:r>
    </w:p>
    <w:p w14:paraId="7B7563D3">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41" w:name="bookmark1593"/>
      <w:bookmarkEnd w:id="1341"/>
      <w:r>
        <w:rPr>
          <w:rStyle w:val="32"/>
          <w:color w:val="auto"/>
          <w:highlight w:val="none"/>
        </w:rPr>
        <w:t>通用合同条款；</w:t>
      </w:r>
    </w:p>
    <w:p w14:paraId="4BD34F42">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42" w:name="bookmark1594"/>
      <w:bookmarkEnd w:id="1342"/>
      <w:r>
        <w:rPr>
          <w:rStyle w:val="32"/>
          <w:color w:val="auto"/>
          <w:highlight w:val="none"/>
        </w:rPr>
        <w:t>技术标准和要求(合同技术条款)；</w:t>
      </w:r>
    </w:p>
    <w:p w14:paraId="33867D65">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43" w:name="bookmark1595"/>
      <w:bookmarkEnd w:id="1343"/>
      <w:r>
        <w:rPr>
          <w:rStyle w:val="32"/>
          <w:color w:val="auto"/>
          <w:highlight w:val="none"/>
        </w:rPr>
        <w:t>图纸；</w:t>
      </w:r>
    </w:p>
    <w:p w14:paraId="7368BA74">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44" w:name="bookmark1596"/>
      <w:bookmarkEnd w:id="1344"/>
      <w:r>
        <w:rPr>
          <w:rStyle w:val="32"/>
          <w:color w:val="auto"/>
          <w:highlight w:val="none"/>
        </w:rPr>
        <w:t>已标价工程量清单；</w:t>
      </w:r>
    </w:p>
    <w:p w14:paraId="11BEE7BA">
      <w:pPr>
        <w:pStyle w:val="102"/>
        <w:pageBreakBefore w:val="0"/>
        <w:numPr>
          <w:ilvl w:val="0"/>
          <w:numId w:val="41"/>
        </w:numPr>
        <w:tabs>
          <w:tab w:val="left" w:pos="923"/>
        </w:tabs>
        <w:kinsoku/>
        <w:wordWrap/>
        <w:overflowPunct/>
        <w:topLinePunct w:val="0"/>
        <w:autoSpaceDE/>
        <w:autoSpaceDN/>
        <w:bidi w:val="0"/>
        <w:adjustRightInd/>
        <w:snapToGrid/>
        <w:spacing w:after="100" w:line="240" w:lineRule="auto"/>
        <w:ind w:firstLine="440"/>
        <w:textAlignment w:val="auto"/>
        <w:outlineLvl w:val="9"/>
        <w:rPr>
          <w:rStyle w:val="32"/>
          <w:color w:val="auto"/>
          <w:highlight w:val="none"/>
        </w:rPr>
      </w:pPr>
      <w:bookmarkStart w:id="1345" w:name="bookmark1597"/>
      <w:bookmarkEnd w:id="1345"/>
      <w:r>
        <w:rPr>
          <w:rStyle w:val="32"/>
          <w:color w:val="auto"/>
          <w:highlight w:val="none"/>
        </w:rPr>
        <w:t>投标文件其他内容；</w:t>
      </w:r>
    </w:p>
    <w:p w14:paraId="5CA921E4">
      <w:pPr>
        <w:pStyle w:val="102"/>
        <w:pageBreakBefore w:val="0"/>
        <w:numPr>
          <w:ilvl w:val="0"/>
          <w:numId w:val="41"/>
        </w:numPr>
        <w:tabs>
          <w:tab w:val="left" w:pos="1026"/>
        </w:tabs>
        <w:kinsoku/>
        <w:wordWrap/>
        <w:overflowPunct/>
        <w:topLinePunct w:val="0"/>
        <w:autoSpaceDE/>
        <w:autoSpaceDN/>
        <w:bidi w:val="0"/>
        <w:adjustRightInd/>
        <w:snapToGrid/>
        <w:spacing w:after="240" w:line="240" w:lineRule="auto"/>
        <w:ind w:firstLine="440"/>
        <w:textAlignment w:val="auto"/>
        <w:outlineLvl w:val="9"/>
        <w:rPr>
          <w:rStyle w:val="32"/>
          <w:color w:val="auto"/>
          <w:highlight w:val="none"/>
        </w:rPr>
      </w:pPr>
      <w:bookmarkStart w:id="1346" w:name="bookmark1598"/>
      <w:bookmarkEnd w:id="1346"/>
      <w:r>
        <w:rPr>
          <w:rStyle w:val="32"/>
          <w:color w:val="auto"/>
          <w:highlight w:val="none"/>
        </w:rPr>
        <w:t>其他合同文件。</w:t>
      </w:r>
    </w:p>
    <w:p w14:paraId="79584D9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rPr>
      </w:pPr>
      <w:bookmarkStart w:id="1347" w:name="_Toc256000180"/>
      <w:bookmarkStart w:id="1348" w:name="bookmark1600"/>
      <w:bookmarkStart w:id="1349" w:name="bookmark1599"/>
      <w:bookmarkStart w:id="1350" w:name="_Toc256000257"/>
      <w:bookmarkStart w:id="1351" w:name="bookmark1601"/>
      <w:r>
        <w:rPr>
          <w:rStyle w:val="32"/>
          <w:rFonts w:ascii="宋体" w:hAnsi="宋体" w:cs="Times New Roman"/>
          <w:color w:val="auto"/>
          <w:sz w:val="24"/>
          <w:szCs w:val="24"/>
          <w:highlight w:val="none"/>
          <w:lang w:eastAsia="zh-CN"/>
        </w:rPr>
        <w:t>1.7联络</w:t>
      </w:r>
      <w:bookmarkEnd w:id="1347"/>
      <w:bookmarkEnd w:id="1348"/>
      <w:bookmarkEnd w:id="1349"/>
      <w:bookmarkEnd w:id="1350"/>
      <w:bookmarkEnd w:id="1351"/>
    </w:p>
    <w:p w14:paraId="37FA3C46">
      <w:pPr>
        <w:pStyle w:val="102"/>
        <w:pageBreakBefore w:val="0"/>
        <w:tabs>
          <w:tab w:val="left" w:pos="2074"/>
        </w:tabs>
        <w:kinsoku/>
        <w:wordWrap/>
        <w:overflowPunct/>
        <w:topLinePunct w:val="0"/>
        <w:autoSpaceDE/>
        <w:autoSpaceDN/>
        <w:bidi w:val="0"/>
        <w:adjustRightInd/>
        <w:snapToGrid/>
        <w:spacing w:after="180" w:line="382" w:lineRule="exact"/>
        <w:ind w:firstLine="46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1.7.2</w:t>
      </w:r>
      <w:r>
        <w:rPr>
          <w:rStyle w:val="32"/>
          <w:color w:val="auto"/>
          <w:highlight w:val="none"/>
        </w:rPr>
        <w:t>来往函件均应按技术标准和要求(合同技术条款)约定的期限送</w:t>
      </w:r>
      <w:r>
        <w:rPr>
          <w:rStyle w:val="32"/>
          <w:rFonts w:hint="eastAsia" w:ascii="Times New Roman" w:hAnsi="Times New Roman" w:cs="Times New Roman"/>
          <w:color w:val="auto"/>
          <w:highlight w:val="none"/>
          <w:u w:val="single"/>
          <w:lang w:eastAsia="zh-CN"/>
        </w:rPr>
        <w:t>南宁市兴宁区昆仑镇人民政府</w:t>
      </w:r>
      <w:r>
        <w:rPr>
          <w:rStyle w:val="32"/>
          <w:rFonts w:hint="eastAsia" w:ascii="Times New Roman" w:hAnsi="Times New Roman" w:cs="Times New Roman"/>
          <w:color w:val="auto"/>
          <w:highlight w:val="none"/>
          <w:lang w:val="en-US" w:bidi="en-US"/>
        </w:rPr>
        <w:t>。</w:t>
      </w:r>
    </w:p>
    <w:p w14:paraId="00C7A7B4">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352" w:name="bookmark1604"/>
      <w:bookmarkEnd w:id="1352"/>
      <w:bookmarkStart w:id="1353" w:name="bookmark1602"/>
      <w:bookmarkStart w:id="1354" w:name="_Toc21193"/>
      <w:bookmarkStart w:id="1355" w:name="_Toc7249"/>
      <w:bookmarkStart w:id="1356" w:name="bookmark1605"/>
      <w:bookmarkStart w:id="1357" w:name="_Toc256000258"/>
      <w:bookmarkStart w:id="1358" w:name="_Toc256000181"/>
      <w:bookmarkStart w:id="1359" w:name="_Toc27866"/>
      <w:bookmarkStart w:id="1360" w:name="bookmark1603"/>
      <w:r>
        <w:rPr>
          <w:rStyle w:val="32"/>
          <w:rFonts w:hint="eastAsia" w:cs="Times New Roman"/>
          <w:color w:val="auto"/>
          <w:highlight w:val="none"/>
          <w:lang w:eastAsia="zh-CN"/>
        </w:rPr>
        <w:t>2. 发包人义务</w:t>
      </w:r>
      <w:bookmarkEnd w:id="1353"/>
      <w:bookmarkEnd w:id="1354"/>
      <w:bookmarkEnd w:id="1355"/>
      <w:bookmarkEnd w:id="1356"/>
      <w:bookmarkEnd w:id="1357"/>
      <w:bookmarkEnd w:id="1358"/>
      <w:bookmarkEnd w:id="1359"/>
      <w:bookmarkEnd w:id="1360"/>
    </w:p>
    <w:p w14:paraId="3A9E892B">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361" w:name="_Toc256000182"/>
      <w:bookmarkStart w:id="1362" w:name="bookmark1606"/>
      <w:bookmarkStart w:id="1363" w:name="bookmark1607"/>
      <w:bookmarkStart w:id="1364" w:name="bookmark1608"/>
      <w:bookmarkStart w:id="1365" w:name="_Toc256000259"/>
      <w:r>
        <w:rPr>
          <w:rStyle w:val="32"/>
          <w:rFonts w:ascii="宋体" w:hAnsi="宋体" w:cs="Times New Roman"/>
          <w:color w:val="auto"/>
          <w:sz w:val="24"/>
          <w:szCs w:val="24"/>
          <w:highlight w:val="none"/>
          <w:lang w:eastAsia="zh-CN" w:bidi="en-US"/>
        </w:rPr>
        <w:t>2.3提供施工场地</w:t>
      </w:r>
      <w:bookmarkEnd w:id="1361"/>
      <w:bookmarkEnd w:id="1362"/>
      <w:bookmarkEnd w:id="1363"/>
      <w:bookmarkEnd w:id="1364"/>
      <w:bookmarkEnd w:id="1365"/>
    </w:p>
    <w:p w14:paraId="6650A56A">
      <w:pPr>
        <w:pStyle w:val="102"/>
        <w:pageBreakBefore w:val="0"/>
        <w:tabs>
          <w:tab w:val="left" w:pos="8265"/>
        </w:tabs>
        <w:kinsoku/>
        <w:wordWrap/>
        <w:overflowPunct/>
        <w:topLinePunct w:val="0"/>
        <w:autoSpaceDE/>
        <w:autoSpaceDN/>
        <w:bidi w:val="0"/>
        <w:adjustRightInd/>
        <w:snapToGrid/>
        <w:spacing w:line="240" w:lineRule="auto"/>
        <w:ind w:firstLine="46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2.3.2</w:t>
      </w:r>
      <w:r>
        <w:rPr>
          <w:rStyle w:val="32"/>
          <w:color w:val="auto"/>
          <w:highlight w:val="none"/>
        </w:rPr>
        <w:t>发包人提供的施工场地范围为：</w:t>
      </w:r>
      <w:r>
        <w:rPr>
          <w:rStyle w:val="32"/>
          <w:rFonts w:hint="eastAsia" w:ascii="宋体" w:hAnsi="宋体" w:eastAsia="宋体" w:cs="宋体"/>
          <w:color w:val="auto"/>
          <w:highlight w:val="none"/>
          <w:u w:val="single"/>
        </w:rPr>
        <w:t>发包人负责办理工地范围内的征地、拆迁和移民等有关手续，向承包人提供施工用地</w:t>
      </w:r>
      <w:r>
        <w:rPr>
          <w:rStyle w:val="32"/>
          <w:rFonts w:hint="eastAsia"/>
          <w:color w:val="auto"/>
          <w:highlight w:val="none"/>
        </w:rPr>
        <w:t xml:space="preserve"> </w:t>
      </w:r>
      <w:r>
        <w:rPr>
          <w:rStyle w:val="32"/>
          <w:rFonts w:hint="eastAsia" w:ascii="Times New Roman" w:hAnsi="Times New Roman" w:cs="Times New Roman"/>
          <w:color w:val="auto"/>
          <w:highlight w:val="none"/>
          <w:lang w:val="en-US" w:bidi="en-US"/>
        </w:rPr>
        <w:t>。</w:t>
      </w:r>
    </w:p>
    <w:p w14:paraId="1A7DE7E4">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cs="Times New Roman"/>
          <w:color w:val="auto"/>
          <w:highlight w:val="none"/>
          <w:lang w:val="en-US" w:bidi="en-US"/>
        </w:rPr>
      </w:pPr>
      <w:r>
        <w:rPr>
          <w:rStyle w:val="32"/>
          <w:rFonts w:ascii="Times New Roman" w:hAnsi="Times New Roman" w:eastAsia="Times New Roman" w:cs="Times New Roman"/>
          <w:color w:val="auto"/>
          <w:highlight w:val="none"/>
          <w:lang w:val="en-US"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r>
        <w:rPr>
          <w:rStyle w:val="32"/>
          <w:rFonts w:hint="eastAsia" w:ascii="Times New Roman" w:hAnsi="Times New Roman" w:cs="Times New Roman"/>
          <w:color w:val="auto"/>
          <w:highlight w:val="none"/>
          <w:lang w:val="en-US" w:bidi="en-US"/>
        </w:rPr>
        <w:t>。</w:t>
      </w:r>
    </w:p>
    <w:p w14:paraId="4A4D760F">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366" w:name="_Toc256000260"/>
      <w:bookmarkStart w:id="1367" w:name="_Toc256000183"/>
      <w:r>
        <w:rPr>
          <w:rStyle w:val="32"/>
          <w:rFonts w:ascii="宋体" w:hAnsi="宋体" w:cs="Times New Roman"/>
          <w:color w:val="auto"/>
          <w:sz w:val="24"/>
          <w:szCs w:val="24"/>
          <w:highlight w:val="none"/>
          <w:lang w:eastAsia="zh-CN" w:bidi="en-US"/>
        </w:rPr>
        <w:t>2.8其它义务</w:t>
      </w:r>
      <w:bookmarkEnd w:id="1366"/>
      <w:bookmarkEnd w:id="1367"/>
    </w:p>
    <w:p w14:paraId="511CA9E8">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eastAsia="Times New Roman" w:cs="Times New Roman"/>
          <w:color w:val="auto"/>
          <w:highlight w:val="none"/>
          <w:lang w:val="en-US" w:bidi="en-US"/>
        </w:rPr>
      </w:pPr>
      <w:bookmarkStart w:id="1368" w:name="bookmark1609"/>
      <w:bookmarkEnd w:id="1368"/>
      <w:bookmarkStart w:id="1369" w:name="bookmark1614"/>
      <w:bookmarkEnd w:id="1369"/>
      <w:bookmarkStart w:id="1370" w:name="_Toc32577"/>
      <w:bookmarkStart w:id="1371" w:name="_Toc5847"/>
      <w:bookmarkStart w:id="1372" w:name="_Toc12839"/>
      <w:bookmarkStart w:id="1373" w:name="bookmark1615"/>
      <w:bookmarkStart w:id="1374" w:name="_Toc6637"/>
      <w:bookmarkStart w:id="1375" w:name="bookmark1613"/>
      <w:bookmarkStart w:id="1376" w:name="bookmark1612"/>
      <w:r>
        <w:rPr>
          <w:rStyle w:val="32"/>
          <w:rFonts w:hint="eastAsia" w:ascii="Times New Roman" w:hAnsi="Times New Roman" w:eastAsia="Times New Roman" w:cs="Times New Roman"/>
          <w:color w:val="auto"/>
          <w:highlight w:val="none"/>
          <w:lang w:val="en-US" w:bidi="en-US"/>
        </w:rPr>
        <w:t>2.8.1执行农民工工资保证金制度，缴纳农民工工资保证金（适用于在本自治区行政区域内施工的所有水利水电工程项目）根据《国务院办公厅关于全面治理拖欠农民工工资问题的意见》（国办发〔2016〕1号）和《广西壮族自治区人民政府办公厅关于全面治理拖欠农民工工资问题的实施意见》（桂政办发〔2016〕113号）精神，承包人在办理工程项目开工手续前必须履行以下义务:</w:t>
      </w:r>
      <w:bookmarkEnd w:id="1370"/>
    </w:p>
    <w:p w14:paraId="7D525929">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eastAsia="Times New Roman" w:cs="Times New Roman"/>
          <w:color w:val="auto"/>
          <w:highlight w:val="none"/>
          <w:lang w:val="en-US" w:bidi="en-US"/>
        </w:rPr>
      </w:pPr>
      <w:bookmarkStart w:id="1377" w:name="_Toc29388"/>
      <w:r>
        <w:rPr>
          <w:rStyle w:val="32"/>
          <w:rFonts w:hint="eastAsia" w:ascii="Times New Roman" w:hAnsi="Times New Roman" w:eastAsia="Times New Roman" w:cs="Times New Roman"/>
          <w:color w:val="auto"/>
          <w:highlight w:val="none"/>
          <w:lang w:val="en-US" w:bidi="en-US"/>
        </w:rPr>
        <w:t>（1）按以下标准由承包人开设农民工工资保证金专户并足额存入农民工工资保证金：工程项目中标价(合同价)1000万元(含1000万元)以下的，按2%计算；超过1000万元部分，按1%计算。</w:t>
      </w:r>
      <w:bookmarkEnd w:id="1377"/>
    </w:p>
    <w:p w14:paraId="01F98ABD">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eastAsia="Times New Roman" w:cs="Times New Roman"/>
          <w:color w:val="auto"/>
          <w:highlight w:val="none"/>
          <w:lang w:val="en-US" w:bidi="en-US"/>
        </w:rPr>
      </w:pPr>
      <w:bookmarkStart w:id="1378" w:name="_Toc654"/>
      <w:r>
        <w:rPr>
          <w:rStyle w:val="32"/>
          <w:rFonts w:hint="eastAsia" w:ascii="Times New Roman" w:hAnsi="Times New Roman" w:eastAsia="Times New Roman" w:cs="Times New Roman"/>
          <w:color w:val="auto"/>
          <w:highlight w:val="none"/>
          <w:lang w:val="en-US" w:bidi="en-US"/>
        </w:rPr>
        <w:t>（2）承诺一旦其出现拖欠农民工工资时，可由农民工工资保证金专户从工资保证金中先予垫支。</w:t>
      </w:r>
      <w:bookmarkEnd w:id="1378"/>
    </w:p>
    <w:p w14:paraId="0E9C0302">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eastAsia="Times New Roman" w:cs="Times New Roman"/>
          <w:color w:val="auto"/>
          <w:highlight w:val="none"/>
          <w:lang w:val="en-US" w:bidi="en-US"/>
        </w:rPr>
      </w:pPr>
      <w:bookmarkStart w:id="1379" w:name="_Toc1301"/>
      <w:r>
        <w:rPr>
          <w:rStyle w:val="32"/>
          <w:rFonts w:hint="eastAsia" w:ascii="Times New Roman" w:hAnsi="Times New Roman" w:eastAsia="Times New Roman" w:cs="Times New Roman"/>
          <w:color w:val="auto"/>
          <w:highlight w:val="none"/>
          <w:lang w:val="en-US" w:bidi="en-US"/>
        </w:rPr>
        <w:t>（3）发包人应当根据上述作出的义务、持存入农民工工资保证金的银行凭证到劳动保障部门报备。由劳动保障部门出具备案证明后到水利部门办理开工手续。</w:t>
      </w:r>
      <w:bookmarkEnd w:id="1379"/>
    </w:p>
    <w:p w14:paraId="25EC5C6B">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eastAsia="Times New Roman" w:cs="Times New Roman"/>
          <w:color w:val="auto"/>
          <w:highlight w:val="none"/>
          <w:lang w:val="en-US" w:bidi="en-US"/>
        </w:rPr>
      </w:pPr>
      <w:r>
        <w:rPr>
          <w:rStyle w:val="32"/>
          <w:rFonts w:hint="eastAsia" w:ascii="Times New Roman" w:hAnsi="Times New Roman" w:eastAsia="Times New Roman" w:cs="Times New Roman"/>
          <w:b/>
          <w:bCs/>
          <w:color w:val="auto"/>
          <w:highlight w:val="none"/>
          <w:lang w:val="en-US" w:eastAsia="zh-CN" w:bidi="en-US"/>
        </w:rPr>
        <w:t>（4）</w:t>
      </w:r>
      <w:r>
        <w:rPr>
          <w:rStyle w:val="32"/>
          <w:rFonts w:hint="eastAsia" w:ascii="Times New Roman" w:hAnsi="Times New Roman" w:eastAsia="Times New Roman" w:cs="Times New Roman"/>
          <w:b/>
          <w:bCs/>
          <w:color w:val="auto"/>
          <w:highlight w:val="none"/>
          <w:lang w:val="en-US" w:bidi="en-US"/>
        </w:rPr>
        <w:t>发包人应根据核准的承包人每月上报的已完工程量，将劳务人员工资按已完工程量的20%向承包人开设的农民工工资支付专用账户拨付农民工工资。农民工工资专户必须专款专用，除发放农民工工资外，不得用于其他用途，不能提取现金。发包人未按规定按时足额将农民工工资存入农民工工资支付专用账户，造成拖欠问题的，负主要责任；承包人未按规定支付农民工工资，造成拖欠问题的，负主要责任。</w:t>
      </w:r>
    </w:p>
    <w:p w14:paraId="51DBE149">
      <w:pPr>
        <w:pStyle w:val="102"/>
        <w:pageBreakBefore w:val="0"/>
        <w:tabs>
          <w:tab w:val="left" w:pos="8227"/>
        </w:tabs>
        <w:kinsoku/>
        <w:wordWrap/>
        <w:overflowPunct/>
        <w:topLinePunct w:val="0"/>
        <w:autoSpaceDE/>
        <w:autoSpaceDN/>
        <w:bidi w:val="0"/>
        <w:adjustRightInd/>
        <w:snapToGrid/>
        <w:spacing w:after="180" w:line="422" w:lineRule="exact"/>
        <w:ind w:firstLine="460"/>
        <w:textAlignment w:val="auto"/>
        <w:outlineLvl w:val="9"/>
        <w:rPr>
          <w:rStyle w:val="32"/>
          <w:rFonts w:hint="eastAsia" w:ascii="Times New Roman" w:hAnsi="Times New Roman" w:eastAsia="Times New Roman" w:cs="Times New Roman"/>
          <w:color w:val="auto"/>
          <w:highlight w:val="none"/>
          <w:lang w:val="en-US" w:bidi="en-US"/>
        </w:rPr>
      </w:pPr>
      <w:bookmarkStart w:id="1380" w:name="_Toc6156"/>
      <w:r>
        <w:rPr>
          <w:rStyle w:val="32"/>
          <w:rFonts w:hint="eastAsia" w:ascii="Times New Roman" w:hAnsi="Times New Roman" w:eastAsia="Times New Roman" w:cs="Times New Roman"/>
          <w:color w:val="auto"/>
          <w:highlight w:val="none"/>
          <w:lang w:val="en-US" w:bidi="en-US"/>
        </w:rPr>
        <w:t>2.8.2其他未尽事宜待签订施工合同时双方再协商。</w:t>
      </w:r>
      <w:bookmarkEnd w:id="1380"/>
    </w:p>
    <w:p w14:paraId="777A67E8">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381" w:name="_Toc256000184"/>
      <w:bookmarkStart w:id="1382" w:name="_Toc256000261"/>
      <w:r>
        <w:rPr>
          <w:rStyle w:val="32"/>
          <w:rFonts w:hint="eastAsia" w:cs="Times New Roman"/>
          <w:color w:val="auto"/>
          <w:highlight w:val="none"/>
          <w:lang w:eastAsia="zh-CN"/>
        </w:rPr>
        <w:t>3. 监理人</w:t>
      </w:r>
      <w:bookmarkEnd w:id="1371"/>
      <w:bookmarkEnd w:id="1372"/>
      <w:bookmarkEnd w:id="1373"/>
      <w:bookmarkEnd w:id="1374"/>
      <w:bookmarkEnd w:id="1381"/>
      <w:bookmarkEnd w:id="1382"/>
    </w:p>
    <w:p w14:paraId="124803A4">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383" w:name="bookmark1616"/>
      <w:bookmarkStart w:id="1384" w:name="_Toc256000185"/>
      <w:bookmarkStart w:id="1385" w:name="_Toc256000262"/>
      <w:r>
        <w:rPr>
          <w:rStyle w:val="32"/>
          <w:rFonts w:ascii="宋体" w:hAnsi="宋体" w:cs="Times New Roman"/>
          <w:color w:val="auto"/>
          <w:sz w:val="24"/>
          <w:szCs w:val="24"/>
          <w:highlight w:val="none"/>
          <w:lang w:eastAsia="zh-CN" w:bidi="en-US"/>
        </w:rPr>
        <w:t>3.1监理人的职责和权力</w:t>
      </w:r>
      <w:bookmarkEnd w:id="1375"/>
      <w:bookmarkEnd w:id="1376"/>
      <w:bookmarkEnd w:id="1383"/>
      <w:bookmarkEnd w:id="1384"/>
      <w:bookmarkEnd w:id="1385"/>
    </w:p>
    <w:p w14:paraId="708AE3A3">
      <w:pPr>
        <w:pStyle w:val="102"/>
        <w:pageBreakBefore w:val="0"/>
        <w:kinsoku/>
        <w:wordWrap/>
        <w:overflowPunct/>
        <w:topLinePunct w:val="0"/>
        <w:autoSpaceDE/>
        <w:autoSpaceDN/>
        <w:bidi w:val="0"/>
        <w:adjustRightInd/>
        <w:snapToGrid/>
        <w:spacing w:after="280" w:line="353"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3.1.1</w:t>
      </w:r>
      <w:r>
        <w:rPr>
          <w:rStyle w:val="32"/>
          <w:color w:val="auto"/>
          <w:highlight w:val="none"/>
        </w:rPr>
        <w:t>监理人须根据发包人事先批准的权力范围行使权力，发包人批准的权力范围： 按本工程委托监理合同。</w:t>
      </w:r>
    </w:p>
    <w:p w14:paraId="1269466B">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386" w:name="bookmark1619"/>
      <w:bookmarkEnd w:id="1386"/>
      <w:bookmarkStart w:id="1387" w:name="bookmark1620"/>
      <w:bookmarkStart w:id="1388" w:name="_Toc4014"/>
      <w:bookmarkStart w:id="1389" w:name="_Toc23429"/>
      <w:bookmarkStart w:id="1390" w:name="_Toc256000186"/>
      <w:bookmarkStart w:id="1391" w:name="_Toc256000263"/>
      <w:bookmarkStart w:id="1392" w:name="_Toc239"/>
      <w:bookmarkStart w:id="1393" w:name="bookmark1617"/>
      <w:bookmarkStart w:id="1394" w:name="bookmark1618"/>
      <w:r>
        <w:rPr>
          <w:rStyle w:val="32"/>
          <w:rFonts w:hint="eastAsia" w:cs="Times New Roman"/>
          <w:color w:val="auto"/>
          <w:highlight w:val="none"/>
          <w:lang w:eastAsia="zh-CN"/>
        </w:rPr>
        <w:t>4. 承包人</w:t>
      </w:r>
      <w:bookmarkEnd w:id="1387"/>
      <w:bookmarkEnd w:id="1388"/>
      <w:bookmarkEnd w:id="1389"/>
      <w:bookmarkEnd w:id="1390"/>
      <w:bookmarkEnd w:id="1391"/>
      <w:bookmarkEnd w:id="1392"/>
    </w:p>
    <w:p w14:paraId="22C486E9">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395" w:name="bookmark1621"/>
      <w:bookmarkStart w:id="1396" w:name="_Toc256000264"/>
      <w:bookmarkStart w:id="1397" w:name="_Toc256000187"/>
      <w:r>
        <w:rPr>
          <w:rStyle w:val="32"/>
          <w:rFonts w:ascii="宋体" w:hAnsi="宋体" w:cs="Times New Roman"/>
          <w:color w:val="auto"/>
          <w:sz w:val="24"/>
          <w:szCs w:val="24"/>
          <w:highlight w:val="none"/>
          <w:lang w:eastAsia="zh-CN" w:bidi="en-US"/>
        </w:rPr>
        <w:t>4.1承包人的一般义务</w:t>
      </w:r>
      <w:bookmarkEnd w:id="1393"/>
      <w:bookmarkEnd w:id="1394"/>
      <w:bookmarkEnd w:id="1395"/>
      <w:bookmarkEnd w:id="1396"/>
      <w:bookmarkEnd w:id="1397"/>
    </w:p>
    <w:p w14:paraId="542ACDCD">
      <w:pPr>
        <w:pStyle w:val="101"/>
        <w:pageBreakBefore w:val="0"/>
        <w:kinsoku/>
        <w:wordWrap/>
        <w:overflowPunct/>
        <w:topLinePunct w:val="0"/>
        <w:autoSpaceDE/>
        <w:autoSpaceDN/>
        <w:bidi w:val="0"/>
        <w:adjustRightInd/>
        <w:snapToGrid/>
        <w:ind w:firstLine="400" w:firstLineChars="200"/>
        <w:textAlignment w:val="auto"/>
        <w:outlineLvl w:val="9"/>
        <w:rPr>
          <w:rStyle w:val="32"/>
          <w:rFonts w:ascii="Times New Roman" w:hAnsi="Times New Roman" w:eastAsia="宋体" w:cs="Times New Roman"/>
          <w:color w:val="auto"/>
          <w:sz w:val="20"/>
          <w:szCs w:val="20"/>
          <w:highlight w:val="none"/>
          <w:lang w:eastAsia="zh-CN"/>
        </w:rPr>
      </w:pPr>
      <w:bookmarkStart w:id="1398" w:name="bookmark1622"/>
      <w:bookmarkEnd w:id="1398"/>
      <w:r>
        <w:rPr>
          <w:rStyle w:val="32"/>
          <w:rFonts w:ascii="Times New Roman" w:hAnsi="Times New Roman" w:eastAsia="宋体" w:cs="Times New Roman"/>
          <w:color w:val="auto"/>
          <w:sz w:val="20"/>
          <w:szCs w:val="20"/>
          <w:highlight w:val="none"/>
          <w:lang w:eastAsia="zh-CN"/>
        </w:rPr>
        <w:t>4.1.10其他义务</w:t>
      </w:r>
    </w:p>
    <w:p w14:paraId="62AABA9C">
      <w:pPr>
        <w:pStyle w:val="102"/>
        <w:pageBreakBefore w:val="0"/>
        <w:kinsoku/>
        <w:wordWrap/>
        <w:overflowPunct/>
        <w:topLinePunct w:val="0"/>
        <w:autoSpaceDE/>
        <w:autoSpaceDN/>
        <w:bidi w:val="0"/>
        <w:adjustRightInd/>
        <w:snapToGrid/>
        <w:spacing w:line="360" w:lineRule="exact"/>
        <w:ind w:firstLine="442"/>
        <w:textAlignment w:val="auto"/>
        <w:outlineLvl w:val="9"/>
        <w:rPr>
          <w:rStyle w:val="32"/>
          <w:color w:val="auto"/>
          <w:highlight w:val="none"/>
        </w:rPr>
      </w:pPr>
      <w:bookmarkStart w:id="1399" w:name="bookmark1623"/>
      <w:bookmarkEnd w:id="1399"/>
      <w:r>
        <w:rPr>
          <w:rStyle w:val="32"/>
          <w:rFonts w:hint="eastAsia"/>
          <w:color w:val="auto"/>
          <w:highlight w:val="none"/>
        </w:rPr>
        <w:t>（一）</w:t>
      </w:r>
      <w:r>
        <w:rPr>
          <w:rStyle w:val="32"/>
          <w:color w:val="auto"/>
          <w:highlight w:val="none"/>
        </w:rPr>
        <w:t>办理有关保险。</w:t>
      </w:r>
    </w:p>
    <w:p w14:paraId="1C036753">
      <w:pPr>
        <w:pStyle w:val="102"/>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color w:val="auto"/>
          <w:highlight w:val="none"/>
        </w:rPr>
        <w:t>按照《建筑法》规定，必须在工程开工前，为参加本合同工程现场施工的所有作业人员及管理人员，包括参加工程建设的管理人员、监理人员、施工人员(含民工)办理工伤保险，并缴纳工伤保险费。保险期限自投保之日(工程开工之日)起至工程竣工验收时止, 时间上涵盖施工全过程的任一时段。</w:t>
      </w:r>
    </w:p>
    <w:p w14:paraId="266A5438">
      <w:pPr>
        <w:pStyle w:val="102"/>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color w:val="auto"/>
          <w:highlight w:val="none"/>
        </w:rPr>
        <w:t>按照《建筑法》规定，鼓励为从事危险作业的职工办理意外伤害保险。</w:t>
      </w:r>
    </w:p>
    <w:p w14:paraId="0DB0EBE6">
      <w:pPr>
        <w:pStyle w:val="102"/>
        <w:pageBreakBefore w:val="0"/>
        <w:tabs>
          <w:tab w:val="left" w:pos="1028"/>
        </w:tabs>
        <w:kinsoku/>
        <w:wordWrap/>
        <w:overflowPunct/>
        <w:topLinePunct w:val="0"/>
        <w:autoSpaceDE/>
        <w:autoSpaceDN/>
        <w:bidi w:val="0"/>
        <w:adjustRightInd/>
        <w:snapToGrid/>
        <w:spacing w:line="360" w:lineRule="exact"/>
        <w:ind w:firstLine="200" w:firstLineChars="100"/>
        <w:jc w:val="both"/>
        <w:textAlignment w:val="auto"/>
        <w:outlineLvl w:val="9"/>
        <w:rPr>
          <w:rStyle w:val="32"/>
          <w:color w:val="auto"/>
          <w:highlight w:val="none"/>
        </w:rPr>
      </w:pPr>
      <w:bookmarkStart w:id="1400" w:name="bookmark1624"/>
      <w:bookmarkEnd w:id="1400"/>
      <w:r>
        <w:rPr>
          <w:rStyle w:val="32"/>
          <w:rFonts w:hint="eastAsia"/>
          <w:color w:val="auto"/>
          <w:highlight w:val="none"/>
        </w:rPr>
        <w:t>（二）</w:t>
      </w:r>
      <w:r>
        <w:rPr>
          <w:rStyle w:val="32"/>
          <w:color w:val="auto"/>
          <w:highlight w:val="none"/>
        </w:rPr>
        <w:t>执行广西壮族自治区解决企业拖欠工资问题联席会议关于保障农民工工资支付的有关规定，确保农民工工资无拖欠。</w:t>
      </w:r>
    </w:p>
    <w:p w14:paraId="10423702">
      <w:pPr>
        <w:pStyle w:val="102"/>
        <w:pageBreakBefore w:val="0"/>
        <w:kinsoku/>
        <w:wordWrap/>
        <w:overflowPunct/>
        <w:topLinePunct w:val="0"/>
        <w:autoSpaceDE/>
        <w:autoSpaceDN/>
        <w:bidi w:val="0"/>
        <w:adjustRightInd/>
        <w:snapToGrid/>
        <w:spacing w:line="360" w:lineRule="exact"/>
        <w:ind w:firstLine="442"/>
        <w:jc w:val="both"/>
        <w:textAlignment w:val="auto"/>
        <w:outlineLvl w:val="9"/>
        <w:rPr>
          <w:rStyle w:val="32"/>
          <w:color w:val="auto"/>
          <w:highlight w:val="none"/>
        </w:rPr>
      </w:pPr>
      <w:r>
        <w:rPr>
          <w:rStyle w:val="32"/>
          <w:color w:val="auto"/>
          <w:highlight w:val="none"/>
        </w:rPr>
        <w:t>依法与招用的农民工签订并履行劳动合同，建立职工名册，及时办理劳动用工备案。实行农民工工资专用账户管理、银行代发农民工工资制度和农民工工资保证金制度。</w:t>
      </w:r>
    </w:p>
    <w:p w14:paraId="367B91DF">
      <w:pPr>
        <w:pStyle w:val="102"/>
        <w:pageBreakBefore w:val="0"/>
        <w:tabs>
          <w:tab w:val="left" w:pos="1031"/>
        </w:tabs>
        <w:kinsoku/>
        <w:wordWrap/>
        <w:overflowPunct/>
        <w:topLinePunct w:val="0"/>
        <w:autoSpaceDE/>
        <w:autoSpaceDN/>
        <w:bidi w:val="0"/>
        <w:adjustRightInd/>
        <w:snapToGrid/>
        <w:spacing w:line="360" w:lineRule="exact"/>
        <w:ind w:firstLine="200" w:firstLineChars="100"/>
        <w:jc w:val="both"/>
        <w:textAlignment w:val="auto"/>
        <w:outlineLvl w:val="9"/>
        <w:rPr>
          <w:rStyle w:val="32"/>
          <w:color w:val="auto"/>
          <w:highlight w:val="none"/>
        </w:rPr>
      </w:pPr>
      <w:bookmarkStart w:id="1401" w:name="bookmark1625"/>
      <w:bookmarkEnd w:id="1401"/>
      <w:r>
        <w:rPr>
          <w:rStyle w:val="32"/>
          <w:rFonts w:hint="eastAsia"/>
          <w:color w:val="auto"/>
          <w:highlight w:val="none"/>
        </w:rPr>
        <w:t>（三）</w:t>
      </w:r>
      <w:r>
        <w:rPr>
          <w:rStyle w:val="32"/>
          <w:color w:val="auto"/>
          <w:highlight w:val="none"/>
        </w:rPr>
        <w:t>工程施工的义务和责任</w:t>
      </w:r>
    </w:p>
    <w:p w14:paraId="430CC698">
      <w:pPr>
        <w:pStyle w:val="102"/>
        <w:pageBreakBefore w:val="0"/>
        <w:numPr>
          <w:ilvl w:val="0"/>
          <w:numId w:val="42"/>
        </w:numPr>
        <w:tabs>
          <w:tab w:val="left" w:pos="920"/>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02" w:name="bookmark1626"/>
      <w:bookmarkEnd w:id="1402"/>
      <w:r>
        <w:rPr>
          <w:rStyle w:val="32"/>
          <w:color w:val="auto"/>
          <w:highlight w:val="none"/>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246B6256">
      <w:pPr>
        <w:pStyle w:val="102"/>
        <w:pageBreakBefore w:val="0"/>
        <w:numPr>
          <w:ilvl w:val="0"/>
          <w:numId w:val="42"/>
        </w:numPr>
        <w:tabs>
          <w:tab w:val="left" w:pos="918"/>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03" w:name="bookmark1627"/>
      <w:bookmarkEnd w:id="1403"/>
      <w:r>
        <w:rPr>
          <w:rStyle w:val="32"/>
          <w:color w:val="auto"/>
          <w:highlight w:val="none"/>
        </w:rPr>
        <w:t>除民房外，承包人应按监理人的指示负责拆除、清理已征用土地上的杂物、灌木、 树木、树根、杂草等。</w:t>
      </w:r>
    </w:p>
    <w:p w14:paraId="14DF3028">
      <w:pPr>
        <w:pStyle w:val="102"/>
        <w:pageBreakBefore w:val="0"/>
        <w:numPr>
          <w:ilvl w:val="0"/>
          <w:numId w:val="42"/>
        </w:numPr>
        <w:tabs>
          <w:tab w:val="left" w:pos="920"/>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04" w:name="bookmark1628"/>
      <w:bookmarkEnd w:id="1404"/>
      <w:r>
        <w:rPr>
          <w:rStyle w:val="32"/>
          <w:color w:val="auto"/>
          <w:highlight w:val="none"/>
        </w:rPr>
        <w:t>承包人应充分理解有一些设施(如施工道路、桥梁)可能会有其它人和单位使用通行，在使用过程中发生干扰时，应立即通知监理人并服从监理人的决定。</w:t>
      </w:r>
    </w:p>
    <w:p w14:paraId="39002F31">
      <w:pPr>
        <w:pStyle w:val="102"/>
        <w:pageBreakBefore w:val="0"/>
        <w:numPr>
          <w:ilvl w:val="0"/>
          <w:numId w:val="42"/>
        </w:numPr>
        <w:tabs>
          <w:tab w:val="left" w:pos="922"/>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05" w:name="bookmark1629"/>
      <w:bookmarkEnd w:id="1405"/>
      <w:r>
        <w:rPr>
          <w:rStyle w:val="32"/>
          <w:color w:val="auto"/>
          <w:highlight w:val="none"/>
        </w:rPr>
        <w:t>承包人应为监理人、发包人现场代表对施工现场的检查监督提供必要的配合，并对这种配合对施工的影响应有充分的考虑。</w:t>
      </w:r>
    </w:p>
    <w:p w14:paraId="1843D5FA">
      <w:pPr>
        <w:pStyle w:val="102"/>
        <w:pageBreakBefore w:val="0"/>
        <w:numPr>
          <w:ilvl w:val="0"/>
          <w:numId w:val="42"/>
        </w:numPr>
        <w:tabs>
          <w:tab w:val="left" w:pos="915"/>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06" w:name="bookmark1630"/>
      <w:bookmarkEnd w:id="1406"/>
      <w:r>
        <w:rPr>
          <w:rStyle w:val="32"/>
          <w:color w:val="auto"/>
          <w:highlight w:val="none"/>
        </w:rPr>
        <w:t>工程竣工后，承包人应按监理人的指示清理施工现场直至监理人、发包人满意 为止。</w:t>
      </w:r>
    </w:p>
    <w:p w14:paraId="6A404C68">
      <w:pPr>
        <w:pStyle w:val="102"/>
        <w:pageBreakBefore w:val="0"/>
        <w:numPr>
          <w:ilvl w:val="0"/>
          <w:numId w:val="42"/>
        </w:numPr>
        <w:tabs>
          <w:tab w:val="left" w:pos="920"/>
        </w:tabs>
        <w:kinsoku/>
        <w:wordWrap/>
        <w:overflowPunct/>
        <w:topLinePunct w:val="0"/>
        <w:autoSpaceDE/>
        <w:autoSpaceDN/>
        <w:bidi w:val="0"/>
        <w:adjustRightInd/>
        <w:snapToGrid/>
        <w:spacing w:line="362" w:lineRule="exact"/>
        <w:ind w:firstLine="440"/>
        <w:jc w:val="both"/>
        <w:textAlignment w:val="auto"/>
        <w:outlineLvl w:val="9"/>
        <w:rPr>
          <w:rStyle w:val="32"/>
          <w:color w:val="auto"/>
          <w:highlight w:val="none"/>
        </w:rPr>
      </w:pPr>
      <w:bookmarkStart w:id="1407" w:name="bookmark1631"/>
      <w:bookmarkEnd w:id="1407"/>
      <w:r>
        <w:rPr>
          <w:rStyle w:val="32"/>
          <w:color w:val="auto"/>
          <w:highlight w:val="none"/>
        </w:rPr>
        <w:t>对上述(</w:t>
      </w:r>
      <w:r>
        <w:rPr>
          <w:rStyle w:val="32"/>
          <w:rFonts w:ascii="Times New Roman" w:hAnsi="Times New Roman" w:eastAsia="Times New Roman" w:cs="Times New Roman"/>
          <w:color w:val="auto"/>
          <w:highlight w:val="none"/>
        </w:rPr>
        <w:t>1) ~ (5)</w:t>
      </w:r>
      <w:r>
        <w:rPr>
          <w:rStyle w:val="32"/>
          <w:color w:val="auto"/>
          <w:highlight w:val="none"/>
        </w:rPr>
        <w:t>项工作，费用已包括在有关单价和总价中，发包人不再另行支付由此所发生的一切费用。</w:t>
      </w:r>
    </w:p>
    <w:p w14:paraId="20F8D6D4">
      <w:pPr>
        <w:pStyle w:val="102"/>
        <w:pageBreakBefore w:val="0"/>
        <w:numPr>
          <w:ilvl w:val="0"/>
          <w:numId w:val="42"/>
        </w:numPr>
        <w:tabs>
          <w:tab w:val="left" w:pos="922"/>
        </w:tabs>
        <w:kinsoku/>
        <w:wordWrap/>
        <w:overflowPunct/>
        <w:topLinePunct w:val="0"/>
        <w:autoSpaceDE/>
        <w:autoSpaceDN/>
        <w:bidi w:val="0"/>
        <w:adjustRightInd/>
        <w:snapToGrid/>
        <w:spacing w:after="80" w:line="362" w:lineRule="exact"/>
        <w:ind w:firstLine="440"/>
        <w:jc w:val="both"/>
        <w:textAlignment w:val="auto"/>
        <w:outlineLvl w:val="9"/>
        <w:rPr>
          <w:rStyle w:val="32"/>
          <w:color w:val="auto"/>
          <w:highlight w:val="none"/>
        </w:rPr>
      </w:pPr>
      <w:bookmarkStart w:id="1408" w:name="bookmark1632"/>
      <w:bookmarkEnd w:id="1408"/>
      <w:r>
        <w:rPr>
          <w:rStyle w:val="32"/>
          <w:color w:val="auto"/>
          <w:highlight w:val="none"/>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3FAB05B3">
      <w:pPr>
        <w:pStyle w:val="102"/>
        <w:pageBreakBefore w:val="0"/>
        <w:numPr>
          <w:ilvl w:val="0"/>
          <w:numId w:val="42"/>
        </w:numPr>
        <w:tabs>
          <w:tab w:val="left" w:pos="924"/>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09" w:name="bookmark1633"/>
      <w:bookmarkEnd w:id="1409"/>
      <w:r>
        <w:rPr>
          <w:rStyle w:val="32"/>
          <w:color w:val="auto"/>
          <w:highlight w:val="none"/>
        </w:rPr>
        <w:t>承包人必须文明、安全施工，在施工期间发生的一切人员伤亡和财产损失等责任事故和所发生的一切费用概由承包人承担。</w:t>
      </w:r>
    </w:p>
    <w:p w14:paraId="392B2EF0">
      <w:pPr>
        <w:pStyle w:val="102"/>
        <w:pageBreakBefore w:val="0"/>
        <w:numPr>
          <w:ilvl w:val="0"/>
          <w:numId w:val="42"/>
        </w:numPr>
        <w:tabs>
          <w:tab w:val="left" w:pos="924"/>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0" w:name="bookmark1634"/>
      <w:bookmarkEnd w:id="1410"/>
      <w:r>
        <w:rPr>
          <w:rStyle w:val="32"/>
          <w:color w:val="auto"/>
          <w:highlight w:val="none"/>
        </w:rPr>
        <w:t>按照发包人的要求做好安全文明宣传、监督检查宣传等工作，相关费用由承包人承担。</w:t>
      </w:r>
    </w:p>
    <w:p w14:paraId="2F3FEC8A">
      <w:pPr>
        <w:pStyle w:val="102"/>
        <w:pageBreakBefore w:val="0"/>
        <w:numPr>
          <w:ilvl w:val="0"/>
          <w:numId w:val="42"/>
        </w:numPr>
        <w:tabs>
          <w:tab w:val="left" w:pos="924"/>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1" w:name="bookmark1635"/>
      <w:bookmarkEnd w:id="1411"/>
      <w:r>
        <w:rPr>
          <w:rStyle w:val="32"/>
          <w:color w:val="auto"/>
          <w:highlight w:val="none"/>
        </w:rPr>
        <w:t>承包人应按约定时间和要求，完成以下工作：</w:t>
      </w:r>
    </w:p>
    <w:p w14:paraId="0FB2E375">
      <w:pPr>
        <w:pStyle w:val="102"/>
        <w:pageBreakBefore w:val="0"/>
        <w:numPr>
          <w:ilvl w:val="0"/>
          <w:numId w:val="43"/>
        </w:numPr>
        <w:tabs>
          <w:tab w:val="left" w:pos="839"/>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2" w:name="bookmark1636"/>
      <w:bookmarkEnd w:id="1412"/>
      <w:r>
        <w:rPr>
          <w:rStyle w:val="32"/>
          <w:color w:val="auto"/>
          <w:highlight w:val="none"/>
        </w:rPr>
        <w:t>按时提交施工组织设计、单位工程的施工方案。</w:t>
      </w:r>
    </w:p>
    <w:p w14:paraId="2814F685">
      <w:pPr>
        <w:pStyle w:val="102"/>
        <w:pageBreakBefore w:val="0"/>
        <w:numPr>
          <w:ilvl w:val="0"/>
          <w:numId w:val="43"/>
        </w:numPr>
        <w:tabs>
          <w:tab w:val="left" w:pos="839"/>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3" w:name="bookmark1637"/>
      <w:bookmarkEnd w:id="1413"/>
      <w:r>
        <w:rPr>
          <w:rStyle w:val="32"/>
          <w:color w:val="auto"/>
          <w:highlight w:val="none"/>
        </w:rPr>
        <w:t>每月</w:t>
      </w:r>
      <w:r>
        <w:rPr>
          <w:rStyle w:val="32"/>
          <w:rFonts w:ascii="Times New Roman" w:hAnsi="Times New Roman" w:eastAsia="Times New Roman" w:cs="Times New Roman"/>
          <w:color w:val="auto"/>
          <w:highlight w:val="none"/>
        </w:rPr>
        <w:t>25</w:t>
      </w:r>
      <w:r>
        <w:rPr>
          <w:rStyle w:val="32"/>
          <w:color w:val="auto"/>
          <w:highlight w:val="none"/>
        </w:rPr>
        <w:t>日向监理人提交当月工程进度报表及下月进度计划。</w:t>
      </w:r>
    </w:p>
    <w:p w14:paraId="409D66EC">
      <w:pPr>
        <w:pStyle w:val="102"/>
        <w:pageBreakBefore w:val="0"/>
        <w:numPr>
          <w:ilvl w:val="0"/>
          <w:numId w:val="43"/>
        </w:numPr>
        <w:tabs>
          <w:tab w:val="left" w:pos="839"/>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4" w:name="bookmark1638"/>
      <w:bookmarkEnd w:id="1414"/>
      <w:r>
        <w:rPr>
          <w:rStyle w:val="32"/>
          <w:color w:val="auto"/>
          <w:highlight w:val="none"/>
        </w:rPr>
        <w:t>承包人自行负责施工安全保卫工作及夜间施工照明。</w:t>
      </w:r>
    </w:p>
    <w:p w14:paraId="49B0E6ED">
      <w:pPr>
        <w:pStyle w:val="102"/>
        <w:pageBreakBefore w:val="0"/>
        <w:numPr>
          <w:ilvl w:val="0"/>
          <w:numId w:val="43"/>
        </w:numPr>
        <w:tabs>
          <w:tab w:val="left" w:pos="798"/>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5" w:name="bookmark1639"/>
      <w:bookmarkEnd w:id="1415"/>
      <w:r>
        <w:rPr>
          <w:rStyle w:val="32"/>
          <w:color w:val="auto"/>
          <w:highlight w:val="none"/>
        </w:rPr>
        <w:t>需承包人办理的有关施工场地交通、环卫和施工噪音降尘管理等手续：遵守有关部门对施工现场交通、环卫和施工噪音降尘管理规定，如有发生，费用由承包人承担。</w:t>
      </w:r>
    </w:p>
    <w:p w14:paraId="29C1042C">
      <w:pPr>
        <w:pStyle w:val="102"/>
        <w:pageBreakBefore w:val="0"/>
        <w:numPr>
          <w:ilvl w:val="0"/>
          <w:numId w:val="43"/>
        </w:numPr>
        <w:tabs>
          <w:tab w:val="left" w:pos="819"/>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6" w:name="bookmark1640"/>
      <w:bookmarkEnd w:id="1416"/>
      <w:r>
        <w:rPr>
          <w:rStyle w:val="32"/>
          <w:color w:val="auto"/>
          <w:highlight w:val="none"/>
        </w:rPr>
        <w:t>已完工程成品保护的特殊要求及费用承担：已完工工程未交付发包人之前，承包人按协议条款约定负责已完成工程的成品保护工作，保护期间发生损坏，承包人自费予以修复。</w:t>
      </w:r>
    </w:p>
    <w:p w14:paraId="0C33AE57">
      <w:pPr>
        <w:pStyle w:val="102"/>
        <w:pageBreakBefore w:val="0"/>
        <w:numPr>
          <w:ilvl w:val="0"/>
          <w:numId w:val="43"/>
        </w:numPr>
        <w:tabs>
          <w:tab w:val="left" w:pos="814"/>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7" w:name="bookmark1641"/>
      <w:bookmarkEnd w:id="1417"/>
      <w:r>
        <w:rPr>
          <w:rStyle w:val="32"/>
          <w:color w:val="auto"/>
          <w:highlight w:val="none"/>
        </w:rPr>
        <w:t>承包人有义务对施工场地周围管线(含地上及地下)和邻近建筑物、构筑物(含文物保护建筑)、古树名木等进行探明并负责保护。</w:t>
      </w:r>
    </w:p>
    <w:p w14:paraId="5FE943FB">
      <w:pPr>
        <w:pStyle w:val="102"/>
        <w:pageBreakBefore w:val="0"/>
        <w:numPr>
          <w:ilvl w:val="0"/>
          <w:numId w:val="43"/>
        </w:numPr>
        <w:tabs>
          <w:tab w:val="left" w:pos="819"/>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18" w:name="bookmark1642"/>
      <w:bookmarkEnd w:id="1418"/>
      <w:r>
        <w:rPr>
          <w:rStyle w:val="32"/>
          <w:color w:val="auto"/>
          <w:highlight w:val="none"/>
        </w:rPr>
        <w:t>施工场地清洁卫生的要求：按城建卫生有关规定执行，由承包人负责，费用由承包人承担。</w:t>
      </w:r>
    </w:p>
    <w:p w14:paraId="61CF269A">
      <w:pPr>
        <w:pStyle w:val="102"/>
        <w:pageBreakBefore w:val="0"/>
        <w:numPr>
          <w:ilvl w:val="0"/>
          <w:numId w:val="43"/>
        </w:numPr>
        <w:tabs>
          <w:tab w:val="left" w:pos="839"/>
        </w:tabs>
        <w:kinsoku/>
        <w:wordWrap/>
        <w:overflowPunct/>
        <w:topLinePunct w:val="0"/>
        <w:autoSpaceDE/>
        <w:autoSpaceDN/>
        <w:bidi w:val="0"/>
        <w:adjustRightInd/>
        <w:snapToGrid/>
        <w:spacing w:after="120" w:line="359" w:lineRule="exact"/>
        <w:ind w:firstLine="440"/>
        <w:jc w:val="both"/>
        <w:textAlignment w:val="auto"/>
        <w:outlineLvl w:val="9"/>
        <w:rPr>
          <w:rStyle w:val="32"/>
          <w:color w:val="auto"/>
          <w:highlight w:val="none"/>
        </w:rPr>
      </w:pPr>
      <w:bookmarkStart w:id="1419" w:name="bookmark1643"/>
      <w:bookmarkEnd w:id="1419"/>
      <w:r>
        <w:rPr>
          <w:rStyle w:val="32"/>
          <w:color w:val="auto"/>
          <w:highlight w:val="none"/>
        </w:rPr>
        <w:t>承包人承担施工场地、水电及运输通道的修建和维护、清场等费用。</w:t>
      </w:r>
    </w:p>
    <w:p w14:paraId="27E4546F">
      <w:pPr>
        <w:pStyle w:val="102"/>
        <w:pageBreakBefore w:val="0"/>
        <w:numPr>
          <w:ilvl w:val="0"/>
          <w:numId w:val="42"/>
        </w:numPr>
        <w:tabs>
          <w:tab w:val="left" w:pos="1026"/>
        </w:tabs>
        <w:kinsoku/>
        <w:wordWrap/>
        <w:overflowPunct/>
        <w:topLinePunct w:val="0"/>
        <w:autoSpaceDE/>
        <w:autoSpaceDN/>
        <w:bidi w:val="0"/>
        <w:adjustRightInd/>
        <w:snapToGrid/>
        <w:spacing w:line="374" w:lineRule="auto"/>
        <w:ind w:firstLine="440"/>
        <w:jc w:val="both"/>
        <w:textAlignment w:val="auto"/>
        <w:outlineLvl w:val="9"/>
        <w:rPr>
          <w:rStyle w:val="32"/>
          <w:color w:val="auto"/>
          <w:highlight w:val="none"/>
        </w:rPr>
      </w:pPr>
      <w:bookmarkStart w:id="1420" w:name="bookmark1644"/>
      <w:bookmarkEnd w:id="1420"/>
      <w:r>
        <w:rPr>
          <w:rStyle w:val="32"/>
          <w:color w:val="auto"/>
          <w:highlight w:val="none"/>
        </w:rPr>
        <w:t>双方约定承包人应做的其他工作：</w:t>
      </w:r>
    </w:p>
    <w:p w14:paraId="007FA2DF">
      <w:pPr>
        <w:pStyle w:val="102"/>
        <w:pageBreakBefore w:val="0"/>
        <w:numPr>
          <w:ilvl w:val="0"/>
          <w:numId w:val="44"/>
        </w:numPr>
        <w:tabs>
          <w:tab w:val="left" w:pos="819"/>
        </w:tabs>
        <w:kinsoku/>
        <w:wordWrap/>
        <w:overflowPunct/>
        <w:topLinePunct w:val="0"/>
        <w:autoSpaceDE/>
        <w:autoSpaceDN/>
        <w:bidi w:val="0"/>
        <w:adjustRightInd/>
        <w:snapToGrid/>
        <w:spacing w:line="359" w:lineRule="exact"/>
        <w:ind w:firstLine="440"/>
        <w:jc w:val="both"/>
        <w:textAlignment w:val="auto"/>
        <w:outlineLvl w:val="9"/>
        <w:rPr>
          <w:rStyle w:val="32"/>
          <w:color w:val="auto"/>
          <w:highlight w:val="none"/>
        </w:rPr>
      </w:pPr>
      <w:bookmarkStart w:id="1421" w:name="bookmark1645"/>
      <w:bookmarkEnd w:id="1421"/>
      <w:r>
        <w:rPr>
          <w:rStyle w:val="32"/>
          <w:color w:val="auto"/>
          <w:highlight w:val="none"/>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759608CD">
      <w:pPr>
        <w:pStyle w:val="102"/>
        <w:pageBreakBefore w:val="0"/>
        <w:numPr>
          <w:ilvl w:val="0"/>
          <w:numId w:val="44"/>
        </w:numPr>
        <w:tabs>
          <w:tab w:val="left" w:pos="817"/>
        </w:tabs>
        <w:kinsoku/>
        <w:wordWrap/>
        <w:overflowPunct/>
        <w:topLinePunct w:val="0"/>
        <w:autoSpaceDE/>
        <w:autoSpaceDN/>
        <w:bidi w:val="0"/>
        <w:adjustRightInd/>
        <w:snapToGrid/>
        <w:spacing w:after="120" w:line="359" w:lineRule="exact"/>
        <w:ind w:firstLine="440"/>
        <w:jc w:val="both"/>
        <w:textAlignment w:val="auto"/>
        <w:outlineLvl w:val="9"/>
        <w:rPr>
          <w:rStyle w:val="32"/>
          <w:color w:val="auto"/>
          <w:highlight w:val="none"/>
        </w:rPr>
      </w:pPr>
      <w:bookmarkStart w:id="1422" w:name="bookmark1646"/>
      <w:bookmarkEnd w:id="1422"/>
      <w:r>
        <w:rPr>
          <w:rStyle w:val="32"/>
          <w:color w:val="auto"/>
          <w:highlight w:val="none"/>
        </w:rPr>
        <w:t>工程完工后，承包人应按监理人的指示清理施工现场。并在工程完工后</w:t>
      </w:r>
      <w:r>
        <w:rPr>
          <w:rStyle w:val="32"/>
          <w:rFonts w:ascii="Times New Roman" w:hAnsi="Times New Roman" w:eastAsia="Times New Roman" w:cs="Times New Roman"/>
          <w:color w:val="auto"/>
          <w:highlight w:val="none"/>
        </w:rPr>
        <w:t>6</w:t>
      </w:r>
      <w:r>
        <w:rPr>
          <w:rStyle w:val="32"/>
          <w:color w:val="auto"/>
          <w:highlight w:val="none"/>
        </w:rPr>
        <w:t>个月内完成并提交工程竣工资料和工程结算资料。承包人逾期提交，发包人将对承包人的拖延行为视为违约，并按</w:t>
      </w:r>
      <w:r>
        <w:rPr>
          <w:rStyle w:val="32"/>
          <w:rFonts w:ascii="Times New Roman" w:hAnsi="Times New Roman" w:eastAsia="Times New Roman" w:cs="Times New Roman"/>
          <w:color w:val="auto"/>
          <w:highlight w:val="none"/>
        </w:rPr>
        <w:t>100</w:t>
      </w:r>
      <w:r>
        <w:rPr>
          <w:rStyle w:val="32"/>
          <w:color w:val="auto"/>
          <w:highlight w:val="none"/>
        </w:rPr>
        <w:t>。元/天计算违约金，违约金从承包人应得的工程款中扣除，但其最终的累计总金额与各项逾期完工违约金合计不超过合同价格的</w:t>
      </w:r>
      <w:r>
        <w:rPr>
          <w:rStyle w:val="32"/>
          <w:rFonts w:ascii="Times New Roman" w:hAnsi="Times New Roman" w:eastAsia="Times New Roman" w:cs="Times New Roman"/>
          <w:color w:val="auto"/>
          <w:highlight w:val="none"/>
        </w:rPr>
        <w:t>5%</w:t>
      </w:r>
      <w:r>
        <w:rPr>
          <w:rStyle w:val="32"/>
          <w:color w:val="auto"/>
          <w:highlight w:val="none"/>
        </w:rPr>
        <w:t>。</w:t>
      </w:r>
    </w:p>
    <w:p w14:paraId="232AECC2">
      <w:pPr>
        <w:pStyle w:val="102"/>
        <w:pageBreakBefore w:val="0"/>
        <w:numPr>
          <w:ilvl w:val="0"/>
          <w:numId w:val="42"/>
        </w:numPr>
        <w:tabs>
          <w:tab w:val="left" w:pos="1026"/>
        </w:tabs>
        <w:kinsoku/>
        <w:wordWrap/>
        <w:overflowPunct/>
        <w:topLinePunct w:val="0"/>
        <w:autoSpaceDE/>
        <w:autoSpaceDN/>
        <w:bidi w:val="0"/>
        <w:adjustRightInd/>
        <w:snapToGrid/>
        <w:spacing w:line="374" w:lineRule="auto"/>
        <w:ind w:firstLine="440"/>
        <w:jc w:val="both"/>
        <w:textAlignment w:val="auto"/>
        <w:outlineLvl w:val="9"/>
        <w:rPr>
          <w:rStyle w:val="32"/>
          <w:color w:val="auto"/>
          <w:highlight w:val="none"/>
        </w:rPr>
      </w:pPr>
      <w:bookmarkStart w:id="1423" w:name="bookmark1647"/>
      <w:bookmarkEnd w:id="1423"/>
      <w:r>
        <w:rPr>
          <w:rStyle w:val="32"/>
          <w:color w:val="auto"/>
          <w:highlight w:val="none"/>
        </w:rPr>
        <w:t>其他未尽事宜待签订施工合同时双方再协商。</w:t>
      </w:r>
    </w:p>
    <w:p w14:paraId="1FA62BAC">
      <w:pPr>
        <w:pStyle w:val="102"/>
        <w:pageBreakBefore w:val="0"/>
        <w:tabs>
          <w:tab w:val="left" w:pos="1031"/>
        </w:tabs>
        <w:kinsoku/>
        <w:wordWrap/>
        <w:overflowPunct/>
        <w:topLinePunct w:val="0"/>
        <w:autoSpaceDE/>
        <w:autoSpaceDN/>
        <w:bidi w:val="0"/>
        <w:adjustRightInd/>
        <w:snapToGrid/>
        <w:spacing w:line="359" w:lineRule="exact"/>
        <w:ind w:firstLine="400" w:firstLineChars="200"/>
        <w:jc w:val="both"/>
        <w:textAlignment w:val="auto"/>
        <w:outlineLvl w:val="9"/>
        <w:rPr>
          <w:rStyle w:val="32"/>
          <w:color w:val="auto"/>
          <w:highlight w:val="none"/>
        </w:rPr>
      </w:pPr>
      <w:bookmarkStart w:id="1424" w:name="bookmark1648"/>
      <w:bookmarkEnd w:id="1424"/>
      <w:r>
        <w:rPr>
          <w:rStyle w:val="32"/>
          <w:rFonts w:hint="eastAsia"/>
          <w:color w:val="auto"/>
          <w:highlight w:val="none"/>
        </w:rPr>
        <w:t>（四）</w:t>
      </w:r>
      <w:r>
        <w:rPr>
          <w:rStyle w:val="32"/>
          <w:color w:val="auto"/>
          <w:highlight w:val="none"/>
        </w:rPr>
        <w:t>鼓励承包人根据工程建设实际，吸纳建档立卡贫困劳动力参加工程建设。</w:t>
      </w:r>
    </w:p>
    <w:p w14:paraId="7F8C6A15">
      <w:pPr>
        <w:pStyle w:val="102"/>
        <w:pageBreakBefore w:val="0"/>
        <w:tabs>
          <w:tab w:val="left" w:pos="1030"/>
        </w:tabs>
        <w:kinsoku/>
        <w:wordWrap/>
        <w:overflowPunct/>
        <w:topLinePunct w:val="0"/>
        <w:autoSpaceDE/>
        <w:autoSpaceDN/>
        <w:bidi w:val="0"/>
        <w:adjustRightInd/>
        <w:snapToGrid/>
        <w:spacing w:after="120" w:line="359" w:lineRule="exact"/>
        <w:ind w:firstLine="400" w:firstLineChars="200"/>
        <w:jc w:val="both"/>
        <w:textAlignment w:val="auto"/>
        <w:outlineLvl w:val="9"/>
        <w:rPr>
          <w:rStyle w:val="32"/>
          <w:color w:val="auto"/>
          <w:highlight w:val="none"/>
        </w:rPr>
      </w:pPr>
      <w:bookmarkStart w:id="1425" w:name="bookmark1649"/>
      <w:bookmarkEnd w:id="1425"/>
      <w:r>
        <w:rPr>
          <w:rStyle w:val="32"/>
          <w:rFonts w:hint="eastAsia"/>
          <w:color w:val="auto"/>
          <w:highlight w:val="none"/>
        </w:rPr>
        <w:t>（五）</w:t>
      </w:r>
      <w:r>
        <w:rPr>
          <w:rStyle w:val="32"/>
          <w:color w:val="auto"/>
          <w:highlight w:val="none"/>
        </w:rPr>
        <w:t>执行自治区关于松材线虫病防控工作的有关规定，工程建设采用的模板、支撑及脚手架以钢模板、钢支撑为主，</w:t>
      </w:r>
      <w:r>
        <w:rPr>
          <w:rStyle w:val="32"/>
          <w:rFonts w:hint="eastAsia"/>
          <w:color w:val="auto"/>
          <w:highlight w:val="none"/>
        </w:rPr>
        <w:t>不使用松木及其包装材料。</w:t>
      </w:r>
      <w:r>
        <w:rPr>
          <w:rStyle w:val="32"/>
          <w:color w:val="auto"/>
          <w:highlight w:val="none"/>
        </w:rPr>
        <w:t>木质模板及仿材尽量就地采购，避免长途转运。</w:t>
      </w:r>
    </w:p>
    <w:p w14:paraId="1962981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26" w:name="_Toc256000265"/>
      <w:bookmarkStart w:id="1427" w:name="bookmark1650"/>
      <w:bookmarkStart w:id="1428" w:name="bookmark1652"/>
      <w:bookmarkStart w:id="1429" w:name="_Toc256000188"/>
      <w:bookmarkStart w:id="1430" w:name="bookmark1651"/>
      <w:r>
        <w:rPr>
          <w:rStyle w:val="32"/>
          <w:rFonts w:ascii="宋体" w:hAnsi="宋体" w:cs="Times New Roman"/>
          <w:color w:val="auto"/>
          <w:sz w:val="24"/>
          <w:szCs w:val="24"/>
          <w:highlight w:val="none"/>
          <w:lang w:eastAsia="zh-CN" w:bidi="en-US"/>
        </w:rPr>
        <w:t>4.3分包</w:t>
      </w:r>
      <w:bookmarkEnd w:id="1426"/>
      <w:bookmarkEnd w:id="1427"/>
      <w:bookmarkEnd w:id="1428"/>
      <w:bookmarkEnd w:id="1429"/>
      <w:bookmarkEnd w:id="1430"/>
    </w:p>
    <w:p w14:paraId="1B4CCF91">
      <w:pPr>
        <w:pStyle w:val="102"/>
        <w:pageBreakBefore w:val="0"/>
        <w:tabs>
          <w:tab w:val="left" w:pos="5849"/>
        </w:tabs>
        <w:kinsoku/>
        <w:wordWrap/>
        <w:overflowPunct/>
        <w:topLinePunct w:val="0"/>
        <w:autoSpaceDE/>
        <w:autoSpaceDN/>
        <w:bidi w:val="0"/>
        <w:adjustRightInd/>
        <w:snapToGrid/>
        <w:spacing w:line="374" w:lineRule="auto"/>
        <w:ind w:firstLine="420"/>
        <w:jc w:val="both"/>
        <w:textAlignment w:val="auto"/>
        <w:outlineLvl w:val="9"/>
        <w:rPr>
          <w:rStyle w:val="32"/>
          <w:color w:val="auto"/>
          <w:highlight w:val="none"/>
        </w:rPr>
      </w:pPr>
      <w:r>
        <w:rPr>
          <w:rStyle w:val="32"/>
          <w:rFonts w:ascii="Times New Roman" w:hAnsi="Times New Roman" w:cs="Times New Roman"/>
          <w:color w:val="auto"/>
          <w:highlight w:val="none"/>
          <w:lang w:val="en-US"/>
        </w:rPr>
        <w:t>4.3.</w:t>
      </w:r>
      <w:r>
        <w:rPr>
          <w:rStyle w:val="32"/>
          <w:rFonts w:ascii="Times New Roman" w:hAnsi="Times New Roman" w:cs="Times New Roman"/>
          <w:color w:val="auto"/>
          <w:highlight w:val="none"/>
        </w:rPr>
        <w:t>2</w:t>
      </w:r>
      <w:r>
        <w:rPr>
          <w:rStyle w:val="32"/>
          <w:color w:val="auto"/>
          <w:highlight w:val="none"/>
        </w:rPr>
        <w:t>允许承包人分包的工程项目、工作内容与分包金额限额为：</w:t>
      </w:r>
    </w:p>
    <w:p w14:paraId="7A19A568">
      <w:pPr>
        <w:pStyle w:val="103"/>
        <w:pageBreakBefore w:val="0"/>
        <w:numPr>
          <w:ilvl w:val="0"/>
          <w:numId w:val="45"/>
        </w:numPr>
        <w:tabs>
          <w:tab w:val="left" w:pos="924"/>
          <w:tab w:val="left" w:pos="3770"/>
        </w:tabs>
        <w:kinsoku/>
        <w:wordWrap/>
        <w:overflowPunct/>
        <w:topLinePunct w:val="0"/>
        <w:autoSpaceDE/>
        <w:autoSpaceDN/>
        <w:bidi w:val="0"/>
        <w:adjustRightInd/>
        <w:snapToGrid/>
        <w:spacing w:after="0" w:line="359" w:lineRule="exact"/>
        <w:jc w:val="both"/>
        <w:textAlignment w:val="auto"/>
        <w:outlineLvl w:val="9"/>
        <w:rPr>
          <w:rStyle w:val="32"/>
          <w:rFonts w:ascii="Times New Roman" w:hAnsi="Times New Roman" w:cs="Times New Roman"/>
          <w:color w:val="auto"/>
          <w:highlight w:val="none"/>
        </w:rPr>
      </w:pPr>
      <w:bookmarkStart w:id="1431" w:name="bookmark1653"/>
      <w:bookmarkEnd w:id="1431"/>
      <w:r>
        <w:rPr>
          <w:rStyle w:val="32"/>
          <w:rFonts w:ascii="宋体" w:hAnsi="宋体" w:cs="宋体"/>
          <w:color w:val="auto"/>
          <w:highlight w:val="none"/>
          <w:lang w:val="zh-CN" w:eastAsia="zh-CN" w:bidi="zh-CN"/>
        </w:rPr>
        <w:t>工程项目：</w:t>
      </w:r>
      <w:r>
        <w:rPr>
          <w:rStyle w:val="32"/>
          <w:rFonts w:hint="eastAsia" w:ascii="宋体" w:hAnsi="宋体" w:cs="宋体"/>
          <w:color w:val="auto"/>
          <w:highlight w:val="none"/>
          <w:u w:val="single"/>
          <w:lang w:val="zh-CN" w:eastAsia="zh-CN" w:bidi="zh-CN"/>
        </w:rPr>
        <w:t>无</w:t>
      </w:r>
      <w:r>
        <w:rPr>
          <w:rStyle w:val="32"/>
          <w:rFonts w:ascii="Times New Roman" w:hAnsi="Times New Roman" w:cs="Times New Roman"/>
          <w:color w:val="auto"/>
          <w:highlight w:val="none"/>
          <w:u w:val="single"/>
        </w:rPr>
        <w:tab/>
      </w:r>
      <w:r>
        <w:rPr>
          <w:rStyle w:val="32"/>
          <w:rFonts w:hint="eastAsia" w:ascii="Times New Roman" w:hAnsi="Times New Roman" w:cs="Times New Roman"/>
          <w:color w:val="auto"/>
          <w:highlight w:val="none"/>
          <w:lang w:eastAsia="zh-CN"/>
        </w:rPr>
        <w:t>。</w:t>
      </w:r>
    </w:p>
    <w:p w14:paraId="34C085C9">
      <w:pPr>
        <w:pStyle w:val="103"/>
        <w:pageBreakBefore w:val="0"/>
        <w:numPr>
          <w:ilvl w:val="0"/>
          <w:numId w:val="45"/>
        </w:numPr>
        <w:tabs>
          <w:tab w:val="left" w:pos="924"/>
          <w:tab w:val="left" w:pos="3770"/>
        </w:tabs>
        <w:kinsoku/>
        <w:wordWrap/>
        <w:overflowPunct/>
        <w:topLinePunct w:val="0"/>
        <w:autoSpaceDE/>
        <w:autoSpaceDN/>
        <w:bidi w:val="0"/>
        <w:adjustRightInd/>
        <w:snapToGrid/>
        <w:spacing w:after="0" w:line="359" w:lineRule="exact"/>
        <w:jc w:val="both"/>
        <w:textAlignment w:val="auto"/>
        <w:outlineLvl w:val="9"/>
        <w:rPr>
          <w:rStyle w:val="32"/>
          <w:rFonts w:ascii="Times New Roman" w:hAnsi="Times New Roman" w:cs="Times New Roman"/>
          <w:color w:val="auto"/>
          <w:highlight w:val="none"/>
        </w:rPr>
      </w:pPr>
      <w:bookmarkStart w:id="1432" w:name="bookmark1654"/>
      <w:bookmarkEnd w:id="1432"/>
      <w:r>
        <w:rPr>
          <w:rStyle w:val="32"/>
          <w:rFonts w:ascii="宋体" w:hAnsi="宋体" w:cs="宋体"/>
          <w:color w:val="auto"/>
          <w:highlight w:val="none"/>
          <w:lang w:val="zh-CN" w:eastAsia="zh-CN" w:bidi="zh-CN"/>
        </w:rPr>
        <w:t>工作内容：</w:t>
      </w:r>
      <w:r>
        <w:rPr>
          <w:rStyle w:val="32"/>
          <w:rFonts w:hint="eastAsia" w:ascii="宋体" w:hAnsi="宋体" w:cs="宋体"/>
          <w:color w:val="auto"/>
          <w:highlight w:val="none"/>
          <w:u w:val="single"/>
          <w:lang w:val="zh-CN" w:eastAsia="zh-CN" w:bidi="zh-CN"/>
        </w:rPr>
        <w:t>无</w:t>
      </w:r>
      <w:r>
        <w:rPr>
          <w:rStyle w:val="32"/>
          <w:rFonts w:ascii="Times New Roman" w:hAnsi="Times New Roman" w:cs="Times New Roman"/>
          <w:color w:val="auto"/>
          <w:highlight w:val="none"/>
          <w:u w:val="single"/>
        </w:rPr>
        <w:tab/>
      </w:r>
      <w:r>
        <w:rPr>
          <w:rStyle w:val="32"/>
          <w:rFonts w:hint="eastAsia" w:ascii="Times New Roman" w:hAnsi="Times New Roman" w:cs="Times New Roman"/>
          <w:color w:val="auto"/>
          <w:highlight w:val="none"/>
          <w:lang w:eastAsia="zh-CN"/>
        </w:rPr>
        <w:t>。</w:t>
      </w:r>
    </w:p>
    <w:p w14:paraId="4002DF48">
      <w:pPr>
        <w:pStyle w:val="102"/>
        <w:pageBreakBefore w:val="0"/>
        <w:numPr>
          <w:ilvl w:val="0"/>
          <w:numId w:val="45"/>
        </w:numPr>
        <w:tabs>
          <w:tab w:val="left" w:pos="924"/>
          <w:tab w:val="left" w:pos="4190"/>
        </w:tabs>
        <w:kinsoku/>
        <w:wordWrap/>
        <w:overflowPunct/>
        <w:topLinePunct w:val="0"/>
        <w:autoSpaceDE/>
        <w:autoSpaceDN/>
        <w:bidi w:val="0"/>
        <w:adjustRightInd/>
        <w:snapToGrid/>
        <w:spacing w:after="120" w:line="359" w:lineRule="exact"/>
        <w:ind w:firstLine="420"/>
        <w:jc w:val="both"/>
        <w:textAlignment w:val="auto"/>
        <w:outlineLvl w:val="9"/>
        <w:rPr>
          <w:rStyle w:val="32"/>
          <w:color w:val="auto"/>
          <w:highlight w:val="none"/>
        </w:rPr>
      </w:pPr>
      <w:bookmarkStart w:id="1433" w:name="bookmark1655"/>
      <w:bookmarkEnd w:id="1433"/>
      <w:r>
        <w:rPr>
          <w:rStyle w:val="32"/>
          <w:color w:val="auto"/>
          <w:highlight w:val="none"/>
        </w:rPr>
        <w:t>分包金额限额：</w:t>
      </w:r>
      <w:r>
        <w:rPr>
          <w:rStyle w:val="32"/>
          <w:rFonts w:hint="eastAsia" w:ascii="宋体" w:hAnsi="宋体" w:cs="宋体"/>
          <w:color w:val="auto"/>
          <w:highlight w:val="none"/>
          <w:u w:val="single"/>
          <w:lang w:val="zh-CN" w:eastAsia="zh-CN" w:bidi="zh-CN"/>
        </w:rPr>
        <w:t>无</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7F6A992E">
      <w:pPr>
        <w:pStyle w:val="102"/>
        <w:pageBreakBefore w:val="0"/>
        <w:tabs>
          <w:tab w:val="left" w:pos="5849"/>
        </w:tabs>
        <w:kinsoku/>
        <w:wordWrap/>
        <w:overflowPunct/>
        <w:topLinePunct w:val="0"/>
        <w:autoSpaceDE/>
        <w:autoSpaceDN/>
        <w:bidi w:val="0"/>
        <w:adjustRightInd/>
        <w:snapToGrid/>
        <w:spacing w:line="374" w:lineRule="auto"/>
        <w:ind w:firstLine="420"/>
        <w:jc w:val="both"/>
        <w:textAlignment w:val="auto"/>
        <w:outlineLvl w:val="9"/>
        <w:rPr>
          <w:rStyle w:val="32"/>
          <w:rFonts w:hint="eastAsia" w:ascii="Times New Roman" w:hAnsi="Times New Roman" w:cs="Times New Roman"/>
          <w:color w:val="auto"/>
          <w:highlight w:val="none"/>
          <w:lang w:val="en-US" w:bidi="en-US"/>
        </w:rPr>
      </w:pPr>
      <w:r>
        <w:rPr>
          <w:rStyle w:val="32"/>
          <w:rFonts w:ascii="Times New Roman" w:hAnsi="Times New Roman" w:eastAsia="Times New Roman" w:cs="Times New Roman"/>
          <w:color w:val="auto"/>
          <w:highlight w:val="none"/>
          <w:lang w:val="en-US" w:bidi="en-US"/>
        </w:rPr>
        <w:t>4.3.</w:t>
      </w:r>
      <w:r>
        <w:rPr>
          <w:rStyle w:val="32"/>
          <w:rFonts w:ascii="Times New Roman" w:hAnsi="Times New Roman" w:eastAsia="Times New Roman" w:cs="Times New Roman"/>
          <w:color w:val="auto"/>
          <w:highlight w:val="none"/>
        </w:rPr>
        <w:t xml:space="preserve">10 </w:t>
      </w:r>
      <w:r>
        <w:rPr>
          <w:rStyle w:val="32"/>
          <w:color w:val="auto"/>
          <w:highlight w:val="none"/>
        </w:rPr>
        <w:t>分包人项目管理机构的设立：</w:t>
      </w:r>
      <w:r>
        <w:rPr>
          <w:rStyle w:val="32"/>
          <w:rFonts w:hint="eastAsia" w:ascii="宋体" w:hAnsi="宋体" w:cs="宋体"/>
          <w:color w:val="auto"/>
          <w:highlight w:val="none"/>
          <w:u w:val="single"/>
          <w:lang w:val="zh-CN" w:eastAsia="zh-CN" w:bidi="zh-CN"/>
        </w:rPr>
        <w:t>无</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3B848B18">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ascii="宋体" w:hAnsi="宋体" w:cs="Times New Roman"/>
          <w:color w:val="auto"/>
          <w:sz w:val="24"/>
          <w:szCs w:val="24"/>
          <w:highlight w:val="none"/>
          <w:lang w:eastAsia="zh-CN" w:bidi="en-US"/>
        </w:rPr>
      </w:pPr>
      <w:bookmarkStart w:id="1434" w:name="_Toc256000189"/>
      <w:bookmarkStart w:id="1435" w:name="_Toc256000266"/>
      <w:r>
        <w:rPr>
          <w:rStyle w:val="32"/>
          <w:rFonts w:hint="eastAsia" w:ascii="宋体" w:hAnsi="宋体" w:cs="Times New Roman"/>
          <w:color w:val="auto"/>
          <w:sz w:val="24"/>
          <w:szCs w:val="24"/>
          <w:highlight w:val="none"/>
          <w:lang w:eastAsia="zh-CN" w:bidi="en-US"/>
        </w:rPr>
        <w:t>4.5承包人项目负责人</w:t>
      </w:r>
      <w:bookmarkEnd w:id="1434"/>
      <w:bookmarkEnd w:id="1435"/>
    </w:p>
    <w:p w14:paraId="2B59A24A">
      <w:pPr>
        <w:pStyle w:val="102"/>
        <w:pageBreakBefore w:val="0"/>
        <w:tabs>
          <w:tab w:val="left" w:pos="5849"/>
        </w:tabs>
        <w:kinsoku/>
        <w:wordWrap/>
        <w:overflowPunct/>
        <w:topLinePunct w:val="0"/>
        <w:autoSpaceDE/>
        <w:autoSpaceDN/>
        <w:bidi w:val="0"/>
        <w:adjustRightInd/>
        <w:snapToGrid/>
        <w:spacing w:line="374" w:lineRule="auto"/>
        <w:ind w:left="174" w:leftChars="83" w:firstLine="200" w:firstLineChars="100"/>
        <w:jc w:val="both"/>
        <w:textAlignment w:val="auto"/>
        <w:outlineLvl w:val="9"/>
        <w:rPr>
          <w:rStyle w:val="32"/>
          <w:rFonts w:hint="eastAsia" w:ascii="Times New Roman" w:hAnsi="Times New Roman" w:cs="Times New Roman"/>
          <w:color w:val="auto"/>
          <w:highlight w:val="none"/>
          <w:lang w:val="en-US" w:bidi="en-US"/>
        </w:rPr>
      </w:pPr>
      <w:r>
        <w:rPr>
          <w:rStyle w:val="32"/>
          <w:rFonts w:hint="eastAsia" w:ascii="Times New Roman" w:hAnsi="Times New Roman" w:cs="Times New Roman"/>
          <w:color w:val="auto"/>
          <w:highlight w:val="none"/>
          <w:lang w:val="en-US" w:bidi="en-US"/>
        </w:rPr>
        <w:t>4.5.5（1）同一施工项目负责人不能同时在两个及以上的工程项目上担任施工项目负责人</w:t>
      </w:r>
    </w:p>
    <w:p w14:paraId="0F3D20CA">
      <w:pPr>
        <w:pStyle w:val="102"/>
        <w:pageBreakBefore w:val="0"/>
        <w:tabs>
          <w:tab w:val="left" w:pos="5849"/>
        </w:tabs>
        <w:kinsoku/>
        <w:wordWrap/>
        <w:overflowPunct/>
        <w:topLinePunct w:val="0"/>
        <w:autoSpaceDE/>
        <w:autoSpaceDN/>
        <w:bidi w:val="0"/>
        <w:adjustRightInd/>
        <w:snapToGrid/>
        <w:spacing w:line="374" w:lineRule="auto"/>
        <w:ind w:left="174" w:leftChars="83" w:firstLine="200" w:firstLineChars="100"/>
        <w:jc w:val="both"/>
        <w:textAlignment w:val="auto"/>
        <w:outlineLvl w:val="9"/>
        <w:rPr>
          <w:rStyle w:val="32"/>
          <w:rFonts w:hint="eastAsia" w:ascii="Times New Roman" w:hAnsi="Times New Roman" w:cs="Times New Roman"/>
          <w:color w:val="auto"/>
          <w:highlight w:val="none"/>
          <w:lang w:val="en-US" w:bidi="en-US"/>
        </w:rPr>
      </w:pPr>
      <w:r>
        <w:rPr>
          <w:rStyle w:val="32"/>
          <w:rFonts w:hint="eastAsia" w:ascii="Times New Roman" w:hAnsi="Times New Roman" w:cs="Times New Roman"/>
          <w:color w:val="auto"/>
          <w:highlight w:val="none"/>
          <w:lang w:val="en-US" w:bidi="en-US"/>
        </w:rPr>
        <w:t>（2）承包人应保证项目负责人每月在工地现场的时间不少于</w:t>
      </w:r>
      <w:r>
        <w:rPr>
          <w:rStyle w:val="32"/>
          <w:rFonts w:hint="eastAsia" w:ascii="Times New Roman" w:hAnsi="Times New Roman" w:cs="Times New Roman"/>
          <w:color w:val="auto"/>
          <w:highlight w:val="none"/>
          <w:u w:val="single"/>
          <w:lang w:val="en-US" w:eastAsia="zh-CN" w:bidi="en-US"/>
        </w:rPr>
        <w:t>22</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lang w:val="en-US" w:bidi="en-US"/>
        </w:rPr>
        <w:t>日，否则将按每人每天人民币</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u w:val="single"/>
          <w:lang w:val="en-US" w:eastAsia="zh-CN" w:bidi="en-US"/>
        </w:rPr>
        <w:t xml:space="preserve">    </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lang w:val="en-US" w:bidi="en-US"/>
        </w:rPr>
        <w:t xml:space="preserve">元的标准向发包人支付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 </w:t>
      </w:r>
    </w:p>
    <w:p w14:paraId="46A7207F">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ascii="宋体" w:hAnsi="宋体" w:cs="Times New Roman"/>
          <w:color w:val="auto"/>
          <w:sz w:val="24"/>
          <w:szCs w:val="24"/>
          <w:highlight w:val="none"/>
          <w:lang w:eastAsia="zh-CN" w:bidi="en-US"/>
        </w:rPr>
      </w:pPr>
      <w:bookmarkStart w:id="1436" w:name="_Toc256000267"/>
      <w:bookmarkStart w:id="1437" w:name="_Toc256000190"/>
      <w:r>
        <w:rPr>
          <w:rStyle w:val="32"/>
          <w:rFonts w:hint="eastAsia" w:ascii="宋体" w:hAnsi="宋体" w:cs="Times New Roman"/>
          <w:color w:val="auto"/>
          <w:sz w:val="24"/>
          <w:szCs w:val="24"/>
          <w:highlight w:val="none"/>
          <w:lang w:eastAsia="zh-CN" w:bidi="en-US"/>
        </w:rPr>
        <w:t>4.6承包人人员的管理</w:t>
      </w:r>
      <w:bookmarkEnd w:id="1436"/>
      <w:bookmarkEnd w:id="1437"/>
    </w:p>
    <w:p w14:paraId="7E3BD144">
      <w:pPr>
        <w:pStyle w:val="102"/>
        <w:pageBreakBefore w:val="0"/>
        <w:tabs>
          <w:tab w:val="left" w:pos="5849"/>
        </w:tabs>
        <w:kinsoku/>
        <w:wordWrap/>
        <w:overflowPunct/>
        <w:topLinePunct w:val="0"/>
        <w:autoSpaceDE/>
        <w:autoSpaceDN/>
        <w:bidi w:val="0"/>
        <w:adjustRightInd/>
        <w:snapToGrid/>
        <w:spacing w:line="374" w:lineRule="auto"/>
        <w:ind w:firstLine="400" w:firstLineChars="200"/>
        <w:jc w:val="both"/>
        <w:textAlignment w:val="auto"/>
        <w:outlineLvl w:val="9"/>
        <w:rPr>
          <w:rStyle w:val="32"/>
          <w:rFonts w:hint="eastAsia" w:ascii="Times New Roman" w:hAnsi="Times New Roman" w:cs="Times New Roman"/>
          <w:color w:val="auto"/>
          <w:highlight w:val="none"/>
          <w:lang w:val="en-US" w:bidi="en-US"/>
        </w:rPr>
      </w:pPr>
      <w:r>
        <w:rPr>
          <w:rStyle w:val="32"/>
          <w:rFonts w:hint="eastAsia" w:ascii="Times New Roman" w:hAnsi="Times New Roman" w:cs="Times New Roman"/>
          <w:color w:val="auto"/>
          <w:highlight w:val="none"/>
          <w:lang w:val="en-US" w:bidi="en-US"/>
        </w:rPr>
        <w:t>4.6.5承包人应保证项目总工（技术负责人）、专职安全员每月在工地现场的时间不少于</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u w:val="single"/>
          <w:lang w:val="en-US" w:eastAsia="zh-CN" w:bidi="en-US"/>
        </w:rPr>
        <w:t>22</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lang w:val="en-US" w:bidi="en-US"/>
        </w:rPr>
        <w:t>日，否则将按每人每天人民币</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u w:val="single"/>
          <w:lang w:val="en-US" w:eastAsia="zh-CN" w:bidi="en-US"/>
        </w:rPr>
        <w:t>500</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lang w:val="en-US" w:bidi="en-US"/>
        </w:rPr>
        <w:t>元的标准向发包人支付违约金。上述人员因其他事务需短期离开工地，应向发包人请假，经批准后方可离开，离开期间应委托项目相关负责人负责其外出时的日常工作。</w:t>
      </w:r>
    </w:p>
    <w:p w14:paraId="631B2C29">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38" w:name="_Toc256000268"/>
      <w:bookmarkStart w:id="1439" w:name="bookmark1658"/>
      <w:bookmarkStart w:id="1440" w:name="bookmark1657"/>
      <w:bookmarkStart w:id="1441" w:name="_Toc256000191"/>
      <w:bookmarkStart w:id="1442" w:name="bookmark1656"/>
      <w:r>
        <w:rPr>
          <w:rStyle w:val="32"/>
          <w:rFonts w:ascii="宋体" w:hAnsi="宋体" w:cs="Times New Roman"/>
          <w:color w:val="auto"/>
          <w:sz w:val="24"/>
          <w:szCs w:val="24"/>
          <w:highlight w:val="none"/>
          <w:lang w:eastAsia="zh-CN" w:bidi="en-US"/>
        </w:rPr>
        <w:t>4.7撤换承包人项目经理和其他人员</w:t>
      </w:r>
      <w:bookmarkEnd w:id="1438"/>
      <w:bookmarkEnd w:id="1439"/>
      <w:bookmarkEnd w:id="1440"/>
      <w:bookmarkEnd w:id="1441"/>
      <w:bookmarkEnd w:id="1442"/>
    </w:p>
    <w:p w14:paraId="750479EC">
      <w:pPr>
        <w:pStyle w:val="102"/>
        <w:pageBreakBefore w:val="0"/>
        <w:kinsoku/>
        <w:wordWrap/>
        <w:overflowPunct/>
        <w:topLinePunct w:val="0"/>
        <w:autoSpaceDE/>
        <w:autoSpaceDN/>
        <w:bidi w:val="0"/>
        <w:adjustRightInd/>
        <w:snapToGrid/>
        <w:spacing w:line="374" w:lineRule="auto"/>
        <w:ind w:firstLine="420"/>
        <w:jc w:val="both"/>
        <w:textAlignment w:val="auto"/>
        <w:outlineLvl w:val="9"/>
        <w:rPr>
          <w:rStyle w:val="32"/>
          <w:rFonts w:ascii="Times New Roman" w:hAnsi="Times New Roman" w:cs="Times New Roman"/>
          <w:color w:val="auto"/>
          <w:highlight w:val="none"/>
        </w:rPr>
      </w:pPr>
      <w:r>
        <w:rPr>
          <w:rStyle w:val="32"/>
          <w:color w:val="auto"/>
          <w:highlight w:val="none"/>
        </w:rPr>
        <w:t>口</w:t>
      </w:r>
      <w:r>
        <w:rPr>
          <w:rStyle w:val="32"/>
          <w:rFonts w:ascii="Times New Roman" w:hAnsi="Times New Roman" w:eastAsia="Times New Roman" w:cs="Times New Roman"/>
          <w:color w:val="auto"/>
          <w:highlight w:val="none"/>
          <w:lang w:val="en-US" w:bidi="en-US"/>
        </w:rPr>
        <w:t>4.7.</w:t>
      </w:r>
      <w:r>
        <w:rPr>
          <w:rStyle w:val="32"/>
          <w:rFonts w:ascii="Times New Roman" w:hAnsi="Times New Roman" w:eastAsia="Times New Roman" w:cs="Times New Roman"/>
          <w:color w:val="auto"/>
          <w:highlight w:val="none"/>
        </w:rPr>
        <w:t>1</w:t>
      </w:r>
      <w:r>
        <w:rPr>
          <w:rStyle w:val="32"/>
          <w:rFonts w:ascii="Times New Roman" w:hAnsi="Times New Roman" w:cs="Times New Roman"/>
          <w:color w:val="auto"/>
          <w:highlight w:val="none"/>
        </w:rPr>
        <w:t>中标人根据投标文件的承诺，投入本项目的项目经理、技术负责人、质量管理员、安全管理员等主要管理人员中标后不得更换(除因故去世、调离本单位外)。</w:t>
      </w:r>
    </w:p>
    <w:p w14:paraId="152198A7">
      <w:pPr>
        <w:pStyle w:val="102"/>
        <w:pageBreakBefore w:val="0"/>
        <w:kinsoku/>
        <w:wordWrap/>
        <w:overflowPunct/>
        <w:topLinePunct w:val="0"/>
        <w:autoSpaceDE/>
        <w:autoSpaceDN/>
        <w:bidi w:val="0"/>
        <w:adjustRightInd/>
        <w:snapToGrid/>
        <w:spacing w:line="356" w:lineRule="exact"/>
        <w:ind w:firstLine="44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口</w:t>
      </w:r>
      <w:r>
        <w:rPr>
          <w:rStyle w:val="32"/>
          <w:rFonts w:ascii="Times New Roman" w:hAnsi="Times New Roman" w:eastAsia="Times New Roman" w:cs="Times New Roman"/>
          <w:color w:val="auto"/>
          <w:highlight w:val="none"/>
          <w:lang w:val="en-US" w:bidi="en-US"/>
        </w:rPr>
        <w:t>4.7.</w:t>
      </w:r>
      <w:r>
        <w:rPr>
          <w:rStyle w:val="32"/>
          <w:rFonts w:ascii="Times New Roman" w:hAnsi="Times New Roman" w:eastAsia="Times New Roman" w:cs="Times New Roman"/>
          <w:color w:val="auto"/>
          <w:highlight w:val="none"/>
        </w:rPr>
        <w:t>1</w:t>
      </w:r>
      <w:r>
        <w:rPr>
          <w:rStyle w:val="32"/>
          <w:rFonts w:ascii="Times New Roman" w:hAnsi="Times New Roman" w:cs="Times New Roman"/>
          <w:color w:val="auto"/>
          <w:highlight w:val="none"/>
        </w:rPr>
        <w:t>投入本项目的项目经理、技术负责人、质量管理员、专职管理员等主要管理人员中标后，经中标人申请、监理机构审核允许、招标人同意后方可变更为不低于同等条 件的人员。</w:t>
      </w:r>
    </w:p>
    <w:p w14:paraId="13C6D690">
      <w:pPr>
        <w:pStyle w:val="102"/>
        <w:pageBreakBefore w:val="0"/>
        <w:tabs>
          <w:tab w:val="left" w:pos="4711"/>
        </w:tabs>
        <w:kinsoku/>
        <w:wordWrap/>
        <w:overflowPunct/>
        <w:topLinePunct w:val="0"/>
        <w:autoSpaceDE/>
        <w:autoSpaceDN/>
        <w:bidi w:val="0"/>
        <w:adjustRightInd/>
        <w:snapToGrid/>
        <w:spacing w:after="140"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4.7.2除非发包人要求或者批准，承包人擅自更换项目经理、项目副经理、技术负责人、专职安全员的，</w:t>
      </w:r>
      <w:r>
        <w:rPr>
          <w:rStyle w:val="32"/>
          <w:rFonts w:hint="eastAsia" w:ascii="Times New Roman" w:hAnsi="Times New Roman" w:cs="Times New Roman"/>
          <w:color w:val="auto"/>
          <w:highlight w:val="none"/>
          <w:lang w:val="en-US" w:bidi="en-US"/>
        </w:rPr>
        <w:t>将按每人每天人民币</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lang w:val="en-US" w:bidi="en-US"/>
        </w:rPr>
        <w:t>元的标准</w:t>
      </w:r>
      <w:r>
        <w:rPr>
          <w:rStyle w:val="32"/>
          <w:rFonts w:ascii="Times New Roman" w:hAnsi="Times New Roman" w:eastAsia="Times New Roman" w:cs="Times New Roman"/>
          <w:color w:val="auto"/>
          <w:highlight w:val="none"/>
          <w:lang w:val="en-US" w:bidi="en-US"/>
        </w:rPr>
        <w:t>向发包人支付违约金</w:t>
      </w:r>
      <w:r>
        <w:rPr>
          <w:rStyle w:val="32"/>
          <w:color w:val="auto"/>
          <w:highlight w:val="none"/>
        </w:rPr>
        <w:t>，由有关行政监督部门处理后报请有关行政监督部门将结果记入市场主体信用档案，公布不良行为记录。</w:t>
      </w:r>
    </w:p>
    <w:p w14:paraId="237C1837">
      <w:pPr>
        <w:pStyle w:val="102"/>
        <w:pageBreakBefore w:val="0"/>
        <w:tabs>
          <w:tab w:val="left" w:pos="4711"/>
        </w:tabs>
        <w:kinsoku/>
        <w:wordWrap/>
        <w:overflowPunct/>
        <w:topLinePunct w:val="0"/>
        <w:autoSpaceDE/>
        <w:autoSpaceDN/>
        <w:bidi w:val="0"/>
        <w:adjustRightInd/>
        <w:snapToGrid/>
        <w:spacing w:after="140" w:line="356" w:lineRule="exact"/>
        <w:ind w:firstLine="440"/>
        <w:jc w:val="both"/>
        <w:textAlignment w:val="auto"/>
        <w:outlineLvl w:val="9"/>
        <w:rPr>
          <w:rStyle w:val="32"/>
          <w:rFonts w:ascii="Times New Roman" w:hAnsi="Times New Roman" w:cs="Times New Roman"/>
          <w:color w:val="auto"/>
          <w:highlight w:val="none"/>
          <w:lang w:val="en-US"/>
        </w:rPr>
      </w:pPr>
      <w:r>
        <w:rPr>
          <w:rStyle w:val="32"/>
          <w:rFonts w:ascii="Times New Roman" w:hAnsi="Times New Roman" w:cs="Times New Roman"/>
          <w:color w:val="auto"/>
          <w:highlight w:val="none"/>
          <w:lang w:val="en-US"/>
        </w:rPr>
        <w:t>4.7.3尽管承包人已按第4.6.2款的规定派遣了各类人员，</w:t>
      </w:r>
      <w:r>
        <w:rPr>
          <w:rStyle w:val="32"/>
          <w:rFonts w:hint="eastAsia" w:ascii="Times New Roman" w:hAnsi="Times New Roman" w:cs="Times New Roman"/>
          <w:color w:val="auto"/>
          <w:highlight w:val="none"/>
          <w:lang w:val="en-US"/>
        </w:rPr>
        <w:t>但</w:t>
      </w:r>
      <w:r>
        <w:rPr>
          <w:rStyle w:val="32"/>
          <w:rFonts w:ascii="Times New Roman" w:hAnsi="Times New Roman" w:cs="Times New Roman"/>
          <w:color w:val="auto"/>
          <w:highlight w:val="none"/>
          <w:lang w:val="en-US"/>
        </w:rPr>
        <w:t>仍然不能满足合同工程的进度计划或质量要求时，发包人有权要求承包人继续增派（/或更换）人员。承包人在接到通知14天内，增派（和/或更换）的人员</w:t>
      </w:r>
      <w:r>
        <w:rPr>
          <w:rStyle w:val="32"/>
          <w:rFonts w:hint="eastAsia" w:ascii="Times New Roman" w:hAnsi="Times New Roman" w:cs="Times New Roman"/>
          <w:color w:val="auto"/>
          <w:highlight w:val="none"/>
          <w:lang w:val="en-US"/>
        </w:rPr>
        <w:t>要</w:t>
      </w:r>
      <w:r>
        <w:rPr>
          <w:rStyle w:val="32"/>
          <w:rFonts w:ascii="Times New Roman" w:hAnsi="Times New Roman" w:cs="Times New Roman"/>
          <w:color w:val="auto"/>
          <w:highlight w:val="none"/>
          <w:lang w:val="en-US"/>
        </w:rPr>
        <w:t>到岗，否则，承包人应按</w:t>
      </w:r>
      <w:r>
        <w:rPr>
          <w:rStyle w:val="32"/>
          <w:rFonts w:hint="eastAsia" w:ascii="Times New Roman" w:hAnsi="Times New Roman" w:cs="Times New Roman"/>
          <w:color w:val="auto"/>
          <w:highlight w:val="none"/>
          <w:lang w:val="en-US" w:bidi="en-US"/>
        </w:rPr>
        <w:t>每人每天人民币</w:t>
      </w:r>
      <w:r>
        <w:rPr>
          <w:rStyle w:val="32"/>
          <w:rFonts w:hint="eastAsia" w:ascii="Times New Roman" w:hAnsi="Times New Roman" w:cs="Times New Roman"/>
          <w:color w:val="auto"/>
          <w:highlight w:val="none"/>
          <w:u w:val="single"/>
          <w:lang w:val="en-US" w:bidi="en-US"/>
        </w:rPr>
        <w:t xml:space="preserve">      </w:t>
      </w:r>
      <w:r>
        <w:rPr>
          <w:rStyle w:val="32"/>
          <w:rFonts w:hint="eastAsia" w:ascii="Times New Roman" w:hAnsi="Times New Roman" w:cs="Times New Roman"/>
          <w:color w:val="auto"/>
          <w:highlight w:val="none"/>
          <w:lang w:val="en-US" w:bidi="en-US"/>
        </w:rPr>
        <w:t>元</w:t>
      </w:r>
      <w:r>
        <w:rPr>
          <w:rStyle w:val="32"/>
          <w:rFonts w:ascii="Times New Roman" w:hAnsi="Times New Roman" w:cs="Times New Roman"/>
          <w:color w:val="auto"/>
          <w:highlight w:val="none"/>
          <w:lang w:val="en-US"/>
        </w:rPr>
        <w:t>的标准向发包人支付违约金，直至按照发包人的要求增派（和/或更换）的人员到岗为此。</w:t>
      </w:r>
    </w:p>
    <w:p w14:paraId="0F67B63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43" w:name="_Toc256000269"/>
      <w:bookmarkStart w:id="1444" w:name="bookmark1659"/>
      <w:bookmarkStart w:id="1445" w:name="bookmark1660"/>
      <w:bookmarkStart w:id="1446" w:name="_Toc256000192"/>
      <w:bookmarkStart w:id="1447" w:name="bookmark1661"/>
      <w:r>
        <w:rPr>
          <w:rStyle w:val="32"/>
          <w:rFonts w:ascii="宋体" w:hAnsi="宋体" w:cs="Times New Roman"/>
          <w:color w:val="auto"/>
          <w:sz w:val="24"/>
          <w:szCs w:val="24"/>
          <w:highlight w:val="none"/>
          <w:lang w:eastAsia="zh-CN" w:bidi="en-US"/>
        </w:rPr>
        <w:t>4.11不利物质条件</w:t>
      </w:r>
      <w:bookmarkEnd w:id="1443"/>
      <w:bookmarkEnd w:id="1444"/>
      <w:bookmarkEnd w:id="1445"/>
      <w:bookmarkEnd w:id="1446"/>
      <w:bookmarkEnd w:id="1447"/>
    </w:p>
    <w:p w14:paraId="30D89A26">
      <w:pPr>
        <w:pStyle w:val="102"/>
        <w:pageBreakBefore w:val="0"/>
        <w:tabs>
          <w:tab w:val="left" w:pos="8230"/>
        </w:tabs>
        <w:kinsoku/>
        <w:wordWrap/>
        <w:overflowPunct/>
        <w:topLinePunct w:val="0"/>
        <w:autoSpaceDE/>
        <w:autoSpaceDN/>
        <w:bidi w:val="0"/>
        <w:adjustRightInd/>
        <w:snapToGrid/>
        <w:spacing w:line="300" w:lineRule="auto"/>
        <w:ind w:firstLine="4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4.11.1</w:t>
      </w:r>
      <w:r>
        <w:rPr>
          <w:rStyle w:val="32"/>
          <w:color w:val="auto"/>
          <w:highlight w:val="none"/>
        </w:rPr>
        <w:t>不利物质条件的范围：</w:t>
      </w:r>
      <w:r>
        <w:rPr>
          <w:rStyle w:val="32"/>
          <w:rFonts w:hint="eastAsia"/>
          <w:color w:val="auto"/>
          <w:highlight w:val="none"/>
          <w:u w:val="single"/>
        </w:rPr>
        <w:t xml:space="preserve">  </w:t>
      </w:r>
      <w:r>
        <w:rPr>
          <w:rStyle w:val="32"/>
          <w:rFonts w:hint="eastAsia"/>
          <w:color w:val="auto"/>
          <w:highlight w:val="none"/>
          <w:u w:val="single"/>
          <w:lang w:eastAsia="zh-CN"/>
        </w:rPr>
        <w:t>无</w:t>
      </w:r>
      <w:r>
        <w:rPr>
          <w:rStyle w:val="32"/>
          <w:rFonts w:hint="eastAsia"/>
          <w:color w:val="auto"/>
          <w:highlight w:val="none"/>
          <w:u w:val="single"/>
        </w:rPr>
        <w:t xml:space="preserve">   </w:t>
      </w:r>
      <w:r>
        <w:rPr>
          <w:rStyle w:val="32"/>
          <w:rFonts w:hint="eastAsia" w:ascii="Times New Roman" w:hAnsi="Times New Roman" w:cs="Times New Roman"/>
          <w:color w:val="auto"/>
          <w:highlight w:val="none"/>
          <w:lang w:val="en-US" w:bidi="en-US"/>
        </w:rPr>
        <w:t>。</w:t>
      </w:r>
    </w:p>
    <w:p w14:paraId="38813910">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448" w:name="bookmark1664"/>
      <w:bookmarkEnd w:id="1448"/>
      <w:bookmarkStart w:id="1449" w:name="_Toc256000270"/>
      <w:bookmarkStart w:id="1450" w:name="_Toc22685"/>
      <w:bookmarkStart w:id="1451" w:name="bookmark1665"/>
      <w:bookmarkStart w:id="1452" w:name="bookmark1662"/>
      <w:bookmarkStart w:id="1453" w:name="_Toc256000193"/>
      <w:bookmarkStart w:id="1454" w:name="bookmark1663"/>
      <w:r>
        <w:rPr>
          <w:rStyle w:val="32"/>
          <w:rFonts w:hint="eastAsia" w:cs="Times New Roman"/>
          <w:color w:val="auto"/>
          <w:highlight w:val="none"/>
          <w:lang w:eastAsia="zh-CN"/>
        </w:rPr>
        <w:t>5. 材料和工程设备</w:t>
      </w:r>
      <w:bookmarkEnd w:id="1449"/>
      <w:bookmarkEnd w:id="1450"/>
      <w:bookmarkEnd w:id="1451"/>
      <w:bookmarkEnd w:id="1452"/>
      <w:bookmarkEnd w:id="1453"/>
      <w:bookmarkEnd w:id="1454"/>
    </w:p>
    <w:p w14:paraId="0ECDA422">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55" w:name="bookmark1668"/>
      <w:bookmarkStart w:id="1456" w:name="bookmark1666"/>
      <w:bookmarkStart w:id="1457" w:name="_Toc256000271"/>
      <w:bookmarkStart w:id="1458" w:name="bookmark1667"/>
      <w:bookmarkStart w:id="1459" w:name="_Toc256000194"/>
      <w:r>
        <w:rPr>
          <w:rStyle w:val="32"/>
          <w:rFonts w:ascii="宋体" w:hAnsi="宋体" w:cs="Times New Roman"/>
          <w:color w:val="auto"/>
          <w:sz w:val="24"/>
          <w:szCs w:val="24"/>
          <w:highlight w:val="none"/>
          <w:lang w:eastAsia="zh-CN" w:bidi="en-US"/>
        </w:rPr>
        <w:t>5.2发包人提供的材料和工程设备</w:t>
      </w:r>
      <w:bookmarkEnd w:id="1455"/>
      <w:bookmarkEnd w:id="1456"/>
      <w:bookmarkEnd w:id="1457"/>
      <w:bookmarkEnd w:id="1458"/>
      <w:bookmarkEnd w:id="1459"/>
    </w:p>
    <w:p w14:paraId="5D443EEA">
      <w:pPr>
        <w:pStyle w:val="102"/>
        <w:pageBreakBefore w:val="0"/>
        <w:tabs>
          <w:tab w:val="left" w:pos="8230"/>
        </w:tabs>
        <w:kinsoku/>
        <w:wordWrap/>
        <w:overflowPunct/>
        <w:topLinePunct w:val="0"/>
        <w:autoSpaceDE/>
        <w:autoSpaceDN/>
        <w:bidi w:val="0"/>
        <w:adjustRightInd/>
        <w:snapToGrid/>
        <w:spacing w:line="300" w:lineRule="auto"/>
        <w:ind w:firstLine="420"/>
        <w:jc w:val="both"/>
        <w:textAlignment w:val="auto"/>
        <w:outlineLvl w:val="9"/>
        <w:rPr>
          <w:rStyle w:val="32"/>
          <w:rFonts w:hint="eastAsia" w:eastAsia="宋体"/>
          <w:color w:val="auto"/>
          <w:highlight w:val="none"/>
          <w:u w:val="single"/>
          <w:lang w:eastAsia="zh-CN"/>
        </w:rPr>
      </w:pPr>
      <w:bookmarkStart w:id="1460" w:name="bookmark1669"/>
      <w:bookmarkEnd w:id="1460"/>
      <w:r>
        <w:rPr>
          <w:rStyle w:val="32"/>
          <w:rFonts w:ascii="Times New Roman" w:hAnsi="Times New Roman" w:cs="Times New Roman"/>
          <w:color w:val="auto"/>
          <w:highlight w:val="none"/>
        </w:rPr>
        <w:t>5.2.1  发包人提供的材料和工程设备</w:t>
      </w:r>
      <w:r>
        <w:rPr>
          <w:rStyle w:val="32"/>
          <w:color w:val="auto"/>
          <w:highlight w:val="none"/>
        </w:rPr>
        <w:t>：</w:t>
      </w:r>
      <w:r>
        <w:rPr>
          <w:rStyle w:val="32"/>
          <w:rFonts w:hint="eastAsia"/>
          <w:color w:val="auto"/>
          <w:highlight w:val="none"/>
          <w:u w:val="single"/>
          <w:lang w:eastAsia="zh-CN"/>
        </w:rPr>
        <w:t>无。</w:t>
      </w:r>
    </w:p>
    <w:p w14:paraId="616DBE31">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461" w:name="bookmark1672"/>
      <w:bookmarkEnd w:id="1461"/>
      <w:bookmarkStart w:id="1462" w:name="bookmark1671"/>
      <w:bookmarkStart w:id="1463" w:name="_Toc9582"/>
      <w:bookmarkStart w:id="1464" w:name="_Toc6599"/>
      <w:bookmarkStart w:id="1465" w:name="_Toc256000272"/>
      <w:bookmarkStart w:id="1466" w:name="_Toc256000195"/>
      <w:bookmarkStart w:id="1467" w:name="_Toc453"/>
      <w:bookmarkStart w:id="1468" w:name="bookmark1673"/>
      <w:bookmarkStart w:id="1469" w:name="bookmark1670"/>
      <w:r>
        <w:rPr>
          <w:rStyle w:val="32"/>
          <w:rFonts w:hint="eastAsia" w:cs="Times New Roman"/>
          <w:color w:val="auto"/>
          <w:highlight w:val="none"/>
          <w:lang w:eastAsia="zh-CN"/>
        </w:rPr>
        <w:t>6. 施工设备和临时设施</w:t>
      </w:r>
      <w:bookmarkEnd w:id="1462"/>
      <w:bookmarkEnd w:id="1463"/>
      <w:bookmarkEnd w:id="1464"/>
      <w:bookmarkEnd w:id="1465"/>
      <w:bookmarkEnd w:id="1466"/>
      <w:bookmarkEnd w:id="1467"/>
      <w:bookmarkEnd w:id="1468"/>
      <w:bookmarkEnd w:id="1469"/>
    </w:p>
    <w:p w14:paraId="540A818A">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70" w:name="bookmark1675"/>
      <w:bookmarkStart w:id="1471" w:name="bookmark1676"/>
      <w:bookmarkStart w:id="1472" w:name="bookmark1674"/>
      <w:bookmarkStart w:id="1473" w:name="_Toc256000273"/>
      <w:bookmarkStart w:id="1474" w:name="_Toc256000196"/>
      <w:r>
        <w:rPr>
          <w:rStyle w:val="32"/>
          <w:rFonts w:ascii="宋体" w:hAnsi="宋体" w:cs="Times New Roman"/>
          <w:color w:val="auto"/>
          <w:sz w:val="24"/>
          <w:szCs w:val="24"/>
          <w:highlight w:val="none"/>
          <w:lang w:eastAsia="zh-CN" w:bidi="en-US"/>
        </w:rPr>
        <w:t>6.1承包人提供的施工设备和临时设施</w:t>
      </w:r>
      <w:bookmarkEnd w:id="1470"/>
      <w:bookmarkEnd w:id="1471"/>
      <w:bookmarkEnd w:id="1472"/>
      <w:bookmarkEnd w:id="1473"/>
      <w:bookmarkEnd w:id="1474"/>
    </w:p>
    <w:p w14:paraId="572A288C">
      <w:pPr>
        <w:pStyle w:val="102"/>
        <w:pageBreakBefore w:val="0"/>
        <w:kinsoku/>
        <w:wordWrap/>
        <w:overflowPunct/>
        <w:topLinePunct w:val="0"/>
        <w:autoSpaceDE/>
        <w:autoSpaceDN/>
        <w:bidi w:val="0"/>
        <w:adjustRightInd/>
        <w:snapToGrid/>
        <w:spacing w:after="140"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6.1.2</w:t>
      </w:r>
      <w:r>
        <w:rPr>
          <w:rStyle w:val="32"/>
          <w:color w:val="auto"/>
          <w:highlight w:val="none"/>
        </w:rPr>
        <w:t>承包人自行承担修建临时设施的费用，需要临时占地的，由承包人办理相关申请手续，发包人予以协助，发生的相关费用由承包人承担。</w:t>
      </w:r>
    </w:p>
    <w:p w14:paraId="7E4639F2">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75" w:name="bookmark1679"/>
      <w:bookmarkStart w:id="1476" w:name="_Toc256000197"/>
      <w:bookmarkStart w:id="1477" w:name="bookmark1677"/>
      <w:bookmarkStart w:id="1478" w:name="_Toc256000274"/>
      <w:bookmarkStart w:id="1479" w:name="bookmark1678"/>
      <w:r>
        <w:rPr>
          <w:rStyle w:val="32"/>
          <w:rFonts w:ascii="宋体" w:hAnsi="宋体" w:cs="Times New Roman"/>
          <w:color w:val="auto"/>
          <w:sz w:val="24"/>
          <w:szCs w:val="24"/>
          <w:highlight w:val="none"/>
          <w:lang w:eastAsia="zh-CN" w:bidi="en-US"/>
        </w:rPr>
        <w:t>6.2发包人提供的施工设备和临时设施</w:t>
      </w:r>
      <w:bookmarkEnd w:id="1475"/>
      <w:bookmarkEnd w:id="1476"/>
      <w:bookmarkEnd w:id="1477"/>
      <w:bookmarkEnd w:id="1478"/>
      <w:bookmarkEnd w:id="1479"/>
    </w:p>
    <w:p w14:paraId="01AD4BB6">
      <w:pPr>
        <w:pStyle w:val="102"/>
        <w:pageBreakBefore w:val="0"/>
        <w:tabs>
          <w:tab w:val="left" w:pos="903"/>
          <w:tab w:val="left" w:pos="8198"/>
        </w:tabs>
        <w:kinsoku/>
        <w:wordWrap/>
        <w:overflowPunct/>
        <w:topLinePunct w:val="0"/>
        <w:autoSpaceDE/>
        <w:autoSpaceDN/>
        <w:bidi w:val="0"/>
        <w:adjustRightInd/>
        <w:snapToGrid/>
        <w:spacing w:line="372" w:lineRule="auto"/>
        <w:ind w:firstLine="400" w:firstLineChars="200"/>
        <w:jc w:val="both"/>
        <w:textAlignment w:val="auto"/>
        <w:outlineLvl w:val="9"/>
        <w:rPr>
          <w:rStyle w:val="32"/>
          <w:rFonts w:hint="eastAsia" w:ascii="Times New Roman" w:hAnsi="Times New Roman" w:eastAsia="宋体" w:cs="Times New Roman"/>
          <w:color w:val="auto"/>
          <w:highlight w:val="none"/>
          <w:lang w:val="en-US" w:eastAsia="zh-CN" w:bidi="en-US"/>
        </w:rPr>
      </w:pPr>
      <w:bookmarkStart w:id="1480" w:name="bookmark1680"/>
      <w:bookmarkEnd w:id="1480"/>
      <w:r>
        <w:rPr>
          <w:rStyle w:val="32"/>
          <w:rFonts w:ascii="Times New Roman" w:hAnsi="Times New Roman" w:cs="Times New Roman"/>
          <w:color w:val="auto"/>
          <w:highlight w:val="none"/>
        </w:rPr>
        <w:t>（</w:t>
      </w:r>
      <w:r>
        <w:rPr>
          <w:rStyle w:val="32"/>
          <w:rFonts w:ascii="Times New Roman" w:hAnsi="Times New Roman" w:cs="Times New Roman"/>
          <w:color w:val="auto"/>
          <w:highlight w:val="none"/>
          <w:lang w:val="en-US"/>
        </w:rPr>
        <w:t>1</w:t>
      </w:r>
      <w:r>
        <w:rPr>
          <w:rStyle w:val="32"/>
          <w:rFonts w:ascii="Times New Roman" w:hAnsi="Times New Roman" w:cs="Times New Roman"/>
          <w:color w:val="auto"/>
          <w:highlight w:val="none"/>
        </w:rPr>
        <w:t>）</w:t>
      </w:r>
      <w:r>
        <w:rPr>
          <w:rStyle w:val="32"/>
          <w:color w:val="auto"/>
          <w:highlight w:val="none"/>
        </w:rPr>
        <w:t>发包人提供的的施工设备</w:t>
      </w:r>
      <w:r>
        <w:rPr>
          <w:rStyle w:val="32"/>
          <w:rFonts w:hint="eastAsia"/>
          <w:color w:val="auto"/>
          <w:highlight w:val="none"/>
        </w:rPr>
        <w:t>：</w:t>
      </w:r>
      <w:r>
        <w:rPr>
          <w:rStyle w:val="32"/>
          <w:rFonts w:hint="eastAsia"/>
          <w:color w:val="auto"/>
          <w:highlight w:val="none"/>
          <w:u w:val="single"/>
          <w:lang w:eastAsia="zh-CN"/>
        </w:rPr>
        <w:t>无。</w:t>
      </w:r>
    </w:p>
    <w:p w14:paraId="1A2589F6">
      <w:pPr>
        <w:pStyle w:val="102"/>
        <w:pageBreakBefore w:val="0"/>
        <w:tabs>
          <w:tab w:val="left" w:pos="903"/>
          <w:tab w:val="left" w:pos="8198"/>
        </w:tabs>
        <w:kinsoku/>
        <w:wordWrap/>
        <w:overflowPunct/>
        <w:topLinePunct w:val="0"/>
        <w:autoSpaceDE/>
        <w:autoSpaceDN/>
        <w:bidi w:val="0"/>
        <w:adjustRightInd/>
        <w:snapToGrid/>
        <w:spacing w:after="20" w:line="240" w:lineRule="auto"/>
        <w:ind w:firstLine="400" w:firstLineChars="200"/>
        <w:jc w:val="both"/>
        <w:textAlignment w:val="auto"/>
        <w:outlineLvl w:val="9"/>
        <w:rPr>
          <w:rStyle w:val="32"/>
          <w:color w:val="auto"/>
          <w:highlight w:val="none"/>
        </w:rPr>
      </w:pPr>
      <w:bookmarkStart w:id="1481" w:name="bookmark1681"/>
      <w:bookmarkEnd w:id="1481"/>
      <w:r>
        <w:rPr>
          <w:rStyle w:val="32"/>
          <w:rFonts w:ascii="Times New Roman" w:hAnsi="Times New Roman" w:cs="Times New Roman"/>
          <w:color w:val="auto"/>
          <w:highlight w:val="none"/>
        </w:rPr>
        <w:t>（</w:t>
      </w:r>
      <w:r>
        <w:rPr>
          <w:rStyle w:val="32"/>
          <w:rFonts w:ascii="Times New Roman" w:hAnsi="Times New Roman" w:cs="Times New Roman"/>
          <w:color w:val="auto"/>
          <w:highlight w:val="none"/>
          <w:lang w:val="en-US"/>
        </w:rPr>
        <w:t>2</w:t>
      </w:r>
      <w:r>
        <w:rPr>
          <w:rStyle w:val="32"/>
          <w:rFonts w:ascii="Times New Roman" w:hAnsi="Times New Roman" w:cs="Times New Roman"/>
          <w:color w:val="auto"/>
          <w:highlight w:val="none"/>
        </w:rPr>
        <w:t>）</w:t>
      </w:r>
      <w:r>
        <w:rPr>
          <w:rStyle w:val="32"/>
          <w:color w:val="auto"/>
          <w:highlight w:val="none"/>
        </w:rPr>
        <w:t>发包人提供的临时设施：</w:t>
      </w:r>
      <w:r>
        <w:rPr>
          <w:rStyle w:val="32"/>
          <w:color w:val="auto"/>
          <w:highlight w:val="none"/>
          <w:u w:val="single"/>
        </w:rPr>
        <w:t xml:space="preserve"> </w:t>
      </w:r>
      <w:r>
        <w:rPr>
          <w:rStyle w:val="32"/>
          <w:rFonts w:hint="eastAsia"/>
          <w:color w:val="auto"/>
          <w:highlight w:val="none"/>
          <w:u w:val="single"/>
        </w:rPr>
        <w:t xml:space="preserve"> </w:t>
      </w:r>
      <w:r>
        <w:rPr>
          <w:rStyle w:val="32"/>
          <w:rFonts w:hint="eastAsia"/>
          <w:color w:val="auto"/>
          <w:highlight w:val="none"/>
          <w:u w:val="single"/>
          <w:lang w:eastAsia="zh-CN"/>
        </w:rPr>
        <w:t>无</w:t>
      </w:r>
      <w:r>
        <w:rPr>
          <w:rStyle w:val="32"/>
          <w:rFonts w:hint="eastAsia"/>
          <w:color w:val="auto"/>
          <w:highlight w:val="none"/>
          <w:u w:val="single"/>
        </w:rPr>
        <w:t xml:space="preserve">  </w:t>
      </w:r>
      <w:r>
        <w:rPr>
          <w:rStyle w:val="32"/>
          <w:rFonts w:hint="eastAsia" w:ascii="Times New Roman" w:hAnsi="Times New Roman" w:cs="Times New Roman"/>
          <w:color w:val="auto"/>
          <w:highlight w:val="none"/>
          <w:lang w:val="en-US" w:bidi="en-US"/>
        </w:rPr>
        <w:t>。</w:t>
      </w:r>
    </w:p>
    <w:p w14:paraId="385404C7">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482" w:name="bookmark1684"/>
      <w:bookmarkEnd w:id="1482"/>
      <w:bookmarkStart w:id="1483" w:name="bookmark1682"/>
      <w:bookmarkStart w:id="1484" w:name="_Toc256000275"/>
      <w:bookmarkStart w:id="1485" w:name="bookmark1685"/>
      <w:bookmarkStart w:id="1486" w:name="_Toc9116"/>
      <w:bookmarkStart w:id="1487" w:name="_Toc18798"/>
      <w:bookmarkStart w:id="1488" w:name="bookmark1683"/>
      <w:bookmarkStart w:id="1489" w:name="_Toc256000198"/>
      <w:bookmarkStart w:id="1490" w:name="_Toc8746"/>
      <w:bookmarkStart w:id="1491" w:name="bookmark1686"/>
      <w:bookmarkStart w:id="1492" w:name="bookmark1688"/>
      <w:bookmarkStart w:id="1493" w:name="bookmark1687"/>
      <w:r>
        <w:rPr>
          <w:rStyle w:val="32"/>
          <w:rFonts w:hint="eastAsia" w:cs="Times New Roman"/>
          <w:color w:val="auto"/>
          <w:highlight w:val="none"/>
          <w:lang w:eastAsia="zh-CN"/>
        </w:rPr>
        <w:t>7. 交通运输</w:t>
      </w:r>
      <w:bookmarkEnd w:id="1483"/>
      <w:bookmarkEnd w:id="1484"/>
      <w:bookmarkEnd w:id="1485"/>
      <w:bookmarkEnd w:id="1486"/>
      <w:bookmarkEnd w:id="1487"/>
      <w:bookmarkEnd w:id="1488"/>
      <w:bookmarkEnd w:id="1489"/>
      <w:bookmarkEnd w:id="1490"/>
    </w:p>
    <w:p w14:paraId="4D8207CC">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494" w:name="_Toc256000199"/>
      <w:bookmarkStart w:id="1495" w:name="_Toc256000276"/>
      <w:r>
        <w:rPr>
          <w:rStyle w:val="32"/>
          <w:rFonts w:ascii="宋体" w:hAnsi="宋体" w:cs="Times New Roman"/>
          <w:color w:val="auto"/>
          <w:sz w:val="24"/>
          <w:szCs w:val="24"/>
          <w:highlight w:val="none"/>
          <w:lang w:eastAsia="zh-CN" w:bidi="en-US"/>
        </w:rPr>
        <w:t>7.1道路通行权和场外设施</w:t>
      </w:r>
      <w:bookmarkEnd w:id="1491"/>
      <w:bookmarkEnd w:id="1492"/>
      <w:bookmarkEnd w:id="1493"/>
      <w:bookmarkEnd w:id="1494"/>
      <w:bookmarkEnd w:id="1495"/>
    </w:p>
    <w:p w14:paraId="39862F71">
      <w:pPr>
        <w:pStyle w:val="102"/>
        <w:pageBreakBefore w:val="0"/>
        <w:tabs>
          <w:tab w:val="left" w:pos="8218"/>
        </w:tabs>
        <w:kinsoku/>
        <w:wordWrap/>
        <w:overflowPunct/>
        <w:topLinePunct w:val="0"/>
        <w:autoSpaceDE/>
        <w:autoSpaceDN/>
        <w:bidi w:val="0"/>
        <w:adjustRightInd/>
        <w:snapToGrid/>
        <w:spacing w:line="256" w:lineRule="exact"/>
        <w:ind w:firstLine="420"/>
        <w:jc w:val="both"/>
        <w:textAlignment w:val="auto"/>
        <w:outlineLvl w:val="9"/>
        <w:rPr>
          <w:rStyle w:val="32"/>
          <w:rFonts w:ascii="Times New Roman" w:hAnsi="Times New Roman" w:cs="Times New Roman"/>
          <w:color w:val="auto"/>
          <w:highlight w:val="none"/>
          <w:lang w:val="en-US" w:bidi="en-US"/>
        </w:rPr>
      </w:pPr>
      <w:r>
        <w:rPr>
          <w:rStyle w:val="32"/>
          <w:color w:val="auto"/>
          <w:highlight w:val="none"/>
        </w:rPr>
        <w:t>道路通行权和场外设施的约定：</w:t>
      </w:r>
      <w:r>
        <w:rPr>
          <w:rStyle w:val="32"/>
          <w:rFonts w:hint="eastAsia" w:ascii="宋体" w:hAnsi="宋体" w:eastAsia="宋体" w:cs="宋体"/>
          <w:color w:val="auto"/>
          <w:highlight w:val="none"/>
          <w:u w:val="single"/>
          <w:lang w:eastAsia="zh-CN"/>
        </w:rPr>
        <w:t>承包人应根据合同工程的施工需要，负责办理取得出入施工场地的专用和临时道路的通行权，以及取得为工程建设所需修建场外设施的权</w:t>
      </w:r>
      <w:r>
        <w:rPr>
          <w:rStyle w:val="104"/>
          <w:rFonts w:hint="eastAsia" w:ascii="宋体" w:hAnsi="宋体" w:eastAsia="宋体" w:cs="宋体"/>
          <w:color w:val="auto"/>
          <w:sz w:val="21"/>
          <w:szCs w:val="21"/>
          <w:highlight w:val="none"/>
          <w:u w:val="single"/>
        </w:rPr>
        <w:t>利</w:t>
      </w:r>
      <w:r>
        <w:rPr>
          <w:rStyle w:val="32"/>
          <w:rFonts w:hint="eastAsia" w:ascii="Times New Roman" w:hAnsi="Times New Roman" w:cs="Times New Roman"/>
          <w:color w:val="auto"/>
          <w:highlight w:val="none"/>
          <w:lang w:val="en-US" w:bidi="en-US"/>
        </w:rPr>
        <w:t>。</w:t>
      </w:r>
    </w:p>
    <w:p w14:paraId="1E66937A">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496" w:name="_Toc256000200"/>
      <w:bookmarkStart w:id="1497" w:name="_Toc256000277"/>
      <w:bookmarkStart w:id="1498" w:name="bookmark1692"/>
      <w:bookmarkStart w:id="1499" w:name="_Toc28858"/>
      <w:bookmarkStart w:id="1500" w:name="bookmark1690"/>
      <w:bookmarkStart w:id="1501" w:name="_Toc976"/>
      <w:bookmarkStart w:id="1502" w:name="_Toc6815"/>
      <w:bookmarkStart w:id="1503" w:name="bookmark1689"/>
      <w:bookmarkStart w:id="1504" w:name="bookmark1693"/>
      <w:bookmarkStart w:id="1505" w:name="bookmark1695"/>
      <w:bookmarkStart w:id="1506" w:name="bookmark1694"/>
      <w:r>
        <w:rPr>
          <w:rStyle w:val="32"/>
          <w:rFonts w:hint="eastAsia" w:cs="Times New Roman"/>
          <w:color w:val="auto"/>
          <w:highlight w:val="none"/>
          <w:lang w:eastAsia="zh-CN"/>
        </w:rPr>
        <w:t>8. 测量放线</w:t>
      </w:r>
      <w:bookmarkEnd w:id="1496"/>
      <w:bookmarkEnd w:id="1497"/>
      <w:bookmarkEnd w:id="1498"/>
      <w:bookmarkEnd w:id="1499"/>
      <w:bookmarkEnd w:id="1500"/>
      <w:bookmarkEnd w:id="1501"/>
      <w:bookmarkEnd w:id="1502"/>
      <w:bookmarkEnd w:id="1503"/>
    </w:p>
    <w:p w14:paraId="00E2FC43">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07" w:name="_Toc256000278"/>
      <w:bookmarkStart w:id="1508" w:name="_Toc256000201"/>
      <w:r>
        <w:rPr>
          <w:rStyle w:val="32"/>
          <w:rFonts w:ascii="宋体" w:hAnsi="宋体" w:cs="Times New Roman"/>
          <w:color w:val="auto"/>
          <w:sz w:val="24"/>
          <w:szCs w:val="24"/>
          <w:highlight w:val="none"/>
          <w:lang w:eastAsia="zh-CN" w:bidi="en-US"/>
        </w:rPr>
        <w:t>8.1施工控制网</w:t>
      </w:r>
      <w:bookmarkEnd w:id="1504"/>
      <w:bookmarkEnd w:id="1505"/>
      <w:bookmarkEnd w:id="1506"/>
      <w:bookmarkEnd w:id="1507"/>
      <w:bookmarkEnd w:id="1508"/>
    </w:p>
    <w:p w14:paraId="53DB194C">
      <w:pPr>
        <w:pStyle w:val="103"/>
        <w:pageBreakBefore w:val="0"/>
        <w:tabs>
          <w:tab w:val="left" w:pos="750"/>
          <w:tab w:val="left" w:pos="4898"/>
        </w:tabs>
        <w:kinsoku/>
        <w:wordWrap/>
        <w:overflowPunct/>
        <w:topLinePunct w:val="0"/>
        <w:autoSpaceDE/>
        <w:autoSpaceDN/>
        <w:bidi w:val="0"/>
        <w:adjustRightInd/>
        <w:snapToGrid/>
        <w:spacing w:after="140" w:line="372" w:lineRule="auto"/>
        <w:ind w:left="420" w:firstLine="0"/>
        <w:textAlignment w:val="auto"/>
        <w:outlineLvl w:val="9"/>
        <w:rPr>
          <w:rStyle w:val="32"/>
          <w:rFonts w:ascii="Times New Roman" w:hAnsi="Times New Roman" w:cs="Times New Roman"/>
          <w:color w:val="auto"/>
          <w:highlight w:val="none"/>
          <w:lang w:eastAsia="zh-CN"/>
        </w:rPr>
      </w:pPr>
      <w:bookmarkStart w:id="1509" w:name="bookmark1696"/>
      <w:bookmarkEnd w:id="1509"/>
      <w:r>
        <w:rPr>
          <w:rStyle w:val="32"/>
          <w:rFonts w:hint="eastAsia" w:ascii="Times New Roman" w:hAnsi="Times New Roman" w:cs="Times New Roman"/>
          <w:color w:val="auto"/>
          <w:highlight w:val="none"/>
          <w:lang w:eastAsia="zh-CN" w:bidi="zh-CN"/>
        </w:rPr>
        <w:t>8.1.</w:t>
      </w:r>
      <w:r>
        <w:rPr>
          <w:rStyle w:val="32"/>
          <w:rFonts w:ascii="Times New Roman" w:hAnsi="Times New Roman" w:cs="Times New Roman"/>
          <w:color w:val="auto"/>
          <w:highlight w:val="none"/>
          <w:lang w:val="zh-CN" w:eastAsia="zh-CN" w:bidi="zh-CN"/>
        </w:rPr>
        <w:t xml:space="preserve">1 </w:t>
      </w:r>
      <w:r>
        <w:rPr>
          <w:rStyle w:val="32"/>
          <w:rFonts w:ascii="宋体" w:hAnsi="宋体" w:cs="宋体"/>
          <w:color w:val="auto"/>
          <w:highlight w:val="none"/>
          <w:lang w:val="zh-CN" w:eastAsia="zh-CN" w:bidi="zh-CN"/>
        </w:rPr>
        <w:t>施工控制网的约定：</w:t>
      </w:r>
      <w:r>
        <w:rPr>
          <w:rStyle w:val="32"/>
          <w:rFonts w:hint="eastAsia" w:ascii="宋体" w:hAnsi="宋体" w:eastAsia="宋体" w:cs="宋体"/>
          <w:color w:val="auto"/>
          <w:sz w:val="20"/>
          <w:szCs w:val="20"/>
          <w:highlight w:val="none"/>
          <w:u w:val="single"/>
          <w:lang w:val="en-US" w:eastAsia="zh-CN" w:bidi="zh-CN"/>
        </w:rPr>
        <w:t>由承包人负责测设，并报监理人审批，相关费用由承包人承担</w:t>
      </w:r>
      <w:r>
        <w:rPr>
          <w:rStyle w:val="32"/>
          <w:rFonts w:hint="eastAsia" w:ascii="Times New Roman" w:hAnsi="Times New Roman" w:cs="Times New Roman"/>
          <w:color w:val="auto"/>
          <w:highlight w:val="none"/>
          <w:lang w:eastAsia="zh-CN"/>
        </w:rPr>
        <w:t>。</w:t>
      </w:r>
    </w:p>
    <w:p w14:paraId="4CDEF7A1">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510" w:name="_Toc256000279"/>
      <w:bookmarkStart w:id="1511" w:name="_Toc256000202"/>
      <w:bookmarkStart w:id="1512" w:name="_Toc17055"/>
      <w:bookmarkStart w:id="1513" w:name="_Toc15272"/>
      <w:r>
        <w:rPr>
          <w:rStyle w:val="32"/>
          <w:rFonts w:hint="eastAsia" w:cs="Times New Roman"/>
          <w:color w:val="auto"/>
          <w:highlight w:val="none"/>
          <w:lang w:eastAsia="zh-CN"/>
        </w:rPr>
        <w:t>9. 施工安全、治安保卫和环境保护</w:t>
      </w:r>
      <w:bookmarkEnd w:id="1510"/>
      <w:bookmarkEnd w:id="1511"/>
      <w:bookmarkEnd w:id="1512"/>
      <w:bookmarkEnd w:id="1513"/>
    </w:p>
    <w:p w14:paraId="11576DB9">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14" w:name="_Toc256000203"/>
      <w:bookmarkStart w:id="1515" w:name="_Toc256000280"/>
      <w:r>
        <w:rPr>
          <w:rStyle w:val="32"/>
          <w:rFonts w:ascii="宋体" w:hAnsi="宋体" w:cs="Times New Roman"/>
          <w:color w:val="auto"/>
          <w:sz w:val="24"/>
          <w:szCs w:val="24"/>
          <w:highlight w:val="none"/>
          <w:lang w:eastAsia="zh-CN" w:bidi="en-US"/>
        </w:rPr>
        <w:t>9.2承包人的施工安全责任</w:t>
      </w:r>
      <w:bookmarkEnd w:id="1514"/>
      <w:bookmarkEnd w:id="1515"/>
    </w:p>
    <w:p w14:paraId="0D7F9A03">
      <w:pPr>
        <w:pStyle w:val="102"/>
        <w:pageBreakBefore w:val="0"/>
        <w:tabs>
          <w:tab w:val="left" w:pos="754"/>
        </w:tabs>
        <w:kinsoku/>
        <w:wordWrap/>
        <w:overflowPunct/>
        <w:topLinePunct w:val="0"/>
        <w:autoSpaceDE/>
        <w:autoSpaceDN/>
        <w:bidi w:val="0"/>
        <w:adjustRightInd/>
        <w:snapToGrid/>
        <w:spacing w:line="377" w:lineRule="auto"/>
        <w:ind w:left="420" w:firstLine="0"/>
        <w:textAlignment w:val="auto"/>
        <w:outlineLvl w:val="9"/>
        <w:rPr>
          <w:rStyle w:val="32"/>
          <w:rFonts w:ascii="Times New Roman" w:hAnsi="Times New Roman" w:cs="Times New Roman"/>
          <w:color w:val="auto"/>
          <w:highlight w:val="none"/>
        </w:rPr>
      </w:pPr>
      <w:r>
        <w:rPr>
          <w:rStyle w:val="32"/>
          <w:rFonts w:hint="eastAsia" w:ascii="Times New Roman" w:hAnsi="Times New Roman" w:cs="Times New Roman"/>
          <w:color w:val="auto"/>
          <w:highlight w:val="none"/>
          <w:lang w:val="en-US" w:bidi="en-US"/>
        </w:rPr>
        <w:t>9.</w:t>
      </w:r>
      <w:r>
        <w:rPr>
          <w:rStyle w:val="32"/>
          <w:rFonts w:ascii="Times New Roman" w:hAnsi="Times New Roman" w:eastAsia="Times New Roman" w:cs="Times New Roman"/>
          <w:color w:val="auto"/>
          <w:highlight w:val="none"/>
          <w:lang w:val="en-US" w:bidi="en-US"/>
        </w:rPr>
        <w:t xml:space="preserve">2. </w:t>
      </w:r>
      <w:r>
        <w:rPr>
          <w:rStyle w:val="32"/>
          <w:rFonts w:ascii="Times New Roman" w:hAnsi="Times New Roman" w:eastAsia="Times New Roman" w:cs="Times New Roman"/>
          <w:color w:val="auto"/>
          <w:highlight w:val="none"/>
        </w:rPr>
        <w:t>8</w:t>
      </w:r>
      <w:r>
        <w:rPr>
          <w:rStyle w:val="32"/>
          <w:rFonts w:ascii="Times New Roman" w:hAnsi="Times New Roman" w:cs="Times New Roman"/>
          <w:color w:val="auto"/>
          <w:highlight w:val="none"/>
        </w:rPr>
        <w:t>安全施工措施所需费用在投标时不得做竞争调整。</w:t>
      </w:r>
    </w:p>
    <w:p w14:paraId="592CCA6A">
      <w:pPr>
        <w:pStyle w:val="102"/>
        <w:pageBreakBefore w:val="0"/>
        <w:tabs>
          <w:tab w:val="left" w:pos="4162"/>
          <w:tab w:val="left" w:pos="6139"/>
        </w:tabs>
        <w:kinsoku/>
        <w:wordWrap/>
        <w:overflowPunct/>
        <w:topLinePunct w:val="0"/>
        <w:autoSpaceDE/>
        <w:autoSpaceDN/>
        <w:bidi w:val="0"/>
        <w:adjustRightInd/>
        <w:snapToGrid/>
        <w:spacing w:after="140"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9. 2. </w:t>
      </w:r>
      <w:r>
        <w:rPr>
          <w:rStyle w:val="32"/>
          <w:rFonts w:ascii="Times New Roman" w:hAnsi="Times New Roman" w:eastAsia="Times New Roman" w:cs="Times New Roman"/>
          <w:color w:val="auto"/>
          <w:highlight w:val="none"/>
        </w:rPr>
        <w:t>12</w:t>
      </w:r>
      <w:r>
        <w:rPr>
          <w:rStyle w:val="32"/>
          <w:color w:val="auto"/>
          <w:highlight w:val="none"/>
        </w:rPr>
        <w:t>下列工程应编制专项施工方案：</w:t>
      </w:r>
      <w:r>
        <w:rPr>
          <w:rStyle w:val="32"/>
          <w:color w:val="auto"/>
          <w:highlight w:val="none"/>
          <w:u w:val="single"/>
        </w:rPr>
        <w:tab/>
      </w:r>
      <w:r>
        <w:rPr>
          <w:rStyle w:val="32"/>
          <w:rFonts w:hint="eastAsia"/>
          <w:color w:val="auto"/>
          <w:highlight w:val="none"/>
          <w:u w:val="single"/>
          <w:lang w:val="en-US"/>
        </w:rPr>
        <w:t xml:space="preserve">      </w:t>
      </w:r>
      <w:r>
        <w:rPr>
          <w:rStyle w:val="32"/>
          <w:rFonts w:hint="eastAsia" w:ascii="Times New Roman" w:hAnsi="Times New Roman" w:cs="Times New Roman"/>
          <w:color w:val="auto"/>
          <w:highlight w:val="none"/>
          <w:lang w:val="en-US" w:bidi="en-US"/>
        </w:rPr>
        <w:t>。</w:t>
      </w:r>
      <w:r>
        <w:rPr>
          <w:rStyle w:val="32"/>
          <w:color w:val="auto"/>
          <w:highlight w:val="none"/>
        </w:rPr>
        <w:t>其中应组织专家论证 和审查的专项施工方案：</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4A24D38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16" w:name="_Toc256000281"/>
      <w:bookmarkStart w:id="1517" w:name="_Toc256000204"/>
      <w:r>
        <w:rPr>
          <w:rStyle w:val="32"/>
          <w:rFonts w:ascii="宋体" w:hAnsi="宋体" w:cs="Times New Roman"/>
          <w:color w:val="auto"/>
          <w:sz w:val="24"/>
          <w:szCs w:val="24"/>
          <w:highlight w:val="none"/>
          <w:lang w:eastAsia="zh-CN" w:bidi="en-US"/>
        </w:rPr>
        <w:t>9.7文明工地</w:t>
      </w:r>
      <w:bookmarkEnd w:id="1516"/>
      <w:bookmarkEnd w:id="1517"/>
    </w:p>
    <w:p w14:paraId="3954C390">
      <w:pPr>
        <w:pStyle w:val="102"/>
        <w:pageBreakBefore w:val="0"/>
        <w:tabs>
          <w:tab w:val="left" w:pos="5323"/>
        </w:tabs>
        <w:kinsoku/>
        <w:wordWrap/>
        <w:overflowPunct/>
        <w:topLinePunct w:val="0"/>
        <w:autoSpaceDE/>
        <w:autoSpaceDN/>
        <w:bidi w:val="0"/>
        <w:adjustRightInd/>
        <w:snapToGrid/>
        <w:spacing w:after="140" w:line="372" w:lineRule="auto"/>
        <w:ind w:firstLine="420"/>
        <w:textAlignment w:val="auto"/>
        <w:outlineLvl w:val="9"/>
        <w:rPr>
          <w:rStyle w:val="32"/>
          <w:color w:val="auto"/>
          <w:highlight w:val="none"/>
          <w:lang w:val="en-US"/>
        </w:rPr>
      </w:pPr>
      <w:r>
        <w:rPr>
          <w:rStyle w:val="32"/>
          <w:rFonts w:ascii="Times New Roman" w:hAnsi="Times New Roman" w:eastAsia="Times New Roman" w:cs="Times New Roman"/>
          <w:color w:val="auto"/>
          <w:highlight w:val="none"/>
          <w:lang w:val="en-US" w:bidi="en-US"/>
        </w:rPr>
        <w:t xml:space="preserve">9.7. </w:t>
      </w:r>
      <w:r>
        <w:rPr>
          <w:rStyle w:val="32"/>
          <w:rFonts w:ascii="Times New Roman" w:hAnsi="Times New Roman" w:eastAsia="Times New Roman" w:cs="Times New Roman"/>
          <w:color w:val="auto"/>
          <w:highlight w:val="none"/>
        </w:rPr>
        <w:t>1</w:t>
      </w:r>
      <w:r>
        <w:rPr>
          <w:rStyle w:val="32"/>
          <w:color w:val="auto"/>
          <w:highlight w:val="none"/>
        </w:rPr>
        <w:t>本合同文明工地的约定：</w:t>
      </w:r>
      <w:r>
        <w:rPr>
          <w:rStyle w:val="32"/>
          <w:rFonts w:hint="eastAsia" w:ascii="宋体" w:hAnsi="宋体" w:eastAsia="宋体" w:cs="宋体"/>
          <w:color w:val="auto"/>
          <w:highlight w:val="none"/>
          <w:u w:val="single"/>
        </w:rPr>
        <w:t>按水利部《水利系统文明建设工地评审管理办法》创建文明建设工地</w:t>
      </w:r>
      <w:r>
        <w:rPr>
          <w:rStyle w:val="32"/>
          <w:rFonts w:hint="eastAsia"/>
          <w:color w:val="auto"/>
          <w:highlight w:val="none"/>
          <w:lang w:val="en-US"/>
        </w:rPr>
        <w:t>。</w:t>
      </w:r>
      <w:bookmarkStart w:id="1518" w:name="bookmark1709"/>
      <w:bookmarkStart w:id="1519" w:name="_Toc8738"/>
      <w:bookmarkStart w:id="1520" w:name="_Toc845"/>
      <w:bookmarkStart w:id="1521" w:name="bookmark1708"/>
      <w:bookmarkStart w:id="1522" w:name="bookmark1710"/>
    </w:p>
    <w:p w14:paraId="043E865B">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523" w:name="_Toc15986"/>
      <w:bookmarkStart w:id="1524" w:name="_Toc256000205"/>
      <w:bookmarkStart w:id="1525" w:name="_Toc256000282"/>
      <w:r>
        <w:rPr>
          <w:rStyle w:val="32"/>
          <w:rFonts w:hint="eastAsia" w:cs="Times New Roman"/>
          <w:color w:val="auto"/>
          <w:highlight w:val="none"/>
          <w:lang w:eastAsia="zh-CN"/>
        </w:rPr>
        <w:t>11. 开工和竣工（完工</w:t>
      </w:r>
      <w:bookmarkEnd w:id="1518"/>
      <w:bookmarkEnd w:id="1519"/>
      <w:bookmarkEnd w:id="1520"/>
      <w:bookmarkEnd w:id="1521"/>
      <w:bookmarkEnd w:id="1522"/>
      <w:r>
        <w:rPr>
          <w:rStyle w:val="32"/>
          <w:rFonts w:hint="eastAsia" w:cs="Times New Roman"/>
          <w:color w:val="auto"/>
          <w:highlight w:val="none"/>
          <w:lang w:eastAsia="zh-CN"/>
        </w:rPr>
        <w:t>）</w:t>
      </w:r>
      <w:bookmarkEnd w:id="1523"/>
      <w:bookmarkEnd w:id="1524"/>
      <w:bookmarkEnd w:id="1525"/>
    </w:p>
    <w:p w14:paraId="01A15FF3">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26" w:name="bookmark1711"/>
      <w:bookmarkStart w:id="1527" w:name="bookmark1713"/>
      <w:bookmarkStart w:id="1528" w:name="_Toc256000206"/>
      <w:bookmarkStart w:id="1529" w:name="bookmark1712"/>
      <w:bookmarkStart w:id="1530" w:name="_Toc256000283"/>
      <w:r>
        <w:rPr>
          <w:rStyle w:val="32"/>
          <w:rFonts w:ascii="宋体" w:hAnsi="宋体" w:cs="Times New Roman"/>
          <w:color w:val="auto"/>
          <w:sz w:val="24"/>
          <w:szCs w:val="24"/>
          <w:highlight w:val="none"/>
          <w:lang w:eastAsia="zh-CN" w:bidi="en-US"/>
        </w:rPr>
        <w:t>11.2本工程主体工程完工时间为：</w:t>
      </w:r>
      <w:r>
        <w:rPr>
          <w:rStyle w:val="32"/>
          <w:rFonts w:hint="eastAsia" w:ascii="宋体" w:hAnsi="宋体" w:cs="Times New Roman"/>
          <w:color w:val="auto"/>
          <w:sz w:val="24"/>
          <w:szCs w:val="24"/>
          <w:highlight w:val="none"/>
          <w:u w:val="single"/>
          <w:lang w:val="en-US" w:eastAsia="zh-CN" w:bidi="en-US"/>
        </w:rPr>
        <w:t xml:space="preserve">      </w:t>
      </w:r>
      <w:r>
        <w:rPr>
          <w:rStyle w:val="32"/>
          <w:rFonts w:ascii="宋体" w:hAnsi="宋体" w:cs="Times New Roman"/>
          <w:color w:val="auto"/>
          <w:sz w:val="24"/>
          <w:szCs w:val="24"/>
          <w:highlight w:val="none"/>
          <w:u w:val="single"/>
          <w:lang w:eastAsia="zh-CN" w:bidi="en-US"/>
        </w:rPr>
        <w:t>年</w:t>
      </w:r>
      <w:r>
        <w:rPr>
          <w:rStyle w:val="32"/>
          <w:rFonts w:hint="eastAsia" w:ascii="宋体" w:hAnsi="宋体" w:cs="Times New Roman"/>
          <w:color w:val="auto"/>
          <w:sz w:val="24"/>
          <w:szCs w:val="24"/>
          <w:highlight w:val="none"/>
          <w:u w:val="single"/>
          <w:lang w:val="en-US" w:eastAsia="zh-CN" w:bidi="en-US"/>
        </w:rPr>
        <w:t xml:space="preserve">   </w:t>
      </w:r>
      <w:r>
        <w:rPr>
          <w:rStyle w:val="32"/>
          <w:rFonts w:ascii="宋体" w:hAnsi="宋体" w:cs="Times New Roman"/>
          <w:color w:val="auto"/>
          <w:sz w:val="24"/>
          <w:szCs w:val="24"/>
          <w:highlight w:val="none"/>
          <w:u w:val="single"/>
          <w:lang w:eastAsia="zh-CN" w:bidi="en-US"/>
        </w:rPr>
        <w:t>月</w:t>
      </w:r>
      <w:r>
        <w:rPr>
          <w:rStyle w:val="32"/>
          <w:rFonts w:hint="eastAsia" w:ascii="宋体" w:hAnsi="宋体" w:cs="Times New Roman"/>
          <w:color w:val="auto"/>
          <w:sz w:val="24"/>
          <w:szCs w:val="24"/>
          <w:highlight w:val="none"/>
          <w:u w:val="single"/>
          <w:lang w:val="en-US" w:eastAsia="zh-CN" w:bidi="en-US"/>
        </w:rPr>
        <w:t xml:space="preserve">   </w:t>
      </w:r>
      <w:r>
        <w:rPr>
          <w:rStyle w:val="32"/>
          <w:rFonts w:ascii="宋体" w:hAnsi="宋体" w:cs="Times New Roman"/>
          <w:color w:val="auto"/>
          <w:sz w:val="24"/>
          <w:szCs w:val="24"/>
          <w:highlight w:val="none"/>
          <w:u w:val="single"/>
          <w:lang w:eastAsia="zh-CN" w:bidi="en-US"/>
        </w:rPr>
        <w:t>日</w:t>
      </w:r>
      <w:r>
        <w:rPr>
          <w:rStyle w:val="32"/>
          <w:rFonts w:ascii="宋体" w:hAnsi="宋体" w:cs="Times New Roman"/>
          <w:color w:val="auto"/>
          <w:sz w:val="24"/>
          <w:szCs w:val="24"/>
          <w:highlight w:val="none"/>
          <w:lang w:eastAsia="zh-CN" w:bidi="en-US"/>
        </w:rPr>
        <w:t>。</w:t>
      </w:r>
      <w:bookmarkEnd w:id="1526"/>
      <w:bookmarkEnd w:id="1527"/>
      <w:bookmarkEnd w:id="1528"/>
      <w:bookmarkEnd w:id="1529"/>
      <w:bookmarkEnd w:id="1530"/>
    </w:p>
    <w:p w14:paraId="4DA51FD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31" w:name="_Toc256000207"/>
      <w:bookmarkStart w:id="1532" w:name="bookmark1716"/>
      <w:bookmarkStart w:id="1533" w:name="_Toc256000284"/>
      <w:bookmarkStart w:id="1534" w:name="bookmark1714"/>
      <w:bookmarkStart w:id="1535" w:name="bookmark1715"/>
      <w:r>
        <w:rPr>
          <w:rStyle w:val="32"/>
          <w:rFonts w:ascii="宋体" w:hAnsi="宋体" w:cs="Times New Roman"/>
          <w:color w:val="auto"/>
          <w:sz w:val="24"/>
          <w:szCs w:val="24"/>
          <w:highlight w:val="none"/>
          <w:lang w:eastAsia="zh-CN" w:bidi="en-US"/>
        </w:rPr>
        <w:t>11.3发包人的工期延误</w:t>
      </w:r>
      <w:bookmarkEnd w:id="1531"/>
      <w:bookmarkEnd w:id="1532"/>
      <w:bookmarkEnd w:id="1533"/>
      <w:bookmarkEnd w:id="1534"/>
      <w:bookmarkEnd w:id="1535"/>
    </w:p>
    <w:p w14:paraId="23330C01">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36" w:name="bookmark1719"/>
      <w:bookmarkStart w:id="1537" w:name="bookmark1717"/>
      <w:bookmarkStart w:id="1538" w:name="_Toc256000208"/>
      <w:bookmarkStart w:id="1539" w:name="bookmark1718"/>
      <w:bookmarkStart w:id="1540" w:name="_Toc256000285"/>
      <w:r>
        <w:rPr>
          <w:rStyle w:val="32"/>
          <w:rFonts w:ascii="宋体" w:hAnsi="宋体" w:cs="Times New Roman"/>
          <w:color w:val="auto"/>
          <w:sz w:val="24"/>
          <w:szCs w:val="24"/>
          <w:highlight w:val="none"/>
          <w:lang w:eastAsia="zh-CN" w:bidi="en-US"/>
        </w:rPr>
        <w:t>11.4异常恶劣的气候条件</w:t>
      </w:r>
      <w:bookmarkEnd w:id="1536"/>
      <w:bookmarkEnd w:id="1537"/>
      <w:bookmarkEnd w:id="1538"/>
      <w:bookmarkEnd w:id="1539"/>
      <w:bookmarkEnd w:id="1540"/>
    </w:p>
    <w:p w14:paraId="45E9FEF9">
      <w:pPr>
        <w:pStyle w:val="102"/>
        <w:pageBreakBefore w:val="0"/>
        <w:kinsoku/>
        <w:wordWrap/>
        <w:overflowPunct/>
        <w:topLinePunct w:val="0"/>
        <w:autoSpaceDE/>
        <w:autoSpaceDN/>
        <w:bidi w:val="0"/>
        <w:adjustRightInd/>
        <w:snapToGrid/>
        <w:spacing w:after="100" w:line="240" w:lineRule="auto"/>
        <w:ind w:firstLine="420"/>
        <w:jc w:val="both"/>
        <w:textAlignment w:val="auto"/>
        <w:outlineLvl w:val="9"/>
        <w:rPr>
          <w:rStyle w:val="32"/>
          <w:color w:val="auto"/>
          <w:highlight w:val="none"/>
        </w:rPr>
      </w:pPr>
      <w:r>
        <w:rPr>
          <w:rStyle w:val="32"/>
          <w:rFonts w:hint="eastAsia" w:ascii="Times New Roman" w:hAnsi="Times New Roman" w:cs="Times New Roman"/>
          <w:color w:val="auto"/>
          <w:highlight w:val="none"/>
          <w:lang w:val="en-US" w:bidi="en-US"/>
        </w:rPr>
        <w:t>11</w:t>
      </w:r>
      <w:r>
        <w:rPr>
          <w:rStyle w:val="32"/>
          <w:rFonts w:ascii="Times New Roman" w:hAnsi="Times New Roman" w:eastAsia="Times New Roman" w:cs="Times New Roman"/>
          <w:color w:val="auto"/>
          <w:highlight w:val="none"/>
          <w:lang w:val="en-US" w:bidi="en-US"/>
        </w:rPr>
        <w:t>.4.3</w:t>
      </w:r>
      <w:r>
        <w:rPr>
          <w:rStyle w:val="32"/>
          <w:color w:val="auto"/>
          <w:highlight w:val="none"/>
        </w:rPr>
        <w:t>本合同工程界定异常恶劣气候条件的范围为：</w:t>
      </w:r>
    </w:p>
    <w:p w14:paraId="01DAC29E">
      <w:pPr>
        <w:pStyle w:val="102"/>
        <w:pageBreakBefore w:val="0"/>
        <w:numPr>
          <w:ilvl w:val="0"/>
          <w:numId w:val="46"/>
        </w:numPr>
        <w:tabs>
          <w:tab w:val="left" w:pos="903"/>
          <w:tab w:val="left" w:pos="2959"/>
          <w:tab w:val="left" w:pos="5261"/>
        </w:tabs>
        <w:kinsoku/>
        <w:wordWrap/>
        <w:overflowPunct/>
        <w:topLinePunct w:val="0"/>
        <w:autoSpaceDE/>
        <w:autoSpaceDN/>
        <w:bidi w:val="0"/>
        <w:adjustRightInd/>
        <w:snapToGrid/>
        <w:spacing w:after="100" w:line="240" w:lineRule="auto"/>
        <w:ind w:firstLine="420"/>
        <w:textAlignment w:val="auto"/>
        <w:outlineLvl w:val="9"/>
        <w:rPr>
          <w:rStyle w:val="32"/>
          <w:color w:val="auto"/>
          <w:highlight w:val="none"/>
        </w:rPr>
      </w:pPr>
      <w:bookmarkStart w:id="1541" w:name="bookmark1720"/>
      <w:bookmarkEnd w:id="1541"/>
      <w:r>
        <w:rPr>
          <w:rStyle w:val="32"/>
          <w:color w:val="auto"/>
          <w:highlight w:val="none"/>
        </w:rPr>
        <w:t>日降雨量大于</w:t>
      </w:r>
      <w:r>
        <w:rPr>
          <w:rStyle w:val="32"/>
          <w:rFonts w:hint="eastAsia"/>
          <w:color w:val="auto"/>
          <w:highlight w:val="none"/>
          <w:u w:val="single"/>
          <w:lang w:val="en-US" w:eastAsia="zh-CN"/>
        </w:rPr>
        <w:t>200</w:t>
      </w:r>
      <w:r>
        <w:rPr>
          <w:rStyle w:val="32"/>
          <w:rFonts w:ascii="Times New Roman" w:hAnsi="Times New Roman" w:eastAsia="Times New Roman" w:cs="Times New Roman"/>
          <w:color w:val="auto"/>
          <w:highlight w:val="none"/>
          <w:lang w:val="en-US" w:bidi="en-US"/>
        </w:rPr>
        <w:t>mm</w:t>
      </w:r>
      <w:r>
        <w:rPr>
          <w:rStyle w:val="32"/>
          <w:color w:val="auto"/>
          <w:highlight w:val="none"/>
        </w:rPr>
        <w:t>的雨日超过</w:t>
      </w:r>
      <w:r>
        <w:rPr>
          <w:rStyle w:val="32"/>
          <w:rFonts w:hint="eastAsia"/>
          <w:color w:val="auto"/>
          <w:highlight w:val="none"/>
          <w:u w:val="single"/>
          <w:lang w:val="en-US" w:eastAsia="zh-CN"/>
        </w:rPr>
        <w:t>1</w:t>
      </w:r>
      <w:r>
        <w:rPr>
          <w:rStyle w:val="32"/>
          <w:color w:val="auto"/>
          <w:highlight w:val="none"/>
        </w:rPr>
        <w:t>天；</w:t>
      </w:r>
    </w:p>
    <w:p w14:paraId="594B56D8">
      <w:pPr>
        <w:pStyle w:val="102"/>
        <w:pageBreakBefore w:val="0"/>
        <w:numPr>
          <w:ilvl w:val="0"/>
          <w:numId w:val="46"/>
        </w:numPr>
        <w:tabs>
          <w:tab w:val="left" w:pos="903"/>
          <w:tab w:val="left" w:pos="2539"/>
          <w:tab w:val="left" w:pos="4044"/>
        </w:tabs>
        <w:kinsoku/>
        <w:wordWrap/>
        <w:overflowPunct/>
        <w:topLinePunct w:val="0"/>
        <w:autoSpaceDE/>
        <w:autoSpaceDN/>
        <w:bidi w:val="0"/>
        <w:adjustRightInd/>
        <w:snapToGrid/>
        <w:spacing w:after="100" w:line="240" w:lineRule="auto"/>
        <w:ind w:firstLine="420"/>
        <w:textAlignment w:val="auto"/>
        <w:outlineLvl w:val="9"/>
        <w:rPr>
          <w:rStyle w:val="32"/>
          <w:color w:val="auto"/>
          <w:highlight w:val="none"/>
        </w:rPr>
      </w:pPr>
      <w:bookmarkStart w:id="1542" w:name="bookmark1721"/>
      <w:bookmarkEnd w:id="1542"/>
      <w:r>
        <w:rPr>
          <w:rStyle w:val="32"/>
          <w:color w:val="auto"/>
          <w:highlight w:val="none"/>
        </w:rPr>
        <w:t>风速大于</w:t>
      </w:r>
      <w:r>
        <w:rPr>
          <w:rStyle w:val="32"/>
          <w:rFonts w:hint="eastAsia"/>
          <w:color w:val="auto"/>
          <w:highlight w:val="none"/>
          <w:u w:val="single"/>
          <w:lang w:val="en-US" w:eastAsia="zh-CN"/>
        </w:rPr>
        <w:t>24.5</w:t>
      </w:r>
      <w:r>
        <w:rPr>
          <w:rStyle w:val="32"/>
          <w:rFonts w:ascii="Times New Roman" w:hAnsi="Times New Roman" w:eastAsia="Times New Roman" w:cs="Times New Roman"/>
          <w:color w:val="auto"/>
          <w:highlight w:val="none"/>
          <w:lang w:val="en-US" w:bidi="en-US"/>
        </w:rPr>
        <w:t>m/s</w:t>
      </w:r>
      <w:r>
        <w:rPr>
          <w:rStyle w:val="32"/>
          <w:color w:val="auto"/>
          <w:highlight w:val="none"/>
        </w:rPr>
        <w:t>的</w:t>
      </w:r>
      <w:r>
        <w:rPr>
          <w:rStyle w:val="32"/>
          <w:rFonts w:hint="eastAsia"/>
          <w:color w:val="auto"/>
          <w:highlight w:val="none"/>
          <w:u w:val="single"/>
          <w:lang w:val="en-US" w:eastAsia="zh-CN"/>
        </w:rPr>
        <w:t>10</w:t>
      </w:r>
      <w:r>
        <w:rPr>
          <w:rStyle w:val="32"/>
          <w:color w:val="auto"/>
          <w:highlight w:val="none"/>
        </w:rPr>
        <w:t>级以上台风灾害；</w:t>
      </w:r>
    </w:p>
    <w:p w14:paraId="182665DD">
      <w:pPr>
        <w:pStyle w:val="102"/>
        <w:pageBreakBefore w:val="0"/>
        <w:numPr>
          <w:ilvl w:val="0"/>
          <w:numId w:val="46"/>
        </w:numPr>
        <w:tabs>
          <w:tab w:val="left" w:pos="903"/>
          <w:tab w:val="left" w:pos="2750"/>
          <w:tab w:val="left" w:pos="4855"/>
        </w:tabs>
        <w:kinsoku/>
        <w:wordWrap/>
        <w:overflowPunct/>
        <w:topLinePunct w:val="0"/>
        <w:autoSpaceDE/>
        <w:autoSpaceDN/>
        <w:bidi w:val="0"/>
        <w:adjustRightInd/>
        <w:snapToGrid/>
        <w:spacing w:after="100" w:line="240" w:lineRule="auto"/>
        <w:ind w:firstLine="420"/>
        <w:textAlignment w:val="auto"/>
        <w:outlineLvl w:val="9"/>
        <w:rPr>
          <w:rStyle w:val="32"/>
          <w:color w:val="auto"/>
          <w:highlight w:val="none"/>
        </w:rPr>
      </w:pPr>
      <w:bookmarkStart w:id="1543" w:name="bookmark1722"/>
      <w:bookmarkEnd w:id="1543"/>
      <w:r>
        <w:rPr>
          <w:rStyle w:val="32"/>
          <w:color w:val="auto"/>
          <w:highlight w:val="none"/>
        </w:rPr>
        <w:t>日气温超过</w:t>
      </w:r>
      <w:r>
        <w:rPr>
          <w:rStyle w:val="32"/>
          <w:rFonts w:hint="eastAsia"/>
          <w:color w:val="auto"/>
          <w:highlight w:val="none"/>
          <w:u w:val="single"/>
          <w:lang w:val="en-US" w:eastAsia="zh-CN"/>
        </w:rPr>
        <w:t>40</w:t>
      </w:r>
      <w:r>
        <w:rPr>
          <w:rStyle w:val="32"/>
          <w:rFonts w:hint="eastAsia"/>
          <w:color w:val="auto"/>
          <w:highlight w:val="none"/>
          <w:lang w:val="en-US" w:bidi="en-US"/>
        </w:rPr>
        <w:t>℃</w:t>
      </w:r>
      <w:r>
        <w:rPr>
          <w:rStyle w:val="32"/>
          <w:color w:val="auto"/>
          <w:highlight w:val="none"/>
        </w:rPr>
        <w:t>的高温大于</w:t>
      </w:r>
      <w:r>
        <w:rPr>
          <w:rStyle w:val="32"/>
          <w:rFonts w:hint="eastAsia"/>
          <w:color w:val="auto"/>
          <w:highlight w:val="none"/>
          <w:u w:val="single"/>
          <w:lang w:val="en-US" w:eastAsia="zh-CN"/>
        </w:rPr>
        <w:t>2</w:t>
      </w:r>
      <w:r>
        <w:rPr>
          <w:rStyle w:val="32"/>
          <w:color w:val="auto"/>
          <w:highlight w:val="none"/>
        </w:rPr>
        <w:t>天；</w:t>
      </w:r>
    </w:p>
    <w:p w14:paraId="24A385EA">
      <w:pPr>
        <w:pStyle w:val="102"/>
        <w:pageBreakBefore w:val="0"/>
        <w:numPr>
          <w:ilvl w:val="0"/>
          <w:numId w:val="46"/>
        </w:numPr>
        <w:tabs>
          <w:tab w:val="left" w:pos="903"/>
          <w:tab w:val="left" w:pos="2750"/>
          <w:tab w:val="left" w:pos="4855"/>
        </w:tabs>
        <w:kinsoku/>
        <w:wordWrap/>
        <w:overflowPunct/>
        <w:topLinePunct w:val="0"/>
        <w:autoSpaceDE/>
        <w:autoSpaceDN/>
        <w:bidi w:val="0"/>
        <w:adjustRightInd/>
        <w:snapToGrid/>
        <w:spacing w:after="100" w:line="240" w:lineRule="auto"/>
        <w:ind w:firstLine="420"/>
        <w:textAlignment w:val="auto"/>
        <w:outlineLvl w:val="9"/>
        <w:rPr>
          <w:rStyle w:val="32"/>
          <w:color w:val="auto"/>
          <w:highlight w:val="none"/>
        </w:rPr>
      </w:pPr>
      <w:bookmarkStart w:id="1544" w:name="bookmark1723"/>
      <w:bookmarkEnd w:id="1544"/>
      <w:r>
        <w:rPr>
          <w:rStyle w:val="32"/>
          <w:color w:val="auto"/>
          <w:highlight w:val="none"/>
        </w:rPr>
        <w:t>日气温低于</w:t>
      </w:r>
      <w:r>
        <w:rPr>
          <w:rStyle w:val="32"/>
          <w:rFonts w:hint="eastAsia"/>
          <w:color w:val="auto"/>
          <w:highlight w:val="none"/>
          <w:u w:val="single"/>
          <w:lang w:val="en-US" w:eastAsia="zh-CN"/>
        </w:rPr>
        <w:t>-10</w:t>
      </w:r>
      <w:r>
        <w:rPr>
          <w:rStyle w:val="32"/>
          <w:rFonts w:hint="eastAsia"/>
          <w:color w:val="auto"/>
          <w:highlight w:val="none"/>
          <w:lang w:val="en-US" w:bidi="en-US"/>
        </w:rPr>
        <w:t>℃</w:t>
      </w:r>
      <w:r>
        <w:rPr>
          <w:rStyle w:val="32"/>
          <w:color w:val="auto"/>
          <w:highlight w:val="none"/>
        </w:rPr>
        <w:t>的严寒大于</w:t>
      </w:r>
      <w:r>
        <w:rPr>
          <w:rStyle w:val="32"/>
          <w:rFonts w:hint="eastAsia"/>
          <w:color w:val="auto"/>
          <w:highlight w:val="none"/>
          <w:u w:val="single"/>
          <w:lang w:val="en-US" w:eastAsia="zh-CN"/>
        </w:rPr>
        <w:t>2</w:t>
      </w:r>
      <w:r>
        <w:rPr>
          <w:rStyle w:val="32"/>
          <w:color w:val="auto"/>
          <w:highlight w:val="none"/>
        </w:rPr>
        <w:t>天。</w:t>
      </w:r>
    </w:p>
    <w:p w14:paraId="23490077">
      <w:pPr>
        <w:pStyle w:val="102"/>
        <w:pageBreakBefore w:val="0"/>
        <w:numPr>
          <w:ilvl w:val="0"/>
          <w:numId w:val="46"/>
        </w:numPr>
        <w:tabs>
          <w:tab w:val="left" w:pos="903"/>
        </w:tabs>
        <w:kinsoku/>
        <w:wordWrap/>
        <w:overflowPunct/>
        <w:topLinePunct w:val="0"/>
        <w:autoSpaceDE/>
        <w:autoSpaceDN/>
        <w:bidi w:val="0"/>
        <w:adjustRightInd/>
        <w:snapToGrid/>
        <w:spacing w:after="100" w:line="240" w:lineRule="auto"/>
        <w:ind w:firstLine="420"/>
        <w:textAlignment w:val="auto"/>
        <w:outlineLvl w:val="9"/>
        <w:rPr>
          <w:rStyle w:val="32"/>
          <w:color w:val="auto"/>
          <w:highlight w:val="none"/>
        </w:rPr>
      </w:pPr>
      <w:bookmarkStart w:id="1545" w:name="bookmark1724"/>
      <w:bookmarkEnd w:id="1545"/>
      <w:r>
        <w:rPr>
          <w:rStyle w:val="32"/>
          <w:color w:val="auto"/>
          <w:highlight w:val="none"/>
        </w:rPr>
        <w:t>造成工程损坏的冰雹和大雪灾害；</w:t>
      </w:r>
    </w:p>
    <w:p w14:paraId="53BF7DF4">
      <w:pPr>
        <w:pStyle w:val="102"/>
        <w:pageBreakBefore w:val="0"/>
        <w:numPr>
          <w:ilvl w:val="0"/>
          <w:numId w:val="46"/>
        </w:numPr>
        <w:tabs>
          <w:tab w:val="left" w:pos="903"/>
        </w:tabs>
        <w:kinsoku/>
        <w:wordWrap/>
        <w:overflowPunct/>
        <w:topLinePunct w:val="0"/>
        <w:autoSpaceDE/>
        <w:autoSpaceDN/>
        <w:bidi w:val="0"/>
        <w:adjustRightInd/>
        <w:snapToGrid/>
        <w:spacing w:after="100" w:line="240" w:lineRule="auto"/>
        <w:ind w:firstLine="420"/>
        <w:jc w:val="both"/>
        <w:textAlignment w:val="auto"/>
        <w:outlineLvl w:val="9"/>
        <w:rPr>
          <w:rStyle w:val="32"/>
          <w:color w:val="auto"/>
          <w:highlight w:val="none"/>
        </w:rPr>
      </w:pPr>
      <w:bookmarkStart w:id="1546" w:name="bookmark1725"/>
      <w:bookmarkEnd w:id="1546"/>
      <w:r>
        <w:rPr>
          <w:rStyle w:val="32"/>
          <w:rFonts w:hint="eastAsia"/>
          <w:color w:val="auto"/>
          <w:highlight w:val="none"/>
          <w:u w:val="single"/>
          <w:lang w:val="en-US"/>
        </w:rPr>
        <w:t xml:space="preserve">  </w:t>
      </w:r>
      <w:r>
        <w:rPr>
          <w:rStyle w:val="32"/>
          <w:rFonts w:hint="eastAsia"/>
          <w:color w:val="auto"/>
          <w:highlight w:val="none"/>
          <w:u w:val="single"/>
          <w:lang w:val="en-US" w:eastAsia="zh-CN"/>
        </w:rPr>
        <w:t>6</w:t>
      </w:r>
      <w:r>
        <w:rPr>
          <w:rStyle w:val="32"/>
          <w:rFonts w:hint="eastAsia"/>
          <w:color w:val="auto"/>
          <w:highlight w:val="none"/>
          <w:u w:val="single"/>
          <w:lang w:val="en-US"/>
        </w:rPr>
        <w:t xml:space="preserve"> </w:t>
      </w:r>
      <w:r>
        <w:rPr>
          <w:rStyle w:val="32"/>
          <w:color w:val="auto"/>
          <w:highlight w:val="none"/>
        </w:rPr>
        <w:t>级以上的地震；</w:t>
      </w:r>
    </w:p>
    <w:p w14:paraId="33763CC4">
      <w:pPr>
        <w:pStyle w:val="102"/>
        <w:pageBreakBefore w:val="0"/>
        <w:numPr>
          <w:ilvl w:val="0"/>
          <w:numId w:val="46"/>
        </w:numPr>
        <w:tabs>
          <w:tab w:val="left" w:pos="903"/>
        </w:tabs>
        <w:kinsoku/>
        <w:wordWrap/>
        <w:overflowPunct/>
        <w:topLinePunct w:val="0"/>
        <w:autoSpaceDE/>
        <w:autoSpaceDN/>
        <w:bidi w:val="0"/>
        <w:adjustRightInd/>
        <w:snapToGrid/>
        <w:spacing w:after="100" w:line="240" w:lineRule="auto"/>
        <w:ind w:firstLine="420"/>
        <w:jc w:val="both"/>
        <w:textAlignment w:val="auto"/>
        <w:outlineLvl w:val="9"/>
        <w:rPr>
          <w:rStyle w:val="32"/>
          <w:color w:val="auto"/>
          <w:highlight w:val="none"/>
        </w:rPr>
      </w:pPr>
      <w:bookmarkStart w:id="1547" w:name="bookmark1726"/>
      <w:bookmarkEnd w:id="1547"/>
      <w:r>
        <w:rPr>
          <w:rStyle w:val="32"/>
          <w:rFonts w:hint="eastAsia"/>
          <w:color w:val="auto"/>
          <w:highlight w:val="none"/>
          <w:u w:val="single"/>
          <w:lang w:val="en-US"/>
        </w:rPr>
        <w:t xml:space="preserve"> </w:t>
      </w:r>
      <w:r>
        <w:rPr>
          <w:rStyle w:val="32"/>
          <w:rFonts w:hint="eastAsia"/>
          <w:color w:val="auto"/>
          <w:highlight w:val="none"/>
          <w:u w:val="single"/>
          <w:lang w:val="en-US" w:eastAsia="zh-CN"/>
        </w:rPr>
        <w:t>50</w:t>
      </w:r>
      <w:r>
        <w:rPr>
          <w:rStyle w:val="32"/>
          <w:rFonts w:hint="eastAsia"/>
          <w:color w:val="auto"/>
          <w:highlight w:val="none"/>
          <w:u w:val="single"/>
          <w:lang w:val="en-US"/>
        </w:rPr>
        <w:t xml:space="preserve">  </w:t>
      </w:r>
      <w:r>
        <w:rPr>
          <w:rStyle w:val="32"/>
          <w:color w:val="auto"/>
          <w:highlight w:val="none"/>
        </w:rPr>
        <w:t>年一遇及以上的洪水；</w:t>
      </w:r>
    </w:p>
    <w:p w14:paraId="3A6B2F96">
      <w:pPr>
        <w:pStyle w:val="102"/>
        <w:pageBreakBefore w:val="0"/>
        <w:numPr>
          <w:ilvl w:val="0"/>
          <w:numId w:val="46"/>
        </w:numPr>
        <w:tabs>
          <w:tab w:val="left" w:pos="903"/>
        </w:tabs>
        <w:kinsoku/>
        <w:wordWrap/>
        <w:overflowPunct/>
        <w:topLinePunct w:val="0"/>
        <w:autoSpaceDE/>
        <w:autoSpaceDN/>
        <w:bidi w:val="0"/>
        <w:adjustRightInd/>
        <w:snapToGrid/>
        <w:spacing w:after="160" w:line="240" w:lineRule="auto"/>
        <w:ind w:firstLine="420"/>
        <w:jc w:val="both"/>
        <w:textAlignment w:val="auto"/>
        <w:outlineLvl w:val="9"/>
        <w:rPr>
          <w:rStyle w:val="32"/>
          <w:color w:val="auto"/>
          <w:highlight w:val="none"/>
        </w:rPr>
      </w:pPr>
      <w:bookmarkStart w:id="1548" w:name="bookmark1727"/>
      <w:bookmarkEnd w:id="1548"/>
      <w:r>
        <w:rPr>
          <w:rStyle w:val="32"/>
          <w:color w:val="auto"/>
          <w:highlight w:val="none"/>
        </w:rPr>
        <w:t>其他异常恶劣气候灾害。</w:t>
      </w:r>
    </w:p>
    <w:p w14:paraId="14E0867A">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49" w:name="_Toc256000286"/>
      <w:bookmarkStart w:id="1550" w:name="bookmark1729"/>
      <w:bookmarkStart w:id="1551" w:name="bookmark1730"/>
      <w:bookmarkStart w:id="1552" w:name="_Toc256000209"/>
      <w:bookmarkStart w:id="1553" w:name="bookmark1728"/>
      <w:r>
        <w:rPr>
          <w:rStyle w:val="32"/>
          <w:rFonts w:ascii="宋体" w:hAnsi="宋体" w:cs="Times New Roman"/>
          <w:color w:val="auto"/>
          <w:sz w:val="24"/>
          <w:szCs w:val="24"/>
          <w:highlight w:val="none"/>
          <w:lang w:eastAsia="zh-CN" w:bidi="en-US"/>
        </w:rPr>
        <w:t>11.5承包人工期延误</w:t>
      </w:r>
      <w:bookmarkEnd w:id="1549"/>
      <w:bookmarkEnd w:id="1550"/>
      <w:bookmarkEnd w:id="1551"/>
      <w:bookmarkEnd w:id="1552"/>
      <w:bookmarkEnd w:id="1553"/>
    </w:p>
    <w:p w14:paraId="6D037DBD">
      <w:pPr>
        <w:pStyle w:val="102"/>
        <w:pageBreakBefore w:val="0"/>
        <w:kinsoku/>
        <w:wordWrap/>
        <w:overflowPunct/>
        <w:topLinePunct w:val="0"/>
        <w:autoSpaceDE/>
        <w:autoSpaceDN/>
        <w:bidi w:val="0"/>
        <w:adjustRightInd/>
        <w:snapToGrid/>
        <w:spacing w:after="100" w:line="240" w:lineRule="auto"/>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rPr>
        <w:t>(1)</w:t>
      </w:r>
      <w:r>
        <w:rPr>
          <w:rStyle w:val="32"/>
          <w:color w:val="auto"/>
          <w:highlight w:val="none"/>
        </w:rPr>
        <w:t>承包人如未能</w:t>
      </w:r>
      <w:r>
        <w:rPr>
          <w:rStyle w:val="32"/>
          <w:rFonts w:hint="eastAsia"/>
          <w:color w:val="auto"/>
          <w:highlight w:val="none"/>
          <w:lang w:eastAsia="zh-CN"/>
        </w:rPr>
        <w:t>在本合同规定的</w:t>
      </w:r>
      <w:r>
        <w:rPr>
          <w:rStyle w:val="32"/>
          <w:color w:val="auto"/>
          <w:highlight w:val="none"/>
        </w:rPr>
        <w:t>完工日期前完工，逾期完工违约金按</w:t>
      </w:r>
      <w:r>
        <w:rPr>
          <w:rStyle w:val="32"/>
          <w:rFonts w:hint="eastAsia"/>
          <w:color w:val="auto"/>
          <w:highlight w:val="none"/>
          <w:u w:val="single"/>
          <w:lang w:val="en-US" w:eastAsia="zh-CN"/>
        </w:rPr>
        <w:t>1000</w:t>
      </w:r>
      <w:r>
        <w:rPr>
          <w:rStyle w:val="32"/>
          <w:color w:val="auto"/>
          <w:highlight w:val="none"/>
        </w:rPr>
        <w:t xml:space="preserve">元/ </w:t>
      </w:r>
      <w:r>
        <w:rPr>
          <w:rStyle w:val="32"/>
          <w:rFonts w:hint="eastAsia"/>
          <w:color w:val="auto"/>
          <w:highlight w:val="none"/>
        </w:rPr>
        <w:t>天</w:t>
      </w:r>
      <w:r>
        <w:rPr>
          <w:rStyle w:val="32"/>
          <w:i/>
          <w:iCs/>
          <w:color w:val="auto"/>
          <w:highlight w:val="none"/>
        </w:rPr>
        <w:t>”</w:t>
      </w:r>
      <w:r>
        <w:rPr>
          <w:rStyle w:val="32"/>
          <w:color w:val="auto"/>
          <w:highlight w:val="none"/>
        </w:rPr>
        <w:t>计算。</w:t>
      </w:r>
    </w:p>
    <w:p w14:paraId="36BBB18B">
      <w:pPr>
        <w:pStyle w:val="102"/>
        <w:pageBreakBefore w:val="0"/>
        <w:tabs>
          <w:tab w:val="left" w:pos="7999"/>
        </w:tabs>
        <w:kinsoku/>
        <w:wordWrap/>
        <w:overflowPunct/>
        <w:topLinePunct w:val="0"/>
        <w:autoSpaceDE/>
        <w:autoSpaceDN/>
        <w:bidi w:val="0"/>
        <w:adjustRightInd/>
        <w:snapToGrid/>
        <w:spacing w:line="360" w:lineRule="exact"/>
        <w:ind w:firstLine="400" w:firstLineChars="200"/>
        <w:jc w:val="both"/>
        <w:textAlignment w:val="auto"/>
        <w:outlineLvl w:val="9"/>
        <w:rPr>
          <w:rStyle w:val="32"/>
          <w:color w:val="auto"/>
          <w:highlight w:val="none"/>
        </w:rPr>
      </w:pPr>
    </w:p>
    <w:p w14:paraId="73867D69">
      <w:pPr>
        <w:pStyle w:val="102"/>
        <w:pageBreakBefore w:val="0"/>
        <w:numPr>
          <w:ilvl w:val="0"/>
          <w:numId w:val="47"/>
        </w:numPr>
        <w:tabs>
          <w:tab w:val="left" w:pos="922"/>
          <w:tab w:val="left" w:pos="6190"/>
        </w:tabs>
        <w:kinsoku/>
        <w:wordWrap/>
        <w:overflowPunct/>
        <w:topLinePunct w:val="0"/>
        <w:autoSpaceDE/>
        <w:autoSpaceDN/>
        <w:bidi w:val="0"/>
        <w:adjustRightInd/>
        <w:snapToGrid/>
        <w:spacing w:after="160" w:line="359" w:lineRule="exact"/>
        <w:ind w:firstLine="440"/>
        <w:jc w:val="both"/>
        <w:textAlignment w:val="auto"/>
        <w:outlineLvl w:val="9"/>
        <w:rPr>
          <w:rStyle w:val="32"/>
          <w:color w:val="auto"/>
          <w:highlight w:val="none"/>
        </w:rPr>
      </w:pPr>
      <w:bookmarkStart w:id="1554" w:name="bookmark1731"/>
      <w:bookmarkEnd w:id="1554"/>
      <w:r>
        <w:rPr>
          <w:rStyle w:val="32"/>
          <w:color w:val="auto"/>
          <w:highlight w:val="none"/>
        </w:rPr>
        <w:t>全部逾期完工违约金的总限额不超过合同总价的</w:t>
      </w:r>
      <w:r>
        <w:rPr>
          <w:rStyle w:val="32"/>
          <w:rFonts w:hint="eastAsia"/>
          <w:color w:val="auto"/>
          <w:highlight w:val="none"/>
          <w:u w:val="single"/>
          <w:lang w:val="en-US" w:eastAsia="zh-CN"/>
        </w:rPr>
        <w:t>2</w:t>
      </w:r>
      <w:r>
        <w:rPr>
          <w:rStyle w:val="32"/>
          <w:color w:val="auto"/>
          <w:highlight w:val="none"/>
        </w:rPr>
        <w:t>%,发包人可从应向承包人支付的任何金额中扣除此项违约金或以其他方式收回此款，此违约金的支付并不能解除承包人应完成工程的责任或合同规定的其他责任。</w:t>
      </w:r>
    </w:p>
    <w:p w14:paraId="68440675">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55" w:name="bookmark1733"/>
      <w:bookmarkStart w:id="1556" w:name="bookmark1732"/>
      <w:bookmarkStart w:id="1557" w:name="_Toc256000287"/>
      <w:bookmarkStart w:id="1558" w:name="bookmark1734"/>
      <w:bookmarkStart w:id="1559" w:name="_Toc256000210"/>
      <w:r>
        <w:rPr>
          <w:rStyle w:val="32"/>
          <w:rFonts w:ascii="宋体" w:hAnsi="宋体" w:cs="Times New Roman"/>
          <w:color w:val="auto"/>
          <w:sz w:val="24"/>
          <w:szCs w:val="24"/>
          <w:highlight w:val="none"/>
          <w:lang w:eastAsia="zh-CN" w:bidi="en-US"/>
        </w:rPr>
        <w:t>11.6工期提前</w:t>
      </w:r>
      <w:bookmarkEnd w:id="1555"/>
      <w:bookmarkEnd w:id="1556"/>
      <w:bookmarkEnd w:id="1557"/>
      <w:bookmarkEnd w:id="1558"/>
      <w:bookmarkEnd w:id="1559"/>
    </w:p>
    <w:p w14:paraId="19DC8BC1">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color w:val="auto"/>
          <w:highlight w:val="none"/>
        </w:rPr>
      </w:pPr>
      <w:r>
        <w:rPr>
          <w:rStyle w:val="32"/>
          <w:color w:val="auto"/>
          <w:highlight w:val="none"/>
        </w:rPr>
        <w:t>工期提前的资金约定：</w:t>
      </w:r>
      <w:r>
        <w:rPr>
          <w:rStyle w:val="32"/>
          <w:rFonts w:hint="eastAsia" w:ascii="宋体" w:hAnsi="宋体" w:eastAsia="宋体" w:cs="宋体"/>
          <w:color w:val="auto"/>
          <w:highlight w:val="none"/>
          <w:u w:val="single"/>
          <w:lang w:val="en-US"/>
        </w:rPr>
        <w:t xml:space="preserve">在保证工程质量的前提下，发包人鼓励承包人提前完工，但本合同工程无提前工期奖金 </w:t>
      </w:r>
      <w:r>
        <w:rPr>
          <w:rStyle w:val="32"/>
          <w:rFonts w:hint="eastAsia"/>
          <w:color w:val="auto"/>
          <w:highlight w:val="none"/>
        </w:rPr>
        <w:t xml:space="preserve"> </w:t>
      </w:r>
      <w:r>
        <w:rPr>
          <w:rStyle w:val="32"/>
          <w:rFonts w:hint="eastAsia" w:ascii="Times New Roman" w:hAnsi="Times New Roman" w:cs="Times New Roman"/>
          <w:color w:val="auto"/>
          <w:highlight w:val="none"/>
          <w:lang w:val="en-US" w:bidi="en-US"/>
        </w:rPr>
        <w:t>。</w:t>
      </w:r>
    </w:p>
    <w:p w14:paraId="790DDDDD">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560" w:name="bookmark1736"/>
      <w:bookmarkStart w:id="1561" w:name="_Toc23224"/>
      <w:bookmarkStart w:id="1562" w:name="bookmark1735"/>
      <w:bookmarkStart w:id="1563" w:name="_Toc24244"/>
      <w:bookmarkStart w:id="1564" w:name="_Toc6849"/>
      <w:bookmarkStart w:id="1565" w:name="bookmark1737"/>
      <w:bookmarkStart w:id="1566" w:name="_Toc256000211"/>
      <w:bookmarkStart w:id="1567" w:name="_Toc256000288"/>
      <w:r>
        <w:rPr>
          <w:rStyle w:val="32"/>
          <w:rFonts w:hint="eastAsia" w:cs="Times New Roman"/>
          <w:color w:val="auto"/>
          <w:highlight w:val="none"/>
          <w:lang w:eastAsia="zh-CN"/>
        </w:rPr>
        <w:t>12. 暂停施工</w:t>
      </w:r>
      <w:bookmarkEnd w:id="1560"/>
      <w:bookmarkEnd w:id="1561"/>
      <w:bookmarkEnd w:id="1562"/>
      <w:bookmarkEnd w:id="1563"/>
      <w:bookmarkEnd w:id="1564"/>
      <w:bookmarkEnd w:id="1565"/>
      <w:bookmarkEnd w:id="1566"/>
      <w:bookmarkEnd w:id="1567"/>
    </w:p>
    <w:p w14:paraId="41E6CA0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68" w:name="bookmark1738"/>
      <w:bookmarkStart w:id="1569" w:name="bookmark1740"/>
      <w:bookmarkStart w:id="1570" w:name="_Toc256000289"/>
      <w:bookmarkStart w:id="1571" w:name="_Toc256000212"/>
      <w:bookmarkStart w:id="1572" w:name="bookmark1739"/>
      <w:r>
        <w:rPr>
          <w:rStyle w:val="32"/>
          <w:rFonts w:ascii="宋体" w:hAnsi="宋体" w:cs="Times New Roman"/>
          <w:color w:val="auto"/>
          <w:sz w:val="24"/>
          <w:szCs w:val="24"/>
          <w:highlight w:val="none"/>
          <w:lang w:eastAsia="zh-CN" w:bidi="en-US"/>
        </w:rPr>
        <w:t>12.1承包人暂停施工的责任</w:t>
      </w:r>
      <w:bookmarkEnd w:id="1568"/>
      <w:bookmarkEnd w:id="1569"/>
      <w:bookmarkEnd w:id="1570"/>
      <w:bookmarkEnd w:id="1571"/>
      <w:bookmarkEnd w:id="1572"/>
    </w:p>
    <w:p w14:paraId="3017AAC1">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宋体" w:hAnsi="宋体" w:eastAsia="宋体" w:cs="宋体"/>
          <w:color w:val="auto"/>
          <w:highlight w:val="none"/>
          <w:u w:val="single"/>
        </w:rPr>
      </w:pPr>
      <w:bookmarkStart w:id="1573" w:name="bookmark1741"/>
      <w:bookmarkEnd w:id="1573"/>
      <w:r>
        <w:rPr>
          <w:rStyle w:val="32"/>
          <w:rFonts w:hint="eastAsia" w:ascii="宋体" w:hAnsi="宋体" w:eastAsia="宋体" w:cs="宋体"/>
          <w:color w:val="auto"/>
          <w:highlight w:val="none"/>
          <w:lang w:eastAsia="zh-CN"/>
        </w:rPr>
        <w:t>承</w:t>
      </w:r>
      <w:r>
        <w:rPr>
          <w:rStyle w:val="32"/>
          <w:rFonts w:ascii="宋体" w:hAnsi="宋体" w:eastAsia="宋体" w:cs="宋体"/>
          <w:color w:val="auto"/>
          <w:highlight w:val="none"/>
        </w:rPr>
        <w:t>包人承担暂停施工责任的其它情形：</w:t>
      </w:r>
      <w:r>
        <w:rPr>
          <w:rStyle w:val="32"/>
          <w:rFonts w:hint="eastAsia" w:ascii="宋体" w:hAnsi="宋体" w:eastAsia="宋体" w:cs="宋体"/>
          <w:color w:val="auto"/>
          <w:highlight w:val="none"/>
          <w:u w:val="single"/>
        </w:rPr>
        <w:t>属于下列任何一种情况引起的暂停施工，承包人不能提出增加费用和延长工期的要求：</w:t>
      </w:r>
    </w:p>
    <w:p w14:paraId="7B90C92F">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宋体" w:hAnsi="宋体" w:eastAsia="宋体" w:cs="宋体"/>
          <w:color w:val="auto"/>
          <w:highlight w:val="none"/>
          <w:u w:val="single"/>
        </w:rPr>
      </w:pPr>
      <w:r>
        <w:rPr>
          <w:rStyle w:val="32"/>
          <w:rFonts w:hint="eastAsia" w:ascii="宋体" w:hAnsi="宋体" w:eastAsia="宋体" w:cs="宋体"/>
          <w:color w:val="auto"/>
          <w:highlight w:val="none"/>
          <w:u w:val="single"/>
        </w:rPr>
        <w:t>①合同中另有规定的。</w:t>
      </w:r>
    </w:p>
    <w:p w14:paraId="20001A81">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宋体" w:hAnsi="宋体" w:eastAsia="宋体" w:cs="宋体"/>
          <w:color w:val="auto"/>
          <w:highlight w:val="none"/>
          <w:u w:val="single"/>
        </w:rPr>
      </w:pPr>
      <w:r>
        <w:rPr>
          <w:rStyle w:val="32"/>
          <w:rFonts w:hint="eastAsia" w:ascii="宋体" w:hAnsi="宋体" w:eastAsia="宋体" w:cs="宋体"/>
          <w:color w:val="auto"/>
          <w:highlight w:val="none"/>
          <w:u w:val="single"/>
        </w:rPr>
        <w:t>②由于承包人违约引起的暂停施工。</w:t>
      </w:r>
    </w:p>
    <w:p w14:paraId="3EAED90B">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宋体" w:hAnsi="宋体" w:eastAsia="宋体" w:cs="宋体"/>
          <w:color w:val="auto"/>
          <w:highlight w:val="none"/>
          <w:u w:val="single"/>
        </w:rPr>
      </w:pPr>
      <w:r>
        <w:rPr>
          <w:rStyle w:val="32"/>
          <w:rFonts w:hint="eastAsia" w:ascii="宋体" w:hAnsi="宋体" w:eastAsia="宋体" w:cs="宋体"/>
          <w:color w:val="auto"/>
          <w:highlight w:val="none"/>
          <w:u w:val="single"/>
        </w:rPr>
        <w:t>③由于现场非异常恶劣气候条件引起的正常停工。</w:t>
      </w:r>
    </w:p>
    <w:p w14:paraId="6E5A6796">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宋体" w:hAnsi="宋体" w:eastAsia="宋体" w:cs="宋体"/>
          <w:color w:val="auto"/>
          <w:highlight w:val="none"/>
          <w:u w:val="single"/>
        </w:rPr>
      </w:pPr>
      <w:r>
        <w:rPr>
          <w:rStyle w:val="32"/>
          <w:rFonts w:hint="eastAsia" w:ascii="宋体" w:hAnsi="宋体" w:eastAsia="宋体" w:cs="宋体"/>
          <w:color w:val="auto"/>
          <w:highlight w:val="none"/>
          <w:u w:val="single"/>
        </w:rPr>
        <w:t>④由于承包人为工程的合理施工和保证安全所必须的暂停施工。</w:t>
      </w:r>
    </w:p>
    <w:p w14:paraId="79916DE1">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宋体" w:hAnsi="宋体" w:eastAsia="宋体" w:cs="宋体"/>
          <w:color w:val="auto"/>
          <w:highlight w:val="none"/>
          <w:u w:val="single"/>
        </w:rPr>
      </w:pPr>
      <w:r>
        <w:rPr>
          <w:rStyle w:val="32"/>
          <w:rFonts w:hint="eastAsia" w:ascii="宋体" w:hAnsi="宋体" w:eastAsia="宋体" w:cs="宋体"/>
          <w:color w:val="auto"/>
          <w:highlight w:val="none"/>
          <w:u w:val="single"/>
        </w:rPr>
        <w:t>⑤未得到监理人许可的承包人擅自停工。</w:t>
      </w:r>
    </w:p>
    <w:p w14:paraId="5F0B30E6">
      <w:pPr>
        <w:pStyle w:val="102"/>
        <w:pageBreakBefore w:val="0"/>
        <w:tabs>
          <w:tab w:val="left" w:pos="8218"/>
        </w:tabs>
        <w:kinsoku/>
        <w:wordWrap/>
        <w:overflowPunct/>
        <w:topLinePunct w:val="0"/>
        <w:autoSpaceDE/>
        <w:autoSpaceDN/>
        <w:bidi w:val="0"/>
        <w:adjustRightInd/>
        <w:snapToGrid/>
        <w:spacing w:line="360" w:lineRule="exact"/>
        <w:ind w:firstLine="420"/>
        <w:jc w:val="both"/>
        <w:textAlignment w:val="auto"/>
        <w:outlineLvl w:val="9"/>
        <w:rPr>
          <w:rStyle w:val="32"/>
          <w:rFonts w:hint="eastAsia" w:ascii="Times New Roman" w:hAnsi="Times New Roman" w:cs="Times New Roman"/>
          <w:color w:val="auto"/>
          <w:highlight w:val="none"/>
          <w:lang w:val="en-US" w:bidi="en-US"/>
        </w:rPr>
      </w:pPr>
      <w:r>
        <w:rPr>
          <w:rStyle w:val="32"/>
          <w:rFonts w:hint="eastAsia" w:ascii="宋体" w:hAnsi="宋体" w:eastAsia="宋体" w:cs="宋体"/>
          <w:color w:val="auto"/>
          <w:highlight w:val="none"/>
          <w:u w:val="single"/>
        </w:rPr>
        <w:t>⑥其它由于承包人原因引起的暂停施工。</w:t>
      </w:r>
    </w:p>
    <w:p w14:paraId="0B7D2402">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74" w:name="_Toc256000290"/>
      <w:bookmarkStart w:id="1575" w:name="_Toc256000213"/>
      <w:r>
        <w:rPr>
          <w:rStyle w:val="32"/>
          <w:rFonts w:ascii="宋体" w:hAnsi="宋体" w:cs="Times New Roman"/>
          <w:color w:val="auto"/>
          <w:sz w:val="24"/>
          <w:szCs w:val="24"/>
          <w:highlight w:val="none"/>
          <w:lang w:eastAsia="zh-CN" w:bidi="en-US"/>
        </w:rPr>
        <w:t>12.2发包人暂停施工的责任</w:t>
      </w:r>
      <w:bookmarkEnd w:id="1574"/>
      <w:bookmarkEnd w:id="1575"/>
    </w:p>
    <w:p w14:paraId="3E95BC19">
      <w:pPr>
        <w:pStyle w:val="102"/>
        <w:pageBreakBefore w:val="0"/>
        <w:numPr>
          <w:ilvl w:val="0"/>
          <w:numId w:val="47"/>
        </w:numPr>
        <w:tabs>
          <w:tab w:val="left" w:pos="923"/>
          <w:tab w:val="left" w:pos="8218"/>
        </w:tabs>
        <w:kinsoku/>
        <w:wordWrap/>
        <w:overflowPunct/>
        <w:topLinePunct w:val="0"/>
        <w:autoSpaceDE/>
        <w:autoSpaceDN/>
        <w:bidi w:val="0"/>
        <w:adjustRightInd/>
        <w:snapToGrid/>
        <w:spacing w:after="140" w:line="434" w:lineRule="auto"/>
        <w:ind w:firstLine="440"/>
        <w:jc w:val="both"/>
        <w:textAlignment w:val="auto"/>
        <w:outlineLvl w:val="9"/>
        <w:rPr>
          <w:rStyle w:val="32"/>
          <w:color w:val="auto"/>
          <w:highlight w:val="none"/>
        </w:rPr>
      </w:pPr>
      <w:bookmarkStart w:id="1576" w:name="bookmark1742"/>
      <w:bookmarkEnd w:id="1576"/>
      <w:r>
        <w:rPr>
          <w:rStyle w:val="32"/>
          <w:color w:val="auto"/>
          <w:highlight w:val="none"/>
        </w:rPr>
        <w:t>发包人承担暂停施工责任的其它情形：</w:t>
      </w:r>
      <w:r>
        <w:rPr>
          <w:rStyle w:val="32"/>
          <w:rFonts w:hint="eastAsia" w:ascii="宋体" w:hAnsi="宋体" w:eastAsia="宋体" w:cs="宋体"/>
          <w:color w:val="auto"/>
          <w:highlight w:val="none"/>
          <w:u w:val="single"/>
        </w:rPr>
        <w:t xml:space="preserve">发包人可以根据资金到位情况暂停部分项目的施工，发包人只延长因该部分暂停施工增加的工期，但不增加投资 </w:t>
      </w:r>
      <w:r>
        <w:rPr>
          <w:rStyle w:val="32"/>
          <w:rFonts w:hint="eastAsia" w:ascii="Times New Roman" w:hAnsi="Times New Roman" w:cs="Times New Roman"/>
          <w:color w:val="auto"/>
          <w:highlight w:val="none"/>
          <w:lang w:val="en-US" w:bidi="en-US"/>
        </w:rPr>
        <w:t>。</w:t>
      </w:r>
    </w:p>
    <w:p w14:paraId="2F57819D">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577" w:name="_Toc256000214"/>
      <w:bookmarkStart w:id="1578" w:name="bookmark1744"/>
      <w:bookmarkStart w:id="1579" w:name="bookmark1743"/>
      <w:bookmarkStart w:id="1580" w:name="_Toc4631"/>
      <w:bookmarkStart w:id="1581" w:name="_Toc26672"/>
      <w:bookmarkStart w:id="1582" w:name="_Toc256000291"/>
      <w:bookmarkStart w:id="1583" w:name="bookmark1745"/>
      <w:bookmarkStart w:id="1584" w:name="_Toc13616"/>
      <w:r>
        <w:rPr>
          <w:rStyle w:val="32"/>
          <w:rFonts w:hint="eastAsia" w:cs="Times New Roman"/>
          <w:color w:val="auto"/>
          <w:highlight w:val="none"/>
          <w:lang w:eastAsia="zh-CN"/>
        </w:rPr>
        <w:t>13. 工程质量</w:t>
      </w:r>
      <w:bookmarkEnd w:id="1577"/>
      <w:bookmarkEnd w:id="1578"/>
      <w:bookmarkEnd w:id="1579"/>
      <w:bookmarkEnd w:id="1580"/>
      <w:bookmarkEnd w:id="1581"/>
      <w:bookmarkEnd w:id="1582"/>
      <w:bookmarkEnd w:id="1583"/>
      <w:bookmarkEnd w:id="1584"/>
    </w:p>
    <w:p w14:paraId="253407BD">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85" w:name="bookmark1748"/>
      <w:bookmarkStart w:id="1586" w:name="_Toc256000292"/>
      <w:bookmarkStart w:id="1587" w:name="bookmark1747"/>
      <w:bookmarkStart w:id="1588" w:name="_Toc256000215"/>
      <w:bookmarkStart w:id="1589" w:name="bookmark1746"/>
      <w:r>
        <w:rPr>
          <w:rStyle w:val="32"/>
          <w:rFonts w:ascii="宋体" w:hAnsi="宋体" w:cs="Times New Roman"/>
          <w:color w:val="auto"/>
          <w:sz w:val="24"/>
          <w:szCs w:val="24"/>
          <w:highlight w:val="none"/>
          <w:lang w:eastAsia="zh-CN" w:bidi="en-US"/>
        </w:rPr>
        <w:t>13.7质量评定</w:t>
      </w:r>
      <w:bookmarkEnd w:id="1585"/>
      <w:bookmarkEnd w:id="1586"/>
      <w:bookmarkEnd w:id="1587"/>
      <w:bookmarkEnd w:id="1588"/>
      <w:bookmarkEnd w:id="1589"/>
    </w:p>
    <w:p w14:paraId="4B6C54F1">
      <w:pPr>
        <w:pStyle w:val="102"/>
        <w:pageBreakBefore w:val="0"/>
        <w:tabs>
          <w:tab w:val="left" w:pos="8228"/>
        </w:tabs>
        <w:kinsoku/>
        <w:wordWrap/>
        <w:overflowPunct/>
        <w:topLinePunct w:val="0"/>
        <w:autoSpaceDE/>
        <w:autoSpaceDN/>
        <w:bidi w:val="0"/>
        <w:adjustRightInd/>
        <w:snapToGrid/>
        <w:spacing w:line="37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13.7.4</w:t>
      </w:r>
      <w:r>
        <w:rPr>
          <w:rStyle w:val="32"/>
          <w:color w:val="auto"/>
          <w:highlight w:val="none"/>
        </w:rPr>
        <w:t>重要隐蔽单元工程和关键部位单元工程质量评定的约定：</w:t>
      </w:r>
      <w:r>
        <w:rPr>
          <w:rStyle w:val="32"/>
          <w:rFonts w:hint="eastAsia" w:ascii="宋体" w:hAnsi="宋体" w:eastAsia="宋体" w:cs="宋体"/>
          <w:color w:val="auto"/>
          <w:highlight w:val="none"/>
          <w:u w:val="single"/>
        </w:rPr>
        <w:t>必须组织相关各方进行联检</w:t>
      </w:r>
      <w:r>
        <w:rPr>
          <w:rStyle w:val="32"/>
          <w:rFonts w:hint="eastAsia" w:ascii="宋体" w:hAnsi="宋体" w:eastAsia="宋体" w:cs="宋体"/>
          <w:color w:val="auto"/>
          <w:highlight w:val="none"/>
          <w:u w:val="single"/>
          <w:lang w:val="en-US"/>
        </w:rPr>
        <w:t>。</w:t>
      </w:r>
    </w:p>
    <w:p w14:paraId="281B5E4F">
      <w:pPr>
        <w:pStyle w:val="102"/>
        <w:pageBreakBefore w:val="0"/>
        <w:tabs>
          <w:tab w:val="left" w:pos="3751"/>
          <w:tab w:val="left" w:pos="4834"/>
          <w:tab w:val="left" w:pos="8225"/>
        </w:tabs>
        <w:kinsoku/>
        <w:wordWrap/>
        <w:overflowPunct/>
        <w:topLinePunct w:val="0"/>
        <w:autoSpaceDE/>
        <w:autoSpaceDN/>
        <w:bidi w:val="0"/>
        <w:adjustRightInd/>
        <w:snapToGrid/>
        <w:spacing w:after="240" w:line="37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13.7.7 </w:t>
      </w:r>
      <w:r>
        <w:rPr>
          <w:rStyle w:val="32"/>
          <w:color w:val="auto"/>
          <w:highlight w:val="none"/>
        </w:rPr>
        <w:t>工程合格标准为：</w:t>
      </w:r>
      <w:r>
        <w:rPr>
          <w:rStyle w:val="32"/>
          <w:rFonts w:hint="eastAsia" w:ascii="宋体" w:hAnsi="宋体" w:eastAsia="宋体" w:cs="宋体"/>
          <w:color w:val="auto"/>
          <w:highlight w:val="none"/>
          <w:u w:val="single"/>
        </w:rPr>
        <w:t>执行《水利水电工程施工质量检验与评定规程》（SL176—2007）</w:t>
      </w:r>
      <w:r>
        <w:rPr>
          <w:rStyle w:val="32"/>
          <w:rFonts w:hint="eastAsia"/>
          <w:color w:val="auto"/>
          <w:highlight w:val="none"/>
        </w:rPr>
        <w:t>；</w:t>
      </w:r>
      <w:r>
        <w:rPr>
          <w:rStyle w:val="32"/>
          <w:color w:val="auto"/>
          <w:highlight w:val="none"/>
        </w:rPr>
        <w:t>优良标准为：</w:t>
      </w:r>
      <w:r>
        <w:rPr>
          <w:rStyle w:val="32"/>
          <w:rFonts w:hint="eastAsia" w:ascii="宋体" w:hAnsi="宋体" w:eastAsia="宋体" w:cs="宋体"/>
          <w:color w:val="auto"/>
          <w:highlight w:val="none"/>
          <w:u w:val="single"/>
        </w:rPr>
        <w:t>执行《水利水电工程施工质量检验与评定规程》（SL176—2007）</w:t>
      </w:r>
      <w:r>
        <w:rPr>
          <w:rStyle w:val="32"/>
          <w:rFonts w:hint="eastAsia" w:ascii="Times New Roman" w:hAnsi="Times New Roman" w:cs="Times New Roman"/>
          <w:color w:val="auto"/>
          <w:highlight w:val="none"/>
          <w:lang w:val="en-US" w:bidi="en-US"/>
        </w:rPr>
        <w:t>。</w:t>
      </w:r>
      <w:r>
        <w:rPr>
          <w:rStyle w:val="32"/>
          <w:color w:val="auto"/>
          <w:highlight w:val="none"/>
        </w:rPr>
        <w:t>达到优良的奖金为：</w:t>
      </w:r>
      <w:r>
        <w:rPr>
          <w:rStyle w:val="32"/>
          <w:rFonts w:hint="eastAsia"/>
          <w:color w:val="auto"/>
          <w:highlight w:val="none"/>
          <w:u w:val="single"/>
          <w:lang w:eastAsia="zh-CN"/>
        </w:rPr>
        <w:t>无</w:t>
      </w:r>
      <w:r>
        <w:rPr>
          <w:rStyle w:val="32"/>
          <w:rFonts w:hint="eastAsia" w:ascii="Times New Roman" w:hAnsi="Times New Roman" w:cs="Times New Roman"/>
          <w:color w:val="auto"/>
          <w:highlight w:val="none"/>
          <w:lang w:val="en-US" w:bidi="en-US"/>
        </w:rPr>
        <w:t>。</w:t>
      </w:r>
    </w:p>
    <w:p w14:paraId="3D9DABF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590" w:name="_Toc256000216"/>
      <w:bookmarkStart w:id="1591" w:name="bookmark1750"/>
      <w:bookmarkStart w:id="1592" w:name="bookmark1751"/>
      <w:bookmarkStart w:id="1593" w:name="bookmark1749"/>
      <w:bookmarkStart w:id="1594" w:name="_Toc256000293"/>
      <w:r>
        <w:rPr>
          <w:rStyle w:val="32"/>
          <w:rFonts w:ascii="宋体" w:hAnsi="宋体" w:cs="Times New Roman"/>
          <w:color w:val="auto"/>
          <w:sz w:val="24"/>
          <w:szCs w:val="24"/>
          <w:highlight w:val="none"/>
          <w:lang w:eastAsia="zh-CN" w:bidi="en-US"/>
        </w:rPr>
        <w:t>13.8质量事故处理</w:t>
      </w:r>
      <w:bookmarkEnd w:id="1590"/>
      <w:bookmarkEnd w:id="1591"/>
      <w:bookmarkEnd w:id="1592"/>
      <w:bookmarkEnd w:id="1593"/>
      <w:bookmarkEnd w:id="1594"/>
    </w:p>
    <w:p w14:paraId="581D134F">
      <w:pPr>
        <w:pStyle w:val="102"/>
        <w:pageBreakBefore w:val="0"/>
        <w:tabs>
          <w:tab w:val="left" w:pos="4814"/>
        </w:tabs>
        <w:kinsoku/>
        <w:wordWrap/>
        <w:overflowPunct/>
        <w:topLinePunct w:val="0"/>
        <w:autoSpaceDE/>
        <w:autoSpaceDN/>
        <w:bidi w:val="0"/>
        <w:adjustRightInd/>
        <w:snapToGrid/>
        <w:spacing w:after="180" w:line="365"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13.8.4</w:t>
      </w:r>
      <w:r>
        <w:rPr>
          <w:rStyle w:val="32"/>
          <w:color w:val="auto"/>
          <w:highlight w:val="none"/>
        </w:rPr>
        <w:t>工程竣工验收时，</w:t>
      </w:r>
      <w:r>
        <w:rPr>
          <w:rStyle w:val="32"/>
          <w:rFonts w:hint="eastAsia" w:ascii="宋体" w:hAnsi="宋体" w:eastAsia="宋体" w:cs="宋体"/>
          <w:color w:val="auto"/>
          <w:highlight w:val="none"/>
          <w:u w:val="single"/>
        </w:rPr>
        <w:t>承包人及监理人</w:t>
      </w:r>
      <w:r>
        <w:rPr>
          <w:rStyle w:val="32"/>
          <w:color w:val="auto"/>
          <w:highlight w:val="none"/>
        </w:rPr>
        <w:t>向竣工验收委员会汇报并提交历次质量缺陷处理的备案资料。</w:t>
      </w:r>
    </w:p>
    <w:p w14:paraId="163BC5AE">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595" w:name="_Toc256000217"/>
      <w:bookmarkStart w:id="1596" w:name="_Toc6407"/>
      <w:bookmarkStart w:id="1597" w:name="_Toc256000294"/>
      <w:bookmarkStart w:id="1598" w:name="bookmark1754"/>
      <w:bookmarkStart w:id="1599" w:name="bookmark1753"/>
      <w:bookmarkStart w:id="1600" w:name="_Toc20650"/>
      <w:bookmarkStart w:id="1601" w:name="bookmark1752"/>
      <w:bookmarkStart w:id="1602" w:name="_Toc29861"/>
      <w:r>
        <w:rPr>
          <w:rStyle w:val="32"/>
          <w:rFonts w:hint="eastAsia" w:cs="Times New Roman"/>
          <w:color w:val="auto"/>
          <w:highlight w:val="none"/>
          <w:lang w:eastAsia="zh-CN"/>
        </w:rPr>
        <w:t>14 . 试验和检验</w:t>
      </w:r>
      <w:bookmarkEnd w:id="1595"/>
      <w:bookmarkEnd w:id="1596"/>
      <w:bookmarkEnd w:id="1597"/>
      <w:bookmarkEnd w:id="1598"/>
      <w:bookmarkEnd w:id="1599"/>
      <w:bookmarkEnd w:id="1600"/>
      <w:bookmarkEnd w:id="1601"/>
      <w:bookmarkEnd w:id="1602"/>
    </w:p>
    <w:p w14:paraId="1ED30C4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03" w:name="_Toc256000295"/>
      <w:bookmarkStart w:id="1604" w:name="bookmark1756"/>
      <w:bookmarkStart w:id="1605" w:name="_Toc256000218"/>
      <w:bookmarkStart w:id="1606" w:name="bookmark1757"/>
      <w:bookmarkStart w:id="1607" w:name="bookmark1755"/>
      <w:r>
        <w:rPr>
          <w:rStyle w:val="32"/>
          <w:rFonts w:ascii="宋体" w:hAnsi="宋体" w:cs="Times New Roman"/>
          <w:color w:val="auto"/>
          <w:sz w:val="24"/>
          <w:szCs w:val="24"/>
          <w:highlight w:val="none"/>
          <w:lang w:eastAsia="zh-CN" w:bidi="en-US"/>
        </w:rPr>
        <w:t>14.1材料、工程设备和工程的试验和检验</w:t>
      </w:r>
      <w:bookmarkEnd w:id="1603"/>
      <w:bookmarkEnd w:id="1604"/>
      <w:bookmarkEnd w:id="1605"/>
      <w:bookmarkEnd w:id="1606"/>
      <w:bookmarkEnd w:id="1607"/>
    </w:p>
    <w:p w14:paraId="564B34FD">
      <w:pPr>
        <w:pStyle w:val="102"/>
        <w:pageBreakBefore w:val="0"/>
        <w:tabs>
          <w:tab w:val="left" w:pos="2071"/>
        </w:tabs>
        <w:kinsoku/>
        <w:wordWrap/>
        <w:overflowPunct/>
        <w:topLinePunct w:val="0"/>
        <w:autoSpaceDE/>
        <w:autoSpaceDN/>
        <w:bidi w:val="0"/>
        <w:adjustRightInd/>
        <w:snapToGrid/>
        <w:spacing w:line="372"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14.1.5</w:t>
      </w:r>
      <w:r>
        <w:rPr>
          <w:rStyle w:val="32"/>
          <w:color w:val="auto"/>
          <w:highlight w:val="none"/>
        </w:rPr>
        <w:t>水工金属结构、启闭机及机电产品进场后的交货检查和验收中，承包人负责</w:t>
      </w:r>
      <w:r>
        <w:rPr>
          <w:rStyle w:val="32"/>
          <w:rFonts w:hint="eastAsia"/>
          <w:color w:val="auto"/>
          <w:highlight w:val="none"/>
          <w:lang w:val="en-US" w:eastAsia="zh-CN"/>
        </w:rPr>
        <w:t xml:space="preserve"> </w:t>
      </w:r>
      <w:r>
        <w:rPr>
          <w:rStyle w:val="32"/>
          <w:rFonts w:hint="eastAsia" w:ascii="宋体" w:hAnsi="宋体" w:eastAsia="宋体" w:cs="宋体"/>
          <w:color w:val="auto"/>
          <w:highlight w:val="none"/>
          <w:u w:val="single"/>
        </w:rPr>
        <w:t>按通用条款执行</w:t>
      </w:r>
      <w:r>
        <w:rPr>
          <w:rStyle w:val="104"/>
          <w:rFonts w:hint="eastAsia" w:ascii="宋体" w:hAnsi="宋体" w:eastAsia="宋体" w:cs="宋体"/>
          <w:color w:val="auto"/>
          <w:sz w:val="21"/>
          <w:szCs w:val="21"/>
          <w:highlight w:val="none"/>
          <w:u w:val="single"/>
        </w:rPr>
        <w:t>。</w:t>
      </w:r>
    </w:p>
    <w:p w14:paraId="16DF201E">
      <w:pPr>
        <w:pStyle w:val="102"/>
        <w:pageBreakBefore w:val="0"/>
        <w:tabs>
          <w:tab w:val="left" w:pos="7525"/>
        </w:tabs>
        <w:kinsoku/>
        <w:wordWrap/>
        <w:overflowPunct/>
        <w:topLinePunct w:val="0"/>
        <w:autoSpaceDE/>
        <w:autoSpaceDN/>
        <w:bidi w:val="0"/>
        <w:adjustRightInd/>
        <w:snapToGrid/>
        <w:spacing w:after="180" w:line="364"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14.1.6</w:t>
      </w:r>
      <w:r>
        <w:rPr>
          <w:rStyle w:val="32"/>
          <w:color w:val="auto"/>
          <w:highlight w:val="none"/>
        </w:rPr>
        <w:t>本工程实行见证取样的试块、试件及有关材料：</w:t>
      </w:r>
      <w:r>
        <w:rPr>
          <w:rStyle w:val="32"/>
          <w:rFonts w:hint="eastAsia" w:ascii="宋体" w:hAnsi="宋体" w:eastAsia="宋体" w:cs="宋体"/>
          <w:color w:val="auto"/>
          <w:highlight w:val="none"/>
          <w:u w:val="single"/>
        </w:rPr>
        <w:t>按通用条款执行</w:t>
      </w:r>
      <w:r>
        <w:rPr>
          <w:rStyle w:val="32"/>
          <w:rFonts w:hint="eastAsia" w:ascii="Times New Roman" w:hAnsi="Times New Roman" w:cs="Times New Roman"/>
          <w:color w:val="auto"/>
          <w:highlight w:val="none"/>
          <w:lang w:val="en-US" w:bidi="en-US"/>
        </w:rPr>
        <w:t>。</w:t>
      </w:r>
    </w:p>
    <w:p w14:paraId="5460AA67">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608" w:name="_Toc217"/>
      <w:bookmarkStart w:id="1609" w:name="bookmark1760"/>
      <w:bookmarkStart w:id="1610" w:name="_Toc256000296"/>
      <w:bookmarkStart w:id="1611" w:name="_Toc2879"/>
      <w:bookmarkStart w:id="1612" w:name="_Toc256000219"/>
      <w:bookmarkStart w:id="1613" w:name="_Toc29563"/>
      <w:bookmarkStart w:id="1614" w:name="bookmark1759"/>
      <w:bookmarkStart w:id="1615" w:name="bookmark1758"/>
      <w:r>
        <w:rPr>
          <w:rStyle w:val="32"/>
          <w:rFonts w:hint="eastAsia" w:cs="Times New Roman"/>
          <w:color w:val="auto"/>
          <w:highlight w:val="none"/>
          <w:lang w:eastAsia="zh-CN"/>
        </w:rPr>
        <w:t>15. 变更</w:t>
      </w:r>
      <w:bookmarkEnd w:id="1608"/>
      <w:bookmarkEnd w:id="1609"/>
      <w:bookmarkEnd w:id="1610"/>
      <w:bookmarkEnd w:id="1611"/>
      <w:bookmarkEnd w:id="1612"/>
      <w:bookmarkEnd w:id="1613"/>
    </w:p>
    <w:p w14:paraId="2B061E53">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16" w:name="_Toc256000220"/>
      <w:bookmarkStart w:id="1617" w:name="bookmark1761"/>
      <w:bookmarkStart w:id="1618" w:name="_Toc256000297"/>
      <w:r>
        <w:rPr>
          <w:rStyle w:val="32"/>
          <w:rFonts w:ascii="宋体" w:hAnsi="宋体" w:cs="Times New Roman"/>
          <w:color w:val="auto"/>
          <w:sz w:val="24"/>
          <w:szCs w:val="24"/>
          <w:highlight w:val="none"/>
          <w:lang w:eastAsia="zh-CN" w:bidi="en-US"/>
        </w:rPr>
        <w:t>15.1变更的范围和内容</w:t>
      </w:r>
      <w:bookmarkEnd w:id="1614"/>
      <w:bookmarkEnd w:id="1615"/>
      <w:bookmarkEnd w:id="1616"/>
      <w:bookmarkEnd w:id="1617"/>
      <w:bookmarkEnd w:id="1618"/>
    </w:p>
    <w:p w14:paraId="190721E6">
      <w:pPr>
        <w:pStyle w:val="102"/>
        <w:pageBreakBefore w:val="0"/>
        <w:kinsoku/>
        <w:wordWrap/>
        <w:overflowPunct/>
        <w:topLinePunct w:val="0"/>
        <w:autoSpaceDE/>
        <w:autoSpaceDN/>
        <w:bidi w:val="0"/>
        <w:adjustRightInd/>
        <w:snapToGrid/>
        <w:spacing w:line="356" w:lineRule="exact"/>
        <w:ind w:firstLine="440"/>
        <w:jc w:val="both"/>
        <w:textAlignment w:val="auto"/>
        <w:outlineLvl w:val="9"/>
        <w:rPr>
          <w:rStyle w:val="32"/>
          <w:rFonts w:hint="eastAsia" w:ascii="宋体" w:hAnsi="宋体" w:eastAsia="宋体" w:cs="宋体"/>
          <w:color w:val="auto"/>
          <w:highlight w:val="none"/>
          <w:lang w:val="en-US"/>
        </w:rPr>
      </w:pPr>
      <w:bookmarkStart w:id="1619" w:name="bookmark1762"/>
      <w:bookmarkEnd w:id="1619"/>
      <w:r>
        <w:rPr>
          <w:rStyle w:val="32"/>
          <w:rFonts w:hint="eastAsia" w:ascii="宋体" w:hAnsi="宋体" w:eastAsia="宋体" w:cs="宋体"/>
          <w:color w:val="auto"/>
          <w:highlight w:val="none"/>
          <w:lang w:val="en-US"/>
        </w:rPr>
        <w:t>□（6）增加或减少合同中关键项目的工程量超过其项目工程总量的</w:t>
      </w:r>
      <w:r>
        <w:rPr>
          <w:rStyle w:val="32"/>
          <w:rFonts w:hint="eastAsia" w:ascii="宋体" w:hAnsi="宋体" w:eastAsia="宋体" w:cs="宋体"/>
          <w:color w:val="auto"/>
          <w:highlight w:val="none"/>
          <w:u w:val="single"/>
          <w:lang w:val="en-US" w:eastAsia="zh-CN"/>
        </w:rPr>
        <w:t>10</w:t>
      </w:r>
      <w:r>
        <w:rPr>
          <w:rStyle w:val="32"/>
          <w:rFonts w:hint="eastAsia" w:ascii="宋体" w:hAnsi="宋体" w:eastAsia="宋体" w:cs="宋体"/>
          <w:color w:val="auto"/>
          <w:highlight w:val="none"/>
          <w:u w:val="single"/>
          <w:lang w:val="en-US"/>
        </w:rPr>
        <w:t xml:space="preserve"> </w:t>
      </w:r>
      <w:r>
        <w:rPr>
          <w:rStyle w:val="32"/>
          <w:rFonts w:hint="eastAsia" w:ascii="宋体" w:hAnsi="宋体" w:eastAsia="宋体" w:cs="宋体"/>
          <w:color w:val="auto"/>
          <w:highlight w:val="none"/>
          <w:lang w:val="en-US"/>
        </w:rPr>
        <w:t>%,关键项目：</w:t>
      </w:r>
      <w:r>
        <w:rPr>
          <w:rStyle w:val="32"/>
          <w:rFonts w:hint="eastAsia" w:ascii="宋体" w:hAnsi="宋体" w:eastAsia="宋体" w:cs="宋体"/>
          <w:color w:val="auto"/>
          <w:highlight w:val="none"/>
          <w:u w:val="single"/>
          <w:lang w:val="en-US" w:eastAsia="zh-CN"/>
        </w:rPr>
        <w:t>监督站核定的项目划分表确定关键项目</w:t>
      </w:r>
      <w:r>
        <w:rPr>
          <w:rStyle w:val="32"/>
          <w:rFonts w:ascii="宋体" w:hAnsi="宋体" w:eastAsia="宋体" w:cs="宋体"/>
          <w:color w:val="auto"/>
          <w:highlight w:val="none"/>
        </w:rPr>
        <w:t>,单价调整方式：</w:t>
      </w:r>
      <w:r>
        <w:rPr>
          <w:rStyle w:val="32"/>
          <w:rFonts w:hint="eastAsia" w:ascii="宋体" w:hAnsi="宋体" w:eastAsia="宋体" w:cs="宋体"/>
          <w:color w:val="auto"/>
          <w:highlight w:val="none"/>
          <w:u w:val="single"/>
          <w:lang w:val="en-US" w:eastAsia="zh-CN"/>
        </w:rPr>
        <w:t>按承包人投标预算单价执行。无项目单价的按发包方与承包方确认的补充单价确定。在工程施工期间，因市场物价波动及政策变化而进行调整材料价格，超出招标预算中该材料的预算价格的，按本合同专用条款第</w:t>
      </w:r>
      <w:r>
        <w:rPr>
          <w:rStyle w:val="32"/>
          <w:rFonts w:hint="default" w:ascii="宋体" w:hAnsi="宋体" w:eastAsia="宋体" w:cs="宋体"/>
          <w:color w:val="auto"/>
          <w:highlight w:val="none"/>
          <w:u w:val="single"/>
          <w:lang w:val="en-US" w:eastAsia="zh-CN"/>
        </w:rPr>
        <w:t>16</w:t>
      </w:r>
      <w:r>
        <w:rPr>
          <w:rStyle w:val="32"/>
          <w:rFonts w:hint="eastAsia" w:ascii="宋体" w:hAnsi="宋体" w:eastAsia="宋体" w:cs="宋体"/>
          <w:color w:val="auto"/>
          <w:highlight w:val="none"/>
          <w:u w:val="single"/>
          <w:lang w:val="en-US" w:eastAsia="zh-CN"/>
        </w:rPr>
        <w:t>款执行</w:t>
      </w:r>
      <w:r>
        <w:rPr>
          <w:rStyle w:val="32"/>
          <w:rFonts w:hint="eastAsia" w:ascii="宋体" w:hAnsi="宋体" w:eastAsia="宋体" w:cs="宋体"/>
          <w:color w:val="auto"/>
          <w:highlight w:val="none"/>
          <w:lang w:val="en-US" w:eastAsia="zh-CN"/>
        </w:rPr>
        <w:t>。</w:t>
      </w:r>
    </w:p>
    <w:p w14:paraId="49025A75">
      <w:pPr>
        <w:pStyle w:val="102"/>
        <w:pageBreakBefore w:val="0"/>
        <w:tabs>
          <w:tab w:val="left" w:pos="2244"/>
          <w:tab w:val="left" w:pos="5791"/>
          <w:tab w:val="left" w:pos="7224"/>
        </w:tabs>
        <w:kinsoku/>
        <w:wordWrap/>
        <w:overflowPunct/>
        <w:topLinePunct w:val="0"/>
        <w:autoSpaceDE/>
        <w:autoSpaceDN/>
        <w:bidi w:val="0"/>
        <w:adjustRightInd/>
        <w:snapToGrid/>
        <w:spacing w:line="362" w:lineRule="exact"/>
        <w:ind w:left="420" w:leftChars="200" w:firstLine="0"/>
        <w:jc w:val="both"/>
        <w:textAlignment w:val="auto"/>
        <w:outlineLvl w:val="9"/>
        <w:rPr>
          <w:rStyle w:val="32"/>
          <w:rFonts w:hint="eastAsia" w:ascii="Times New Roman" w:hAnsi="Times New Roman" w:cs="Times New Roman"/>
          <w:color w:val="auto"/>
          <w:highlight w:val="none"/>
          <w:lang w:val="en-US" w:bidi="en-US"/>
        </w:rPr>
      </w:pPr>
      <w:r>
        <w:rPr>
          <w:rStyle w:val="32"/>
          <w:rFonts w:hint="eastAsia" w:ascii="Times New Roman" w:hAnsi="Times New Roman" w:cs="Times New Roman"/>
          <w:color w:val="auto"/>
          <w:highlight w:val="none"/>
          <w:lang w:val="en-US" w:eastAsia="zh-CN" w:bidi="en-US"/>
        </w:rPr>
        <w:t>☑</w:t>
      </w:r>
      <w:r>
        <w:rPr>
          <w:rStyle w:val="32"/>
          <w:rFonts w:hint="eastAsia" w:ascii="Times New Roman" w:hAnsi="Times New Roman" w:cs="Times New Roman"/>
          <w:color w:val="auto"/>
          <w:highlight w:val="none"/>
          <w:lang w:val="en-US" w:bidi="en-US"/>
        </w:rPr>
        <w:t>（6）本合同工程不因增加或减少合同工程量而调整合同单价。</w:t>
      </w:r>
    </w:p>
    <w:p w14:paraId="3E0149E1">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20" w:name="bookmark1765"/>
      <w:bookmarkStart w:id="1621" w:name="bookmark1763"/>
      <w:bookmarkStart w:id="1622" w:name="bookmark1764"/>
      <w:bookmarkStart w:id="1623" w:name="_Toc256000221"/>
      <w:bookmarkStart w:id="1624" w:name="_Toc256000298"/>
      <w:r>
        <w:rPr>
          <w:rStyle w:val="32"/>
          <w:rFonts w:ascii="宋体" w:hAnsi="宋体" w:cs="Times New Roman"/>
          <w:color w:val="auto"/>
          <w:sz w:val="24"/>
          <w:szCs w:val="24"/>
          <w:highlight w:val="none"/>
          <w:lang w:eastAsia="zh-CN" w:bidi="en-US"/>
        </w:rPr>
        <w:t>15.4变更的估价原则</w:t>
      </w:r>
      <w:bookmarkEnd w:id="1620"/>
      <w:bookmarkEnd w:id="1621"/>
      <w:bookmarkEnd w:id="1622"/>
      <w:bookmarkEnd w:id="1623"/>
      <w:bookmarkEnd w:id="1624"/>
    </w:p>
    <w:p w14:paraId="102C2FC3">
      <w:pPr>
        <w:pStyle w:val="102"/>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15.4.3</w:t>
      </w:r>
      <w:r>
        <w:rPr>
          <w:rStyle w:val="32"/>
          <w:color w:val="auto"/>
          <w:highlight w:val="none"/>
        </w:rPr>
        <w:t>已标价工程量清单中无适用或类似子目的单价，按照以下原则确定：</w:t>
      </w:r>
    </w:p>
    <w:p w14:paraId="41F462FB">
      <w:pPr>
        <w:pStyle w:val="102"/>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color w:val="auto"/>
          <w:highlight w:val="none"/>
        </w:rPr>
        <w:t>①有定额可套的，套用编制控制价所选定额计算，并乘以中标价下浮系数(中标价下浮系数为中标价与控制价的比值)，其中材料价格有信息价的按当地同期信息价，无信息的由发包人、承包人、监理人市场询价确定。</w:t>
      </w:r>
    </w:p>
    <w:p w14:paraId="50AAA935">
      <w:pPr>
        <w:pStyle w:val="102"/>
        <w:pageBreakBefore w:val="0"/>
        <w:kinsoku/>
        <w:wordWrap/>
        <w:overflowPunct/>
        <w:topLinePunct w:val="0"/>
        <w:autoSpaceDE/>
        <w:autoSpaceDN/>
        <w:bidi w:val="0"/>
        <w:adjustRightInd/>
        <w:snapToGrid/>
        <w:spacing w:line="356" w:lineRule="exact"/>
        <w:ind w:firstLine="440"/>
        <w:jc w:val="both"/>
        <w:textAlignment w:val="auto"/>
        <w:outlineLvl w:val="9"/>
        <w:rPr>
          <w:rStyle w:val="32"/>
          <w:color w:val="auto"/>
          <w:highlight w:val="none"/>
        </w:rPr>
      </w:pPr>
      <w:r>
        <w:rPr>
          <w:rStyle w:val="32"/>
          <w:color w:val="auto"/>
          <w:highlight w:val="none"/>
        </w:rPr>
        <w:t>②无定额可套的，由发包人、承包人、监理人市场询价确定。</w:t>
      </w:r>
    </w:p>
    <w:p w14:paraId="12053413">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25" w:name="bookmark1768"/>
      <w:bookmarkStart w:id="1626" w:name="bookmark1766"/>
      <w:bookmarkStart w:id="1627" w:name="bookmark1767"/>
      <w:bookmarkStart w:id="1628" w:name="_Toc256000222"/>
      <w:bookmarkStart w:id="1629" w:name="_Toc256000299"/>
      <w:r>
        <w:rPr>
          <w:rStyle w:val="32"/>
          <w:rFonts w:ascii="宋体" w:hAnsi="宋体" w:cs="Times New Roman"/>
          <w:color w:val="auto"/>
          <w:sz w:val="24"/>
          <w:szCs w:val="24"/>
          <w:highlight w:val="none"/>
          <w:lang w:eastAsia="zh-CN" w:bidi="en-US"/>
        </w:rPr>
        <w:t>15.5承包人的合理化建议</w:t>
      </w:r>
      <w:bookmarkEnd w:id="1625"/>
      <w:bookmarkEnd w:id="1626"/>
      <w:bookmarkEnd w:id="1627"/>
      <w:bookmarkEnd w:id="1628"/>
      <w:bookmarkEnd w:id="1629"/>
    </w:p>
    <w:p w14:paraId="0D34628D">
      <w:pPr>
        <w:pStyle w:val="102"/>
        <w:pageBreakBefore w:val="0"/>
        <w:tabs>
          <w:tab w:val="left" w:pos="841"/>
          <w:tab w:val="left" w:pos="6665"/>
        </w:tabs>
        <w:kinsoku/>
        <w:wordWrap/>
        <w:overflowPunct/>
        <w:topLinePunct w:val="0"/>
        <w:autoSpaceDE/>
        <w:autoSpaceDN/>
        <w:bidi w:val="0"/>
        <w:adjustRightInd/>
        <w:snapToGrid/>
        <w:spacing w:after="180" w:line="364" w:lineRule="exact"/>
        <w:ind w:left="420" w:firstLine="0"/>
        <w:textAlignment w:val="auto"/>
        <w:outlineLvl w:val="9"/>
        <w:rPr>
          <w:rStyle w:val="32"/>
          <w:color w:val="auto"/>
          <w:highlight w:val="none"/>
        </w:rPr>
      </w:pPr>
      <w:bookmarkStart w:id="1630" w:name="bookmark1769"/>
      <w:bookmarkEnd w:id="1630"/>
      <w:r>
        <w:rPr>
          <w:rStyle w:val="32"/>
          <w:rFonts w:hint="eastAsia" w:ascii="Times New Roman" w:hAnsi="Times New Roman" w:cs="Times New Roman"/>
          <w:color w:val="auto"/>
          <w:highlight w:val="none"/>
          <w:lang w:val="en-US" w:bidi="en-US"/>
        </w:rPr>
        <w:t>15.</w:t>
      </w:r>
      <w:r>
        <w:rPr>
          <w:rStyle w:val="32"/>
          <w:rFonts w:ascii="Times New Roman" w:hAnsi="Times New Roman" w:eastAsia="Times New Roman" w:cs="Times New Roman"/>
          <w:color w:val="auto"/>
          <w:highlight w:val="none"/>
          <w:lang w:val="en-US" w:bidi="en-US"/>
        </w:rPr>
        <w:t xml:space="preserve">5. </w:t>
      </w:r>
      <w:r>
        <w:rPr>
          <w:rStyle w:val="32"/>
          <w:rFonts w:ascii="Times New Roman" w:hAnsi="Times New Roman" w:eastAsia="Times New Roman" w:cs="Times New Roman"/>
          <w:color w:val="auto"/>
          <w:highlight w:val="none"/>
        </w:rPr>
        <w:t>2</w:t>
      </w:r>
      <w:r>
        <w:rPr>
          <w:rStyle w:val="32"/>
          <w:color w:val="auto"/>
          <w:highlight w:val="none"/>
        </w:rPr>
        <w:t xml:space="preserve">承包人实现合理化建议的奖励金额为： </w:t>
      </w:r>
      <w:r>
        <w:rPr>
          <w:rStyle w:val="32"/>
          <w:rFonts w:hint="eastAsia"/>
          <w:color w:val="auto"/>
          <w:highlight w:val="none"/>
          <w:u w:val="single"/>
          <w:lang w:eastAsia="zh-CN"/>
        </w:rPr>
        <w:t>无</w:t>
      </w:r>
      <w:r>
        <w:rPr>
          <w:rStyle w:val="32"/>
          <w:rFonts w:hint="eastAsia" w:ascii="Times New Roman" w:hAnsi="Times New Roman" w:cs="Times New Roman"/>
          <w:color w:val="auto"/>
          <w:highlight w:val="none"/>
          <w:lang w:val="en-US" w:bidi="en-US"/>
        </w:rPr>
        <w:t>。</w:t>
      </w:r>
    </w:p>
    <w:p w14:paraId="25DC71A6">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631" w:name="bookmark1771"/>
      <w:bookmarkStart w:id="1632" w:name="bookmark1770"/>
      <w:bookmarkStart w:id="1633" w:name="_Toc13554"/>
      <w:bookmarkStart w:id="1634" w:name="_Toc28040"/>
      <w:bookmarkStart w:id="1635" w:name="_Toc256000223"/>
      <w:bookmarkStart w:id="1636" w:name="bookmark1772"/>
      <w:bookmarkStart w:id="1637" w:name="_Toc24486"/>
      <w:bookmarkStart w:id="1638" w:name="_Toc256000300"/>
      <w:r>
        <w:rPr>
          <w:rStyle w:val="32"/>
          <w:rFonts w:hint="eastAsia" w:cs="Times New Roman"/>
          <w:color w:val="auto"/>
          <w:highlight w:val="none"/>
          <w:lang w:eastAsia="zh-CN"/>
        </w:rPr>
        <w:t>16 .价格调整</w:t>
      </w:r>
      <w:bookmarkEnd w:id="1631"/>
      <w:bookmarkEnd w:id="1632"/>
      <w:bookmarkEnd w:id="1633"/>
      <w:bookmarkEnd w:id="1634"/>
      <w:bookmarkEnd w:id="1635"/>
      <w:bookmarkEnd w:id="1636"/>
      <w:bookmarkEnd w:id="1637"/>
      <w:bookmarkEnd w:id="1638"/>
    </w:p>
    <w:p w14:paraId="0CFA96FF">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39" w:name="bookmark1773"/>
      <w:bookmarkStart w:id="1640" w:name="_Toc256000301"/>
      <w:bookmarkStart w:id="1641" w:name="_Toc256000224"/>
      <w:bookmarkStart w:id="1642" w:name="bookmark1774"/>
      <w:bookmarkStart w:id="1643" w:name="bookmark1775"/>
      <w:r>
        <w:rPr>
          <w:rStyle w:val="32"/>
          <w:rFonts w:ascii="宋体" w:hAnsi="宋体" w:cs="Times New Roman"/>
          <w:color w:val="auto"/>
          <w:sz w:val="24"/>
          <w:szCs w:val="24"/>
          <w:highlight w:val="none"/>
          <w:lang w:eastAsia="zh-CN" w:bidi="en-US"/>
        </w:rPr>
        <w:t>16.1物价波动引起的价格调整</w:t>
      </w:r>
      <w:bookmarkEnd w:id="1639"/>
      <w:bookmarkEnd w:id="1640"/>
      <w:bookmarkEnd w:id="1641"/>
      <w:bookmarkEnd w:id="1642"/>
      <w:bookmarkEnd w:id="1643"/>
    </w:p>
    <w:p w14:paraId="3560DFAC">
      <w:pPr>
        <w:pStyle w:val="102"/>
        <w:pageBreakBefore w:val="0"/>
        <w:kinsoku/>
        <w:wordWrap/>
        <w:overflowPunct/>
        <w:topLinePunct w:val="0"/>
        <w:autoSpaceDE/>
        <w:autoSpaceDN/>
        <w:bidi w:val="0"/>
        <w:adjustRightInd/>
        <w:snapToGrid/>
        <w:spacing w:line="364" w:lineRule="exact"/>
        <w:ind w:firstLine="420"/>
        <w:jc w:val="both"/>
        <w:textAlignment w:val="auto"/>
        <w:outlineLvl w:val="9"/>
        <w:rPr>
          <w:rStyle w:val="32"/>
          <w:color w:val="auto"/>
          <w:highlight w:val="none"/>
        </w:rPr>
      </w:pPr>
      <w:r>
        <w:rPr>
          <w:rStyle w:val="104"/>
          <w:rFonts w:hint="eastAsia" w:ascii="宋体" w:hAnsi="宋体" w:eastAsia="宋体" w:cs="宋体"/>
          <w:color w:val="auto"/>
          <w:sz w:val="21"/>
          <w:szCs w:val="21"/>
          <w:highlight w:val="none"/>
        </w:rPr>
        <w:t>☑</w:t>
      </w:r>
      <w:r>
        <w:rPr>
          <w:rStyle w:val="32"/>
          <w:color w:val="auto"/>
          <w:highlight w:val="none"/>
        </w:rPr>
        <w:t>本项目不因为物价波动原因引起合同价格变动而调整。</w:t>
      </w:r>
    </w:p>
    <w:p w14:paraId="47B356BC">
      <w:pPr>
        <w:pStyle w:val="102"/>
        <w:pageBreakBefore w:val="0"/>
        <w:kinsoku/>
        <w:wordWrap/>
        <w:overflowPunct/>
        <w:topLinePunct w:val="0"/>
        <w:autoSpaceDE/>
        <w:autoSpaceDN/>
        <w:bidi w:val="0"/>
        <w:adjustRightInd/>
        <w:snapToGrid/>
        <w:spacing w:line="364" w:lineRule="exact"/>
        <w:ind w:firstLine="420"/>
        <w:jc w:val="both"/>
        <w:textAlignment w:val="auto"/>
        <w:outlineLvl w:val="9"/>
        <w:rPr>
          <w:rStyle w:val="32"/>
          <w:color w:val="auto"/>
          <w:highlight w:val="none"/>
        </w:rPr>
      </w:pPr>
      <w:r>
        <w:rPr>
          <w:rStyle w:val="32"/>
          <w:color w:val="auto"/>
          <w:highlight w:val="none"/>
        </w:rPr>
        <w:t>□本项目由于物价波动原因引起合同价格变动时，对其价格按下列方式进行调整。</w:t>
      </w:r>
    </w:p>
    <w:p w14:paraId="25402F4A">
      <w:pPr>
        <w:pStyle w:val="102"/>
        <w:pageBreakBefore w:val="0"/>
        <w:tabs>
          <w:tab w:val="left" w:pos="841"/>
          <w:tab w:val="left" w:pos="6036"/>
        </w:tabs>
        <w:kinsoku/>
        <w:wordWrap/>
        <w:overflowPunct/>
        <w:topLinePunct w:val="0"/>
        <w:autoSpaceDE/>
        <w:autoSpaceDN/>
        <w:bidi w:val="0"/>
        <w:adjustRightInd/>
        <w:snapToGrid/>
        <w:spacing w:line="364" w:lineRule="exact"/>
        <w:ind w:left="420" w:firstLine="0"/>
        <w:jc w:val="both"/>
        <w:textAlignment w:val="auto"/>
        <w:outlineLvl w:val="9"/>
        <w:rPr>
          <w:rStyle w:val="32"/>
          <w:color w:val="auto"/>
          <w:highlight w:val="none"/>
        </w:rPr>
      </w:pPr>
      <w:bookmarkStart w:id="1644" w:name="bookmark1776"/>
      <w:bookmarkEnd w:id="1644"/>
      <w:r>
        <w:rPr>
          <w:rStyle w:val="32"/>
          <w:rFonts w:hint="eastAsia" w:ascii="Times New Roman" w:hAnsi="Times New Roman" w:cs="Times New Roman"/>
          <w:color w:val="auto"/>
          <w:highlight w:val="none"/>
          <w:lang w:val="en-US" w:bidi="en-US"/>
        </w:rPr>
        <w:t>16.</w:t>
      </w:r>
      <w:r>
        <w:rPr>
          <w:rStyle w:val="32"/>
          <w:rFonts w:ascii="Times New Roman" w:hAnsi="Times New Roman" w:eastAsia="Times New Roman" w:cs="Times New Roman"/>
          <w:color w:val="auto"/>
          <w:highlight w:val="none"/>
          <w:lang w:val="en-US" w:bidi="en-US"/>
        </w:rPr>
        <w:t xml:space="preserve">1. </w:t>
      </w:r>
      <w:r>
        <w:rPr>
          <w:rStyle w:val="32"/>
          <w:rFonts w:ascii="Times New Roman" w:hAnsi="Times New Roman" w:eastAsia="Times New Roman" w:cs="Times New Roman"/>
          <w:color w:val="auto"/>
          <w:highlight w:val="none"/>
        </w:rPr>
        <w:t>1</w:t>
      </w:r>
      <w:r>
        <w:rPr>
          <w:rStyle w:val="32"/>
          <w:color w:val="auto"/>
          <w:highlight w:val="none"/>
        </w:rPr>
        <w:t>物价波动引起的价格调整方式：</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027DA1FE">
      <w:pPr>
        <w:pStyle w:val="102"/>
        <w:pageBreakBefore w:val="0"/>
        <w:tabs>
          <w:tab w:val="left" w:pos="5198"/>
        </w:tabs>
        <w:kinsoku/>
        <w:wordWrap/>
        <w:overflowPunct/>
        <w:topLinePunct w:val="0"/>
        <w:autoSpaceDE/>
        <w:autoSpaceDN/>
        <w:bidi w:val="0"/>
        <w:adjustRightInd/>
        <w:snapToGrid/>
        <w:spacing w:line="364"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16. 1.2</w:t>
      </w:r>
      <w:r>
        <w:rPr>
          <w:rStyle w:val="32"/>
          <w:color w:val="auto"/>
          <w:highlight w:val="none"/>
        </w:rPr>
        <w:t>调整价格的主要材料：</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73F0D668">
      <w:pPr>
        <w:pStyle w:val="102"/>
        <w:pageBreakBefore w:val="0"/>
        <w:tabs>
          <w:tab w:val="left" w:pos="5618"/>
        </w:tabs>
        <w:kinsoku/>
        <w:wordWrap/>
        <w:overflowPunct/>
        <w:topLinePunct w:val="0"/>
        <w:autoSpaceDE/>
        <w:autoSpaceDN/>
        <w:bidi w:val="0"/>
        <w:adjustRightInd/>
        <w:snapToGrid/>
        <w:spacing w:line="364"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16.1.3</w:t>
      </w:r>
      <w:r>
        <w:rPr>
          <w:rStyle w:val="32"/>
          <w:color w:val="auto"/>
          <w:highlight w:val="none"/>
        </w:rPr>
        <w:t xml:space="preserve">主要材料补差的计算方法： </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7F57CAD9">
      <w:pPr>
        <w:pStyle w:val="102"/>
        <w:pageBreakBefore w:val="0"/>
        <w:kinsoku/>
        <w:wordWrap/>
        <w:overflowPunct/>
        <w:topLinePunct w:val="0"/>
        <w:autoSpaceDE/>
        <w:autoSpaceDN/>
        <w:bidi w:val="0"/>
        <w:adjustRightInd/>
        <w:snapToGrid/>
        <w:spacing w:line="364"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16.1.4</w:t>
      </w:r>
      <w:r>
        <w:rPr>
          <w:rStyle w:val="32"/>
          <w:color w:val="auto"/>
          <w:highlight w:val="none"/>
        </w:rPr>
        <w:t>采用造价信息调整价格差额：</w:t>
      </w:r>
    </w:p>
    <w:p w14:paraId="523E0A92">
      <w:pPr>
        <w:pStyle w:val="102"/>
        <w:pageBreakBefore w:val="0"/>
        <w:tabs>
          <w:tab w:val="left" w:pos="4382"/>
        </w:tabs>
        <w:kinsoku/>
        <w:wordWrap/>
        <w:overflowPunct/>
        <w:topLinePunct w:val="0"/>
        <w:autoSpaceDE/>
        <w:autoSpaceDN/>
        <w:bidi w:val="0"/>
        <w:adjustRightInd/>
        <w:snapToGrid/>
        <w:spacing w:line="345" w:lineRule="exact"/>
        <w:ind w:firstLine="420"/>
        <w:textAlignment w:val="auto"/>
        <w:outlineLvl w:val="9"/>
        <w:rPr>
          <w:rStyle w:val="32"/>
          <w:color w:val="auto"/>
          <w:highlight w:val="none"/>
        </w:rPr>
      </w:pPr>
      <w:r>
        <w:rPr>
          <w:rStyle w:val="32"/>
          <w:color w:val="auto"/>
          <w:highlight w:val="none"/>
        </w:rPr>
        <w:t>工程造价信息的来源：</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6BB020BA">
      <w:pPr>
        <w:pStyle w:val="102"/>
        <w:pageBreakBefore w:val="0"/>
        <w:tabs>
          <w:tab w:val="left" w:pos="4591"/>
        </w:tabs>
        <w:kinsoku/>
        <w:wordWrap/>
        <w:overflowPunct/>
        <w:topLinePunct w:val="0"/>
        <w:autoSpaceDE/>
        <w:autoSpaceDN/>
        <w:bidi w:val="0"/>
        <w:adjustRightInd/>
        <w:snapToGrid/>
        <w:spacing w:after="260" w:line="345" w:lineRule="exact"/>
        <w:ind w:firstLine="420"/>
        <w:textAlignment w:val="auto"/>
        <w:outlineLvl w:val="9"/>
        <w:rPr>
          <w:rStyle w:val="32"/>
          <w:color w:val="auto"/>
          <w:highlight w:val="none"/>
        </w:rPr>
      </w:pPr>
      <w:r>
        <w:rPr>
          <w:rStyle w:val="32"/>
          <w:color w:val="auto"/>
          <w:highlight w:val="none"/>
        </w:rPr>
        <w:t>价格调整的项目和系数：</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6F6E6853">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645" w:name="bookmark1779"/>
      <w:bookmarkEnd w:id="1645"/>
      <w:bookmarkStart w:id="1646" w:name="bookmark1780"/>
      <w:bookmarkStart w:id="1647" w:name="_Toc20772"/>
      <w:bookmarkStart w:id="1648" w:name="bookmark1778"/>
      <w:bookmarkStart w:id="1649" w:name="_Toc13939"/>
      <w:bookmarkStart w:id="1650" w:name="bookmark1777"/>
      <w:bookmarkStart w:id="1651" w:name="_Toc12454"/>
      <w:bookmarkStart w:id="1652" w:name="_Toc256000225"/>
      <w:bookmarkStart w:id="1653" w:name="_Toc256000302"/>
      <w:r>
        <w:rPr>
          <w:rStyle w:val="32"/>
          <w:rFonts w:hint="eastAsia" w:cs="Times New Roman"/>
          <w:color w:val="auto"/>
          <w:highlight w:val="none"/>
          <w:lang w:eastAsia="zh-CN"/>
        </w:rPr>
        <w:t>17. 计量与支付</w:t>
      </w:r>
      <w:bookmarkEnd w:id="1646"/>
      <w:bookmarkEnd w:id="1647"/>
      <w:bookmarkEnd w:id="1648"/>
      <w:bookmarkEnd w:id="1649"/>
      <w:bookmarkEnd w:id="1650"/>
      <w:bookmarkEnd w:id="1651"/>
      <w:bookmarkEnd w:id="1652"/>
      <w:bookmarkEnd w:id="1653"/>
    </w:p>
    <w:p w14:paraId="2845DD2C">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54" w:name="bookmark1783"/>
      <w:bookmarkStart w:id="1655" w:name="_Toc256000226"/>
      <w:bookmarkStart w:id="1656" w:name="_Toc256000303"/>
      <w:bookmarkStart w:id="1657" w:name="bookmark1782"/>
      <w:bookmarkStart w:id="1658" w:name="bookmark1781"/>
      <w:r>
        <w:rPr>
          <w:rStyle w:val="32"/>
          <w:rFonts w:ascii="宋体" w:hAnsi="宋体" w:cs="Times New Roman"/>
          <w:color w:val="auto"/>
          <w:sz w:val="24"/>
          <w:szCs w:val="24"/>
          <w:highlight w:val="none"/>
          <w:lang w:eastAsia="zh-CN" w:bidi="en-US"/>
        </w:rPr>
        <w:t>17.2预付款</w:t>
      </w:r>
      <w:bookmarkEnd w:id="1654"/>
      <w:bookmarkEnd w:id="1655"/>
      <w:bookmarkEnd w:id="1656"/>
      <w:bookmarkEnd w:id="1657"/>
      <w:bookmarkEnd w:id="1658"/>
    </w:p>
    <w:p w14:paraId="13DB54DF">
      <w:pPr>
        <w:pStyle w:val="103"/>
        <w:pageBreakBefore w:val="0"/>
        <w:kinsoku/>
        <w:wordWrap/>
        <w:overflowPunct/>
        <w:topLinePunct w:val="0"/>
        <w:autoSpaceDE/>
        <w:autoSpaceDN/>
        <w:bidi w:val="0"/>
        <w:adjustRightInd/>
        <w:snapToGrid/>
        <w:spacing w:after="0" w:line="360" w:lineRule="auto"/>
        <w:textAlignment w:val="auto"/>
        <w:outlineLvl w:val="9"/>
        <w:rPr>
          <w:rStyle w:val="32"/>
          <w:rFonts w:ascii="Times New Roman" w:hAnsi="Times New Roman" w:cs="Times New Roman"/>
          <w:color w:val="auto"/>
          <w:highlight w:val="none"/>
          <w:lang w:eastAsia="zh-CN"/>
        </w:rPr>
      </w:pPr>
      <w:r>
        <w:rPr>
          <w:rStyle w:val="32"/>
          <w:rFonts w:ascii="Times New Roman" w:hAnsi="Times New Roman" w:cs="Times New Roman"/>
          <w:color w:val="auto"/>
          <w:highlight w:val="none"/>
          <w:lang w:eastAsia="zh-CN"/>
        </w:rPr>
        <w:t>17.2.1</w:t>
      </w:r>
      <w:r>
        <w:rPr>
          <w:rStyle w:val="32"/>
          <w:rFonts w:ascii="Times New Roman" w:hAnsi="Times New Roman" w:cs="Times New Roman"/>
          <w:color w:val="auto"/>
          <w:highlight w:val="none"/>
          <w:lang w:val="zh-CN" w:eastAsia="zh-CN" w:bidi="zh-CN"/>
        </w:rPr>
        <w:t>预付款</w:t>
      </w:r>
    </w:p>
    <w:p w14:paraId="1F34F135">
      <w:pPr>
        <w:pStyle w:val="102"/>
        <w:pageBreakBefore w:val="0"/>
        <w:numPr>
          <w:ilvl w:val="0"/>
          <w:numId w:val="0"/>
        </w:numPr>
        <w:tabs>
          <w:tab w:val="left" w:pos="825"/>
        </w:tabs>
        <w:kinsoku/>
        <w:wordWrap/>
        <w:overflowPunct/>
        <w:topLinePunct w:val="0"/>
        <w:autoSpaceDE/>
        <w:autoSpaceDN/>
        <w:bidi w:val="0"/>
        <w:adjustRightInd/>
        <w:snapToGrid/>
        <w:spacing w:line="345" w:lineRule="exact"/>
        <w:ind w:firstLine="400" w:firstLineChars="200"/>
        <w:jc w:val="both"/>
        <w:textAlignment w:val="auto"/>
        <w:outlineLvl w:val="9"/>
        <w:rPr>
          <w:rStyle w:val="32"/>
          <w:rFonts w:ascii="Times New Roman" w:hAnsi="Times New Roman" w:cs="Times New Roman"/>
          <w:color w:val="auto"/>
          <w:highlight w:val="none"/>
        </w:rPr>
      </w:pPr>
      <w:bookmarkStart w:id="1659" w:name="bookmark1784"/>
      <w:bookmarkEnd w:id="1659"/>
      <w:bookmarkStart w:id="1660" w:name="bookmark1789"/>
      <w:bookmarkStart w:id="1661" w:name="bookmark1790"/>
      <w:bookmarkStart w:id="1662" w:name="_Toc256000227"/>
      <w:bookmarkStart w:id="1663" w:name="bookmark1791"/>
      <w:r>
        <w:rPr>
          <w:rStyle w:val="32"/>
          <w:rFonts w:ascii="Times New Roman" w:hAnsi="Times New Roman" w:cs="Times New Roman"/>
          <w:color w:val="auto"/>
          <w:highlight w:val="none"/>
        </w:rPr>
        <w:t>（1）工程预付款的总金额为签约合同价的</w:t>
      </w:r>
      <w:r>
        <w:rPr>
          <w:rStyle w:val="32"/>
          <w:rFonts w:hint="eastAsia" w:ascii="Times New Roman" w:hAnsi="Times New Roman" w:cs="Times New Roman"/>
          <w:color w:val="auto"/>
          <w:highlight w:val="none"/>
          <w:u w:val="single"/>
          <w:lang w:val="en-US" w:eastAsia="zh-CN"/>
        </w:rPr>
        <w:t>30</w:t>
      </w:r>
      <w:r>
        <w:rPr>
          <w:rStyle w:val="32"/>
          <w:rFonts w:ascii="Times New Roman" w:hAnsi="Times New Roman" w:cs="Times New Roman"/>
          <w:color w:val="auto"/>
          <w:highlight w:val="none"/>
        </w:rPr>
        <w:t>%</w:t>
      </w:r>
      <w:r>
        <w:rPr>
          <w:rStyle w:val="32"/>
          <w:rFonts w:hint="eastAsia" w:ascii="Times New Roman" w:hAnsi="Times New Roman" w:cs="Times New Roman"/>
          <w:color w:val="auto"/>
          <w:highlight w:val="none"/>
          <w:lang w:eastAsia="zh-CN"/>
        </w:rPr>
        <w:t>。</w:t>
      </w:r>
      <w:r>
        <w:rPr>
          <w:rStyle w:val="32"/>
          <w:rFonts w:hint="eastAsia" w:ascii="Times New Roman" w:hAnsi="Times New Roman" w:eastAsia="宋体" w:cs="Times New Roman"/>
          <w:color w:val="auto"/>
          <w:highlight w:val="none"/>
        </w:rPr>
        <w:t>付款时间应在合同协议书签订并进场施工后，经监理人出具付款证书，报送发包人批准后14天内予以支付</w:t>
      </w:r>
      <w:r>
        <w:rPr>
          <w:rStyle w:val="32"/>
          <w:rFonts w:ascii="Times New Roman" w:hAnsi="Times New Roman" w:eastAsia="宋体" w:cs="Times New Roman"/>
          <w:color w:val="auto"/>
          <w:highlight w:val="none"/>
        </w:rPr>
        <w:t>。</w:t>
      </w:r>
    </w:p>
    <w:p w14:paraId="057E1AF7">
      <w:pPr>
        <w:pStyle w:val="102"/>
        <w:pageBreakBefore w:val="0"/>
        <w:tabs>
          <w:tab w:val="left" w:pos="6706"/>
        </w:tabs>
        <w:kinsoku/>
        <w:wordWrap/>
        <w:overflowPunct/>
        <w:topLinePunct w:val="0"/>
        <w:autoSpaceDE/>
        <w:autoSpaceDN/>
        <w:bidi w:val="0"/>
        <w:adjustRightInd/>
        <w:snapToGrid/>
        <w:spacing w:after="120" w:line="355" w:lineRule="exact"/>
        <w:ind w:left="420" w:firstLine="0"/>
        <w:textAlignment w:val="auto"/>
        <w:outlineLvl w:val="9"/>
        <w:rPr>
          <w:rStyle w:val="32"/>
          <w:rFonts w:ascii="Times New Roman" w:hAnsi="Times New Roman" w:cs="Times New Roman"/>
          <w:color w:val="auto"/>
          <w:highlight w:val="none"/>
        </w:rPr>
      </w:pPr>
      <w:bookmarkStart w:id="1664" w:name="bookmark1788"/>
      <w:bookmarkEnd w:id="1664"/>
      <w:r>
        <w:rPr>
          <w:rStyle w:val="32"/>
          <w:rFonts w:ascii="Times New Roman" w:hAnsi="Times New Roman" w:cs="Times New Roman"/>
          <w:color w:val="auto"/>
          <w:highlight w:val="none"/>
        </w:rPr>
        <w:t>（</w:t>
      </w:r>
      <w:r>
        <w:rPr>
          <w:rStyle w:val="32"/>
          <w:rFonts w:hint="eastAsia" w:ascii="Times New Roman" w:hAnsi="Times New Roman" w:cs="Times New Roman"/>
          <w:color w:val="auto"/>
          <w:highlight w:val="none"/>
          <w:lang w:val="en-US" w:eastAsia="zh-CN"/>
        </w:rPr>
        <w:t>2</w:t>
      </w:r>
      <w:r>
        <w:rPr>
          <w:rStyle w:val="32"/>
          <w:rFonts w:ascii="Times New Roman" w:hAnsi="Times New Roman" w:cs="Times New Roman"/>
          <w:color w:val="auto"/>
          <w:highlight w:val="none"/>
        </w:rPr>
        <w:t>）工程材料预付款的额度和预付办法约定为：</w:t>
      </w:r>
      <w:r>
        <w:rPr>
          <w:rStyle w:val="32"/>
          <w:rFonts w:hint="eastAsia" w:ascii="Times New Roman" w:hAnsi="Times New Roman" w:eastAsia="宋体" w:cs="Times New Roman"/>
          <w:color w:val="auto"/>
          <w:highlight w:val="none"/>
        </w:rPr>
        <w:t>本工程无材料预付款</w:t>
      </w:r>
      <w:r>
        <w:rPr>
          <w:rStyle w:val="32"/>
          <w:rFonts w:hint="eastAsia" w:ascii="Times New Roman" w:hAnsi="Times New Roman" w:cs="Times New Roman"/>
          <w:color w:val="auto"/>
          <w:highlight w:val="none"/>
          <w:lang w:val="en-US" w:bidi="en-US"/>
        </w:rPr>
        <w:t>。</w:t>
      </w:r>
    </w:p>
    <w:p w14:paraId="3C181A61">
      <w:pPr>
        <w:pStyle w:val="102"/>
        <w:pageBreakBefore w:val="0"/>
        <w:kinsoku/>
        <w:wordWrap/>
        <w:overflowPunct/>
        <w:topLinePunct w:val="0"/>
        <w:autoSpaceDE/>
        <w:autoSpaceDN/>
        <w:bidi w:val="0"/>
        <w:adjustRightInd/>
        <w:snapToGrid/>
        <w:spacing w:line="372" w:lineRule="auto"/>
        <w:ind w:firstLine="420"/>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17.2.2</w:t>
      </w:r>
      <w:r>
        <w:rPr>
          <w:rStyle w:val="32"/>
          <w:rFonts w:ascii="Times New Roman" w:hAnsi="Times New Roman" w:cs="Times New Roman"/>
          <w:color w:val="auto"/>
          <w:highlight w:val="none"/>
        </w:rPr>
        <w:t>预付款</w:t>
      </w:r>
      <w:r>
        <w:rPr>
          <w:rStyle w:val="32"/>
          <w:rFonts w:hint="eastAsia"/>
          <w:color w:val="auto"/>
          <w:highlight w:val="none"/>
        </w:rPr>
        <w:t>保函(担保)</w:t>
      </w:r>
    </w:p>
    <w:p w14:paraId="217C894E">
      <w:pPr>
        <w:pStyle w:val="102"/>
        <w:pageBreakBefore w:val="0"/>
        <w:tabs>
          <w:tab w:val="left" w:pos="5657"/>
        </w:tabs>
        <w:kinsoku/>
        <w:wordWrap/>
        <w:overflowPunct/>
        <w:topLinePunct w:val="0"/>
        <w:autoSpaceDE/>
        <w:autoSpaceDN/>
        <w:bidi w:val="0"/>
        <w:adjustRightInd/>
        <w:snapToGrid/>
        <w:spacing w:after="120" w:line="355" w:lineRule="exact"/>
        <w:ind w:left="0" w:leftChars="0" w:firstLine="400" w:firstLineChars="200"/>
        <w:textAlignment w:val="auto"/>
        <w:outlineLvl w:val="9"/>
        <w:rPr>
          <w:rStyle w:val="32"/>
          <w:rFonts w:ascii="Times New Roman" w:hAnsi="Times New Roman" w:eastAsia="宋体" w:cs="Times New Roman"/>
          <w:color w:val="auto"/>
          <w:highlight w:val="none"/>
        </w:rPr>
      </w:pPr>
      <w:r>
        <w:rPr>
          <w:rStyle w:val="32"/>
          <w:rFonts w:hint="eastAsia" w:ascii="Times New Roman" w:hAnsi="Times New Roman" w:eastAsia="宋体" w:cs="Times New Roman"/>
          <w:color w:val="auto"/>
          <w:highlight w:val="none"/>
          <w:lang w:eastAsia="zh-CN"/>
        </w:rPr>
        <w:t>（</w:t>
      </w:r>
      <w:r>
        <w:rPr>
          <w:rStyle w:val="32"/>
          <w:rFonts w:hint="eastAsia" w:ascii="Times New Roman" w:hAnsi="Times New Roman" w:eastAsia="宋体" w:cs="Times New Roman"/>
          <w:color w:val="auto"/>
          <w:highlight w:val="none"/>
          <w:lang w:val="en-US" w:eastAsia="zh-CN"/>
        </w:rPr>
        <w:t>1</w:t>
      </w:r>
      <w:r>
        <w:rPr>
          <w:rStyle w:val="32"/>
          <w:rFonts w:hint="eastAsia" w:ascii="Times New Roman" w:hAnsi="Times New Roman" w:eastAsia="宋体" w:cs="Times New Roman"/>
          <w:color w:val="auto"/>
          <w:highlight w:val="none"/>
          <w:lang w:eastAsia="zh-CN"/>
        </w:rPr>
        <w:t>）</w:t>
      </w:r>
      <w:r>
        <w:rPr>
          <w:rStyle w:val="32"/>
          <w:rFonts w:hint="eastAsia" w:ascii="Times New Roman" w:hAnsi="Times New Roman" w:eastAsia="宋体" w:cs="Times New Roman"/>
          <w:color w:val="auto"/>
          <w:highlight w:val="none"/>
        </w:rPr>
        <w:t>工程预付款的担保约定为：</w:t>
      </w:r>
      <w:r>
        <w:rPr>
          <w:rStyle w:val="32"/>
          <w:rFonts w:hint="eastAsia" w:ascii="Times New Roman" w:hAnsi="Times New Roman" w:eastAsia="宋体" w:cs="Times New Roman"/>
          <w:color w:val="auto"/>
          <w:highlight w:val="none"/>
          <w:u w:val="single"/>
          <w:lang w:eastAsia="zh-CN"/>
        </w:rPr>
        <w:t>银行保函</w:t>
      </w:r>
      <w:r>
        <w:rPr>
          <w:rStyle w:val="32"/>
          <w:rFonts w:hint="eastAsia" w:ascii="Times New Roman" w:hAnsi="Times New Roman" w:cs="Times New Roman"/>
          <w:color w:val="auto"/>
          <w:highlight w:val="none"/>
          <w:u w:val="single"/>
          <w:lang w:eastAsia="zh-CN"/>
        </w:rPr>
        <w:t>，</w:t>
      </w:r>
      <w:r>
        <w:rPr>
          <w:rStyle w:val="32"/>
          <w:rFonts w:hint="eastAsia" w:ascii="Times New Roman" w:hAnsi="Times New Roman" w:eastAsia="宋体" w:cs="Times New Roman"/>
          <w:color w:val="auto"/>
          <w:highlight w:val="none"/>
          <w:u w:val="single"/>
        </w:rPr>
        <w:t>承包人应在收到预付款的同时向发包人提交工程预付款担保，担保金额应与工程预付款金额相同</w:t>
      </w:r>
      <w:r>
        <w:rPr>
          <w:rStyle w:val="32"/>
          <w:rFonts w:hint="eastAsia" w:ascii="Times New Roman" w:hAnsi="Times New Roman" w:eastAsia="宋体" w:cs="Times New Roman"/>
          <w:color w:val="auto"/>
          <w:highlight w:val="none"/>
          <w:lang w:eastAsia="zh-CN"/>
        </w:rPr>
        <w:t>。</w:t>
      </w:r>
    </w:p>
    <w:p w14:paraId="5870A84E">
      <w:pPr>
        <w:pStyle w:val="102"/>
        <w:pageBreakBefore w:val="0"/>
        <w:tabs>
          <w:tab w:val="left" w:pos="5657"/>
        </w:tabs>
        <w:kinsoku/>
        <w:wordWrap/>
        <w:overflowPunct/>
        <w:topLinePunct w:val="0"/>
        <w:autoSpaceDE/>
        <w:autoSpaceDN/>
        <w:bidi w:val="0"/>
        <w:adjustRightInd/>
        <w:snapToGrid/>
        <w:spacing w:after="120" w:line="355"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工程材料预付款的担保约定为：</w:t>
      </w:r>
      <w:r>
        <w:rPr>
          <w:rStyle w:val="32"/>
          <w:rFonts w:hint="eastAsia" w:ascii="Times New Roman" w:hAnsi="Times New Roman" w:eastAsia="宋体" w:cs="Times New Roman"/>
          <w:color w:val="auto"/>
          <w:highlight w:val="none"/>
          <w:u w:val="single"/>
          <w:lang w:eastAsia="zh-CN"/>
        </w:rPr>
        <w:t>无</w:t>
      </w:r>
      <w:r>
        <w:rPr>
          <w:rStyle w:val="32"/>
          <w:rFonts w:hint="eastAsia" w:ascii="Times New Roman" w:hAnsi="Times New Roman" w:cs="Times New Roman"/>
          <w:color w:val="auto"/>
          <w:highlight w:val="none"/>
          <w:lang w:val="en-US" w:bidi="en-US"/>
        </w:rPr>
        <w:t>。</w:t>
      </w:r>
    </w:p>
    <w:p w14:paraId="6FAE474B">
      <w:pPr>
        <w:pStyle w:val="102"/>
        <w:pageBreakBefore w:val="0"/>
        <w:kinsoku/>
        <w:wordWrap/>
        <w:overflowPunct/>
        <w:topLinePunct w:val="0"/>
        <w:autoSpaceDE/>
        <w:autoSpaceDN/>
        <w:bidi w:val="0"/>
        <w:adjustRightInd/>
        <w:snapToGrid/>
        <w:spacing w:line="372" w:lineRule="auto"/>
        <w:ind w:firstLine="420"/>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17.2.3</w:t>
      </w:r>
      <w:r>
        <w:rPr>
          <w:rStyle w:val="32"/>
          <w:rFonts w:ascii="Times New Roman" w:hAnsi="Times New Roman" w:cs="Times New Roman"/>
          <w:color w:val="auto"/>
          <w:highlight w:val="none"/>
        </w:rPr>
        <w:t>预付款的扣回与还清</w:t>
      </w:r>
    </w:p>
    <w:p w14:paraId="7EBFE5CB">
      <w:pPr>
        <w:pStyle w:val="102"/>
        <w:pageBreakBefore w:val="0"/>
        <w:kinsoku/>
        <w:wordWrap/>
        <w:overflowPunct/>
        <w:topLinePunct w:val="0"/>
        <w:autoSpaceDE/>
        <w:autoSpaceDN/>
        <w:bidi w:val="0"/>
        <w:adjustRightInd/>
        <w:snapToGrid/>
        <w:spacing w:line="350" w:lineRule="exact"/>
        <w:ind w:firstLine="420"/>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预付款为合同价款的30%，在开工前7日内支付。</w:t>
      </w:r>
    </w:p>
    <w:p w14:paraId="70097D9F">
      <w:pPr>
        <w:pStyle w:val="102"/>
        <w:pageBreakBefore w:val="0"/>
        <w:kinsoku/>
        <w:wordWrap/>
        <w:overflowPunct/>
        <w:topLinePunct w:val="0"/>
        <w:autoSpaceDE/>
        <w:autoSpaceDN/>
        <w:bidi w:val="0"/>
        <w:adjustRightInd/>
        <w:snapToGrid/>
        <w:spacing w:line="350"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上述合同累计完成金额均指价格调整前未扣质量保证金的金额。</w:t>
      </w:r>
    </w:p>
    <w:p w14:paraId="5026F566">
      <w:pPr>
        <w:pStyle w:val="102"/>
        <w:pageBreakBefore w:val="0"/>
        <w:tabs>
          <w:tab w:val="left" w:pos="6286"/>
        </w:tabs>
        <w:kinsoku/>
        <w:wordWrap/>
        <w:overflowPunct/>
        <w:topLinePunct w:val="0"/>
        <w:autoSpaceDE/>
        <w:autoSpaceDN/>
        <w:bidi w:val="0"/>
        <w:adjustRightInd/>
        <w:snapToGrid/>
        <w:spacing w:after="120" w:line="35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工程材料预付款的扣回与还清约定为：</w:t>
      </w:r>
      <w:r>
        <w:rPr>
          <w:rStyle w:val="32"/>
          <w:rFonts w:hint="eastAsia"/>
          <w:color w:val="auto"/>
          <w:highlight w:val="none"/>
          <w:u w:val="single"/>
          <w:lang w:val="en-US" w:eastAsia="zh-CN"/>
        </w:rPr>
        <w:t>/</w:t>
      </w:r>
      <w:r>
        <w:rPr>
          <w:rStyle w:val="32"/>
          <w:rFonts w:hint="eastAsia" w:ascii="Times New Roman" w:hAnsi="Times New Roman" w:cs="Times New Roman"/>
          <w:color w:val="auto"/>
          <w:highlight w:val="none"/>
          <w:lang w:val="en-US" w:bidi="en-US"/>
        </w:rPr>
        <w:t>。</w:t>
      </w:r>
    </w:p>
    <w:p w14:paraId="484849F4">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65" w:name="_Toc256000304"/>
      <w:r>
        <w:rPr>
          <w:rStyle w:val="32"/>
          <w:rFonts w:ascii="宋体" w:hAnsi="宋体" w:cs="Times New Roman"/>
          <w:color w:val="auto"/>
          <w:sz w:val="24"/>
          <w:szCs w:val="24"/>
          <w:highlight w:val="none"/>
          <w:lang w:eastAsia="zh-CN" w:bidi="en-US"/>
        </w:rPr>
        <w:t>17.3工程进度付款</w:t>
      </w:r>
      <w:bookmarkEnd w:id="1660"/>
      <w:bookmarkEnd w:id="1661"/>
      <w:bookmarkEnd w:id="1662"/>
      <w:bookmarkEnd w:id="1663"/>
      <w:bookmarkEnd w:id="1665"/>
    </w:p>
    <w:p w14:paraId="7D846A07">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17.3.2</w:t>
      </w:r>
      <w:r>
        <w:rPr>
          <w:rStyle w:val="32"/>
          <w:color w:val="auto"/>
          <w:highlight w:val="none"/>
        </w:rPr>
        <w:t>进度付款申请单</w:t>
      </w:r>
    </w:p>
    <w:p w14:paraId="65476413">
      <w:pPr>
        <w:pStyle w:val="102"/>
        <w:pageBreakBefore w:val="0"/>
        <w:tabs>
          <w:tab w:val="left" w:pos="4613"/>
          <w:tab w:val="left" w:pos="7978"/>
        </w:tabs>
        <w:kinsoku/>
        <w:wordWrap/>
        <w:overflowPunct/>
        <w:topLinePunct w:val="0"/>
        <w:autoSpaceDE/>
        <w:autoSpaceDN/>
        <w:bidi w:val="0"/>
        <w:adjustRightInd/>
        <w:snapToGrid/>
        <w:spacing w:line="360" w:lineRule="exact"/>
        <w:ind w:left="420" w:firstLine="20"/>
        <w:textAlignment w:val="auto"/>
        <w:outlineLvl w:val="9"/>
        <w:rPr>
          <w:rStyle w:val="32"/>
          <w:rFonts w:hint="eastAsia" w:ascii="Times New Roman" w:hAnsi="Times New Roman" w:cs="Times New Roman"/>
          <w:color w:val="auto"/>
          <w:highlight w:val="none"/>
          <w:lang w:val="en-US" w:bidi="en-US"/>
        </w:rPr>
      </w:pPr>
      <w:r>
        <w:rPr>
          <w:rStyle w:val="32"/>
          <w:color w:val="auto"/>
          <w:highlight w:val="none"/>
        </w:rPr>
        <w:t>承包人提交进度付款申请单的份数：</w:t>
      </w:r>
      <w:r>
        <w:rPr>
          <w:rStyle w:val="32"/>
          <w:color w:val="auto"/>
          <w:highlight w:val="none"/>
          <w:u w:val="single"/>
        </w:rPr>
        <w:t>在签订施工承包合同时约定</w:t>
      </w:r>
      <w:r>
        <w:rPr>
          <w:rStyle w:val="32"/>
          <w:rFonts w:hint="eastAsia" w:ascii="Times New Roman" w:hAnsi="Times New Roman" w:cs="Times New Roman"/>
          <w:color w:val="auto"/>
          <w:highlight w:val="none"/>
          <w:lang w:val="en-US" w:bidi="en-US"/>
        </w:rPr>
        <w:t>。</w:t>
      </w:r>
    </w:p>
    <w:p w14:paraId="2B6B03C3">
      <w:pPr>
        <w:pStyle w:val="102"/>
        <w:pageBreakBefore w:val="0"/>
        <w:tabs>
          <w:tab w:val="left" w:pos="4613"/>
          <w:tab w:val="left" w:pos="7978"/>
        </w:tabs>
        <w:kinsoku/>
        <w:wordWrap/>
        <w:overflowPunct/>
        <w:topLinePunct w:val="0"/>
        <w:autoSpaceDE/>
        <w:autoSpaceDN/>
        <w:bidi w:val="0"/>
        <w:adjustRightInd/>
        <w:snapToGrid/>
        <w:spacing w:line="360" w:lineRule="exact"/>
        <w:ind w:left="420" w:firstLine="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17.3.3</w:t>
      </w:r>
      <w:r>
        <w:rPr>
          <w:rStyle w:val="32"/>
          <w:color w:val="auto"/>
          <w:highlight w:val="none"/>
        </w:rPr>
        <w:t>进度付款证书和支付时间</w:t>
      </w:r>
    </w:p>
    <w:p w14:paraId="5D95FD47">
      <w:pPr>
        <w:pStyle w:val="102"/>
        <w:pageBreakBefore w:val="0"/>
        <w:tabs>
          <w:tab w:val="left" w:pos="4428"/>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color w:val="auto"/>
          <w:highlight w:val="none"/>
        </w:rPr>
        <w:t>(2)本款“专用合同条款的约定支付逾期付款违约金”为按中国人民银行规定的同期贷款利率计算的逾期付款金额的利息。</w:t>
      </w:r>
    </w:p>
    <w:p w14:paraId="64E8D5A3">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17.3.5</w:t>
      </w:r>
      <w:r>
        <w:rPr>
          <w:rStyle w:val="32"/>
          <w:color w:val="auto"/>
          <w:highlight w:val="none"/>
        </w:rPr>
        <w:t>工程进度付款的支付比例</w:t>
      </w:r>
    </w:p>
    <w:p w14:paraId="1C919392">
      <w:pPr>
        <w:pStyle w:val="102"/>
        <w:pageBreakBefore w:val="0"/>
        <w:tabs>
          <w:tab w:val="left" w:pos="4428"/>
        </w:tabs>
        <w:kinsoku/>
        <w:wordWrap/>
        <w:overflowPunct/>
        <w:topLinePunct w:val="0"/>
        <w:autoSpaceDE/>
        <w:autoSpaceDN/>
        <w:bidi w:val="0"/>
        <w:adjustRightInd/>
        <w:snapToGrid/>
        <w:spacing w:line="360" w:lineRule="exact"/>
        <w:ind w:firstLine="440"/>
        <w:jc w:val="both"/>
        <w:textAlignment w:val="auto"/>
        <w:outlineLvl w:val="9"/>
        <w:rPr>
          <w:rStyle w:val="32"/>
          <w:rFonts w:hint="eastAsia" w:ascii="宋体" w:hAnsi="宋体" w:eastAsia="宋体" w:cs="宋体"/>
          <w:color w:val="auto"/>
          <w:highlight w:val="none"/>
        </w:rPr>
      </w:pPr>
      <w:r>
        <w:rPr>
          <w:rStyle w:val="32"/>
          <w:rFonts w:hint="eastAsia" w:ascii="宋体" w:hAnsi="宋体" w:eastAsia="宋体" w:cs="宋体"/>
          <w:color w:val="auto"/>
          <w:highlight w:val="none"/>
        </w:rPr>
        <w:t>根据工程按进度每月支付，按照规范的工程价款支付程序支付资金。工程建设期间，发包人支付承包人合同内工程款为已完成工程量的80%，合同外工程款(含变更)为已完成工程量的60%。结算经南宁市</w:t>
      </w:r>
      <w:r>
        <w:rPr>
          <w:rStyle w:val="32"/>
          <w:rFonts w:hint="eastAsia" w:cs="宋体"/>
          <w:color w:val="auto"/>
          <w:highlight w:val="none"/>
          <w:lang w:eastAsia="zh-CN"/>
        </w:rPr>
        <w:t>兴宁</w:t>
      </w:r>
      <w:r>
        <w:rPr>
          <w:rStyle w:val="32"/>
          <w:rFonts w:hint="eastAsia" w:ascii="宋体" w:hAnsi="宋体" w:eastAsia="宋体" w:cs="宋体"/>
          <w:color w:val="auto"/>
          <w:highlight w:val="none"/>
        </w:rPr>
        <w:t>区财政</w:t>
      </w:r>
      <w:r>
        <w:rPr>
          <w:rStyle w:val="32"/>
          <w:rFonts w:hint="eastAsia" w:cs="宋体"/>
          <w:color w:val="auto"/>
          <w:highlight w:val="none"/>
          <w:lang w:eastAsia="zh-CN"/>
        </w:rPr>
        <w:t>投资评审中心</w:t>
      </w:r>
      <w:r>
        <w:rPr>
          <w:rStyle w:val="32"/>
          <w:rFonts w:hint="eastAsia" w:ascii="宋体" w:hAnsi="宋体" w:eastAsia="宋体" w:cs="宋体"/>
          <w:color w:val="auto"/>
          <w:highlight w:val="none"/>
        </w:rPr>
        <w:t>审定且通过竣工验收后支付至结算总价的 97 %(含已支付的)；发包人按工程价款结算总额的3%预留工程质量保修金，待工程质量保修期满后返还(无息）。</w:t>
      </w:r>
    </w:p>
    <w:p w14:paraId="335C9B51">
      <w:pPr>
        <w:pStyle w:val="102"/>
        <w:pageBreakBefore w:val="0"/>
        <w:tabs>
          <w:tab w:val="left" w:pos="4428"/>
        </w:tabs>
        <w:kinsoku/>
        <w:wordWrap/>
        <w:overflowPunct/>
        <w:topLinePunct w:val="0"/>
        <w:autoSpaceDE/>
        <w:autoSpaceDN/>
        <w:bidi w:val="0"/>
        <w:adjustRightInd/>
        <w:snapToGrid/>
        <w:spacing w:line="360" w:lineRule="exact"/>
        <w:ind w:firstLine="440"/>
        <w:jc w:val="both"/>
        <w:textAlignment w:val="auto"/>
        <w:outlineLvl w:val="9"/>
        <w:rPr>
          <w:rStyle w:val="32"/>
          <w:rFonts w:hint="eastAsia" w:ascii="宋体" w:hAnsi="宋体" w:eastAsia="宋体" w:cs="宋体"/>
          <w:color w:val="auto"/>
          <w:highlight w:val="none"/>
        </w:rPr>
      </w:pPr>
      <w:r>
        <w:rPr>
          <w:rStyle w:val="32"/>
          <w:rFonts w:hint="eastAsia" w:ascii="宋体" w:hAnsi="宋体" w:eastAsia="宋体" w:cs="宋体"/>
          <w:color w:val="auto"/>
          <w:highlight w:val="none"/>
        </w:rPr>
        <w:t>每次付款前，承包人应按甲方的要求提供符合相关法律法规的增值税发票，如发票不符合要求，甲方有权拒收，乙方应承担因不合格发票产生的所有责任。</w:t>
      </w:r>
    </w:p>
    <w:p w14:paraId="5927983D">
      <w:pPr>
        <w:pStyle w:val="102"/>
        <w:pageBreakBefore w:val="0"/>
        <w:tabs>
          <w:tab w:val="left" w:pos="4428"/>
        </w:tabs>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hint="eastAsia" w:ascii="宋体" w:hAnsi="宋体" w:eastAsia="宋体" w:cs="宋体"/>
          <w:color w:val="auto"/>
          <w:highlight w:val="none"/>
        </w:rPr>
        <w:t>发包人最终向承包人支付的工程款，以财政部门、审计部门或其委托的审价机构审定的款项为准（如设备款不需财政或审计部门审定，即以发包人与承包人确认的款项为准）。发包人向承包人支付进度款、质保金等所有款项都是通过财政支付程序支付，在上述约定时间内发包人办理了付款给承包人的手续，如果因为财政支付程序造成款项有延迟到达承包人账户的情形，不视为发包人违约，承包人不因此要求发包人承担违约责任。</w:t>
      </w:r>
    </w:p>
    <w:p w14:paraId="7FE053CD">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66" w:name="_Toc256000228"/>
      <w:bookmarkStart w:id="1667" w:name="bookmark1792"/>
      <w:bookmarkStart w:id="1668" w:name="bookmark1793"/>
      <w:bookmarkStart w:id="1669" w:name="bookmark1794"/>
      <w:bookmarkStart w:id="1670" w:name="_Toc256000305"/>
      <w:r>
        <w:rPr>
          <w:rStyle w:val="32"/>
          <w:rFonts w:ascii="宋体" w:hAnsi="宋体" w:cs="Times New Roman"/>
          <w:color w:val="auto"/>
          <w:sz w:val="24"/>
          <w:szCs w:val="24"/>
          <w:highlight w:val="none"/>
          <w:lang w:eastAsia="zh-CN" w:bidi="en-US"/>
        </w:rPr>
        <w:t>17.4质量保证金</w:t>
      </w:r>
      <w:bookmarkEnd w:id="1666"/>
      <w:bookmarkEnd w:id="1667"/>
      <w:bookmarkEnd w:id="1668"/>
      <w:bookmarkEnd w:id="1669"/>
      <w:bookmarkEnd w:id="1670"/>
    </w:p>
    <w:p w14:paraId="2692D016">
      <w:pPr>
        <w:pStyle w:val="102"/>
        <w:pageBreakBefore w:val="0"/>
        <w:kinsoku/>
        <w:wordWrap/>
        <w:overflowPunct/>
        <w:topLinePunct w:val="0"/>
        <w:autoSpaceDE/>
        <w:autoSpaceDN/>
        <w:bidi w:val="0"/>
        <w:adjustRightInd/>
        <w:snapToGrid/>
        <w:spacing w:line="360" w:lineRule="exact"/>
        <w:ind w:firstLine="440"/>
        <w:jc w:val="both"/>
        <w:textAlignment w:val="auto"/>
        <w:outlineLvl w:val="9"/>
        <w:rPr>
          <w:rStyle w:val="32"/>
          <w:rFonts w:hint="eastAsia"/>
          <w:color w:val="auto"/>
          <w:highlight w:val="none"/>
        </w:rPr>
      </w:pPr>
      <w:r>
        <w:rPr>
          <w:rStyle w:val="32"/>
          <w:color w:val="auto"/>
          <w:highlight w:val="none"/>
        </w:rPr>
        <w:t>□</w:t>
      </w:r>
      <w:r>
        <w:rPr>
          <w:rStyle w:val="32"/>
          <w:rFonts w:ascii="Times New Roman" w:hAnsi="Times New Roman" w:eastAsia="Times New Roman" w:cs="Times New Roman"/>
          <w:color w:val="auto"/>
          <w:highlight w:val="none"/>
          <w:lang w:val="en-US" w:bidi="en-US"/>
        </w:rPr>
        <w:t>17.4.1.</w:t>
      </w:r>
      <w:r>
        <w:rPr>
          <w:rStyle w:val="32"/>
          <w:rFonts w:hint="eastAsia" w:ascii="Times New Roman" w:hAnsi="Times New Roman" w:cs="Times New Roman"/>
          <w:color w:val="auto"/>
          <w:highlight w:val="none"/>
          <w:lang w:val="en-US" w:bidi="en-US"/>
        </w:rPr>
        <w:t>1</w:t>
      </w:r>
      <w:r>
        <w:rPr>
          <w:rStyle w:val="32"/>
          <w:color w:val="auto"/>
          <w:highlight w:val="none"/>
        </w:rPr>
        <w:t>每个付款周期扣留的质量保证金为工程进度付款的</w:t>
      </w:r>
      <w:r>
        <w:rPr>
          <w:rStyle w:val="32"/>
          <w:rFonts w:ascii="Times New Roman" w:hAnsi="Times New Roman" w:eastAsia="Times New Roman" w:cs="Times New Roman"/>
          <w:color w:val="auto"/>
          <w:highlight w:val="none"/>
        </w:rPr>
        <w:t>3%</w:t>
      </w:r>
      <w:r>
        <w:rPr>
          <w:rStyle w:val="32"/>
          <w:color w:val="auto"/>
          <w:highlight w:val="none"/>
        </w:rPr>
        <w:t>，扣留的质量保证金总额为工程价款结算总额的</w:t>
      </w:r>
      <w:r>
        <w:rPr>
          <w:rStyle w:val="32"/>
          <w:rFonts w:ascii="Times New Roman" w:hAnsi="Times New Roman" w:eastAsia="Times New Roman" w:cs="Times New Roman"/>
          <w:color w:val="auto"/>
          <w:highlight w:val="none"/>
        </w:rPr>
        <w:t xml:space="preserve">3% </w:t>
      </w:r>
      <w:r>
        <w:rPr>
          <w:rStyle w:val="32"/>
          <w:rFonts w:hint="eastAsia" w:ascii="Times New Roman" w:hAnsi="Times New Roman" w:cs="Times New Roman"/>
          <w:color w:val="auto"/>
          <w:highlight w:val="none"/>
          <w:lang w:val="en-US" w:bidi="en-US"/>
        </w:rPr>
        <w:t>。</w:t>
      </w:r>
    </w:p>
    <w:p w14:paraId="1B29AE30">
      <w:pPr>
        <w:pStyle w:val="102"/>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hint="eastAsia"/>
          <w:color w:val="auto"/>
          <w:highlight w:val="none"/>
          <w:lang w:eastAsia="zh-CN"/>
        </w:rPr>
        <w:t>☑</w:t>
      </w:r>
      <w:r>
        <w:rPr>
          <w:rStyle w:val="32"/>
          <w:rFonts w:ascii="Times New Roman" w:hAnsi="Times New Roman" w:eastAsia="Times New Roman" w:cs="Times New Roman"/>
          <w:color w:val="auto"/>
          <w:highlight w:val="none"/>
          <w:lang w:val="en-US" w:bidi="en-US"/>
        </w:rPr>
        <w:t>17.4.1.</w:t>
      </w:r>
      <w:r>
        <w:rPr>
          <w:rStyle w:val="32"/>
          <w:rFonts w:hint="eastAsia" w:ascii="Times New Roman" w:hAnsi="Times New Roman" w:cs="Times New Roman"/>
          <w:color w:val="auto"/>
          <w:highlight w:val="none"/>
          <w:lang w:val="en-US" w:bidi="en-US"/>
        </w:rPr>
        <w:t>2</w:t>
      </w:r>
      <w:r>
        <w:rPr>
          <w:rStyle w:val="32"/>
          <w:color w:val="auto"/>
          <w:highlight w:val="none"/>
        </w:rPr>
        <w:t>工程完工验收后，一次性扣留的质量保证金总额为工程价款结算总额的</w:t>
      </w:r>
      <w:r>
        <w:rPr>
          <w:rStyle w:val="32"/>
          <w:rFonts w:ascii="Times New Roman" w:hAnsi="Times New Roman" w:eastAsia="Times New Roman" w:cs="Times New Roman"/>
          <w:color w:val="auto"/>
          <w:highlight w:val="none"/>
        </w:rPr>
        <w:t>3%</w:t>
      </w:r>
      <w:r>
        <w:rPr>
          <w:rStyle w:val="32"/>
          <w:color w:val="auto"/>
          <w:highlight w:val="none"/>
        </w:rPr>
        <w:t>。</w:t>
      </w:r>
    </w:p>
    <w:p w14:paraId="42E40533">
      <w:pPr>
        <w:pStyle w:val="102"/>
        <w:pageBreakBefore w:val="0"/>
        <w:kinsoku/>
        <w:wordWrap/>
        <w:overflowPunct/>
        <w:topLinePunct w:val="0"/>
        <w:autoSpaceDE/>
        <w:autoSpaceDN/>
        <w:bidi w:val="0"/>
        <w:adjustRightInd/>
        <w:snapToGrid/>
        <w:spacing w:after="240"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17.4.1.3</w:t>
      </w:r>
      <w:r>
        <w:rPr>
          <w:rStyle w:val="32"/>
          <w:color w:val="auto"/>
          <w:highlight w:val="none"/>
        </w:rPr>
        <w:t>在工程项目完工前，已经缴纳履约保证金的，发包人不得同时扣留工程质量保证金。</w:t>
      </w:r>
    </w:p>
    <w:p w14:paraId="6993D36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71" w:name="bookmark1795"/>
      <w:bookmarkStart w:id="1672" w:name="_Toc256000306"/>
      <w:bookmarkStart w:id="1673" w:name="bookmark1796"/>
      <w:bookmarkStart w:id="1674" w:name="bookmark1797"/>
      <w:bookmarkStart w:id="1675" w:name="_Toc256000229"/>
      <w:r>
        <w:rPr>
          <w:rStyle w:val="32"/>
          <w:rFonts w:ascii="宋体" w:hAnsi="宋体" w:cs="Times New Roman"/>
          <w:color w:val="auto"/>
          <w:sz w:val="24"/>
          <w:szCs w:val="24"/>
          <w:highlight w:val="none"/>
          <w:lang w:eastAsia="zh-CN" w:bidi="en-US"/>
        </w:rPr>
        <w:t>17.5竣工（完工）结算</w:t>
      </w:r>
      <w:bookmarkEnd w:id="1671"/>
      <w:bookmarkEnd w:id="1672"/>
      <w:bookmarkEnd w:id="1673"/>
      <w:bookmarkEnd w:id="1674"/>
      <w:bookmarkEnd w:id="1675"/>
    </w:p>
    <w:p w14:paraId="04189512">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17.5.1</w:t>
      </w:r>
      <w:r>
        <w:rPr>
          <w:rStyle w:val="32"/>
          <w:color w:val="auto"/>
          <w:highlight w:val="none"/>
        </w:rPr>
        <w:t>竣工（完工）付款申请单</w:t>
      </w:r>
    </w:p>
    <w:p w14:paraId="6DE88E1E">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bookmarkStart w:id="1676" w:name="bookmark1798"/>
      <w:r>
        <w:rPr>
          <w:rStyle w:val="32"/>
          <w:rFonts w:ascii="Times New Roman" w:hAnsi="Times New Roman" w:eastAsia="Times New Roman" w:cs="Times New Roman"/>
          <w:color w:val="auto"/>
          <w:highlight w:val="none"/>
        </w:rPr>
        <w:t>（</w:t>
      </w:r>
      <w:bookmarkEnd w:id="1676"/>
      <w:r>
        <w:rPr>
          <w:rStyle w:val="32"/>
          <w:rFonts w:ascii="Times New Roman" w:hAnsi="Times New Roman" w:eastAsia="Times New Roman" w:cs="Times New Roman"/>
          <w:color w:val="auto"/>
          <w:highlight w:val="none"/>
        </w:rPr>
        <w:t>1）</w:t>
      </w:r>
      <w:r>
        <w:rPr>
          <w:rStyle w:val="32"/>
          <w:color w:val="auto"/>
          <w:highlight w:val="none"/>
        </w:rPr>
        <w:t>承包人应提交竣工付款申请单份数：在签订施工承包合同时明确。</w:t>
      </w:r>
    </w:p>
    <w:p w14:paraId="40A735A9">
      <w:pPr>
        <w:pStyle w:val="102"/>
        <w:pageBreakBefore w:val="0"/>
        <w:kinsoku/>
        <w:wordWrap/>
        <w:overflowPunct/>
        <w:topLinePunct w:val="0"/>
        <w:autoSpaceDE/>
        <w:autoSpaceDN/>
        <w:bidi w:val="0"/>
        <w:adjustRightInd/>
        <w:snapToGrid/>
        <w:spacing w:line="360"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17.5.3</w:t>
      </w:r>
      <w:r>
        <w:rPr>
          <w:rStyle w:val="32"/>
          <w:color w:val="auto"/>
          <w:highlight w:val="none"/>
        </w:rPr>
        <w:t>除按通用合同条款所说的内容外，增加以下内容：最终结算以财政评审结果为准。</w:t>
      </w:r>
    </w:p>
    <w:p w14:paraId="14532990">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77" w:name="bookmark1801"/>
      <w:bookmarkEnd w:id="1677"/>
      <w:bookmarkStart w:id="1678" w:name="bookmark1802"/>
      <w:bookmarkStart w:id="1679" w:name="bookmark1799"/>
      <w:bookmarkStart w:id="1680" w:name="_Toc256000307"/>
      <w:bookmarkStart w:id="1681" w:name="_Toc256000230"/>
      <w:bookmarkStart w:id="1682" w:name="bookmark1800"/>
      <w:r>
        <w:rPr>
          <w:rStyle w:val="32"/>
          <w:rFonts w:ascii="宋体" w:hAnsi="宋体" w:cs="Times New Roman"/>
          <w:color w:val="auto"/>
          <w:sz w:val="24"/>
          <w:szCs w:val="24"/>
          <w:highlight w:val="none"/>
          <w:lang w:eastAsia="zh-CN" w:bidi="en-US"/>
        </w:rPr>
        <w:t>17.6最终结清</w:t>
      </w:r>
      <w:bookmarkEnd w:id="1678"/>
      <w:bookmarkEnd w:id="1679"/>
      <w:bookmarkEnd w:id="1680"/>
      <w:bookmarkEnd w:id="1681"/>
      <w:bookmarkEnd w:id="1682"/>
    </w:p>
    <w:p w14:paraId="447F3B48">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17.6.1</w:t>
      </w:r>
      <w:r>
        <w:rPr>
          <w:rStyle w:val="32"/>
          <w:color w:val="auto"/>
          <w:highlight w:val="none"/>
        </w:rPr>
        <w:t>最终结清申请单</w:t>
      </w:r>
    </w:p>
    <w:p w14:paraId="056F5ED6">
      <w:pPr>
        <w:pStyle w:val="102"/>
        <w:pageBreakBefore w:val="0"/>
        <w:tabs>
          <w:tab w:val="left" w:pos="6077"/>
        </w:tabs>
        <w:kinsoku/>
        <w:wordWrap/>
        <w:overflowPunct/>
        <w:topLinePunct w:val="0"/>
        <w:autoSpaceDE/>
        <w:autoSpaceDN/>
        <w:bidi w:val="0"/>
        <w:adjustRightInd/>
        <w:snapToGrid/>
        <w:spacing w:line="360" w:lineRule="exact"/>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rPr>
        <w:t>（1）</w:t>
      </w:r>
      <w:r>
        <w:rPr>
          <w:rStyle w:val="32"/>
          <w:color w:val="auto"/>
          <w:highlight w:val="none"/>
        </w:rPr>
        <w:t>承包人应提交最终结清申请单份数：</w:t>
      </w:r>
      <w:r>
        <w:rPr>
          <w:rStyle w:val="104"/>
          <w:rFonts w:hint="eastAsia" w:ascii="宋体" w:hAnsi="宋体" w:eastAsia="宋体" w:cs="宋体"/>
          <w:color w:val="auto"/>
          <w:sz w:val="21"/>
          <w:szCs w:val="21"/>
          <w:highlight w:val="none"/>
          <w:u w:val="single"/>
        </w:rPr>
        <w:t>一式四份</w:t>
      </w:r>
      <w:r>
        <w:rPr>
          <w:rStyle w:val="32"/>
          <w:rFonts w:hint="eastAsia" w:ascii="Times New Roman" w:hAnsi="Times New Roman" w:cs="Times New Roman"/>
          <w:color w:val="auto"/>
          <w:highlight w:val="none"/>
          <w:lang w:val="en-US" w:bidi="en-US"/>
        </w:rPr>
        <w:t>。</w:t>
      </w:r>
    </w:p>
    <w:p w14:paraId="131B3B04">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83" w:name="bookmark1804"/>
      <w:bookmarkStart w:id="1684" w:name="bookmark1805"/>
      <w:bookmarkStart w:id="1685" w:name="_Toc256000308"/>
      <w:bookmarkStart w:id="1686" w:name="_Toc256000231"/>
      <w:bookmarkStart w:id="1687" w:name="bookmark1803"/>
      <w:r>
        <w:rPr>
          <w:rStyle w:val="32"/>
          <w:rFonts w:ascii="宋体" w:hAnsi="宋体" w:cs="Times New Roman"/>
          <w:color w:val="auto"/>
          <w:sz w:val="24"/>
          <w:szCs w:val="24"/>
          <w:highlight w:val="none"/>
          <w:lang w:eastAsia="zh-CN" w:bidi="en-US"/>
        </w:rPr>
        <w:t>17.7竣工财务决算</w:t>
      </w:r>
      <w:bookmarkEnd w:id="1683"/>
      <w:bookmarkEnd w:id="1684"/>
      <w:bookmarkEnd w:id="1685"/>
      <w:bookmarkEnd w:id="1686"/>
      <w:bookmarkEnd w:id="1687"/>
    </w:p>
    <w:p w14:paraId="66E0ED5B">
      <w:pPr>
        <w:pStyle w:val="102"/>
        <w:pageBreakBefore w:val="0"/>
        <w:tabs>
          <w:tab w:val="left" w:pos="6264"/>
        </w:tabs>
        <w:kinsoku/>
        <w:wordWrap/>
        <w:overflowPunct/>
        <w:topLinePunct w:val="0"/>
        <w:autoSpaceDE/>
        <w:autoSpaceDN/>
        <w:bidi w:val="0"/>
        <w:adjustRightInd/>
        <w:snapToGrid/>
        <w:spacing w:after="180" w:line="360" w:lineRule="exact"/>
        <w:ind w:firstLine="420"/>
        <w:textAlignment w:val="auto"/>
        <w:outlineLvl w:val="9"/>
        <w:rPr>
          <w:rStyle w:val="32"/>
          <w:color w:val="auto"/>
          <w:highlight w:val="none"/>
        </w:rPr>
      </w:pPr>
      <w:r>
        <w:rPr>
          <w:rStyle w:val="32"/>
          <w:color w:val="auto"/>
          <w:highlight w:val="none"/>
        </w:rPr>
        <w:t>承包人应为竣工财务决算编制提供的资料：</w:t>
      </w:r>
      <w:r>
        <w:rPr>
          <w:rStyle w:val="104"/>
          <w:rFonts w:hint="eastAsia" w:ascii="宋体" w:hAnsi="宋体" w:eastAsia="宋体" w:cs="宋体"/>
          <w:color w:val="auto"/>
          <w:sz w:val="21"/>
          <w:szCs w:val="21"/>
          <w:highlight w:val="none"/>
          <w:u w:val="single"/>
        </w:rPr>
        <w:t>一式四份</w:t>
      </w:r>
      <w:r>
        <w:rPr>
          <w:rStyle w:val="32"/>
          <w:rFonts w:hint="eastAsia" w:ascii="Times New Roman" w:hAnsi="Times New Roman" w:cs="Times New Roman"/>
          <w:color w:val="auto"/>
          <w:highlight w:val="none"/>
          <w:lang w:val="en-US" w:bidi="en-US"/>
        </w:rPr>
        <w:t>。</w:t>
      </w:r>
    </w:p>
    <w:p w14:paraId="6F07453D">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688" w:name="bookmark1808"/>
      <w:bookmarkEnd w:id="1688"/>
      <w:bookmarkStart w:id="1689" w:name="_Toc797"/>
      <w:bookmarkStart w:id="1690" w:name="bookmark1806"/>
      <w:bookmarkStart w:id="1691" w:name="_Toc20660"/>
      <w:bookmarkStart w:id="1692" w:name="_Toc256000232"/>
      <w:bookmarkStart w:id="1693" w:name="_Toc30479"/>
      <w:bookmarkStart w:id="1694" w:name="bookmark1807"/>
      <w:bookmarkStart w:id="1695" w:name="_Toc256000309"/>
      <w:bookmarkStart w:id="1696" w:name="bookmark1809"/>
      <w:r>
        <w:rPr>
          <w:rStyle w:val="32"/>
          <w:rFonts w:hint="eastAsia" w:cs="Times New Roman"/>
          <w:color w:val="auto"/>
          <w:highlight w:val="none"/>
          <w:lang w:eastAsia="zh-CN"/>
        </w:rPr>
        <w:t>18. 竣工验收（验收）</w:t>
      </w:r>
      <w:bookmarkEnd w:id="1689"/>
      <w:bookmarkEnd w:id="1690"/>
      <w:bookmarkEnd w:id="1691"/>
      <w:bookmarkEnd w:id="1692"/>
      <w:bookmarkEnd w:id="1693"/>
      <w:bookmarkEnd w:id="1694"/>
      <w:bookmarkEnd w:id="1695"/>
      <w:bookmarkEnd w:id="1696"/>
    </w:p>
    <w:p w14:paraId="568D4F80">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697" w:name="bookmark1810"/>
      <w:bookmarkStart w:id="1698" w:name="_Toc256000310"/>
      <w:bookmarkStart w:id="1699" w:name="bookmark1812"/>
      <w:bookmarkStart w:id="1700" w:name="bookmark1811"/>
      <w:bookmarkStart w:id="1701" w:name="_Toc256000233"/>
      <w:r>
        <w:rPr>
          <w:rStyle w:val="32"/>
          <w:rFonts w:ascii="宋体" w:hAnsi="宋体" w:cs="Times New Roman"/>
          <w:color w:val="auto"/>
          <w:sz w:val="24"/>
          <w:szCs w:val="24"/>
          <w:highlight w:val="none"/>
          <w:lang w:eastAsia="zh-CN" w:bidi="en-US"/>
        </w:rPr>
        <w:t>18.1验收工作分类</w:t>
      </w:r>
      <w:bookmarkEnd w:id="1697"/>
      <w:bookmarkEnd w:id="1698"/>
      <w:bookmarkEnd w:id="1699"/>
      <w:bookmarkEnd w:id="1700"/>
      <w:bookmarkEnd w:id="1701"/>
    </w:p>
    <w:p w14:paraId="2F0881D1">
      <w:pPr>
        <w:pStyle w:val="102"/>
        <w:pageBreakBefore w:val="0"/>
        <w:kinsoku/>
        <w:wordWrap/>
        <w:overflowPunct/>
        <w:topLinePunct w:val="0"/>
        <w:autoSpaceDE/>
        <w:autoSpaceDN/>
        <w:bidi w:val="0"/>
        <w:adjustRightInd/>
        <w:snapToGrid/>
        <w:ind w:firstLine="440"/>
        <w:jc w:val="both"/>
        <w:textAlignment w:val="auto"/>
        <w:outlineLvl w:val="9"/>
        <w:rPr>
          <w:rStyle w:val="32"/>
          <w:color w:val="auto"/>
          <w:highlight w:val="none"/>
        </w:rPr>
      </w:pPr>
      <w:r>
        <w:rPr>
          <w:rStyle w:val="32"/>
          <w:color w:val="auto"/>
          <w:highlight w:val="none"/>
        </w:rPr>
        <w:t>根据《水利工程建设项目验收管理规定》（水利部令第</w:t>
      </w:r>
      <w:r>
        <w:rPr>
          <w:rStyle w:val="32"/>
          <w:rFonts w:ascii="Times New Roman" w:hAnsi="Times New Roman" w:eastAsia="Times New Roman" w:cs="Times New Roman"/>
          <w:color w:val="auto"/>
          <w:highlight w:val="none"/>
        </w:rPr>
        <w:t>30</w:t>
      </w:r>
      <w:r>
        <w:rPr>
          <w:rStyle w:val="32"/>
          <w:color w:val="auto"/>
          <w:highlight w:val="none"/>
        </w:rPr>
        <w:t>号）和《水利水电建设工程验收规程》</w:t>
      </w:r>
      <w:r>
        <w:rPr>
          <w:rStyle w:val="32"/>
          <w:rFonts w:ascii="Times New Roman" w:hAnsi="Times New Roman" w:eastAsia="Times New Roman" w:cs="Times New Roman"/>
          <w:color w:val="auto"/>
          <w:highlight w:val="none"/>
          <w:lang w:val="en-US" w:bidi="en-US"/>
        </w:rPr>
        <w:t>（SL223</w:t>
      </w:r>
      <w:r>
        <w:rPr>
          <w:rStyle w:val="32"/>
          <w:rFonts w:hint="eastAsia"/>
          <w:color w:val="auto"/>
          <w:highlight w:val="none"/>
          <w:lang w:val="en-US" w:bidi="en-US"/>
        </w:rPr>
        <w:t>）</w:t>
      </w:r>
      <w:r>
        <w:rPr>
          <w:rStyle w:val="32"/>
          <w:rFonts w:ascii="Times New Roman" w:hAnsi="Times New Roman" w:eastAsia="Times New Roman" w:cs="Times New Roman"/>
          <w:color w:val="auto"/>
          <w:highlight w:val="none"/>
          <w:lang w:val="en-US" w:bidi="en-US"/>
        </w:rPr>
        <w:t>2008）</w:t>
      </w:r>
      <w:r>
        <w:rPr>
          <w:rStyle w:val="32"/>
          <w:color w:val="auto"/>
          <w:highlight w:val="none"/>
        </w:rPr>
        <w:t>的相关规定执行。</w:t>
      </w:r>
    </w:p>
    <w:p w14:paraId="3D405B31">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02" w:name="_Toc256000311"/>
      <w:bookmarkStart w:id="1703" w:name="bookmark1814"/>
      <w:bookmarkStart w:id="1704" w:name="_Toc256000234"/>
      <w:bookmarkStart w:id="1705" w:name="bookmark1815"/>
      <w:bookmarkStart w:id="1706" w:name="bookmark1813"/>
      <w:r>
        <w:rPr>
          <w:rStyle w:val="32"/>
          <w:rFonts w:ascii="宋体" w:hAnsi="宋体" w:cs="Times New Roman"/>
          <w:color w:val="auto"/>
          <w:sz w:val="24"/>
          <w:szCs w:val="24"/>
          <w:highlight w:val="none"/>
          <w:lang w:eastAsia="zh-CN" w:bidi="en-US"/>
        </w:rPr>
        <w:t>18.2分部工程验收</w:t>
      </w:r>
      <w:bookmarkEnd w:id="1702"/>
      <w:bookmarkEnd w:id="1703"/>
      <w:bookmarkEnd w:id="1704"/>
      <w:bookmarkEnd w:id="1705"/>
      <w:bookmarkEnd w:id="1706"/>
    </w:p>
    <w:p w14:paraId="36751193">
      <w:pPr>
        <w:pStyle w:val="102"/>
        <w:pageBreakBefore w:val="0"/>
        <w:tabs>
          <w:tab w:val="left" w:pos="7018"/>
        </w:tabs>
        <w:kinsoku/>
        <w:wordWrap/>
        <w:overflowPunct/>
        <w:topLinePunct w:val="0"/>
        <w:autoSpaceDE/>
        <w:autoSpaceDN/>
        <w:bidi w:val="0"/>
        <w:adjustRightInd/>
        <w:snapToGrid/>
        <w:ind w:firstLine="44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18.2.</w:t>
      </w:r>
      <w:r>
        <w:rPr>
          <w:rStyle w:val="32"/>
          <w:rFonts w:ascii="Times New Roman" w:hAnsi="Times New Roman" w:eastAsia="Times New Roman" w:cs="Times New Roman"/>
          <w:color w:val="auto"/>
          <w:highlight w:val="none"/>
        </w:rPr>
        <w:t>2</w:t>
      </w:r>
      <w:r>
        <w:rPr>
          <w:rStyle w:val="32"/>
          <w:color w:val="auto"/>
          <w:highlight w:val="none"/>
        </w:rPr>
        <w:t>本工程由发包人主持的分部工程验收为：</w:t>
      </w:r>
      <w:r>
        <w:rPr>
          <w:rStyle w:val="32"/>
          <w:rFonts w:hint="eastAsia"/>
          <w:color w:val="auto"/>
          <w:highlight w:val="none"/>
          <w:u w:val="single"/>
          <w:lang w:val="en-US" w:eastAsia="zh-CN"/>
        </w:rPr>
        <w:t>/</w:t>
      </w:r>
      <w:r>
        <w:rPr>
          <w:rStyle w:val="32"/>
          <w:rFonts w:hint="eastAsia"/>
          <w:color w:val="auto"/>
          <w:highlight w:val="none"/>
          <w:u w:val="single"/>
          <w:lang w:val="en-US"/>
        </w:rPr>
        <w:t xml:space="preserve">   </w:t>
      </w:r>
      <w:r>
        <w:rPr>
          <w:rStyle w:val="32"/>
          <w:color w:val="auto"/>
          <w:highlight w:val="none"/>
        </w:rPr>
        <w:t>,其余由监理主持。</w:t>
      </w:r>
    </w:p>
    <w:p w14:paraId="7F8B50B0">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07" w:name="bookmark1818"/>
      <w:bookmarkStart w:id="1708" w:name="_Toc256000312"/>
      <w:bookmarkStart w:id="1709" w:name="bookmark1816"/>
      <w:bookmarkStart w:id="1710" w:name="_Toc256000235"/>
      <w:bookmarkStart w:id="1711" w:name="bookmark1817"/>
      <w:r>
        <w:rPr>
          <w:rStyle w:val="32"/>
          <w:rFonts w:ascii="宋体" w:hAnsi="宋体" w:cs="Times New Roman"/>
          <w:color w:val="auto"/>
          <w:sz w:val="24"/>
          <w:szCs w:val="24"/>
          <w:highlight w:val="none"/>
          <w:lang w:eastAsia="zh-CN" w:bidi="en-US"/>
        </w:rPr>
        <w:t>18.3单位工程验收</w:t>
      </w:r>
      <w:bookmarkEnd w:id="1707"/>
      <w:bookmarkEnd w:id="1708"/>
      <w:bookmarkEnd w:id="1709"/>
      <w:bookmarkEnd w:id="1710"/>
      <w:bookmarkEnd w:id="1711"/>
    </w:p>
    <w:p w14:paraId="596BD454">
      <w:pPr>
        <w:pStyle w:val="102"/>
        <w:pageBreakBefore w:val="0"/>
        <w:tabs>
          <w:tab w:val="left" w:pos="6036"/>
        </w:tabs>
        <w:kinsoku/>
        <w:wordWrap/>
        <w:overflowPunct/>
        <w:topLinePunct w:val="0"/>
        <w:autoSpaceDE/>
        <w:autoSpaceDN/>
        <w:bidi w:val="0"/>
        <w:adjustRightInd/>
        <w:snapToGrid/>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18.3.4</w:t>
      </w:r>
      <w:r>
        <w:rPr>
          <w:rStyle w:val="32"/>
          <w:color w:val="auto"/>
          <w:highlight w:val="none"/>
        </w:rPr>
        <w:t>提前投入使用的单位工程包括：</w:t>
      </w:r>
      <w:r>
        <w:rPr>
          <w:rStyle w:val="32"/>
          <w:rFonts w:hint="eastAsia" w:ascii="宋体" w:hAnsi="宋体" w:eastAsia="宋体" w:cs="宋体"/>
          <w:color w:val="auto"/>
          <w:highlight w:val="none"/>
          <w:u w:val="single"/>
        </w:rPr>
        <w:t>按相关规范规定</w:t>
      </w:r>
      <w:r>
        <w:rPr>
          <w:rStyle w:val="32"/>
          <w:rFonts w:hint="eastAsia" w:ascii="Times New Roman" w:hAnsi="Times New Roman" w:cs="Times New Roman"/>
          <w:color w:val="auto"/>
          <w:highlight w:val="none"/>
          <w:lang w:val="en-US" w:bidi="en-US"/>
        </w:rPr>
        <w:t>。</w:t>
      </w:r>
    </w:p>
    <w:p w14:paraId="1EB5CECC">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12" w:name="bookmark1821"/>
      <w:bookmarkStart w:id="1713" w:name="_Toc256000313"/>
      <w:bookmarkStart w:id="1714" w:name="bookmark1819"/>
      <w:bookmarkStart w:id="1715" w:name="bookmark1820"/>
      <w:bookmarkStart w:id="1716" w:name="_Toc256000236"/>
      <w:r>
        <w:rPr>
          <w:rStyle w:val="32"/>
          <w:rFonts w:ascii="宋体" w:hAnsi="宋体" w:cs="Times New Roman"/>
          <w:color w:val="auto"/>
          <w:sz w:val="24"/>
          <w:szCs w:val="24"/>
          <w:highlight w:val="none"/>
          <w:lang w:eastAsia="zh-CN" w:bidi="en-US"/>
        </w:rPr>
        <w:t>18.5阶段验收</w:t>
      </w:r>
      <w:bookmarkEnd w:id="1712"/>
      <w:bookmarkEnd w:id="1713"/>
      <w:bookmarkEnd w:id="1714"/>
      <w:bookmarkEnd w:id="1715"/>
      <w:bookmarkEnd w:id="1716"/>
    </w:p>
    <w:p w14:paraId="6BBFFED0">
      <w:pPr>
        <w:pStyle w:val="102"/>
        <w:pageBreakBefore w:val="0"/>
        <w:tabs>
          <w:tab w:val="left" w:pos="6036"/>
        </w:tabs>
        <w:kinsoku/>
        <w:wordWrap/>
        <w:overflowPunct/>
        <w:topLinePunct w:val="0"/>
        <w:autoSpaceDE/>
        <w:autoSpaceDN/>
        <w:bidi w:val="0"/>
        <w:adjustRightInd/>
        <w:snapToGrid/>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18.5.1</w:t>
      </w:r>
      <w:r>
        <w:rPr>
          <w:rStyle w:val="32"/>
          <w:color w:val="auto"/>
          <w:highlight w:val="none"/>
        </w:rPr>
        <w:t>本合同工程阶段验收类别包括：</w:t>
      </w:r>
      <w:r>
        <w:rPr>
          <w:rStyle w:val="32"/>
          <w:rFonts w:hint="eastAsia" w:ascii="宋体" w:hAnsi="宋体" w:eastAsia="宋体" w:cs="宋体"/>
          <w:color w:val="auto"/>
          <w:highlight w:val="none"/>
          <w:u w:val="single"/>
        </w:rPr>
        <w:t>按相关规范规定</w:t>
      </w:r>
      <w:r>
        <w:rPr>
          <w:rStyle w:val="32"/>
          <w:rFonts w:hint="eastAsia" w:ascii="Times New Roman" w:hAnsi="Times New Roman" w:cs="Times New Roman"/>
          <w:color w:val="auto"/>
          <w:highlight w:val="none"/>
          <w:lang w:val="en-US" w:bidi="en-US"/>
        </w:rPr>
        <w:t>。</w:t>
      </w:r>
    </w:p>
    <w:p w14:paraId="62AF55B2">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17" w:name="_Toc256000237"/>
      <w:bookmarkStart w:id="1718" w:name="bookmark1824"/>
      <w:bookmarkStart w:id="1719" w:name="bookmark1822"/>
      <w:bookmarkStart w:id="1720" w:name="_Toc256000314"/>
      <w:bookmarkStart w:id="1721" w:name="bookmark1823"/>
      <w:r>
        <w:rPr>
          <w:rStyle w:val="32"/>
          <w:rFonts w:ascii="宋体" w:hAnsi="宋体" w:cs="Times New Roman"/>
          <w:color w:val="auto"/>
          <w:sz w:val="24"/>
          <w:szCs w:val="24"/>
          <w:highlight w:val="none"/>
          <w:lang w:eastAsia="zh-CN" w:bidi="en-US"/>
        </w:rPr>
        <w:t>18.6专项验收</w:t>
      </w:r>
      <w:bookmarkEnd w:id="1717"/>
      <w:bookmarkEnd w:id="1718"/>
      <w:bookmarkEnd w:id="1719"/>
      <w:bookmarkEnd w:id="1720"/>
      <w:bookmarkEnd w:id="1721"/>
    </w:p>
    <w:p w14:paraId="3D1951F5">
      <w:pPr>
        <w:pStyle w:val="102"/>
        <w:pageBreakBefore w:val="0"/>
        <w:tabs>
          <w:tab w:val="left" w:pos="6036"/>
        </w:tabs>
        <w:kinsoku/>
        <w:wordWrap/>
        <w:overflowPunct/>
        <w:topLinePunct w:val="0"/>
        <w:autoSpaceDE/>
        <w:autoSpaceDN/>
        <w:bidi w:val="0"/>
        <w:adjustRightInd/>
        <w:snapToGrid/>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18.6.2</w:t>
      </w:r>
      <w:r>
        <w:rPr>
          <w:rStyle w:val="32"/>
          <w:color w:val="auto"/>
          <w:highlight w:val="none"/>
        </w:rPr>
        <w:t>本合同工程专项验收类别包括：</w:t>
      </w:r>
      <w:r>
        <w:rPr>
          <w:rStyle w:val="32"/>
          <w:rFonts w:hint="eastAsia" w:ascii="宋体" w:hAnsi="宋体" w:eastAsia="宋体" w:cs="宋体"/>
          <w:color w:val="auto"/>
          <w:highlight w:val="none"/>
          <w:u w:val="single"/>
        </w:rPr>
        <w:t>按相关规范规定</w:t>
      </w:r>
      <w:r>
        <w:rPr>
          <w:rStyle w:val="32"/>
          <w:rFonts w:hint="eastAsia" w:ascii="Times New Roman" w:hAnsi="Times New Roman" w:cs="Times New Roman"/>
          <w:color w:val="auto"/>
          <w:highlight w:val="none"/>
          <w:lang w:val="en-US" w:bidi="en-US"/>
        </w:rPr>
        <w:t>。</w:t>
      </w:r>
    </w:p>
    <w:p w14:paraId="28139EB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22" w:name="bookmark1826"/>
      <w:bookmarkStart w:id="1723" w:name="_Toc256000315"/>
      <w:bookmarkStart w:id="1724" w:name="bookmark1827"/>
      <w:bookmarkStart w:id="1725" w:name="_Toc256000238"/>
      <w:bookmarkStart w:id="1726" w:name="bookmark1825"/>
      <w:r>
        <w:rPr>
          <w:rStyle w:val="32"/>
          <w:rFonts w:ascii="宋体" w:hAnsi="宋体" w:cs="Times New Roman"/>
          <w:color w:val="auto"/>
          <w:sz w:val="24"/>
          <w:szCs w:val="24"/>
          <w:highlight w:val="none"/>
          <w:lang w:eastAsia="zh-CN" w:bidi="en-US"/>
        </w:rPr>
        <w:t>18.8施工期运行</w:t>
      </w:r>
      <w:bookmarkEnd w:id="1722"/>
      <w:bookmarkEnd w:id="1723"/>
      <w:bookmarkEnd w:id="1724"/>
      <w:bookmarkEnd w:id="1725"/>
      <w:bookmarkEnd w:id="1726"/>
    </w:p>
    <w:p w14:paraId="7AC736C4">
      <w:pPr>
        <w:pStyle w:val="102"/>
        <w:pageBreakBefore w:val="0"/>
        <w:tabs>
          <w:tab w:val="left" w:pos="7296"/>
        </w:tabs>
        <w:kinsoku/>
        <w:wordWrap/>
        <w:overflowPunct/>
        <w:topLinePunct w:val="0"/>
        <w:autoSpaceDE/>
        <w:autoSpaceDN/>
        <w:bidi w:val="0"/>
        <w:adjustRightInd/>
        <w:snapToGrid/>
        <w:ind w:firstLine="420"/>
        <w:textAlignment w:val="auto"/>
        <w:outlineLvl w:val="9"/>
        <w:rPr>
          <w:rStyle w:val="32"/>
          <w:rFonts w:ascii="Times New Roman" w:hAnsi="Times New Roman" w:cs="Times New Roman"/>
          <w:color w:val="auto"/>
          <w:highlight w:val="none"/>
          <w:lang w:val="en-US" w:bidi="en-US"/>
        </w:rPr>
      </w:pPr>
      <w:r>
        <w:rPr>
          <w:rStyle w:val="32"/>
          <w:rFonts w:ascii="Times New Roman" w:hAnsi="Times New Roman" w:eastAsia="Times New Roman" w:cs="Times New Roman"/>
          <w:color w:val="auto"/>
          <w:highlight w:val="none"/>
          <w:lang w:val="en-US" w:bidi="en-US"/>
        </w:rPr>
        <w:t>18.8.1</w:t>
      </w:r>
      <w:r>
        <w:rPr>
          <w:rStyle w:val="32"/>
          <w:color w:val="auto"/>
          <w:highlight w:val="none"/>
        </w:rPr>
        <w:t>需要在施工期运行的单位工程或工程设备为：</w:t>
      </w:r>
      <w:r>
        <w:rPr>
          <w:rStyle w:val="32"/>
          <w:rFonts w:hint="eastAsia"/>
          <w:color w:val="auto"/>
          <w:highlight w:val="none"/>
          <w:u w:val="single"/>
          <w:lang w:eastAsia="zh-CN"/>
        </w:rPr>
        <w:t>无</w:t>
      </w:r>
      <w:r>
        <w:rPr>
          <w:rStyle w:val="32"/>
          <w:rFonts w:hint="eastAsia" w:ascii="Times New Roman" w:hAnsi="Times New Roman" w:cs="Times New Roman"/>
          <w:color w:val="auto"/>
          <w:highlight w:val="none"/>
          <w:lang w:val="en-US" w:bidi="en-US"/>
        </w:rPr>
        <w:t>。</w:t>
      </w:r>
    </w:p>
    <w:p w14:paraId="74D177DE">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27" w:name="_Toc256000316"/>
      <w:bookmarkStart w:id="1728" w:name="_Toc256000239"/>
      <w:bookmarkStart w:id="1729" w:name="bookmark1830"/>
      <w:bookmarkStart w:id="1730" w:name="bookmark1829"/>
      <w:bookmarkStart w:id="1731" w:name="bookmark1828"/>
      <w:r>
        <w:rPr>
          <w:rStyle w:val="32"/>
          <w:rFonts w:ascii="宋体" w:hAnsi="宋体" w:cs="Times New Roman"/>
          <w:color w:val="auto"/>
          <w:sz w:val="24"/>
          <w:szCs w:val="24"/>
          <w:highlight w:val="none"/>
          <w:lang w:eastAsia="zh-CN" w:bidi="en-US"/>
        </w:rPr>
        <w:t>18.9试运行</w:t>
      </w:r>
      <w:bookmarkEnd w:id="1727"/>
      <w:bookmarkEnd w:id="1728"/>
      <w:bookmarkEnd w:id="1729"/>
      <w:bookmarkEnd w:id="1730"/>
      <w:bookmarkEnd w:id="1731"/>
    </w:p>
    <w:p w14:paraId="2F92B99D">
      <w:pPr>
        <w:pStyle w:val="102"/>
        <w:pageBreakBefore w:val="0"/>
        <w:tabs>
          <w:tab w:val="left" w:pos="4570"/>
          <w:tab w:val="left" w:pos="7697"/>
        </w:tabs>
        <w:kinsoku/>
        <w:wordWrap/>
        <w:overflowPunct/>
        <w:topLinePunct w:val="0"/>
        <w:autoSpaceDE/>
        <w:autoSpaceDN/>
        <w:bidi w:val="0"/>
        <w:adjustRightInd/>
        <w:snapToGrid/>
        <w:spacing w:after="260"/>
        <w:ind w:firstLine="420"/>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18. 9.1</w:t>
      </w:r>
      <w:r>
        <w:rPr>
          <w:rStyle w:val="32"/>
          <w:color w:val="auto"/>
          <w:highlight w:val="none"/>
        </w:rPr>
        <w:t>试运行的组织：</w:t>
      </w:r>
      <w:r>
        <w:rPr>
          <w:rStyle w:val="32"/>
          <w:rFonts w:hint="eastAsia" w:ascii="宋体" w:hAnsi="宋体" w:eastAsia="宋体" w:cs="宋体"/>
          <w:color w:val="auto"/>
          <w:highlight w:val="none"/>
          <w:u w:val="single"/>
          <w:lang w:eastAsia="zh-CN"/>
        </w:rPr>
        <w:t>由发包人组织</w:t>
      </w:r>
      <w:r>
        <w:rPr>
          <w:rStyle w:val="32"/>
          <w:rFonts w:hint="eastAsia"/>
          <w:color w:val="auto"/>
          <w:highlight w:val="none"/>
        </w:rPr>
        <w:t>；</w:t>
      </w:r>
      <w:r>
        <w:rPr>
          <w:rStyle w:val="32"/>
          <w:color w:val="auto"/>
          <w:highlight w:val="none"/>
        </w:rPr>
        <w:t>费用承担：</w:t>
      </w:r>
      <w:bookmarkStart w:id="1732" w:name="bookmark1833"/>
      <w:bookmarkEnd w:id="1732"/>
      <w:bookmarkStart w:id="1733" w:name="_Toc24047"/>
      <w:bookmarkStart w:id="1734" w:name="_Toc21054"/>
      <w:bookmarkStart w:id="1735" w:name="bookmark1832"/>
      <w:bookmarkStart w:id="1736" w:name="bookmark1831"/>
      <w:bookmarkStart w:id="1737" w:name="bookmark1834"/>
      <w:r>
        <w:rPr>
          <w:rStyle w:val="32"/>
          <w:rFonts w:hint="eastAsia" w:ascii="宋体" w:hAnsi="宋体" w:eastAsia="宋体" w:cs="宋体"/>
          <w:color w:val="auto"/>
          <w:highlight w:val="none"/>
          <w:u w:val="single"/>
          <w:lang w:eastAsia="zh-CN"/>
        </w:rPr>
        <w:t>承包人承担</w:t>
      </w:r>
      <w:r>
        <w:rPr>
          <w:rStyle w:val="32"/>
          <w:rFonts w:hint="eastAsia"/>
          <w:color w:val="auto"/>
          <w:highlight w:val="none"/>
        </w:rPr>
        <w:t>。</w:t>
      </w:r>
    </w:p>
    <w:p w14:paraId="78A29E7A">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738" w:name="_Toc256000240"/>
      <w:bookmarkStart w:id="1739" w:name="_Toc13258"/>
      <w:bookmarkStart w:id="1740" w:name="_Toc256000317"/>
      <w:r>
        <w:rPr>
          <w:rStyle w:val="32"/>
          <w:rFonts w:hint="eastAsia" w:cs="Times New Roman"/>
          <w:color w:val="auto"/>
          <w:highlight w:val="none"/>
          <w:lang w:eastAsia="zh-CN"/>
        </w:rPr>
        <w:t>19. 缺陷责任与保修责任</w:t>
      </w:r>
      <w:bookmarkEnd w:id="1733"/>
      <w:bookmarkEnd w:id="1734"/>
      <w:bookmarkEnd w:id="1735"/>
      <w:bookmarkEnd w:id="1736"/>
      <w:bookmarkEnd w:id="1737"/>
      <w:bookmarkEnd w:id="1738"/>
      <w:bookmarkEnd w:id="1739"/>
      <w:bookmarkEnd w:id="1740"/>
    </w:p>
    <w:p w14:paraId="1DB99F6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41" w:name="_Toc256000318"/>
      <w:bookmarkStart w:id="1742" w:name="bookmark1835"/>
      <w:bookmarkStart w:id="1743" w:name="_Toc256000241"/>
      <w:bookmarkStart w:id="1744" w:name="bookmark1836"/>
      <w:bookmarkStart w:id="1745" w:name="bookmark1837"/>
      <w:r>
        <w:rPr>
          <w:rStyle w:val="32"/>
          <w:rFonts w:ascii="宋体" w:hAnsi="宋体" w:cs="Times New Roman"/>
          <w:color w:val="auto"/>
          <w:sz w:val="24"/>
          <w:szCs w:val="24"/>
          <w:highlight w:val="none"/>
          <w:lang w:eastAsia="zh-CN" w:bidi="en-US"/>
        </w:rPr>
        <w:t>19.1缺陷责任期（工程质量保修期）的起算时间</w:t>
      </w:r>
      <w:bookmarkEnd w:id="1741"/>
      <w:bookmarkEnd w:id="1742"/>
      <w:bookmarkEnd w:id="1743"/>
      <w:bookmarkEnd w:id="1744"/>
      <w:bookmarkEnd w:id="1745"/>
    </w:p>
    <w:p w14:paraId="6C2B9682">
      <w:pPr>
        <w:pStyle w:val="102"/>
        <w:pageBreakBefore w:val="0"/>
        <w:kinsoku/>
        <w:wordWrap/>
        <w:overflowPunct/>
        <w:topLinePunct w:val="0"/>
        <w:autoSpaceDE/>
        <w:autoSpaceDN/>
        <w:bidi w:val="0"/>
        <w:adjustRightInd/>
        <w:snapToGrid/>
        <w:spacing w:after="260" w:line="348" w:lineRule="exact"/>
        <w:ind w:firstLine="440"/>
        <w:jc w:val="both"/>
        <w:textAlignment w:val="auto"/>
        <w:outlineLvl w:val="9"/>
        <w:rPr>
          <w:rStyle w:val="32"/>
          <w:color w:val="auto"/>
          <w:highlight w:val="none"/>
        </w:rPr>
      </w:pPr>
      <w:r>
        <w:rPr>
          <w:rStyle w:val="32"/>
          <w:color w:val="auto"/>
          <w:highlight w:val="none"/>
        </w:rPr>
        <w:t>本工程缺陷责任期（工程质量保修）计算如下：起算日按通用条款</w:t>
      </w:r>
      <w:r>
        <w:rPr>
          <w:rStyle w:val="32"/>
          <w:rFonts w:ascii="Times New Roman" w:hAnsi="Times New Roman" w:eastAsia="Times New Roman" w:cs="Times New Roman"/>
          <w:color w:val="auto"/>
          <w:highlight w:val="none"/>
          <w:lang w:val="en-US" w:bidi="en-US"/>
        </w:rPr>
        <w:t>19.1</w:t>
      </w:r>
      <w:r>
        <w:rPr>
          <w:rStyle w:val="32"/>
          <w:color w:val="auto"/>
          <w:highlight w:val="none"/>
        </w:rPr>
        <w:t>和</w:t>
      </w:r>
      <w:r>
        <w:rPr>
          <w:rStyle w:val="32"/>
          <w:rFonts w:ascii="Times New Roman" w:hAnsi="Times New Roman" w:eastAsia="Times New Roman" w:cs="Times New Roman"/>
          <w:color w:val="auto"/>
          <w:highlight w:val="none"/>
          <w:lang w:val="en-US" w:bidi="en-US"/>
        </w:rPr>
        <w:t>19.</w:t>
      </w:r>
      <w:r>
        <w:rPr>
          <w:rStyle w:val="32"/>
          <w:rFonts w:ascii="Times New Roman" w:hAnsi="Times New Roman" w:eastAsia="Times New Roman" w:cs="Times New Roman"/>
          <w:color w:val="auto"/>
          <w:highlight w:val="none"/>
        </w:rPr>
        <w:t>7</w:t>
      </w:r>
      <w:r>
        <w:rPr>
          <w:rStyle w:val="32"/>
          <w:color w:val="auto"/>
          <w:highlight w:val="none"/>
        </w:rPr>
        <w:t>的约定，终止日按专用条款</w:t>
      </w:r>
      <w:r>
        <w:rPr>
          <w:rStyle w:val="32"/>
          <w:rFonts w:ascii="Times New Roman" w:hAnsi="Times New Roman" w:eastAsia="Times New Roman" w:cs="Times New Roman"/>
          <w:color w:val="auto"/>
          <w:highlight w:val="none"/>
          <w:lang w:val="en-US" w:bidi="en-US"/>
        </w:rPr>
        <w:t>1.1.4.5</w:t>
      </w:r>
      <w:r>
        <w:rPr>
          <w:rStyle w:val="32"/>
          <w:color w:val="auto"/>
          <w:highlight w:val="none"/>
        </w:rPr>
        <w:t>约定。</w:t>
      </w:r>
    </w:p>
    <w:p w14:paraId="4B824AAD">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46" w:name="_Toc256000319"/>
      <w:bookmarkStart w:id="1747" w:name="_Toc256000242"/>
      <w:r>
        <w:rPr>
          <w:rStyle w:val="32"/>
          <w:rFonts w:ascii="宋体" w:hAnsi="宋体" w:cs="Times New Roman"/>
          <w:color w:val="auto"/>
          <w:sz w:val="24"/>
          <w:szCs w:val="24"/>
          <w:highlight w:val="none"/>
          <w:lang w:eastAsia="zh-CN" w:bidi="en-US"/>
        </w:rPr>
        <w:t>19.</w:t>
      </w:r>
      <w:r>
        <w:rPr>
          <w:rStyle w:val="32"/>
          <w:rFonts w:hint="eastAsia" w:ascii="宋体" w:hAnsi="宋体" w:cs="Times New Roman"/>
          <w:color w:val="auto"/>
          <w:sz w:val="24"/>
          <w:szCs w:val="24"/>
          <w:highlight w:val="none"/>
          <w:lang w:eastAsia="zh-CN" w:bidi="en-US"/>
        </w:rPr>
        <w:t>7保修责任</w:t>
      </w:r>
      <w:bookmarkEnd w:id="1746"/>
      <w:bookmarkEnd w:id="1747"/>
    </w:p>
    <w:p w14:paraId="3D46844B">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rFonts w:hint="eastAsia"/>
          <w:color w:val="auto"/>
          <w:highlight w:val="none"/>
          <w:lang w:val="en-US"/>
        </w:rPr>
      </w:pPr>
      <w:r>
        <w:rPr>
          <w:rStyle w:val="32"/>
          <w:color w:val="auto"/>
          <w:highlight w:val="none"/>
        </w:rPr>
        <w:t>本</w:t>
      </w:r>
      <w:r>
        <w:rPr>
          <w:rStyle w:val="32"/>
          <w:rFonts w:hint="eastAsia"/>
          <w:color w:val="auto"/>
          <w:highlight w:val="none"/>
        </w:rPr>
        <w:t>合同</w:t>
      </w:r>
      <w:r>
        <w:rPr>
          <w:rStyle w:val="32"/>
          <w:color w:val="auto"/>
          <w:highlight w:val="none"/>
        </w:rPr>
        <w:t>工程</w:t>
      </w:r>
      <w:r>
        <w:rPr>
          <w:rStyle w:val="32"/>
          <w:rFonts w:hint="eastAsia"/>
          <w:color w:val="auto"/>
          <w:highlight w:val="none"/>
        </w:rPr>
        <w:t>的保修期为：</w:t>
      </w:r>
      <w:r>
        <w:rPr>
          <w:rStyle w:val="32"/>
          <w:rFonts w:hint="eastAsia"/>
          <w:color w:val="auto"/>
          <w:highlight w:val="none"/>
          <w:u w:val="single"/>
          <w:lang w:val="en-US"/>
        </w:rPr>
        <w:t xml:space="preserve">            </w:t>
      </w:r>
      <w:r>
        <w:rPr>
          <w:rStyle w:val="32"/>
          <w:rFonts w:hint="eastAsia"/>
          <w:color w:val="auto"/>
          <w:highlight w:val="none"/>
          <w:lang w:val="en-US"/>
        </w:rPr>
        <w:t>；</w:t>
      </w:r>
    </w:p>
    <w:p w14:paraId="7685727E">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rFonts w:hint="eastAsia"/>
          <w:color w:val="auto"/>
          <w:highlight w:val="none"/>
          <w:lang w:val="en-US"/>
        </w:rPr>
      </w:pPr>
      <w:r>
        <w:rPr>
          <w:rStyle w:val="32"/>
          <w:rFonts w:hint="eastAsia"/>
          <w:color w:val="auto"/>
          <w:highlight w:val="none"/>
          <w:lang w:val="en-US"/>
        </w:rPr>
        <w:t>保修范围：</w:t>
      </w:r>
      <w:r>
        <w:rPr>
          <w:rStyle w:val="32"/>
          <w:rFonts w:hint="eastAsia"/>
          <w:color w:val="auto"/>
          <w:highlight w:val="none"/>
          <w:u w:val="single"/>
          <w:lang w:val="en-US"/>
        </w:rPr>
        <w:t xml:space="preserve">                      </w:t>
      </w:r>
      <w:r>
        <w:rPr>
          <w:rStyle w:val="32"/>
          <w:rFonts w:hint="eastAsia"/>
          <w:color w:val="auto"/>
          <w:highlight w:val="none"/>
          <w:lang w:val="en-US"/>
        </w:rPr>
        <w:t>。</w:t>
      </w:r>
    </w:p>
    <w:p w14:paraId="4CE80B87">
      <w:pPr>
        <w:pStyle w:val="102"/>
        <w:pageBreakBefore w:val="0"/>
        <w:kinsoku/>
        <w:wordWrap/>
        <w:overflowPunct/>
        <w:topLinePunct w:val="0"/>
        <w:autoSpaceDE/>
        <w:autoSpaceDN/>
        <w:bidi w:val="0"/>
        <w:adjustRightInd/>
        <w:snapToGrid/>
        <w:spacing w:line="360" w:lineRule="exact"/>
        <w:ind w:firstLine="420"/>
        <w:textAlignment w:val="auto"/>
        <w:outlineLvl w:val="9"/>
        <w:rPr>
          <w:rStyle w:val="32"/>
          <w:color w:val="auto"/>
          <w:highlight w:val="none"/>
          <w:lang w:val="en-US"/>
        </w:rPr>
      </w:pPr>
      <w:r>
        <w:rPr>
          <w:rStyle w:val="32"/>
          <w:rFonts w:hint="eastAsia"/>
          <w:color w:val="auto"/>
          <w:highlight w:val="none"/>
          <w:lang w:val="en-US"/>
        </w:rPr>
        <w:t>保修责任：由承包人负责并承担相关的一切费用。</w:t>
      </w:r>
    </w:p>
    <w:p w14:paraId="2EF8D477">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748" w:name="bookmark1840"/>
      <w:bookmarkEnd w:id="1748"/>
      <w:bookmarkStart w:id="1749" w:name="_Toc5968"/>
      <w:bookmarkStart w:id="1750" w:name="_Toc3197"/>
      <w:bookmarkStart w:id="1751" w:name="bookmark1841"/>
      <w:bookmarkStart w:id="1752" w:name="_Toc256000243"/>
      <w:bookmarkStart w:id="1753" w:name="_Toc615"/>
      <w:bookmarkStart w:id="1754" w:name="_Toc256000320"/>
      <w:bookmarkStart w:id="1755" w:name="bookmark1839"/>
      <w:bookmarkStart w:id="1756" w:name="bookmark1838"/>
      <w:r>
        <w:rPr>
          <w:rStyle w:val="32"/>
          <w:rFonts w:hint="eastAsia" w:cs="Times New Roman"/>
          <w:color w:val="auto"/>
          <w:highlight w:val="none"/>
          <w:lang w:eastAsia="zh-CN"/>
        </w:rPr>
        <w:t>20. 保险</w:t>
      </w:r>
      <w:bookmarkEnd w:id="1749"/>
      <w:bookmarkEnd w:id="1750"/>
      <w:bookmarkEnd w:id="1751"/>
      <w:bookmarkEnd w:id="1752"/>
      <w:bookmarkEnd w:id="1753"/>
      <w:bookmarkEnd w:id="1754"/>
    </w:p>
    <w:p w14:paraId="2B102ECF">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57" w:name="bookmark1842"/>
      <w:bookmarkStart w:id="1758" w:name="_Toc256000321"/>
      <w:bookmarkStart w:id="1759" w:name="_Toc256000244"/>
      <w:r>
        <w:rPr>
          <w:rStyle w:val="32"/>
          <w:rFonts w:ascii="宋体" w:hAnsi="宋体" w:cs="Times New Roman"/>
          <w:color w:val="auto"/>
          <w:sz w:val="24"/>
          <w:szCs w:val="24"/>
          <w:highlight w:val="none"/>
          <w:lang w:eastAsia="zh-CN" w:bidi="en-US"/>
        </w:rPr>
        <w:t>20.1工程保险</w:t>
      </w:r>
      <w:bookmarkEnd w:id="1755"/>
      <w:bookmarkEnd w:id="1756"/>
      <w:bookmarkEnd w:id="1757"/>
      <w:bookmarkEnd w:id="1758"/>
      <w:bookmarkEnd w:id="1759"/>
    </w:p>
    <w:p w14:paraId="4C4B930B">
      <w:pPr>
        <w:pStyle w:val="102"/>
        <w:pageBreakBefore w:val="0"/>
        <w:kinsoku/>
        <w:wordWrap/>
        <w:overflowPunct/>
        <w:topLinePunct w:val="0"/>
        <w:autoSpaceDE/>
        <w:autoSpaceDN/>
        <w:bidi w:val="0"/>
        <w:adjustRightInd/>
        <w:snapToGrid/>
        <w:spacing w:after="260" w:line="348" w:lineRule="exact"/>
        <w:ind w:firstLine="440"/>
        <w:jc w:val="both"/>
        <w:textAlignment w:val="auto"/>
        <w:outlineLvl w:val="9"/>
        <w:rPr>
          <w:rStyle w:val="32"/>
          <w:color w:val="auto"/>
          <w:highlight w:val="none"/>
        </w:rPr>
      </w:pPr>
      <w:r>
        <w:rPr>
          <w:rStyle w:val="32"/>
          <w:color w:val="auto"/>
          <w:highlight w:val="none"/>
        </w:rPr>
        <w:t>建筑工程一切险和（或）安装工程一切险投保人：</w:t>
      </w:r>
      <w:r>
        <w:rPr>
          <w:rStyle w:val="32"/>
          <w:rFonts w:hint="eastAsia" w:ascii="宋体" w:hAnsi="宋体" w:eastAsia="宋体" w:cs="宋体"/>
          <w:color w:val="auto"/>
          <w:highlight w:val="none"/>
          <w:u w:val="single"/>
        </w:rPr>
        <w:t>以承包人名义投保</w:t>
      </w:r>
      <w:r>
        <w:rPr>
          <w:rStyle w:val="32"/>
          <w:color w:val="auto"/>
          <w:highlight w:val="none"/>
        </w:rPr>
        <w:t>； 投保内容：</w:t>
      </w:r>
      <w:r>
        <w:rPr>
          <w:rStyle w:val="32"/>
          <w:rFonts w:hint="eastAsia" w:ascii="宋体" w:hAnsi="宋体" w:eastAsia="宋体" w:cs="宋体"/>
          <w:color w:val="auto"/>
          <w:highlight w:val="none"/>
          <w:u w:val="single"/>
        </w:rPr>
        <w:t>建筑工程人身意外保险</w:t>
      </w:r>
      <w:r>
        <w:rPr>
          <w:rStyle w:val="32"/>
          <w:rFonts w:hint="eastAsia"/>
          <w:color w:val="auto"/>
          <w:highlight w:val="none"/>
          <w:u w:val="single"/>
        </w:rPr>
        <w:t xml:space="preserve"> </w:t>
      </w:r>
      <w:r>
        <w:rPr>
          <w:rStyle w:val="32"/>
          <w:rFonts w:hint="eastAsia"/>
          <w:color w:val="auto"/>
          <w:highlight w:val="none"/>
        </w:rPr>
        <w:t>；</w:t>
      </w:r>
      <w:r>
        <w:rPr>
          <w:rStyle w:val="32"/>
          <w:color w:val="auto"/>
          <w:highlight w:val="none"/>
        </w:rPr>
        <w:t xml:space="preserve"> 保险金额、保险费率和保险期限:</w:t>
      </w:r>
      <w:r>
        <w:rPr>
          <w:rStyle w:val="32"/>
          <w:rFonts w:hint="eastAsia" w:ascii="宋体" w:hAnsi="宋体" w:eastAsia="宋体" w:cs="宋体"/>
          <w:color w:val="auto"/>
          <w:highlight w:val="none"/>
          <w:u w:val="single"/>
        </w:rPr>
        <w:t>建筑工程人身意外伤害保险为中标金额*保险费率3‰，保险期限为自开工之日起至工程完工</w:t>
      </w:r>
      <w:r>
        <w:rPr>
          <w:rStyle w:val="32"/>
          <w:rFonts w:hint="eastAsia"/>
          <w:color w:val="auto"/>
          <w:highlight w:val="none"/>
          <w:u w:val="single"/>
        </w:rPr>
        <w:t xml:space="preserve"> </w:t>
      </w:r>
      <w:r>
        <w:rPr>
          <w:rStyle w:val="32"/>
          <w:rFonts w:hint="eastAsia"/>
          <w:color w:val="auto"/>
          <w:highlight w:val="none"/>
          <w:lang w:val="en-US"/>
        </w:rPr>
        <w:t>。</w:t>
      </w:r>
    </w:p>
    <w:p w14:paraId="456E414C">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60" w:name="bookmark1845"/>
      <w:bookmarkStart w:id="1761" w:name="_Toc256000245"/>
      <w:bookmarkStart w:id="1762" w:name="bookmark1844"/>
      <w:bookmarkStart w:id="1763" w:name="bookmark1843"/>
      <w:bookmarkStart w:id="1764" w:name="_Toc256000322"/>
      <w:r>
        <w:rPr>
          <w:rStyle w:val="32"/>
          <w:rFonts w:ascii="宋体" w:hAnsi="宋体" w:cs="Times New Roman"/>
          <w:color w:val="auto"/>
          <w:sz w:val="24"/>
          <w:szCs w:val="24"/>
          <w:highlight w:val="none"/>
          <w:lang w:eastAsia="zh-CN" w:bidi="en-US"/>
        </w:rPr>
        <w:t>20.4第三者责任险</w:t>
      </w:r>
      <w:bookmarkEnd w:id="1760"/>
      <w:bookmarkEnd w:id="1761"/>
      <w:bookmarkEnd w:id="1762"/>
      <w:bookmarkEnd w:id="1763"/>
      <w:bookmarkEnd w:id="1764"/>
    </w:p>
    <w:p w14:paraId="02212FDA">
      <w:pPr>
        <w:pStyle w:val="102"/>
        <w:pageBreakBefore w:val="0"/>
        <w:tabs>
          <w:tab w:val="left" w:pos="8225"/>
        </w:tabs>
        <w:kinsoku/>
        <w:wordWrap/>
        <w:overflowPunct/>
        <w:topLinePunct w:val="0"/>
        <w:autoSpaceDE/>
        <w:autoSpaceDN/>
        <w:bidi w:val="0"/>
        <w:adjustRightInd/>
        <w:snapToGrid/>
        <w:spacing w:after="120" w:line="362" w:lineRule="exact"/>
        <w:ind w:left="420" w:firstLine="2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 xml:space="preserve">20.4.2 </w:t>
      </w:r>
      <w:r>
        <w:rPr>
          <w:rStyle w:val="32"/>
          <w:color w:val="auto"/>
          <w:highlight w:val="none"/>
        </w:rPr>
        <w:t>第三者责任险保险费率：</w:t>
      </w:r>
      <w:r>
        <w:rPr>
          <w:rStyle w:val="32"/>
          <w:rFonts w:hint="eastAsia"/>
          <w:color w:val="auto"/>
          <w:highlight w:val="none"/>
          <w:u w:val="single"/>
        </w:rPr>
        <w:t xml:space="preserve">  </w:t>
      </w:r>
      <w:r>
        <w:rPr>
          <w:rStyle w:val="32"/>
          <w:rFonts w:hint="eastAsia"/>
          <w:color w:val="auto"/>
          <w:highlight w:val="none"/>
          <w:u w:val="single"/>
          <w:lang w:val="en-US" w:eastAsia="zh-CN"/>
        </w:rPr>
        <w:t>/</w:t>
      </w:r>
      <w:r>
        <w:rPr>
          <w:rStyle w:val="32"/>
          <w:rFonts w:hint="eastAsia"/>
          <w:color w:val="auto"/>
          <w:highlight w:val="none"/>
          <w:u w:val="single"/>
        </w:rPr>
        <w:t xml:space="preserve"> </w:t>
      </w:r>
      <w:r>
        <w:rPr>
          <w:rStyle w:val="32"/>
          <w:rFonts w:hint="eastAsia"/>
          <w:color w:val="auto"/>
          <w:highlight w:val="none"/>
        </w:rPr>
        <w:t>；</w:t>
      </w:r>
      <w:r>
        <w:rPr>
          <w:rStyle w:val="32"/>
          <w:color w:val="auto"/>
          <w:highlight w:val="none"/>
        </w:rPr>
        <w:t xml:space="preserve"> 第三者责任险保险金额：</w:t>
      </w:r>
      <w:r>
        <w:rPr>
          <w:rStyle w:val="32"/>
          <w:rFonts w:hint="eastAsia"/>
          <w:color w:val="auto"/>
          <w:highlight w:val="none"/>
          <w:u w:val="single"/>
        </w:rPr>
        <w:t xml:space="preserve">  </w:t>
      </w:r>
      <w:r>
        <w:rPr>
          <w:rStyle w:val="32"/>
          <w:rFonts w:hint="eastAsia"/>
          <w:color w:val="auto"/>
          <w:highlight w:val="none"/>
          <w:u w:val="single"/>
          <w:lang w:val="en-US" w:eastAsia="zh-CN"/>
        </w:rPr>
        <w:t>/</w:t>
      </w:r>
      <w:r>
        <w:rPr>
          <w:rStyle w:val="32"/>
          <w:rFonts w:hint="eastAsia"/>
          <w:color w:val="auto"/>
          <w:highlight w:val="none"/>
          <w:u w:val="single"/>
        </w:rPr>
        <w:t xml:space="preserve">   </w:t>
      </w:r>
      <w:r>
        <w:rPr>
          <w:rStyle w:val="32"/>
          <w:rFonts w:hint="eastAsia" w:ascii="Times New Roman" w:hAnsi="Times New Roman" w:cs="Times New Roman"/>
          <w:color w:val="auto"/>
          <w:highlight w:val="none"/>
          <w:lang w:val="en-US" w:bidi="en-US"/>
        </w:rPr>
        <w:t>。</w:t>
      </w:r>
    </w:p>
    <w:p w14:paraId="39C4FAC7">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65" w:name="bookmark1846"/>
      <w:bookmarkStart w:id="1766" w:name="bookmark1847"/>
      <w:bookmarkStart w:id="1767" w:name="_Toc256000323"/>
      <w:bookmarkStart w:id="1768" w:name="bookmark1848"/>
      <w:bookmarkStart w:id="1769" w:name="_Toc256000246"/>
      <w:r>
        <w:rPr>
          <w:rStyle w:val="32"/>
          <w:rFonts w:ascii="宋体" w:hAnsi="宋体" w:cs="Times New Roman"/>
          <w:color w:val="auto"/>
          <w:sz w:val="24"/>
          <w:szCs w:val="24"/>
          <w:highlight w:val="none"/>
          <w:lang w:eastAsia="zh-CN" w:bidi="en-US"/>
        </w:rPr>
        <w:t>20.5其他保险</w:t>
      </w:r>
      <w:bookmarkEnd w:id="1765"/>
      <w:bookmarkEnd w:id="1766"/>
      <w:bookmarkEnd w:id="1767"/>
      <w:bookmarkEnd w:id="1768"/>
      <w:bookmarkEnd w:id="1769"/>
    </w:p>
    <w:p w14:paraId="54E691AA">
      <w:pPr>
        <w:pStyle w:val="102"/>
        <w:pageBreakBefore w:val="0"/>
        <w:tabs>
          <w:tab w:val="left" w:pos="8220"/>
        </w:tabs>
        <w:kinsoku/>
        <w:wordWrap/>
        <w:overflowPunct/>
        <w:topLinePunct w:val="0"/>
        <w:autoSpaceDE/>
        <w:autoSpaceDN/>
        <w:bidi w:val="0"/>
        <w:adjustRightInd/>
        <w:snapToGrid/>
        <w:spacing w:after="120" w:line="346" w:lineRule="exact"/>
        <w:ind w:left="420" w:firstLine="20"/>
        <w:jc w:val="both"/>
        <w:textAlignment w:val="auto"/>
        <w:outlineLvl w:val="9"/>
        <w:rPr>
          <w:rStyle w:val="32"/>
          <w:color w:val="auto"/>
          <w:highlight w:val="none"/>
        </w:rPr>
      </w:pPr>
      <w:r>
        <w:rPr>
          <w:rStyle w:val="32"/>
          <w:color w:val="auto"/>
          <w:highlight w:val="none"/>
        </w:rPr>
        <w:t>需要投保的其他内容：</w:t>
      </w:r>
      <w:r>
        <w:rPr>
          <w:rStyle w:val="32"/>
          <w:rFonts w:hint="eastAsia"/>
          <w:color w:val="auto"/>
          <w:highlight w:val="none"/>
          <w:u w:val="single"/>
        </w:rPr>
        <w:t xml:space="preserve"> </w:t>
      </w:r>
      <w:r>
        <w:rPr>
          <w:rStyle w:val="32"/>
          <w:rFonts w:hint="eastAsia"/>
          <w:color w:val="auto"/>
          <w:highlight w:val="none"/>
          <w:u w:val="single"/>
          <w:lang w:val="en-US" w:eastAsia="zh-CN"/>
        </w:rPr>
        <w:t>/</w:t>
      </w:r>
      <w:r>
        <w:rPr>
          <w:rStyle w:val="32"/>
          <w:rFonts w:hint="eastAsia"/>
          <w:color w:val="auto"/>
          <w:highlight w:val="none"/>
          <w:u w:val="single"/>
        </w:rPr>
        <w:t xml:space="preserve">   </w:t>
      </w:r>
      <w:r>
        <w:rPr>
          <w:rStyle w:val="32"/>
          <w:rFonts w:hint="eastAsia"/>
          <w:color w:val="auto"/>
          <w:highlight w:val="none"/>
        </w:rPr>
        <w:t>；</w:t>
      </w:r>
      <w:r>
        <w:rPr>
          <w:rStyle w:val="32"/>
          <w:color w:val="auto"/>
          <w:highlight w:val="none"/>
        </w:rPr>
        <w:t>保险金额、保险费率和保险期限：</w:t>
      </w:r>
      <w:r>
        <w:rPr>
          <w:rStyle w:val="32"/>
          <w:rFonts w:hint="eastAsia"/>
          <w:color w:val="auto"/>
          <w:highlight w:val="none"/>
          <w:u w:val="single"/>
        </w:rPr>
        <w:t xml:space="preserve"> </w:t>
      </w:r>
      <w:r>
        <w:rPr>
          <w:rStyle w:val="32"/>
          <w:rFonts w:hint="eastAsia"/>
          <w:color w:val="auto"/>
          <w:highlight w:val="none"/>
          <w:u w:val="single"/>
          <w:lang w:val="en-US" w:eastAsia="zh-CN"/>
        </w:rPr>
        <w:t>/</w:t>
      </w:r>
      <w:r>
        <w:rPr>
          <w:rStyle w:val="32"/>
          <w:rFonts w:hint="eastAsia"/>
          <w:color w:val="auto"/>
          <w:highlight w:val="none"/>
          <w:u w:val="single"/>
        </w:rPr>
        <w:t xml:space="preserve"> </w:t>
      </w:r>
      <w:r>
        <w:rPr>
          <w:rStyle w:val="32"/>
          <w:rFonts w:hint="eastAsia"/>
          <w:color w:val="auto"/>
          <w:highlight w:val="none"/>
        </w:rPr>
        <w:t>；</w:t>
      </w:r>
    </w:p>
    <w:p w14:paraId="5D92F538">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70" w:name="_Toc256000324"/>
      <w:bookmarkStart w:id="1771" w:name="_Toc256000247"/>
      <w:bookmarkStart w:id="1772" w:name="bookmark1851"/>
      <w:bookmarkStart w:id="1773" w:name="bookmark1850"/>
      <w:bookmarkStart w:id="1774" w:name="bookmark1849"/>
      <w:r>
        <w:rPr>
          <w:rStyle w:val="32"/>
          <w:rFonts w:ascii="宋体" w:hAnsi="宋体" w:cs="Times New Roman"/>
          <w:color w:val="auto"/>
          <w:sz w:val="24"/>
          <w:szCs w:val="24"/>
          <w:highlight w:val="none"/>
          <w:lang w:eastAsia="zh-CN" w:bidi="en-US"/>
        </w:rPr>
        <w:t>20.6对各项保险的一般要求</w:t>
      </w:r>
      <w:bookmarkEnd w:id="1770"/>
      <w:bookmarkEnd w:id="1771"/>
      <w:bookmarkEnd w:id="1772"/>
      <w:bookmarkEnd w:id="1773"/>
      <w:bookmarkEnd w:id="1774"/>
    </w:p>
    <w:p w14:paraId="149F73CC">
      <w:pPr>
        <w:pStyle w:val="102"/>
        <w:pageBreakBefore w:val="0"/>
        <w:kinsoku/>
        <w:wordWrap/>
        <w:overflowPunct/>
        <w:topLinePunct w:val="0"/>
        <w:autoSpaceDE/>
        <w:autoSpaceDN/>
        <w:bidi w:val="0"/>
        <w:adjustRightInd/>
        <w:snapToGrid/>
        <w:spacing w:line="346"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20.6.1保险凭证</w:t>
      </w:r>
    </w:p>
    <w:p w14:paraId="314F5507">
      <w:pPr>
        <w:pStyle w:val="102"/>
        <w:pageBreakBefore w:val="0"/>
        <w:tabs>
          <w:tab w:val="left" w:pos="8220"/>
        </w:tabs>
        <w:kinsoku/>
        <w:wordWrap/>
        <w:overflowPunct/>
        <w:topLinePunct w:val="0"/>
        <w:autoSpaceDE/>
        <w:autoSpaceDN/>
        <w:bidi w:val="0"/>
        <w:adjustRightInd/>
        <w:snapToGrid/>
        <w:spacing w:line="346" w:lineRule="exact"/>
        <w:ind w:left="420" w:firstLine="20"/>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承包人提交保险凭证的期限：</w:t>
      </w:r>
      <w:r>
        <w:rPr>
          <w:rStyle w:val="32"/>
          <w:rFonts w:hint="eastAsia" w:ascii="宋体" w:hAnsi="宋体" w:eastAsia="宋体" w:cs="宋体"/>
          <w:color w:val="auto"/>
          <w:highlight w:val="none"/>
          <w:u w:val="single"/>
        </w:rPr>
        <w:t>项目开工前</w:t>
      </w:r>
      <w:r>
        <w:rPr>
          <w:rStyle w:val="32"/>
          <w:rFonts w:ascii="Times New Roman" w:hAnsi="Times New Roman" w:cs="Times New Roman"/>
          <w:color w:val="auto"/>
          <w:highlight w:val="none"/>
          <w:u w:val="single"/>
        </w:rPr>
        <w:t xml:space="preserve"> </w:t>
      </w:r>
      <w:r>
        <w:rPr>
          <w:rStyle w:val="32"/>
          <w:rFonts w:ascii="Times New Roman" w:hAnsi="Times New Roman" w:cs="Times New Roman"/>
          <w:color w:val="auto"/>
          <w:highlight w:val="none"/>
        </w:rPr>
        <w:t>； 保险条件：</w:t>
      </w:r>
      <w:r>
        <w:rPr>
          <w:rStyle w:val="32"/>
          <w:rFonts w:ascii="Times New Roman" w:hAnsi="Times New Roman" w:cs="Times New Roman"/>
          <w:color w:val="auto"/>
          <w:highlight w:val="none"/>
          <w:u w:val="single"/>
        </w:rPr>
        <w:t xml:space="preserve"> </w:t>
      </w:r>
      <w:r>
        <w:rPr>
          <w:rStyle w:val="32"/>
          <w:rFonts w:hint="eastAsia" w:ascii="Times New Roman" w:hAnsi="Times New Roman" w:cs="Times New Roman"/>
          <w:color w:val="auto"/>
          <w:highlight w:val="none"/>
          <w:u w:val="single"/>
          <w:lang w:val="en-US" w:eastAsia="zh-CN"/>
        </w:rPr>
        <w:t>/</w:t>
      </w:r>
      <w:r>
        <w:rPr>
          <w:rStyle w:val="32"/>
          <w:rFonts w:ascii="Times New Roman" w:hAnsi="Times New Roman" w:cs="Times New Roman"/>
          <w:color w:val="auto"/>
          <w:highlight w:val="none"/>
          <w:u w:val="single"/>
        </w:rPr>
        <w:t xml:space="preserve">  </w:t>
      </w:r>
      <w:r>
        <w:rPr>
          <w:rStyle w:val="32"/>
          <w:rFonts w:ascii="Times New Roman" w:hAnsi="Times New Roman" w:cs="Times New Roman"/>
          <w:color w:val="auto"/>
          <w:highlight w:val="none"/>
        </w:rPr>
        <w:t>。</w:t>
      </w:r>
    </w:p>
    <w:p w14:paraId="5D101F1D">
      <w:pPr>
        <w:pStyle w:val="102"/>
        <w:pageBreakBefore w:val="0"/>
        <w:kinsoku/>
        <w:wordWrap/>
        <w:overflowPunct/>
        <w:topLinePunct w:val="0"/>
        <w:autoSpaceDE/>
        <w:autoSpaceDN/>
        <w:bidi w:val="0"/>
        <w:adjustRightInd/>
        <w:snapToGrid/>
        <w:spacing w:line="346" w:lineRule="exact"/>
        <w:ind w:firstLine="420"/>
        <w:textAlignment w:val="auto"/>
        <w:outlineLvl w:val="9"/>
        <w:rPr>
          <w:rStyle w:val="32"/>
          <w:rFonts w:ascii="Times New Roman" w:hAnsi="Times New Roman" w:cs="Times New Roman"/>
          <w:color w:val="auto"/>
          <w:highlight w:val="none"/>
        </w:rPr>
      </w:pPr>
      <w:r>
        <w:rPr>
          <w:rStyle w:val="32"/>
          <w:rFonts w:ascii="Times New Roman" w:hAnsi="Times New Roman" w:eastAsia="Times New Roman" w:cs="Times New Roman"/>
          <w:color w:val="auto"/>
          <w:highlight w:val="none"/>
          <w:lang w:val="en-US" w:bidi="en-US"/>
        </w:rPr>
        <w:t>20. 6</w:t>
      </w:r>
      <w:r>
        <w:rPr>
          <w:rStyle w:val="32"/>
          <w:rFonts w:hint="eastAsia" w:ascii="Times New Roman" w:hAnsi="Times New Roman" w:cs="Times New Roman"/>
          <w:color w:val="auto"/>
          <w:highlight w:val="none"/>
          <w:lang w:val="en-US" w:bidi="en-US"/>
        </w:rPr>
        <w:t>.</w:t>
      </w:r>
      <w:r>
        <w:rPr>
          <w:rStyle w:val="32"/>
          <w:rFonts w:ascii="Times New Roman" w:hAnsi="Times New Roman" w:eastAsia="Times New Roman" w:cs="Times New Roman"/>
          <w:color w:val="auto"/>
          <w:highlight w:val="none"/>
        </w:rPr>
        <w:t>4</w:t>
      </w:r>
      <w:r>
        <w:rPr>
          <w:rStyle w:val="32"/>
          <w:rFonts w:ascii="Times New Roman" w:hAnsi="Times New Roman" w:cs="Times New Roman"/>
          <w:color w:val="auto"/>
          <w:highlight w:val="none"/>
        </w:rPr>
        <w:t>保险金不足的补偿</w:t>
      </w:r>
    </w:p>
    <w:p w14:paraId="37A43C2A">
      <w:pPr>
        <w:pStyle w:val="102"/>
        <w:pageBreakBefore w:val="0"/>
        <w:tabs>
          <w:tab w:val="left" w:pos="8215"/>
          <w:tab w:val="left" w:pos="8218"/>
        </w:tabs>
        <w:kinsoku/>
        <w:wordWrap/>
        <w:overflowPunct/>
        <w:topLinePunct w:val="0"/>
        <w:autoSpaceDE/>
        <w:autoSpaceDN/>
        <w:bidi w:val="0"/>
        <w:adjustRightInd/>
        <w:snapToGrid/>
        <w:spacing w:after="260" w:line="350" w:lineRule="exact"/>
        <w:ind w:left="420" w:firstLine="20"/>
        <w:jc w:val="both"/>
        <w:textAlignment w:val="auto"/>
        <w:outlineLvl w:val="9"/>
        <w:rPr>
          <w:rStyle w:val="32"/>
          <w:color w:val="auto"/>
          <w:highlight w:val="none"/>
        </w:rPr>
      </w:pPr>
      <w:r>
        <w:rPr>
          <w:rStyle w:val="32"/>
          <w:rFonts w:ascii="Times New Roman" w:hAnsi="Times New Roman" w:cs="Times New Roman"/>
          <w:color w:val="auto"/>
          <w:highlight w:val="none"/>
        </w:rPr>
        <w:t>承包人负责补偿的范围</w:t>
      </w:r>
      <w:r>
        <w:rPr>
          <w:rStyle w:val="32"/>
          <w:color w:val="auto"/>
          <w:highlight w:val="none"/>
        </w:rPr>
        <w:t>与金额：</w:t>
      </w:r>
      <w:r>
        <w:rPr>
          <w:rStyle w:val="32"/>
          <w:rFonts w:hint="eastAsia"/>
          <w:color w:val="auto"/>
          <w:highlight w:val="none"/>
          <w:u w:val="single"/>
        </w:rPr>
        <w:t xml:space="preserve"> </w:t>
      </w:r>
      <w:r>
        <w:rPr>
          <w:rStyle w:val="32"/>
          <w:rFonts w:hint="eastAsia"/>
          <w:color w:val="auto"/>
          <w:highlight w:val="none"/>
          <w:u w:val="single"/>
          <w:lang w:val="en-US" w:eastAsia="zh-CN"/>
        </w:rPr>
        <w:t>/</w:t>
      </w:r>
      <w:r>
        <w:rPr>
          <w:rStyle w:val="32"/>
          <w:rFonts w:hint="eastAsia"/>
          <w:color w:val="auto"/>
          <w:highlight w:val="none"/>
          <w:u w:val="single"/>
        </w:rPr>
        <w:t xml:space="preserve">  </w:t>
      </w:r>
      <w:r>
        <w:rPr>
          <w:rStyle w:val="32"/>
          <w:color w:val="auto"/>
          <w:highlight w:val="none"/>
        </w:rPr>
        <w:t>； 发包人负责补偿的范围与金额：</w:t>
      </w:r>
      <w:r>
        <w:rPr>
          <w:rStyle w:val="32"/>
          <w:rFonts w:hint="eastAsia"/>
          <w:color w:val="auto"/>
          <w:highlight w:val="none"/>
          <w:u w:val="single"/>
        </w:rPr>
        <w:t xml:space="preserve"> </w:t>
      </w:r>
      <w:r>
        <w:rPr>
          <w:rStyle w:val="32"/>
          <w:rFonts w:hint="eastAsia"/>
          <w:color w:val="auto"/>
          <w:highlight w:val="none"/>
          <w:u w:val="single"/>
          <w:lang w:val="en-US" w:eastAsia="zh-CN"/>
        </w:rPr>
        <w:t>/</w:t>
      </w:r>
      <w:r>
        <w:rPr>
          <w:rStyle w:val="32"/>
          <w:rFonts w:hint="eastAsia"/>
          <w:color w:val="auto"/>
          <w:highlight w:val="none"/>
          <w:u w:val="single"/>
        </w:rPr>
        <w:t xml:space="preserve"> </w:t>
      </w:r>
      <w:r>
        <w:rPr>
          <w:rStyle w:val="32"/>
          <w:rFonts w:hint="eastAsia" w:ascii="Times New Roman" w:hAnsi="Times New Roman" w:cs="Times New Roman"/>
          <w:color w:val="auto"/>
          <w:highlight w:val="none"/>
          <w:lang w:val="en-US" w:bidi="en-US"/>
        </w:rPr>
        <w:t>。</w:t>
      </w:r>
    </w:p>
    <w:p w14:paraId="356D2473">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775" w:name="bookmark1854"/>
      <w:bookmarkEnd w:id="1775"/>
      <w:bookmarkStart w:id="1776" w:name="_Toc31045"/>
      <w:bookmarkStart w:id="1777" w:name="_Toc256000325"/>
      <w:bookmarkStart w:id="1778" w:name="_Toc13643"/>
      <w:bookmarkStart w:id="1779" w:name="_Toc256000248"/>
      <w:bookmarkStart w:id="1780" w:name="_Toc5988"/>
      <w:bookmarkStart w:id="1781" w:name="bookmark1855"/>
      <w:bookmarkStart w:id="1782" w:name="bookmark1852"/>
      <w:bookmarkStart w:id="1783" w:name="bookmark1853"/>
      <w:r>
        <w:rPr>
          <w:rStyle w:val="32"/>
          <w:rFonts w:hint="eastAsia" w:cs="Times New Roman"/>
          <w:color w:val="auto"/>
          <w:highlight w:val="none"/>
          <w:lang w:eastAsia="zh-CN"/>
        </w:rPr>
        <w:t>21. 不可抗力</w:t>
      </w:r>
      <w:bookmarkEnd w:id="1776"/>
      <w:bookmarkEnd w:id="1777"/>
      <w:bookmarkEnd w:id="1778"/>
      <w:bookmarkEnd w:id="1779"/>
      <w:bookmarkEnd w:id="1780"/>
      <w:bookmarkEnd w:id="1781"/>
    </w:p>
    <w:p w14:paraId="046E18B6">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84" w:name="_Toc256000326"/>
      <w:bookmarkStart w:id="1785" w:name="_Toc256000249"/>
      <w:bookmarkStart w:id="1786" w:name="bookmark1856"/>
      <w:r>
        <w:rPr>
          <w:rStyle w:val="32"/>
          <w:rFonts w:ascii="宋体" w:hAnsi="宋体" w:cs="Times New Roman"/>
          <w:color w:val="auto"/>
          <w:sz w:val="24"/>
          <w:szCs w:val="24"/>
          <w:highlight w:val="none"/>
          <w:lang w:eastAsia="zh-CN" w:bidi="en-US"/>
        </w:rPr>
        <w:t>21.1不可抗力的确认</w:t>
      </w:r>
      <w:bookmarkEnd w:id="1782"/>
      <w:bookmarkEnd w:id="1783"/>
      <w:bookmarkEnd w:id="1784"/>
      <w:bookmarkEnd w:id="1785"/>
      <w:bookmarkEnd w:id="1786"/>
    </w:p>
    <w:p w14:paraId="336E15DA">
      <w:pPr>
        <w:pStyle w:val="102"/>
        <w:pageBreakBefore w:val="0"/>
        <w:kinsoku/>
        <w:wordWrap/>
        <w:overflowPunct/>
        <w:topLinePunct w:val="0"/>
        <w:autoSpaceDE/>
        <w:autoSpaceDN/>
        <w:bidi w:val="0"/>
        <w:adjustRightInd/>
        <w:snapToGrid/>
        <w:spacing w:after="260" w:line="346" w:lineRule="exact"/>
        <w:ind w:firstLine="440"/>
        <w:jc w:val="both"/>
        <w:textAlignment w:val="auto"/>
        <w:outlineLvl w:val="9"/>
        <w:rPr>
          <w:rStyle w:val="32"/>
          <w:color w:val="auto"/>
          <w:highlight w:val="none"/>
        </w:rPr>
      </w:pPr>
      <w:r>
        <w:rPr>
          <w:rStyle w:val="32"/>
          <w:rFonts w:ascii="Times New Roman" w:hAnsi="Times New Roman" w:eastAsia="Times New Roman" w:cs="Times New Roman"/>
          <w:color w:val="auto"/>
          <w:highlight w:val="none"/>
          <w:lang w:val="en-US" w:bidi="en-US"/>
        </w:rPr>
        <w:t>21.1.1</w:t>
      </w:r>
      <w:r>
        <w:rPr>
          <w:rStyle w:val="32"/>
          <w:rFonts w:ascii="Times New Roman" w:hAnsi="Times New Roman" w:cs="Times New Roman"/>
          <w:color w:val="auto"/>
          <w:highlight w:val="none"/>
        </w:rPr>
        <w:t>不</w:t>
      </w:r>
      <w:r>
        <w:rPr>
          <w:rStyle w:val="32"/>
          <w:color w:val="auto"/>
          <w:highlight w:val="none"/>
        </w:rPr>
        <w:t>可抗力是指承包人和发包人在订立合同时不可预见，在工程施工过程中不可避免发生并不能克服的自然灾害和社会性突发事件，如地震、海啸、瘟疫、水灾、骚乱、 暴动、战争和本合同专用合同条款第</w:t>
      </w:r>
      <w:r>
        <w:rPr>
          <w:rStyle w:val="32"/>
          <w:rFonts w:ascii="Times New Roman" w:hAnsi="Times New Roman" w:eastAsia="Times New Roman" w:cs="Times New Roman"/>
          <w:color w:val="auto"/>
          <w:highlight w:val="none"/>
          <w:lang w:val="en-US" w:bidi="en-US"/>
        </w:rPr>
        <w:t xml:space="preserve">11. </w:t>
      </w:r>
      <w:r>
        <w:rPr>
          <w:rStyle w:val="32"/>
          <w:rFonts w:ascii="Times New Roman" w:hAnsi="Times New Roman" w:eastAsia="Times New Roman" w:cs="Times New Roman"/>
          <w:color w:val="auto"/>
          <w:highlight w:val="none"/>
        </w:rPr>
        <w:t>4</w:t>
      </w:r>
      <w:r>
        <w:rPr>
          <w:rStyle w:val="32"/>
          <w:color w:val="auto"/>
          <w:highlight w:val="none"/>
        </w:rPr>
        <w:t>款的约定。</w:t>
      </w:r>
    </w:p>
    <w:p w14:paraId="0FBDCF92">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787" w:name="_Toc17737"/>
      <w:bookmarkStart w:id="1788" w:name="_Toc256000327"/>
      <w:bookmarkStart w:id="1789" w:name="_Toc23719"/>
      <w:bookmarkStart w:id="1790" w:name="_Toc256000250"/>
      <w:bookmarkStart w:id="1791" w:name="bookmark1858"/>
      <w:bookmarkStart w:id="1792" w:name="bookmark1859"/>
      <w:bookmarkStart w:id="1793" w:name="_Toc2281"/>
      <w:bookmarkStart w:id="1794" w:name="bookmark1857"/>
      <w:r>
        <w:rPr>
          <w:rStyle w:val="32"/>
          <w:rFonts w:hint="eastAsia" w:cs="Times New Roman"/>
          <w:color w:val="auto"/>
          <w:highlight w:val="none"/>
          <w:lang w:eastAsia="zh-CN"/>
        </w:rPr>
        <w:t>24. 争议的解决</w:t>
      </w:r>
      <w:bookmarkEnd w:id="1787"/>
      <w:bookmarkEnd w:id="1788"/>
      <w:bookmarkEnd w:id="1789"/>
      <w:bookmarkEnd w:id="1790"/>
      <w:bookmarkEnd w:id="1791"/>
      <w:bookmarkEnd w:id="1792"/>
      <w:bookmarkEnd w:id="1793"/>
      <w:bookmarkEnd w:id="1794"/>
    </w:p>
    <w:p w14:paraId="1F2B39D9">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795" w:name="_Toc256000328"/>
      <w:bookmarkStart w:id="1796" w:name="bookmark1861"/>
      <w:bookmarkStart w:id="1797" w:name="bookmark1862"/>
      <w:bookmarkStart w:id="1798" w:name="_Toc256000251"/>
      <w:bookmarkStart w:id="1799" w:name="bookmark1860"/>
      <w:r>
        <w:rPr>
          <w:rStyle w:val="32"/>
          <w:rFonts w:ascii="宋体" w:hAnsi="宋体" w:cs="Times New Roman"/>
          <w:color w:val="auto"/>
          <w:sz w:val="24"/>
          <w:szCs w:val="24"/>
          <w:highlight w:val="none"/>
          <w:lang w:eastAsia="zh-CN" w:bidi="en-US"/>
        </w:rPr>
        <w:t>24.1争议的解决方式</w:t>
      </w:r>
      <w:bookmarkEnd w:id="1795"/>
      <w:bookmarkEnd w:id="1796"/>
      <w:bookmarkEnd w:id="1797"/>
      <w:bookmarkEnd w:id="1798"/>
      <w:bookmarkEnd w:id="1799"/>
    </w:p>
    <w:p w14:paraId="3205340B">
      <w:pPr>
        <w:pStyle w:val="102"/>
        <w:pageBreakBefore w:val="0"/>
        <w:tabs>
          <w:tab w:val="left" w:pos="8198"/>
        </w:tabs>
        <w:kinsoku/>
        <w:wordWrap/>
        <w:overflowPunct/>
        <w:topLinePunct w:val="0"/>
        <w:autoSpaceDE/>
        <w:autoSpaceDN/>
        <w:bidi w:val="0"/>
        <w:adjustRightInd/>
        <w:snapToGrid/>
        <w:spacing w:after="120" w:line="355" w:lineRule="exact"/>
        <w:ind w:firstLine="440"/>
        <w:jc w:val="both"/>
        <w:textAlignment w:val="auto"/>
        <w:outlineLvl w:val="9"/>
        <w:rPr>
          <w:rStyle w:val="32"/>
          <w:color w:val="auto"/>
          <w:highlight w:val="none"/>
        </w:rPr>
      </w:pPr>
      <w:r>
        <w:rPr>
          <w:rStyle w:val="32"/>
          <w:color w:val="auto"/>
          <w:highlight w:val="none"/>
        </w:rPr>
        <w:t>合同当事人友好协商解决不成、不愿提请争议评审或不接受争议评审组意见的，约定的合同争议解决方式：</w:t>
      </w:r>
      <w:r>
        <w:rPr>
          <w:rStyle w:val="32"/>
          <w:rFonts w:ascii="宋体" w:hAnsi="宋体" w:eastAsia="宋体" w:cs="宋体"/>
          <w:color w:val="auto"/>
          <w:highlight w:val="none"/>
          <w:u w:val="single"/>
        </w:rPr>
        <w:t>向工程所在地人民法院提起诉讼</w:t>
      </w:r>
      <w:r>
        <w:rPr>
          <w:rStyle w:val="32"/>
          <w:rFonts w:hint="eastAsia" w:ascii="Times New Roman" w:hAnsi="Times New Roman" w:cs="Times New Roman"/>
          <w:color w:val="auto"/>
          <w:highlight w:val="none"/>
          <w:lang w:val="en-US" w:bidi="en-US"/>
        </w:rPr>
        <w:t>。</w:t>
      </w:r>
    </w:p>
    <w:p w14:paraId="2B34AB7D">
      <w:pPr>
        <w:pStyle w:val="100"/>
        <w:pageBreakBefore w:val="0"/>
        <w:kinsoku/>
        <w:wordWrap/>
        <w:overflowPunct/>
        <w:topLinePunct w:val="0"/>
        <w:autoSpaceDE/>
        <w:autoSpaceDN/>
        <w:bidi w:val="0"/>
        <w:adjustRightInd/>
        <w:snapToGrid/>
        <w:spacing w:line="360" w:lineRule="exact"/>
        <w:textAlignment w:val="auto"/>
        <w:outlineLvl w:val="9"/>
        <w:rPr>
          <w:rStyle w:val="32"/>
          <w:rFonts w:hint="eastAsia" w:cs="Times New Roman"/>
          <w:color w:val="auto"/>
          <w:highlight w:val="none"/>
          <w:lang w:eastAsia="zh-CN"/>
        </w:rPr>
      </w:pPr>
      <w:bookmarkStart w:id="1800" w:name="_Toc256000252"/>
      <w:bookmarkStart w:id="1801" w:name="_Toc26089"/>
      <w:bookmarkStart w:id="1802" w:name="bookmark1864"/>
      <w:bookmarkStart w:id="1803" w:name="bookmark1863"/>
      <w:bookmarkStart w:id="1804" w:name="_Toc256000329"/>
      <w:bookmarkStart w:id="1805" w:name="_Toc30466"/>
      <w:bookmarkStart w:id="1806" w:name="_Toc11294"/>
      <w:bookmarkStart w:id="1807" w:name="bookmark1865"/>
      <w:r>
        <w:rPr>
          <w:rStyle w:val="32"/>
          <w:rFonts w:hint="eastAsia" w:cs="Times New Roman"/>
          <w:color w:val="auto"/>
          <w:highlight w:val="none"/>
          <w:lang w:eastAsia="zh-CN"/>
        </w:rPr>
        <w:t>25. 附加条款</w:t>
      </w:r>
      <w:bookmarkEnd w:id="1800"/>
      <w:bookmarkEnd w:id="1801"/>
      <w:bookmarkEnd w:id="1802"/>
      <w:bookmarkEnd w:id="1803"/>
      <w:bookmarkEnd w:id="1804"/>
      <w:bookmarkEnd w:id="1805"/>
      <w:bookmarkEnd w:id="1806"/>
      <w:bookmarkEnd w:id="1807"/>
    </w:p>
    <w:p w14:paraId="62CE3348">
      <w:pPr>
        <w:pStyle w:val="100"/>
        <w:pageBreakBefore w:val="0"/>
        <w:kinsoku/>
        <w:wordWrap/>
        <w:overflowPunct/>
        <w:topLinePunct w:val="0"/>
        <w:autoSpaceDE/>
        <w:autoSpaceDN/>
        <w:bidi w:val="0"/>
        <w:adjustRightInd/>
        <w:snapToGrid/>
        <w:spacing w:line="360" w:lineRule="exact"/>
        <w:textAlignment w:val="auto"/>
        <w:outlineLvl w:val="9"/>
        <w:rPr>
          <w:rStyle w:val="32"/>
          <w:rFonts w:ascii="宋体" w:hAnsi="宋体" w:cs="Times New Roman"/>
          <w:color w:val="auto"/>
          <w:sz w:val="24"/>
          <w:szCs w:val="24"/>
          <w:highlight w:val="none"/>
          <w:lang w:eastAsia="zh-CN" w:bidi="en-US"/>
        </w:rPr>
      </w:pPr>
      <w:bookmarkStart w:id="1808" w:name="bookmark1867"/>
      <w:bookmarkStart w:id="1809" w:name="_Toc256000330"/>
      <w:bookmarkStart w:id="1810" w:name="bookmark1868"/>
      <w:bookmarkStart w:id="1811" w:name="_Toc256000253"/>
      <w:bookmarkStart w:id="1812" w:name="bookmark1866"/>
      <w:r>
        <w:rPr>
          <w:rStyle w:val="32"/>
          <w:rFonts w:ascii="宋体" w:hAnsi="宋体" w:cs="Times New Roman"/>
          <w:color w:val="auto"/>
          <w:sz w:val="24"/>
          <w:szCs w:val="24"/>
          <w:highlight w:val="none"/>
          <w:lang w:eastAsia="zh-CN" w:bidi="en-US"/>
        </w:rPr>
        <w:t>25.1对承包人的要求</w:t>
      </w:r>
      <w:bookmarkEnd w:id="1808"/>
      <w:bookmarkEnd w:id="1809"/>
      <w:bookmarkEnd w:id="1810"/>
      <w:bookmarkEnd w:id="1811"/>
      <w:bookmarkEnd w:id="1812"/>
    </w:p>
    <w:p w14:paraId="54801902">
      <w:pPr>
        <w:pStyle w:val="102"/>
        <w:pageBreakBefore w:val="0"/>
        <w:numPr>
          <w:ilvl w:val="0"/>
          <w:numId w:val="48"/>
        </w:numPr>
        <w:tabs>
          <w:tab w:val="left" w:pos="707"/>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3" w:name="bookmark1869"/>
      <w:bookmarkEnd w:id="1813"/>
      <w:r>
        <w:rPr>
          <w:rStyle w:val="32"/>
          <w:color w:val="auto"/>
          <w:highlight w:val="none"/>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w:t>
      </w:r>
      <w:r>
        <w:rPr>
          <w:rStyle w:val="32"/>
          <w:rFonts w:ascii="Times New Roman" w:hAnsi="Times New Roman" w:eastAsia="Times New Roman" w:cs="Times New Roman"/>
          <w:color w:val="auto"/>
          <w:highlight w:val="none"/>
        </w:rPr>
        <w:t>5</w:t>
      </w:r>
      <w:r>
        <w:rPr>
          <w:rStyle w:val="32"/>
          <w:color w:val="auto"/>
          <w:highlight w:val="none"/>
        </w:rPr>
        <w:t>天后派员进驻工地直接监管工程, 使用承包人设备、临时工程和材料，另行组织人员或委托其他承包人施工，但发包人的这一行为不免除承包人按合同规定应负的责任。</w:t>
      </w:r>
    </w:p>
    <w:p w14:paraId="03CF6FF4">
      <w:pPr>
        <w:pStyle w:val="102"/>
        <w:pageBreakBefore w:val="0"/>
        <w:numPr>
          <w:ilvl w:val="0"/>
          <w:numId w:val="48"/>
        </w:numPr>
        <w:tabs>
          <w:tab w:val="left" w:pos="707"/>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4" w:name="bookmark1870"/>
      <w:bookmarkEnd w:id="1814"/>
      <w:r>
        <w:rPr>
          <w:rStyle w:val="32"/>
          <w:color w:val="auto"/>
          <w:highlight w:val="none"/>
        </w:rPr>
        <w:t>遵守国务院《建设工程质量管理条例》，根据水利部、自治区和水利厅的有关质量管理规定，建立健全质量管理机构，结合工程实际制定完善的可操作性强的质量管理制度，施工质量等级达到合同约定等级。</w:t>
      </w:r>
    </w:p>
    <w:p w14:paraId="7DE08907">
      <w:pPr>
        <w:pStyle w:val="102"/>
        <w:pageBreakBefore w:val="0"/>
        <w:numPr>
          <w:ilvl w:val="0"/>
          <w:numId w:val="48"/>
        </w:numPr>
        <w:tabs>
          <w:tab w:val="left" w:pos="707"/>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5" w:name="bookmark1871"/>
      <w:bookmarkEnd w:id="1815"/>
      <w:r>
        <w:rPr>
          <w:rStyle w:val="32"/>
          <w:color w:val="auto"/>
          <w:highlight w:val="none"/>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72A95B7C">
      <w:pPr>
        <w:pStyle w:val="102"/>
        <w:pageBreakBefore w:val="0"/>
        <w:numPr>
          <w:ilvl w:val="0"/>
          <w:numId w:val="48"/>
        </w:numPr>
        <w:tabs>
          <w:tab w:val="left" w:pos="705"/>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6" w:name="bookmark1872"/>
      <w:bookmarkEnd w:id="1816"/>
      <w:r>
        <w:rPr>
          <w:rStyle w:val="32"/>
          <w:color w:val="auto"/>
          <w:highlight w:val="none"/>
        </w:rPr>
        <w:t>按有关施工规程规范及本招标文件技术条款进行组织施工并实施施工过程和移交前工程保护措施。</w:t>
      </w:r>
    </w:p>
    <w:p w14:paraId="1C033B43">
      <w:pPr>
        <w:pStyle w:val="102"/>
        <w:pageBreakBefore w:val="0"/>
        <w:numPr>
          <w:ilvl w:val="0"/>
          <w:numId w:val="48"/>
        </w:numPr>
        <w:tabs>
          <w:tab w:val="left" w:pos="710"/>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7" w:name="bookmark1873"/>
      <w:bookmarkEnd w:id="1817"/>
      <w:r>
        <w:rPr>
          <w:rStyle w:val="32"/>
          <w:color w:val="auto"/>
          <w:highlight w:val="none"/>
        </w:rPr>
        <w:t>承包人违约有以下情况之一者，发包人有权采取合同规定的以下措施处理，并视情节轻重处予违约金。</w:t>
      </w:r>
    </w:p>
    <w:p w14:paraId="0103EC56">
      <w:pPr>
        <w:pStyle w:val="102"/>
        <w:pageBreakBefore w:val="0"/>
        <w:numPr>
          <w:ilvl w:val="0"/>
          <w:numId w:val="49"/>
        </w:numPr>
        <w:tabs>
          <w:tab w:val="left" w:pos="883"/>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8" w:name="bookmark1874"/>
      <w:bookmarkEnd w:id="1818"/>
      <w:r>
        <w:rPr>
          <w:rStyle w:val="32"/>
          <w:color w:val="auto"/>
          <w:highlight w:val="none"/>
        </w:rPr>
        <w:t>未经发包人批准，施工期内承包人调走主要施工技术人员(包括建造师、专业工程师)，经发现不及时调回的，违约金额为履约保证金金额的</w:t>
      </w:r>
      <w:r>
        <w:rPr>
          <w:rStyle w:val="32"/>
          <w:rFonts w:ascii="Times New Roman" w:hAnsi="Times New Roman" w:eastAsia="Times New Roman" w:cs="Times New Roman"/>
          <w:color w:val="auto"/>
          <w:highlight w:val="none"/>
        </w:rPr>
        <w:t xml:space="preserve">5% ~20% </w:t>
      </w:r>
      <w:r>
        <w:rPr>
          <w:rStyle w:val="32"/>
          <w:color w:val="auto"/>
          <w:highlight w:val="none"/>
        </w:rPr>
        <w:t>(视情节严重而 定)</w:t>
      </w:r>
      <w:r>
        <w:rPr>
          <w:rStyle w:val="32"/>
          <w:rFonts w:hint="eastAsia" w:ascii="Times New Roman" w:hAnsi="Times New Roman" w:cs="Times New Roman"/>
          <w:color w:val="auto"/>
          <w:highlight w:val="none"/>
          <w:lang w:val="en-US" w:bidi="en-US"/>
        </w:rPr>
        <w:t>。</w:t>
      </w:r>
    </w:p>
    <w:p w14:paraId="1C79B2A4">
      <w:pPr>
        <w:pStyle w:val="102"/>
        <w:pageBreakBefore w:val="0"/>
        <w:numPr>
          <w:ilvl w:val="0"/>
          <w:numId w:val="49"/>
        </w:numPr>
        <w:tabs>
          <w:tab w:val="left" w:pos="880"/>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19" w:name="bookmark1875"/>
      <w:bookmarkEnd w:id="1819"/>
      <w:r>
        <w:rPr>
          <w:rStyle w:val="32"/>
          <w:color w:val="auto"/>
          <w:highlight w:val="none"/>
        </w:rPr>
        <w:t>未经发包人批准，施工期内自行调走主要施工机械，经发现不及时调回的，违约金额为履约保证金金额的</w:t>
      </w:r>
      <w:r>
        <w:rPr>
          <w:rStyle w:val="32"/>
          <w:rFonts w:ascii="Times New Roman" w:hAnsi="Times New Roman" w:eastAsia="Times New Roman" w:cs="Times New Roman"/>
          <w:color w:val="auto"/>
          <w:highlight w:val="none"/>
        </w:rPr>
        <w:t xml:space="preserve">5% ~ 20% </w:t>
      </w:r>
      <w:r>
        <w:rPr>
          <w:rStyle w:val="32"/>
          <w:color w:val="auto"/>
          <w:highlight w:val="none"/>
        </w:rPr>
        <w:t>(视情节严重而定)</w:t>
      </w:r>
      <w:r>
        <w:rPr>
          <w:rStyle w:val="32"/>
          <w:rFonts w:hint="eastAsia" w:ascii="Times New Roman" w:hAnsi="Times New Roman" w:cs="Times New Roman"/>
          <w:color w:val="auto"/>
          <w:highlight w:val="none"/>
          <w:lang w:val="en-US" w:bidi="en-US"/>
        </w:rPr>
        <w:t>。</w:t>
      </w:r>
    </w:p>
    <w:p w14:paraId="3D823767">
      <w:pPr>
        <w:pStyle w:val="102"/>
        <w:pageBreakBefore w:val="0"/>
        <w:numPr>
          <w:ilvl w:val="0"/>
          <w:numId w:val="49"/>
        </w:numPr>
        <w:tabs>
          <w:tab w:val="left" w:pos="883"/>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20" w:name="bookmark1876"/>
      <w:bookmarkEnd w:id="1820"/>
      <w:r>
        <w:rPr>
          <w:rStyle w:val="32"/>
          <w:color w:val="auto"/>
          <w:highlight w:val="none"/>
        </w:rPr>
        <w:t>所有以上违约金额均在承包人的履约保证金(包括银行利息)及计量支付款内扣 除，承包人履约保证金被扣除后，由发包人从最后一次计量支付时扣相应金额补足履约保证金。</w:t>
      </w:r>
    </w:p>
    <w:p w14:paraId="03FD4AD1">
      <w:pPr>
        <w:pStyle w:val="102"/>
        <w:pageBreakBefore w:val="0"/>
        <w:numPr>
          <w:ilvl w:val="0"/>
          <w:numId w:val="49"/>
        </w:numPr>
        <w:tabs>
          <w:tab w:val="left" w:pos="885"/>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21" w:name="bookmark1877"/>
      <w:bookmarkEnd w:id="1821"/>
      <w:r>
        <w:rPr>
          <w:rStyle w:val="32"/>
          <w:color w:val="auto"/>
          <w:highlight w:val="none"/>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5B8A6E48">
      <w:pPr>
        <w:pStyle w:val="102"/>
        <w:pageBreakBefore w:val="0"/>
        <w:numPr>
          <w:ilvl w:val="0"/>
          <w:numId w:val="49"/>
        </w:numPr>
        <w:tabs>
          <w:tab w:val="left" w:pos="883"/>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22" w:name="bookmark1878"/>
      <w:bookmarkEnd w:id="1822"/>
      <w:r>
        <w:rPr>
          <w:rStyle w:val="32"/>
          <w:color w:val="auto"/>
          <w:highlight w:val="none"/>
        </w:rPr>
        <w:t>合同签订之日起</w:t>
      </w:r>
      <w:r>
        <w:rPr>
          <w:rStyle w:val="32"/>
          <w:rFonts w:ascii="Times New Roman" w:hAnsi="Times New Roman" w:eastAsia="Times New Roman" w:cs="Times New Roman"/>
          <w:color w:val="auto"/>
          <w:highlight w:val="none"/>
        </w:rPr>
        <w:t>15</w:t>
      </w:r>
      <w:r>
        <w:rPr>
          <w:rStyle w:val="32"/>
          <w:color w:val="auto"/>
          <w:highlight w:val="none"/>
        </w:rPr>
        <w:t>日内，承包人无法按合同规定进场全部人员和机械时，作为承包人违约，发包人可解除合同，没收其全部履约保证金，另行发包工程。</w:t>
      </w:r>
    </w:p>
    <w:p w14:paraId="6D01479F">
      <w:pPr>
        <w:pStyle w:val="102"/>
        <w:pageBreakBefore w:val="0"/>
        <w:numPr>
          <w:ilvl w:val="0"/>
          <w:numId w:val="49"/>
        </w:numPr>
        <w:tabs>
          <w:tab w:val="left" w:pos="880"/>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23" w:name="bookmark1879"/>
      <w:bookmarkEnd w:id="1823"/>
      <w:r>
        <w:rPr>
          <w:rStyle w:val="32"/>
          <w:color w:val="auto"/>
          <w:highlight w:val="none"/>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18F45D88">
      <w:pPr>
        <w:pStyle w:val="102"/>
        <w:pageBreakBefore w:val="0"/>
        <w:numPr>
          <w:ilvl w:val="0"/>
          <w:numId w:val="48"/>
        </w:numPr>
        <w:tabs>
          <w:tab w:val="left" w:pos="739"/>
        </w:tabs>
        <w:kinsoku/>
        <w:wordWrap/>
        <w:overflowPunct/>
        <w:topLinePunct w:val="0"/>
        <w:autoSpaceDE/>
        <w:autoSpaceDN/>
        <w:bidi w:val="0"/>
        <w:adjustRightInd/>
        <w:snapToGrid/>
        <w:spacing w:line="352" w:lineRule="exact"/>
        <w:ind w:firstLine="440"/>
        <w:jc w:val="both"/>
        <w:textAlignment w:val="auto"/>
        <w:outlineLvl w:val="9"/>
        <w:rPr>
          <w:rStyle w:val="32"/>
          <w:color w:val="auto"/>
          <w:highlight w:val="none"/>
        </w:rPr>
      </w:pPr>
      <w:bookmarkStart w:id="1824" w:name="bookmark1880"/>
      <w:bookmarkEnd w:id="1824"/>
      <w:r>
        <w:rPr>
          <w:rStyle w:val="32"/>
          <w:color w:val="auto"/>
          <w:highlight w:val="none"/>
        </w:rPr>
        <w:t>承包人生活设施及施工场地，应自费配备消防设备，防止火灾发生。</w:t>
      </w:r>
    </w:p>
    <w:p w14:paraId="7F22AE4F">
      <w:pPr>
        <w:pStyle w:val="102"/>
        <w:pageBreakBefore w:val="0"/>
        <w:numPr>
          <w:ilvl w:val="0"/>
          <w:numId w:val="48"/>
        </w:numPr>
        <w:tabs>
          <w:tab w:val="left" w:pos="719"/>
        </w:tabs>
        <w:kinsoku/>
        <w:wordWrap/>
        <w:overflowPunct/>
        <w:topLinePunct w:val="0"/>
        <w:autoSpaceDE/>
        <w:autoSpaceDN/>
        <w:bidi w:val="0"/>
        <w:adjustRightInd/>
        <w:snapToGrid/>
        <w:spacing w:line="352" w:lineRule="exact"/>
        <w:ind w:firstLine="420"/>
        <w:jc w:val="both"/>
        <w:textAlignment w:val="auto"/>
        <w:outlineLvl w:val="9"/>
        <w:rPr>
          <w:rStyle w:val="32"/>
          <w:rFonts w:ascii="Times New Roman" w:hAnsi="Times New Roman" w:cs="Times New Roman"/>
          <w:color w:val="auto"/>
          <w:highlight w:val="none"/>
        </w:rPr>
      </w:pPr>
      <w:bookmarkStart w:id="1825" w:name="bookmark1881"/>
      <w:bookmarkEnd w:id="1825"/>
      <w:r>
        <w:rPr>
          <w:rStyle w:val="32"/>
          <w:rFonts w:ascii="Times New Roman" w:hAnsi="Times New Roman" w:cs="Times New Roman"/>
          <w:color w:val="auto"/>
          <w:highlight w:val="none"/>
        </w:rPr>
        <w:t>承包人使用的劳动力均应进行保险，否则不准安排工作，禁止使用童工。</w:t>
      </w:r>
    </w:p>
    <w:p w14:paraId="2A8EBA24">
      <w:pPr>
        <w:pStyle w:val="102"/>
        <w:pageBreakBefore w:val="0"/>
        <w:tabs>
          <w:tab w:val="left" w:pos="880"/>
        </w:tabs>
        <w:kinsoku/>
        <w:wordWrap/>
        <w:overflowPunct/>
        <w:topLinePunct w:val="0"/>
        <w:autoSpaceDE/>
        <w:autoSpaceDN/>
        <w:bidi w:val="0"/>
        <w:adjustRightInd/>
        <w:snapToGrid/>
        <w:spacing w:line="352" w:lineRule="exact"/>
        <w:ind w:firstLine="426" w:firstLineChars="213"/>
        <w:jc w:val="both"/>
        <w:textAlignment w:val="auto"/>
        <w:outlineLvl w:val="9"/>
        <w:rPr>
          <w:rStyle w:val="32"/>
          <w:rFonts w:ascii="Times New Roman" w:hAnsi="Times New Roman" w:cs="Times New Roman"/>
          <w:color w:val="auto"/>
          <w:highlight w:val="none"/>
        </w:rPr>
      </w:pPr>
      <w:r>
        <w:rPr>
          <w:rStyle w:val="32"/>
          <w:rFonts w:ascii="Times New Roman" w:hAnsi="Times New Roman" w:cs="Times New Roman"/>
          <w:color w:val="auto"/>
          <w:highlight w:val="none"/>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166632DF">
      <w:pPr>
        <w:pStyle w:val="102"/>
        <w:pageBreakBefore w:val="0"/>
        <w:tabs>
          <w:tab w:val="left" w:pos="734"/>
        </w:tabs>
        <w:kinsoku/>
        <w:wordWrap/>
        <w:overflowPunct/>
        <w:topLinePunct w:val="0"/>
        <w:autoSpaceDE/>
        <w:autoSpaceDN/>
        <w:bidi w:val="0"/>
        <w:adjustRightInd/>
        <w:snapToGrid/>
        <w:spacing w:line="355" w:lineRule="exact"/>
        <w:ind w:firstLine="400" w:firstLineChars="200"/>
        <w:jc w:val="both"/>
        <w:textAlignment w:val="auto"/>
        <w:outlineLvl w:val="9"/>
        <w:rPr>
          <w:rStyle w:val="32"/>
          <w:rFonts w:ascii="Times New Roman" w:hAnsi="Times New Roman" w:cs="Times New Roman"/>
          <w:color w:val="auto"/>
          <w:highlight w:val="none"/>
        </w:rPr>
      </w:pPr>
      <w:bookmarkStart w:id="1826" w:name="bookmark1883"/>
      <w:bookmarkEnd w:id="1826"/>
      <w:r>
        <w:rPr>
          <w:rStyle w:val="32"/>
          <w:rFonts w:ascii="Times New Roman" w:hAnsi="Times New Roman" w:cs="Times New Roman"/>
          <w:color w:val="auto"/>
          <w:highlight w:val="none"/>
        </w:rPr>
        <w:t>9. 承包人未能按时完成当月合同进度计划</w:t>
      </w:r>
      <w:r>
        <w:rPr>
          <w:rStyle w:val="32"/>
          <w:rFonts w:ascii="Times New Roman" w:hAnsi="Times New Roman" w:eastAsia="Times New Roman" w:cs="Times New Roman"/>
          <w:color w:val="auto"/>
          <w:highlight w:val="none"/>
        </w:rPr>
        <w:t xml:space="preserve">70% </w:t>
      </w:r>
      <w:r>
        <w:rPr>
          <w:rStyle w:val="32"/>
          <w:rFonts w:ascii="Times New Roman" w:hAnsi="Times New Roman" w:cs="Times New Roman"/>
          <w:color w:val="auto"/>
          <w:highlight w:val="none"/>
        </w:rPr>
        <w:t>工程量的，发包人有权自行组织施工， 以不超过投标报价的</w:t>
      </w:r>
      <w:r>
        <w:rPr>
          <w:rStyle w:val="32"/>
          <w:rFonts w:ascii="Times New Roman" w:hAnsi="Times New Roman" w:eastAsia="Times New Roman" w:cs="Times New Roman"/>
          <w:color w:val="auto"/>
          <w:highlight w:val="none"/>
        </w:rPr>
        <w:t>2</w:t>
      </w:r>
      <w:r>
        <w:rPr>
          <w:rStyle w:val="32"/>
          <w:rFonts w:ascii="Times New Roman" w:hAnsi="Times New Roman" w:cs="Times New Roman"/>
          <w:color w:val="auto"/>
          <w:highlight w:val="none"/>
        </w:rPr>
        <w:t>倍单价扣减承包人的进度款，支付自行组织施工完成的工程款。也 有权终止本合同并清退承包人，承包人须在</w:t>
      </w:r>
      <w:r>
        <w:rPr>
          <w:rStyle w:val="32"/>
          <w:rFonts w:ascii="Times New Roman" w:hAnsi="Times New Roman" w:eastAsia="Times New Roman" w:cs="Times New Roman"/>
          <w:color w:val="auto"/>
          <w:highlight w:val="none"/>
        </w:rPr>
        <w:t>10</w:t>
      </w:r>
      <w:r>
        <w:rPr>
          <w:rStyle w:val="32"/>
          <w:rFonts w:ascii="Times New Roman" w:hAnsi="Times New Roman" w:cs="Times New Roman"/>
          <w:color w:val="auto"/>
          <w:highlight w:val="none"/>
        </w:rPr>
        <w:t>天内离场，否则发包人将强行撤出所有施工 设备，所造成的全部损失由承包人承担。</w:t>
      </w:r>
    </w:p>
    <w:p w14:paraId="0C240A61">
      <w:pPr>
        <w:pStyle w:val="102"/>
        <w:pageBreakBefore w:val="0"/>
        <w:tabs>
          <w:tab w:val="left" w:pos="801"/>
        </w:tabs>
        <w:kinsoku/>
        <w:wordWrap/>
        <w:overflowPunct/>
        <w:topLinePunct w:val="0"/>
        <w:autoSpaceDE/>
        <w:autoSpaceDN/>
        <w:bidi w:val="0"/>
        <w:adjustRightInd/>
        <w:snapToGrid/>
        <w:jc w:val="both"/>
        <w:textAlignment w:val="auto"/>
        <w:outlineLvl w:val="9"/>
        <w:rPr>
          <w:rStyle w:val="32"/>
          <w:color w:val="auto"/>
          <w:highlight w:val="none"/>
        </w:rPr>
      </w:pPr>
      <w:bookmarkStart w:id="1827" w:name="bookmark1884"/>
      <w:bookmarkEnd w:id="1827"/>
      <w:r>
        <w:rPr>
          <w:rStyle w:val="32"/>
          <w:rFonts w:ascii="Times New Roman" w:hAnsi="Times New Roman" w:cs="Times New Roman"/>
          <w:color w:val="auto"/>
          <w:highlight w:val="none"/>
        </w:rPr>
        <w:t>10. 有关主管部门及发包人检查发现问题时，承包人应按要求整改。在规定时间内不进 行整改或整改无效的，发包人有权终止本施工合同并清退承包人。承包人须在</w:t>
      </w:r>
      <w:r>
        <w:rPr>
          <w:rStyle w:val="32"/>
          <w:rFonts w:ascii="Times New Roman" w:hAnsi="Times New Roman" w:eastAsia="Times New Roman" w:cs="Times New Roman"/>
          <w:color w:val="auto"/>
          <w:highlight w:val="none"/>
        </w:rPr>
        <w:t>10</w:t>
      </w:r>
      <w:r>
        <w:rPr>
          <w:rStyle w:val="32"/>
          <w:rFonts w:ascii="Times New Roman" w:hAnsi="Times New Roman" w:cs="Times New Roman"/>
          <w:color w:val="auto"/>
          <w:highlight w:val="none"/>
        </w:rPr>
        <w:t>天内离 场，否则发包人将强行撤</w:t>
      </w:r>
      <w:r>
        <w:rPr>
          <w:rStyle w:val="32"/>
          <w:color w:val="auto"/>
          <w:highlight w:val="none"/>
        </w:rPr>
        <w:t>出所有施工设备，所造成的全部损失由承包人承担。</w:t>
      </w:r>
    </w:p>
    <w:p w14:paraId="064C069E">
      <w:pPr>
        <w:pStyle w:val="101"/>
        <w:pageBreakBefore w:val="0"/>
        <w:kinsoku/>
        <w:wordWrap/>
        <w:overflowPunct/>
        <w:topLinePunct w:val="0"/>
        <w:autoSpaceDE/>
        <w:autoSpaceDN/>
        <w:bidi w:val="0"/>
        <w:adjustRightInd/>
        <w:snapToGrid/>
        <w:spacing w:line="360" w:lineRule="auto"/>
        <w:ind w:firstLine="400" w:firstLineChars="200"/>
        <w:textAlignment w:val="auto"/>
        <w:outlineLvl w:val="9"/>
        <w:rPr>
          <w:rStyle w:val="32"/>
          <w:rFonts w:ascii="Times New Roman" w:hAnsi="Times New Roman" w:eastAsia="宋体" w:cs="Times New Roman"/>
          <w:color w:val="auto"/>
          <w:sz w:val="20"/>
          <w:szCs w:val="20"/>
          <w:highlight w:val="none"/>
          <w:lang w:val="zh-CN" w:eastAsia="zh-CN" w:bidi="zh-CN"/>
        </w:rPr>
      </w:pPr>
      <w:bookmarkStart w:id="1828" w:name="bookmark1887"/>
      <w:bookmarkStart w:id="1829" w:name="bookmark1885"/>
      <w:bookmarkStart w:id="1830" w:name="bookmark1886"/>
      <w:r>
        <w:rPr>
          <w:rStyle w:val="32"/>
          <w:rFonts w:ascii="Times New Roman" w:hAnsi="Times New Roman" w:eastAsia="宋体" w:cs="Times New Roman"/>
          <w:color w:val="auto"/>
          <w:sz w:val="20"/>
          <w:szCs w:val="20"/>
          <w:highlight w:val="none"/>
          <w:lang w:val="zh-CN" w:eastAsia="zh-CN" w:bidi="zh-CN"/>
        </w:rPr>
        <w:t>25.2发包人所有付款（含预付款）均转入如下承包人单位基本账户</w:t>
      </w:r>
      <w:r>
        <w:rPr>
          <w:rStyle w:val="32"/>
          <w:rFonts w:ascii="Times New Roman" w:hAnsi="Times New Roman" w:eastAsia="宋体" w:cs="Times New Roman"/>
          <w:color w:val="auto"/>
          <w:sz w:val="20"/>
          <w:szCs w:val="20"/>
          <w:highlight w:val="none"/>
          <w:lang w:val="zh-CN" w:eastAsia="zh-CN" w:bidi="zh-CN"/>
        </w:rPr>
        <w:tab/>
      </w:r>
      <w:r>
        <w:rPr>
          <w:rStyle w:val="32"/>
          <w:rFonts w:ascii="Times New Roman" w:hAnsi="Times New Roman" w:eastAsia="宋体" w:cs="Times New Roman"/>
          <w:color w:val="auto"/>
          <w:sz w:val="20"/>
          <w:szCs w:val="20"/>
          <w:highlight w:val="none"/>
          <w:lang w:val="zh-CN" w:eastAsia="zh-CN" w:bidi="zh-CN"/>
        </w:rPr>
        <w:t>（签订施工合同时标明），承包人单位基本账户发生改变时，承包人应书面通知 （法定代表人签字并加盖单位电子公章）发包人。</w:t>
      </w:r>
      <w:bookmarkEnd w:id="1828"/>
      <w:bookmarkEnd w:id="1829"/>
      <w:bookmarkEnd w:id="1830"/>
    </w:p>
    <w:p w14:paraId="41F9635F">
      <w:pPr>
        <w:pStyle w:val="101"/>
        <w:pageBreakBefore w:val="0"/>
        <w:kinsoku/>
        <w:wordWrap/>
        <w:overflowPunct/>
        <w:topLinePunct w:val="0"/>
        <w:autoSpaceDE/>
        <w:autoSpaceDN/>
        <w:bidi w:val="0"/>
        <w:adjustRightInd/>
        <w:snapToGrid/>
        <w:spacing w:line="360" w:lineRule="auto"/>
        <w:ind w:firstLine="400" w:firstLineChars="200"/>
        <w:textAlignment w:val="auto"/>
        <w:outlineLvl w:val="9"/>
        <w:rPr>
          <w:rStyle w:val="32"/>
          <w:rFonts w:hint="default" w:ascii="Times New Roman" w:hAnsi="Times New Roman" w:eastAsia="宋体" w:cs="Times New Roman"/>
          <w:color w:val="auto"/>
          <w:sz w:val="20"/>
          <w:szCs w:val="20"/>
          <w:highlight w:val="none"/>
          <w:lang w:val="en-US" w:eastAsia="zh-CN" w:bidi="zh-CN"/>
        </w:rPr>
      </w:pPr>
      <w:r>
        <w:rPr>
          <w:rStyle w:val="32"/>
          <w:rFonts w:hint="eastAsia" w:ascii="Times New Roman" w:hAnsi="Times New Roman" w:eastAsia="宋体" w:cs="Times New Roman"/>
          <w:color w:val="auto"/>
          <w:sz w:val="20"/>
          <w:szCs w:val="20"/>
          <w:highlight w:val="none"/>
          <w:lang w:val="en-US" w:eastAsia="zh-CN" w:bidi="zh-CN"/>
        </w:rPr>
        <w:t>25.3根据《财政部</w:t>
      </w:r>
      <w:r>
        <w:rPr>
          <w:rStyle w:val="32"/>
          <w:rFonts w:hint="default" w:ascii="Times New Roman" w:hAnsi="Times New Roman" w:eastAsia="宋体" w:cs="Times New Roman"/>
          <w:color w:val="auto"/>
          <w:sz w:val="20"/>
          <w:szCs w:val="20"/>
          <w:highlight w:val="none"/>
          <w:lang w:val="en-US" w:eastAsia="zh-CN" w:bidi="zh-CN"/>
        </w:rPr>
        <w:t>工业和信息化部关于印发〈政府采购促进中小企业发展管理办法〉的通知》（财库〔2020〕46号）</w:t>
      </w:r>
      <w:r>
        <w:rPr>
          <w:rStyle w:val="32"/>
          <w:rFonts w:hint="eastAsia" w:ascii="Times New Roman" w:hAnsi="Times New Roman" w:eastAsia="宋体" w:cs="Times New Roman"/>
          <w:color w:val="auto"/>
          <w:sz w:val="20"/>
          <w:szCs w:val="20"/>
          <w:highlight w:val="none"/>
          <w:lang w:val="en-US" w:eastAsia="zh-CN" w:bidi="zh-CN"/>
        </w:rPr>
        <w:t>、</w:t>
      </w:r>
      <w:r>
        <w:rPr>
          <w:rStyle w:val="32"/>
          <w:rFonts w:hint="default" w:ascii="Times New Roman" w:hAnsi="Times New Roman" w:eastAsia="宋体" w:cs="Times New Roman"/>
          <w:color w:val="auto"/>
          <w:sz w:val="20"/>
          <w:szCs w:val="20"/>
          <w:highlight w:val="none"/>
          <w:lang w:val="en-US" w:eastAsia="zh-CN" w:bidi="zh-CN"/>
        </w:rPr>
        <w:t>《财政部关于进一步加大政府采购支持中小企业力度的通知》（财库〔2022〕19号）</w:t>
      </w:r>
      <w:r>
        <w:rPr>
          <w:rStyle w:val="32"/>
          <w:rFonts w:hint="eastAsia" w:ascii="Times New Roman" w:hAnsi="Times New Roman" w:eastAsia="宋体" w:cs="Times New Roman"/>
          <w:color w:val="auto"/>
          <w:sz w:val="20"/>
          <w:szCs w:val="20"/>
          <w:highlight w:val="none"/>
          <w:lang w:val="en-US" w:eastAsia="zh-CN" w:bidi="zh-CN"/>
        </w:rPr>
        <w:t>、《</w:t>
      </w:r>
      <w:r>
        <w:rPr>
          <w:rStyle w:val="32"/>
          <w:rFonts w:hint="default" w:ascii="Times New Roman" w:hAnsi="Times New Roman" w:eastAsia="宋体" w:cs="Times New Roman"/>
          <w:color w:val="auto"/>
          <w:sz w:val="20"/>
          <w:szCs w:val="20"/>
          <w:highlight w:val="none"/>
          <w:lang w:val="en-US" w:eastAsia="zh-CN" w:bidi="zh-CN"/>
        </w:rPr>
        <w:t>广西壮族自治区财政厅关于贯彻落实政府采购支持中小企业发展政策的通知</w:t>
      </w:r>
      <w:r>
        <w:rPr>
          <w:rStyle w:val="32"/>
          <w:rFonts w:hint="eastAsia" w:ascii="Times New Roman" w:hAnsi="Times New Roman" w:eastAsia="宋体" w:cs="Times New Roman"/>
          <w:color w:val="auto"/>
          <w:sz w:val="20"/>
          <w:szCs w:val="20"/>
          <w:highlight w:val="none"/>
          <w:lang w:val="en-US" w:eastAsia="zh-CN" w:bidi="zh-CN"/>
        </w:rPr>
        <w:t>》</w:t>
      </w:r>
      <w:r>
        <w:rPr>
          <w:rStyle w:val="32"/>
          <w:rFonts w:hint="default" w:ascii="Times New Roman" w:hAnsi="Times New Roman" w:eastAsia="宋体" w:cs="Times New Roman"/>
          <w:color w:val="auto"/>
          <w:sz w:val="20"/>
          <w:szCs w:val="20"/>
          <w:highlight w:val="none"/>
          <w:lang w:val="en-US" w:eastAsia="zh-CN" w:bidi="zh-CN"/>
        </w:rPr>
        <w:t>桂财采〔2022〕31号</w:t>
      </w:r>
      <w:r>
        <w:rPr>
          <w:rStyle w:val="32"/>
          <w:rFonts w:hint="eastAsia" w:ascii="Times New Roman" w:hAnsi="Times New Roman" w:eastAsia="宋体" w:cs="Times New Roman"/>
          <w:color w:val="auto"/>
          <w:sz w:val="20"/>
          <w:szCs w:val="20"/>
          <w:highlight w:val="none"/>
          <w:lang w:val="en-US" w:eastAsia="zh-CN" w:bidi="zh-CN"/>
        </w:rPr>
        <w:t>文件精神以及本工程采购计划书规定。本项目预算总额40%以上专门面向中小企业采购，</w:t>
      </w:r>
      <w:r>
        <w:rPr>
          <w:rStyle w:val="32"/>
          <w:rFonts w:hint="default" w:ascii="Times New Roman" w:hAnsi="Times New Roman" w:eastAsia="宋体" w:cs="Times New Roman"/>
          <w:color w:val="auto"/>
          <w:sz w:val="20"/>
          <w:szCs w:val="20"/>
          <w:highlight w:val="none"/>
          <w:lang w:val="en-US" w:eastAsia="zh-CN" w:bidi="zh-CN"/>
        </w:rPr>
        <w:t>其中，</w:t>
      </w:r>
      <w:r>
        <w:rPr>
          <w:rStyle w:val="32"/>
          <w:rFonts w:hint="eastAsia" w:ascii="Times New Roman" w:hAnsi="Times New Roman" w:eastAsia="宋体" w:cs="Times New Roman"/>
          <w:color w:val="auto"/>
          <w:sz w:val="20"/>
          <w:szCs w:val="20"/>
          <w:highlight w:val="none"/>
          <w:lang w:val="en-US" w:eastAsia="zh-CN" w:bidi="zh-CN"/>
        </w:rPr>
        <w:t>预留给小微企业的比例不低于专门面向中小企业采购份额的60%。本工程的材料及设备，承包人必须按照</w:t>
      </w:r>
      <w:r>
        <w:rPr>
          <w:rStyle w:val="32"/>
          <w:rFonts w:hint="default" w:ascii="Times New Roman" w:hAnsi="Times New Roman" w:eastAsia="宋体" w:cs="Times New Roman"/>
          <w:color w:val="auto"/>
          <w:sz w:val="20"/>
          <w:szCs w:val="20"/>
          <w:highlight w:val="none"/>
          <w:lang w:val="en-US" w:eastAsia="zh-CN" w:bidi="zh-CN"/>
        </w:rPr>
        <w:t>桂财采〔2022〕31号</w:t>
      </w:r>
      <w:r>
        <w:rPr>
          <w:rStyle w:val="32"/>
          <w:rFonts w:hint="eastAsia" w:ascii="Times New Roman" w:hAnsi="Times New Roman" w:eastAsia="宋体" w:cs="Times New Roman"/>
          <w:color w:val="auto"/>
          <w:sz w:val="20"/>
          <w:szCs w:val="20"/>
          <w:highlight w:val="none"/>
          <w:lang w:val="en-US" w:eastAsia="zh-CN" w:bidi="zh-CN"/>
        </w:rPr>
        <w:t>规定面向中小微企业采购。</w:t>
      </w:r>
    </w:p>
    <w:p w14:paraId="5814C21A">
      <w:pPr>
        <w:pStyle w:val="102"/>
        <w:pageBreakBefore w:val="0"/>
        <w:tabs>
          <w:tab w:val="left" w:pos="299"/>
        </w:tabs>
        <w:kinsoku/>
        <w:wordWrap/>
        <w:overflowPunct/>
        <w:topLinePunct w:val="0"/>
        <w:autoSpaceDE/>
        <w:autoSpaceDN/>
        <w:bidi w:val="0"/>
        <w:adjustRightInd/>
        <w:snapToGrid/>
        <w:spacing w:line="352" w:lineRule="exact"/>
        <w:ind w:firstLine="400" w:firstLineChars="200"/>
        <w:jc w:val="both"/>
        <w:textAlignment w:val="auto"/>
        <w:outlineLvl w:val="9"/>
        <w:rPr>
          <w:rStyle w:val="32"/>
          <w:rFonts w:ascii="Times New Roman" w:hAnsi="Times New Roman" w:cs="Times New Roman"/>
          <w:color w:val="auto"/>
          <w:highlight w:val="none"/>
        </w:rPr>
      </w:pPr>
      <w:bookmarkStart w:id="1831" w:name="bookmark1889"/>
      <w:bookmarkStart w:id="1832" w:name="bookmark1888"/>
      <w:bookmarkStart w:id="1833" w:name="bookmark1890"/>
      <w:r>
        <w:rPr>
          <w:rStyle w:val="32"/>
          <w:rFonts w:ascii="Times New Roman" w:hAnsi="Times New Roman" w:cs="Times New Roman"/>
          <w:color w:val="auto"/>
          <w:highlight w:val="none"/>
        </w:rPr>
        <w:t>25.</w:t>
      </w:r>
      <w:r>
        <w:rPr>
          <w:rStyle w:val="32"/>
          <w:rFonts w:hint="eastAsia" w:ascii="Times New Roman" w:hAnsi="Times New Roman" w:cs="Times New Roman"/>
          <w:color w:val="auto"/>
          <w:highlight w:val="none"/>
          <w:lang w:val="en-US" w:eastAsia="zh-CN"/>
        </w:rPr>
        <w:t>4</w:t>
      </w:r>
      <w:r>
        <w:rPr>
          <w:rStyle w:val="32"/>
          <w:rFonts w:ascii="Times New Roman" w:hAnsi="Times New Roman" w:cs="Times New Roman"/>
          <w:color w:val="auto"/>
          <w:highlight w:val="none"/>
        </w:rPr>
        <w:t>专用合同条款中未尽事宜，在签订施工合同时双方再商定。</w:t>
      </w:r>
      <w:bookmarkEnd w:id="1831"/>
      <w:bookmarkEnd w:id="1832"/>
      <w:bookmarkEnd w:id="1833"/>
      <w:bookmarkStart w:id="1834" w:name="bookmark1882"/>
      <w:bookmarkEnd w:id="1834"/>
    </w:p>
    <w:p w14:paraId="3AF387CD">
      <w:pPr>
        <w:pStyle w:val="94"/>
        <w:pageBreakBefore w:val="0"/>
        <w:kinsoku/>
        <w:wordWrap/>
        <w:overflowPunct/>
        <w:topLinePunct w:val="0"/>
        <w:autoSpaceDE/>
        <w:autoSpaceDN/>
        <w:bidi w:val="0"/>
        <w:adjustRightInd/>
        <w:snapToGrid/>
        <w:textAlignment w:val="auto"/>
        <w:outlineLvl w:val="9"/>
        <w:rPr>
          <w:rStyle w:val="32"/>
          <w:color w:val="auto"/>
          <w:sz w:val="32"/>
          <w:szCs w:val="32"/>
          <w:highlight w:val="none"/>
          <w:lang w:eastAsia="zh-CN"/>
        </w:rPr>
      </w:pPr>
      <w:r>
        <w:rPr>
          <w:rStyle w:val="32"/>
          <w:color w:val="auto"/>
          <w:sz w:val="32"/>
          <w:szCs w:val="32"/>
          <w:highlight w:val="none"/>
          <w:lang w:eastAsia="zh-CN"/>
        </w:rPr>
        <w:br w:type="page"/>
      </w:r>
      <w:bookmarkStart w:id="1835" w:name="_Toc256000331"/>
      <w:r>
        <w:rPr>
          <w:rStyle w:val="32"/>
          <w:color w:val="auto"/>
          <w:sz w:val="32"/>
          <w:szCs w:val="32"/>
          <w:highlight w:val="none"/>
          <w:lang w:eastAsia="zh-CN"/>
        </w:rPr>
        <w:t>第三节  合同附件格式</w:t>
      </w:r>
      <w:bookmarkEnd w:id="1835"/>
    </w:p>
    <w:p w14:paraId="147C042F">
      <w:pPr>
        <w:pStyle w:val="95"/>
        <w:pageBreakBefore w:val="0"/>
        <w:kinsoku/>
        <w:wordWrap/>
        <w:overflowPunct/>
        <w:topLinePunct w:val="0"/>
        <w:autoSpaceDE/>
        <w:autoSpaceDN/>
        <w:bidi w:val="0"/>
        <w:adjustRightInd/>
        <w:snapToGrid/>
        <w:textAlignment w:val="auto"/>
        <w:outlineLvl w:val="9"/>
        <w:rPr>
          <w:rStyle w:val="32"/>
          <w:rFonts w:hint="eastAsia" w:ascii="宋体" w:hAnsi="宋体" w:eastAsia="宋体" w:cs="宋体"/>
          <w:b/>
          <w:bCs/>
          <w:color w:val="auto"/>
          <w:sz w:val="28"/>
          <w:szCs w:val="28"/>
          <w:highlight w:val="none"/>
          <w:lang w:eastAsia="zh-CN"/>
        </w:rPr>
      </w:pPr>
      <w:r>
        <w:rPr>
          <w:rStyle w:val="32"/>
          <w:rFonts w:hint="eastAsia" w:ascii="宋体" w:hAnsi="宋体" w:eastAsia="宋体" w:cs="宋体"/>
          <w:b/>
          <w:bCs/>
          <w:color w:val="auto"/>
          <w:sz w:val="28"/>
          <w:szCs w:val="28"/>
          <w:highlight w:val="none"/>
          <w:lang w:eastAsia="zh-CN"/>
        </w:rPr>
        <w:t>附件一：合同协议书</w:t>
      </w:r>
      <w:bookmarkEnd w:id="1321"/>
      <w:bookmarkEnd w:id="1322"/>
      <w:bookmarkEnd w:id="1323"/>
      <w:bookmarkEnd w:id="1324"/>
      <w:bookmarkEnd w:id="1325"/>
      <w:bookmarkEnd w:id="1326"/>
    </w:p>
    <w:p w14:paraId="77618721">
      <w:pPr>
        <w:pStyle w:val="95"/>
        <w:pageBreakBefore w:val="0"/>
        <w:kinsoku/>
        <w:wordWrap/>
        <w:overflowPunct/>
        <w:topLinePunct w:val="0"/>
        <w:autoSpaceDE/>
        <w:autoSpaceDN/>
        <w:bidi w:val="0"/>
        <w:adjustRightInd/>
        <w:snapToGrid/>
        <w:jc w:val="center"/>
        <w:textAlignment w:val="auto"/>
        <w:outlineLvl w:val="9"/>
        <w:rPr>
          <w:rStyle w:val="32"/>
          <w:rFonts w:hint="eastAsia" w:ascii="宋体" w:hAnsi="宋体" w:eastAsia="宋体" w:cs="宋体"/>
          <w:b/>
          <w:color w:val="auto"/>
          <w:highlight w:val="none"/>
          <w:lang w:eastAsia="zh-CN"/>
        </w:rPr>
      </w:pPr>
      <w:bookmarkStart w:id="1836" w:name="bookmark1894"/>
      <w:bookmarkStart w:id="1837" w:name="bookmark1896"/>
      <w:bookmarkStart w:id="1838" w:name="bookmark1895"/>
    </w:p>
    <w:p w14:paraId="7BC0F29D">
      <w:pPr>
        <w:pStyle w:val="95"/>
        <w:pageBreakBefore w:val="0"/>
        <w:kinsoku/>
        <w:wordWrap/>
        <w:overflowPunct/>
        <w:topLinePunct w:val="0"/>
        <w:autoSpaceDE/>
        <w:autoSpaceDN/>
        <w:bidi w:val="0"/>
        <w:adjustRightInd/>
        <w:snapToGrid/>
        <w:jc w:val="center"/>
        <w:textAlignment w:val="auto"/>
        <w:outlineLvl w:val="9"/>
        <w:rPr>
          <w:rStyle w:val="32"/>
          <w:rFonts w:ascii="宋体" w:hAnsi="宋体" w:eastAsia="宋体" w:cs="宋体"/>
          <w:b/>
          <w:color w:val="auto"/>
          <w:highlight w:val="none"/>
          <w:lang w:eastAsia="zh-CN"/>
        </w:rPr>
      </w:pPr>
      <w:r>
        <w:rPr>
          <w:rStyle w:val="32"/>
          <w:rFonts w:hint="eastAsia" w:ascii="宋体" w:hAnsi="宋体" w:eastAsia="宋体" w:cs="宋体"/>
          <w:b/>
          <w:color w:val="auto"/>
          <w:highlight w:val="none"/>
          <w:lang w:eastAsia="zh-CN"/>
        </w:rPr>
        <w:t>合同协议书</w:t>
      </w:r>
      <w:bookmarkEnd w:id="1836"/>
      <w:bookmarkEnd w:id="1837"/>
      <w:bookmarkEnd w:id="1838"/>
    </w:p>
    <w:p w14:paraId="7AC0C086">
      <w:pPr>
        <w:pStyle w:val="95"/>
        <w:pageBreakBefore w:val="0"/>
        <w:kinsoku/>
        <w:wordWrap/>
        <w:overflowPunct/>
        <w:topLinePunct w:val="0"/>
        <w:autoSpaceDE/>
        <w:autoSpaceDN/>
        <w:bidi w:val="0"/>
        <w:adjustRightInd/>
        <w:snapToGrid/>
        <w:jc w:val="center"/>
        <w:textAlignment w:val="auto"/>
        <w:outlineLvl w:val="9"/>
        <w:rPr>
          <w:rStyle w:val="32"/>
          <w:rFonts w:ascii="宋体" w:hAnsi="宋体" w:eastAsia="宋体" w:cs="宋体"/>
          <w:b/>
          <w:color w:val="auto"/>
          <w:highlight w:val="none"/>
          <w:lang w:eastAsia="zh-CN"/>
        </w:rPr>
      </w:pPr>
    </w:p>
    <w:p w14:paraId="2308E707">
      <w:pPr>
        <w:pStyle w:val="95"/>
        <w:pageBreakBefore w:val="0"/>
        <w:kinsoku/>
        <w:wordWrap/>
        <w:overflowPunct/>
        <w:topLinePunct w:val="0"/>
        <w:autoSpaceDE/>
        <w:autoSpaceDN/>
        <w:bidi w:val="0"/>
        <w:adjustRightInd/>
        <w:snapToGrid/>
        <w:jc w:val="center"/>
        <w:textAlignment w:val="auto"/>
        <w:outlineLvl w:val="9"/>
        <w:rPr>
          <w:rStyle w:val="32"/>
          <w:rFonts w:ascii="Times New Roman" w:hAnsi="Times New Roman" w:cs="Times New Roman"/>
          <w:b/>
          <w:color w:val="auto"/>
          <w:highlight w:val="none"/>
          <w:lang w:eastAsia="zh-CN"/>
        </w:rPr>
      </w:pPr>
    </w:p>
    <w:p w14:paraId="0A8ECBB6">
      <w:pPr>
        <w:pStyle w:val="95"/>
        <w:pageBreakBefore w:val="0"/>
        <w:kinsoku/>
        <w:wordWrap/>
        <w:overflowPunct/>
        <w:topLinePunct w:val="0"/>
        <w:autoSpaceDE/>
        <w:autoSpaceDN/>
        <w:bidi w:val="0"/>
        <w:adjustRightInd/>
        <w:snapToGrid/>
        <w:spacing w:line="360" w:lineRule="auto"/>
        <w:textAlignment w:val="auto"/>
        <w:outlineLvl w:val="9"/>
        <w:rPr>
          <w:rStyle w:val="32"/>
          <w:rFonts w:ascii="宋体" w:hAnsi="宋体" w:eastAsia="宋体" w:cs="Times New Roman"/>
          <w:color w:val="auto"/>
          <w:sz w:val="20"/>
          <w:szCs w:val="20"/>
          <w:highlight w:val="none"/>
        </w:rPr>
      </w:pPr>
      <w:r>
        <w:rPr>
          <w:rStyle w:val="32"/>
          <w:rFonts w:ascii="Times New Roman" w:hAnsi="Times New Roman" w:cs="Times New Roman"/>
          <w:color w:val="auto"/>
          <w:highlight w:val="none"/>
          <w:lang w:eastAsia="zh-CN"/>
        </w:rPr>
        <w:tab/>
      </w:r>
      <w:r>
        <w:rPr>
          <w:rStyle w:val="32"/>
          <w:rFonts w:hint="eastAsia" w:ascii="宋体" w:hAnsi="宋体" w:eastAsia="宋体" w:cs="Times New Roman"/>
          <w:color w:val="auto"/>
          <w:sz w:val="20"/>
          <w:szCs w:val="20"/>
          <w:highlight w:val="none"/>
          <w:u w:val="single"/>
          <w:lang w:eastAsia="zh-CN"/>
        </w:rPr>
        <w:t xml:space="preserve">     </w:t>
      </w:r>
      <w:r>
        <w:rPr>
          <w:rStyle w:val="32"/>
          <w:rFonts w:hint="eastAsia" w:ascii="宋体" w:hAnsi="宋体" w:eastAsia="宋体" w:cs="宋体"/>
          <w:color w:val="auto"/>
          <w:sz w:val="20"/>
          <w:szCs w:val="20"/>
          <w:highlight w:val="none"/>
          <w:u w:val="single"/>
          <w:lang w:eastAsia="zh-CN"/>
        </w:rPr>
        <w:t xml:space="preserve">     </w:t>
      </w:r>
      <w:r>
        <w:rPr>
          <w:rStyle w:val="32"/>
          <w:rFonts w:hint="eastAsia" w:ascii="宋体" w:hAnsi="宋体" w:eastAsia="宋体" w:cs="宋体"/>
          <w:color w:val="auto"/>
          <w:sz w:val="20"/>
          <w:szCs w:val="20"/>
          <w:highlight w:val="none"/>
          <w:lang w:eastAsia="zh-CN"/>
        </w:rPr>
        <w:t>（发包人名称，以下简称</w:t>
      </w:r>
      <w:r>
        <w:rPr>
          <w:rStyle w:val="32"/>
          <w:rFonts w:ascii="宋体" w:hAnsi="宋体" w:eastAsia="宋体" w:cs="Times New Roman"/>
          <w:color w:val="auto"/>
          <w:sz w:val="20"/>
          <w:szCs w:val="20"/>
          <w:highlight w:val="none"/>
          <w:lang w:eastAsia="zh-CN"/>
        </w:rPr>
        <w:t>“</w:t>
      </w:r>
      <w:r>
        <w:rPr>
          <w:rStyle w:val="32"/>
          <w:rFonts w:hint="eastAsia" w:ascii="宋体" w:hAnsi="宋体" w:eastAsia="宋体" w:cs="宋体"/>
          <w:color w:val="auto"/>
          <w:sz w:val="20"/>
          <w:szCs w:val="20"/>
          <w:highlight w:val="none"/>
          <w:lang w:eastAsia="zh-CN"/>
        </w:rPr>
        <w:t>发包人</w:t>
      </w:r>
      <w:r>
        <w:rPr>
          <w:rStyle w:val="32"/>
          <w:rFonts w:ascii="宋体" w:hAnsi="宋体" w:eastAsia="宋体" w:cs="Times New Roman"/>
          <w:color w:val="auto"/>
          <w:sz w:val="20"/>
          <w:szCs w:val="20"/>
          <w:highlight w:val="none"/>
          <w:lang w:eastAsia="zh-CN"/>
        </w:rPr>
        <w:t>”</w:t>
      </w:r>
      <w:r>
        <w:rPr>
          <w:rStyle w:val="32"/>
          <w:rFonts w:hint="eastAsia" w:ascii="宋体" w:hAnsi="宋体" w:eastAsia="宋体" w:cs="宋体"/>
          <w:color w:val="auto"/>
          <w:sz w:val="20"/>
          <w:szCs w:val="20"/>
          <w:highlight w:val="none"/>
          <w:lang w:eastAsia="zh-CN"/>
        </w:rPr>
        <w:t>）为实施</w:t>
      </w:r>
      <w:r>
        <w:rPr>
          <w:rStyle w:val="32"/>
          <w:rFonts w:ascii="宋体" w:hAnsi="宋体" w:eastAsia="宋体" w:cs="Times New Roman"/>
          <w:color w:val="auto"/>
          <w:sz w:val="20"/>
          <w:szCs w:val="20"/>
          <w:highlight w:val="none"/>
          <w:lang w:eastAsia="zh-CN"/>
        </w:rPr>
        <w:tab/>
      </w:r>
      <w:r>
        <w:rPr>
          <w:rStyle w:val="32"/>
          <w:rFonts w:hint="eastAsia" w:ascii="宋体" w:hAnsi="宋体" w:eastAsia="宋体" w:cs="Times New Roman"/>
          <w:color w:val="auto"/>
          <w:sz w:val="20"/>
          <w:szCs w:val="20"/>
          <w:highlight w:val="none"/>
          <w:u w:val="single"/>
          <w:lang w:eastAsia="zh-CN"/>
        </w:rPr>
        <w:t xml:space="preserve">           </w:t>
      </w:r>
      <w:r>
        <w:rPr>
          <w:rStyle w:val="32"/>
          <w:rFonts w:hint="eastAsia" w:ascii="宋体" w:hAnsi="宋体" w:eastAsia="宋体" w:cs="宋体"/>
          <w:color w:val="auto"/>
          <w:sz w:val="20"/>
          <w:szCs w:val="20"/>
          <w:highlight w:val="none"/>
          <w:lang w:eastAsia="zh-CN"/>
        </w:rPr>
        <w:t>（项目名称），已接受</w:t>
      </w:r>
      <w:r>
        <w:rPr>
          <w:rStyle w:val="32"/>
          <w:rFonts w:hint="eastAsia" w:ascii="宋体" w:hAnsi="宋体" w:eastAsia="宋体" w:cs="宋体"/>
          <w:color w:val="auto"/>
          <w:sz w:val="20"/>
          <w:szCs w:val="20"/>
          <w:highlight w:val="none"/>
          <w:u w:val="single"/>
          <w:lang w:eastAsia="zh-CN"/>
        </w:rPr>
        <w:t xml:space="preserve">   </w:t>
      </w:r>
      <w:r>
        <w:rPr>
          <w:rStyle w:val="32"/>
          <w:rFonts w:ascii="宋体" w:hAnsi="宋体" w:eastAsia="宋体" w:cs="Times New Roman"/>
          <w:color w:val="auto"/>
          <w:sz w:val="20"/>
          <w:szCs w:val="20"/>
          <w:highlight w:val="none"/>
          <w:u w:val="single"/>
          <w:lang w:eastAsia="zh-CN"/>
        </w:rPr>
        <w:tab/>
      </w:r>
      <w:r>
        <w:rPr>
          <w:rStyle w:val="32"/>
          <w:rFonts w:hint="eastAsia" w:ascii="宋体" w:hAnsi="宋体" w:eastAsia="宋体" w:cs="Times New Roman"/>
          <w:color w:val="auto"/>
          <w:sz w:val="20"/>
          <w:szCs w:val="20"/>
          <w:highlight w:val="none"/>
          <w:u w:val="single"/>
          <w:lang w:eastAsia="zh-CN"/>
        </w:rPr>
        <w:t xml:space="preserve">    </w:t>
      </w:r>
      <w:r>
        <w:rPr>
          <w:rStyle w:val="32"/>
          <w:rFonts w:hint="eastAsia" w:ascii="宋体" w:hAnsi="宋体" w:eastAsia="宋体" w:cs="宋体"/>
          <w:color w:val="auto"/>
          <w:sz w:val="20"/>
          <w:szCs w:val="20"/>
          <w:highlight w:val="none"/>
          <w:lang w:eastAsia="zh-CN"/>
        </w:rPr>
        <w:t>（承包人名称，以下简称</w:t>
      </w:r>
      <w:r>
        <w:rPr>
          <w:rStyle w:val="32"/>
          <w:rFonts w:ascii="宋体" w:hAnsi="宋体" w:eastAsia="宋体" w:cs="Times New Roman"/>
          <w:color w:val="auto"/>
          <w:sz w:val="20"/>
          <w:szCs w:val="20"/>
          <w:highlight w:val="none"/>
          <w:lang w:eastAsia="zh-CN"/>
        </w:rPr>
        <w:t>“</w:t>
      </w:r>
      <w:r>
        <w:rPr>
          <w:rStyle w:val="32"/>
          <w:rFonts w:hint="eastAsia" w:ascii="宋体" w:hAnsi="宋体" w:eastAsia="宋体" w:cs="宋体"/>
          <w:color w:val="auto"/>
          <w:sz w:val="20"/>
          <w:szCs w:val="20"/>
          <w:highlight w:val="none"/>
          <w:lang w:eastAsia="zh-CN"/>
        </w:rPr>
        <w:t>承包人</w:t>
      </w:r>
      <w:r>
        <w:rPr>
          <w:rStyle w:val="32"/>
          <w:rFonts w:ascii="宋体" w:hAnsi="宋体" w:eastAsia="宋体" w:cs="Times New Roman"/>
          <w:color w:val="auto"/>
          <w:sz w:val="20"/>
          <w:szCs w:val="20"/>
          <w:highlight w:val="none"/>
          <w:lang w:eastAsia="zh-CN"/>
        </w:rPr>
        <w:t>”</w:t>
      </w:r>
      <w:r>
        <w:rPr>
          <w:rStyle w:val="32"/>
          <w:rFonts w:hint="eastAsia" w:ascii="宋体" w:hAnsi="宋体" w:eastAsia="宋体" w:cs="宋体"/>
          <w:color w:val="auto"/>
          <w:sz w:val="20"/>
          <w:szCs w:val="20"/>
          <w:highlight w:val="none"/>
          <w:lang w:eastAsia="zh-CN"/>
        </w:rPr>
        <w:t>）对该项目</w:t>
      </w:r>
      <w:r>
        <w:rPr>
          <w:rStyle w:val="32"/>
          <w:rFonts w:hint="eastAsia" w:ascii="宋体" w:hAnsi="宋体" w:eastAsia="宋体" w:cs="宋体"/>
          <w:color w:val="auto"/>
          <w:sz w:val="20"/>
          <w:szCs w:val="20"/>
          <w:highlight w:val="none"/>
          <w:u w:val="single"/>
          <w:lang w:eastAsia="zh-CN"/>
        </w:rPr>
        <w:t xml:space="preserve">  </w:t>
      </w:r>
      <w:r>
        <w:rPr>
          <w:rStyle w:val="32"/>
          <w:rFonts w:ascii="宋体" w:hAnsi="宋体" w:eastAsia="宋体" w:cs="Times New Roman"/>
          <w:color w:val="auto"/>
          <w:sz w:val="20"/>
          <w:szCs w:val="20"/>
          <w:highlight w:val="none"/>
          <w:u w:val="single"/>
          <w:lang w:eastAsia="zh-CN"/>
        </w:rPr>
        <w:t xml:space="preserve"> </w:t>
      </w:r>
      <w:r>
        <w:rPr>
          <w:rStyle w:val="32"/>
          <w:rFonts w:ascii="宋体" w:hAnsi="宋体" w:eastAsia="宋体" w:cs="Times New Roman"/>
          <w:color w:val="auto"/>
          <w:sz w:val="20"/>
          <w:szCs w:val="20"/>
          <w:highlight w:val="none"/>
          <w:u w:val="single"/>
          <w:lang w:eastAsia="zh-CN"/>
        </w:rPr>
        <w:tab/>
      </w:r>
      <w:r>
        <w:rPr>
          <w:rStyle w:val="32"/>
          <w:rFonts w:hint="eastAsia" w:ascii="宋体" w:hAnsi="宋体" w:eastAsia="宋体" w:cs="Times New Roman"/>
          <w:color w:val="auto"/>
          <w:sz w:val="20"/>
          <w:szCs w:val="20"/>
          <w:highlight w:val="none"/>
          <w:u w:val="single"/>
          <w:lang w:eastAsia="zh-CN"/>
        </w:rPr>
        <w:t xml:space="preserve">    </w:t>
      </w:r>
      <w:r>
        <w:rPr>
          <w:rStyle w:val="32"/>
          <w:rFonts w:hint="eastAsia" w:ascii="宋体" w:hAnsi="宋体" w:eastAsia="宋体" w:cs="宋体"/>
          <w:color w:val="auto"/>
          <w:sz w:val="20"/>
          <w:szCs w:val="20"/>
          <w:highlight w:val="none"/>
          <w:lang w:eastAsia="zh-CN"/>
        </w:rPr>
        <w:t>（项目名称）</w:t>
      </w:r>
      <w:r>
        <w:rPr>
          <w:rStyle w:val="32"/>
          <w:rFonts w:hint="eastAsia" w:ascii="宋体" w:hAnsi="宋体" w:eastAsia="宋体" w:cs="宋体"/>
          <w:color w:val="auto"/>
          <w:sz w:val="20"/>
          <w:szCs w:val="20"/>
          <w:highlight w:val="none"/>
          <w:u w:val="single"/>
          <w:lang w:eastAsia="zh-CN"/>
        </w:rPr>
        <w:t xml:space="preserve">          </w:t>
      </w:r>
      <w:r>
        <w:rPr>
          <w:rStyle w:val="32"/>
          <w:rFonts w:hint="eastAsia" w:ascii="宋体" w:hAnsi="宋体" w:eastAsia="宋体" w:cs="宋体"/>
          <w:color w:val="auto"/>
          <w:sz w:val="20"/>
          <w:szCs w:val="20"/>
          <w:highlight w:val="none"/>
          <w:lang w:eastAsia="zh-CN"/>
        </w:rPr>
        <w:t>（标段名称）的投标，并确定其为中标人。</w:t>
      </w:r>
      <w:r>
        <w:rPr>
          <w:rStyle w:val="32"/>
          <w:rFonts w:hint="eastAsia" w:ascii="宋体" w:hAnsi="宋体" w:eastAsia="宋体" w:cs="宋体"/>
          <w:color w:val="auto"/>
          <w:sz w:val="20"/>
          <w:szCs w:val="20"/>
          <w:highlight w:val="none"/>
        </w:rPr>
        <w:t>发包人和承包人共同达成如下协议。</w:t>
      </w:r>
    </w:p>
    <w:p w14:paraId="522B5241">
      <w:pPr>
        <w:pStyle w:val="97"/>
        <w:pageBreakBefore w:val="0"/>
        <w:numPr>
          <w:ilvl w:val="0"/>
          <w:numId w:val="50"/>
        </w:numPr>
        <w:tabs>
          <w:tab w:val="left" w:pos="764"/>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39" w:name="bookmark1897"/>
      <w:bookmarkEnd w:id="1839"/>
      <w:r>
        <w:rPr>
          <w:rStyle w:val="32"/>
          <w:color w:val="auto"/>
          <w:highlight w:val="none"/>
        </w:rPr>
        <w:t>本协议书与下列文件一起构成合同文件：</w:t>
      </w:r>
    </w:p>
    <w:p w14:paraId="3A404FD7">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0" w:name="bookmark1898"/>
      <w:r>
        <w:rPr>
          <w:rStyle w:val="32"/>
          <w:rFonts w:ascii="Times New Roman" w:hAnsi="Times New Roman" w:eastAsia="Times New Roman" w:cs="Times New Roman"/>
          <w:color w:val="auto"/>
          <w:highlight w:val="none"/>
        </w:rPr>
        <w:t>（</w:t>
      </w:r>
      <w:bookmarkEnd w:id="1840"/>
      <w:r>
        <w:rPr>
          <w:rStyle w:val="32"/>
          <w:rFonts w:ascii="Times New Roman" w:hAnsi="Times New Roman" w:eastAsia="Times New Roman" w:cs="Times New Roman"/>
          <w:color w:val="auto"/>
          <w:highlight w:val="none"/>
        </w:rPr>
        <w:t>1）</w:t>
      </w:r>
      <w:r>
        <w:rPr>
          <w:rStyle w:val="32"/>
          <w:rFonts w:ascii="Times New Roman" w:hAnsi="Times New Roman" w:eastAsia="Times New Roman" w:cs="Times New Roman"/>
          <w:color w:val="auto"/>
          <w:highlight w:val="none"/>
        </w:rPr>
        <w:tab/>
      </w:r>
      <w:r>
        <w:rPr>
          <w:rStyle w:val="32"/>
          <w:color w:val="auto"/>
          <w:highlight w:val="none"/>
        </w:rPr>
        <w:t>中标通知书；</w:t>
      </w:r>
    </w:p>
    <w:p w14:paraId="331232AF">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1" w:name="bookmark1899"/>
      <w:r>
        <w:rPr>
          <w:rStyle w:val="32"/>
          <w:rFonts w:ascii="Times New Roman" w:hAnsi="Times New Roman" w:eastAsia="Times New Roman" w:cs="Times New Roman"/>
          <w:color w:val="auto"/>
          <w:highlight w:val="none"/>
        </w:rPr>
        <w:t>（</w:t>
      </w:r>
      <w:bookmarkEnd w:id="1841"/>
      <w:r>
        <w:rPr>
          <w:rStyle w:val="32"/>
          <w:rFonts w:ascii="Times New Roman" w:hAnsi="Times New Roman" w:eastAsia="Times New Roman" w:cs="Times New Roman"/>
          <w:color w:val="auto"/>
          <w:highlight w:val="none"/>
        </w:rPr>
        <w:t>2）</w:t>
      </w:r>
      <w:r>
        <w:rPr>
          <w:rStyle w:val="32"/>
          <w:rFonts w:ascii="Times New Roman" w:hAnsi="Times New Roman" w:eastAsia="Times New Roman" w:cs="Times New Roman"/>
          <w:color w:val="auto"/>
          <w:highlight w:val="none"/>
        </w:rPr>
        <w:tab/>
      </w:r>
      <w:r>
        <w:rPr>
          <w:rStyle w:val="32"/>
          <w:color w:val="auto"/>
          <w:highlight w:val="none"/>
        </w:rPr>
        <w:t>投标函及投标函附录；</w:t>
      </w:r>
    </w:p>
    <w:p w14:paraId="3ED814B7">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2" w:name="bookmark1900"/>
      <w:r>
        <w:rPr>
          <w:rStyle w:val="32"/>
          <w:rFonts w:ascii="Times New Roman" w:hAnsi="Times New Roman" w:eastAsia="Times New Roman" w:cs="Times New Roman"/>
          <w:color w:val="auto"/>
          <w:highlight w:val="none"/>
        </w:rPr>
        <w:t>（</w:t>
      </w:r>
      <w:bookmarkEnd w:id="1842"/>
      <w:r>
        <w:rPr>
          <w:rStyle w:val="32"/>
          <w:rFonts w:ascii="Times New Roman" w:hAnsi="Times New Roman" w:eastAsia="Times New Roman" w:cs="Times New Roman"/>
          <w:color w:val="auto"/>
          <w:highlight w:val="none"/>
        </w:rPr>
        <w:t>3）</w:t>
      </w:r>
      <w:r>
        <w:rPr>
          <w:rStyle w:val="32"/>
          <w:rFonts w:ascii="Times New Roman" w:hAnsi="Times New Roman" w:eastAsia="Times New Roman" w:cs="Times New Roman"/>
          <w:color w:val="auto"/>
          <w:highlight w:val="none"/>
        </w:rPr>
        <w:tab/>
      </w:r>
      <w:r>
        <w:rPr>
          <w:rStyle w:val="32"/>
          <w:color w:val="auto"/>
          <w:highlight w:val="none"/>
        </w:rPr>
        <w:t>专用合同条款（含附加条款）；</w:t>
      </w:r>
    </w:p>
    <w:p w14:paraId="0A972192">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3" w:name="bookmark1901"/>
      <w:r>
        <w:rPr>
          <w:rStyle w:val="32"/>
          <w:rFonts w:ascii="Times New Roman" w:hAnsi="Times New Roman" w:eastAsia="Times New Roman" w:cs="Times New Roman"/>
          <w:color w:val="auto"/>
          <w:highlight w:val="none"/>
        </w:rPr>
        <w:t>（</w:t>
      </w:r>
      <w:bookmarkEnd w:id="1843"/>
      <w:r>
        <w:rPr>
          <w:rStyle w:val="32"/>
          <w:rFonts w:ascii="Times New Roman" w:hAnsi="Times New Roman" w:eastAsia="Times New Roman" w:cs="Times New Roman"/>
          <w:color w:val="auto"/>
          <w:highlight w:val="none"/>
        </w:rPr>
        <w:t>4）</w:t>
      </w:r>
      <w:r>
        <w:rPr>
          <w:rStyle w:val="32"/>
          <w:rFonts w:ascii="Times New Roman" w:hAnsi="Times New Roman" w:eastAsia="Times New Roman" w:cs="Times New Roman"/>
          <w:color w:val="auto"/>
          <w:highlight w:val="none"/>
        </w:rPr>
        <w:tab/>
      </w:r>
      <w:r>
        <w:rPr>
          <w:rStyle w:val="32"/>
          <w:color w:val="auto"/>
          <w:highlight w:val="none"/>
        </w:rPr>
        <w:t>通用合同条款；</w:t>
      </w:r>
    </w:p>
    <w:p w14:paraId="5C8AFA6B">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4" w:name="bookmark1902"/>
      <w:r>
        <w:rPr>
          <w:rStyle w:val="32"/>
          <w:rFonts w:ascii="Times New Roman" w:hAnsi="Times New Roman" w:eastAsia="Times New Roman" w:cs="Times New Roman"/>
          <w:color w:val="auto"/>
          <w:highlight w:val="none"/>
        </w:rPr>
        <w:t>（</w:t>
      </w:r>
      <w:bookmarkEnd w:id="1844"/>
      <w:r>
        <w:rPr>
          <w:rStyle w:val="32"/>
          <w:rFonts w:ascii="Times New Roman" w:hAnsi="Times New Roman" w:eastAsia="Times New Roman" w:cs="Times New Roman"/>
          <w:color w:val="auto"/>
          <w:highlight w:val="none"/>
        </w:rPr>
        <w:t>5）</w:t>
      </w:r>
      <w:r>
        <w:rPr>
          <w:rStyle w:val="32"/>
          <w:rFonts w:ascii="Times New Roman" w:hAnsi="Times New Roman" w:eastAsia="Times New Roman" w:cs="Times New Roman"/>
          <w:color w:val="auto"/>
          <w:highlight w:val="none"/>
        </w:rPr>
        <w:tab/>
      </w:r>
      <w:r>
        <w:rPr>
          <w:rStyle w:val="32"/>
          <w:color w:val="auto"/>
          <w:highlight w:val="none"/>
        </w:rPr>
        <w:t>技术标准和要求（合同技术条款）；</w:t>
      </w:r>
    </w:p>
    <w:p w14:paraId="03CACBB4">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5" w:name="bookmark1903"/>
      <w:r>
        <w:rPr>
          <w:rStyle w:val="32"/>
          <w:rFonts w:ascii="Times New Roman" w:hAnsi="Times New Roman" w:eastAsia="Times New Roman" w:cs="Times New Roman"/>
          <w:color w:val="auto"/>
          <w:highlight w:val="none"/>
        </w:rPr>
        <w:t>（</w:t>
      </w:r>
      <w:bookmarkEnd w:id="1845"/>
      <w:r>
        <w:rPr>
          <w:rStyle w:val="32"/>
          <w:rFonts w:ascii="Times New Roman" w:hAnsi="Times New Roman" w:eastAsia="Times New Roman" w:cs="Times New Roman"/>
          <w:color w:val="auto"/>
          <w:highlight w:val="none"/>
        </w:rPr>
        <w:t>6）</w:t>
      </w:r>
      <w:r>
        <w:rPr>
          <w:rStyle w:val="32"/>
          <w:rFonts w:ascii="Times New Roman" w:hAnsi="Times New Roman" w:eastAsia="Times New Roman" w:cs="Times New Roman"/>
          <w:color w:val="auto"/>
          <w:highlight w:val="none"/>
        </w:rPr>
        <w:tab/>
      </w:r>
      <w:r>
        <w:rPr>
          <w:rStyle w:val="32"/>
          <w:color w:val="auto"/>
          <w:highlight w:val="none"/>
        </w:rPr>
        <w:t>图纸；</w:t>
      </w:r>
    </w:p>
    <w:p w14:paraId="2FA8F2E1">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6" w:name="bookmark1904"/>
      <w:r>
        <w:rPr>
          <w:rStyle w:val="32"/>
          <w:rFonts w:ascii="Times New Roman" w:hAnsi="Times New Roman" w:eastAsia="Times New Roman" w:cs="Times New Roman"/>
          <w:color w:val="auto"/>
          <w:highlight w:val="none"/>
        </w:rPr>
        <w:t>（</w:t>
      </w:r>
      <w:bookmarkEnd w:id="1846"/>
      <w:r>
        <w:rPr>
          <w:rStyle w:val="32"/>
          <w:rFonts w:ascii="Times New Roman" w:hAnsi="Times New Roman" w:eastAsia="Times New Roman" w:cs="Times New Roman"/>
          <w:color w:val="auto"/>
          <w:highlight w:val="none"/>
        </w:rPr>
        <w:t>7）</w:t>
      </w:r>
      <w:r>
        <w:rPr>
          <w:rStyle w:val="32"/>
          <w:rFonts w:ascii="Times New Roman" w:hAnsi="Times New Roman" w:eastAsia="Times New Roman" w:cs="Times New Roman"/>
          <w:color w:val="auto"/>
          <w:highlight w:val="none"/>
        </w:rPr>
        <w:tab/>
      </w:r>
      <w:r>
        <w:rPr>
          <w:rStyle w:val="32"/>
          <w:color w:val="auto"/>
          <w:highlight w:val="none"/>
        </w:rPr>
        <w:t>已标价工程量清单；</w:t>
      </w:r>
    </w:p>
    <w:p w14:paraId="59D79F38">
      <w:pPr>
        <w:pStyle w:val="97"/>
        <w:pageBreakBefore w:val="0"/>
        <w:tabs>
          <w:tab w:val="left" w:pos="903"/>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7" w:name="bookmark1905"/>
      <w:r>
        <w:rPr>
          <w:rStyle w:val="32"/>
          <w:rFonts w:ascii="Times New Roman" w:hAnsi="Times New Roman" w:eastAsia="Times New Roman" w:cs="Times New Roman"/>
          <w:color w:val="auto"/>
          <w:highlight w:val="none"/>
        </w:rPr>
        <w:t>（</w:t>
      </w:r>
      <w:bookmarkEnd w:id="1847"/>
      <w:r>
        <w:rPr>
          <w:rStyle w:val="32"/>
          <w:rFonts w:ascii="Times New Roman" w:hAnsi="Times New Roman" w:eastAsia="Times New Roman" w:cs="Times New Roman"/>
          <w:color w:val="auto"/>
          <w:highlight w:val="none"/>
        </w:rPr>
        <w:t>8）</w:t>
      </w:r>
      <w:r>
        <w:rPr>
          <w:rStyle w:val="32"/>
          <w:rFonts w:ascii="Times New Roman" w:hAnsi="Times New Roman" w:eastAsia="Times New Roman" w:cs="Times New Roman"/>
          <w:color w:val="auto"/>
          <w:highlight w:val="none"/>
        </w:rPr>
        <w:tab/>
      </w:r>
      <w:r>
        <w:rPr>
          <w:rStyle w:val="32"/>
          <w:color w:val="auto"/>
          <w:highlight w:val="none"/>
        </w:rPr>
        <w:t>其他合同文件。</w:t>
      </w:r>
    </w:p>
    <w:p w14:paraId="60E8FD9F">
      <w:pPr>
        <w:pStyle w:val="97"/>
        <w:pageBreakBefore w:val="0"/>
        <w:numPr>
          <w:ilvl w:val="0"/>
          <w:numId w:val="50"/>
        </w:numPr>
        <w:tabs>
          <w:tab w:val="left" w:pos="764"/>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8" w:name="bookmark1906"/>
      <w:bookmarkEnd w:id="1848"/>
      <w:r>
        <w:rPr>
          <w:rStyle w:val="32"/>
          <w:color w:val="auto"/>
          <w:highlight w:val="none"/>
        </w:rPr>
        <w:t>上述文件互相补充和解释，如有不明确或不一致之处，以合同约定次序在先者为准。</w:t>
      </w:r>
    </w:p>
    <w:p w14:paraId="74124381">
      <w:pPr>
        <w:pStyle w:val="97"/>
        <w:pageBreakBefore w:val="0"/>
        <w:numPr>
          <w:ilvl w:val="0"/>
          <w:numId w:val="50"/>
        </w:numPr>
        <w:tabs>
          <w:tab w:val="left" w:pos="764"/>
          <w:tab w:val="left" w:pos="4291"/>
          <w:tab w:val="left" w:pos="5794"/>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49" w:name="bookmark1907"/>
      <w:bookmarkEnd w:id="1849"/>
      <w:r>
        <w:rPr>
          <w:rStyle w:val="32"/>
          <w:color w:val="auto"/>
          <w:highlight w:val="none"/>
        </w:rPr>
        <w:t>签约合同价：人民币（大写）</w:t>
      </w:r>
      <w:r>
        <w:rPr>
          <w:rStyle w:val="32"/>
          <w:color w:val="auto"/>
          <w:highlight w:val="none"/>
          <w:u w:val="single"/>
        </w:rPr>
        <w:tab/>
      </w:r>
      <w:r>
        <w:rPr>
          <w:rStyle w:val="32"/>
          <w:color w:val="auto"/>
          <w:highlight w:val="none"/>
        </w:rPr>
        <w:t>元（¥</w:t>
      </w:r>
      <w:r>
        <w:rPr>
          <w:rStyle w:val="32"/>
          <w:color w:val="auto"/>
          <w:highlight w:val="none"/>
          <w:u w:val="single"/>
        </w:rPr>
        <w:tab/>
      </w:r>
      <w:r>
        <w:rPr>
          <w:rStyle w:val="32"/>
          <w:rFonts w:ascii="Times New Roman" w:hAnsi="Times New Roman" w:eastAsia="Times New Roman" w:cs="Times New Roman"/>
          <w:color w:val="auto"/>
          <w:highlight w:val="none"/>
          <w:lang w:val="en-US" w:bidi="en-US"/>
        </w:rPr>
        <w:t>）</w:t>
      </w:r>
      <w:r>
        <w:rPr>
          <w:rStyle w:val="32"/>
          <w:rFonts w:ascii="Times New Roman" w:hAnsi="Times New Roman" w:eastAsia="Times New Roman" w:cs="Times New Roman"/>
          <w:color w:val="auto"/>
          <w:highlight w:val="none"/>
          <w:vertAlign w:val="subscript"/>
          <w:lang w:val="en-US" w:bidi="en-US"/>
        </w:rPr>
        <w:t>o</w:t>
      </w:r>
    </w:p>
    <w:p w14:paraId="2B6CEF0A">
      <w:pPr>
        <w:pStyle w:val="97"/>
        <w:pageBreakBefore w:val="0"/>
        <w:numPr>
          <w:ilvl w:val="0"/>
          <w:numId w:val="50"/>
        </w:numPr>
        <w:tabs>
          <w:tab w:val="left" w:pos="764"/>
          <w:tab w:val="left" w:pos="4234"/>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50" w:name="bookmark1908"/>
      <w:bookmarkEnd w:id="1850"/>
      <w:r>
        <w:rPr>
          <w:rStyle w:val="32"/>
          <w:color w:val="auto"/>
          <w:highlight w:val="none"/>
        </w:rPr>
        <w:t>承包人项目经理：</w:t>
      </w:r>
      <w:r>
        <w:rPr>
          <w:rStyle w:val="32"/>
          <w:color w:val="auto"/>
          <w:highlight w:val="none"/>
          <w:u w:val="single"/>
        </w:rPr>
        <w:tab/>
      </w:r>
      <w:r>
        <w:rPr>
          <w:rStyle w:val="32"/>
          <w:rFonts w:hint="eastAsia" w:ascii="Times New Roman" w:hAnsi="Times New Roman" w:cs="Times New Roman"/>
          <w:color w:val="auto"/>
          <w:highlight w:val="none"/>
          <w:lang w:val="en-US" w:bidi="en-US"/>
        </w:rPr>
        <w:t>。</w:t>
      </w:r>
    </w:p>
    <w:p w14:paraId="42A5D9E8">
      <w:pPr>
        <w:pStyle w:val="97"/>
        <w:pageBreakBefore w:val="0"/>
        <w:numPr>
          <w:ilvl w:val="0"/>
          <w:numId w:val="50"/>
        </w:numPr>
        <w:tabs>
          <w:tab w:val="left" w:pos="764"/>
          <w:tab w:val="left" w:pos="3809"/>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51" w:name="bookmark1909"/>
      <w:bookmarkEnd w:id="1851"/>
      <w:r>
        <w:rPr>
          <w:rStyle w:val="32"/>
          <w:color w:val="auto"/>
          <w:highlight w:val="none"/>
        </w:rPr>
        <w:t>工程质量符合</w:t>
      </w:r>
      <w:r>
        <w:rPr>
          <w:rStyle w:val="32"/>
          <w:color w:val="auto"/>
          <w:highlight w:val="none"/>
          <w:u w:val="single"/>
        </w:rPr>
        <w:tab/>
      </w:r>
      <w:r>
        <w:rPr>
          <w:rStyle w:val="32"/>
          <w:color w:val="auto"/>
          <w:highlight w:val="none"/>
        </w:rPr>
        <w:t>标准。</w:t>
      </w:r>
    </w:p>
    <w:p w14:paraId="15CD4792">
      <w:pPr>
        <w:pStyle w:val="97"/>
        <w:pageBreakBefore w:val="0"/>
        <w:numPr>
          <w:ilvl w:val="0"/>
          <w:numId w:val="50"/>
        </w:numPr>
        <w:tabs>
          <w:tab w:val="left" w:pos="764"/>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52" w:name="bookmark1910"/>
      <w:bookmarkEnd w:id="1852"/>
      <w:r>
        <w:rPr>
          <w:rStyle w:val="32"/>
          <w:color w:val="auto"/>
          <w:highlight w:val="none"/>
        </w:rPr>
        <w:t>承包人承诺按合同约定承担工程的实施、完成及缺陷修复。</w:t>
      </w:r>
    </w:p>
    <w:p w14:paraId="335ED002">
      <w:pPr>
        <w:pStyle w:val="97"/>
        <w:pageBreakBefore w:val="0"/>
        <w:numPr>
          <w:ilvl w:val="0"/>
          <w:numId w:val="50"/>
        </w:numPr>
        <w:tabs>
          <w:tab w:val="left" w:pos="764"/>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53" w:name="bookmark1911"/>
      <w:bookmarkEnd w:id="1853"/>
      <w:r>
        <w:rPr>
          <w:rStyle w:val="32"/>
          <w:color w:val="auto"/>
          <w:highlight w:val="none"/>
        </w:rPr>
        <w:t>发包人承诺按合同约定的条件、时间和方式向承包人支付合同价款。</w:t>
      </w:r>
    </w:p>
    <w:p w14:paraId="33866578">
      <w:pPr>
        <w:pStyle w:val="97"/>
        <w:pageBreakBefore w:val="0"/>
        <w:numPr>
          <w:ilvl w:val="0"/>
          <w:numId w:val="50"/>
        </w:numPr>
        <w:tabs>
          <w:tab w:val="left" w:pos="764"/>
          <w:tab w:val="left" w:pos="5717"/>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54" w:name="bookmark1912"/>
      <w:bookmarkEnd w:id="1854"/>
      <w:r>
        <w:rPr>
          <w:rStyle w:val="32"/>
          <w:color w:val="auto"/>
          <w:highlight w:val="none"/>
        </w:rPr>
        <w:t>承包人承诺执行监理人开工通知，计划工期为</w:t>
      </w:r>
      <w:r>
        <w:rPr>
          <w:rStyle w:val="32"/>
          <w:color w:val="auto"/>
          <w:highlight w:val="none"/>
          <w:u w:val="single"/>
        </w:rPr>
        <w:tab/>
      </w:r>
      <w:r>
        <w:rPr>
          <w:rStyle w:val="32"/>
          <w:color w:val="auto"/>
          <w:highlight w:val="none"/>
        </w:rPr>
        <w:t>天。</w:t>
      </w:r>
    </w:p>
    <w:p w14:paraId="438D4CDF">
      <w:pPr>
        <w:pStyle w:val="97"/>
        <w:pageBreakBefore w:val="0"/>
        <w:numPr>
          <w:ilvl w:val="0"/>
          <w:numId w:val="50"/>
        </w:numPr>
        <w:tabs>
          <w:tab w:val="left" w:pos="764"/>
          <w:tab w:val="left" w:pos="2789"/>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55" w:name="bookmark1913"/>
      <w:bookmarkEnd w:id="1855"/>
      <w:r>
        <w:rPr>
          <w:rStyle w:val="32"/>
          <w:color w:val="auto"/>
          <w:highlight w:val="none"/>
        </w:rPr>
        <w:t>本协议书一式</w:t>
      </w:r>
      <w:r>
        <w:rPr>
          <w:rStyle w:val="32"/>
          <w:color w:val="auto"/>
          <w:highlight w:val="none"/>
          <w:u w:val="single"/>
        </w:rPr>
        <w:tab/>
      </w:r>
      <w:r>
        <w:rPr>
          <w:rStyle w:val="32"/>
          <w:color w:val="auto"/>
          <w:highlight w:val="none"/>
        </w:rPr>
        <w:t>份，合同双方各执</w:t>
      </w:r>
      <w:r>
        <w:rPr>
          <w:rStyle w:val="32"/>
          <w:rFonts w:hint="eastAsia"/>
          <w:color w:val="auto"/>
          <w:highlight w:val="none"/>
          <w:lang w:val="en-US"/>
        </w:rPr>
        <w:t xml:space="preserve"> </w:t>
      </w:r>
      <w:r>
        <w:rPr>
          <w:rStyle w:val="32"/>
          <w:rFonts w:hint="eastAsia"/>
          <w:color w:val="auto"/>
          <w:highlight w:val="none"/>
          <w:u w:val="single"/>
          <w:lang w:val="en-US"/>
        </w:rPr>
        <w:t xml:space="preserve">      </w:t>
      </w:r>
      <w:r>
        <w:rPr>
          <w:rStyle w:val="32"/>
          <w:color w:val="auto"/>
          <w:highlight w:val="none"/>
        </w:rPr>
        <w:t>份。</w:t>
      </w:r>
    </w:p>
    <w:p w14:paraId="200AA9C0">
      <w:pPr>
        <w:pStyle w:val="97"/>
        <w:pageBreakBefore w:val="0"/>
        <w:numPr>
          <w:ilvl w:val="0"/>
          <w:numId w:val="50"/>
        </w:numPr>
        <w:tabs>
          <w:tab w:val="left" w:pos="841"/>
        </w:tabs>
        <w:kinsoku/>
        <w:wordWrap/>
        <w:overflowPunct/>
        <w:topLinePunct w:val="0"/>
        <w:autoSpaceDE/>
        <w:autoSpaceDN/>
        <w:bidi w:val="0"/>
        <w:adjustRightInd/>
        <w:snapToGrid/>
        <w:spacing w:after="320"/>
        <w:ind w:firstLine="420"/>
        <w:jc w:val="both"/>
        <w:textAlignment w:val="auto"/>
        <w:outlineLvl w:val="9"/>
        <w:rPr>
          <w:rStyle w:val="32"/>
          <w:color w:val="auto"/>
          <w:highlight w:val="none"/>
        </w:rPr>
      </w:pPr>
      <w:bookmarkStart w:id="1856" w:name="bookmark1914"/>
      <w:bookmarkEnd w:id="1856"/>
      <w:r>
        <w:rPr>
          <w:rStyle w:val="32"/>
          <w:color w:val="auto"/>
          <w:highlight w:val="none"/>
        </w:rPr>
        <w:t>合同未尽事宜，双方另行签订补充协议。补充协议是合同的组成部分。</w:t>
      </w:r>
    </w:p>
    <w:p w14:paraId="1ACAA7C4">
      <w:pPr>
        <w:pStyle w:val="97"/>
        <w:pageBreakBefore w:val="0"/>
        <w:tabs>
          <w:tab w:val="left" w:pos="2532"/>
          <w:tab w:val="left" w:pos="3132"/>
          <w:tab w:val="left" w:pos="6926"/>
        </w:tabs>
        <w:kinsoku/>
        <w:wordWrap/>
        <w:overflowPunct/>
        <w:topLinePunct w:val="0"/>
        <w:autoSpaceDE/>
        <w:autoSpaceDN/>
        <w:bidi w:val="0"/>
        <w:adjustRightInd/>
        <w:snapToGrid/>
        <w:spacing w:line="355" w:lineRule="exact"/>
        <w:ind w:firstLine="0"/>
        <w:jc w:val="both"/>
        <w:textAlignment w:val="auto"/>
        <w:outlineLvl w:val="9"/>
        <w:rPr>
          <w:rStyle w:val="32"/>
          <w:color w:val="auto"/>
          <w:highlight w:val="none"/>
        </w:rPr>
      </w:pPr>
      <w:r>
        <w:rPr>
          <w:rStyle w:val="32"/>
          <w:color w:val="auto"/>
          <w:highlight w:val="none"/>
        </w:rPr>
        <w:t>发包人：</w:t>
      </w:r>
      <w:r>
        <w:rPr>
          <w:rStyle w:val="32"/>
          <w:rFonts w:hint="eastAsia"/>
          <w:color w:val="auto"/>
          <w:highlight w:val="none"/>
          <w:u w:val="single"/>
          <w:lang w:val="en-US"/>
        </w:rPr>
        <w:t xml:space="preserve">          </w:t>
      </w:r>
      <w:r>
        <w:rPr>
          <w:rStyle w:val="32"/>
          <w:color w:val="auto"/>
          <w:highlight w:val="none"/>
          <w:u w:val="single"/>
        </w:rPr>
        <w:t xml:space="preserve"> </w:t>
      </w:r>
      <w:r>
        <w:rPr>
          <w:rStyle w:val="32"/>
          <w:color w:val="auto"/>
          <w:highlight w:val="none"/>
        </w:rPr>
        <w:t>（盖单位公章）</w:t>
      </w:r>
      <w:r>
        <w:rPr>
          <w:rStyle w:val="32"/>
          <w:rFonts w:hint="eastAsia"/>
          <w:color w:val="auto"/>
          <w:highlight w:val="none"/>
          <w:lang w:val="en-US"/>
        </w:rPr>
        <w:t xml:space="preserve">       </w:t>
      </w:r>
      <w:r>
        <w:rPr>
          <w:rStyle w:val="32"/>
          <w:color w:val="auto"/>
          <w:highlight w:val="none"/>
        </w:rPr>
        <w:t xml:space="preserve"> </w:t>
      </w:r>
      <w:r>
        <w:rPr>
          <w:rStyle w:val="32"/>
          <w:rFonts w:hint="eastAsia"/>
          <w:color w:val="auto"/>
          <w:highlight w:val="none"/>
        </w:rPr>
        <w:t xml:space="preserve">  </w:t>
      </w:r>
      <w:r>
        <w:rPr>
          <w:rStyle w:val="32"/>
          <w:color w:val="auto"/>
          <w:highlight w:val="none"/>
        </w:rPr>
        <w:t>承包人：</w:t>
      </w:r>
      <w:r>
        <w:rPr>
          <w:rStyle w:val="32"/>
          <w:color w:val="auto"/>
          <w:highlight w:val="none"/>
          <w:u w:val="single"/>
        </w:rPr>
        <w:t xml:space="preserve"> </w:t>
      </w:r>
      <w:r>
        <w:rPr>
          <w:rStyle w:val="32"/>
          <w:rFonts w:hint="eastAsia"/>
          <w:color w:val="auto"/>
          <w:highlight w:val="none"/>
          <w:u w:val="single"/>
          <w:lang w:val="en-US"/>
        </w:rPr>
        <w:t xml:space="preserve">        </w:t>
      </w:r>
      <w:r>
        <w:rPr>
          <w:rStyle w:val="32"/>
          <w:color w:val="auto"/>
          <w:highlight w:val="none"/>
          <w:u w:val="single"/>
        </w:rPr>
        <w:t xml:space="preserve"> </w:t>
      </w:r>
      <w:r>
        <w:rPr>
          <w:rStyle w:val="32"/>
          <w:color w:val="auto"/>
          <w:highlight w:val="none"/>
        </w:rPr>
        <w:t xml:space="preserve">（盖单位公章） </w:t>
      </w:r>
    </w:p>
    <w:p w14:paraId="71D7E11E">
      <w:pPr>
        <w:pStyle w:val="97"/>
        <w:pageBreakBefore w:val="0"/>
        <w:tabs>
          <w:tab w:val="left" w:pos="2532"/>
          <w:tab w:val="left" w:pos="3132"/>
          <w:tab w:val="left" w:pos="6926"/>
        </w:tabs>
        <w:kinsoku/>
        <w:wordWrap/>
        <w:overflowPunct/>
        <w:topLinePunct w:val="0"/>
        <w:autoSpaceDE/>
        <w:autoSpaceDN/>
        <w:bidi w:val="0"/>
        <w:adjustRightInd/>
        <w:snapToGrid/>
        <w:spacing w:line="355" w:lineRule="exact"/>
        <w:ind w:firstLine="0"/>
        <w:jc w:val="both"/>
        <w:textAlignment w:val="auto"/>
        <w:outlineLvl w:val="9"/>
        <w:rPr>
          <w:rStyle w:val="32"/>
          <w:color w:val="auto"/>
          <w:highlight w:val="none"/>
        </w:rPr>
      </w:pPr>
      <w:r>
        <w:rPr>
          <w:rStyle w:val="32"/>
          <w:color w:val="auto"/>
          <w:highlight w:val="none"/>
        </w:rPr>
        <w:t>法定代表人</w:t>
      </w:r>
      <w:r>
        <w:rPr>
          <w:rStyle w:val="32"/>
          <w:rFonts w:hint="eastAsia"/>
          <w:color w:val="auto"/>
          <w:highlight w:val="none"/>
        </w:rPr>
        <w:t>(</w:t>
      </w:r>
      <w:r>
        <w:rPr>
          <w:rStyle w:val="32"/>
          <w:color w:val="auto"/>
          <w:highlight w:val="none"/>
        </w:rPr>
        <w:t>或项目负责人</w:t>
      </w:r>
      <w:r>
        <w:rPr>
          <w:rStyle w:val="32"/>
          <w:rFonts w:hint="eastAsia"/>
          <w:color w:val="auto"/>
          <w:highlight w:val="none"/>
        </w:rPr>
        <w:t>)</w:t>
      </w:r>
      <w:r>
        <w:rPr>
          <w:rStyle w:val="32"/>
          <w:color w:val="auto"/>
          <w:highlight w:val="none"/>
        </w:rPr>
        <w:t>：</w:t>
      </w:r>
      <w:r>
        <w:rPr>
          <w:rStyle w:val="32"/>
          <w:rFonts w:hint="eastAsia"/>
          <w:color w:val="auto"/>
          <w:highlight w:val="none"/>
          <w:lang w:val="en-US"/>
        </w:rPr>
        <w:t xml:space="preserve">  </w:t>
      </w:r>
      <w:r>
        <w:rPr>
          <w:rStyle w:val="32"/>
          <w:rFonts w:hint="eastAsia"/>
          <w:color w:val="auto"/>
          <w:highlight w:val="none"/>
          <w:u w:val="single"/>
        </w:rPr>
        <w:t xml:space="preserve">  </w:t>
      </w:r>
      <w:r>
        <w:rPr>
          <w:rStyle w:val="32"/>
          <w:color w:val="auto"/>
          <w:highlight w:val="none"/>
        </w:rPr>
        <w:t xml:space="preserve"> （签字）</w:t>
      </w:r>
      <w:r>
        <w:rPr>
          <w:rStyle w:val="32"/>
          <w:rFonts w:hint="eastAsia"/>
          <w:color w:val="auto"/>
          <w:highlight w:val="none"/>
          <w:lang w:val="en-US"/>
        </w:rPr>
        <w:t xml:space="preserve">   </w:t>
      </w:r>
      <w:r>
        <w:rPr>
          <w:rStyle w:val="32"/>
          <w:color w:val="auto"/>
          <w:highlight w:val="none"/>
        </w:rPr>
        <w:t xml:space="preserve"> 法定代表人</w:t>
      </w:r>
      <w:r>
        <w:rPr>
          <w:rStyle w:val="32"/>
          <w:rFonts w:hint="eastAsia"/>
          <w:color w:val="auto"/>
          <w:highlight w:val="none"/>
        </w:rPr>
        <w:t>(</w:t>
      </w:r>
      <w:r>
        <w:rPr>
          <w:rStyle w:val="32"/>
          <w:color w:val="auto"/>
          <w:highlight w:val="none"/>
        </w:rPr>
        <w:t>或其委托代理人</w:t>
      </w:r>
      <w:r>
        <w:rPr>
          <w:rStyle w:val="32"/>
          <w:rFonts w:hint="eastAsia"/>
          <w:color w:val="auto"/>
          <w:highlight w:val="none"/>
        </w:rPr>
        <w:t>)</w:t>
      </w:r>
      <w:r>
        <w:rPr>
          <w:rStyle w:val="32"/>
          <w:color w:val="auto"/>
          <w:highlight w:val="none"/>
        </w:rPr>
        <w:t>：</w:t>
      </w:r>
      <w:r>
        <w:rPr>
          <w:rStyle w:val="32"/>
          <w:color w:val="auto"/>
          <w:highlight w:val="none"/>
          <w:u w:val="single"/>
        </w:rPr>
        <w:tab/>
      </w:r>
      <w:r>
        <w:rPr>
          <w:rStyle w:val="32"/>
          <w:rFonts w:hint="eastAsia"/>
          <w:color w:val="auto"/>
          <w:highlight w:val="none"/>
          <w:u w:val="single"/>
        </w:rPr>
        <w:t xml:space="preserve">  </w:t>
      </w:r>
      <w:r>
        <w:rPr>
          <w:rStyle w:val="32"/>
          <w:color w:val="auto"/>
          <w:highlight w:val="none"/>
        </w:rPr>
        <w:t>（签字）</w:t>
      </w:r>
    </w:p>
    <w:p w14:paraId="00025080">
      <w:pPr>
        <w:pStyle w:val="97"/>
        <w:pageBreakBefore w:val="0"/>
        <w:tabs>
          <w:tab w:val="left" w:pos="1590"/>
          <w:tab w:val="left" w:pos="2648"/>
          <w:tab w:val="left" w:pos="3704"/>
          <w:tab w:val="left" w:pos="5089"/>
          <w:tab w:val="left" w:pos="6018"/>
          <w:tab w:val="left" w:pos="7074"/>
          <w:tab w:val="left" w:pos="8132"/>
        </w:tabs>
        <w:kinsoku/>
        <w:wordWrap/>
        <w:overflowPunct/>
        <w:topLinePunct w:val="0"/>
        <w:autoSpaceDE/>
        <w:autoSpaceDN/>
        <w:bidi w:val="0"/>
        <w:adjustRightInd/>
        <w:snapToGrid/>
        <w:spacing w:line="355" w:lineRule="exact"/>
        <w:jc w:val="both"/>
        <w:textAlignment w:val="auto"/>
        <w:outlineLvl w:val="9"/>
        <w:rPr>
          <w:rStyle w:val="32"/>
          <w:color w:val="auto"/>
          <w:highlight w:val="none"/>
          <w:u w:val="single"/>
        </w:rPr>
      </w:pPr>
      <w:r>
        <w:rPr>
          <w:rStyle w:val="32"/>
          <w:rFonts w:hint="eastAsia"/>
          <w:color w:val="auto"/>
          <w:highlight w:val="none"/>
          <w:u w:val="single"/>
          <w:lang w:val="en-US"/>
        </w:rPr>
        <w:t xml:space="preserve">    </w:t>
      </w:r>
      <w:r>
        <w:rPr>
          <w:rStyle w:val="32"/>
          <w:color w:val="auto"/>
          <w:highlight w:val="none"/>
        </w:rPr>
        <w:t>年</w:t>
      </w:r>
      <w:r>
        <w:rPr>
          <w:rStyle w:val="32"/>
          <w:color w:val="auto"/>
          <w:highlight w:val="none"/>
          <w:u w:val="single"/>
        </w:rPr>
        <w:tab/>
      </w:r>
      <w:r>
        <w:rPr>
          <w:rStyle w:val="32"/>
          <w:color w:val="auto"/>
          <w:highlight w:val="none"/>
        </w:rPr>
        <w:t>月</w:t>
      </w:r>
      <w:r>
        <w:rPr>
          <w:rStyle w:val="32"/>
          <w:rFonts w:hint="eastAsia"/>
          <w:color w:val="auto"/>
          <w:highlight w:val="none"/>
          <w:lang w:val="en-US"/>
        </w:rPr>
        <w:t xml:space="preserve">   </w:t>
      </w:r>
      <w:r>
        <w:rPr>
          <w:rStyle w:val="32"/>
          <w:rFonts w:hint="eastAsia"/>
          <w:color w:val="auto"/>
          <w:highlight w:val="none"/>
          <w:u w:val="single"/>
          <w:lang w:val="en-US"/>
        </w:rPr>
        <w:t xml:space="preserve"> </w:t>
      </w:r>
      <w:r>
        <w:rPr>
          <w:rStyle w:val="32"/>
          <w:color w:val="auto"/>
          <w:highlight w:val="none"/>
        </w:rPr>
        <w:t>日</w:t>
      </w:r>
      <w:r>
        <w:rPr>
          <w:rStyle w:val="32"/>
          <w:rFonts w:hint="eastAsia"/>
          <w:color w:val="auto"/>
          <w:highlight w:val="none"/>
          <w:lang w:val="en-US"/>
        </w:rPr>
        <w:t xml:space="preserve">      </w:t>
      </w:r>
      <w:r>
        <w:rPr>
          <w:rStyle w:val="32"/>
          <w:color w:val="auto"/>
          <w:highlight w:val="none"/>
        </w:rPr>
        <w:tab/>
      </w:r>
      <w:r>
        <w:rPr>
          <w:rStyle w:val="32"/>
          <w:rFonts w:hint="eastAsia"/>
          <w:color w:val="auto"/>
          <w:highlight w:val="none"/>
          <w:lang w:val="en-US"/>
        </w:rPr>
        <w:t xml:space="preserve">                </w:t>
      </w:r>
      <w:r>
        <w:rPr>
          <w:rStyle w:val="32"/>
          <w:rFonts w:hint="eastAsia"/>
          <w:color w:val="auto"/>
          <w:highlight w:val="none"/>
          <w:u w:val="single"/>
          <w:lang w:val="en-US"/>
        </w:rPr>
        <w:t xml:space="preserve">       </w:t>
      </w:r>
      <w:r>
        <w:rPr>
          <w:rStyle w:val="32"/>
          <w:color w:val="auto"/>
          <w:highlight w:val="none"/>
        </w:rPr>
        <w:t>年</w:t>
      </w:r>
      <w:r>
        <w:rPr>
          <w:rStyle w:val="32"/>
          <w:rFonts w:hint="eastAsia"/>
          <w:color w:val="auto"/>
          <w:highlight w:val="none"/>
          <w:u w:val="single"/>
        </w:rPr>
        <w:t xml:space="preserve">    </w:t>
      </w:r>
      <w:r>
        <w:rPr>
          <w:rStyle w:val="32"/>
          <w:rFonts w:hint="eastAsia"/>
          <w:color w:val="auto"/>
          <w:highlight w:val="none"/>
        </w:rPr>
        <w:t>月</w:t>
      </w:r>
      <w:r>
        <w:rPr>
          <w:rStyle w:val="32"/>
          <w:rFonts w:hint="eastAsia"/>
          <w:color w:val="auto"/>
          <w:highlight w:val="none"/>
          <w:u w:val="single"/>
        </w:rPr>
        <w:t xml:space="preserve">    </w:t>
      </w:r>
      <w:r>
        <w:rPr>
          <w:rStyle w:val="32"/>
          <w:rFonts w:hint="eastAsia"/>
          <w:color w:val="auto"/>
          <w:highlight w:val="none"/>
        </w:rPr>
        <w:t>日</w:t>
      </w:r>
      <w:r>
        <w:rPr>
          <w:rStyle w:val="32"/>
          <w:rFonts w:hint="eastAsia"/>
          <w:color w:val="auto"/>
          <w:highlight w:val="none"/>
          <w:u w:val="single"/>
        </w:rPr>
        <w:t xml:space="preserve">       </w:t>
      </w:r>
    </w:p>
    <w:p w14:paraId="5CD13D88">
      <w:pPr>
        <w:pStyle w:val="95"/>
        <w:pageBreakBefore w:val="0"/>
        <w:kinsoku/>
        <w:wordWrap/>
        <w:overflowPunct/>
        <w:topLinePunct w:val="0"/>
        <w:autoSpaceDE/>
        <w:autoSpaceDN/>
        <w:bidi w:val="0"/>
        <w:adjustRightInd/>
        <w:snapToGrid/>
        <w:textAlignment w:val="auto"/>
        <w:outlineLvl w:val="9"/>
        <w:rPr>
          <w:rStyle w:val="32"/>
          <w:rFonts w:hint="eastAsia" w:ascii="宋体" w:hAnsi="宋体" w:eastAsia="宋体" w:cs="宋体"/>
          <w:b/>
          <w:bCs/>
          <w:color w:val="auto"/>
          <w:sz w:val="28"/>
          <w:szCs w:val="28"/>
          <w:highlight w:val="none"/>
          <w:lang w:eastAsia="zh-CN"/>
        </w:rPr>
      </w:pPr>
      <w:bookmarkStart w:id="1857" w:name="bookmark1916"/>
      <w:bookmarkStart w:id="1858" w:name="_Toc7161"/>
      <w:bookmarkStart w:id="1859" w:name="bookmark1915"/>
      <w:bookmarkStart w:id="1860" w:name="_Toc10532"/>
      <w:bookmarkStart w:id="1861" w:name="_Toc21416"/>
      <w:bookmarkStart w:id="1862" w:name="bookmark1917"/>
      <w:r>
        <w:rPr>
          <w:rStyle w:val="32"/>
          <w:rFonts w:hint="eastAsia" w:ascii="宋体" w:hAnsi="宋体" w:eastAsia="宋体" w:cs="宋体"/>
          <w:b/>
          <w:bCs/>
          <w:color w:val="auto"/>
          <w:sz w:val="28"/>
          <w:szCs w:val="28"/>
          <w:highlight w:val="none"/>
          <w:lang w:eastAsia="zh-CN"/>
        </w:rPr>
        <w:br w:type="page"/>
      </w:r>
      <w:r>
        <w:rPr>
          <w:rStyle w:val="32"/>
          <w:rFonts w:hint="eastAsia" w:ascii="宋体" w:hAnsi="宋体" w:eastAsia="宋体" w:cs="宋体"/>
          <w:b/>
          <w:bCs/>
          <w:color w:val="auto"/>
          <w:sz w:val="28"/>
          <w:szCs w:val="28"/>
          <w:highlight w:val="none"/>
          <w:lang w:eastAsia="zh-CN"/>
        </w:rPr>
        <w:t>附件二：履约保函</w:t>
      </w:r>
      <w:bookmarkEnd w:id="1857"/>
      <w:bookmarkEnd w:id="1858"/>
      <w:bookmarkEnd w:id="1859"/>
      <w:bookmarkEnd w:id="1860"/>
      <w:bookmarkEnd w:id="1861"/>
      <w:bookmarkEnd w:id="1862"/>
    </w:p>
    <w:p w14:paraId="062E54AD">
      <w:pPr>
        <w:pStyle w:val="95"/>
        <w:pageBreakBefore w:val="0"/>
        <w:kinsoku/>
        <w:wordWrap/>
        <w:overflowPunct/>
        <w:topLinePunct w:val="0"/>
        <w:autoSpaceDE/>
        <w:autoSpaceDN/>
        <w:bidi w:val="0"/>
        <w:adjustRightInd/>
        <w:snapToGrid/>
        <w:jc w:val="center"/>
        <w:textAlignment w:val="auto"/>
        <w:outlineLvl w:val="9"/>
        <w:rPr>
          <w:rStyle w:val="32"/>
          <w:rFonts w:hint="eastAsia" w:ascii="宋体" w:hAnsi="宋体" w:eastAsia="宋体" w:cs="宋体"/>
          <w:b/>
          <w:color w:val="auto"/>
          <w:highlight w:val="none"/>
          <w:lang w:eastAsia="zh-CN"/>
        </w:rPr>
      </w:pPr>
      <w:bookmarkStart w:id="1863" w:name="bookmark1920"/>
      <w:bookmarkStart w:id="1864" w:name="bookmark1919"/>
      <w:bookmarkStart w:id="1865" w:name="bookmark1918"/>
    </w:p>
    <w:p w14:paraId="58D06810">
      <w:pPr>
        <w:pStyle w:val="95"/>
        <w:pageBreakBefore w:val="0"/>
        <w:kinsoku/>
        <w:wordWrap/>
        <w:overflowPunct/>
        <w:topLinePunct w:val="0"/>
        <w:autoSpaceDE/>
        <w:autoSpaceDN/>
        <w:bidi w:val="0"/>
        <w:adjustRightInd/>
        <w:snapToGrid/>
        <w:jc w:val="center"/>
        <w:textAlignment w:val="auto"/>
        <w:outlineLvl w:val="9"/>
        <w:rPr>
          <w:rStyle w:val="32"/>
          <w:rFonts w:ascii="宋体" w:hAnsi="宋体" w:eastAsia="宋体" w:cs="宋体"/>
          <w:b/>
          <w:color w:val="auto"/>
          <w:highlight w:val="none"/>
          <w:lang w:eastAsia="zh-CN"/>
        </w:rPr>
      </w:pPr>
      <w:r>
        <w:rPr>
          <w:rStyle w:val="32"/>
          <w:rFonts w:hint="eastAsia" w:ascii="宋体" w:hAnsi="宋体" w:eastAsia="宋体" w:cs="宋体"/>
          <w:b/>
          <w:color w:val="auto"/>
          <w:highlight w:val="none"/>
          <w:lang w:eastAsia="zh-CN"/>
        </w:rPr>
        <w:t>履约保函</w:t>
      </w:r>
      <w:bookmarkEnd w:id="1863"/>
      <w:bookmarkEnd w:id="1864"/>
      <w:bookmarkEnd w:id="1865"/>
    </w:p>
    <w:p w14:paraId="7F0928B3">
      <w:pPr>
        <w:pStyle w:val="95"/>
        <w:pageBreakBefore w:val="0"/>
        <w:kinsoku/>
        <w:wordWrap/>
        <w:overflowPunct/>
        <w:topLinePunct w:val="0"/>
        <w:autoSpaceDE/>
        <w:autoSpaceDN/>
        <w:bidi w:val="0"/>
        <w:adjustRightInd/>
        <w:snapToGrid/>
        <w:jc w:val="center"/>
        <w:textAlignment w:val="auto"/>
        <w:outlineLvl w:val="9"/>
        <w:rPr>
          <w:rStyle w:val="32"/>
          <w:rFonts w:ascii="宋体" w:hAnsi="宋体" w:eastAsia="宋体" w:cs="宋体"/>
          <w:b/>
          <w:color w:val="auto"/>
          <w:highlight w:val="none"/>
          <w:lang w:eastAsia="zh-CN"/>
        </w:rPr>
      </w:pPr>
    </w:p>
    <w:p w14:paraId="6389914C">
      <w:pPr>
        <w:pStyle w:val="95"/>
        <w:pageBreakBefore w:val="0"/>
        <w:kinsoku/>
        <w:wordWrap/>
        <w:overflowPunct/>
        <w:topLinePunct w:val="0"/>
        <w:autoSpaceDE/>
        <w:autoSpaceDN/>
        <w:bidi w:val="0"/>
        <w:adjustRightInd/>
        <w:snapToGrid/>
        <w:jc w:val="center"/>
        <w:textAlignment w:val="auto"/>
        <w:outlineLvl w:val="9"/>
        <w:rPr>
          <w:rStyle w:val="32"/>
          <w:rFonts w:ascii="Times New Roman" w:hAnsi="Times New Roman" w:cs="Times New Roman"/>
          <w:b/>
          <w:color w:val="auto"/>
          <w:highlight w:val="none"/>
          <w:lang w:eastAsia="zh-CN"/>
        </w:rPr>
      </w:pPr>
    </w:p>
    <w:p w14:paraId="6002ED82">
      <w:pPr>
        <w:pStyle w:val="97"/>
        <w:pageBreakBefore w:val="0"/>
        <w:tabs>
          <w:tab w:val="left" w:pos="1870"/>
        </w:tabs>
        <w:kinsoku/>
        <w:wordWrap/>
        <w:overflowPunct/>
        <w:topLinePunct w:val="0"/>
        <w:autoSpaceDE/>
        <w:autoSpaceDN/>
        <w:bidi w:val="0"/>
        <w:adjustRightInd/>
        <w:snapToGrid/>
        <w:spacing w:after="340"/>
        <w:ind w:firstLine="0"/>
        <w:jc w:val="both"/>
        <w:textAlignment w:val="auto"/>
        <w:outlineLvl w:val="9"/>
        <w:rPr>
          <w:rStyle w:val="32"/>
          <w:color w:val="auto"/>
          <w:highlight w:val="none"/>
        </w:rPr>
      </w:pPr>
      <w:r>
        <w:rPr>
          <w:rStyle w:val="32"/>
          <w:color w:val="auto"/>
          <w:highlight w:val="none"/>
          <w:u w:val="single"/>
        </w:rPr>
        <w:tab/>
      </w:r>
      <w:r>
        <w:rPr>
          <w:rStyle w:val="32"/>
          <w:color w:val="auto"/>
          <w:highlight w:val="none"/>
        </w:rPr>
        <w:t>（发包人名称）：</w:t>
      </w:r>
    </w:p>
    <w:p w14:paraId="6AE31060">
      <w:pPr>
        <w:pStyle w:val="97"/>
        <w:pageBreakBefore w:val="0"/>
        <w:tabs>
          <w:tab w:val="left" w:pos="847"/>
          <w:tab w:val="left" w:pos="1870"/>
          <w:tab w:val="left" w:pos="3485"/>
          <w:tab w:val="left" w:pos="3554"/>
          <w:tab w:val="left" w:pos="6878"/>
          <w:tab w:val="left" w:pos="8059"/>
        </w:tabs>
        <w:kinsoku/>
        <w:wordWrap/>
        <w:overflowPunct/>
        <w:topLinePunct w:val="0"/>
        <w:autoSpaceDE/>
        <w:autoSpaceDN/>
        <w:bidi w:val="0"/>
        <w:adjustRightInd/>
        <w:snapToGrid/>
        <w:ind w:firstLine="420"/>
        <w:jc w:val="both"/>
        <w:textAlignment w:val="auto"/>
        <w:outlineLvl w:val="9"/>
        <w:rPr>
          <w:rStyle w:val="32"/>
          <w:color w:val="auto"/>
          <w:highlight w:val="none"/>
        </w:rPr>
      </w:pPr>
      <w:r>
        <w:rPr>
          <w:rStyle w:val="32"/>
          <w:color w:val="auto"/>
          <w:highlight w:val="none"/>
        </w:rPr>
        <w:t>鉴于</w:t>
      </w:r>
      <w:r>
        <w:rPr>
          <w:rStyle w:val="32"/>
          <w:color w:val="auto"/>
          <w:highlight w:val="none"/>
          <w:u w:val="single"/>
        </w:rPr>
        <w:tab/>
      </w:r>
      <w:r>
        <w:rPr>
          <w:rStyle w:val="32"/>
          <w:color w:val="auto"/>
          <w:highlight w:val="none"/>
        </w:rPr>
        <w:t xml:space="preserve">（发包人名称，以下简称“发包人”）接受 </w:t>
      </w:r>
      <w:r>
        <w:rPr>
          <w:rStyle w:val="32"/>
          <w:color w:val="auto"/>
          <w:highlight w:val="none"/>
          <w:u w:val="single"/>
        </w:rPr>
        <w:tab/>
      </w:r>
      <w:r>
        <w:rPr>
          <w:rStyle w:val="32"/>
          <w:color w:val="auto"/>
          <w:highlight w:val="none"/>
        </w:rPr>
        <w:t>（承包人名称，以下称“承包人”）于</w:t>
      </w:r>
      <w:r>
        <w:rPr>
          <w:rStyle w:val="32"/>
          <w:rFonts w:hint="eastAsia"/>
          <w:color w:val="auto"/>
          <w:highlight w:val="none"/>
          <w:u w:val="single"/>
        </w:rPr>
        <w:t xml:space="preserve">          </w:t>
      </w:r>
      <w:r>
        <w:rPr>
          <w:rStyle w:val="32"/>
          <w:color w:val="auto"/>
          <w:highlight w:val="none"/>
        </w:rPr>
        <w:t>年</w:t>
      </w:r>
      <w:r>
        <w:rPr>
          <w:rStyle w:val="32"/>
          <w:rFonts w:hint="eastAsia"/>
          <w:color w:val="auto"/>
          <w:highlight w:val="none"/>
          <w:u w:val="single"/>
        </w:rPr>
        <w:t xml:space="preserve">       </w:t>
      </w:r>
      <w:r>
        <w:rPr>
          <w:rStyle w:val="32"/>
          <w:color w:val="auto"/>
          <w:highlight w:val="none"/>
        </w:rPr>
        <w:t xml:space="preserve">月 </w:t>
      </w:r>
      <w:r>
        <w:rPr>
          <w:rStyle w:val="32"/>
          <w:color w:val="auto"/>
          <w:highlight w:val="none"/>
          <w:u w:val="single"/>
        </w:rPr>
        <w:tab/>
      </w:r>
      <w:r>
        <w:rPr>
          <w:rStyle w:val="32"/>
          <w:color w:val="auto"/>
          <w:highlight w:val="none"/>
        </w:rPr>
        <w:t>日递交的（项目名称）</w:t>
      </w:r>
      <w:r>
        <w:rPr>
          <w:rStyle w:val="32"/>
          <w:rFonts w:hint="eastAsia"/>
          <w:color w:val="auto"/>
          <w:highlight w:val="none"/>
          <w:u w:val="single"/>
        </w:rPr>
        <w:t xml:space="preserve">             </w:t>
      </w:r>
      <w:r>
        <w:rPr>
          <w:rStyle w:val="32"/>
          <w:color w:val="auto"/>
          <w:highlight w:val="none"/>
        </w:rPr>
        <w:t>（标段名称）的投标文件。我方愿意无条件地、不可撤销地就承包人履行与你方订立的合同，向你方提供担保。</w:t>
      </w:r>
    </w:p>
    <w:p w14:paraId="77A927E7">
      <w:pPr>
        <w:pStyle w:val="97"/>
        <w:pageBreakBefore w:val="0"/>
        <w:numPr>
          <w:ilvl w:val="0"/>
          <w:numId w:val="51"/>
        </w:numPr>
        <w:tabs>
          <w:tab w:val="left" w:pos="733"/>
          <w:tab w:val="left" w:pos="4879"/>
          <w:tab w:val="left" w:pos="7402"/>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66" w:name="bookmark1921"/>
      <w:bookmarkEnd w:id="1866"/>
      <w:r>
        <w:rPr>
          <w:rStyle w:val="32"/>
          <w:color w:val="auto"/>
          <w:highlight w:val="none"/>
        </w:rPr>
        <w:t>担保金额人民币（大写）</w:t>
      </w:r>
      <w:r>
        <w:rPr>
          <w:rStyle w:val="32"/>
          <w:color w:val="auto"/>
          <w:highlight w:val="none"/>
          <w:u w:val="single"/>
        </w:rPr>
        <w:tab/>
      </w:r>
      <w:r>
        <w:rPr>
          <w:rStyle w:val="32"/>
          <w:color w:val="auto"/>
          <w:highlight w:val="none"/>
        </w:rPr>
        <w:t>元（¥</w:t>
      </w:r>
      <w:r>
        <w:rPr>
          <w:rStyle w:val="32"/>
          <w:color w:val="auto"/>
          <w:highlight w:val="none"/>
          <w:u w:val="single"/>
        </w:rPr>
        <w:tab/>
      </w:r>
      <w:r>
        <w:rPr>
          <w:rStyle w:val="32"/>
          <w:rFonts w:hint="eastAsia" w:ascii="Times New Roman" w:hAnsi="Times New Roman" w:cs="Times New Roman"/>
          <w:color w:val="auto"/>
          <w:highlight w:val="none"/>
          <w:lang w:val="en-US" w:bidi="en-US"/>
        </w:rPr>
        <w:t>元）</w:t>
      </w:r>
      <w:r>
        <w:rPr>
          <w:rStyle w:val="32"/>
          <w:rFonts w:ascii="Times New Roman" w:hAnsi="Times New Roman" w:eastAsia="Times New Roman" w:cs="Times New Roman"/>
          <w:color w:val="auto"/>
          <w:highlight w:val="none"/>
          <w:vertAlign w:val="subscript"/>
          <w:lang w:val="en-US" w:bidi="en-US"/>
        </w:rPr>
        <w:t>o</w:t>
      </w:r>
    </w:p>
    <w:p w14:paraId="2D02AADE">
      <w:pPr>
        <w:pStyle w:val="97"/>
        <w:pageBreakBefore w:val="0"/>
        <w:numPr>
          <w:ilvl w:val="0"/>
          <w:numId w:val="51"/>
        </w:numPr>
        <w:tabs>
          <w:tab w:val="left" w:pos="697"/>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67" w:name="bookmark1922"/>
      <w:bookmarkEnd w:id="1867"/>
      <w:r>
        <w:rPr>
          <w:rStyle w:val="32"/>
          <w:color w:val="auto"/>
          <w:highlight w:val="none"/>
        </w:rPr>
        <w:t>担保有效期自发包人与承包人签订的合同生效之日起至发包人签发工程完工证书之日止。</w:t>
      </w:r>
    </w:p>
    <w:p w14:paraId="6331597F">
      <w:pPr>
        <w:pStyle w:val="97"/>
        <w:pageBreakBefore w:val="0"/>
        <w:numPr>
          <w:ilvl w:val="0"/>
          <w:numId w:val="51"/>
        </w:numPr>
        <w:tabs>
          <w:tab w:val="left" w:pos="736"/>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68" w:name="bookmark1923"/>
      <w:bookmarkEnd w:id="1868"/>
      <w:r>
        <w:rPr>
          <w:rStyle w:val="32"/>
          <w:color w:val="auto"/>
          <w:highlight w:val="none"/>
        </w:rPr>
        <w:t>在本担保有效期内，因承包人违反合同约定的义务给你方造成经济损失时，我方在收到你方以书面形式提出的在担保金额内的赔偿要求后，无条件地在</w:t>
      </w:r>
      <w:r>
        <w:rPr>
          <w:rStyle w:val="32"/>
          <w:rFonts w:ascii="Times New Roman" w:hAnsi="Times New Roman" w:eastAsia="Times New Roman" w:cs="Times New Roman"/>
          <w:color w:val="auto"/>
          <w:highlight w:val="none"/>
        </w:rPr>
        <w:t>7</w:t>
      </w:r>
      <w:r>
        <w:rPr>
          <w:rStyle w:val="32"/>
          <w:color w:val="auto"/>
          <w:highlight w:val="none"/>
        </w:rPr>
        <w:t>天内予以支付。</w:t>
      </w:r>
    </w:p>
    <w:p w14:paraId="1C9FF91D">
      <w:pPr>
        <w:pStyle w:val="97"/>
        <w:pageBreakBefore w:val="0"/>
        <w:numPr>
          <w:ilvl w:val="0"/>
          <w:numId w:val="51"/>
        </w:numPr>
        <w:tabs>
          <w:tab w:val="left" w:pos="740"/>
        </w:tabs>
        <w:kinsoku/>
        <w:wordWrap/>
        <w:overflowPunct/>
        <w:topLinePunct w:val="0"/>
        <w:autoSpaceDE/>
        <w:autoSpaceDN/>
        <w:bidi w:val="0"/>
        <w:adjustRightInd/>
        <w:snapToGrid/>
        <w:spacing w:after="340"/>
        <w:ind w:firstLine="420"/>
        <w:jc w:val="both"/>
        <w:textAlignment w:val="auto"/>
        <w:outlineLvl w:val="9"/>
        <w:rPr>
          <w:rStyle w:val="32"/>
          <w:color w:val="auto"/>
          <w:highlight w:val="none"/>
        </w:rPr>
      </w:pPr>
      <w:bookmarkStart w:id="1869" w:name="bookmark1924"/>
      <w:bookmarkEnd w:id="1869"/>
      <w:r>
        <w:rPr>
          <w:rStyle w:val="32"/>
          <w:color w:val="auto"/>
          <w:highlight w:val="none"/>
        </w:rPr>
        <w:t>发包人和承包人按《通用合同条款》第</w:t>
      </w:r>
      <w:r>
        <w:rPr>
          <w:rStyle w:val="32"/>
          <w:rFonts w:ascii="Times New Roman" w:hAnsi="Times New Roman" w:eastAsia="Times New Roman" w:cs="Times New Roman"/>
          <w:color w:val="auto"/>
          <w:highlight w:val="none"/>
        </w:rPr>
        <w:t>15</w:t>
      </w:r>
      <w:r>
        <w:rPr>
          <w:rStyle w:val="32"/>
          <w:color w:val="auto"/>
          <w:highlight w:val="none"/>
        </w:rPr>
        <w:t>条变更合同时，我方承担本担保规定的义务不变</w:t>
      </w:r>
      <w:r>
        <w:rPr>
          <w:rStyle w:val="32"/>
          <w:rFonts w:hint="eastAsia"/>
          <w:color w:val="auto"/>
          <w:highlight w:val="none"/>
        </w:rPr>
        <w:t>。</w:t>
      </w:r>
    </w:p>
    <w:p w14:paraId="55DA7CDA">
      <w:pPr>
        <w:pStyle w:val="97"/>
        <w:pageBreakBefore w:val="0"/>
        <w:tabs>
          <w:tab w:val="left" w:pos="740"/>
        </w:tabs>
        <w:kinsoku/>
        <w:wordWrap/>
        <w:overflowPunct/>
        <w:topLinePunct w:val="0"/>
        <w:autoSpaceDE/>
        <w:autoSpaceDN/>
        <w:bidi w:val="0"/>
        <w:adjustRightInd/>
        <w:snapToGrid/>
        <w:spacing w:after="340"/>
        <w:ind w:firstLine="0"/>
        <w:jc w:val="both"/>
        <w:textAlignment w:val="auto"/>
        <w:outlineLvl w:val="9"/>
        <w:rPr>
          <w:rStyle w:val="32"/>
          <w:color w:val="auto"/>
          <w:highlight w:val="none"/>
        </w:rPr>
      </w:pPr>
    </w:p>
    <w:p w14:paraId="3DCBF097">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担  保 人：</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（盖单位章）</w:t>
      </w:r>
      <w:r>
        <w:rPr>
          <w:rStyle w:val="32"/>
          <w:rFonts w:ascii="Times New Roman" w:hAnsi="Times New Roman" w:cs="Times New Roman"/>
          <w:color w:val="auto"/>
          <w:sz w:val="20"/>
          <w:highlight w:val="none"/>
          <w:lang w:eastAsia="zh-CN"/>
        </w:rPr>
        <w:t xml:space="preserve"> </w:t>
      </w:r>
    </w:p>
    <w:p w14:paraId="3DF3C664">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定代表人(或委托代理人)：</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（签字）</w:t>
      </w:r>
    </w:p>
    <w:p w14:paraId="7261F391">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地       址：</w:t>
      </w:r>
      <w:r>
        <w:rPr>
          <w:rStyle w:val="32"/>
          <w:rFonts w:hint="eastAsia" w:ascii="Times New Roman" w:hAnsi="Times New Roman" w:eastAsia="宋体" w:cs="Times New Roman"/>
          <w:color w:val="auto"/>
          <w:sz w:val="20"/>
          <w:highlight w:val="none"/>
          <w:u w:val="single"/>
          <w:lang w:eastAsia="zh-CN"/>
        </w:rPr>
        <w:t xml:space="preserve">                </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 xml:space="preserve"> </w:t>
      </w:r>
    </w:p>
    <w:p w14:paraId="29718CF8">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邮政编码：</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 xml:space="preserve"> </w:t>
      </w:r>
    </w:p>
    <w:p w14:paraId="129932E7">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u w:val="single"/>
          <w:lang w:eastAsia="zh-CN"/>
        </w:rPr>
      </w:pPr>
      <w:r>
        <w:rPr>
          <w:rStyle w:val="32"/>
          <w:rFonts w:hint="eastAsia" w:ascii="Times New Roman" w:hAnsi="Times New Roman" w:eastAsia="宋体" w:cs="Times New Roman"/>
          <w:color w:val="auto"/>
          <w:sz w:val="20"/>
          <w:highlight w:val="none"/>
          <w:lang w:eastAsia="zh-CN"/>
        </w:rPr>
        <w:t xml:space="preserve">        电        话：</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p>
    <w:p w14:paraId="6CD9F4D1">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传        真：</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p>
    <w:p w14:paraId="59822A66">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highlight w:val="none"/>
          <w:lang w:eastAsia="zh-CN"/>
        </w:rPr>
      </w:pP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年</w:t>
      </w: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月</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 xml:space="preserve">日 </w:t>
      </w:r>
      <w:r>
        <w:rPr>
          <w:rStyle w:val="32"/>
          <w:rFonts w:hint="eastAsia" w:ascii="Times New Roman" w:hAnsi="Times New Roman" w:eastAsia="宋体" w:cs="Times New Roman"/>
          <w:color w:val="auto"/>
          <w:highlight w:val="none"/>
          <w:lang w:eastAsia="zh-CN"/>
        </w:rPr>
        <w:t xml:space="preserve">    </w:t>
      </w:r>
    </w:p>
    <w:p w14:paraId="593A8705">
      <w:pPr>
        <w:pStyle w:val="95"/>
        <w:pageBreakBefore w:val="0"/>
        <w:kinsoku/>
        <w:wordWrap/>
        <w:overflowPunct/>
        <w:topLinePunct w:val="0"/>
        <w:autoSpaceDE/>
        <w:autoSpaceDN/>
        <w:bidi w:val="0"/>
        <w:adjustRightInd/>
        <w:snapToGrid/>
        <w:textAlignment w:val="auto"/>
        <w:outlineLvl w:val="9"/>
        <w:rPr>
          <w:rStyle w:val="32"/>
          <w:rFonts w:hint="eastAsia" w:ascii="宋体" w:hAnsi="宋体" w:eastAsia="宋体" w:cs="宋体"/>
          <w:color w:val="auto"/>
          <w:sz w:val="20"/>
          <w:szCs w:val="20"/>
          <w:highlight w:val="none"/>
          <w:lang w:val="zh-CN" w:eastAsia="zh-CN" w:bidi="zh-CN"/>
        </w:rPr>
      </w:pPr>
    </w:p>
    <w:p w14:paraId="39CA853B">
      <w:pPr>
        <w:pStyle w:val="95"/>
        <w:pageBreakBefore w:val="0"/>
        <w:kinsoku/>
        <w:wordWrap/>
        <w:overflowPunct/>
        <w:topLinePunct w:val="0"/>
        <w:autoSpaceDE/>
        <w:autoSpaceDN/>
        <w:bidi w:val="0"/>
        <w:adjustRightInd/>
        <w:snapToGrid/>
        <w:textAlignment w:val="auto"/>
        <w:outlineLvl w:val="9"/>
        <w:rPr>
          <w:rStyle w:val="32"/>
          <w:rFonts w:hint="eastAsia" w:ascii="宋体" w:hAnsi="宋体" w:eastAsia="宋体" w:cs="宋体"/>
          <w:color w:val="auto"/>
          <w:sz w:val="20"/>
          <w:szCs w:val="20"/>
          <w:highlight w:val="none"/>
          <w:lang w:val="zh-CN" w:eastAsia="zh-CN" w:bidi="zh-CN"/>
        </w:rPr>
      </w:pPr>
    </w:p>
    <w:p w14:paraId="4CA71D5C">
      <w:pPr>
        <w:pStyle w:val="95"/>
        <w:pageBreakBefore w:val="0"/>
        <w:kinsoku/>
        <w:wordWrap/>
        <w:overflowPunct/>
        <w:topLinePunct w:val="0"/>
        <w:autoSpaceDE/>
        <w:autoSpaceDN/>
        <w:bidi w:val="0"/>
        <w:adjustRightInd/>
        <w:snapToGrid/>
        <w:textAlignment w:val="auto"/>
        <w:outlineLvl w:val="9"/>
        <w:rPr>
          <w:rStyle w:val="32"/>
          <w:rFonts w:hint="eastAsia" w:ascii="宋体" w:hAnsi="宋体" w:eastAsia="宋体" w:cs="宋体"/>
          <w:color w:val="auto"/>
          <w:sz w:val="20"/>
          <w:szCs w:val="20"/>
          <w:highlight w:val="none"/>
          <w:lang w:val="zh-CN" w:eastAsia="zh-CN" w:bidi="zh-CN"/>
        </w:rPr>
      </w:pPr>
    </w:p>
    <w:p w14:paraId="3244A6DB">
      <w:pPr>
        <w:pStyle w:val="95"/>
        <w:pageBreakBefore w:val="0"/>
        <w:kinsoku/>
        <w:wordWrap/>
        <w:overflowPunct/>
        <w:topLinePunct w:val="0"/>
        <w:autoSpaceDE/>
        <w:autoSpaceDN/>
        <w:bidi w:val="0"/>
        <w:adjustRightInd/>
        <w:snapToGrid/>
        <w:textAlignment w:val="auto"/>
        <w:outlineLvl w:val="9"/>
        <w:rPr>
          <w:rStyle w:val="32"/>
          <w:rFonts w:ascii="宋体" w:hAnsi="宋体" w:eastAsia="宋体" w:cs="宋体"/>
          <w:color w:val="auto"/>
          <w:sz w:val="20"/>
          <w:szCs w:val="20"/>
          <w:highlight w:val="none"/>
          <w:lang w:val="zh-CN" w:eastAsia="zh-CN" w:bidi="zh-CN"/>
        </w:rPr>
      </w:pPr>
      <w:r>
        <w:rPr>
          <w:rStyle w:val="32"/>
          <w:rFonts w:hint="eastAsia" w:ascii="宋体" w:hAnsi="宋体" w:eastAsia="宋体" w:cs="宋体"/>
          <w:color w:val="auto"/>
          <w:sz w:val="20"/>
          <w:szCs w:val="20"/>
          <w:highlight w:val="none"/>
          <w:lang w:val="zh-CN" w:eastAsia="zh-CN" w:bidi="zh-CN"/>
        </w:rPr>
        <w:t>注：</w:t>
      </w:r>
    </w:p>
    <w:p w14:paraId="692F7726">
      <w:pPr>
        <w:pStyle w:val="97"/>
        <w:pageBreakBefore w:val="0"/>
        <w:numPr>
          <w:ilvl w:val="0"/>
          <w:numId w:val="52"/>
        </w:numPr>
        <w:tabs>
          <w:tab w:val="left" w:pos="733"/>
        </w:tabs>
        <w:kinsoku/>
        <w:wordWrap/>
        <w:overflowPunct/>
        <w:topLinePunct w:val="0"/>
        <w:autoSpaceDE/>
        <w:autoSpaceDN/>
        <w:bidi w:val="0"/>
        <w:adjustRightInd/>
        <w:snapToGrid/>
        <w:spacing w:line="354" w:lineRule="exact"/>
        <w:ind w:firstLine="420"/>
        <w:jc w:val="both"/>
        <w:textAlignment w:val="auto"/>
        <w:outlineLvl w:val="9"/>
        <w:rPr>
          <w:rStyle w:val="32"/>
          <w:color w:val="auto"/>
          <w:highlight w:val="none"/>
        </w:rPr>
      </w:pPr>
      <w:bookmarkStart w:id="1870" w:name="bookmark1925"/>
      <w:bookmarkEnd w:id="1870"/>
      <w:r>
        <w:rPr>
          <w:rStyle w:val="32"/>
          <w:color w:val="auto"/>
          <w:highlight w:val="none"/>
        </w:rPr>
        <w:t>担保人必须是投标人单位基本账户的开户银行。</w:t>
      </w:r>
    </w:p>
    <w:p w14:paraId="0DAAED02">
      <w:pPr>
        <w:pStyle w:val="97"/>
        <w:pageBreakBefore w:val="0"/>
        <w:numPr>
          <w:ilvl w:val="0"/>
          <w:numId w:val="52"/>
        </w:numPr>
        <w:tabs>
          <w:tab w:val="left" w:pos="750"/>
        </w:tabs>
        <w:kinsoku/>
        <w:wordWrap/>
        <w:overflowPunct/>
        <w:topLinePunct w:val="0"/>
        <w:autoSpaceDE/>
        <w:autoSpaceDN/>
        <w:bidi w:val="0"/>
        <w:adjustRightInd/>
        <w:snapToGrid/>
        <w:spacing w:after="340" w:line="354" w:lineRule="exact"/>
        <w:ind w:firstLine="420"/>
        <w:jc w:val="both"/>
        <w:textAlignment w:val="auto"/>
        <w:outlineLvl w:val="9"/>
        <w:rPr>
          <w:rStyle w:val="32"/>
          <w:rFonts w:hint="eastAsia"/>
          <w:color w:val="auto"/>
          <w:highlight w:val="none"/>
        </w:rPr>
      </w:pPr>
      <w:bookmarkStart w:id="1871" w:name="bookmark1926"/>
      <w:bookmarkEnd w:id="1871"/>
      <w:r>
        <w:rPr>
          <w:rStyle w:val="32"/>
          <w:color w:val="auto"/>
          <w:highlight w:val="none"/>
        </w:rPr>
        <w:t>委托代理人应附授权委托书。</w:t>
      </w:r>
      <w:bookmarkStart w:id="1872" w:name="bookmark1929"/>
      <w:bookmarkStart w:id="1873" w:name="_Toc4188"/>
      <w:bookmarkStart w:id="1874" w:name="bookmark1928"/>
      <w:bookmarkStart w:id="1875" w:name="_Toc21423"/>
      <w:bookmarkStart w:id="1876" w:name="bookmark1927"/>
    </w:p>
    <w:p w14:paraId="30264E5B">
      <w:pPr>
        <w:pStyle w:val="95"/>
        <w:pageBreakBefore w:val="0"/>
        <w:kinsoku/>
        <w:wordWrap/>
        <w:overflowPunct/>
        <w:topLinePunct w:val="0"/>
        <w:autoSpaceDE/>
        <w:autoSpaceDN/>
        <w:bidi w:val="0"/>
        <w:adjustRightInd/>
        <w:snapToGrid/>
        <w:textAlignment w:val="auto"/>
        <w:outlineLvl w:val="9"/>
        <w:rPr>
          <w:rStyle w:val="32"/>
          <w:rFonts w:hint="eastAsia" w:ascii="宋体" w:hAnsi="宋体" w:eastAsia="宋体" w:cs="宋体"/>
          <w:b/>
          <w:bCs/>
          <w:color w:val="auto"/>
          <w:sz w:val="28"/>
          <w:szCs w:val="28"/>
          <w:highlight w:val="none"/>
          <w:lang w:eastAsia="zh-CN"/>
        </w:rPr>
      </w:pPr>
      <w:bookmarkStart w:id="1877" w:name="_Toc25045"/>
      <w:r>
        <w:rPr>
          <w:rStyle w:val="32"/>
          <w:rFonts w:hint="eastAsia" w:ascii="宋体" w:hAnsi="宋体" w:eastAsia="宋体" w:cs="宋体"/>
          <w:b/>
          <w:bCs/>
          <w:color w:val="auto"/>
          <w:sz w:val="28"/>
          <w:szCs w:val="28"/>
          <w:highlight w:val="none"/>
          <w:lang w:eastAsia="zh-CN"/>
        </w:rPr>
        <w:br w:type="page"/>
      </w:r>
      <w:r>
        <w:rPr>
          <w:rStyle w:val="32"/>
          <w:rFonts w:hint="eastAsia" w:ascii="宋体" w:hAnsi="宋体" w:eastAsia="宋体" w:cs="宋体"/>
          <w:b/>
          <w:bCs/>
          <w:color w:val="auto"/>
          <w:sz w:val="28"/>
          <w:szCs w:val="28"/>
          <w:highlight w:val="none"/>
          <w:lang w:eastAsia="zh-CN"/>
        </w:rPr>
        <w:t>附件三：预付款担保函</w:t>
      </w:r>
      <w:bookmarkEnd w:id="1872"/>
      <w:bookmarkEnd w:id="1873"/>
      <w:bookmarkEnd w:id="1874"/>
      <w:bookmarkEnd w:id="1875"/>
      <w:bookmarkEnd w:id="1876"/>
      <w:bookmarkEnd w:id="1877"/>
    </w:p>
    <w:p w14:paraId="29ABF59C">
      <w:pPr>
        <w:pStyle w:val="95"/>
        <w:pageBreakBefore w:val="0"/>
        <w:kinsoku/>
        <w:wordWrap/>
        <w:overflowPunct/>
        <w:topLinePunct w:val="0"/>
        <w:autoSpaceDE/>
        <w:autoSpaceDN/>
        <w:bidi w:val="0"/>
        <w:adjustRightInd/>
        <w:snapToGrid/>
        <w:spacing w:before="120" w:beforeLines="50"/>
        <w:jc w:val="center"/>
        <w:textAlignment w:val="auto"/>
        <w:outlineLvl w:val="9"/>
        <w:rPr>
          <w:rStyle w:val="32"/>
          <w:rFonts w:ascii="宋体" w:hAnsi="宋体" w:eastAsia="宋体" w:cs="宋体"/>
          <w:b/>
          <w:color w:val="auto"/>
          <w:highlight w:val="none"/>
          <w:lang w:eastAsia="zh-CN"/>
        </w:rPr>
      </w:pPr>
      <w:bookmarkStart w:id="1878" w:name="bookmark1931"/>
      <w:bookmarkStart w:id="1879" w:name="bookmark1932"/>
      <w:bookmarkStart w:id="1880" w:name="bookmark1930"/>
      <w:r>
        <w:rPr>
          <w:rStyle w:val="32"/>
          <w:rFonts w:hint="eastAsia" w:ascii="宋体" w:hAnsi="宋体" w:eastAsia="宋体" w:cs="宋体"/>
          <w:b/>
          <w:color w:val="auto"/>
          <w:highlight w:val="none"/>
          <w:lang w:eastAsia="zh-CN"/>
        </w:rPr>
        <w:t>预付款担保函</w:t>
      </w:r>
      <w:bookmarkEnd w:id="1878"/>
      <w:bookmarkEnd w:id="1879"/>
      <w:bookmarkEnd w:id="1880"/>
    </w:p>
    <w:p w14:paraId="6034A3F3">
      <w:pPr>
        <w:pStyle w:val="95"/>
        <w:pageBreakBefore w:val="0"/>
        <w:kinsoku/>
        <w:wordWrap/>
        <w:overflowPunct/>
        <w:topLinePunct w:val="0"/>
        <w:autoSpaceDE/>
        <w:autoSpaceDN/>
        <w:bidi w:val="0"/>
        <w:adjustRightInd/>
        <w:snapToGrid/>
        <w:jc w:val="center"/>
        <w:textAlignment w:val="auto"/>
        <w:outlineLvl w:val="9"/>
        <w:rPr>
          <w:rStyle w:val="32"/>
          <w:rFonts w:ascii="Times New Roman" w:hAnsi="Times New Roman" w:cs="Times New Roman"/>
          <w:b/>
          <w:color w:val="auto"/>
          <w:highlight w:val="none"/>
          <w:lang w:eastAsia="zh-CN"/>
        </w:rPr>
      </w:pPr>
    </w:p>
    <w:p w14:paraId="3F4D97CA">
      <w:pPr>
        <w:pStyle w:val="97"/>
        <w:pageBreakBefore w:val="0"/>
        <w:tabs>
          <w:tab w:val="left" w:pos="1870"/>
        </w:tabs>
        <w:kinsoku/>
        <w:wordWrap/>
        <w:overflowPunct/>
        <w:topLinePunct w:val="0"/>
        <w:autoSpaceDE/>
        <w:autoSpaceDN/>
        <w:bidi w:val="0"/>
        <w:adjustRightInd/>
        <w:snapToGrid/>
        <w:spacing w:after="340"/>
        <w:ind w:firstLine="0"/>
        <w:jc w:val="both"/>
        <w:textAlignment w:val="auto"/>
        <w:outlineLvl w:val="9"/>
        <w:rPr>
          <w:rStyle w:val="32"/>
          <w:color w:val="auto"/>
          <w:highlight w:val="none"/>
        </w:rPr>
      </w:pPr>
      <w:r>
        <w:rPr>
          <w:rStyle w:val="32"/>
          <w:color w:val="auto"/>
          <w:highlight w:val="none"/>
          <w:u w:val="single"/>
        </w:rPr>
        <w:tab/>
      </w:r>
      <w:r>
        <w:rPr>
          <w:rStyle w:val="32"/>
          <w:color w:val="auto"/>
          <w:highlight w:val="none"/>
        </w:rPr>
        <w:t>（发包人名称）:</w:t>
      </w:r>
    </w:p>
    <w:p w14:paraId="511347FD">
      <w:pPr>
        <w:pStyle w:val="97"/>
        <w:pageBreakBefore w:val="0"/>
        <w:tabs>
          <w:tab w:val="left" w:pos="1870"/>
          <w:tab w:val="left" w:pos="2707"/>
          <w:tab w:val="left" w:pos="5004"/>
          <w:tab w:val="left" w:pos="5033"/>
          <w:tab w:val="left" w:pos="6163"/>
          <w:tab w:val="left" w:pos="7322"/>
          <w:tab w:val="left" w:pos="8333"/>
        </w:tabs>
        <w:kinsoku/>
        <w:wordWrap/>
        <w:overflowPunct/>
        <w:topLinePunct w:val="0"/>
        <w:autoSpaceDE/>
        <w:autoSpaceDN/>
        <w:bidi w:val="0"/>
        <w:adjustRightInd/>
        <w:snapToGrid/>
        <w:spacing w:after="120"/>
        <w:ind w:firstLine="420"/>
        <w:jc w:val="both"/>
        <w:textAlignment w:val="auto"/>
        <w:outlineLvl w:val="9"/>
        <w:rPr>
          <w:rStyle w:val="32"/>
          <w:color w:val="auto"/>
          <w:highlight w:val="none"/>
        </w:rPr>
      </w:pPr>
      <w:r>
        <w:rPr>
          <w:rStyle w:val="32"/>
          <w:color w:val="auto"/>
          <w:highlight w:val="none"/>
        </w:rPr>
        <w:t>根据</w:t>
      </w:r>
      <w:r>
        <w:rPr>
          <w:rStyle w:val="32"/>
          <w:color w:val="auto"/>
          <w:highlight w:val="none"/>
          <w:u w:val="single"/>
        </w:rPr>
        <w:tab/>
      </w:r>
      <w:r>
        <w:rPr>
          <w:rStyle w:val="32"/>
          <w:color w:val="auto"/>
          <w:highlight w:val="none"/>
        </w:rPr>
        <w:t>（承包人名称，以下称“承包人”）与</w:t>
      </w:r>
      <w:r>
        <w:rPr>
          <w:rStyle w:val="32"/>
          <w:color w:val="auto"/>
          <w:highlight w:val="none"/>
          <w:u w:val="single"/>
        </w:rPr>
        <w:tab/>
      </w:r>
      <w:r>
        <w:rPr>
          <w:rStyle w:val="32"/>
          <w:color w:val="auto"/>
          <w:highlight w:val="none"/>
        </w:rPr>
        <w:t xml:space="preserve"> （发包人名称，以下简称“发包人”）于</w:t>
      </w:r>
      <w:r>
        <w:rPr>
          <w:rStyle w:val="32"/>
          <w:color w:val="auto"/>
          <w:highlight w:val="none"/>
          <w:u w:val="single"/>
        </w:rPr>
        <w:tab/>
      </w:r>
      <w:r>
        <w:rPr>
          <w:rStyle w:val="32"/>
          <w:rFonts w:hint="eastAsia"/>
          <w:color w:val="auto"/>
          <w:highlight w:val="none"/>
          <w:u w:val="single"/>
        </w:rPr>
        <w:t xml:space="preserve">  </w:t>
      </w:r>
      <w:r>
        <w:rPr>
          <w:rStyle w:val="32"/>
          <w:color w:val="auto"/>
          <w:highlight w:val="none"/>
        </w:rPr>
        <w:t>年</w:t>
      </w:r>
      <w:r>
        <w:rPr>
          <w:rStyle w:val="32"/>
          <w:color w:val="auto"/>
          <w:highlight w:val="none"/>
          <w:u w:val="single"/>
        </w:rPr>
        <w:tab/>
      </w:r>
      <w:r>
        <w:rPr>
          <w:rStyle w:val="32"/>
          <w:color w:val="auto"/>
          <w:highlight w:val="none"/>
        </w:rPr>
        <w:t>月</w:t>
      </w:r>
      <w:r>
        <w:rPr>
          <w:rStyle w:val="32"/>
          <w:rFonts w:hint="eastAsia"/>
          <w:color w:val="auto"/>
          <w:highlight w:val="none"/>
          <w:u w:val="single"/>
        </w:rPr>
        <w:t xml:space="preserve">     </w:t>
      </w:r>
      <w:r>
        <w:rPr>
          <w:rStyle w:val="32"/>
          <w:color w:val="auto"/>
          <w:highlight w:val="none"/>
        </w:rPr>
        <w:t xml:space="preserve">日签订的 </w:t>
      </w:r>
      <w:r>
        <w:rPr>
          <w:rStyle w:val="32"/>
          <w:color w:val="auto"/>
          <w:highlight w:val="none"/>
          <w:u w:val="single"/>
        </w:rPr>
        <w:tab/>
      </w:r>
      <w:r>
        <w:rPr>
          <w:rStyle w:val="32"/>
          <w:color w:val="auto"/>
          <w:highlight w:val="none"/>
        </w:rPr>
        <w:t>（项目名称）</w:t>
      </w:r>
      <w:r>
        <w:rPr>
          <w:rStyle w:val="32"/>
          <w:rFonts w:hint="eastAsia"/>
          <w:color w:val="auto"/>
          <w:highlight w:val="none"/>
          <w:u w:val="single"/>
          <w:lang w:val="en-US"/>
        </w:rPr>
        <w:t xml:space="preserve">    </w:t>
      </w:r>
      <w:r>
        <w:rPr>
          <w:rStyle w:val="32"/>
          <w:color w:val="auto"/>
          <w:highlight w:val="none"/>
        </w:rPr>
        <w:t>（标段名称）合同协议书，承包人 按约定的金额向发包人提交一份预付款担保，即有权得到发包人支付相等金额的预付款。 我方愿意就你方提供给承包人的预付款提供担保。</w:t>
      </w:r>
    </w:p>
    <w:p w14:paraId="690AAF57">
      <w:pPr>
        <w:pStyle w:val="97"/>
        <w:pageBreakBefore w:val="0"/>
        <w:numPr>
          <w:ilvl w:val="0"/>
          <w:numId w:val="53"/>
        </w:numPr>
        <w:tabs>
          <w:tab w:val="left" w:pos="719"/>
          <w:tab w:val="left" w:pos="4879"/>
          <w:tab w:val="left" w:pos="7402"/>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81" w:name="bookmark1933"/>
      <w:bookmarkEnd w:id="1881"/>
      <w:r>
        <w:rPr>
          <w:rStyle w:val="32"/>
          <w:color w:val="auto"/>
          <w:highlight w:val="none"/>
        </w:rPr>
        <w:t>担保金额人民币（大写）</w:t>
      </w:r>
      <w:r>
        <w:rPr>
          <w:rStyle w:val="32"/>
          <w:color w:val="auto"/>
          <w:highlight w:val="none"/>
          <w:u w:val="single"/>
        </w:rPr>
        <w:tab/>
      </w:r>
      <w:r>
        <w:rPr>
          <w:rStyle w:val="32"/>
          <w:color w:val="auto"/>
          <w:highlight w:val="none"/>
        </w:rPr>
        <w:t>元（¥</w:t>
      </w:r>
      <w:r>
        <w:rPr>
          <w:rStyle w:val="32"/>
          <w:color w:val="auto"/>
          <w:highlight w:val="none"/>
          <w:u w:val="single"/>
        </w:rPr>
        <w:tab/>
      </w:r>
      <w:r>
        <w:rPr>
          <w:rStyle w:val="32"/>
          <w:rFonts w:ascii="Times New Roman" w:hAnsi="Times New Roman" w:eastAsia="Times New Roman" w:cs="Times New Roman"/>
          <w:color w:val="auto"/>
          <w:highlight w:val="none"/>
          <w:lang w:val="en-US" w:bidi="en-US"/>
        </w:rPr>
        <w:t>）</w:t>
      </w:r>
      <w:r>
        <w:rPr>
          <w:rStyle w:val="32"/>
          <w:rFonts w:ascii="Times New Roman" w:hAnsi="Times New Roman" w:eastAsia="Times New Roman" w:cs="Times New Roman"/>
          <w:color w:val="auto"/>
          <w:highlight w:val="none"/>
          <w:vertAlign w:val="subscript"/>
          <w:lang w:val="en-US" w:bidi="en-US"/>
        </w:rPr>
        <w:t>o</w:t>
      </w:r>
    </w:p>
    <w:p w14:paraId="2407DC09">
      <w:pPr>
        <w:pStyle w:val="97"/>
        <w:pageBreakBefore w:val="0"/>
        <w:numPr>
          <w:ilvl w:val="0"/>
          <w:numId w:val="53"/>
        </w:numPr>
        <w:tabs>
          <w:tab w:val="left" w:pos="726"/>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82" w:name="bookmark1934"/>
      <w:bookmarkEnd w:id="1882"/>
      <w:r>
        <w:rPr>
          <w:rStyle w:val="32"/>
          <w:color w:val="auto"/>
          <w:highlight w:val="none"/>
        </w:rPr>
        <w:t>担保有效期自预付款支付给承包人起生效，至发包人签发的进度付款证书说明已完全扣清止。</w:t>
      </w:r>
    </w:p>
    <w:p w14:paraId="292385E5">
      <w:pPr>
        <w:pStyle w:val="97"/>
        <w:pageBreakBefore w:val="0"/>
        <w:numPr>
          <w:ilvl w:val="0"/>
          <w:numId w:val="53"/>
        </w:numPr>
        <w:tabs>
          <w:tab w:val="left" w:pos="731"/>
        </w:tabs>
        <w:kinsoku/>
        <w:wordWrap/>
        <w:overflowPunct/>
        <w:topLinePunct w:val="0"/>
        <w:autoSpaceDE/>
        <w:autoSpaceDN/>
        <w:bidi w:val="0"/>
        <w:adjustRightInd/>
        <w:snapToGrid/>
        <w:ind w:firstLine="420"/>
        <w:jc w:val="both"/>
        <w:textAlignment w:val="auto"/>
        <w:outlineLvl w:val="9"/>
        <w:rPr>
          <w:rStyle w:val="32"/>
          <w:color w:val="auto"/>
          <w:highlight w:val="none"/>
        </w:rPr>
      </w:pPr>
      <w:bookmarkStart w:id="1883" w:name="bookmark1935"/>
      <w:bookmarkEnd w:id="1883"/>
      <w:r>
        <w:rPr>
          <w:rStyle w:val="32"/>
          <w:color w:val="auto"/>
          <w:highlight w:val="none"/>
        </w:rPr>
        <w:t>在本担保有效期内，因承包人违反合同约定的义务而要求收回预付款时，我方在收到你方的书面通知后，无条件地在</w:t>
      </w:r>
      <w:r>
        <w:rPr>
          <w:rStyle w:val="32"/>
          <w:rFonts w:ascii="Times New Roman" w:hAnsi="Times New Roman" w:eastAsia="Times New Roman" w:cs="Times New Roman"/>
          <w:color w:val="auto"/>
          <w:highlight w:val="none"/>
        </w:rPr>
        <w:t>7</w:t>
      </w:r>
      <w:r>
        <w:rPr>
          <w:rStyle w:val="32"/>
          <w:color w:val="auto"/>
          <w:highlight w:val="none"/>
        </w:rPr>
        <w:t>天内予以支付。但本担保的担保金额，在任何时候不应超过预付款金额减去发包人按合同约定在向承包人签发的进度付款证书中已扣回的金额。</w:t>
      </w:r>
      <w:bookmarkStart w:id="1884" w:name="bookmark1936"/>
      <w:bookmarkEnd w:id="1884"/>
    </w:p>
    <w:p w14:paraId="3CE38AA6">
      <w:pPr>
        <w:pStyle w:val="97"/>
        <w:pageBreakBefore w:val="0"/>
        <w:numPr>
          <w:ilvl w:val="0"/>
          <w:numId w:val="53"/>
        </w:numPr>
        <w:tabs>
          <w:tab w:val="left" w:pos="731"/>
        </w:tabs>
        <w:kinsoku/>
        <w:wordWrap/>
        <w:overflowPunct/>
        <w:topLinePunct w:val="0"/>
        <w:autoSpaceDE/>
        <w:autoSpaceDN/>
        <w:bidi w:val="0"/>
        <w:adjustRightInd/>
        <w:snapToGrid/>
        <w:ind w:firstLine="420"/>
        <w:jc w:val="both"/>
        <w:textAlignment w:val="auto"/>
        <w:outlineLvl w:val="9"/>
        <w:rPr>
          <w:rStyle w:val="32"/>
          <w:color w:val="auto"/>
          <w:highlight w:val="none"/>
        </w:rPr>
      </w:pPr>
      <w:r>
        <w:rPr>
          <w:rStyle w:val="32"/>
          <w:color w:val="auto"/>
          <w:highlight w:val="none"/>
        </w:rPr>
        <w:t>发包人和承包人按《通用合同条款》第</w:t>
      </w:r>
      <w:r>
        <w:rPr>
          <w:rStyle w:val="32"/>
          <w:rFonts w:ascii="Times New Roman" w:hAnsi="Times New Roman" w:eastAsia="Times New Roman" w:cs="Times New Roman"/>
          <w:color w:val="auto"/>
          <w:highlight w:val="none"/>
        </w:rPr>
        <w:t>15</w:t>
      </w:r>
      <w:r>
        <w:rPr>
          <w:rStyle w:val="32"/>
          <w:color w:val="auto"/>
          <w:highlight w:val="none"/>
        </w:rPr>
        <w:t>条变更合同时，我方承担本担保规定的义务不变。</w:t>
      </w:r>
    </w:p>
    <w:p w14:paraId="5E46A1DB">
      <w:pPr>
        <w:pStyle w:val="97"/>
        <w:pageBreakBefore w:val="0"/>
        <w:tabs>
          <w:tab w:val="left" w:pos="731"/>
        </w:tabs>
        <w:kinsoku/>
        <w:wordWrap/>
        <w:overflowPunct/>
        <w:topLinePunct w:val="0"/>
        <w:autoSpaceDE/>
        <w:autoSpaceDN/>
        <w:bidi w:val="0"/>
        <w:adjustRightInd/>
        <w:snapToGrid/>
        <w:ind w:firstLine="0"/>
        <w:jc w:val="both"/>
        <w:textAlignment w:val="auto"/>
        <w:outlineLvl w:val="9"/>
        <w:rPr>
          <w:rStyle w:val="32"/>
          <w:color w:val="auto"/>
          <w:highlight w:val="none"/>
        </w:rPr>
      </w:pPr>
    </w:p>
    <w:p w14:paraId="625E433C">
      <w:pPr>
        <w:pStyle w:val="97"/>
        <w:pageBreakBefore w:val="0"/>
        <w:tabs>
          <w:tab w:val="left" w:pos="731"/>
        </w:tabs>
        <w:kinsoku/>
        <w:wordWrap/>
        <w:overflowPunct/>
        <w:topLinePunct w:val="0"/>
        <w:autoSpaceDE/>
        <w:autoSpaceDN/>
        <w:bidi w:val="0"/>
        <w:adjustRightInd/>
        <w:snapToGrid/>
        <w:ind w:left="420" w:firstLine="0"/>
        <w:jc w:val="both"/>
        <w:textAlignment w:val="auto"/>
        <w:outlineLvl w:val="9"/>
        <w:rPr>
          <w:rStyle w:val="32"/>
          <w:color w:val="auto"/>
          <w:highlight w:val="none"/>
        </w:rPr>
      </w:pPr>
    </w:p>
    <w:p w14:paraId="5F37C27B">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担  保 人：</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（盖单位公章）</w:t>
      </w:r>
      <w:r>
        <w:rPr>
          <w:rStyle w:val="32"/>
          <w:rFonts w:ascii="Times New Roman" w:hAnsi="Times New Roman" w:cs="Times New Roman"/>
          <w:color w:val="auto"/>
          <w:sz w:val="20"/>
          <w:highlight w:val="none"/>
          <w:lang w:eastAsia="zh-CN"/>
        </w:rPr>
        <w:t xml:space="preserve"> </w:t>
      </w:r>
    </w:p>
    <w:p w14:paraId="73FF852E">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定代表人(或委托代理人)：</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（签字）</w:t>
      </w:r>
    </w:p>
    <w:p w14:paraId="5AE3F791">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地       址：</w:t>
      </w:r>
      <w:r>
        <w:rPr>
          <w:rStyle w:val="32"/>
          <w:rFonts w:hint="eastAsia" w:ascii="Times New Roman" w:hAnsi="Times New Roman" w:eastAsia="宋体" w:cs="Times New Roman"/>
          <w:color w:val="auto"/>
          <w:sz w:val="20"/>
          <w:highlight w:val="none"/>
          <w:u w:val="single"/>
          <w:lang w:eastAsia="zh-CN"/>
        </w:rPr>
        <w:t xml:space="preserve">                </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 xml:space="preserve"> </w:t>
      </w:r>
    </w:p>
    <w:p w14:paraId="62FBEF56">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邮政编码：</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 xml:space="preserve"> </w:t>
      </w:r>
    </w:p>
    <w:p w14:paraId="4AD292B8">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u w:val="single"/>
          <w:lang w:eastAsia="zh-CN"/>
        </w:rPr>
      </w:pPr>
      <w:r>
        <w:rPr>
          <w:rStyle w:val="32"/>
          <w:rFonts w:hint="eastAsia" w:ascii="Times New Roman" w:hAnsi="Times New Roman" w:eastAsia="宋体" w:cs="Times New Roman"/>
          <w:color w:val="auto"/>
          <w:sz w:val="20"/>
          <w:highlight w:val="none"/>
          <w:lang w:eastAsia="zh-CN"/>
        </w:rPr>
        <w:t xml:space="preserve">        电        话：</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p>
    <w:p w14:paraId="0312291D">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sz w:val="20"/>
          <w:highlight w:val="none"/>
          <w:lang w:eastAsia="zh-CN"/>
        </w:rPr>
      </w:pPr>
      <w:r>
        <w:rPr>
          <w:rStyle w:val="32"/>
          <w:rFonts w:hint="eastAsia" w:ascii="Times New Roman" w:hAnsi="Times New Roman" w:eastAsia="宋体" w:cs="Times New Roman"/>
          <w:color w:val="auto"/>
          <w:sz w:val="20"/>
          <w:highlight w:val="none"/>
          <w:lang w:eastAsia="zh-CN"/>
        </w:rPr>
        <w:t xml:space="preserve">        传        真：</w:t>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r>
        <w:rPr>
          <w:rStyle w:val="32"/>
          <w:rFonts w:ascii="Times New Roman" w:hAnsi="Times New Roman" w:cs="Times New Roman"/>
          <w:color w:val="auto"/>
          <w:sz w:val="20"/>
          <w:highlight w:val="none"/>
          <w:u w:val="single"/>
          <w:lang w:eastAsia="zh-CN"/>
        </w:rPr>
        <w:tab/>
      </w:r>
    </w:p>
    <w:p w14:paraId="3C1A9C61">
      <w:pPr>
        <w:pStyle w:val="95"/>
        <w:pageBreakBefore w:val="0"/>
        <w:kinsoku/>
        <w:wordWrap/>
        <w:overflowPunct/>
        <w:topLinePunct w:val="0"/>
        <w:autoSpaceDE/>
        <w:autoSpaceDN/>
        <w:bidi w:val="0"/>
        <w:adjustRightInd/>
        <w:snapToGrid/>
        <w:spacing w:line="360" w:lineRule="auto"/>
        <w:jc w:val="right"/>
        <w:textAlignment w:val="auto"/>
        <w:outlineLvl w:val="9"/>
        <w:rPr>
          <w:rStyle w:val="32"/>
          <w:rFonts w:ascii="Times New Roman" w:hAnsi="Times New Roman" w:eastAsia="宋体" w:cs="Times New Roman"/>
          <w:color w:val="auto"/>
          <w:highlight w:val="none"/>
          <w:lang w:eastAsia="zh-CN"/>
        </w:rPr>
      </w:pP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年</w:t>
      </w:r>
      <w:r>
        <w:rPr>
          <w:rStyle w:val="32"/>
          <w:rFonts w:ascii="Times New Roman" w:hAnsi="Times New Roman" w:cs="Times New Roman"/>
          <w:color w:val="auto"/>
          <w:sz w:val="20"/>
          <w:highlight w:val="none"/>
          <w:u w:val="single"/>
          <w:lang w:eastAsia="zh-CN"/>
        </w:rPr>
        <w:tab/>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月</w:t>
      </w:r>
      <w:r>
        <w:rPr>
          <w:rStyle w:val="32"/>
          <w:rFonts w:hint="eastAsia" w:ascii="Times New Roman" w:hAnsi="Times New Roman" w:eastAsia="宋体" w:cs="Times New Roman"/>
          <w:color w:val="auto"/>
          <w:sz w:val="20"/>
          <w:highlight w:val="none"/>
          <w:u w:val="single"/>
          <w:lang w:eastAsia="zh-CN"/>
        </w:rPr>
        <w:t xml:space="preserve">              </w:t>
      </w:r>
      <w:r>
        <w:rPr>
          <w:rStyle w:val="32"/>
          <w:rFonts w:hint="eastAsia" w:ascii="Times New Roman" w:hAnsi="Times New Roman" w:eastAsia="宋体" w:cs="Times New Roman"/>
          <w:color w:val="auto"/>
          <w:sz w:val="20"/>
          <w:highlight w:val="none"/>
          <w:lang w:eastAsia="zh-CN"/>
        </w:rPr>
        <w:t xml:space="preserve">日 </w:t>
      </w:r>
      <w:r>
        <w:rPr>
          <w:rStyle w:val="32"/>
          <w:rFonts w:hint="eastAsia" w:ascii="Times New Roman" w:hAnsi="Times New Roman" w:eastAsia="宋体" w:cs="Times New Roman"/>
          <w:color w:val="auto"/>
          <w:highlight w:val="none"/>
          <w:lang w:eastAsia="zh-CN"/>
        </w:rPr>
        <w:t xml:space="preserve">    </w:t>
      </w:r>
    </w:p>
    <w:p w14:paraId="0FC42B26">
      <w:pPr>
        <w:pStyle w:val="97"/>
        <w:pageBreakBefore w:val="0"/>
        <w:tabs>
          <w:tab w:val="left" w:pos="726"/>
        </w:tabs>
        <w:kinsoku/>
        <w:wordWrap/>
        <w:overflowPunct/>
        <w:topLinePunct w:val="0"/>
        <w:autoSpaceDE/>
        <w:autoSpaceDN/>
        <w:bidi w:val="0"/>
        <w:adjustRightInd/>
        <w:snapToGrid/>
        <w:spacing w:after="340" w:line="355" w:lineRule="exact"/>
        <w:ind w:firstLine="0"/>
        <w:jc w:val="both"/>
        <w:textAlignment w:val="auto"/>
        <w:outlineLvl w:val="9"/>
        <w:rPr>
          <w:rStyle w:val="32"/>
          <w:color w:val="auto"/>
          <w:highlight w:val="none"/>
        </w:rPr>
      </w:pPr>
      <w:r>
        <w:rPr>
          <w:rStyle w:val="32"/>
          <w:color w:val="auto"/>
          <w:highlight w:val="none"/>
        </w:rPr>
        <w:t>注：</w:t>
      </w:r>
    </w:p>
    <w:p w14:paraId="4CA98762">
      <w:pPr>
        <w:pStyle w:val="97"/>
        <w:pageBreakBefore w:val="0"/>
        <w:numPr>
          <w:ilvl w:val="0"/>
          <w:numId w:val="54"/>
        </w:numPr>
        <w:tabs>
          <w:tab w:val="left" w:pos="699"/>
        </w:tabs>
        <w:kinsoku/>
        <w:wordWrap/>
        <w:overflowPunct/>
        <w:topLinePunct w:val="0"/>
        <w:autoSpaceDE/>
        <w:autoSpaceDN/>
        <w:bidi w:val="0"/>
        <w:adjustRightInd/>
        <w:snapToGrid/>
        <w:spacing w:line="372" w:lineRule="auto"/>
        <w:jc w:val="both"/>
        <w:textAlignment w:val="auto"/>
        <w:outlineLvl w:val="9"/>
        <w:rPr>
          <w:rStyle w:val="32"/>
          <w:color w:val="auto"/>
          <w:highlight w:val="none"/>
        </w:rPr>
      </w:pPr>
      <w:bookmarkStart w:id="1885" w:name="bookmark1937"/>
      <w:bookmarkEnd w:id="1885"/>
      <w:r>
        <w:rPr>
          <w:rStyle w:val="32"/>
          <w:color w:val="auto"/>
          <w:highlight w:val="none"/>
        </w:rPr>
        <w:t>担保人必须是投标人单位基本账户的开户银行。</w:t>
      </w:r>
    </w:p>
    <w:p w14:paraId="1F08DB96">
      <w:pPr>
        <w:pStyle w:val="97"/>
        <w:pageBreakBefore w:val="0"/>
        <w:numPr>
          <w:ilvl w:val="0"/>
          <w:numId w:val="54"/>
        </w:numPr>
        <w:tabs>
          <w:tab w:val="left" w:pos="716"/>
        </w:tabs>
        <w:kinsoku/>
        <w:wordWrap/>
        <w:overflowPunct/>
        <w:topLinePunct w:val="0"/>
        <w:autoSpaceDE/>
        <w:autoSpaceDN/>
        <w:bidi w:val="0"/>
        <w:adjustRightInd/>
        <w:snapToGrid/>
        <w:spacing w:after="340" w:line="372" w:lineRule="auto"/>
        <w:jc w:val="both"/>
        <w:textAlignment w:val="auto"/>
        <w:outlineLvl w:val="9"/>
        <w:rPr>
          <w:rStyle w:val="32"/>
          <w:color w:val="auto"/>
          <w:szCs w:val="21"/>
          <w:highlight w:val="none"/>
        </w:rPr>
      </w:pPr>
      <w:bookmarkStart w:id="1886" w:name="bookmark1938"/>
      <w:bookmarkEnd w:id="1886"/>
      <w:r>
        <w:rPr>
          <w:rStyle w:val="32"/>
          <w:color w:val="auto"/>
          <w:highlight w:val="none"/>
        </w:rPr>
        <w:t>委托代理人应附授权委托书</w:t>
      </w:r>
    </w:p>
    <w:p w14:paraId="119156F0">
      <w:pPr>
        <w:pageBreakBefore w:val="0"/>
        <w:kinsoku/>
        <w:wordWrap/>
        <w:overflowPunct/>
        <w:topLinePunct w:val="0"/>
        <w:autoSpaceDE/>
        <w:autoSpaceDN/>
        <w:bidi w:val="0"/>
        <w:adjustRightInd/>
        <w:snapToGrid/>
        <w:textAlignment w:val="auto"/>
        <w:outlineLvl w:val="9"/>
        <w:rPr>
          <w:b/>
          <w:bCs/>
          <w:color w:val="auto"/>
          <w:highlight w:val="none"/>
        </w:rPr>
      </w:pPr>
    </w:p>
    <w:p w14:paraId="68939C20">
      <w:pPr>
        <w:pageBreakBefore w:val="0"/>
        <w:widowControl/>
        <w:kinsoku/>
        <w:wordWrap/>
        <w:overflowPunct/>
        <w:topLinePunct w:val="0"/>
        <w:autoSpaceDE/>
        <w:autoSpaceDN/>
        <w:bidi w:val="0"/>
        <w:adjustRightInd/>
        <w:snapToGrid/>
        <w:jc w:val="center"/>
        <w:textAlignment w:val="auto"/>
        <w:outlineLvl w:val="9"/>
        <w:rPr>
          <w:rFonts w:hint="eastAsia" w:ascii="宋体" w:hAnsi="宋体" w:cs="仿宋_GB2312"/>
          <w:b w:val="0"/>
          <w:color w:val="auto"/>
          <w:highlight w:val="none"/>
        </w:rPr>
        <w:sectPr>
          <w:pgSz w:w="11910" w:h="16840"/>
          <w:pgMar w:top="1340" w:right="1500" w:bottom="1134" w:left="1587" w:header="720" w:footer="720" w:gutter="0"/>
          <w:pgNumType w:fmt="decimal"/>
          <w:cols w:space="425" w:num="1"/>
          <w:docGrid w:type="lines" w:linePitch="312" w:charSpace="0"/>
        </w:sectPr>
      </w:pPr>
    </w:p>
    <w:p w14:paraId="659E54E6">
      <w:pPr>
        <w:pStyle w:val="108"/>
        <w:keepNext w:val="0"/>
        <w:keepLines w:val="0"/>
        <w:widowControl w:val="0"/>
        <w:kinsoku/>
        <w:wordWrap/>
        <w:overflowPunct/>
        <w:topLinePunct w:val="0"/>
        <w:bidi w:val="0"/>
        <w:adjustRightInd/>
        <w:snapToGrid/>
        <w:spacing w:beforeLines="0" w:afterLines="0" w:line="440" w:lineRule="exact"/>
        <w:textAlignment w:val="auto"/>
        <w:outlineLvl w:val="9"/>
        <w:rPr>
          <w:rStyle w:val="32"/>
          <w:rFonts w:hint="default" w:ascii="宋体" w:hAnsi="宋体" w:eastAsia="宋体" w:cs="宋体"/>
          <w:b/>
          <w:color w:val="auto"/>
          <w:sz w:val="28"/>
          <w:szCs w:val="28"/>
          <w:highlight w:val="none"/>
          <w:lang w:eastAsia="zh-CN"/>
        </w:rPr>
      </w:pPr>
      <w:r>
        <w:rPr>
          <w:rStyle w:val="32"/>
          <w:rFonts w:hint="default" w:ascii="宋体" w:hAnsi="宋体" w:eastAsia="宋体" w:cs="宋体"/>
          <w:b/>
          <w:color w:val="auto"/>
          <w:sz w:val="28"/>
          <w:szCs w:val="28"/>
          <w:highlight w:val="none"/>
          <w:lang w:eastAsia="zh-CN"/>
        </w:rPr>
        <w:t>附</w:t>
      </w:r>
      <w:bookmarkStart w:id="1887" w:name="_Toc296347225"/>
      <w:bookmarkStart w:id="1888" w:name="_Toc296891266"/>
      <w:bookmarkStart w:id="1889" w:name="_Toc296503226"/>
      <w:bookmarkStart w:id="1890" w:name="_Toc296944565"/>
      <w:bookmarkStart w:id="1891" w:name="_Toc296891054"/>
      <w:bookmarkStart w:id="1892" w:name="_Toc267261693"/>
      <w:bookmarkStart w:id="1893" w:name="_Toc296346727"/>
      <w:r>
        <w:rPr>
          <w:rStyle w:val="32"/>
          <w:rFonts w:hint="default" w:ascii="宋体" w:hAnsi="宋体" w:eastAsia="宋体" w:cs="宋体"/>
          <w:b/>
          <w:color w:val="auto"/>
          <w:sz w:val="28"/>
          <w:szCs w:val="28"/>
          <w:highlight w:val="none"/>
          <w:lang w:eastAsia="zh-CN"/>
        </w:rPr>
        <w:t>件四：</w:t>
      </w:r>
      <w:bookmarkEnd w:id="1887"/>
      <w:bookmarkEnd w:id="1888"/>
      <w:bookmarkEnd w:id="1889"/>
      <w:bookmarkEnd w:id="1890"/>
      <w:bookmarkEnd w:id="1891"/>
      <w:bookmarkEnd w:id="1892"/>
      <w:bookmarkEnd w:id="1893"/>
      <w:r>
        <w:rPr>
          <w:rStyle w:val="32"/>
          <w:rFonts w:hint="default" w:ascii="宋体" w:hAnsi="宋体" w:eastAsia="宋体" w:cs="宋体"/>
          <w:b/>
          <w:color w:val="auto"/>
          <w:sz w:val="28"/>
          <w:szCs w:val="28"/>
          <w:highlight w:val="none"/>
          <w:lang w:eastAsia="zh-CN"/>
        </w:rPr>
        <w:t xml:space="preserve">    </w:t>
      </w:r>
    </w:p>
    <w:p w14:paraId="51389FA3">
      <w:pPr>
        <w:pStyle w:val="108"/>
        <w:keepNext w:val="0"/>
        <w:keepLines w:val="0"/>
        <w:widowControl w:val="0"/>
        <w:kinsoku/>
        <w:wordWrap/>
        <w:overflowPunct/>
        <w:topLinePunct w:val="0"/>
        <w:bidi w:val="0"/>
        <w:adjustRightInd/>
        <w:snapToGrid/>
        <w:spacing w:before="120" w:beforeLines="50" w:after="120" w:afterLines="50" w:line="440" w:lineRule="exact"/>
        <w:jc w:val="center"/>
        <w:textAlignment w:val="auto"/>
        <w:outlineLvl w:val="9"/>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工程质量保修书</w:t>
      </w:r>
    </w:p>
    <w:p w14:paraId="2BD88BE7">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p>
    <w:p w14:paraId="2F0CE997">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发包人（全称）：</w:t>
      </w:r>
      <w:r>
        <w:rPr>
          <w:rFonts w:hint="eastAsia" w:ascii="宋体" w:hAnsi="宋体" w:eastAsia="宋体" w:cs="宋体"/>
          <w:color w:val="auto"/>
          <w:sz w:val="24"/>
          <w:szCs w:val="24"/>
          <w:highlight w:val="none"/>
          <w:u w:val="single"/>
          <w:lang w:eastAsia="zh-CN"/>
        </w:rPr>
        <w:t>南宁市兴宁区昆仑镇人民政府</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rPr>
        <w:t xml:space="preserve">                                       </w:t>
      </w:r>
    </w:p>
    <w:p w14:paraId="64AC929A">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承包人（全称）：</w:t>
      </w:r>
      <w:r>
        <w:rPr>
          <w:rFonts w:hint="default" w:ascii="宋体" w:hAnsi="宋体" w:eastAsia="宋体" w:cs="宋体"/>
          <w:color w:val="auto"/>
          <w:sz w:val="24"/>
          <w:szCs w:val="24"/>
          <w:highlight w:val="none"/>
          <w:u w:val="single"/>
          <w:lang w:eastAsia="zh-CN"/>
        </w:rPr>
        <w:t xml:space="preserve">                                     </w:t>
      </w:r>
    </w:p>
    <w:p w14:paraId="25814E78">
      <w:pPr>
        <w:pStyle w:val="108"/>
        <w:keepNext w:val="0"/>
        <w:keepLines w:val="0"/>
        <w:widowControl w:val="0"/>
        <w:kinsoku/>
        <w:wordWrap/>
        <w:overflowPunct/>
        <w:topLinePunct w:val="0"/>
        <w:bidi w:val="0"/>
        <w:adjustRightInd/>
        <w:snapToGrid/>
        <w:spacing w:beforeLines="0" w:afterLines="0" w:line="360" w:lineRule="auto"/>
        <w:ind w:left="210" w:hanging="240" w:hangingChars="1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发包人和承包人根据《中华人民共和国建筑法》和《建设工程质量管理条例》，经协商一致就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（工程名称）                              </w:t>
      </w:r>
      <w:r>
        <w:rPr>
          <w:rFonts w:hint="default" w:ascii="宋体" w:hAnsi="宋体" w:eastAsia="宋体" w:cs="宋体"/>
          <w:color w:val="auto"/>
          <w:sz w:val="24"/>
          <w:szCs w:val="24"/>
          <w:highlight w:val="none"/>
        </w:rPr>
        <w:t>签订工程质量保修书。</w:t>
      </w:r>
    </w:p>
    <w:p w14:paraId="0EF3B64C">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894" w:name="_Toc60"/>
      <w:r>
        <w:rPr>
          <w:rFonts w:hint="default" w:ascii="宋体" w:hAnsi="宋体" w:eastAsia="宋体" w:cs="宋体"/>
          <w:color w:val="auto"/>
          <w:sz w:val="24"/>
          <w:szCs w:val="24"/>
          <w:highlight w:val="none"/>
        </w:rPr>
        <w:t>一、工程质量保修范围和内容</w:t>
      </w:r>
      <w:bookmarkEnd w:id="1894"/>
    </w:p>
    <w:p w14:paraId="7244DB50">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承包人在质量保修期内，按照有关法律规定和合同约定，承担工程质量保修责任。</w:t>
      </w:r>
    </w:p>
    <w:p w14:paraId="257A631B">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质量保修范围包括</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val="zh-CN"/>
        </w:rPr>
        <w:t>等工程</w:t>
      </w:r>
      <w:r>
        <w:rPr>
          <w:rFonts w:hint="default" w:ascii="宋体" w:hAnsi="宋体" w:eastAsia="宋体" w:cs="宋体"/>
          <w:color w:val="auto"/>
          <w:sz w:val="24"/>
          <w:szCs w:val="24"/>
          <w:highlight w:val="none"/>
        </w:rPr>
        <w:t>，以及双方约定的其他项目。具体保修的内容，双方约定如下：</w:t>
      </w:r>
      <w:r>
        <w:rPr>
          <w:rFonts w:hint="default" w:ascii="宋体" w:hAnsi="宋体" w:eastAsia="宋体" w:cs="宋体"/>
          <w:color w:val="auto"/>
          <w:sz w:val="24"/>
          <w:szCs w:val="24"/>
          <w:highlight w:val="none"/>
          <w:u w:val="single"/>
        </w:rPr>
        <w:t xml:space="preserve"> 按照设计图纸要求及工程量清单由承包人负责施工的工程内容，在约定的保修期内，对出现的质量缺陷负保修责任 </w:t>
      </w:r>
      <w:r>
        <w:rPr>
          <w:rFonts w:hint="default" w:ascii="宋体" w:hAnsi="宋体" w:eastAsia="宋体" w:cs="宋体"/>
          <w:color w:val="auto"/>
          <w:sz w:val="24"/>
          <w:szCs w:val="24"/>
          <w:highlight w:val="none"/>
        </w:rPr>
        <w:t>。</w:t>
      </w:r>
    </w:p>
    <w:p w14:paraId="4ACB1FD8">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　　</w:t>
      </w:r>
      <w:bookmarkStart w:id="1895" w:name="_Toc19555"/>
      <w:r>
        <w:rPr>
          <w:rFonts w:hint="default" w:ascii="宋体" w:hAnsi="宋体" w:eastAsia="宋体" w:cs="宋体"/>
          <w:color w:val="auto"/>
          <w:sz w:val="24"/>
          <w:szCs w:val="24"/>
          <w:highlight w:val="none"/>
        </w:rPr>
        <w:t>二、质量保修期</w:t>
      </w:r>
      <w:bookmarkEnd w:id="1895"/>
    </w:p>
    <w:p w14:paraId="3EE1867C">
      <w:pPr>
        <w:pStyle w:val="108"/>
        <w:keepNext w:val="0"/>
        <w:keepLines w:val="0"/>
        <w:widowControl w:val="0"/>
        <w:kinsoku/>
        <w:wordWrap/>
        <w:overflowPunct/>
        <w:topLinePunct w:val="0"/>
        <w:bidi w:val="0"/>
        <w:adjustRightInd/>
        <w:snapToGrid/>
        <w:spacing w:beforeLines="0" w:afterLines="0" w:line="360" w:lineRule="auto"/>
        <w:ind w:firstLine="480" w:firstLineChars="2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根据《建设工程质量管理条例》及有关规定，工程的质量保修期如下：</w:t>
      </w:r>
    </w:p>
    <w:p w14:paraId="034D03FE">
      <w:pPr>
        <w:pStyle w:val="111"/>
        <w:keepNext w:val="0"/>
        <w:keepLines w:val="0"/>
        <w:widowControl w:val="0"/>
        <w:kinsoku/>
        <w:wordWrap/>
        <w:overflowPunct/>
        <w:topLinePunct w:val="0"/>
        <w:bidi w:val="0"/>
        <w:adjustRightInd/>
        <w:snapToGrid/>
        <w:spacing w:beforeLines="0" w:afterLines="0" w:line="360" w:lineRule="auto"/>
        <w:ind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1．桥梁工程为</w:t>
      </w:r>
      <w:r>
        <w:rPr>
          <w:rFonts w:hint="default" w:ascii="宋体" w:hAnsi="宋体" w:eastAsia="宋体" w:cs="宋体"/>
          <w:color w:val="auto"/>
          <w:sz w:val="24"/>
          <w:szCs w:val="24"/>
          <w:highlight w:val="none"/>
          <w:u w:val="single"/>
        </w:rPr>
        <w:t xml:space="preserve">  2</w:t>
      </w:r>
      <w:r>
        <w:rPr>
          <w:rFonts w:hint="default" w:ascii="宋体" w:hAnsi="宋体" w:eastAsia="宋体" w:cs="宋体"/>
          <w:color w:val="auto"/>
          <w:sz w:val="24"/>
          <w:szCs w:val="24"/>
          <w:highlight w:val="none"/>
        </w:rPr>
        <w:t>年（桥梁隧道主体结构工程为设计文件规定的合理使用年限）；</w:t>
      </w:r>
    </w:p>
    <w:p w14:paraId="43337AA1">
      <w:pPr>
        <w:pStyle w:val="111"/>
        <w:keepNext w:val="0"/>
        <w:keepLines w:val="0"/>
        <w:widowControl w:val="0"/>
        <w:kinsoku/>
        <w:wordWrap/>
        <w:overflowPunct/>
        <w:topLinePunct w:val="0"/>
        <w:bidi w:val="0"/>
        <w:adjustRightInd/>
        <w:snapToGrid/>
        <w:spacing w:beforeLines="0" w:afterLines="0" w:line="360" w:lineRule="auto"/>
        <w:ind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2．道路工程为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7BEEDA12">
      <w:pPr>
        <w:pStyle w:val="111"/>
        <w:keepNext w:val="0"/>
        <w:keepLines w:val="0"/>
        <w:widowControl w:val="0"/>
        <w:kinsoku/>
        <w:wordWrap/>
        <w:overflowPunct/>
        <w:topLinePunct w:val="0"/>
        <w:bidi w:val="0"/>
        <w:adjustRightInd/>
        <w:snapToGrid/>
        <w:spacing w:beforeLines="0" w:afterLines="0" w:line="360" w:lineRule="auto"/>
        <w:ind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3．排水（雨水）工程为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523B8AC6">
      <w:pPr>
        <w:pStyle w:val="111"/>
        <w:keepNext w:val="0"/>
        <w:keepLines w:val="0"/>
        <w:widowControl w:val="0"/>
        <w:kinsoku/>
        <w:wordWrap/>
        <w:overflowPunct/>
        <w:topLinePunct w:val="0"/>
        <w:bidi w:val="0"/>
        <w:adjustRightInd/>
        <w:snapToGrid/>
        <w:spacing w:beforeLines="0" w:afterLines="0" w:line="360" w:lineRule="auto"/>
        <w:ind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4．绿化工程为 </w:t>
      </w:r>
      <w:r>
        <w:rPr>
          <w:rFonts w:hint="default" w:ascii="宋体" w:hAnsi="宋体" w:eastAsia="宋体" w:cs="宋体"/>
          <w:color w:val="auto"/>
          <w:sz w:val="24"/>
          <w:szCs w:val="24"/>
          <w:highlight w:val="none"/>
          <w:u w:val="single"/>
        </w:rPr>
        <w:t>单位工程竣工验收合格后1年</w:t>
      </w:r>
      <w:r>
        <w:rPr>
          <w:rFonts w:hint="default" w:ascii="宋体" w:hAnsi="宋体" w:eastAsia="宋体" w:cs="宋体"/>
          <w:color w:val="auto"/>
          <w:sz w:val="24"/>
          <w:szCs w:val="24"/>
          <w:highlight w:val="none"/>
        </w:rPr>
        <w:t>（养护1年）；</w:t>
      </w:r>
    </w:p>
    <w:p w14:paraId="40749763">
      <w:pPr>
        <w:pStyle w:val="111"/>
        <w:keepNext w:val="0"/>
        <w:keepLines w:val="0"/>
        <w:widowControl w:val="0"/>
        <w:kinsoku/>
        <w:wordWrap/>
        <w:overflowPunct/>
        <w:topLinePunct w:val="0"/>
        <w:bidi w:val="0"/>
        <w:adjustRightInd/>
        <w:snapToGrid/>
        <w:spacing w:beforeLines="0" w:afterLines="0" w:line="360" w:lineRule="auto"/>
        <w:ind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 地下防水工程为</w:t>
      </w:r>
      <w:r>
        <w:rPr>
          <w:rFonts w:hint="default" w:ascii="宋体" w:hAnsi="宋体" w:eastAsia="宋体" w:cs="宋体"/>
          <w:color w:val="auto"/>
          <w:sz w:val="24"/>
          <w:szCs w:val="24"/>
          <w:highlight w:val="none"/>
          <w:u w:val="single"/>
        </w:rPr>
        <w:t xml:space="preserve">  5   </w:t>
      </w:r>
      <w:r>
        <w:rPr>
          <w:rFonts w:hint="default" w:ascii="宋体" w:hAnsi="宋体" w:eastAsia="宋体" w:cs="宋体"/>
          <w:color w:val="auto"/>
          <w:sz w:val="24"/>
          <w:szCs w:val="24"/>
          <w:highlight w:val="none"/>
        </w:rPr>
        <w:t>年；</w:t>
      </w:r>
    </w:p>
    <w:p w14:paraId="2B7DC805">
      <w:pPr>
        <w:pStyle w:val="111"/>
        <w:keepNext w:val="0"/>
        <w:keepLines w:val="0"/>
        <w:widowControl w:val="0"/>
        <w:kinsoku/>
        <w:wordWrap/>
        <w:overflowPunct/>
        <w:topLinePunct w:val="0"/>
        <w:bidi w:val="0"/>
        <w:adjustRightInd/>
        <w:snapToGrid/>
        <w:spacing w:beforeLines="0" w:afterLines="0" w:line="360" w:lineRule="auto"/>
        <w:ind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6．其他附属工程为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6F51A002">
      <w:pPr>
        <w:pStyle w:val="111"/>
        <w:keepNext w:val="0"/>
        <w:keepLines w:val="0"/>
        <w:widowControl w:val="0"/>
        <w:kinsoku/>
        <w:wordWrap/>
        <w:overflowPunct/>
        <w:topLinePunct w:val="0"/>
        <w:bidi w:val="0"/>
        <w:adjustRightInd/>
        <w:snapToGrid/>
        <w:spacing w:beforeLines="0" w:afterLines="0" w:line="360" w:lineRule="auto"/>
        <w:ind w:firstLine="480" w:firstLineChars="200"/>
        <w:textAlignment w:val="auto"/>
        <w:outlineLvl w:val="9"/>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7．其他项目保修期限约定如下：</w:t>
      </w:r>
      <w:r>
        <w:rPr>
          <w:rFonts w:hint="default" w:ascii="宋体" w:hAnsi="宋体" w:eastAsia="宋体" w:cs="宋体"/>
          <w:color w:val="auto"/>
          <w:sz w:val="24"/>
          <w:szCs w:val="24"/>
          <w:highlight w:val="none"/>
          <w:u w:val="single"/>
        </w:rPr>
        <w:t xml:space="preserve">   /  </w:t>
      </w:r>
    </w:p>
    <w:p w14:paraId="5219D3BD">
      <w:pPr>
        <w:pStyle w:val="111"/>
        <w:keepNext w:val="0"/>
        <w:keepLines w:val="0"/>
        <w:widowControl w:val="0"/>
        <w:kinsoku/>
        <w:wordWrap/>
        <w:overflowPunct/>
        <w:topLinePunct w:val="0"/>
        <w:bidi w:val="0"/>
        <w:adjustRightInd/>
        <w:snapToGrid/>
        <w:spacing w:beforeLines="0" w:afterLines="0" w:line="360" w:lineRule="auto"/>
        <w:ind w:firstLine="480" w:firstLineChars="2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质量保修期自工程竣工验收合格之日起计算。</w:t>
      </w:r>
    </w:p>
    <w:p w14:paraId="3E38EB34">
      <w:pPr>
        <w:pStyle w:val="108"/>
        <w:keepNext w:val="0"/>
        <w:keepLines w:val="0"/>
        <w:widowControl w:val="0"/>
        <w:kinsoku/>
        <w:wordWrap/>
        <w:overflowPunct/>
        <w:topLinePunct w:val="0"/>
        <w:bidi w:val="0"/>
        <w:adjustRightInd/>
        <w:snapToGrid/>
        <w:spacing w:beforeLines="0" w:afterLines="0" w:line="360" w:lineRule="auto"/>
        <w:ind w:firstLine="480" w:firstLineChars="200"/>
        <w:textAlignment w:val="auto"/>
        <w:outlineLvl w:val="9"/>
        <w:rPr>
          <w:rFonts w:hint="default" w:ascii="宋体" w:hAnsi="宋体" w:eastAsia="宋体" w:cs="宋体"/>
          <w:color w:val="auto"/>
          <w:sz w:val="24"/>
          <w:szCs w:val="24"/>
          <w:highlight w:val="none"/>
        </w:rPr>
      </w:pPr>
      <w:bookmarkStart w:id="1896" w:name="_Toc5481"/>
      <w:r>
        <w:rPr>
          <w:rFonts w:hint="default" w:ascii="宋体" w:hAnsi="宋体" w:eastAsia="宋体" w:cs="宋体"/>
          <w:color w:val="auto"/>
          <w:sz w:val="24"/>
          <w:szCs w:val="24"/>
          <w:highlight w:val="none"/>
        </w:rPr>
        <w:t>三、缺陷责任期</w:t>
      </w:r>
      <w:bookmarkEnd w:id="1896"/>
    </w:p>
    <w:p w14:paraId="20EF2F74">
      <w:pPr>
        <w:pStyle w:val="108"/>
        <w:keepNext w:val="0"/>
        <w:keepLines w:val="0"/>
        <w:widowControl w:val="0"/>
        <w:kinsoku/>
        <w:wordWrap/>
        <w:overflowPunct/>
        <w:topLinePunct w:val="0"/>
        <w:bidi w:val="0"/>
        <w:adjustRightInd/>
        <w:snapToGrid/>
        <w:spacing w:beforeLines="0" w:afterLines="0" w:line="360" w:lineRule="auto"/>
        <w:ind w:firstLine="480" w:firstLineChars="2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工程缺陷责任期为</w:t>
      </w:r>
      <w:r>
        <w:rPr>
          <w:rFonts w:hint="default" w:ascii="宋体" w:hAnsi="宋体" w:eastAsia="宋体" w:cs="宋体"/>
          <w:color w:val="auto"/>
          <w:sz w:val="24"/>
          <w:szCs w:val="24"/>
          <w:highlight w:val="none"/>
          <w:u w:val="single"/>
        </w:rPr>
        <w:t>24</w:t>
      </w:r>
      <w:r>
        <w:rPr>
          <w:rFonts w:hint="default" w:ascii="宋体" w:hAnsi="宋体" w:eastAsia="宋体" w:cs="宋体"/>
          <w:color w:val="auto"/>
          <w:sz w:val="24"/>
          <w:szCs w:val="24"/>
          <w:highlight w:val="none"/>
        </w:rPr>
        <w:t>个月，缺陷责任期自工程通过竣工验收合格之日起计算。单位工程先于全部工程进行验收，单位工程缺陷责任期自单位工程验收合格之日起算。</w:t>
      </w:r>
    </w:p>
    <w:p w14:paraId="5E1BD906">
      <w:pPr>
        <w:pStyle w:val="108"/>
        <w:keepNext w:val="0"/>
        <w:keepLines w:val="0"/>
        <w:widowControl w:val="0"/>
        <w:kinsoku/>
        <w:wordWrap/>
        <w:overflowPunct/>
        <w:topLinePunct w:val="0"/>
        <w:bidi w:val="0"/>
        <w:adjustRightInd/>
        <w:snapToGrid/>
        <w:spacing w:beforeLines="0" w:afterLines="0" w:line="360" w:lineRule="auto"/>
        <w:ind w:firstLine="480" w:firstLineChars="2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缺陷责任期终止后，发包人应退还剩余的质量保证金。</w:t>
      </w:r>
    </w:p>
    <w:p w14:paraId="25423339">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bookmarkStart w:id="1897" w:name="_Toc20693"/>
      <w:r>
        <w:rPr>
          <w:rFonts w:hint="default" w:ascii="宋体" w:hAnsi="宋体" w:eastAsia="宋体" w:cs="宋体"/>
          <w:color w:val="auto"/>
          <w:sz w:val="24"/>
          <w:szCs w:val="24"/>
          <w:highlight w:val="none"/>
        </w:rPr>
        <w:t>四、质量保修责任</w:t>
      </w:r>
      <w:bookmarkEnd w:id="1897"/>
    </w:p>
    <w:p w14:paraId="548B4657">
      <w:pPr>
        <w:pStyle w:val="108"/>
        <w:keepNext w:val="0"/>
        <w:keepLines w:val="0"/>
        <w:widowControl w:val="0"/>
        <w:kinsoku/>
        <w:wordWrap/>
        <w:overflowPunct/>
        <w:topLinePunct w:val="0"/>
        <w:bidi w:val="0"/>
        <w:adjustRightInd/>
        <w:snapToGrid/>
        <w:spacing w:beforeLines="0" w:afterLines="0" w:line="360" w:lineRule="auto"/>
        <w:ind w:left="105" w:leftChars="50" w:firstLine="491" w:firstLineChars="205"/>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1．属于保修范围、内容的项目，承包人应当在接到保修通知之日起七日内派人保修。承包人不在约定期限内派人保修的，发包人可以委托他人修理，修理费用由承包人承担。</w:t>
      </w:r>
    </w:p>
    <w:p w14:paraId="0D8E4FE9">
      <w:pPr>
        <w:pStyle w:val="108"/>
        <w:keepNext w:val="0"/>
        <w:keepLines w:val="0"/>
        <w:widowControl w:val="0"/>
        <w:kinsoku/>
        <w:wordWrap/>
        <w:overflowPunct/>
        <w:topLinePunct w:val="0"/>
        <w:bidi w:val="0"/>
        <w:adjustRightInd/>
        <w:snapToGrid/>
        <w:spacing w:beforeLines="0" w:afterLines="0" w:line="360" w:lineRule="auto"/>
        <w:ind w:left="105" w:leftChars="50" w:firstLine="491" w:firstLineChars="205"/>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2．发生紧急事故需抢修的，承包人在接到事故通知后，应当立即到达事故现场抢修，抢修费用由发包人承担。</w:t>
      </w:r>
    </w:p>
    <w:p w14:paraId="109D1D18">
      <w:pPr>
        <w:pStyle w:val="108"/>
        <w:keepNext w:val="0"/>
        <w:keepLines w:val="0"/>
        <w:widowControl w:val="0"/>
        <w:kinsoku/>
        <w:wordWrap/>
        <w:overflowPunct/>
        <w:topLinePunct w:val="0"/>
        <w:bidi w:val="0"/>
        <w:adjustRightInd/>
        <w:snapToGrid/>
        <w:spacing w:beforeLines="0" w:afterLines="0" w:line="360" w:lineRule="auto"/>
        <w:ind w:left="105" w:leftChars="50" w:firstLine="491" w:firstLineChars="205"/>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4BBEC7D">
      <w:pPr>
        <w:pStyle w:val="108"/>
        <w:keepNext w:val="0"/>
        <w:keepLines w:val="0"/>
        <w:widowControl w:val="0"/>
        <w:kinsoku/>
        <w:wordWrap/>
        <w:overflowPunct/>
        <w:topLinePunct w:val="0"/>
        <w:bidi w:val="0"/>
        <w:adjustRightInd/>
        <w:snapToGrid/>
        <w:spacing w:beforeLines="0" w:afterLines="0" w:line="360" w:lineRule="auto"/>
        <w:ind w:left="420" w:leftChars="200" w:firstLine="120" w:firstLineChars="5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4．质量保修完成后，由发包人组织验收。</w:t>
      </w:r>
    </w:p>
    <w:p w14:paraId="43F914C1">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898" w:name="_Toc15942"/>
      <w:r>
        <w:rPr>
          <w:rFonts w:hint="default" w:ascii="宋体" w:hAnsi="宋体" w:eastAsia="宋体" w:cs="宋体"/>
          <w:color w:val="auto"/>
          <w:sz w:val="24"/>
          <w:szCs w:val="24"/>
          <w:highlight w:val="none"/>
        </w:rPr>
        <w:t>五、保修费用</w:t>
      </w:r>
      <w:bookmarkEnd w:id="1898"/>
    </w:p>
    <w:p w14:paraId="50910900">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保修费用由造成质量缺陷的责任方承担。</w:t>
      </w:r>
    </w:p>
    <w:p w14:paraId="4579F4FF">
      <w:pPr>
        <w:pStyle w:val="112"/>
        <w:keepNext w:val="0"/>
        <w:keepLines w:val="0"/>
        <w:widowControl w:val="0"/>
        <w:kinsoku/>
        <w:wordWrap/>
        <w:overflowPunct/>
        <w:topLinePunct w:val="0"/>
        <w:bidi w:val="0"/>
        <w:adjustRightInd/>
        <w:snapToGrid/>
        <w:spacing w:before="151" w:beforeLines="0" w:afterLines="0" w:line="362" w:lineRule="auto"/>
        <w:ind w:left="63" w:right="63" w:firstLine="420"/>
        <w:textAlignment w:val="auto"/>
        <w:outlineLvl w:val="9"/>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六</w:t>
      </w:r>
      <w:r>
        <w:rPr>
          <w:rFonts w:hint="default" w:ascii="宋体" w:hAnsi="宋体" w:eastAsia="宋体" w:cs="宋体"/>
          <w:color w:val="auto"/>
          <w:sz w:val="24"/>
          <w:szCs w:val="24"/>
          <w:highlight w:val="none"/>
        </w:rPr>
        <w:t>、双方约定的其他工程质量保修事项：</w:t>
      </w:r>
      <w:r>
        <w:rPr>
          <w:rFonts w:hint="default" w:ascii="宋体" w:hAnsi="宋体" w:eastAsia="宋体" w:cs="宋体"/>
          <w:color w:val="auto"/>
          <w:sz w:val="24"/>
          <w:szCs w:val="24"/>
          <w:highlight w:val="none"/>
          <w:u w:val="single"/>
          <w:lang w:bidi="zh-CN"/>
        </w:rPr>
        <w:t>保修期内，如发生属承包人责任的质量问题，按本保修书第四条约定，发包人委托他人修理,其费用由发包人从未偿还承包人工程款中扣除</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4A7FC405">
      <w:pPr>
        <w:pStyle w:val="108"/>
        <w:keepNext w:val="0"/>
        <w:keepLines w:val="0"/>
        <w:widowControl w:val="0"/>
        <w:kinsoku/>
        <w:wordWrap/>
        <w:overflowPunct/>
        <w:topLinePunct w:val="0"/>
        <w:bidi w:val="0"/>
        <w:adjustRightInd/>
        <w:snapToGrid/>
        <w:spacing w:beforeLines="0" w:afterLines="0" w:line="360" w:lineRule="auto"/>
        <w:ind w:firstLine="456" w:firstLineChars="19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工程质量保修书由发包人、承包人在工程竣工验收前共同签署，作为施工合同附件，其有效期限至保修期满。</w:t>
      </w:r>
    </w:p>
    <w:p w14:paraId="5DD2C9FA">
      <w:pPr>
        <w:pStyle w:val="108"/>
        <w:keepNext w:val="0"/>
        <w:keepLines w:val="0"/>
        <w:widowControl w:val="0"/>
        <w:kinsoku/>
        <w:wordWrap/>
        <w:overflowPunct/>
        <w:topLinePunct w:val="0"/>
        <w:bidi w:val="0"/>
        <w:adjustRightInd/>
        <w:snapToGrid/>
        <w:spacing w:beforeLines="0" w:afterLines="0" w:line="360" w:lineRule="auto"/>
        <w:ind w:firstLine="1200" w:firstLineChars="500"/>
        <w:textAlignment w:val="auto"/>
        <w:outlineLvl w:val="9"/>
        <w:rPr>
          <w:rFonts w:hint="default" w:ascii="宋体" w:hAnsi="宋体" w:eastAsia="宋体" w:cs="宋体"/>
          <w:color w:val="auto"/>
          <w:sz w:val="24"/>
          <w:szCs w:val="24"/>
          <w:highlight w:val="none"/>
        </w:rPr>
      </w:pPr>
    </w:p>
    <w:p w14:paraId="0EB4672C">
      <w:pPr>
        <w:pStyle w:val="108"/>
        <w:keepNext w:val="0"/>
        <w:keepLines w:val="0"/>
        <w:widowControl w:val="0"/>
        <w:kinsoku/>
        <w:wordWrap/>
        <w:overflowPunct/>
        <w:topLinePunct w:val="0"/>
        <w:bidi w:val="0"/>
        <w:adjustRightInd/>
        <w:snapToGrid/>
        <w:spacing w:beforeLines="0" w:afterLines="0" w:line="360" w:lineRule="auto"/>
        <w:ind w:firstLine="1200" w:firstLineChars="500"/>
        <w:textAlignment w:val="auto"/>
        <w:outlineLvl w:val="9"/>
        <w:rPr>
          <w:rFonts w:hint="default" w:ascii="宋体" w:hAnsi="宋体" w:eastAsia="宋体" w:cs="宋体"/>
          <w:color w:val="auto"/>
          <w:sz w:val="24"/>
          <w:szCs w:val="24"/>
          <w:highlight w:val="none"/>
        </w:rPr>
      </w:pPr>
    </w:p>
    <w:p w14:paraId="7BD53084">
      <w:pPr>
        <w:pStyle w:val="108"/>
        <w:keepNext w:val="0"/>
        <w:keepLines w:val="0"/>
        <w:widowControl w:val="0"/>
        <w:kinsoku/>
        <w:wordWrap/>
        <w:overflowPunct/>
        <w:topLinePunct w:val="0"/>
        <w:bidi w:val="0"/>
        <w:adjustRightInd/>
        <w:snapToGrid/>
        <w:spacing w:beforeLines="0" w:afterLines="0" w:line="360" w:lineRule="auto"/>
        <w:ind w:left="7245" w:hanging="8280" w:hangingChars="3450"/>
        <w:textAlignment w:val="auto"/>
        <w:outlineLvl w:val="9"/>
        <w:rPr>
          <w:rFonts w:hint="default" w:ascii="宋体" w:hAnsi="宋体" w:eastAsia="宋体" w:cs="宋体"/>
          <w:color w:val="auto"/>
          <w:sz w:val="24"/>
          <w:szCs w:val="24"/>
          <w:highlight w:val="none"/>
          <w:u w:val="single"/>
          <w:lang w:eastAsia="zh-CN"/>
        </w:rPr>
      </w:pPr>
      <w:r>
        <w:rPr>
          <w:rFonts w:hint="default" w:ascii="宋体" w:hAnsi="宋体" w:eastAsia="宋体" w:cs="宋体"/>
          <w:color w:val="auto"/>
          <w:sz w:val="24"/>
          <w:szCs w:val="24"/>
          <w:highlight w:val="none"/>
        </w:rPr>
        <w:t>发包人(公章)：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7F97878C">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         地  址：</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72183EDF">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法定代表人(签字)：</w:t>
      </w:r>
      <w:r>
        <w:rPr>
          <w:rFonts w:hint="default" w:ascii="宋体" w:hAnsi="宋体" w:eastAsia="宋体" w:cs="宋体"/>
          <w:color w:val="auto"/>
          <w:sz w:val="24"/>
          <w:szCs w:val="24"/>
          <w:highlight w:val="none"/>
          <w:u w:val="single"/>
        </w:rPr>
        <w:t xml:space="preserve">           </w:t>
      </w:r>
    </w:p>
    <w:p w14:paraId="1090A5D9">
      <w:pPr>
        <w:pStyle w:val="108"/>
        <w:keepNext w:val="0"/>
        <w:keepLines w:val="0"/>
        <w:widowControl w:val="0"/>
        <w:kinsoku/>
        <w:wordWrap/>
        <w:overflowPunct/>
        <w:topLinePunct w:val="0"/>
        <w:bidi w:val="0"/>
        <w:adjustRightInd/>
        <w:snapToGrid/>
        <w:spacing w:beforeLines="0" w:afterLines="0" w:line="360" w:lineRule="auto"/>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p>
    <w:p w14:paraId="3C8BE0C3">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4"/>
          <w:szCs w:val="24"/>
          <w:highlight w:val="none"/>
        </w:rPr>
      </w:pPr>
    </w:p>
    <w:p w14:paraId="7F3A98EC">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34DF1A5F">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3AB0BBE2">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42575A95">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349D91F5">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67FF7147">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1BC9A44C">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47C824FA">
      <w:pPr>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07AF6BA7">
      <w:pPr>
        <w:pStyle w:val="8"/>
        <w:keepNext w:val="0"/>
        <w:keepLines w:val="0"/>
        <w:widowControl w:val="0"/>
        <w:kinsoku/>
        <w:wordWrap/>
        <w:overflowPunct/>
        <w:topLinePunct w:val="0"/>
        <w:bidi w:val="0"/>
        <w:adjustRightInd/>
        <w:snapToGrid/>
        <w:textAlignment w:val="auto"/>
        <w:outlineLvl w:val="9"/>
        <w:rPr>
          <w:rFonts w:hint="default" w:ascii="宋体" w:hAnsi="宋体" w:eastAsia="宋体" w:cs="宋体"/>
          <w:color w:val="auto"/>
          <w:sz w:val="20"/>
          <w:szCs w:val="20"/>
          <w:highlight w:val="none"/>
        </w:rPr>
      </w:pPr>
    </w:p>
    <w:p w14:paraId="09D6AEAD">
      <w:pPr>
        <w:keepNext w:val="0"/>
        <w:keepLines w:val="0"/>
        <w:widowControl w:val="0"/>
        <w:kinsoku/>
        <w:wordWrap/>
        <w:overflowPunct/>
        <w:topLinePunct w:val="0"/>
        <w:bidi w:val="0"/>
        <w:adjustRightInd/>
        <w:snapToGrid/>
        <w:textAlignment w:val="auto"/>
        <w:outlineLvl w:val="9"/>
        <w:rPr>
          <w:rFonts w:hint="default" w:ascii="宋体" w:eastAsia="宋体"/>
          <w:color w:val="auto"/>
          <w:sz w:val="21"/>
          <w:szCs w:val="24"/>
          <w:highlight w:val="none"/>
        </w:rPr>
      </w:pPr>
    </w:p>
    <w:p w14:paraId="315D657C">
      <w:pPr>
        <w:keepNext w:val="0"/>
        <w:keepLines w:val="0"/>
        <w:widowControl w:val="0"/>
        <w:kinsoku/>
        <w:wordWrap/>
        <w:overflowPunct/>
        <w:topLinePunct w:val="0"/>
        <w:bidi w:val="0"/>
        <w:adjustRightInd/>
        <w:snapToGrid/>
        <w:textAlignment w:val="auto"/>
        <w:outlineLvl w:val="9"/>
        <w:rPr>
          <w:rFonts w:hint="default" w:ascii="宋体" w:hAnsi="宋体" w:eastAsia="宋体" w:cs="宋体"/>
          <w:b/>
          <w:color w:val="auto"/>
          <w:sz w:val="28"/>
          <w:szCs w:val="28"/>
          <w:highlight w:val="none"/>
        </w:rPr>
      </w:pPr>
    </w:p>
    <w:p w14:paraId="0772DAB2">
      <w:pPr>
        <w:keepNext w:val="0"/>
        <w:keepLines w:val="0"/>
        <w:widowControl w:val="0"/>
        <w:kinsoku/>
        <w:wordWrap/>
        <w:overflowPunct/>
        <w:topLinePunct w:val="0"/>
        <w:bidi w:val="0"/>
        <w:adjustRightInd/>
        <w:snapToGrid/>
        <w:textAlignment w:val="auto"/>
        <w:outlineLvl w:val="9"/>
        <w:rPr>
          <w:rFonts w:hint="default" w:ascii="宋体" w:eastAsia="宋体"/>
          <w:b/>
          <w:color w:val="auto"/>
          <w:sz w:val="28"/>
          <w:szCs w:val="28"/>
          <w:highlight w:val="none"/>
        </w:rPr>
      </w:pPr>
      <w:r>
        <w:rPr>
          <w:rFonts w:hint="default" w:ascii="宋体" w:eastAsia="宋体"/>
          <w:b/>
          <w:color w:val="auto"/>
          <w:sz w:val="28"/>
          <w:szCs w:val="28"/>
          <w:highlight w:val="none"/>
        </w:rPr>
        <w:t>附件</w:t>
      </w:r>
      <w:r>
        <w:rPr>
          <w:rFonts w:hint="eastAsia" w:ascii="宋体" w:eastAsia="宋体"/>
          <w:b/>
          <w:color w:val="auto"/>
          <w:sz w:val="28"/>
          <w:szCs w:val="28"/>
          <w:highlight w:val="none"/>
          <w:lang w:eastAsia="zh-CN"/>
        </w:rPr>
        <w:t>五</w:t>
      </w:r>
      <w:r>
        <w:rPr>
          <w:rFonts w:hint="default" w:ascii="宋体" w:eastAsia="宋体"/>
          <w:b/>
          <w:color w:val="auto"/>
          <w:sz w:val="28"/>
          <w:szCs w:val="28"/>
          <w:highlight w:val="none"/>
        </w:rPr>
        <w:t>：廉政合同</w:t>
      </w:r>
    </w:p>
    <w:p w14:paraId="690AF5A7">
      <w:pPr>
        <w:pStyle w:val="112"/>
        <w:keepNext w:val="0"/>
        <w:keepLines w:val="0"/>
        <w:widowControl w:val="0"/>
        <w:kinsoku/>
        <w:wordWrap/>
        <w:overflowPunct/>
        <w:topLinePunct w:val="0"/>
        <w:bidi w:val="0"/>
        <w:adjustRightInd/>
        <w:snapToGrid/>
        <w:spacing w:before="9" w:beforeLines="0" w:afterLines="0"/>
        <w:ind w:left="63" w:right="63"/>
        <w:textAlignment w:val="auto"/>
        <w:outlineLvl w:val="9"/>
        <w:rPr>
          <w:rFonts w:hint="default" w:ascii="宋体" w:hAnsi="宋体" w:eastAsia="宋体" w:cs="宋体"/>
          <w:b/>
          <w:color w:val="auto"/>
          <w:sz w:val="24"/>
          <w:szCs w:val="24"/>
          <w:highlight w:val="none"/>
        </w:rPr>
      </w:pPr>
    </w:p>
    <w:p w14:paraId="4E0CCE63">
      <w:pPr>
        <w:pStyle w:val="108"/>
        <w:keepNext w:val="0"/>
        <w:keepLines w:val="0"/>
        <w:widowControl w:val="0"/>
        <w:kinsoku/>
        <w:wordWrap/>
        <w:overflowPunct/>
        <w:topLinePunct w:val="0"/>
        <w:bidi w:val="0"/>
        <w:adjustRightInd/>
        <w:snapToGrid/>
        <w:spacing w:beforeLines="0" w:afterLines="0"/>
        <w:ind w:left="564" w:right="1167"/>
        <w:jc w:val="center"/>
        <w:textAlignment w:val="auto"/>
        <w:outlineLvl w:val="9"/>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廉政合同</w:t>
      </w:r>
    </w:p>
    <w:p w14:paraId="4ABB1F88">
      <w:pPr>
        <w:pStyle w:val="112"/>
        <w:keepNext w:val="0"/>
        <w:keepLines w:val="0"/>
        <w:widowControl w:val="0"/>
        <w:kinsoku/>
        <w:wordWrap/>
        <w:overflowPunct/>
        <w:topLinePunct w:val="0"/>
        <w:bidi w:val="0"/>
        <w:adjustRightInd/>
        <w:snapToGrid/>
        <w:spacing w:before="12" w:beforeLines="0" w:afterLines="0"/>
        <w:ind w:left="63" w:right="63" w:firstLine="480" w:firstLineChars="200"/>
        <w:textAlignment w:val="auto"/>
        <w:outlineLvl w:val="9"/>
        <w:rPr>
          <w:rFonts w:hint="default" w:ascii="宋体" w:hAnsi="宋体" w:eastAsia="宋体" w:cs="宋体"/>
          <w:color w:val="auto"/>
          <w:sz w:val="24"/>
          <w:szCs w:val="24"/>
          <w:highlight w:val="none"/>
          <w:lang w:eastAsia="zh-CN"/>
        </w:rPr>
      </w:pPr>
    </w:p>
    <w:p w14:paraId="79F47DBF">
      <w:pPr>
        <w:pStyle w:val="112"/>
        <w:keepNext w:val="0"/>
        <w:keepLines w:val="0"/>
        <w:pageBreakBefore w:val="0"/>
        <w:widowControl w:val="0"/>
        <w:kinsoku/>
        <w:wordWrap/>
        <w:overflowPunct/>
        <w:topLinePunct w:val="0"/>
        <w:bidi w:val="0"/>
        <w:adjustRightInd/>
        <w:snapToGrid/>
        <w:spacing w:before="12" w:beforeLines="0" w:afterLines="0" w:line="440" w:lineRule="exact"/>
        <w:ind w:left="63" w:right="63" w:firstLine="720" w:firstLineChars="3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根据国家有关工程建设、廉政建设的规定，为做好工程建设中的党风廉政建设，保证工程建设高效优质，保证建设资金的安全和有效使用以及投资效益，建设工程的项目法人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（以下简称“甲方”）与总承包单位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（以下简称“乙方”），特订立如下合同。</w:t>
      </w:r>
    </w:p>
    <w:p w14:paraId="523184C1">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bookmarkStart w:id="1899" w:name="1.甲乙双方的权利和义务"/>
      <w:bookmarkEnd w:id="1899"/>
      <w:r>
        <w:rPr>
          <w:rFonts w:hint="default" w:ascii="宋体" w:hAnsi="宋体" w:eastAsia="宋体" w:cs="宋体"/>
          <w:color w:val="auto"/>
          <w:sz w:val="24"/>
          <w:szCs w:val="24"/>
          <w:highlight w:val="none"/>
          <w:lang w:bidi="zh-CN"/>
        </w:rPr>
        <w:t>1.甲乙双方的权利和义务</w:t>
      </w:r>
    </w:p>
    <w:p w14:paraId="267A373D">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（1）严格遵守党和国家的有关法律法规及中纪委监察部的有关规定。</w:t>
      </w:r>
    </w:p>
    <w:p w14:paraId="407AB20C">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（2）严格执行工程的合同文件，自觉按合同办事。</w:t>
      </w:r>
    </w:p>
    <w:p w14:paraId="57663D36">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（3）双方的业务活动坚持公开、公正、诚信、透明的原则（法律认定的商业秘密和合同文件另有规定除外），不得损害国家和集体利益，违反工程建设管理规章制度。</w:t>
      </w:r>
    </w:p>
    <w:p w14:paraId="3114121F">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（4）建立健全廉政制度，开展廉政教育，设立廉政告示牌，公布举报电话，监督并认真查处违法违纪行为。</w:t>
      </w:r>
    </w:p>
    <w:p w14:paraId="3D1028CD">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（5）发现对方在业务活动中有违反廉政规定的行为，有及时提醒对方纠正的权利及义务。</w:t>
      </w:r>
    </w:p>
    <w:p w14:paraId="793729F2">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（6）发现对方严重违反本合同义务条款的行为，有向其上级有关部门举报、建议给予处理并要求告知处理结果的权利。</w:t>
      </w:r>
    </w:p>
    <w:p w14:paraId="5F5DD7E3">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bookmarkStart w:id="1900" w:name="2.甲方的义务"/>
      <w:bookmarkEnd w:id="1900"/>
      <w:bookmarkStart w:id="1901" w:name="_Toc28110"/>
      <w:r>
        <w:rPr>
          <w:rFonts w:hint="default" w:ascii="宋体" w:hAnsi="宋体" w:eastAsia="宋体" w:cs="宋体"/>
          <w:color w:val="auto"/>
          <w:sz w:val="24"/>
          <w:szCs w:val="24"/>
          <w:highlight w:val="none"/>
          <w:lang w:bidi="zh-CN"/>
        </w:rPr>
        <w:t>2.甲方的义务</w:t>
      </w:r>
      <w:bookmarkEnd w:id="1901"/>
    </w:p>
    <w:p w14:paraId="777ED4E6">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（1）甲方及其工作人员不得索要或接受乙方的礼金、有价证券和贵重物品，不得在乙方报销任何应由甲方或甲方工作人员个人支付的费用等。</w:t>
      </w:r>
    </w:p>
    <w:p w14:paraId="02656178">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（2）甲方工作人员不得参加乙方安排的超标准宴请和娱乐活动；不得接受乙方提供的通讯工具、交通工具和高档办公用品等。</w:t>
      </w:r>
    </w:p>
    <w:p w14:paraId="346BAE6D">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（3）甲方及其工作人员不得要求或者接受乙方为其住房装修、婚丧嫁娶活动、配偶子女的工作安排以及出国出境、旅游等提供方便等。</w:t>
      </w:r>
    </w:p>
    <w:p w14:paraId="0D7E08DC">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（4）甲方工作人及其配偶、子女不得从事与甲方工程有关的材料设备供应、工程分包、劳务等经济活动等。</w:t>
      </w:r>
    </w:p>
    <w:p w14:paraId="24BF45EB">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（5）甲方及其工作人员不得以任何理由向乙方推荐分包单位或推销材料，不得要求乙方购买合同规定外的材料和设备。</w:t>
      </w:r>
    </w:p>
    <w:p w14:paraId="1E15179E">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（6）甲方工作人员要秉公办事，不准营私舞弊，不准利用职权从事各种个人有偿中介活动和安排个人施工队伍。</w:t>
      </w:r>
    </w:p>
    <w:p w14:paraId="24825E35">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bookmarkStart w:id="1902" w:name="3.乙方义务"/>
      <w:bookmarkEnd w:id="1902"/>
      <w:bookmarkStart w:id="1903" w:name="_Toc17187"/>
      <w:r>
        <w:rPr>
          <w:rFonts w:hint="default" w:ascii="宋体" w:hAnsi="宋体" w:eastAsia="宋体" w:cs="宋体"/>
          <w:color w:val="auto"/>
          <w:sz w:val="24"/>
          <w:szCs w:val="24"/>
          <w:highlight w:val="none"/>
          <w:lang w:bidi="zh-CN"/>
        </w:rPr>
        <w:t>3.乙方义务</w:t>
      </w:r>
      <w:bookmarkEnd w:id="1903"/>
    </w:p>
    <w:p w14:paraId="4DD7EDB9">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（1）乙方不得以任何理由向甲方及其工作人员行贿或馈赠礼金、有价证券、贵重礼品。</w:t>
      </w:r>
    </w:p>
    <w:p w14:paraId="006E7625">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（2）乙方不得以任何名义为甲方及其工作人员报销应由甲方单位或个人支付的任何费用。</w:t>
      </w:r>
    </w:p>
    <w:p w14:paraId="07410F82">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（3）乙方不得以任何理由安排甲方工作人员参加超标准宴请及娱乐活动。</w:t>
      </w:r>
    </w:p>
    <w:p w14:paraId="046D6460">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（4）乙方不得为甲方单位和个人购置或提供通讯工具、交通工具和高档办公用品等。</w:t>
      </w:r>
    </w:p>
    <w:p w14:paraId="1E13D20F">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outlineLvl w:val="9"/>
        <w:rPr>
          <w:rFonts w:hint="default" w:ascii="宋体" w:hAnsi="宋体" w:eastAsia="宋体" w:cs="宋体"/>
          <w:color w:val="auto"/>
          <w:sz w:val="24"/>
          <w:szCs w:val="24"/>
          <w:highlight w:val="none"/>
          <w:lang w:bidi="zh-CN"/>
        </w:rPr>
      </w:pPr>
      <w:bookmarkStart w:id="1904" w:name="_bookmark334"/>
      <w:bookmarkEnd w:id="1904"/>
      <w:bookmarkStart w:id="1905" w:name="4.违约责任"/>
      <w:bookmarkEnd w:id="1905"/>
      <w:r>
        <w:rPr>
          <w:rFonts w:hint="default" w:ascii="宋体" w:hAnsi="宋体" w:eastAsia="宋体" w:cs="宋体"/>
          <w:color w:val="auto"/>
          <w:sz w:val="24"/>
          <w:szCs w:val="24"/>
          <w:highlight w:val="none"/>
          <w:lang w:bidi="zh-CN"/>
        </w:rPr>
        <w:t>4.违约责任</w:t>
      </w:r>
    </w:p>
    <w:p w14:paraId="092CDB1D">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（1）甲方及其工作人员违反本合同第一、二条，按管理权限，依据有关规定给予党纪、政纪或组织处理；涉嫌犯罪的，移交司法机关追究刑事责任；给乙方单位造成经济损失的，应予以赔偿。</w:t>
      </w:r>
    </w:p>
    <w:p w14:paraId="1050F4F3">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37AC1CB7">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双方约定：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44C5C67C">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6.本合同有效期为甲乙双方签署之日起至该工程项目竣工验收后止。</w:t>
      </w:r>
    </w:p>
    <w:p w14:paraId="4A30E9CA">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7.本合同作为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lang w:bidi="zh-CN"/>
        </w:rPr>
        <w:t>（项目名称）合同的附件，与工程施工合同具有同等的法律效力。</w:t>
      </w:r>
    </w:p>
    <w:p w14:paraId="434F8993">
      <w:pPr>
        <w:pStyle w:val="113"/>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bookmarkStart w:id="1906" w:name="8._本合同正本一式三份，副本十二份。由双方法定代表人或其授权的代理人签署与加盖"/>
      <w:bookmarkEnd w:id="1906"/>
      <w:bookmarkStart w:id="1907" w:name="_bookmark335"/>
      <w:bookmarkEnd w:id="1907"/>
      <w:r>
        <w:rPr>
          <w:rFonts w:hint="default" w:ascii="宋体" w:hAnsi="宋体" w:eastAsia="宋体" w:cs="宋体"/>
          <w:color w:val="auto"/>
          <w:sz w:val="24"/>
          <w:szCs w:val="24"/>
          <w:highlight w:val="none"/>
          <w:lang w:bidi="zh-CN"/>
        </w:rPr>
        <w:t>8.本合同正本一式三份，副本十二份。由双方法定代表人或其授权的代理人签署与加盖公章后生效，全部工程竣工验收合格后失效。</w:t>
      </w:r>
    </w:p>
    <w:p w14:paraId="69471147">
      <w:pPr>
        <w:pStyle w:val="113"/>
        <w:keepNext w:val="0"/>
        <w:keepLines w:val="0"/>
        <w:widowControl w:val="0"/>
        <w:tabs>
          <w:tab w:val="left" w:pos="1468"/>
        </w:tabs>
        <w:kinsoku/>
        <w:wordWrap/>
        <w:overflowPunct/>
        <w:topLinePunct w:val="0"/>
        <w:autoSpaceDE w:val="0"/>
        <w:autoSpaceDN w:val="0"/>
        <w:bidi w:val="0"/>
        <w:adjustRightInd/>
        <w:snapToGrid/>
        <w:spacing w:beforeLines="0" w:afterLines="0" w:line="360" w:lineRule="exact"/>
        <w:ind w:left="210" w:leftChars="100" w:right="210" w:rightChars="100" w:firstLineChars="200"/>
        <w:textAlignment w:val="auto"/>
        <w:outlineLvl w:val="9"/>
        <w:rPr>
          <w:rFonts w:hint="default" w:ascii="宋体" w:hAnsi="宋体" w:eastAsia="宋体" w:cs="宋体"/>
          <w:color w:val="auto"/>
          <w:sz w:val="24"/>
          <w:szCs w:val="24"/>
          <w:highlight w:val="none"/>
          <w:lang w:bidi="zh-CN"/>
        </w:rPr>
      </w:pPr>
    </w:p>
    <w:p w14:paraId="73435AA6">
      <w:pPr>
        <w:pStyle w:val="112"/>
        <w:keepNext w:val="0"/>
        <w:keepLines w:val="0"/>
        <w:widowControl w:val="0"/>
        <w:kinsoku/>
        <w:wordWrap/>
        <w:overflowPunct/>
        <w:topLinePunct w:val="0"/>
        <w:bidi w:val="0"/>
        <w:adjustRightInd/>
        <w:snapToGrid/>
        <w:spacing w:before="136" w:beforeLines="0" w:afterLines="0" w:line="360" w:lineRule="auto"/>
        <w:ind w:left="63" w:right="63"/>
        <w:textAlignment w:val="auto"/>
        <w:outlineLvl w:val="9"/>
        <w:rPr>
          <w:rFonts w:hint="default" w:ascii="宋体" w:hAnsi="宋体" w:eastAsia="宋体" w:cs="宋体"/>
          <w:color w:val="auto"/>
          <w:sz w:val="24"/>
          <w:szCs w:val="24"/>
          <w:highlight w:val="none"/>
        </w:rPr>
      </w:pPr>
      <w:bookmarkStart w:id="1908" w:name="_bookmark336"/>
      <w:bookmarkEnd w:id="1908"/>
      <w:bookmarkStart w:id="1909" w:name="附件五：_安全生产合同"/>
      <w:bookmarkEnd w:id="1909"/>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（公章或合同专用章）</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0C55F996">
      <w:pPr>
        <w:pStyle w:val="112"/>
        <w:keepNext w:val="0"/>
        <w:keepLines w:val="0"/>
        <w:widowControl w:val="0"/>
        <w:kinsoku/>
        <w:wordWrap/>
        <w:overflowPunct/>
        <w:topLinePunct w:val="0"/>
        <w:bidi w:val="0"/>
        <w:adjustRightInd/>
        <w:snapToGrid/>
        <w:spacing w:before="136" w:beforeLines="0" w:afterLines="0" w:line="360" w:lineRule="auto"/>
        <w:ind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7D2FDD20">
      <w:pPr>
        <w:pStyle w:val="112"/>
        <w:keepNext w:val="0"/>
        <w:keepLines w:val="0"/>
        <w:widowControl w:val="0"/>
        <w:kinsoku/>
        <w:wordWrap/>
        <w:overflowPunct/>
        <w:topLinePunct w:val="0"/>
        <w:bidi w:val="0"/>
        <w:adjustRightInd/>
        <w:snapToGrid/>
        <w:spacing w:before="136" w:beforeLines="0" w:afterLines="0" w:line="360" w:lineRule="auto"/>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7FA5FFA9">
      <w:pPr>
        <w:pStyle w:val="108"/>
        <w:keepNext w:val="0"/>
        <w:keepLines w:val="0"/>
        <w:widowControl w:val="0"/>
        <w:kinsoku/>
        <w:wordWrap/>
        <w:overflowPunct/>
        <w:topLinePunct w:val="0"/>
        <w:bidi w:val="0"/>
        <w:adjustRightInd/>
        <w:snapToGrid/>
        <w:spacing w:beforeLines="0" w:afterLines="0" w:line="360" w:lineRule="auto"/>
        <w:ind w:left="6250" w:hanging="7000" w:hangingChars="2500"/>
        <w:textAlignment w:val="auto"/>
        <w:outlineLvl w:val="9"/>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p>
    <w:p w14:paraId="4C74B0AA">
      <w:pPr>
        <w:pStyle w:val="112"/>
        <w:keepNext w:val="0"/>
        <w:keepLines w:val="0"/>
        <w:widowControl w:val="0"/>
        <w:kinsoku/>
        <w:wordWrap/>
        <w:overflowPunct/>
        <w:topLinePunct w:val="0"/>
        <w:bidi w:val="0"/>
        <w:adjustRightInd/>
        <w:snapToGrid/>
        <w:spacing w:before="12" w:beforeLines="0" w:afterLines="0" w:line="360" w:lineRule="auto"/>
        <w:ind w:left="63" w:right="63"/>
        <w:textAlignment w:val="auto"/>
        <w:outlineLvl w:val="9"/>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日期：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w:t>
      </w:r>
      <w:r>
        <w:rPr>
          <w:rFonts w:hint="eastAsia" w:ascii="宋体" w:hAnsi="宋体" w:eastAsia="宋体" w:cs="宋体"/>
          <w:color w:val="auto"/>
          <w:spacing w:val="20"/>
          <w:sz w:val="24"/>
          <w:szCs w:val="24"/>
          <w:highlight w:val="none"/>
          <w:lang w:val="en-US" w:eastAsia="zh-CN"/>
        </w:rPr>
        <w:t xml:space="preserve">   </w:t>
      </w: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387EF506">
      <w:pPr>
        <w:pStyle w:val="114"/>
        <w:keepNext w:val="0"/>
        <w:keepLines w:val="0"/>
        <w:pageBreakBefore/>
        <w:widowControl w:val="0"/>
        <w:kinsoku/>
        <w:wordWrap/>
        <w:overflowPunct/>
        <w:topLinePunct w:val="0"/>
        <w:autoSpaceDE/>
        <w:autoSpaceDN/>
        <w:bidi w:val="0"/>
        <w:adjustRightInd/>
        <w:snapToGrid/>
        <w:spacing w:before="51" w:beforeLines="0" w:afterLines="0"/>
        <w:ind w:left="0"/>
        <w:textAlignment w:val="auto"/>
        <w:outlineLvl w:val="9"/>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七</w:t>
      </w:r>
      <w:r>
        <w:rPr>
          <w:rFonts w:hint="default" w:ascii="宋体" w:hAnsi="宋体" w:eastAsia="宋体" w:cs="宋体"/>
          <w:color w:val="auto"/>
          <w:sz w:val="28"/>
          <w:szCs w:val="28"/>
          <w:highlight w:val="none"/>
        </w:rPr>
        <w:t>：安全生产合同</w:t>
      </w:r>
    </w:p>
    <w:p w14:paraId="22F2696B">
      <w:pPr>
        <w:pStyle w:val="112"/>
        <w:keepNext w:val="0"/>
        <w:keepLines w:val="0"/>
        <w:widowControl w:val="0"/>
        <w:kinsoku/>
        <w:wordWrap/>
        <w:overflowPunct/>
        <w:topLinePunct w:val="0"/>
        <w:bidi w:val="0"/>
        <w:adjustRightInd/>
        <w:snapToGrid/>
        <w:spacing w:before="9" w:beforeLines="0" w:afterLines="0"/>
        <w:ind w:left="63" w:right="63"/>
        <w:textAlignment w:val="auto"/>
        <w:outlineLvl w:val="9"/>
        <w:rPr>
          <w:rFonts w:hint="default" w:ascii="宋体" w:hAnsi="宋体" w:eastAsia="宋体" w:cs="宋体"/>
          <w:b/>
          <w:color w:val="auto"/>
          <w:sz w:val="20"/>
          <w:szCs w:val="20"/>
          <w:highlight w:val="none"/>
        </w:rPr>
      </w:pPr>
    </w:p>
    <w:p w14:paraId="062D8E1A">
      <w:pPr>
        <w:pStyle w:val="108"/>
        <w:keepNext w:val="0"/>
        <w:keepLines w:val="0"/>
        <w:widowControl w:val="0"/>
        <w:kinsoku/>
        <w:wordWrap/>
        <w:overflowPunct/>
        <w:topLinePunct w:val="0"/>
        <w:bidi w:val="0"/>
        <w:adjustRightInd/>
        <w:snapToGrid/>
        <w:spacing w:beforeLines="0" w:afterLines="0"/>
        <w:ind w:left="564" w:right="1167"/>
        <w:jc w:val="center"/>
        <w:textAlignment w:val="auto"/>
        <w:outlineLvl w:val="9"/>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安全生产合同</w:t>
      </w:r>
    </w:p>
    <w:p w14:paraId="1F0B925A">
      <w:pPr>
        <w:pStyle w:val="112"/>
        <w:keepNext w:val="0"/>
        <w:keepLines w:val="0"/>
        <w:widowControl w:val="0"/>
        <w:kinsoku/>
        <w:wordWrap/>
        <w:overflowPunct/>
        <w:topLinePunct w:val="0"/>
        <w:bidi w:val="0"/>
        <w:adjustRightInd/>
        <w:snapToGrid/>
        <w:spacing w:before="12" w:beforeLines="0" w:afterLines="0" w:line="360" w:lineRule="auto"/>
        <w:ind w:left="63" w:right="63" w:firstLine="480" w:firstLineChars="200"/>
        <w:textAlignment w:val="auto"/>
        <w:outlineLvl w:val="9"/>
        <w:rPr>
          <w:rFonts w:hint="default" w:ascii="宋体" w:hAnsi="宋体" w:eastAsia="宋体" w:cs="宋体"/>
          <w:color w:val="auto"/>
          <w:sz w:val="24"/>
          <w:szCs w:val="24"/>
          <w:highlight w:val="none"/>
          <w:lang w:eastAsia="zh-CN"/>
        </w:rPr>
      </w:pPr>
    </w:p>
    <w:p w14:paraId="2954C6D3">
      <w:pPr>
        <w:pStyle w:val="112"/>
        <w:keepNext w:val="0"/>
        <w:keepLines w:val="0"/>
        <w:pageBreakBefore w:val="0"/>
        <w:widowControl w:val="0"/>
        <w:kinsoku/>
        <w:wordWrap/>
        <w:overflowPunct/>
        <w:topLinePunct w:val="0"/>
        <w:autoSpaceDE/>
        <w:autoSpaceDN/>
        <w:bidi w:val="0"/>
        <w:adjustRightInd/>
        <w:snapToGrid/>
        <w:spacing w:before="12" w:beforeLines="0" w:afterLines="0" w:line="400" w:lineRule="exact"/>
        <w:ind w:left="63" w:right="63" w:firstLine="480" w:firstLineChars="200"/>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为在</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pacing w:val="-3"/>
          <w:sz w:val="24"/>
          <w:szCs w:val="24"/>
          <w:highlight w:val="none"/>
        </w:rPr>
        <w:t>施工合同的实施过程中创造安全、高效的施工环境，切实搞好本项目的安全管理工作，本项目业主</w:t>
      </w:r>
      <w:r>
        <w:rPr>
          <w:rFonts w:hint="eastAsia" w:ascii="宋体" w:hAnsi="宋体" w:eastAsia="宋体" w:cs="宋体"/>
          <w:color w:val="auto"/>
          <w:sz w:val="24"/>
          <w:szCs w:val="24"/>
          <w:highlight w:val="none"/>
          <w:u w:val="single"/>
          <w:lang w:eastAsia="zh-CN"/>
        </w:rPr>
        <w:t>南宁市兴宁区昆仑镇人民政府</w:t>
      </w:r>
      <w:r>
        <w:rPr>
          <w:rFonts w:hint="default" w:ascii="宋体" w:hAnsi="宋体" w:eastAsia="宋体" w:cs="宋体"/>
          <w:color w:val="auto"/>
          <w:sz w:val="24"/>
          <w:szCs w:val="24"/>
          <w:highlight w:val="none"/>
        </w:rPr>
        <w:t>（</w:t>
      </w:r>
      <w:r>
        <w:rPr>
          <w:rFonts w:hint="default" w:ascii="宋体" w:hAnsi="宋体" w:eastAsia="宋体" w:cs="宋体"/>
          <w:color w:val="auto"/>
          <w:spacing w:val="-4"/>
          <w:sz w:val="24"/>
          <w:szCs w:val="24"/>
          <w:highlight w:val="none"/>
        </w:rPr>
        <w:t>以下简称“甲方</w:t>
      </w:r>
      <w:r>
        <w:rPr>
          <w:rFonts w:hint="default" w:ascii="宋体" w:hAnsi="宋体" w:eastAsia="宋体" w:cs="宋体"/>
          <w:color w:val="auto"/>
          <w:spacing w:val="-15"/>
          <w:sz w:val="24"/>
          <w:szCs w:val="24"/>
          <w:highlight w:val="none"/>
        </w:rPr>
        <w:t>”）</w:t>
      </w:r>
      <w:r>
        <w:rPr>
          <w:rFonts w:hint="default" w:ascii="宋体" w:hAnsi="宋体" w:eastAsia="宋体" w:cs="宋体"/>
          <w:color w:val="auto"/>
          <w:sz w:val="24"/>
          <w:szCs w:val="24"/>
          <w:highlight w:val="none"/>
        </w:rPr>
        <w:t>与承包人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（以下简称“乙方”）</w:t>
      </w:r>
      <w:r>
        <w:rPr>
          <w:rFonts w:hint="default" w:ascii="宋体" w:hAnsi="宋体" w:eastAsia="宋体" w:cs="宋体"/>
          <w:color w:val="auto"/>
          <w:spacing w:val="-1"/>
          <w:sz w:val="24"/>
          <w:szCs w:val="24"/>
          <w:highlight w:val="none"/>
        </w:rPr>
        <w:t>特此签订安全生产合同：</w:t>
      </w:r>
    </w:p>
    <w:p w14:paraId="4D62869C">
      <w:pPr>
        <w:pStyle w:val="115"/>
        <w:keepNext w:val="0"/>
        <w:keepLines w:val="0"/>
        <w:pageBreakBefore w:val="0"/>
        <w:widowControl w:val="0"/>
        <w:kinsoku/>
        <w:wordWrap/>
        <w:overflowPunct/>
        <w:topLinePunct w:val="0"/>
        <w:autoSpaceDE/>
        <w:autoSpaceDN/>
        <w:bidi w:val="0"/>
        <w:adjustRightInd/>
        <w:snapToGrid/>
        <w:spacing w:beforeLines="0" w:afterLines="0" w:line="400" w:lineRule="exact"/>
        <w:ind w:left="521" w:firstLine="0"/>
        <w:textAlignment w:val="auto"/>
        <w:outlineLvl w:val="9"/>
        <w:rPr>
          <w:rFonts w:hint="default" w:ascii="宋体" w:hAnsi="宋体" w:eastAsia="宋体" w:cs="宋体"/>
          <w:color w:val="auto"/>
          <w:sz w:val="24"/>
          <w:szCs w:val="24"/>
          <w:highlight w:val="none"/>
        </w:rPr>
      </w:pPr>
      <w:bookmarkStart w:id="1910" w:name="一、甲方职责"/>
      <w:bookmarkEnd w:id="1910"/>
      <w:bookmarkStart w:id="1911" w:name="_bookmark337"/>
      <w:bookmarkEnd w:id="1911"/>
      <w:bookmarkStart w:id="1912" w:name="_Toc11797"/>
      <w:r>
        <w:rPr>
          <w:rFonts w:hint="default" w:ascii="宋体" w:hAnsi="宋体" w:eastAsia="宋体" w:cs="宋体"/>
          <w:color w:val="auto"/>
          <w:sz w:val="24"/>
          <w:szCs w:val="24"/>
          <w:highlight w:val="none"/>
        </w:rPr>
        <w:t>一、甲方职责</w:t>
      </w:r>
      <w:bookmarkEnd w:id="1912"/>
    </w:p>
    <w:p w14:paraId="7BA2D574">
      <w:pPr>
        <w:pStyle w:val="112"/>
        <w:keepNext w:val="0"/>
        <w:keepLines w:val="0"/>
        <w:pageBreakBefore w:val="0"/>
        <w:widowControl w:val="0"/>
        <w:kinsoku/>
        <w:wordWrap/>
        <w:overflowPunct/>
        <w:topLinePunct w:val="0"/>
        <w:autoSpaceDE/>
        <w:autoSpaceDN/>
        <w:bidi w:val="0"/>
        <w:adjustRightInd/>
        <w:snapToGrid/>
        <w:spacing w:before="1"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1.严格遵守国家有关安全生产的法律法规，认真执行工程承包合同中的有关安全要求。</w:t>
      </w:r>
    </w:p>
    <w:p w14:paraId="55A94947">
      <w:pPr>
        <w:pStyle w:val="112"/>
        <w:keepNext w:val="0"/>
        <w:keepLines w:val="0"/>
        <w:pageBreakBefore w:val="0"/>
        <w:widowControl w:val="0"/>
        <w:kinsoku/>
        <w:wordWrap/>
        <w:overflowPunct/>
        <w:topLinePunct w:val="0"/>
        <w:autoSpaceDE/>
        <w:autoSpaceDN/>
        <w:bidi w:val="0"/>
        <w:adjustRightInd/>
        <w:snapToGrid/>
        <w:spacing w:before="137"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2.按照“安全第一、预防为主”和坚持“管生产必须管安全”的原则进行安全生产管理，做到生产与安全工作同时计划、布置、检查、总结和评比。</w:t>
      </w:r>
    </w:p>
    <w:p w14:paraId="25EF624D">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3.重要的安全设施必须坚持与主体工程“三同时”的原则，即：同时设计、审批，同时施工，同时验收，投入使用。</w:t>
      </w:r>
    </w:p>
    <w:p w14:paraId="3FF7931E">
      <w:pPr>
        <w:pStyle w:val="112"/>
        <w:keepNext w:val="0"/>
        <w:keepLines w:val="0"/>
        <w:pageBreakBefore w:val="0"/>
        <w:widowControl w:val="0"/>
        <w:kinsoku/>
        <w:wordWrap/>
        <w:overflowPunct/>
        <w:topLinePunct w:val="0"/>
        <w:autoSpaceDE/>
        <w:autoSpaceDN/>
        <w:bidi w:val="0"/>
        <w:adjustRightInd/>
        <w:snapToGrid/>
        <w:spacing w:before="137"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4.定期召开安全生产调度会，及时传达中央及地方有关安全生产的精神。</w:t>
      </w:r>
    </w:p>
    <w:p w14:paraId="14ABA497">
      <w:pPr>
        <w:pStyle w:val="112"/>
        <w:keepNext w:val="0"/>
        <w:keepLines w:val="0"/>
        <w:pageBreakBefore w:val="0"/>
        <w:widowControl w:val="0"/>
        <w:kinsoku/>
        <w:wordWrap/>
        <w:overflowPunct/>
        <w:topLinePunct w:val="0"/>
        <w:autoSpaceDE/>
        <w:autoSpaceDN/>
        <w:bidi w:val="0"/>
        <w:adjustRightInd/>
        <w:snapToGrid/>
        <w:spacing w:before="151"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5.组织对乙方施工现场安全生产检查，监督乙方及时处理发现的各种安全隐患。</w:t>
      </w:r>
    </w:p>
    <w:p w14:paraId="138FDB3C">
      <w:pPr>
        <w:pStyle w:val="108"/>
        <w:keepNext w:val="0"/>
        <w:keepLines w:val="0"/>
        <w:pageBreakBefore w:val="0"/>
        <w:widowControl w:val="0"/>
        <w:kinsoku/>
        <w:wordWrap/>
        <w:overflowPunct/>
        <w:topLinePunct w:val="0"/>
        <w:autoSpaceDE/>
        <w:autoSpaceDN/>
        <w:bidi w:val="0"/>
        <w:adjustRightInd/>
        <w:snapToGrid/>
        <w:spacing w:before="1" w:beforeLines="0" w:afterLines="0" w:line="400" w:lineRule="exact"/>
        <w:ind w:left="521"/>
        <w:textAlignment w:val="auto"/>
        <w:outlineLvl w:val="9"/>
        <w:rPr>
          <w:rFonts w:hint="default" w:ascii="宋体" w:hAnsi="宋体" w:eastAsia="宋体" w:cs="宋体"/>
          <w:b/>
          <w:color w:val="auto"/>
          <w:sz w:val="24"/>
          <w:szCs w:val="24"/>
          <w:highlight w:val="none"/>
        </w:rPr>
      </w:pPr>
      <w:bookmarkStart w:id="1913" w:name="二、乙方职责"/>
      <w:bookmarkEnd w:id="1913"/>
      <w:bookmarkStart w:id="1914" w:name="_bookmark338"/>
      <w:bookmarkEnd w:id="1914"/>
      <w:bookmarkStart w:id="1915" w:name="_Toc7708"/>
      <w:r>
        <w:rPr>
          <w:rFonts w:hint="default" w:ascii="宋体" w:hAnsi="宋体" w:eastAsia="宋体" w:cs="宋体"/>
          <w:b/>
          <w:color w:val="auto"/>
          <w:sz w:val="24"/>
          <w:szCs w:val="24"/>
          <w:highlight w:val="none"/>
        </w:rPr>
        <w:t>二、乙方职责</w:t>
      </w:r>
      <w:bookmarkEnd w:id="1915"/>
    </w:p>
    <w:p w14:paraId="1ECE2875">
      <w:pPr>
        <w:pStyle w:val="112"/>
        <w:keepNext w:val="0"/>
        <w:keepLines w:val="0"/>
        <w:pageBreakBefore w:val="0"/>
        <w:widowControl w:val="0"/>
        <w:kinsoku/>
        <w:wordWrap/>
        <w:overflowPunct/>
        <w:topLinePunct w:val="0"/>
        <w:autoSpaceDE/>
        <w:autoSpaceDN/>
        <w:bidi w:val="0"/>
        <w:adjustRightInd/>
        <w:snapToGrid/>
        <w:spacing w:before="1"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1.严格遵守国家有关安全生产的法律法规及建筑工程有关安全生产的规定，认真执行工程承包合同中的有关安全要求。</w:t>
      </w:r>
    </w:p>
    <w:p w14:paraId="098E2950">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791D1454">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929F733">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4.乙方在任何时候都应采取各种合理的预防措施，防止其员工发生任何违法、违禁、暴力或妨碍治安的行为。</w:t>
      </w:r>
    </w:p>
    <w:p w14:paraId="3DCF67B7">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06702C62">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716AB327">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7.操作人员上岗，必须按规定穿戴防护用品。项目经理和安全检查员应随时检查劳动防护用品的穿戴情况，不按规定穿戴防护用品的人员不得上岗。</w:t>
      </w:r>
    </w:p>
    <w:p w14:paraId="291B18FD">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8.所有施工机械设备和高空作业的设备均应定期检查，并有安全员的签字记录，保证其经常处于完好状态；不合格的机具、设备和劳动保护用品严禁使用。</w:t>
      </w:r>
    </w:p>
    <w:p w14:paraId="3A824754">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1F870738">
      <w:pPr>
        <w:pStyle w:val="112"/>
        <w:keepNext w:val="0"/>
        <w:keepLines w:val="0"/>
        <w:pageBreakBefore w:val="0"/>
        <w:widowControl w:val="0"/>
        <w:kinsoku/>
        <w:wordWrap/>
        <w:overflowPunct/>
        <w:topLinePunct w:val="0"/>
        <w:autoSpaceDE/>
        <w:autoSpaceDN/>
        <w:bidi w:val="0"/>
        <w:adjustRightInd/>
        <w:snapToGrid/>
        <w:spacing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2B4492C2">
      <w:pPr>
        <w:pStyle w:val="115"/>
        <w:keepNext w:val="0"/>
        <w:keepLines w:val="0"/>
        <w:pageBreakBefore w:val="0"/>
        <w:widowControl w:val="0"/>
        <w:kinsoku/>
        <w:wordWrap/>
        <w:overflowPunct/>
        <w:topLinePunct w:val="0"/>
        <w:autoSpaceDE/>
        <w:autoSpaceDN/>
        <w:bidi w:val="0"/>
        <w:adjustRightInd/>
        <w:snapToGrid/>
        <w:spacing w:before="13" w:beforeLines="0" w:afterLines="0" w:line="400" w:lineRule="exact"/>
        <w:ind w:left="521" w:firstLine="0"/>
        <w:textAlignment w:val="auto"/>
        <w:outlineLvl w:val="9"/>
        <w:rPr>
          <w:rFonts w:hint="default" w:ascii="宋体" w:hAnsi="宋体" w:eastAsia="宋体" w:cs="宋体"/>
          <w:color w:val="auto"/>
          <w:sz w:val="24"/>
          <w:szCs w:val="24"/>
          <w:highlight w:val="none"/>
        </w:rPr>
      </w:pPr>
      <w:bookmarkStart w:id="1916" w:name="三、违约责任"/>
      <w:bookmarkEnd w:id="1916"/>
      <w:bookmarkStart w:id="1917" w:name="_bookmark339"/>
      <w:bookmarkEnd w:id="1917"/>
      <w:bookmarkStart w:id="1918" w:name="_Toc9821"/>
      <w:r>
        <w:rPr>
          <w:rFonts w:hint="default" w:ascii="宋体" w:hAnsi="宋体" w:eastAsia="宋体" w:cs="宋体"/>
          <w:color w:val="auto"/>
          <w:sz w:val="24"/>
          <w:szCs w:val="24"/>
          <w:highlight w:val="none"/>
        </w:rPr>
        <w:t>三、违约责任</w:t>
      </w:r>
      <w:bookmarkEnd w:id="1918"/>
    </w:p>
    <w:p w14:paraId="7F5586C7">
      <w:pPr>
        <w:pStyle w:val="112"/>
        <w:keepNext w:val="0"/>
        <w:keepLines w:val="0"/>
        <w:pageBreakBefore w:val="0"/>
        <w:widowControl w:val="0"/>
        <w:kinsoku/>
        <w:wordWrap/>
        <w:overflowPunct/>
        <w:topLinePunct w:val="0"/>
        <w:autoSpaceDE/>
        <w:autoSpaceDN/>
        <w:bidi w:val="0"/>
        <w:adjustRightInd/>
        <w:snapToGrid/>
        <w:spacing w:before="1" w:beforeLines="0" w:afterLines="0" w:line="400" w:lineRule="exact"/>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如因甲方或乙方违约造成安全事故，将依法追究责任。</w:t>
      </w:r>
    </w:p>
    <w:p w14:paraId="077FCDF4">
      <w:pPr>
        <w:pStyle w:val="112"/>
        <w:keepNext w:val="0"/>
        <w:keepLines w:val="0"/>
        <w:pageBreakBefore w:val="0"/>
        <w:widowControl w:val="0"/>
        <w:kinsoku/>
        <w:wordWrap/>
        <w:overflowPunct/>
        <w:topLinePunct w:val="0"/>
        <w:autoSpaceDE/>
        <w:autoSpaceDN/>
        <w:bidi w:val="0"/>
        <w:adjustRightInd/>
        <w:snapToGrid/>
        <w:spacing w:before="136" w:beforeLines="0" w:afterLines="0" w:line="400" w:lineRule="exact"/>
        <w:ind w:left="63" w:right="63"/>
        <w:textAlignment w:val="auto"/>
        <w:outlineLvl w:val="9"/>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本合同正本一式</w:t>
      </w:r>
      <w:r>
        <w:rPr>
          <w:rFonts w:hint="default" w:ascii="宋体" w:hAnsi="宋体" w:eastAsia="宋体" w:cs="宋体"/>
          <w:color w:val="auto"/>
          <w:sz w:val="24"/>
          <w:szCs w:val="24"/>
          <w:highlight w:val="none"/>
          <w:lang w:eastAsia="zh-CN"/>
        </w:rPr>
        <w:t>二</w:t>
      </w:r>
      <w:r>
        <w:rPr>
          <w:rFonts w:hint="default" w:ascii="宋体" w:hAnsi="宋体" w:eastAsia="宋体" w:cs="宋体"/>
          <w:color w:val="auto"/>
          <w:sz w:val="24"/>
          <w:szCs w:val="24"/>
          <w:highlight w:val="none"/>
        </w:rPr>
        <w:t>份，副本</w:t>
      </w:r>
      <w:r>
        <w:rPr>
          <w:rFonts w:hint="default" w:ascii="宋体" w:hAnsi="宋体" w:eastAsia="宋体" w:cs="宋体"/>
          <w:color w:val="auto"/>
          <w:sz w:val="24"/>
          <w:szCs w:val="24"/>
          <w:highlight w:val="none"/>
          <w:lang w:eastAsia="zh-CN"/>
        </w:rPr>
        <w:t>四</w:t>
      </w:r>
      <w:r>
        <w:rPr>
          <w:rFonts w:hint="default" w:ascii="宋体" w:hAnsi="宋体" w:eastAsia="宋体" w:cs="宋体"/>
          <w:color w:val="auto"/>
          <w:sz w:val="24"/>
          <w:szCs w:val="24"/>
          <w:highlight w:val="none"/>
        </w:rPr>
        <w:t>份。由双方法定代表人或其授权的代理人签署与加盖公章后生效，全部工程竣工验收后失效。</w:t>
      </w:r>
    </w:p>
    <w:p w14:paraId="320D5F07">
      <w:pPr>
        <w:pStyle w:val="112"/>
        <w:keepNext w:val="0"/>
        <w:keepLines w:val="0"/>
        <w:widowControl w:val="0"/>
        <w:kinsoku/>
        <w:wordWrap/>
        <w:overflowPunct/>
        <w:topLinePunct w:val="0"/>
        <w:bidi w:val="0"/>
        <w:adjustRightInd/>
        <w:snapToGrid/>
        <w:spacing w:before="136" w:beforeLines="0" w:afterLines="0" w:line="360" w:lineRule="auto"/>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（公章或合同专用章）承包人：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21B1A0D6">
      <w:pPr>
        <w:pStyle w:val="112"/>
        <w:keepNext w:val="0"/>
        <w:keepLines w:val="0"/>
        <w:widowControl w:val="0"/>
        <w:kinsoku/>
        <w:wordWrap/>
        <w:overflowPunct/>
        <w:topLinePunct w:val="0"/>
        <w:bidi w:val="0"/>
        <w:adjustRightInd/>
        <w:snapToGrid/>
        <w:spacing w:before="136" w:beforeLines="0" w:afterLines="0" w:line="360" w:lineRule="auto"/>
        <w:ind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113EAA72">
      <w:pPr>
        <w:pStyle w:val="112"/>
        <w:keepNext w:val="0"/>
        <w:keepLines w:val="0"/>
        <w:widowControl w:val="0"/>
        <w:kinsoku/>
        <w:wordWrap/>
        <w:overflowPunct/>
        <w:topLinePunct w:val="0"/>
        <w:bidi w:val="0"/>
        <w:adjustRightInd/>
        <w:snapToGrid/>
        <w:spacing w:before="136" w:beforeLines="0" w:afterLines="0" w:line="360" w:lineRule="auto"/>
        <w:ind w:left="63" w:right="63"/>
        <w:textAlignment w:val="auto"/>
        <w:outlineLvl w:val="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29A7C969">
      <w:pPr>
        <w:pStyle w:val="108"/>
        <w:keepNext w:val="0"/>
        <w:keepLines w:val="0"/>
        <w:widowControl w:val="0"/>
        <w:kinsoku/>
        <w:wordWrap/>
        <w:overflowPunct/>
        <w:topLinePunct w:val="0"/>
        <w:bidi w:val="0"/>
        <w:adjustRightInd/>
        <w:snapToGrid/>
        <w:spacing w:beforeLines="0" w:afterLines="0" w:line="360" w:lineRule="auto"/>
        <w:ind w:left="6250" w:hanging="7000" w:hangingChars="2500"/>
        <w:textAlignment w:val="auto"/>
        <w:outlineLvl w:val="9"/>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 xml:space="preserve">       地址：</w:t>
      </w:r>
      <w:r>
        <w:rPr>
          <w:rFonts w:hint="default" w:ascii="宋体" w:hAnsi="宋体" w:eastAsia="宋体" w:cs="宋体"/>
          <w:color w:val="auto"/>
          <w:spacing w:val="20"/>
          <w:sz w:val="24"/>
          <w:szCs w:val="24"/>
          <w:highlight w:val="none"/>
          <w:lang w:eastAsia="zh-CN"/>
        </w:rPr>
        <w:t xml:space="preserve">     </w:t>
      </w:r>
    </w:p>
    <w:p w14:paraId="4C6B6DA5">
      <w:pPr>
        <w:pStyle w:val="112"/>
        <w:keepNext w:val="0"/>
        <w:keepLines w:val="0"/>
        <w:widowControl w:val="0"/>
        <w:kinsoku/>
        <w:wordWrap/>
        <w:overflowPunct/>
        <w:topLinePunct w:val="0"/>
        <w:bidi w:val="0"/>
        <w:adjustRightInd/>
        <w:snapToGrid/>
        <w:spacing w:before="12" w:beforeLines="0" w:afterLines="0" w:line="360" w:lineRule="auto"/>
        <w:ind w:right="63"/>
        <w:jc w:val="left"/>
        <w:textAlignment w:val="auto"/>
        <w:outlineLvl w:val="9"/>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595F075E">
      <w:pPr>
        <w:pStyle w:val="114"/>
        <w:spacing w:before="51" w:beforeLines="0" w:afterLines="0"/>
        <w:ind w:left="0"/>
        <w:rPr>
          <w:rFonts w:hint="default" w:ascii="宋体" w:hAnsi="宋体" w:eastAsia="宋体" w:cs="宋体"/>
          <w:color w:val="auto"/>
          <w:sz w:val="20"/>
          <w:szCs w:val="20"/>
          <w:highlight w:val="none"/>
        </w:rPr>
      </w:pPr>
    </w:p>
    <w:p w14:paraId="16AF1312">
      <w:pPr>
        <w:pStyle w:val="114"/>
        <w:spacing w:before="51" w:beforeLines="0" w:afterLines="0"/>
        <w:ind w:left="0"/>
        <w:rPr>
          <w:rFonts w:hint="default" w:ascii="宋体" w:hAnsi="宋体" w:eastAsia="宋体" w:cs="宋体"/>
          <w:color w:val="auto"/>
          <w:sz w:val="20"/>
          <w:szCs w:val="20"/>
          <w:highlight w:val="none"/>
        </w:rPr>
      </w:pPr>
    </w:p>
    <w:p w14:paraId="45B7C4F0">
      <w:pPr>
        <w:pStyle w:val="114"/>
        <w:spacing w:before="51" w:beforeLines="0" w:afterLines="0"/>
        <w:ind w:left="0"/>
        <w:rPr>
          <w:rFonts w:hint="default" w:ascii="宋体" w:hAnsi="宋体" w:eastAsia="宋体" w:cs="宋体"/>
          <w:color w:val="auto"/>
          <w:sz w:val="20"/>
          <w:szCs w:val="20"/>
          <w:highlight w:val="none"/>
        </w:rPr>
      </w:pPr>
    </w:p>
    <w:p w14:paraId="34CAF188">
      <w:pPr>
        <w:pStyle w:val="2"/>
        <w:widowControl/>
        <w:jc w:val="center"/>
        <w:rPr>
          <w:rFonts w:hint="eastAsia" w:ascii="宋体" w:hAnsi="宋体" w:cs="仿宋_GB2312"/>
          <w:b w:val="0"/>
          <w:color w:val="auto"/>
          <w:highlight w:val="none"/>
        </w:rPr>
        <w:sectPr>
          <w:pgSz w:w="11910" w:h="16840"/>
          <w:pgMar w:top="1340" w:right="1500" w:bottom="280" w:left="1680" w:header="720" w:footer="720" w:gutter="0"/>
          <w:pgNumType w:fmt="decimal"/>
          <w:cols w:space="425" w:num="1"/>
          <w:docGrid w:type="lines" w:linePitch="312" w:charSpace="0"/>
        </w:sectPr>
      </w:pPr>
    </w:p>
    <w:p w14:paraId="01DF56DC">
      <w:pPr>
        <w:pStyle w:val="2"/>
        <w:widowControl/>
        <w:jc w:val="center"/>
        <w:rPr>
          <w:rFonts w:hint="eastAsia" w:ascii="宋体" w:hAnsi="宋体" w:cs="仿宋_GB2312"/>
          <w:color w:val="auto"/>
          <w:highlight w:val="none"/>
        </w:rPr>
      </w:pPr>
      <w:bookmarkStart w:id="1919" w:name="_Toc28555"/>
      <w:r>
        <w:rPr>
          <w:rFonts w:hint="eastAsia" w:ascii="宋体" w:hAnsi="宋体" w:cs="仿宋_GB2312"/>
          <w:b w:val="0"/>
          <w:color w:val="auto"/>
          <w:highlight w:val="none"/>
        </w:rPr>
        <w:t>第七章 质疑、投诉材料格式</w:t>
      </w:r>
      <w:bookmarkEnd w:id="1919"/>
    </w:p>
    <w:p w14:paraId="5F412313">
      <w:pPr>
        <w:spacing w:line="576" w:lineRule="auto"/>
        <w:rPr>
          <w:rFonts w:hint="eastAsia" w:ascii="宋体" w:hAnsi="宋体" w:eastAsia="宋体" w:cs="仿宋_GB2312"/>
          <w:b/>
          <w:bCs/>
          <w:color w:val="auto"/>
          <w:kern w:val="44"/>
          <w:sz w:val="44"/>
          <w:szCs w:val="44"/>
          <w:highlight w:val="none"/>
          <w:lang w:bidi="ar"/>
        </w:rPr>
        <w:sectPr>
          <w:pgSz w:w="11910" w:h="16840"/>
          <w:pgMar w:top="1340" w:right="1500" w:bottom="280" w:left="1680" w:header="720" w:footer="720" w:gutter="0"/>
          <w:pgNumType w:fmt="decimal"/>
          <w:cols w:space="425" w:num="1"/>
          <w:docGrid w:type="lines" w:linePitch="312" w:charSpace="0"/>
        </w:sectPr>
      </w:pPr>
    </w:p>
    <w:p w14:paraId="316ED141">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bidi="ar"/>
        </w:rPr>
        <w:t>质疑函（格式）</w:t>
      </w:r>
    </w:p>
    <w:p w14:paraId="42224ABA">
      <w:pPr>
        <w:pStyle w:val="18"/>
        <w:widowControl/>
        <w:spacing w:line="360" w:lineRule="auto"/>
        <w:ind w:firstLine="482" w:firstLineChars="200"/>
        <w:rPr>
          <w:rFonts w:hAnsi="宋体"/>
          <w:b/>
          <w:bCs/>
          <w:color w:val="auto"/>
          <w:sz w:val="24"/>
          <w:szCs w:val="24"/>
          <w:highlight w:val="none"/>
        </w:rPr>
      </w:pPr>
      <w:r>
        <w:rPr>
          <w:rFonts w:hAnsi="宋体"/>
          <w:b/>
          <w:bCs/>
          <w:color w:val="auto"/>
          <w:sz w:val="24"/>
          <w:szCs w:val="24"/>
          <w:highlight w:val="none"/>
        </w:rPr>
        <w:t>一、质疑供应商基本信息：</w:t>
      </w:r>
    </w:p>
    <w:p w14:paraId="51EDC86E">
      <w:pPr>
        <w:pStyle w:val="18"/>
        <w:widowControl/>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质疑供应商：</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493E366E">
      <w:pPr>
        <w:pStyle w:val="18"/>
        <w:widowControl/>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Ansi="宋体"/>
          <w:bCs/>
          <w:color w:val="auto"/>
          <w:sz w:val="24"/>
          <w:szCs w:val="24"/>
          <w:highlight w:val="none"/>
          <w:u w:val="single"/>
        </w:rPr>
        <w:t xml:space="preserve">                                          </w:t>
      </w:r>
      <w:r>
        <w:rPr>
          <w:rFonts w:hAnsi="宋体"/>
          <w:bCs/>
          <w:color w:val="auto"/>
          <w:sz w:val="24"/>
          <w:szCs w:val="24"/>
          <w:highlight w:val="none"/>
        </w:rPr>
        <w:t>邮编：</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4BA43124">
      <w:pPr>
        <w:pStyle w:val="18"/>
        <w:widowControl/>
        <w:spacing w:line="360" w:lineRule="auto"/>
        <w:ind w:firstLine="480" w:firstLineChars="200"/>
        <w:rPr>
          <w:rFonts w:hAnsi="宋体"/>
          <w:bCs/>
          <w:color w:val="auto"/>
          <w:sz w:val="24"/>
          <w:szCs w:val="24"/>
          <w:highlight w:val="none"/>
        </w:rPr>
      </w:pPr>
      <w:r>
        <w:rPr>
          <w:rFonts w:hAnsi="宋体"/>
          <w:bCs/>
          <w:color w:val="auto"/>
          <w:sz w:val="24"/>
          <w:szCs w:val="24"/>
          <w:highlight w:val="none"/>
        </w:rPr>
        <w:t>联系人：</w:t>
      </w:r>
      <w:r>
        <w:rPr>
          <w:rFonts w:hAnsi="宋体"/>
          <w:bCs/>
          <w:color w:val="auto"/>
          <w:sz w:val="24"/>
          <w:szCs w:val="24"/>
          <w:highlight w:val="none"/>
          <w:u w:val="single"/>
        </w:rPr>
        <w:t xml:space="preserve">                     </w:t>
      </w:r>
      <w:r>
        <w:rPr>
          <w:rFonts w:hAnsi="宋体"/>
          <w:bCs/>
          <w:color w:val="auto"/>
          <w:sz w:val="24"/>
          <w:szCs w:val="24"/>
          <w:highlight w:val="none"/>
        </w:rPr>
        <w:t>联系电话：</w:t>
      </w:r>
      <w:r>
        <w:rPr>
          <w:rFonts w:hAnsi="宋体"/>
          <w:bCs/>
          <w:color w:val="auto"/>
          <w:sz w:val="24"/>
          <w:szCs w:val="24"/>
          <w:highlight w:val="none"/>
          <w:u w:val="single"/>
        </w:rPr>
        <w:t xml:space="preserve">                 </w:t>
      </w:r>
    </w:p>
    <w:p w14:paraId="0955ADAE">
      <w:pPr>
        <w:pStyle w:val="18"/>
        <w:widowControl/>
        <w:spacing w:line="360" w:lineRule="auto"/>
        <w:ind w:firstLine="480" w:firstLineChars="200"/>
        <w:rPr>
          <w:rFonts w:hAnsi="宋体"/>
          <w:bCs/>
          <w:color w:val="auto"/>
          <w:sz w:val="24"/>
          <w:szCs w:val="24"/>
          <w:highlight w:val="none"/>
        </w:rPr>
      </w:pPr>
      <w:r>
        <w:rPr>
          <w:rFonts w:hAnsi="宋体"/>
          <w:bCs/>
          <w:color w:val="auto"/>
          <w:sz w:val="24"/>
          <w:szCs w:val="24"/>
          <w:highlight w:val="none"/>
        </w:rPr>
        <w:t>授权代表：</w:t>
      </w:r>
      <w:r>
        <w:rPr>
          <w:rFonts w:hAnsi="宋体"/>
          <w:bCs/>
          <w:color w:val="auto"/>
          <w:sz w:val="24"/>
          <w:szCs w:val="24"/>
          <w:highlight w:val="none"/>
          <w:u w:val="single"/>
        </w:rPr>
        <w:t xml:space="preserve">                      </w:t>
      </w:r>
    </w:p>
    <w:p w14:paraId="416A8C47">
      <w:pPr>
        <w:pStyle w:val="18"/>
        <w:widowControl/>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联系电话：</w:t>
      </w:r>
      <w:r>
        <w:rPr>
          <w:rFonts w:hAnsi="宋体"/>
          <w:bCs/>
          <w:color w:val="auto"/>
          <w:sz w:val="24"/>
          <w:szCs w:val="24"/>
          <w:highlight w:val="none"/>
          <w:u w:val="single"/>
        </w:rPr>
        <w:t xml:space="preserve">                      </w:t>
      </w:r>
    </w:p>
    <w:p w14:paraId="1D6BE4A7">
      <w:pPr>
        <w:pStyle w:val="18"/>
        <w:widowControl/>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Ansi="宋体"/>
          <w:bCs/>
          <w:color w:val="auto"/>
          <w:sz w:val="24"/>
          <w:szCs w:val="24"/>
          <w:highlight w:val="none"/>
          <w:u w:val="single"/>
        </w:rPr>
        <w:t xml:space="preserve">                 </w:t>
      </w:r>
      <w:r>
        <w:rPr>
          <w:rFonts w:hAnsi="宋体"/>
          <w:bCs/>
          <w:color w:val="auto"/>
          <w:sz w:val="24"/>
          <w:szCs w:val="24"/>
          <w:highlight w:val="none"/>
        </w:rPr>
        <w:t>邮编：</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18D9DF6A">
      <w:pPr>
        <w:pStyle w:val="18"/>
        <w:widowControl/>
        <w:spacing w:line="360" w:lineRule="auto"/>
        <w:ind w:firstLine="482" w:firstLineChars="200"/>
        <w:rPr>
          <w:rFonts w:hAnsi="宋体"/>
          <w:b/>
          <w:bCs/>
          <w:color w:val="auto"/>
          <w:sz w:val="24"/>
          <w:szCs w:val="24"/>
          <w:highlight w:val="none"/>
        </w:rPr>
      </w:pPr>
      <w:r>
        <w:rPr>
          <w:rFonts w:hAnsi="宋体"/>
          <w:b/>
          <w:bCs/>
          <w:color w:val="auto"/>
          <w:sz w:val="24"/>
          <w:szCs w:val="24"/>
          <w:highlight w:val="none"/>
        </w:rPr>
        <w:t>二、质疑项目基本情况：</w:t>
      </w:r>
    </w:p>
    <w:p w14:paraId="74E3897A">
      <w:pPr>
        <w:pStyle w:val="28"/>
        <w:spacing w:line="360" w:lineRule="auto"/>
        <w:ind w:left="25" w:leftChars="12" w:firstLine="472" w:firstLineChars="197"/>
        <w:contextualSpacing/>
        <w:rPr>
          <w:rFonts w:hint="eastAsia" w:hAnsi="宋体"/>
          <w:color w:val="auto"/>
          <w:highlight w:val="none"/>
        </w:rPr>
      </w:pPr>
      <w:r>
        <w:rPr>
          <w:rFonts w:hAnsi="宋体"/>
          <w:bCs/>
          <w:color w:val="auto"/>
          <w:highlight w:val="none"/>
        </w:rPr>
        <w:t>质疑</w:t>
      </w:r>
      <w:r>
        <w:rPr>
          <w:rFonts w:hAnsi="宋体"/>
          <w:color w:val="auto"/>
          <w:highlight w:val="none"/>
        </w:rPr>
        <w:t>项目的名称：</w:t>
      </w:r>
      <w:r>
        <w:rPr>
          <w:rFonts w:hAnsi="宋体"/>
          <w:bCs/>
          <w:color w:val="auto"/>
          <w:highlight w:val="none"/>
          <w:u w:val="single"/>
        </w:rPr>
        <w:t xml:space="preserve"> </w:t>
      </w:r>
      <w:bookmarkStart w:id="1920" w:name="PO_3000001868_PM002_16"/>
      <w:r>
        <w:rPr>
          <w:rFonts w:hAnsi="宋体"/>
          <w:bCs/>
          <w:color w:val="auto"/>
          <w:highlight w:val="none"/>
          <w:u w:val="single"/>
        </w:rPr>
        <w:t>[项目采购-项目名称_16]</w:t>
      </w:r>
      <w:bookmarkEnd w:id="1920"/>
      <w:r>
        <w:rPr>
          <w:rFonts w:hAnsi="宋体"/>
          <w:bCs/>
          <w:color w:val="auto"/>
          <w:highlight w:val="none"/>
          <w:u w:val="single"/>
        </w:rPr>
        <w:t xml:space="preserve"> </w:t>
      </w:r>
    </w:p>
    <w:p w14:paraId="06D04EF5">
      <w:pPr>
        <w:pStyle w:val="28"/>
        <w:spacing w:line="360" w:lineRule="auto"/>
        <w:ind w:left="25" w:leftChars="12" w:firstLine="472" w:firstLineChars="197"/>
        <w:contextualSpacing/>
        <w:rPr>
          <w:rFonts w:hint="eastAsia" w:hAnsi="宋体"/>
          <w:color w:val="auto"/>
          <w:highlight w:val="none"/>
        </w:rPr>
      </w:pPr>
      <w:r>
        <w:rPr>
          <w:rFonts w:hAnsi="宋体"/>
          <w:bCs/>
          <w:color w:val="auto"/>
          <w:highlight w:val="none"/>
        </w:rPr>
        <w:t>质疑</w:t>
      </w:r>
      <w:r>
        <w:rPr>
          <w:rFonts w:hAnsi="宋体"/>
          <w:color w:val="auto"/>
          <w:highlight w:val="none"/>
        </w:rPr>
        <w:t>项目的编号：</w:t>
      </w:r>
      <w:bookmarkStart w:id="1921" w:name="PO_3000001868_PM001_13"/>
      <w:r>
        <w:rPr>
          <w:rFonts w:hAnsi="宋体"/>
          <w:bCs/>
          <w:color w:val="auto"/>
          <w:highlight w:val="none"/>
          <w:u w:val="single"/>
        </w:rPr>
        <w:t>[项目采购-项目编号_13]</w:t>
      </w:r>
      <w:bookmarkEnd w:id="1921"/>
      <w:r>
        <w:rPr>
          <w:rFonts w:hAnsi="宋体"/>
          <w:bCs/>
          <w:color w:val="auto"/>
          <w:highlight w:val="none"/>
          <w:u w:val="single"/>
        </w:rPr>
        <w:t xml:space="preserve"> </w:t>
      </w:r>
    </w:p>
    <w:p w14:paraId="26DA72AC">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采购人名称：</w:t>
      </w:r>
      <w:r>
        <w:rPr>
          <w:rFonts w:hAnsi="宋体"/>
          <w:bCs/>
          <w:color w:val="auto"/>
          <w:highlight w:val="none"/>
          <w:u w:val="single"/>
        </w:rPr>
        <w:t xml:space="preserve">   </w:t>
      </w:r>
      <w:bookmarkStart w:id="1922" w:name="PO_3000001868_PM026_7"/>
      <w:r>
        <w:rPr>
          <w:rFonts w:hAnsi="宋体"/>
          <w:bCs/>
          <w:color w:val="auto"/>
          <w:highlight w:val="none"/>
          <w:u w:val="single"/>
        </w:rPr>
        <w:t>[项目采购-采购人_7]</w:t>
      </w:r>
      <w:bookmarkEnd w:id="1922"/>
      <w:r>
        <w:rPr>
          <w:rFonts w:hAnsi="宋体"/>
          <w:bCs/>
          <w:color w:val="auto"/>
          <w:highlight w:val="none"/>
          <w:u w:val="single"/>
        </w:rPr>
        <w:t xml:space="preserve">  </w:t>
      </w:r>
    </w:p>
    <w:p w14:paraId="35E3F27E">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质疑事项：</w:t>
      </w:r>
    </w:p>
    <w:p w14:paraId="0BD3E4CB">
      <w:pPr>
        <w:pStyle w:val="28"/>
        <w:spacing w:line="360" w:lineRule="auto"/>
        <w:ind w:left="25" w:leftChars="12" w:firstLine="352" w:firstLineChars="147"/>
        <w:contextualSpacing/>
        <w:rPr>
          <w:rFonts w:hint="eastAsia" w:hAnsi="宋体"/>
          <w:color w:val="auto"/>
          <w:highlight w:val="none"/>
        </w:rPr>
      </w:pPr>
      <w:r>
        <w:rPr>
          <w:rFonts w:hAnsi="宋体"/>
          <w:color w:val="auto"/>
          <w:highlight w:val="none"/>
        </w:rPr>
        <w:t>□采购文件   采购文件获取日期：</w:t>
      </w:r>
      <w:r>
        <w:rPr>
          <w:rFonts w:hAnsi="宋体"/>
          <w:bCs/>
          <w:color w:val="auto"/>
          <w:highlight w:val="none"/>
          <w:u w:val="single"/>
        </w:rPr>
        <w:t xml:space="preserve">                                   </w:t>
      </w:r>
    </w:p>
    <w:p w14:paraId="5E070AC3">
      <w:pPr>
        <w:pStyle w:val="28"/>
        <w:spacing w:line="360" w:lineRule="auto"/>
        <w:ind w:left="25" w:leftChars="12" w:firstLine="352" w:firstLineChars="147"/>
        <w:contextualSpacing/>
        <w:rPr>
          <w:rFonts w:hint="eastAsia" w:hAnsi="宋体"/>
          <w:color w:val="auto"/>
          <w:highlight w:val="none"/>
        </w:rPr>
      </w:pPr>
      <w:r>
        <w:rPr>
          <w:rFonts w:hAnsi="宋体"/>
          <w:color w:val="auto"/>
          <w:highlight w:val="none"/>
        </w:rPr>
        <w:t xml:space="preserve">□采购过程   </w:t>
      </w:r>
    </w:p>
    <w:p w14:paraId="73DAA2E4">
      <w:pPr>
        <w:pStyle w:val="28"/>
        <w:spacing w:line="360" w:lineRule="auto"/>
        <w:ind w:left="25" w:leftChars="12" w:firstLine="352" w:firstLineChars="147"/>
        <w:contextualSpacing/>
        <w:rPr>
          <w:rFonts w:hint="eastAsia" w:hAnsi="宋体"/>
          <w:bCs/>
          <w:color w:val="auto"/>
          <w:highlight w:val="none"/>
          <w:u w:val="single"/>
        </w:rPr>
      </w:pPr>
      <w:r>
        <w:rPr>
          <w:rFonts w:hAnsi="宋体"/>
          <w:color w:val="auto"/>
          <w:highlight w:val="none"/>
        </w:rPr>
        <w:t xml:space="preserve">□成交结果   </w:t>
      </w:r>
    </w:p>
    <w:p w14:paraId="42C4393C">
      <w:pPr>
        <w:pStyle w:val="28"/>
        <w:spacing w:line="360" w:lineRule="auto"/>
        <w:ind w:left="25" w:leftChars="12" w:firstLine="472" w:firstLineChars="196"/>
        <w:contextualSpacing/>
        <w:rPr>
          <w:rFonts w:hint="eastAsia" w:hAnsi="宋体"/>
          <w:b/>
          <w:color w:val="auto"/>
          <w:highlight w:val="none"/>
        </w:rPr>
      </w:pPr>
      <w:r>
        <w:rPr>
          <w:rFonts w:hAnsi="宋体"/>
          <w:b/>
          <w:color w:val="auto"/>
          <w:highlight w:val="none"/>
        </w:rPr>
        <w:t>三、质疑事项具体内容</w:t>
      </w:r>
    </w:p>
    <w:p w14:paraId="37DCA5D0">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质疑事项1：</w:t>
      </w:r>
      <w:r>
        <w:rPr>
          <w:rFonts w:hAnsi="宋体"/>
          <w:bCs/>
          <w:color w:val="auto"/>
          <w:highlight w:val="none"/>
          <w:u w:val="single"/>
        </w:rPr>
        <w:t xml:space="preserve">                                                                    </w:t>
      </w:r>
    </w:p>
    <w:p w14:paraId="03752B36">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事实依据：</w:t>
      </w:r>
      <w:r>
        <w:rPr>
          <w:rFonts w:hAnsi="宋体"/>
          <w:bCs/>
          <w:color w:val="auto"/>
          <w:highlight w:val="none"/>
          <w:u w:val="single"/>
        </w:rPr>
        <w:t xml:space="preserve">                                                                      </w:t>
      </w:r>
    </w:p>
    <w:p w14:paraId="2BAEA8C1">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法律依据：</w:t>
      </w:r>
      <w:r>
        <w:rPr>
          <w:rFonts w:hAnsi="宋体"/>
          <w:color w:val="auto"/>
          <w:highlight w:val="none"/>
          <w:u w:val="single"/>
        </w:rPr>
        <w:t xml:space="preserve">                                                        </w:t>
      </w:r>
      <w:r>
        <w:rPr>
          <w:rFonts w:hAnsi="宋体"/>
          <w:bCs/>
          <w:color w:val="auto"/>
          <w:highlight w:val="none"/>
          <w:u w:val="single"/>
        </w:rPr>
        <w:t xml:space="preserve">               </w:t>
      </w:r>
    </w:p>
    <w:p w14:paraId="0E0C3418">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质疑事项2</w:t>
      </w:r>
    </w:p>
    <w:p w14:paraId="441BFC53">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w:t>
      </w:r>
    </w:p>
    <w:p w14:paraId="791C4B7B">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四、与质疑事项相关的质疑请求：</w:t>
      </w:r>
    </w:p>
    <w:p w14:paraId="35B79ECA">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请求：</w:t>
      </w:r>
      <w:r>
        <w:rPr>
          <w:rFonts w:hAnsi="宋体"/>
          <w:bCs/>
          <w:color w:val="auto"/>
          <w:highlight w:val="none"/>
          <w:u w:val="single"/>
        </w:rPr>
        <w:t xml:space="preserve">                                                                </w:t>
      </w:r>
    </w:p>
    <w:p w14:paraId="644CE67E">
      <w:pPr>
        <w:pStyle w:val="28"/>
        <w:spacing w:line="360" w:lineRule="auto"/>
        <w:ind w:left="25" w:leftChars="12" w:firstLine="352" w:firstLineChars="147"/>
        <w:contextualSpacing/>
        <w:rPr>
          <w:rFonts w:hint="eastAsia" w:hAnsi="宋体"/>
          <w:color w:val="auto"/>
          <w:highlight w:val="none"/>
        </w:rPr>
      </w:pPr>
    </w:p>
    <w:p w14:paraId="341D45DF">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签字（签章）：                                       公章：</w:t>
      </w:r>
    </w:p>
    <w:p w14:paraId="5DA866AE">
      <w:pPr>
        <w:pStyle w:val="28"/>
        <w:spacing w:line="360" w:lineRule="auto"/>
        <w:ind w:left="25" w:leftChars="12" w:firstLine="352" w:firstLineChars="147"/>
        <w:contextualSpacing/>
        <w:rPr>
          <w:rFonts w:hint="eastAsia" w:hAnsi="宋体"/>
          <w:color w:val="auto"/>
          <w:highlight w:val="none"/>
        </w:rPr>
      </w:pPr>
    </w:p>
    <w:p w14:paraId="5F5C5570">
      <w:pPr>
        <w:pStyle w:val="28"/>
        <w:spacing w:line="360" w:lineRule="auto"/>
        <w:ind w:left="25" w:leftChars="12" w:firstLine="472" w:firstLineChars="197"/>
        <w:contextualSpacing/>
        <w:rPr>
          <w:rFonts w:hint="eastAsia" w:hAnsi="宋体"/>
          <w:color w:val="auto"/>
          <w:highlight w:val="none"/>
        </w:rPr>
      </w:pPr>
      <w:r>
        <w:rPr>
          <w:rFonts w:hAnsi="宋体"/>
          <w:color w:val="auto"/>
          <w:highlight w:val="none"/>
        </w:rPr>
        <w:t>日期：</w:t>
      </w:r>
    </w:p>
    <w:p w14:paraId="784AFC89">
      <w:pPr>
        <w:pStyle w:val="18"/>
        <w:widowControl/>
        <w:spacing w:line="360" w:lineRule="auto"/>
        <w:rPr>
          <w:rFonts w:hAnsi="宋体"/>
          <w:b/>
          <w:color w:val="auto"/>
          <w:sz w:val="24"/>
          <w:szCs w:val="24"/>
          <w:highlight w:val="none"/>
        </w:rPr>
      </w:pPr>
    </w:p>
    <w:p w14:paraId="066CC09D">
      <w:pPr>
        <w:pStyle w:val="18"/>
        <w:widowControl/>
        <w:spacing w:line="360" w:lineRule="auto"/>
        <w:rPr>
          <w:rFonts w:hAnsi="宋体"/>
          <w:b/>
          <w:color w:val="auto"/>
          <w:sz w:val="24"/>
          <w:szCs w:val="24"/>
          <w:highlight w:val="none"/>
        </w:rPr>
      </w:pPr>
    </w:p>
    <w:p w14:paraId="30BDC6A5">
      <w:pPr>
        <w:pStyle w:val="18"/>
        <w:widowControl/>
        <w:spacing w:line="360" w:lineRule="auto"/>
        <w:rPr>
          <w:rFonts w:hAnsi="宋体"/>
          <w:b/>
          <w:color w:val="auto"/>
          <w:sz w:val="24"/>
          <w:szCs w:val="24"/>
          <w:highlight w:val="none"/>
        </w:rPr>
      </w:pPr>
      <w:r>
        <w:rPr>
          <w:rFonts w:hAnsi="宋体"/>
          <w:b/>
          <w:color w:val="auto"/>
          <w:sz w:val="24"/>
          <w:szCs w:val="24"/>
          <w:highlight w:val="none"/>
        </w:rPr>
        <w:t>说明：</w:t>
      </w:r>
    </w:p>
    <w:p w14:paraId="3D6253A6">
      <w:pPr>
        <w:pStyle w:val="28"/>
        <w:spacing w:line="360" w:lineRule="auto"/>
        <w:ind w:left="25" w:leftChars="12" w:firstLine="354" w:firstLineChars="147"/>
        <w:contextualSpacing/>
        <w:rPr>
          <w:rFonts w:hint="eastAsia" w:hAnsi="宋体"/>
          <w:b/>
          <w:bCs/>
          <w:color w:val="auto"/>
          <w:highlight w:val="none"/>
        </w:rPr>
      </w:pPr>
      <w:r>
        <w:rPr>
          <w:rFonts w:hAnsi="宋体"/>
          <w:b/>
          <w:color w:val="auto"/>
          <w:highlight w:val="none"/>
        </w:rPr>
        <w:t>1.供应商提出质疑时，应提交质疑函和必要的证明材料</w:t>
      </w:r>
      <w:r>
        <w:rPr>
          <w:rFonts w:hAnsi="宋体"/>
          <w:b/>
          <w:bCs/>
          <w:color w:val="auto"/>
          <w:highlight w:val="none"/>
        </w:rPr>
        <w:t>。</w:t>
      </w:r>
    </w:p>
    <w:p w14:paraId="165D336F">
      <w:pPr>
        <w:pStyle w:val="28"/>
        <w:spacing w:line="360" w:lineRule="auto"/>
        <w:ind w:left="25" w:leftChars="12" w:firstLine="354" w:firstLineChars="147"/>
        <w:contextualSpacing/>
        <w:rPr>
          <w:rFonts w:hint="eastAsia" w:hAnsi="宋体"/>
          <w:b/>
          <w:color w:val="auto"/>
          <w:highlight w:val="none"/>
        </w:rPr>
      </w:pPr>
      <w:r>
        <w:rPr>
          <w:rFonts w:hAnsi="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CF0D96">
      <w:pPr>
        <w:pStyle w:val="28"/>
        <w:spacing w:line="360" w:lineRule="auto"/>
        <w:ind w:left="25" w:leftChars="12" w:firstLine="354" w:firstLineChars="147"/>
        <w:contextualSpacing/>
        <w:rPr>
          <w:rFonts w:hint="eastAsia" w:hAnsi="宋体"/>
          <w:b/>
          <w:color w:val="auto"/>
          <w:highlight w:val="none"/>
        </w:rPr>
      </w:pPr>
      <w:r>
        <w:rPr>
          <w:rFonts w:hAnsi="宋体"/>
          <w:b/>
          <w:color w:val="auto"/>
          <w:highlight w:val="none"/>
        </w:rPr>
        <w:t>3.质疑函的质疑事项应具体、明确，并有必要的事实依据和法律依据。</w:t>
      </w:r>
    </w:p>
    <w:p w14:paraId="0516EA87">
      <w:pPr>
        <w:pStyle w:val="28"/>
        <w:spacing w:line="360" w:lineRule="auto"/>
        <w:ind w:left="25" w:leftChars="12" w:firstLine="354" w:firstLineChars="147"/>
        <w:contextualSpacing/>
        <w:rPr>
          <w:rFonts w:hint="eastAsia" w:hAnsi="宋体"/>
          <w:b/>
          <w:color w:val="auto"/>
          <w:highlight w:val="none"/>
        </w:rPr>
      </w:pPr>
      <w:r>
        <w:rPr>
          <w:rFonts w:hAnsi="宋体"/>
          <w:b/>
          <w:color w:val="auto"/>
          <w:highlight w:val="none"/>
        </w:rPr>
        <w:t>4.质疑函的质疑请求应与质疑事项相关。</w:t>
      </w:r>
    </w:p>
    <w:p w14:paraId="7DAE9B45">
      <w:pPr>
        <w:pStyle w:val="28"/>
        <w:spacing w:line="360" w:lineRule="auto"/>
        <w:ind w:left="25" w:leftChars="12" w:firstLine="354" w:firstLineChars="147"/>
        <w:contextualSpacing/>
        <w:rPr>
          <w:rFonts w:hint="eastAsia" w:hAnsi="宋体"/>
          <w:b/>
          <w:color w:val="auto"/>
          <w:highlight w:val="none"/>
        </w:rPr>
      </w:pPr>
      <w:r>
        <w:rPr>
          <w:rFonts w:hAnsi="宋体"/>
          <w:b/>
          <w:color w:val="auto"/>
          <w:highlight w:val="none"/>
        </w:rPr>
        <w:t>5.质疑供应商为法人或者其他组织的，质疑函应由法定代表人、主要负责人，或者其授权代表签字或者盖章，并加盖公章。</w:t>
      </w:r>
    </w:p>
    <w:p w14:paraId="3701BAE7">
      <w:pPr>
        <w:pStyle w:val="18"/>
        <w:widowControl/>
        <w:snapToGrid w:val="0"/>
        <w:rPr>
          <w:rFonts w:hint="default"/>
          <w:b/>
          <w:color w:val="auto"/>
          <w:sz w:val="24"/>
          <w:szCs w:val="24"/>
          <w:highlight w:val="none"/>
        </w:rPr>
      </w:pPr>
    </w:p>
    <w:p w14:paraId="1764B841">
      <w:pPr>
        <w:spacing w:line="460" w:lineRule="exact"/>
        <w:jc w:val="center"/>
        <w:rPr>
          <w:rFonts w:eastAsia="隶书"/>
          <w:color w:val="auto"/>
          <w:sz w:val="44"/>
          <w:highlight w:val="none"/>
        </w:rPr>
      </w:pPr>
      <w:r>
        <w:rPr>
          <w:rFonts w:ascii="Times New Roman" w:hAnsi="Times New Roman" w:eastAsia="隶书" w:cs="Times New Roman"/>
          <w:color w:val="auto"/>
          <w:sz w:val="44"/>
          <w:highlight w:val="none"/>
          <w:lang w:bidi="ar"/>
        </w:rPr>
        <w:br w:type="page"/>
      </w:r>
    </w:p>
    <w:p w14:paraId="4C4F9DC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bidi="ar"/>
        </w:rPr>
        <w:t>投诉书（格式）</w:t>
      </w:r>
    </w:p>
    <w:p w14:paraId="3CB9A988">
      <w:pPr>
        <w:pStyle w:val="18"/>
        <w:widowControl/>
        <w:snapToGrid w:val="0"/>
        <w:spacing w:line="360" w:lineRule="auto"/>
        <w:ind w:firstLine="482" w:firstLineChars="200"/>
        <w:rPr>
          <w:rFonts w:hAnsi="宋体"/>
          <w:b/>
          <w:bCs/>
          <w:color w:val="auto"/>
          <w:sz w:val="24"/>
          <w:szCs w:val="24"/>
          <w:highlight w:val="none"/>
        </w:rPr>
      </w:pPr>
      <w:r>
        <w:rPr>
          <w:rFonts w:hAnsi="宋体"/>
          <w:b/>
          <w:bCs/>
          <w:color w:val="auto"/>
          <w:sz w:val="24"/>
          <w:szCs w:val="24"/>
          <w:highlight w:val="none"/>
        </w:rPr>
        <w:t>一、投诉相关主体基本情况：</w:t>
      </w:r>
    </w:p>
    <w:p w14:paraId="798117ED">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供应商：</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6F5F7BE6">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Ansi="宋体"/>
          <w:bCs/>
          <w:color w:val="auto"/>
          <w:sz w:val="24"/>
          <w:szCs w:val="24"/>
          <w:highlight w:val="none"/>
          <w:u w:val="single"/>
        </w:rPr>
        <w:t xml:space="preserve">                                          </w:t>
      </w:r>
      <w:r>
        <w:rPr>
          <w:rFonts w:hAnsi="宋体"/>
          <w:bCs/>
          <w:color w:val="auto"/>
          <w:sz w:val="24"/>
          <w:szCs w:val="24"/>
          <w:highlight w:val="none"/>
        </w:rPr>
        <w:t>邮编：</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1BDCAC35">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法定代表人/主要负责人：</w:t>
      </w:r>
      <w:r>
        <w:rPr>
          <w:rFonts w:hAnsi="宋体"/>
          <w:bCs/>
          <w:color w:val="auto"/>
          <w:sz w:val="24"/>
          <w:szCs w:val="24"/>
          <w:highlight w:val="none"/>
          <w:u w:val="single"/>
        </w:rPr>
        <w:t xml:space="preserve">                                                         </w:t>
      </w:r>
    </w:p>
    <w:p w14:paraId="630C996A">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Ansi="宋体"/>
          <w:bCs/>
          <w:color w:val="auto"/>
          <w:sz w:val="24"/>
          <w:szCs w:val="24"/>
          <w:highlight w:val="none"/>
          <w:u w:val="single"/>
        </w:rPr>
        <w:t xml:space="preserve">                                         </w:t>
      </w:r>
    </w:p>
    <w:p w14:paraId="28D639AE">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授权代表：</w:t>
      </w:r>
      <w:r>
        <w:rPr>
          <w:rFonts w:hAnsi="宋体"/>
          <w:bCs/>
          <w:color w:val="auto"/>
          <w:sz w:val="24"/>
          <w:szCs w:val="24"/>
          <w:highlight w:val="none"/>
          <w:u w:val="single"/>
        </w:rPr>
        <w:t xml:space="preserve">                                         </w:t>
      </w:r>
      <w:r>
        <w:rPr>
          <w:rFonts w:hAnsi="宋体"/>
          <w:bCs/>
          <w:color w:val="auto"/>
          <w:sz w:val="24"/>
          <w:szCs w:val="24"/>
          <w:highlight w:val="none"/>
        </w:rPr>
        <w:t>联系电话：</w:t>
      </w:r>
      <w:r>
        <w:rPr>
          <w:rFonts w:hAnsi="宋体"/>
          <w:bCs/>
          <w:color w:val="auto"/>
          <w:sz w:val="24"/>
          <w:szCs w:val="24"/>
          <w:highlight w:val="none"/>
          <w:u w:val="single"/>
        </w:rPr>
        <w:t xml:space="preserve">                   </w:t>
      </w:r>
    </w:p>
    <w:p w14:paraId="1CE30166">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Ansi="宋体"/>
          <w:bCs/>
          <w:color w:val="auto"/>
          <w:sz w:val="24"/>
          <w:szCs w:val="24"/>
          <w:highlight w:val="none"/>
          <w:u w:val="single"/>
        </w:rPr>
        <w:t xml:space="preserve">                                                            </w:t>
      </w:r>
    </w:p>
    <w:p w14:paraId="5FA2CA70">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52576192">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被投诉人1：</w:t>
      </w:r>
    </w:p>
    <w:p w14:paraId="319898D6">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Ansi="宋体"/>
          <w:bCs/>
          <w:color w:val="auto"/>
          <w:sz w:val="24"/>
          <w:szCs w:val="24"/>
          <w:highlight w:val="none"/>
          <w:u w:val="single"/>
        </w:rPr>
        <w:t xml:space="preserve">                                                            </w:t>
      </w:r>
    </w:p>
    <w:p w14:paraId="2DE575BC">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2E9F8890">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联系人：</w:t>
      </w:r>
      <w:r>
        <w:rPr>
          <w:rFonts w:hAnsi="宋体"/>
          <w:bCs/>
          <w:color w:val="auto"/>
          <w:sz w:val="24"/>
          <w:szCs w:val="24"/>
          <w:highlight w:val="none"/>
          <w:u w:val="single"/>
        </w:rPr>
        <w:t xml:space="preserve">                                                </w:t>
      </w:r>
      <w:r>
        <w:rPr>
          <w:rFonts w:hAnsi="宋体"/>
          <w:bCs/>
          <w:color w:val="auto"/>
          <w:sz w:val="24"/>
          <w:szCs w:val="24"/>
          <w:highlight w:val="none"/>
        </w:rPr>
        <w:t>联系电话：</w:t>
      </w:r>
      <w:r>
        <w:rPr>
          <w:rFonts w:hAnsi="宋体"/>
          <w:bCs/>
          <w:color w:val="auto"/>
          <w:sz w:val="24"/>
          <w:szCs w:val="24"/>
          <w:highlight w:val="none"/>
          <w:u w:val="single"/>
        </w:rPr>
        <w:t xml:space="preserve">                </w:t>
      </w:r>
    </w:p>
    <w:p w14:paraId="1F4289D0">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被投诉人2：</w:t>
      </w:r>
    </w:p>
    <w:p w14:paraId="30047B58">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30E6DE05">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相关供应商：</w:t>
      </w:r>
      <w:r>
        <w:rPr>
          <w:rFonts w:hAnsi="宋体"/>
          <w:bCs/>
          <w:color w:val="auto"/>
          <w:sz w:val="24"/>
          <w:szCs w:val="24"/>
          <w:highlight w:val="none"/>
          <w:u w:val="single"/>
        </w:rPr>
        <w:t xml:space="preserve">                                                                       </w:t>
      </w:r>
    </w:p>
    <w:p w14:paraId="6228EF62">
      <w:pPr>
        <w:pStyle w:val="18"/>
        <w:widowControl/>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Ansi="宋体"/>
          <w:bCs/>
          <w:color w:val="auto"/>
          <w:sz w:val="24"/>
          <w:szCs w:val="24"/>
          <w:highlight w:val="none"/>
          <w:u w:val="single"/>
        </w:rPr>
        <w:t xml:space="preserve">                                              </w:t>
      </w:r>
      <w:r>
        <w:rPr>
          <w:rFonts w:hAnsi="宋体"/>
          <w:bCs/>
          <w:color w:val="auto"/>
          <w:sz w:val="24"/>
          <w:szCs w:val="24"/>
          <w:highlight w:val="none"/>
        </w:rPr>
        <w:t>邮编：</w:t>
      </w:r>
      <w:r>
        <w:rPr>
          <w:rFonts w:hAnsi="宋体"/>
          <w:bCs/>
          <w:color w:val="auto"/>
          <w:sz w:val="24"/>
          <w:szCs w:val="24"/>
          <w:highlight w:val="none"/>
          <w:u w:val="single"/>
        </w:rPr>
        <w:t xml:space="preserve">                         </w:t>
      </w:r>
    </w:p>
    <w:p w14:paraId="6E450804">
      <w:pPr>
        <w:pStyle w:val="18"/>
        <w:widowControl/>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联系人：</w:t>
      </w:r>
      <w:r>
        <w:rPr>
          <w:rFonts w:hAnsi="宋体"/>
          <w:bCs/>
          <w:color w:val="auto"/>
          <w:sz w:val="24"/>
          <w:szCs w:val="24"/>
          <w:highlight w:val="none"/>
          <w:u w:val="single"/>
        </w:rPr>
        <w:t xml:space="preserve">                                            </w:t>
      </w:r>
      <w:r>
        <w:rPr>
          <w:rFonts w:hAnsi="宋体"/>
          <w:bCs/>
          <w:color w:val="auto"/>
          <w:sz w:val="24"/>
          <w:szCs w:val="24"/>
          <w:highlight w:val="none"/>
        </w:rPr>
        <w:t>联系电话：</w:t>
      </w:r>
      <w:r>
        <w:rPr>
          <w:rFonts w:hAnsi="宋体"/>
          <w:bCs/>
          <w:color w:val="auto"/>
          <w:sz w:val="24"/>
          <w:szCs w:val="24"/>
          <w:highlight w:val="none"/>
          <w:u w:val="single"/>
        </w:rPr>
        <w:t xml:space="preserve">                     </w:t>
      </w:r>
      <w:r>
        <w:rPr>
          <w:rFonts w:hAnsi="宋体"/>
          <w:bCs/>
          <w:color w:val="auto"/>
          <w:sz w:val="24"/>
          <w:szCs w:val="24"/>
          <w:highlight w:val="none"/>
        </w:rPr>
        <w:t xml:space="preserve">                </w:t>
      </w:r>
    </w:p>
    <w:p w14:paraId="731DE2F5">
      <w:pPr>
        <w:pStyle w:val="18"/>
        <w:widowControl/>
        <w:snapToGrid w:val="0"/>
        <w:spacing w:line="360" w:lineRule="auto"/>
        <w:ind w:firstLine="482" w:firstLineChars="200"/>
        <w:rPr>
          <w:rFonts w:hAnsi="宋体"/>
          <w:b/>
          <w:bCs/>
          <w:color w:val="auto"/>
          <w:sz w:val="24"/>
          <w:szCs w:val="24"/>
          <w:highlight w:val="none"/>
        </w:rPr>
      </w:pPr>
      <w:r>
        <w:rPr>
          <w:rFonts w:hAnsi="宋体"/>
          <w:b/>
          <w:bCs/>
          <w:color w:val="auto"/>
          <w:sz w:val="24"/>
          <w:szCs w:val="24"/>
          <w:highlight w:val="none"/>
        </w:rPr>
        <w:t>二、投诉项目基本情况：</w:t>
      </w:r>
    </w:p>
    <w:p w14:paraId="509ADCC8">
      <w:pPr>
        <w:pStyle w:val="18"/>
        <w:widowControl/>
        <w:spacing w:line="360" w:lineRule="auto"/>
        <w:ind w:left="25" w:leftChars="12" w:firstLine="472" w:firstLineChars="197"/>
        <w:rPr>
          <w:rFonts w:hAnsi="宋体"/>
          <w:color w:val="auto"/>
          <w:sz w:val="24"/>
          <w:szCs w:val="24"/>
          <w:highlight w:val="none"/>
        </w:rPr>
      </w:pPr>
      <w:r>
        <w:rPr>
          <w:rFonts w:hAnsi="宋体"/>
          <w:bCs/>
          <w:color w:val="auto"/>
          <w:sz w:val="24"/>
          <w:szCs w:val="24"/>
          <w:highlight w:val="none"/>
        </w:rPr>
        <w:t>采购</w:t>
      </w:r>
      <w:r>
        <w:rPr>
          <w:rFonts w:hAnsi="宋体"/>
          <w:color w:val="auto"/>
          <w:sz w:val="24"/>
          <w:szCs w:val="24"/>
          <w:highlight w:val="none"/>
        </w:rPr>
        <w:t>项目的名称：</w:t>
      </w:r>
      <w:r>
        <w:rPr>
          <w:rFonts w:hAnsi="宋体"/>
          <w:bCs/>
          <w:color w:val="auto"/>
          <w:sz w:val="24"/>
          <w:szCs w:val="24"/>
          <w:highlight w:val="none"/>
          <w:u w:val="single"/>
        </w:rPr>
        <w:t xml:space="preserve">  </w:t>
      </w:r>
      <w:bookmarkStart w:id="1923" w:name="PO_3000001868_PM002_17"/>
      <w:r>
        <w:rPr>
          <w:rFonts w:hAnsi="宋体"/>
          <w:bCs/>
          <w:color w:val="auto"/>
          <w:sz w:val="24"/>
          <w:szCs w:val="24"/>
          <w:highlight w:val="none"/>
          <w:u w:val="single"/>
        </w:rPr>
        <w:t>[项目采购-项目名称_17]</w:t>
      </w:r>
      <w:bookmarkEnd w:id="1923"/>
      <w:r>
        <w:rPr>
          <w:rFonts w:hAnsi="宋体"/>
          <w:bCs/>
          <w:color w:val="auto"/>
          <w:sz w:val="24"/>
          <w:szCs w:val="24"/>
          <w:highlight w:val="none"/>
          <w:u w:val="single"/>
        </w:rPr>
        <w:t xml:space="preserve">    </w:t>
      </w:r>
    </w:p>
    <w:p w14:paraId="30C4322F">
      <w:pPr>
        <w:pStyle w:val="18"/>
        <w:widowControl/>
        <w:spacing w:line="360" w:lineRule="auto"/>
        <w:ind w:left="25" w:leftChars="12" w:firstLine="472" w:firstLineChars="197"/>
        <w:rPr>
          <w:rFonts w:hAnsi="宋体"/>
          <w:color w:val="auto"/>
          <w:sz w:val="24"/>
          <w:szCs w:val="24"/>
          <w:highlight w:val="none"/>
        </w:rPr>
      </w:pPr>
      <w:r>
        <w:rPr>
          <w:rFonts w:hAnsi="宋体"/>
          <w:bCs/>
          <w:color w:val="auto"/>
          <w:sz w:val="24"/>
          <w:szCs w:val="24"/>
          <w:highlight w:val="none"/>
        </w:rPr>
        <w:t>采购</w:t>
      </w:r>
      <w:r>
        <w:rPr>
          <w:rFonts w:hAnsi="宋体"/>
          <w:color w:val="auto"/>
          <w:sz w:val="24"/>
          <w:szCs w:val="24"/>
          <w:highlight w:val="none"/>
        </w:rPr>
        <w:t>项目的编号：</w:t>
      </w:r>
      <w:r>
        <w:rPr>
          <w:rFonts w:hAnsi="宋体"/>
          <w:bCs/>
          <w:color w:val="auto"/>
          <w:sz w:val="24"/>
          <w:szCs w:val="24"/>
          <w:highlight w:val="none"/>
          <w:u w:val="single"/>
        </w:rPr>
        <w:t xml:space="preserve"> NNZC2024-C3-100165-GXXZ    </w:t>
      </w:r>
    </w:p>
    <w:p w14:paraId="2FF76290">
      <w:pPr>
        <w:pStyle w:val="18"/>
        <w:widowControl/>
        <w:spacing w:line="360" w:lineRule="auto"/>
        <w:ind w:left="25" w:leftChars="12" w:firstLine="472" w:firstLineChars="197"/>
        <w:rPr>
          <w:rFonts w:hAnsi="宋体"/>
          <w:bCs/>
          <w:color w:val="auto"/>
          <w:sz w:val="24"/>
          <w:szCs w:val="24"/>
          <w:highlight w:val="none"/>
          <w:u w:val="single"/>
        </w:rPr>
      </w:pPr>
      <w:r>
        <w:rPr>
          <w:rFonts w:hAnsi="宋体"/>
          <w:color w:val="auto"/>
          <w:sz w:val="24"/>
          <w:szCs w:val="24"/>
          <w:highlight w:val="none"/>
        </w:rPr>
        <w:t>采购人名称：</w:t>
      </w:r>
      <w:r>
        <w:rPr>
          <w:rFonts w:hAnsi="宋体"/>
          <w:bCs/>
          <w:color w:val="auto"/>
          <w:sz w:val="24"/>
          <w:szCs w:val="24"/>
          <w:highlight w:val="none"/>
          <w:u w:val="single"/>
        </w:rPr>
        <w:t xml:space="preserve"> </w:t>
      </w:r>
      <w:bookmarkStart w:id="1924" w:name="PO_3000001868_PM026_8"/>
      <w:r>
        <w:rPr>
          <w:rFonts w:hAnsi="宋体"/>
          <w:bCs/>
          <w:color w:val="auto"/>
          <w:sz w:val="24"/>
          <w:szCs w:val="24"/>
          <w:highlight w:val="none"/>
          <w:u w:val="single"/>
        </w:rPr>
        <w:t>[项目采购-采购人_8]</w:t>
      </w:r>
      <w:bookmarkEnd w:id="1924"/>
      <w:r>
        <w:rPr>
          <w:rFonts w:hAnsi="宋体"/>
          <w:bCs/>
          <w:color w:val="auto"/>
          <w:sz w:val="24"/>
          <w:szCs w:val="24"/>
          <w:highlight w:val="none"/>
          <w:u w:val="single"/>
        </w:rPr>
        <w:t xml:space="preserve">                </w:t>
      </w:r>
    </w:p>
    <w:p w14:paraId="1A23611F">
      <w:pPr>
        <w:pStyle w:val="18"/>
        <w:widowControl/>
        <w:spacing w:line="360" w:lineRule="auto"/>
        <w:ind w:left="25" w:leftChars="12" w:firstLine="472" w:firstLineChars="197"/>
        <w:rPr>
          <w:rFonts w:hAnsi="宋体"/>
          <w:bCs/>
          <w:color w:val="auto"/>
          <w:sz w:val="24"/>
          <w:szCs w:val="24"/>
          <w:highlight w:val="none"/>
          <w:u w:val="single"/>
        </w:rPr>
      </w:pPr>
      <w:r>
        <w:rPr>
          <w:rFonts w:hAnsi="宋体"/>
          <w:color w:val="auto"/>
          <w:sz w:val="24"/>
          <w:szCs w:val="24"/>
          <w:highlight w:val="none"/>
        </w:rPr>
        <w:t>代理机构名称：</w:t>
      </w:r>
      <w:r>
        <w:rPr>
          <w:rFonts w:hAnsi="宋体"/>
          <w:bCs/>
          <w:color w:val="auto"/>
          <w:sz w:val="24"/>
          <w:szCs w:val="24"/>
          <w:highlight w:val="none"/>
          <w:u w:val="single"/>
        </w:rPr>
        <w:t xml:space="preserve"> </w:t>
      </w:r>
      <w:bookmarkStart w:id="1925" w:name="PO_3000001868_PM031_5"/>
      <w:r>
        <w:rPr>
          <w:rFonts w:hAnsi="宋体"/>
          <w:bCs/>
          <w:color w:val="auto"/>
          <w:sz w:val="24"/>
          <w:szCs w:val="24"/>
          <w:highlight w:val="none"/>
          <w:u w:val="single"/>
        </w:rPr>
        <w:t>[项目采购-采购组织机构_5]</w:t>
      </w:r>
      <w:bookmarkEnd w:id="1925"/>
      <w:r>
        <w:rPr>
          <w:rFonts w:hAnsi="宋体"/>
          <w:bCs/>
          <w:color w:val="auto"/>
          <w:sz w:val="24"/>
          <w:szCs w:val="24"/>
          <w:highlight w:val="none"/>
          <w:u w:val="single"/>
        </w:rPr>
        <w:t xml:space="preserve">                </w:t>
      </w:r>
    </w:p>
    <w:p w14:paraId="5B9CEF83">
      <w:pPr>
        <w:pStyle w:val="18"/>
        <w:widowControl/>
        <w:spacing w:line="360" w:lineRule="auto"/>
        <w:ind w:left="25" w:leftChars="12" w:firstLine="472" w:firstLineChars="197"/>
        <w:rPr>
          <w:rFonts w:hAnsi="宋体"/>
          <w:bCs/>
          <w:color w:val="auto"/>
          <w:sz w:val="24"/>
          <w:szCs w:val="24"/>
          <w:highlight w:val="none"/>
          <w:u w:val="single"/>
        </w:rPr>
      </w:pPr>
      <w:r>
        <w:rPr>
          <w:rFonts w:hAnsi="宋体"/>
          <w:bCs/>
          <w:color w:val="auto"/>
          <w:sz w:val="24"/>
          <w:szCs w:val="24"/>
          <w:highlight w:val="none"/>
        </w:rPr>
        <w:t>招标文件公告：</w:t>
      </w:r>
      <w:r>
        <w:rPr>
          <w:rFonts w:hAnsi="宋体"/>
          <w:bCs/>
          <w:color w:val="auto"/>
          <w:sz w:val="24"/>
          <w:szCs w:val="24"/>
          <w:highlight w:val="none"/>
          <w:u w:val="single"/>
        </w:rPr>
        <w:t>是/否</w:t>
      </w:r>
      <w:r>
        <w:rPr>
          <w:rFonts w:hAnsi="宋体"/>
          <w:bCs/>
          <w:color w:val="auto"/>
          <w:sz w:val="24"/>
          <w:szCs w:val="24"/>
          <w:highlight w:val="none"/>
        </w:rPr>
        <w:t>公告期限：</w:t>
      </w:r>
      <w:r>
        <w:rPr>
          <w:rFonts w:hAnsi="宋体"/>
          <w:bCs/>
          <w:color w:val="auto"/>
          <w:sz w:val="24"/>
          <w:szCs w:val="24"/>
          <w:highlight w:val="none"/>
          <w:u w:val="single"/>
        </w:rPr>
        <w:t xml:space="preserve">                                                       </w:t>
      </w:r>
    </w:p>
    <w:p w14:paraId="1A8FE773">
      <w:pPr>
        <w:pStyle w:val="18"/>
        <w:widowControl/>
        <w:spacing w:line="360" w:lineRule="auto"/>
        <w:ind w:left="25" w:leftChars="12" w:firstLine="472" w:firstLineChars="197"/>
        <w:rPr>
          <w:rFonts w:hAnsi="宋体"/>
          <w:b/>
          <w:color w:val="auto"/>
          <w:sz w:val="24"/>
          <w:szCs w:val="24"/>
          <w:highlight w:val="none"/>
        </w:rPr>
      </w:pPr>
      <w:r>
        <w:rPr>
          <w:rFonts w:hAnsi="宋体"/>
          <w:bCs/>
          <w:color w:val="auto"/>
          <w:sz w:val="24"/>
          <w:szCs w:val="24"/>
          <w:highlight w:val="none"/>
        </w:rPr>
        <w:t>采购结果公告：</w:t>
      </w:r>
      <w:r>
        <w:rPr>
          <w:rFonts w:hAnsi="宋体"/>
          <w:bCs/>
          <w:color w:val="auto"/>
          <w:sz w:val="24"/>
          <w:szCs w:val="24"/>
          <w:highlight w:val="none"/>
          <w:u w:val="single"/>
        </w:rPr>
        <w:t>是/否</w:t>
      </w:r>
      <w:r>
        <w:rPr>
          <w:rFonts w:hAnsi="宋体"/>
          <w:bCs/>
          <w:color w:val="auto"/>
          <w:sz w:val="24"/>
          <w:szCs w:val="24"/>
          <w:highlight w:val="none"/>
        </w:rPr>
        <w:t>公告期限：</w:t>
      </w:r>
      <w:r>
        <w:rPr>
          <w:rFonts w:hAnsi="宋体"/>
          <w:bCs/>
          <w:color w:val="auto"/>
          <w:sz w:val="24"/>
          <w:szCs w:val="24"/>
          <w:highlight w:val="none"/>
          <w:u w:val="single"/>
        </w:rPr>
        <w:t xml:space="preserve">                                                       </w:t>
      </w:r>
    </w:p>
    <w:p w14:paraId="04D175E2">
      <w:pPr>
        <w:pStyle w:val="18"/>
        <w:widowControl/>
        <w:spacing w:line="360" w:lineRule="auto"/>
        <w:ind w:left="25" w:leftChars="12" w:firstLine="472" w:firstLineChars="196"/>
        <w:rPr>
          <w:rFonts w:hAnsi="宋体"/>
          <w:b/>
          <w:color w:val="auto"/>
          <w:sz w:val="24"/>
          <w:szCs w:val="24"/>
          <w:highlight w:val="none"/>
        </w:rPr>
      </w:pPr>
      <w:r>
        <w:rPr>
          <w:rFonts w:hAnsi="宋体"/>
          <w:b/>
          <w:color w:val="auto"/>
          <w:sz w:val="24"/>
          <w:szCs w:val="24"/>
          <w:highlight w:val="none"/>
        </w:rPr>
        <w:t>三、质疑基本情况</w:t>
      </w:r>
    </w:p>
    <w:p w14:paraId="2B02C90A">
      <w:pPr>
        <w:pStyle w:val="18"/>
        <w:widowControl/>
        <w:spacing w:line="360" w:lineRule="auto"/>
        <w:ind w:firstLine="480" w:firstLineChars="200"/>
        <w:rPr>
          <w:rFonts w:hAnsi="宋体"/>
          <w:color w:val="auto"/>
          <w:sz w:val="24"/>
          <w:szCs w:val="24"/>
          <w:highlight w:val="none"/>
        </w:rPr>
      </w:pPr>
      <w:r>
        <w:rPr>
          <w:rFonts w:hAnsi="宋体"/>
          <w:color w:val="auto"/>
          <w:sz w:val="24"/>
          <w:szCs w:val="24"/>
          <w:highlight w:val="none"/>
        </w:rPr>
        <w:t>投诉人于</w:t>
      </w:r>
      <w:r>
        <w:rPr>
          <w:rFonts w:hAnsi="宋体"/>
          <w:color w:val="auto"/>
          <w:sz w:val="24"/>
          <w:szCs w:val="24"/>
          <w:highlight w:val="none"/>
          <w:u w:val="single"/>
        </w:rPr>
        <w:t xml:space="preserve">      </w:t>
      </w:r>
      <w:r>
        <w:rPr>
          <w:rFonts w:hAnsi="宋体"/>
          <w:color w:val="auto"/>
          <w:sz w:val="24"/>
          <w:szCs w:val="24"/>
          <w:highlight w:val="none"/>
        </w:rPr>
        <w:t>年</w:t>
      </w:r>
      <w:r>
        <w:rPr>
          <w:rFonts w:hAnsi="宋体"/>
          <w:color w:val="auto"/>
          <w:sz w:val="24"/>
          <w:szCs w:val="24"/>
          <w:highlight w:val="none"/>
          <w:u w:val="single"/>
        </w:rPr>
        <w:t xml:space="preserve">   </w:t>
      </w:r>
      <w:r>
        <w:rPr>
          <w:rFonts w:hAnsi="宋体"/>
          <w:color w:val="auto"/>
          <w:sz w:val="24"/>
          <w:szCs w:val="24"/>
          <w:highlight w:val="none"/>
        </w:rPr>
        <w:t>月</w:t>
      </w:r>
      <w:r>
        <w:rPr>
          <w:rFonts w:hAnsi="宋体"/>
          <w:color w:val="auto"/>
          <w:sz w:val="24"/>
          <w:szCs w:val="24"/>
          <w:highlight w:val="none"/>
          <w:u w:val="single"/>
        </w:rPr>
        <w:t xml:space="preserve">   </w:t>
      </w:r>
      <w:r>
        <w:rPr>
          <w:rFonts w:hAnsi="宋体"/>
          <w:color w:val="auto"/>
          <w:sz w:val="24"/>
          <w:szCs w:val="24"/>
          <w:highlight w:val="none"/>
        </w:rPr>
        <w:t>日，向</w:t>
      </w:r>
      <w:r>
        <w:rPr>
          <w:rFonts w:hAnsi="宋体"/>
          <w:color w:val="auto"/>
          <w:sz w:val="24"/>
          <w:szCs w:val="24"/>
          <w:highlight w:val="none"/>
          <w:u w:val="single"/>
        </w:rPr>
        <w:t xml:space="preserve">                                </w:t>
      </w:r>
      <w:r>
        <w:rPr>
          <w:rFonts w:hAnsi="宋体"/>
          <w:color w:val="auto"/>
          <w:sz w:val="24"/>
          <w:szCs w:val="24"/>
          <w:highlight w:val="none"/>
        </w:rPr>
        <w:t>提出质疑，质疑事项为：</w:t>
      </w:r>
    </w:p>
    <w:p w14:paraId="34E0A882">
      <w:pPr>
        <w:pStyle w:val="18"/>
        <w:widowControl/>
        <w:spacing w:line="360" w:lineRule="auto"/>
        <w:ind w:firstLine="241"/>
        <w:rPr>
          <w:rFonts w:hAnsi="宋体"/>
          <w:bCs/>
          <w:color w:val="auto"/>
          <w:sz w:val="24"/>
          <w:szCs w:val="24"/>
          <w:highlight w:val="none"/>
          <w:u w:val="single"/>
        </w:rPr>
      </w:pPr>
      <w:r>
        <w:rPr>
          <w:rFonts w:hAnsi="宋体"/>
          <w:color w:val="auto"/>
          <w:sz w:val="24"/>
          <w:szCs w:val="24"/>
          <w:highlight w:val="none"/>
        </w:rPr>
        <w:t xml:space="preserve">    </w:t>
      </w:r>
      <w:r>
        <w:rPr>
          <w:rFonts w:hAnsi="宋体"/>
          <w:bCs/>
          <w:color w:val="auto"/>
          <w:sz w:val="24"/>
          <w:szCs w:val="24"/>
          <w:highlight w:val="none"/>
          <w:u w:val="single"/>
        </w:rPr>
        <w:t xml:space="preserve">                                                                                      </w:t>
      </w:r>
    </w:p>
    <w:p w14:paraId="48980417">
      <w:pPr>
        <w:pStyle w:val="18"/>
        <w:widowControl/>
        <w:spacing w:line="360" w:lineRule="auto"/>
        <w:ind w:firstLine="241"/>
        <w:rPr>
          <w:rFonts w:hAnsi="宋体"/>
          <w:bCs/>
          <w:color w:val="auto"/>
          <w:sz w:val="24"/>
          <w:szCs w:val="24"/>
          <w:highlight w:val="none"/>
          <w:u w:val="single"/>
        </w:rPr>
      </w:pPr>
      <w:r>
        <w:rPr>
          <w:rFonts w:hAnsi="宋体"/>
          <w:bCs/>
          <w:color w:val="auto"/>
          <w:sz w:val="24"/>
          <w:szCs w:val="24"/>
          <w:highlight w:val="none"/>
        </w:rPr>
        <w:t xml:space="preserve">    </w:t>
      </w:r>
      <w:r>
        <w:rPr>
          <w:rFonts w:hAnsi="宋体"/>
          <w:bCs/>
          <w:color w:val="auto"/>
          <w:sz w:val="24"/>
          <w:szCs w:val="24"/>
          <w:highlight w:val="none"/>
          <w:u w:val="single"/>
        </w:rPr>
        <w:t xml:space="preserve">                                                                                      </w:t>
      </w:r>
    </w:p>
    <w:p w14:paraId="13E03834">
      <w:pPr>
        <w:pStyle w:val="18"/>
        <w:widowControl/>
        <w:spacing w:line="360" w:lineRule="auto"/>
        <w:ind w:firstLine="480" w:firstLineChars="200"/>
        <w:rPr>
          <w:rFonts w:hAnsi="宋体"/>
          <w:color w:val="auto"/>
          <w:sz w:val="24"/>
          <w:szCs w:val="24"/>
          <w:highlight w:val="none"/>
        </w:rPr>
      </w:pPr>
      <w:r>
        <w:rPr>
          <w:rFonts w:hAnsi="宋体"/>
          <w:bCs/>
          <w:color w:val="auto"/>
          <w:sz w:val="24"/>
          <w:szCs w:val="24"/>
          <w:highlight w:val="none"/>
          <w:u w:val="single"/>
        </w:rPr>
        <w:t>采购人/代理机构</w:t>
      </w:r>
      <w:r>
        <w:rPr>
          <w:rFonts w:hAnsi="宋体"/>
          <w:bCs/>
          <w:color w:val="auto"/>
          <w:sz w:val="24"/>
          <w:szCs w:val="24"/>
          <w:highlight w:val="none"/>
        </w:rPr>
        <w:t>于</w:t>
      </w:r>
      <w:r>
        <w:rPr>
          <w:rFonts w:hAnsi="宋体"/>
          <w:color w:val="auto"/>
          <w:sz w:val="24"/>
          <w:szCs w:val="24"/>
          <w:highlight w:val="none"/>
          <w:u w:val="single"/>
        </w:rPr>
        <w:t xml:space="preserve">      </w:t>
      </w:r>
      <w:r>
        <w:rPr>
          <w:rFonts w:hAnsi="宋体"/>
          <w:color w:val="auto"/>
          <w:sz w:val="24"/>
          <w:szCs w:val="24"/>
          <w:highlight w:val="none"/>
        </w:rPr>
        <w:t>年</w:t>
      </w:r>
      <w:r>
        <w:rPr>
          <w:rFonts w:hAnsi="宋体"/>
          <w:color w:val="auto"/>
          <w:sz w:val="24"/>
          <w:szCs w:val="24"/>
          <w:highlight w:val="none"/>
          <w:u w:val="single"/>
        </w:rPr>
        <w:t xml:space="preserve">   </w:t>
      </w:r>
      <w:r>
        <w:rPr>
          <w:rFonts w:hAnsi="宋体"/>
          <w:color w:val="auto"/>
          <w:sz w:val="24"/>
          <w:szCs w:val="24"/>
          <w:highlight w:val="none"/>
        </w:rPr>
        <w:t>月</w:t>
      </w:r>
      <w:r>
        <w:rPr>
          <w:rFonts w:hAnsi="宋体"/>
          <w:color w:val="auto"/>
          <w:sz w:val="24"/>
          <w:szCs w:val="24"/>
          <w:highlight w:val="none"/>
          <w:u w:val="single"/>
        </w:rPr>
        <w:t xml:space="preserve">   </w:t>
      </w:r>
      <w:r>
        <w:rPr>
          <w:rFonts w:hAnsi="宋体"/>
          <w:color w:val="auto"/>
          <w:sz w:val="24"/>
          <w:szCs w:val="24"/>
          <w:highlight w:val="none"/>
        </w:rPr>
        <w:t>日，</w:t>
      </w:r>
      <w:r>
        <w:rPr>
          <w:rFonts w:hAnsi="宋体"/>
          <w:bCs/>
          <w:color w:val="auto"/>
          <w:sz w:val="24"/>
          <w:szCs w:val="24"/>
          <w:highlight w:val="none"/>
        </w:rPr>
        <w:t xml:space="preserve">就质疑事项作出了答复/没有在法定期限内作出答复。                                                                                             </w:t>
      </w:r>
    </w:p>
    <w:p w14:paraId="1FD926E0">
      <w:pPr>
        <w:pStyle w:val="18"/>
        <w:widowControl/>
        <w:spacing w:line="360" w:lineRule="auto"/>
        <w:ind w:left="25" w:leftChars="12" w:firstLine="472" w:firstLineChars="196"/>
        <w:rPr>
          <w:rFonts w:hAnsi="宋体"/>
          <w:b/>
          <w:color w:val="auto"/>
          <w:sz w:val="24"/>
          <w:szCs w:val="24"/>
          <w:highlight w:val="none"/>
        </w:rPr>
      </w:pPr>
      <w:r>
        <w:rPr>
          <w:rFonts w:hAnsi="宋体"/>
          <w:b/>
          <w:color w:val="auto"/>
          <w:sz w:val="24"/>
          <w:szCs w:val="24"/>
          <w:highlight w:val="none"/>
        </w:rPr>
        <w:t>四、投诉事项具体内容</w:t>
      </w:r>
    </w:p>
    <w:p w14:paraId="099C376C">
      <w:pPr>
        <w:pStyle w:val="18"/>
        <w:widowControl/>
        <w:spacing w:line="360" w:lineRule="auto"/>
        <w:ind w:left="25" w:leftChars="12" w:firstLine="472" w:firstLineChars="197"/>
        <w:rPr>
          <w:rFonts w:hAnsi="宋体"/>
          <w:bCs/>
          <w:color w:val="auto"/>
          <w:sz w:val="24"/>
          <w:szCs w:val="24"/>
          <w:highlight w:val="none"/>
          <w:u w:val="single"/>
        </w:rPr>
      </w:pPr>
      <w:r>
        <w:rPr>
          <w:rFonts w:hAnsi="宋体"/>
          <w:color w:val="auto"/>
          <w:sz w:val="24"/>
          <w:szCs w:val="24"/>
          <w:highlight w:val="none"/>
        </w:rPr>
        <w:t>投诉事项1：</w:t>
      </w:r>
      <w:r>
        <w:rPr>
          <w:rFonts w:hAnsi="宋体"/>
          <w:bCs/>
          <w:color w:val="auto"/>
          <w:sz w:val="24"/>
          <w:szCs w:val="24"/>
          <w:highlight w:val="none"/>
          <w:u w:val="single"/>
        </w:rPr>
        <w:t xml:space="preserve">                                                                           </w:t>
      </w:r>
    </w:p>
    <w:p w14:paraId="7AC178C6">
      <w:pPr>
        <w:pStyle w:val="18"/>
        <w:widowControl/>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事实依据：</w:t>
      </w:r>
      <w:r>
        <w:rPr>
          <w:rFonts w:hAnsi="宋体"/>
          <w:color w:val="auto"/>
          <w:sz w:val="24"/>
          <w:szCs w:val="24"/>
          <w:highlight w:val="none"/>
        </w:rPr>
        <w:t xml:space="preserve"> </w:t>
      </w:r>
      <w:r>
        <w:rPr>
          <w:rFonts w:hAnsi="宋体"/>
          <w:bCs/>
          <w:color w:val="auto"/>
          <w:sz w:val="24"/>
          <w:szCs w:val="24"/>
          <w:highlight w:val="none"/>
          <w:u w:val="single"/>
        </w:rPr>
        <w:t xml:space="preserve">                                                                                      </w:t>
      </w:r>
    </w:p>
    <w:p w14:paraId="13E26C7E">
      <w:pPr>
        <w:pStyle w:val="18"/>
        <w:widowControl/>
        <w:spacing w:line="360" w:lineRule="auto"/>
        <w:ind w:left="25" w:leftChars="12" w:firstLine="472" w:firstLineChars="197"/>
        <w:rPr>
          <w:rFonts w:hAnsi="宋体"/>
          <w:color w:val="auto"/>
          <w:sz w:val="24"/>
          <w:szCs w:val="24"/>
          <w:highlight w:val="none"/>
        </w:rPr>
      </w:pPr>
      <w:r>
        <w:rPr>
          <w:rFonts w:hAnsi="宋体"/>
          <w:bCs/>
          <w:color w:val="auto"/>
          <w:sz w:val="24"/>
          <w:szCs w:val="24"/>
          <w:highlight w:val="none"/>
          <w:u w:val="single"/>
        </w:rPr>
        <w:t xml:space="preserve">                                                                                        </w:t>
      </w:r>
    </w:p>
    <w:p w14:paraId="7F5187B0">
      <w:pPr>
        <w:pStyle w:val="18"/>
        <w:widowControl/>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法律依据：</w:t>
      </w:r>
      <w:r>
        <w:rPr>
          <w:rFonts w:hAnsi="宋体"/>
          <w:color w:val="auto"/>
          <w:sz w:val="24"/>
          <w:szCs w:val="24"/>
          <w:highlight w:val="none"/>
        </w:rPr>
        <w:t xml:space="preserve"> </w:t>
      </w:r>
      <w:r>
        <w:rPr>
          <w:rFonts w:hAnsi="宋体"/>
          <w:bCs/>
          <w:color w:val="auto"/>
          <w:sz w:val="24"/>
          <w:szCs w:val="24"/>
          <w:highlight w:val="none"/>
          <w:u w:val="single"/>
        </w:rPr>
        <w:t xml:space="preserve">                                                                                      </w:t>
      </w:r>
    </w:p>
    <w:p w14:paraId="39308828">
      <w:pPr>
        <w:pStyle w:val="18"/>
        <w:widowControl/>
        <w:spacing w:line="360" w:lineRule="auto"/>
        <w:ind w:left="25" w:leftChars="12" w:firstLine="352" w:firstLineChars="147"/>
        <w:rPr>
          <w:rFonts w:hAnsi="宋体"/>
          <w:bCs/>
          <w:color w:val="auto"/>
          <w:sz w:val="24"/>
          <w:szCs w:val="24"/>
          <w:highlight w:val="none"/>
          <w:u w:val="single"/>
        </w:rPr>
      </w:pPr>
      <w:r>
        <w:rPr>
          <w:rFonts w:hAnsi="宋体"/>
          <w:bCs/>
          <w:color w:val="auto"/>
          <w:sz w:val="24"/>
          <w:szCs w:val="24"/>
          <w:highlight w:val="none"/>
        </w:rPr>
        <w:t xml:space="preserve"> </w:t>
      </w:r>
      <w:r>
        <w:rPr>
          <w:rFonts w:hAnsi="宋体"/>
          <w:bCs/>
          <w:color w:val="auto"/>
          <w:sz w:val="24"/>
          <w:szCs w:val="24"/>
          <w:highlight w:val="none"/>
          <w:u w:val="single"/>
        </w:rPr>
        <w:t xml:space="preserve">                                                                                        </w:t>
      </w:r>
    </w:p>
    <w:p w14:paraId="4C550C83">
      <w:pPr>
        <w:pStyle w:val="18"/>
        <w:widowControl/>
        <w:spacing w:line="360" w:lineRule="auto"/>
        <w:ind w:left="25" w:leftChars="12" w:firstLine="472" w:firstLineChars="197"/>
        <w:rPr>
          <w:rFonts w:hAnsi="宋体"/>
          <w:bCs/>
          <w:color w:val="auto"/>
          <w:sz w:val="24"/>
          <w:szCs w:val="24"/>
          <w:highlight w:val="none"/>
        </w:rPr>
      </w:pPr>
      <w:r>
        <w:rPr>
          <w:rFonts w:hAnsi="宋体"/>
          <w:color w:val="auto"/>
          <w:sz w:val="24"/>
          <w:szCs w:val="24"/>
          <w:highlight w:val="none"/>
        </w:rPr>
        <w:t xml:space="preserve">投诉事项2  </w:t>
      </w:r>
      <w:r>
        <w:rPr>
          <w:rFonts w:hAnsi="宋体"/>
          <w:bCs/>
          <w:color w:val="auto"/>
          <w:sz w:val="24"/>
          <w:szCs w:val="24"/>
          <w:highlight w:val="none"/>
        </w:rPr>
        <w:t xml:space="preserve">   </w:t>
      </w:r>
    </w:p>
    <w:p w14:paraId="7660569B">
      <w:pPr>
        <w:pStyle w:val="18"/>
        <w:widowControl/>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67C43DEB">
      <w:pPr>
        <w:pStyle w:val="18"/>
        <w:widowControl/>
        <w:spacing w:line="360" w:lineRule="auto"/>
        <w:ind w:left="25" w:leftChars="12" w:firstLine="472" w:firstLineChars="196"/>
        <w:rPr>
          <w:rFonts w:hAnsi="宋体"/>
          <w:b/>
          <w:color w:val="auto"/>
          <w:sz w:val="24"/>
          <w:szCs w:val="24"/>
          <w:highlight w:val="none"/>
        </w:rPr>
      </w:pPr>
      <w:r>
        <w:rPr>
          <w:rFonts w:hAnsi="宋体"/>
          <w:b/>
          <w:color w:val="auto"/>
          <w:sz w:val="24"/>
          <w:szCs w:val="24"/>
          <w:highlight w:val="none"/>
        </w:rPr>
        <w:t>五、与投诉事项相关的投诉请求：</w:t>
      </w:r>
    </w:p>
    <w:p w14:paraId="05F2F776">
      <w:pPr>
        <w:pStyle w:val="18"/>
        <w:widowControl/>
        <w:spacing w:line="360" w:lineRule="auto"/>
        <w:ind w:left="25" w:leftChars="12" w:firstLine="472" w:firstLineChars="197"/>
        <w:rPr>
          <w:rFonts w:hAnsi="宋体"/>
          <w:color w:val="auto"/>
          <w:sz w:val="24"/>
          <w:szCs w:val="24"/>
          <w:highlight w:val="none"/>
        </w:rPr>
      </w:pPr>
      <w:r>
        <w:rPr>
          <w:rFonts w:hAnsi="宋体"/>
          <w:color w:val="auto"/>
          <w:sz w:val="24"/>
          <w:szCs w:val="24"/>
          <w:highlight w:val="none"/>
        </w:rPr>
        <w:t>请求：</w:t>
      </w:r>
      <w:r>
        <w:rPr>
          <w:rFonts w:hAnsi="宋体"/>
          <w:bCs/>
          <w:color w:val="auto"/>
          <w:sz w:val="24"/>
          <w:szCs w:val="24"/>
          <w:highlight w:val="none"/>
          <w:u w:val="single"/>
        </w:rPr>
        <w:t xml:space="preserve">                                                                                 </w:t>
      </w:r>
    </w:p>
    <w:p w14:paraId="4E128D47">
      <w:pPr>
        <w:pStyle w:val="18"/>
        <w:widowControl/>
        <w:spacing w:line="360" w:lineRule="auto"/>
        <w:ind w:left="25" w:leftChars="12" w:firstLine="352" w:firstLineChars="147"/>
        <w:rPr>
          <w:rFonts w:hAnsi="宋体"/>
          <w:color w:val="auto"/>
          <w:sz w:val="24"/>
          <w:szCs w:val="24"/>
          <w:highlight w:val="none"/>
        </w:rPr>
      </w:pPr>
    </w:p>
    <w:p w14:paraId="2D402E64">
      <w:pPr>
        <w:pStyle w:val="18"/>
        <w:widowControl/>
        <w:spacing w:line="360" w:lineRule="auto"/>
        <w:ind w:left="25" w:leftChars="12" w:firstLine="472" w:firstLineChars="197"/>
        <w:rPr>
          <w:rFonts w:hAnsi="宋体"/>
          <w:color w:val="auto"/>
          <w:sz w:val="24"/>
          <w:szCs w:val="24"/>
          <w:highlight w:val="none"/>
        </w:rPr>
      </w:pPr>
      <w:r>
        <w:rPr>
          <w:rFonts w:hAnsi="宋体"/>
          <w:color w:val="auto"/>
          <w:sz w:val="24"/>
          <w:szCs w:val="24"/>
          <w:highlight w:val="none"/>
        </w:rPr>
        <w:t>签字（签章）：                                       公章：</w:t>
      </w:r>
    </w:p>
    <w:p w14:paraId="66AB83A7">
      <w:pPr>
        <w:pStyle w:val="18"/>
        <w:widowControl/>
        <w:spacing w:line="360" w:lineRule="auto"/>
        <w:ind w:left="25" w:leftChars="12" w:firstLine="352" w:firstLineChars="147"/>
        <w:rPr>
          <w:rFonts w:hAnsi="宋体"/>
          <w:color w:val="auto"/>
          <w:sz w:val="24"/>
          <w:szCs w:val="24"/>
          <w:highlight w:val="none"/>
        </w:rPr>
      </w:pPr>
    </w:p>
    <w:p w14:paraId="5BC1A44B">
      <w:pPr>
        <w:pStyle w:val="18"/>
        <w:widowControl/>
        <w:spacing w:line="360" w:lineRule="auto"/>
        <w:ind w:left="25" w:leftChars="12" w:firstLine="472" w:firstLineChars="197"/>
        <w:rPr>
          <w:rFonts w:hAnsi="宋体"/>
          <w:color w:val="auto"/>
          <w:sz w:val="24"/>
          <w:szCs w:val="24"/>
          <w:highlight w:val="none"/>
        </w:rPr>
      </w:pPr>
      <w:r>
        <w:rPr>
          <w:rFonts w:hAnsi="宋体"/>
          <w:color w:val="auto"/>
          <w:sz w:val="24"/>
          <w:szCs w:val="24"/>
          <w:highlight w:val="none"/>
        </w:rPr>
        <w:t>日期：</w:t>
      </w:r>
    </w:p>
    <w:p w14:paraId="4BFF88F7">
      <w:pPr>
        <w:pStyle w:val="18"/>
        <w:widowControl/>
        <w:spacing w:line="360" w:lineRule="auto"/>
        <w:ind w:left="25" w:leftChars="12" w:firstLine="472" w:firstLineChars="197"/>
        <w:rPr>
          <w:rFonts w:hAnsi="宋体"/>
          <w:color w:val="auto"/>
          <w:sz w:val="24"/>
          <w:szCs w:val="24"/>
          <w:highlight w:val="none"/>
        </w:rPr>
      </w:pPr>
      <w:r>
        <w:rPr>
          <w:rFonts w:hAnsi="宋体"/>
          <w:bCs/>
          <w:color w:val="auto"/>
          <w:sz w:val="24"/>
          <w:szCs w:val="24"/>
          <w:highlight w:val="none"/>
        </w:rPr>
        <w:t xml:space="preserve">                                                                                 </w:t>
      </w:r>
    </w:p>
    <w:p w14:paraId="16B88784">
      <w:pPr>
        <w:pStyle w:val="18"/>
        <w:widowControl/>
        <w:snapToGrid w:val="0"/>
        <w:spacing w:line="360" w:lineRule="auto"/>
        <w:rPr>
          <w:rFonts w:hAnsi="宋体"/>
          <w:b/>
          <w:color w:val="auto"/>
          <w:sz w:val="24"/>
          <w:szCs w:val="24"/>
          <w:highlight w:val="none"/>
        </w:rPr>
      </w:pPr>
    </w:p>
    <w:p w14:paraId="33506119">
      <w:pPr>
        <w:pStyle w:val="18"/>
        <w:widowControl/>
        <w:snapToGrid w:val="0"/>
        <w:spacing w:line="360" w:lineRule="auto"/>
        <w:rPr>
          <w:rFonts w:hAnsi="宋体"/>
          <w:b/>
          <w:color w:val="auto"/>
          <w:sz w:val="24"/>
          <w:szCs w:val="24"/>
          <w:highlight w:val="none"/>
        </w:rPr>
      </w:pPr>
      <w:r>
        <w:rPr>
          <w:rFonts w:hAnsi="宋体"/>
          <w:b/>
          <w:color w:val="auto"/>
          <w:sz w:val="24"/>
          <w:szCs w:val="24"/>
          <w:highlight w:val="none"/>
        </w:rPr>
        <w:t>说明：</w:t>
      </w:r>
    </w:p>
    <w:p w14:paraId="5A432AAA">
      <w:pPr>
        <w:pStyle w:val="18"/>
        <w:widowControl/>
        <w:spacing w:line="360" w:lineRule="auto"/>
        <w:ind w:left="25" w:leftChars="12" w:firstLine="354" w:firstLineChars="147"/>
        <w:rPr>
          <w:rFonts w:hAnsi="宋体"/>
          <w:b/>
          <w:bCs/>
          <w:color w:val="auto"/>
          <w:sz w:val="24"/>
          <w:szCs w:val="24"/>
          <w:highlight w:val="none"/>
        </w:rPr>
      </w:pPr>
      <w:r>
        <w:rPr>
          <w:rFonts w:hAnsi="宋体"/>
          <w:b/>
          <w:color w:val="auto"/>
          <w:sz w:val="24"/>
          <w:szCs w:val="24"/>
          <w:highlight w:val="none"/>
        </w:rPr>
        <w:t>1.投诉人提起投诉时，应当提交投诉书和必要的证明材料，并按照被投诉人和与投诉事项有关的供应商数量提供投诉书副本</w:t>
      </w:r>
      <w:r>
        <w:rPr>
          <w:rFonts w:hAnsi="宋体"/>
          <w:b/>
          <w:bCs/>
          <w:color w:val="auto"/>
          <w:sz w:val="24"/>
          <w:szCs w:val="24"/>
          <w:highlight w:val="none"/>
        </w:rPr>
        <w:t>。</w:t>
      </w:r>
    </w:p>
    <w:p w14:paraId="41D7158C">
      <w:pPr>
        <w:pStyle w:val="18"/>
        <w:widowControl/>
        <w:spacing w:line="360" w:lineRule="auto"/>
        <w:ind w:left="25" w:leftChars="12" w:firstLine="354" w:firstLineChars="147"/>
        <w:rPr>
          <w:rFonts w:hAnsi="宋体"/>
          <w:b/>
          <w:color w:val="auto"/>
          <w:sz w:val="24"/>
          <w:szCs w:val="24"/>
          <w:highlight w:val="none"/>
        </w:rPr>
      </w:pPr>
      <w:r>
        <w:rPr>
          <w:rFonts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68F4C29">
      <w:pPr>
        <w:pStyle w:val="18"/>
        <w:widowControl/>
        <w:spacing w:line="360" w:lineRule="auto"/>
        <w:ind w:left="25" w:leftChars="12" w:firstLine="354" w:firstLineChars="147"/>
        <w:rPr>
          <w:rFonts w:hAnsi="宋体"/>
          <w:b/>
          <w:color w:val="auto"/>
          <w:sz w:val="24"/>
          <w:szCs w:val="24"/>
          <w:highlight w:val="none"/>
        </w:rPr>
      </w:pPr>
      <w:r>
        <w:rPr>
          <w:rFonts w:hAnsi="宋体"/>
          <w:b/>
          <w:color w:val="auto"/>
          <w:sz w:val="24"/>
          <w:szCs w:val="24"/>
          <w:highlight w:val="none"/>
        </w:rPr>
        <w:t>3.投诉书应简要列明质疑事项，质疑函、质疑答复等作为附件材料提供。</w:t>
      </w:r>
    </w:p>
    <w:p w14:paraId="3B452B52">
      <w:pPr>
        <w:pStyle w:val="18"/>
        <w:widowControl/>
        <w:spacing w:line="360" w:lineRule="auto"/>
        <w:ind w:left="25" w:leftChars="12" w:firstLine="354" w:firstLineChars="147"/>
        <w:rPr>
          <w:rFonts w:hAnsi="宋体"/>
          <w:b/>
          <w:color w:val="auto"/>
          <w:sz w:val="24"/>
          <w:szCs w:val="24"/>
          <w:highlight w:val="none"/>
        </w:rPr>
      </w:pPr>
      <w:r>
        <w:rPr>
          <w:rFonts w:hAnsi="宋体"/>
          <w:b/>
          <w:color w:val="auto"/>
          <w:sz w:val="24"/>
          <w:szCs w:val="24"/>
          <w:highlight w:val="none"/>
        </w:rPr>
        <w:t>4.投诉书的投诉事项应具体、明确，并有必要的事实依据和法律依据。</w:t>
      </w:r>
    </w:p>
    <w:p w14:paraId="0CEC77E3">
      <w:pPr>
        <w:pStyle w:val="18"/>
        <w:widowControl/>
        <w:spacing w:line="360" w:lineRule="auto"/>
        <w:ind w:left="25" w:leftChars="12" w:firstLine="354" w:firstLineChars="147"/>
        <w:rPr>
          <w:rFonts w:hAnsi="宋体"/>
          <w:b/>
          <w:color w:val="auto"/>
          <w:sz w:val="24"/>
          <w:szCs w:val="24"/>
          <w:highlight w:val="none"/>
        </w:rPr>
      </w:pPr>
      <w:r>
        <w:rPr>
          <w:rFonts w:hAnsi="宋体"/>
          <w:b/>
          <w:color w:val="auto"/>
          <w:sz w:val="24"/>
          <w:szCs w:val="24"/>
          <w:highlight w:val="none"/>
        </w:rPr>
        <w:t>5.投诉书的投诉请求应与投诉事项相关。</w:t>
      </w:r>
    </w:p>
    <w:p w14:paraId="74885943">
      <w:pPr>
        <w:pStyle w:val="18"/>
        <w:widowControl/>
        <w:spacing w:line="360" w:lineRule="auto"/>
        <w:ind w:left="25" w:leftChars="12" w:firstLine="354" w:firstLineChars="147"/>
        <w:rPr>
          <w:rFonts w:hAnsi="宋体"/>
          <w:b/>
          <w:color w:val="auto"/>
          <w:highlight w:val="none"/>
        </w:rPr>
      </w:pPr>
      <w:r>
        <w:rPr>
          <w:rFonts w:hAnsi="宋体"/>
          <w:b/>
          <w:color w:val="auto"/>
          <w:sz w:val="24"/>
          <w:szCs w:val="24"/>
          <w:highlight w:val="none"/>
        </w:rPr>
        <w:t>6.投诉人为法人或者其他组织的，投诉书应由法定代表人、主要负责人，或者其授权代表签字或者盖章，并加盖公章。</w:t>
      </w:r>
    </w:p>
    <w:p w14:paraId="27025D68">
      <w:pPr>
        <w:rPr>
          <w:color w:val="auto"/>
          <w:highlight w:val="none"/>
        </w:rPr>
      </w:pPr>
    </w:p>
    <w:p w14:paraId="34B4BBC4">
      <w:pPr>
        <w:rPr>
          <w:color w:val="auto"/>
          <w:highlight w:val="none"/>
        </w:rPr>
      </w:pPr>
    </w:p>
    <w:sectPr>
      <w:pgSz w:w="11910" w:h="16840"/>
      <w:pgMar w:top="1340" w:right="1500" w:bottom="280" w:left="1680" w:header="720" w:footer="72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auto"/>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TimesNewRomanPSMT">
    <w:altName w:val="Times New Roman"/>
    <w:panose1 w:val="00000000000000000000"/>
    <w:charset w:val="00"/>
    <w:family w:val="auto"/>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9AD2D">
    <w:pPr>
      <w:spacing w:line="226" w:lineRule="exact"/>
      <w:ind w:left="46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20639">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220639">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95B48">
    <w:pPr>
      <w:spacing w:line="220" w:lineRule="auto"/>
      <w:ind w:left="463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ACDAD">
    <w:pPr>
      <w:spacing w:line="192" w:lineRule="auto"/>
      <w:ind w:left="4246"/>
      <w:rPr>
        <w:rFonts w:hint="default" w:ascii="宋体" w:hAnsi="宋体" w:eastAsia="宋体" w:cs="宋体"/>
        <w:sz w:val="17"/>
        <w:szCs w:val="17"/>
      </w:rPr>
    </w:pPr>
    <w:r>
      <w:rPr>
        <w:rFonts w:hint="default" w:eastAsia="宋体"/>
        <w:sz w:val="17"/>
        <w:szCs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7CCBCA">
                          <w:pPr>
                            <w:pStyle w:val="2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A7I80BAACp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4TVnTlh68cv3b5cfvy4/vzKK&#10;kUB9wIrqHgJVxuHOD1Q8x5GCiffQgk1fYsQoT/Ker/KqITKZLq1X63VJKUm52SH84vF6AIxvlbcs&#10;GTUHer8sqzi9xziWziWpm/P32pj8hsb9FSDMMaLyEky3E5Nx4mTFYT9M9Pa+ORO7nhah5o72njPz&#10;zpHOaWdmA2ZjPxvHAPrQ0aDLPCWG22OkkfKkqcMISwyTQy+YuU7bllbkTz9XPf5h2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vkA7I80BAACpAwAADgAAAAAAAAABACAAAAAeAQAAZHJzL2Uy&#10;b0RvYy54bWxQSwUGAAAAAAYABgBZAQAAXQUAAAAA&#10;">
              <v:fill on="f" focussize="0,0"/>
              <v:stroke on="f"/>
              <v:imagedata o:title=""/>
              <o:lock v:ext="edit" aspectratio="f"/>
              <v:textbox inset="0mm,0mm,0mm,0mm" style="mso-fit-shape-to-text:t;">
                <w:txbxContent>
                  <w:p w14:paraId="6F7CCBCA">
                    <w:pPr>
                      <w:pStyle w:val="2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F552">
    <w:pPr>
      <w:spacing w:line="220" w:lineRule="auto"/>
      <w:ind w:left="45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F8BFE">
    <w:pPr>
      <w:spacing w:line="220" w:lineRule="auto"/>
      <w:ind w:left="457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4F374">
    <w:pPr>
      <w:spacing w:line="220" w:lineRule="auto"/>
      <w:ind w:left="485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89AB">
    <w:pPr>
      <w:spacing w:line="220" w:lineRule="auto"/>
      <w:ind w:left="473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DF466">
    <w:pPr>
      <w:spacing w:line="220" w:lineRule="auto"/>
      <w:ind w:left="473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2674">
    <w:pPr>
      <w:spacing w:line="220" w:lineRule="auto"/>
      <w:ind w:left="473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0D133">
    <w:pPr>
      <w:spacing w:line="220" w:lineRule="auto"/>
      <w:ind w:left="451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DA8B2">
    <w:pPr>
      <w:spacing w:line="220" w:lineRule="auto"/>
      <w:ind w:left="463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283C">
    <w:pPr>
      <w:pStyle w:val="22"/>
      <w:pBdr>
        <w:bottom w:val="none" w:color="auto" w:sz="0" w:space="0"/>
      </w:pBdr>
      <w:rPr>
        <w:rFonts w:hint="eastAsi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58AC8"/>
    <w:multiLevelType w:val="multilevel"/>
    <w:tmpl w:val="91658AC8"/>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A99B2FD2"/>
    <w:multiLevelType w:val="singleLevel"/>
    <w:tmpl w:val="A99B2FD2"/>
    <w:lvl w:ilvl="0" w:tentative="0">
      <w:start w:val="1"/>
      <w:numFmt w:val="decimal"/>
      <w:suff w:val="nothing"/>
      <w:lvlText w:val="%1、"/>
      <w:lvlJc w:val="left"/>
    </w:lvl>
  </w:abstractNum>
  <w:abstractNum w:abstractNumId="2">
    <w:nsid w:val="EBB90694"/>
    <w:multiLevelType w:val="multilevel"/>
    <w:tmpl w:val="EBB90694"/>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6AA1FA1"/>
    <w:multiLevelType w:val="singleLevel"/>
    <w:tmpl w:val="16AA1FA1"/>
    <w:lvl w:ilvl="0" w:tentative="0">
      <w:start w:val="6"/>
      <w:numFmt w:val="chineseCounting"/>
      <w:suff w:val="nothing"/>
      <w:lvlText w:val="%1、"/>
      <w:lvlJc w:val="left"/>
      <w:rPr>
        <w:rFonts w:hint="eastAsia"/>
      </w:rPr>
    </w:lvl>
  </w:abstractNum>
  <w:abstractNum w:abstractNumId="4">
    <w:nsid w:val="2849CA97"/>
    <w:multiLevelType w:val="singleLevel"/>
    <w:tmpl w:val="2849CA97"/>
    <w:lvl w:ilvl="0" w:tentative="0">
      <w:start w:val="1"/>
      <w:numFmt w:val="chineseCounting"/>
      <w:suff w:val="nothing"/>
      <w:lvlText w:val="%1、"/>
      <w:lvlJc w:val="left"/>
      <w:rPr>
        <w:rFonts w:hint="eastAsia"/>
      </w:rPr>
    </w:lvl>
  </w:abstractNum>
  <w:abstractNum w:abstractNumId="5">
    <w:nsid w:val="543BAB58"/>
    <w:multiLevelType w:val="singleLevel"/>
    <w:tmpl w:val="543BAB58"/>
    <w:lvl w:ilvl="0" w:tentative="0">
      <w:start w:val="1"/>
      <w:numFmt w:val="decimal"/>
      <w:suff w:val="nothing"/>
      <w:lvlText w:val="（%1）"/>
      <w:lvlJc w:val="left"/>
    </w:lvl>
  </w:abstractNum>
  <w:abstractNum w:abstractNumId="6">
    <w:nsid w:val="77633218"/>
    <w:multiLevelType w:val="singleLevel"/>
    <w:tmpl w:val="7763321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7">
    <w:nsid w:val="77633219"/>
    <w:multiLevelType w:val="singleLevel"/>
    <w:tmpl w:val="7763321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8">
    <w:nsid w:val="7763321A"/>
    <w:multiLevelType w:val="singleLevel"/>
    <w:tmpl w:val="7763321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9">
    <w:nsid w:val="7763321B"/>
    <w:multiLevelType w:val="singleLevel"/>
    <w:tmpl w:val="7763321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0">
    <w:nsid w:val="7763321C"/>
    <w:multiLevelType w:val="singleLevel"/>
    <w:tmpl w:val="7763321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1">
    <w:nsid w:val="7763321D"/>
    <w:multiLevelType w:val="singleLevel"/>
    <w:tmpl w:val="7763321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2">
    <w:nsid w:val="7763321E"/>
    <w:multiLevelType w:val="singleLevel"/>
    <w:tmpl w:val="7763321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3">
    <w:nsid w:val="7763321F"/>
    <w:multiLevelType w:val="singleLevel"/>
    <w:tmpl w:val="7763321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4">
    <w:nsid w:val="77633220"/>
    <w:multiLevelType w:val="singleLevel"/>
    <w:tmpl w:val="7763322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5">
    <w:nsid w:val="77633221"/>
    <w:multiLevelType w:val="singleLevel"/>
    <w:tmpl w:val="7763322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6">
    <w:nsid w:val="77633222"/>
    <w:multiLevelType w:val="singleLevel"/>
    <w:tmpl w:val="7763322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7">
    <w:nsid w:val="77633223"/>
    <w:multiLevelType w:val="singleLevel"/>
    <w:tmpl w:val="7763322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8">
    <w:nsid w:val="77633224"/>
    <w:multiLevelType w:val="singleLevel"/>
    <w:tmpl w:val="7763322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9">
    <w:nsid w:val="77633225"/>
    <w:multiLevelType w:val="singleLevel"/>
    <w:tmpl w:val="7763322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0">
    <w:nsid w:val="77633226"/>
    <w:multiLevelType w:val="singleLevel"/>
    <w:tmpl w:val="7763322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1">
    <w:nsid w:val="77633227"/>
    <w:multiLevelType w:val="singleLevel"/>
    <w:tmpl w:val="7763322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2">
    <w:nsid w:val="77633228"/>
    <w:multiLevelType w:val="singleLevel"/>
    <w:tmpl w:val="7763322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3">
    <w:nsid w:val="77633229"/>
    <w:multiLevelType w:val="singleLevel"/>
    <w:tmpl w:val="7763322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4">
    <w:nsid w:val="7763322A"/>
    <w:multiLevelType w:val="singleLevel"/>
    <w:tmpl w:val="7763322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5">
    <w:nsid w:val="7763322B"/>
    <w:multiLevelType w:val="singleLevel"/>
    <w:tmpl w:val="7763322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6">
    <w:nsid w:val="7763322C"/>
    <w:multiLevelType w:val="singleLevel"/>
    <w:tmpl w:val="7763322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7">
    <w:nsid w:val="7763322D"/>
    <w:multiLevelType w:val="singleLevel"/>
    <w:tmpl w:val="7763322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8">
    <w:nsid w:val="7763322E"/>
    <w:multiLevelType w:val="singleLevel"/>
    <w:tmpl w:val="7763322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9">
    <w:nsid w:val="7763322F"/>
    <w:multiLevelType w:val="singleLevel"/>
    <w:tmpl w:val="7763322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0">
    <w:nsid w:val="77633230"/>
    <w:multiLevelType w:val="singleLevel"/>
    <w:tmpl w:val="7763323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1">
    <w:nsid w:val="77633231"/>
    <w:multiLevelType w:val="singleLevel"/>
    <w:tmpl w:val="7763323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2">
    <w:nsid w:val="77633232"/>
    <w:multiLevelType w:val="singleLevel"/>
    <w:tmpl w:val="7763323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3">
    <w:nsid w:val="77633233"/>
    <w:multiLevelType w:val="singleLevel"/>
    <w:tmpl w:val="7763323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4">
    <w:nsid w:val="77633234"/>
    <w:multiLevelType w:val="singleLevel"/>
    <w:tmpl w:val="7763323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5">
    <w:nsid w:val="77633235"/>
    <w:multiLevelType w:val="singleLevel"/>
    <w:tmpl w:val="7763323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6">
    <w:nsid w:val="77633236"/>
    <w:multiLevelType w:val="singleLevel"/>
    <w:tmpl w:val="7763323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7">
    <w:nsid w:val="77633237"/>
    <w:multiLevelType w:val="singleLevel"/>
    <w:tmpl w:val="77633237"/>
    <w:lvl w:ilvl="0" w:tentative="0">
      <w:start w:val="2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lvl>
  </w:abstractNum>
  <w:abstractNum w:abstractNumId="38">
    <w:nsid w:val="77633238"/>
    <w:multiLevelType w:val="singleLevel"/>
    <w:tmpl w:val="7763323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9">
    <w:nsid w:val="77633239"/>
    <w:multiLevelType w:val="singleLevel"/>
    <w:tmpl w:val="7763323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0">
    <w:nsid w:val="7763323A"/>
    <w:multiLevelType w:val="singleLevel"/>
    <w:tmpl w:val="7763323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1">
    <w:nsid w:val="7763323B"/>
    <w:multiLevelType w:val="singleLevel"/>
    <w:tmpl w:val="7763323B"/>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2">
    <w:nsid w:val="7763323C"/>
    <w:multiLevelType w:val="singleLevel"/>
    <w:tmpl w:val="7763323C"/>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3">
    <w:nsid w:val="7763323D"/>
    <w:multiLevelType w:val="singleLevel"/>
    <w:tmpl w:val="7763323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4">
    <w:nsid w:val="7763323E"/>
    <w:multiLevelType w:val="singleLevel"/>
    <w:tmpl w:val="7763323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5">
    <w:nsid w:val="7763323F"/>
    <w:multiLevelType w:val="singleLevel"/>
    <w:tmpl w:val="7763323F"/>
    <w:lvl w:ilvl="0" w:tentative="0">
      <w:start w:val="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6">
    <w:nsid w:val="77633240"/>
    <w:multiLevelType w:val="singleLevel"/>
    <w:tmpl w:val="7763324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47">
    <w:nsid w:val="77633241"/>
    <w:multiLevelType w:val="singleLevel"/>
    <w:tmpl w:val="7763324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8">
    <w:nsid w:val="77633242"/>
    <w:multiLevelType w:val="singleLevel"/>
    <w:tmpl w:val="7763324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49">
    <w:nsid w:val="77633243"/>
    <w:multiLevelType w:val="multilevel"/>
    <w:tmpl w:val="7763324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50">
    <w:nsid w:val="77633244"/>
    <w:multiLevelType w:val="singleLevel"/>
    <w:tmpl w:val="7763324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51">
    <w:nsid w:val="77633245"/>
    <w:multiLevelType w:val="singleLevel"/>
    <w:tmpl w:val="7763324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52">
    <w:nsid w:val="77633246"/>
    <w:multiLevelType w:val="singleLevel"/>
    <w:tmpl w:val="7763324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53">
    <w:nsid w:val="7FF00301"/>
    <w:multiLevelType w:val="singleLevel"/>
    <w:tmpl w:val="7FF00301"/>
    <w:lvl w:ilvl="0" w:tentative="0">
      <w:start w:val="8"/>
      <w:numFmt w:val="chineseCounting"/>
      <w:lvlText w:val="%1."/>
      <w:lvlJc w:val="left"/>
      <w:pPr>
        <w:tabs>
          <w:tab w:val="left" w:pos="312"/>
        </w:tabs>
      </w:pPr>
      <w:rPr>
        <w:rFonts w:hint="eastAsia"/>
      </w:rPr>
    </w:lvl>
  </w:abstractNum>
  <w:num w:numId="1">
    <w:abstractNumId w:val="1"/>
  </w:num>
  <w:num w:numId="2">
    <w:abstractNumId w:val="0"/>
  </w:num>
  <w:num w:numId="3">
    <w:abstractNumId w:val="5"/>
  </w:num>
  <w:num w:numId="4">
    <w:abstractNumId w:val="53"/>
  </w:num>
  <w:num w:numId="5">
    <w:abstractNumId w:val="3"/>
  </w:num>
  <w:num w:numId="6">
    <w:abstractNumId w:val="4"/>
  </w:num>
  <w:num w:numId="7">
    <w:abstractNumId w:val="2"/>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yYzQ5YjI5Y2Y2NWQzMTgwOGQ3OTEwYjg2NjlhYzEifQ=="/>
  </w:docVars>
  <w:rsids>
    <w:rsidRoot w:val="35C1240C"/>
    <w:rsid w:val="000B35D2"/>
    <w:rsid w:val="001868A1"/>
    <w:rsid w:val="001F392C"/>
    <w:rsid w:val="00297E90"/>
    <w:rsid w:val="00353F3F"/>
    <w:rsid w:val="00602CFC"/>
    <w:rsid w:val="00666C42"/>
    <w:rsid w:val="008220AF"/>
    <w:rsid w:val="00930609"/>
    <w:rsid w:val="00937DDE"/>
    <w:rsid w:val="009A1672"/>
    <w:rsid w:val="00AD5775"/>
    <w:rsid w:val="00B57C60"/>
    <w:rsid w:val="00DE06B4"/>
    <w:rsid w:val="00F81B4D"/>
    <w:rsid w:val="00FA063D"/>
    <w:rsid w:val="00FC2783"/>
    <w:rsid w:val="02BC6A2E"/>
    <w:rsid w:val="030B2530"/>
    <w:rsid w:val="034C3ED6"/>
    <w:rsid w:val="03922E36"/>
    <w:rsid w:val="039D55F6"/>
    <w:rsid w:val="04692E3C"/>
    <w:rsid w:val="058C2647"/>
    <w:rsid w:val="06C45AB1"/>
    <w:rsid w:val="06FF34F1"/>
    <w:rsid w:val="07000960"/>
    <w:rsid w:val="0725109C"/>
    <w:rsid w:val="073462F1"/>
    <w:rsid w:val="07731B1E"/>
    <w:rsid w:val="082F67BD"/>
    <w:rsid w:val="0B01129D"/>
    <w:rsid w:val="0E3B58C3"/>
    <w:rsid w:val="0E7C0115"/>
    <w:rsid w:val="0FD009C8"/>
    <w:rsid w:val="10023568"/>
    <w:rsid w:val="10223F0D"/>
    <w:rsid w:val="11382CD8"/>
    <w:rsid w:val="11A71DB3"/>
    <w:rsid w:val="11B07AE6"/>
    <w:rsid w:val="15F62BB8"/>
    <w:rsid w:val="16041BBA"/>
    <w:rsid w:val="16B34D3B"/>
    <w:rsid w:val="18F93524"/>
    <w:rsid w:val="1BF646F9"/>
    <w:rsid w:val="1C6D251D"/>
    <w:rsid w:val="1D160629"/>
    <w:rsid w:val="1EBD3A5C"/>
    <w:rsid w:val="21DA62E3"/>
    <w:rsid w:val="24066BDB"/>
    <w:rsid w:val="25BA369B"/>
    <w:rsid w:val="271F0C12"/>
    <w:rsid w:val="2865372F"/>
    <w:rsid w:val="2ECC0878"/>
    <w:rsid w:val="2EFC1307"/>
    <w:rsid w:val="2F12052F"/>
    <w:rsid w:val="2F3621B9"/>
    <w:rsid w:val="31FB3392"/>
    <w:rsid w:val="349C3B23"/>
    <w:rsid w:val="358D2BBE"/>
    <w:rsid w:val="35C1240C"/>
    <w:rsid w:val="35EF5A4F"/>
    <w:rsid w:val="37BF154D"/>
    <w:rsid w:val="39762FF9"/>
    <w:rsid w:val="399B10D2"/>
    <w:rsid w:val="39BE29D9"/>
    <w:rsid w:val="3A096D05"/>
    <w:rsid w:val="3AD7486A"/>
    <w:rsid w:val="3BBA1D76"/>
    <w:rsid w:val="3DC72AE0"/>
    <w:rsid w:val="3E2207F1"/>
    <w:rsid w:val="3E506B1E"/>
    <w:rsid w:val="3F433FA7"/>
    <w:rsid w:val="413E0B79"/>
    <w:rsid w:val="41A71B36"/>
    <w:rsid w:val="4234360C"/>
    <w:rsid w:val="430A3B9B"/>
    <w:rsid w:val="44A375E7"/>
    <w:rsid w:val="45DE200C"/>
    <w:rsid w:val="46EC6F0C"/>
    <w:rsid w:val="48E75396"/>
    <w:rsid w:val="4AC91669"/>
    <w:rsid w:val="4BA81249"/>
    <w:rsid w:val="4C8E4B43"/>
    <w:rsid w:val="4D514E22"/>
    <w:rsid w:val="4D704F42"/>
    <w:rsid w:val="4F635BE7"/>
    <w:rsid w:val="4F9A44F8"/>
    <w:rsid w:val="525A1520"/>
    <w:rsid w:val="53F900EA"/>
    <w:rsid w:val="54040192"/>
    <w:rsid w:val="55022228"/>
    <w:rsid w:val="5C857037"/>
    <w:rsid w:val="5DEA4C70"/>
    <w:rsid w:val="603E13CB"/>
    <w:rsid w:val="60AA74D6"/>
    <w:rsid w:val="60FD3E86"/>
    <w:rsid w:val="61474869"/>
    <w:rsid w:val="625453D0"/>
    <w:rsid w:val="627545BE"/>
    <w:rsid w:val="62991149"/>
    <w:rsid w:val="64122DF1"/>
    <w:rsid w:val="65A26BAE"/>
    <w:rsid w:val="66716FD4"/>
    <w:rsid w:val="681C1AF7"/>
    <w:rsid w:val="6CF42CC2"/>
    <w:rsid w:val="6F0A4804"/>
    <w:rsid w:val="6F15377A"/>
    <w:rsid w:val="70D87E5D"/>
    <w:rsid w:val="713734FD"/>
    <w:rsid w:val="7160077C"/>
    <w:rsid w:val="725A0912"/>
    <w:rsid w:val="74405DC5"/>
    <w:rsid w:val="7614205F"/>
    <w:rsid w:val="7873566B"/>
    <w:rsid w:val="79210E38"/>
    <w:rsid w:val="79FD3F85"/>
    <w:rsid w:val="7A4E1378"/>
    <w:rsid w:val="7AAE2C70"/>
    <w:rsid w:val="7DE94FDA"/>
    <w:rsid w:val="7EE7331E"/>
    <w:rsid w:val="7F191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6"/>
    <w:autoRedefine/>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63"/>
    <w:autoRedefine/>
    <w:semiHidden/>
    <w:unhideWhenUsed/>
    <w:qFormat/>
    <w:uiPriority w:val="0"/>
    <w:pPr>
      <w:keepNext/>
      <w:keepLines/>
      <w:spacing w:before="260" w:after="260" w:line="415" w:lineRule="auto"/>
      <w:outlineLvl w:val="1"/>
    </w:pPr>
    <w:rPr>
      <w:rFonts w:ascii="Cambria" w:hAnsi="Cambria" w:eastAsia="Cambria" w:cs="Times New Roman"/>
      <w:b/>
      <w:bCs/>
      <w:sz w:val="32"/>
      <w:szCs w:val="32"/>
    </w:rPr>
  </w:style>
  <w:style w:type="paragraph" w:styleId="4">
    <w:name w:val="heading 3"/>
    <w:basedOn w:val="1"/>
    <w:next w:val="1"/>
    <w:link w:val="59"/>
    <w:autoRedefine/>
    <w:semiHidden/>
    <w:unhideWhenUsed/>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5">
    <w:name w:val="heading 4"/>
    <w:basedOn w:val="1"/>
    <w:next w:val="1"/>
    <w:autoRedefine/>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link w:val="60"/>
    <w:autoRedefine/>
    <w:semiHidden/>
    <w:unhideWhenUsed/>
    <w:qFormat/>
    <w:uiPriority w:val="0"/>
    <w:pPr>
      <w:keepNext/>
      <w:keepLines/>
      <w:spacing w:before="280" w:after="290" w:line="372" w:lineRule="auto"/>
      <w:outlineLvl w:val="4"/>
    </w:pPr>
    <w:rPr>
      <w:b/>
      <w:sz w:val="28"/>
    </w:rPr>
  </w:style>
  <w:style w:type="paragraph" w:styleId="7">
    <w:name w:val="heading 8"/>
    <w:basedOn w:val="1"/>
    <w:next w:val="1"/>
    <w:link w:val="64"/>
    <w:autoRedefine/>
    <w:semiHidden/>
    <w:unhideWhenUsed/>
    <w:qFormat/>
    <w:uiPriority w:val="0"/>
    <w:pPr>
      <w:keepNext/>
      <w:keepLines/>
      <w:spacing w:before="240" w:after="64" w:line="317" w:lineRule="auto"/>
      <w:outlineLvl w:val="7"/>
    </w:pPr>
    <w:rPr>
      <w:rFonts w:ascii="Arial" w:hAnsi="Arial" w:eastAsia="黑体"/>
      <w:sz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8">
    <w:name w:val="table of authorities"/>
    <w:basedOn w:val="1"/>
    <w:next w:val="1"/>
    <w:unhideWhenUsed/>
    <w:qFormat/>
    <w:uiPriority w:val="0"/>
    <w:pPr>
      <w:ind w:left="420" w:leftChars="200"/>
    </w:pPr>
    <w:rPr>
      <w:rFonts w:hint="eastAsia"/>
      <w:sz w:val="21"/>
      <w:szCs w:val="24"/>
    </w:rPr>
  </w:style>
  <w:style w:type="paragraph" w:styleId="9">
    <w:name w:val="List Number"/>
    <w:basedOn w:val="1"/>
    <w:autoRedefine/>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0">
    <w:name w:val="Normal Indent"/>
    <w:basedOn w:val="1"/>
    <w:autoRedefine/>
    <w:qFormat/>
    <w:uiPriority w:val="0"/>
    <w:pPr>
      <w:ind w:firstLine="420"/>
    </w:pPr>
    <w:rPr>
      <w:rFonts w:ascii="Times New Roman" w:hAnsi="Times New Roman" w:eastAsia="宋体" w:cs="Times New Roman"/>
      <w:szCs w:val="20"/>
    </w:r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annotation text"/>
    <w:basedOn w:val="1"/>
    <w:link w:val="65"/>
    <w:autoRedefine/>
    <w:qFormat/>
    <w:uiPriority w:val="0"/>
    <w:pPr>
      <w:jc w:val="left"/>
    </w:pPr>
    <w:rPr>
      <w:rFonts w:ascii="Times New Roman" w:hAnsi="Times New Roman" w:eastAsia="宋体" w:cs="Times New Roman"/>
    </w:rPr>
  </w:style>
  <w:style w:type="paragraph" w:styleId="13">
    <w:name w:val="Body Text 3"/>
    <w:basedOn w:val="1"/>
    <w:link w:val="41"/>
    <w:autoRedefine/>
    <w:qFormat/>
    <w:uiPriority w:val="0"/>
    <w:pPr>
      <w:spacing w:after="120"/>
    </w:pPr>
    <w:rPr>
      <w:sz w:val="16"/>
    </w:rPr>
  </w:style>
  <w:style w:type="paragraph" w:styleId="14">
    <w:name w:val="Body Text"/>
    <w:basedOn w:val="1"/>
    <w:next w:val="1"/>
    <w:link w:val="57"/>
    <w:autoRedefine/>
    <w:qFormat/>
    <w:uiPriority w:val="0"/>
    <w:pPr>
      <w:spacing w:after="120"/>
    </w:pPr>
    <w:rPr>
      <w:rFonts w:ascii="Times New Roman" w:hAnsi="Times New Roman" w:eastAsia="宋体" w:cs="Times New Roman"/>
    </w:rPr>
  </w:style>
  <w:style w:type="paragraph" w:styleId="15">
    <w:name w:val="Body Text Indent"/>
    <w:basedOn w:val="1"/>
    <w:link w:val="43"/>
    <w:autoRedefine/>
    <w:qFormat/>
    <w:uiPriority w:val="0"/>
    <w:pPr>
      <w:ind w:firstLine="830" w:firstLineChars="352"/>
    </w:pPr>
    <w:rPr>
      <w:rFonts w:hint="eastAsia" w:ascii="仿宋_GB2312" w:hAnsi="Times New Roman" w:eastAsia="仿宋_GB2312" w:cs="Times New Roman"/>
      <w:kern w:val="0"/>
      <w:sz w:val="32"/>
      <w:szCs w:val="20"/>
    </w:rPr>
  </w:style>
  <w:style w:type="paragraph" w:styleId="16">
    <w:name w:val="List 2"/>
    <w:basedOn w:val="1"/>
    <w:autoRedefine/>
    <w:qFormat/>
    <w:uiPriority w:val="0"/>
    <w:pPr>
      <w:ind w:left="100" w:leftChars="200" w:hanging="200" w:hangingChars="200"/>
      <w:contextualSpacing/>
    </w:pPr>
    <w:rPr>
      <w:rFonts w:ascii="Times New Roman" w:hAnsi="Times New Roman" w:eastAsia="宋体" w:cs="Times New Roman"/>
    </w:rPr>
  </w:style>
  <w:style w:type="paragraph" w:styleId="17">
    <w:name w:val="toc 3"/>
    <w:basedOn w:val="1"/>
    <w:next w:val="1"/>
    <w:autoRedefine/>
    <w:qFormat/>
    <w:uiPriority w:val="0"/>
    <w:pPr>
      <w:ind w:left="840" w:leftChars="400"/>
    </w:pPr>
    <w:rPr>
      <w:rFonts w:ascii="Times New Roman" w:hAnsi="Times New Roman" w:eastAsia="宋体" w:cs="Times New Roman"/>
    </w:rPr>
  </w:style>
  <w:style w:type="paragraph" w:styleId="18">
    <w:name w:val="Plain Text"/>
    <w:basedOn w:val="1"/>
    <w:next w:val="1"/>
    <w:link w:val="66"/>
    <w:autoRedefine/>
    <w:qFormat/>
    <w:uiPriority w:val="0"/>
    <w:rPr>
      <w:rFonts w:hint="eastAsia" w:ascii="宋体" w:hAnsi="Courier New" w:eastAsia="宋体" w:cs="Times New Roman"/>
      <w:kern w:val="0"/>
      <w:sz w:val="20"/>
      <w:szCs w:val="21"/>
    </w:rPr>
  </w:style>
  <w:style w:type="paragraph" w:styleId="19">
    <w:name w:val="Date"/>
    <w:basedOn w:val="1"/>
    <w:next w:val="1"/>
    <w:link w:val="40"/>
    <w:autoRedefine/>
    <w:qFormat/>
    <w:uiPriority w:val="0"/>
    <w:pPr>
      <w:ind w:left="100" w:leftChars="2500"/>
    </w:pPr>
  </w:style>
  <w:style w:type="paragraph" w:styleId="20">
    <w:name w:val="Balloon Text"/>
    <w:basedOn w:val="1"/>
    <w:link w:val="67"/>
    <w:autoRedefine/>
    <w:qFormat/>
    <w:uiPriority w:val="0"/>
    <w:rPr>
      <w:sz w:val="18"/>
    </w:rPr>
  </w:style>
  <w:style w:type="paragraph" w:styleId="21">
    <w:name w:val="footer"/>
    <w:basedOn w:val="1"/>
    <w:link w:val="68"/>
    <w:autoRedefine/>
    <w:qFormat/>
    <w:uiPriority w:val="0"/>
    <w:pPr>
      <w:tabs>
        <w:tab w:val="center" w:pos="4153"/>
        <w:tab w:val="right" w:pos="8306"/>
      </w:tabs>
      <w:snapToGrid w:val="0"/>
      <w:jc w:val="left"/>
    </w:pPr>
    <w:rPr>
      <w:sz w:val="18"/>
    </w:rPr>
  </w:style>
  <w:style w:type="paragraph" w:styleId="22">
    <w:name w:val="header"/>
    <w:basedOn w:val="1"/>
    <w:link w:val="6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3">
    <w:name w:val="toc 1"/>
    <w:basedOn w:val="1"/>
    <w:next w:val="1"/>
    <w:autoRedefine/>
    <w:qFormat/>
    <w:uiPriority w:val="0"/>
    <w:rPr>
      <w:rFonts w:ascii="Times New Roman" w:hAnsi="Times New Roman" w:eastAsia="宋体" w:cs="Times New Roman"/>
    </w:rPr>
  </w:style>
  <w:style w:type="paragraph" w:styleId="24">
    <w:name w:val="List"/>
    <w:basedOn w:val="1"/>
    <w:autoRedefine/>
    <w:qFormat/>
    <w:uiPriority w:val="99"/>
    <w:pPr>
      <w:ind w:left="200" w:hanging="200" w:hangingChars="200"/>
      <w:contextualSpacing/>
    </w:pPr>
    <w:rPr>
      <w:rFonts w:ascii="Times New Roman" w:hAnsi="Times New Roman" w:eastAsia="宋体" w:cs="Times New Roman"/>
    </w:rPr>
  </w:style>
  <w:style w:type="paragraph" w:styleId="25">
    <w:name w:val="footnote text"/>
    <w:basedOn w:val="1"/>
    <w:autoRedefine/>
    <w:semiHidden/>
    <w:unhideWhenUsed/>
    <w:qFormat/>
    <w:uiPriority w:val="99"/>
    <w:pPr>
      <w:snapToGrid w:val="0"/>
      <w:jc w:val="left"/>
    </w:pPr>
    <w:rPr>
      <w:sz w:val="18"/>
    </w:rPr>
  </w:style>
  <w:style w:type="paragraph" w:styleId="26">
    <w:name w:val="table of figures"/>
    <w:basedOn w:val="1"/>
    <w:next w:val="1"/>
    <w:autoRedefine/>
    <w:qFormat/>
    <w:uiPriority w:val="0"/>
    <w:pPr>
      <w:ind w:left="200" w:leftChars="200" w:hanging="200" w:hangingChars="200"/>
    </w:pPr>
  </w:style>
  <w:style w:type="paragraph" w:styleId="27">
    <w:name w:val="toc 2"/>
    <w:basedOn w:val="1"/>
    <w:next w:val="1"/>
    <w:autoRedefine/>
    <w:qFormat/>
    <w:uiPriority w:val="0"/>
    <w:pPr>
      <w:tabs>
        <w:tab w:val="right" w:leader="dot" w:pos="8296"/>
      </w:tabs>
      <w:ind w:left="420" w:leftChars="200"/>
    </w:pPr>
    <w:rPr>
      <w:rFonts w:ascii="Times New Roman" w:hAnsi="Times New Roman" w:eastAsia="宋体" w:cs="Times New Roman"/>
    </w:rPr>
  </w:style>
  <w:style w:type="paragraph" w:styleId="28">
    <w:name w:val="Normal (Web)"/>
    <w:basedOn w:val="1"/>
    <w:autoRedefine/>
    <w:qFormat/>
    <w:uiPriority w:val="0"/>
    <w:rPr>
      <w:rFonts w:ascii="Calibri" w:hAnsi="Calibri" w:eastAsia="宋体" w:cs="Times New Roman"/>
      <w:kern w:val="0"/>
      <w:sz w:val="24"/>
    </w:rPr>
  </w:style>
  <w:style w:type="paragraph" w:styleId="29">
    <w:name w:val="annotation subject"/>
    <w:basedOn w:val="12"/>
    <w:next w:val="12"/>
    <w:link w:val="50"/>
    <w:autoRedefine/>
    <w:qFormat/>
    <w:uiPriority w:val="0"/>
    <w:rPr>
      <w:b/>
    </w:rPr>
  </w:style>
  <w:style w:type="table" w:styleId="31">
    <w:name w:val="Table Grid"/>
    <w:basedOn w:val="3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op w:val="single" w:color="000000" w:sz="4" w:space="0"/>
        <w:left w:val="single" w:color="000000" w:sz="4" w:space="0"/>
        <w:bottom w:val="single" w:color="000000" w:sz="4" w:space="0"/>
        <w:right w:val="single" w:color="000000" w:sz="4" w:space="0"/>
      </w:tcBorders>
    </w:tcPr>
  </w:style>
  <w:style w:type="character" w:styleId="33">
    <w:name w:val="endnote reference"/>
    <w:basedOn w:val="32"/>
    <w:autoRedefine/>
    <w:qFormat/>
    <w:uiPriority w:val="0"/>
    <w:rPr>
      <w:vertAlign w:val="superscript"/>
    </w:rPr>
  </w:style>
  <w:style w:type="character" w:styleId="34">
    <w:name w:val="FollowedHyperlink"/>
    <w:basedOn w:val="32"/>
    <w:autoRedefine/>
    <w:qFormat/>
    <w:uiPriority w:val="0"/>
    <w:rPr>
      <w:color w:val="800080"/>
      <w:u w:val="single"/>
    </w:rPr>
  </w:style>
  <w:style w:type="character" w:styleId="35">
    <w:name w:val="Hyperlink"/>
    <w:basedOn w:val="32"/>
    <w:autoRedefine/>
    <w:qFormat/>
    <w:uiPriority w:val="0"/>
    <w:rPr>
      <w:color w:val="0000FF"/>
      <w:u w:val="single"/>
    </w:rPr>
  </w:style>
  <w:style w:type="character" w:styleId="36">
    <w:name w:val="annotation reference"/>
    <w:basedOn w:val="32"/>
    <w:autoRedefine/>
    <w:qFormat/>
    <w:uiPriority w:val="0"/>
    <w:rPr>
      <w:sz w:val="21"/>
      <w:szCs w:val="21"/>
    </w:rPr>
  </w:style>
  <w:style w:type="paragraph" w:customStyle="1" w:styleId="37">
    <w:name w:val="BodyText"/>
    <w:basedOn w:val="1"/>
    <w:next w:val="38"/>
    <w:autoRedefine/>
    <w:qFormat/>
    <w:uiPriority w:val="0"/>
    <w:pPr>
      <w:ind w:left="102"/>
      <w:textAlignment w:val="baseline"/>
    </w:pPr>
    <w:rPr>
      <w:rFonts w:ascii="宋体" w:hAnsi="宋体"/>
      <w:sz w:val="29"/>
    </w:rPr>
  </w:style>
  <w:style w:type="paragraph" w:customStyle="1" w:styleId="38">
    <w:name w:val="181"/>
    <w:basedOn w:val="1"/>
    <w:next w:val="1"/>
    <w:autoRedefine/>
    <w:qFormat/>
    <w:uiPriority w:val="0"/>
    <w:pPr>
      <w:spacing w:before="360" w:after="360"/>
      <w:ind w:left="950" w:right="950"/>
      <w:jc w:val="center"/>
      <w:textAlignment w:val="baseline"/>
    </w:pPr>
    <w:rPr>
      <w:i/>
    </w:rPr>
  </w:style>
  <w:style w:type="character" w:customStyle="1" w:styleId="39">
    <w:name w:val="正文文本 (26) + 间距 0 pt"/>
    <w:basedOn w:val="32"/>
    <w:autoRedefine/>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40">
    <w:name w:val="日期 字符1"/>
    <w:basedOn w:val="32"/>
    <w:link w:val="19"/>
    <w:autoRedefine/>
    <w:qFormat/>
    <w:uiPriority w:val="0"/>
    <w:rPr>
      <w:kern w:val="2"/>
      <w:sz w:val="21"/>
      <w:szCs w:val="24"/>
    </w:rPr>
  </w:style>
  <w:style w:type="character" w:customStyle="1" w:styleId="41">
    <w:name w:val="正文文本 3 字符1"/>
    <w:basedOn w:val="32"/>
    <w:link w:val="13"/>
    <w:autoRedefine/>
    <w:qFormat/>
    <w:uiPriority w:val="0"/>
    <w:rPr>
      <w:kern w:val="2"/>
      <w:sz w:val="16"/>
      <w:szCs w:val="16"/>
    </w:rPr>
  </w:style>
  <w:style w:type="character" w:customStyle="1" w:styleId="42">
    <w:name w:val="纯文本 Char"/>
    <w:basedOn w:val="32"/>
    <w:autoRedefine/>
    <w:qFormat/>
    <w:uiPriority w:val="0"/>
    <w:rPr>
      <w:rFonts w:hint="eastAsia" w:ascii="宋体" w:hAnsi="Courier New" w:eastAsia="宋体" w:cs="Courier New"/>
      <w:kern w:val="2"/>
      <w:sz w:val="21"/>
      <w:szCs w:val="21"/>
    </w:rPr>
  </w:style>
  <w:style w:type="character" w:customStyle="1" w:styleId="43">
    <w:name w:val="正文文本缩进 字符1"/>
    <w:basedOn w:val="32"/>
    <w:link w:val="15"/>
    <w:autoRedefine/>
    <w:qFormat/>
    <w:uiPriority w:val="0"/>
    <w:rPr>
      <w:rFonts w:hint="eastAsia" w:ascii="仿宋_GB2312" w:eastAsia="仿宋_GB2312" w:cs="仿宋_GB2312"/>
      <w:sz w:val="32"/>
    </w:rPr>
  </w:style>
  <w:style w:type="character" w:customStyle="1" w:styleId="44">
    <w:name w:val="标题 2 字符"/>
    <w:basedOn w:val="32"/>
    <w:autoRedefine/>
    <w:qFormat/>
    <w:uiPriority w:val="0"/>
    <w:rPr>
      <w:rFonts w:hint="default" w:ascii="Cambria" w:hAnsi="Cambria" w:eastAsia="Cambria" w:cs="Cambria"/>
      <w:b/>
      <w:bCs/>
      <w:kern w:val="2"/>
      <w:sz w:val="32"/>
      <w:szCs w:val="32"/>
    </w:rPr>
  </w:style>
  <w:style w:type="character" w:customStyle="1" w:styleId="45">
    <w:name w:val="批注文字 字符2"/>
    <w:basedOn w:val="32"/>
    <w:autoRedefine/>
    <w:qFormat/>
    <w:uiPriority w:val="0"/>
    <w:rPr>
      <w:kern w:val="2"/>
      <w:sz w:val="21"/>
      <w:szCs w:val="24"/>
    </w:rPr>
  </w:style>
  <w:style w:type="character" w:customStyle="1" w:styleId="46">
    <w:name w:val="标题 8 字符"/>
    <w:basedOn w:val="32"/>
    <w:autoRedefine/>
    <w:qFormat/>
    <w:uiPriority w:val="0"/>
    <w:rPr>
      <w:rFonts w:hint="eastAsia" w:ascii="等线 Light" w:hAnsi="等线 Light" w:eastAsia="等线 Light" w:cs="等线 Light"/>
      <w:kern w:val="2"/>
      <w:sz w:val="24"/>
      <w:szCs w:val="24"/>
    </w:rPr>
  </w:style>
  <w:style w:type="character" w:customStyle="1" w:styleId="47">
    <w:name w:val="未处理的提及1"/>
    <w:basedOn w:val="32"/>
    <w:autoRedefine/>
    <w:qFormat/>
    <w:uiPriority w:val="0"/>
    <w:rPr>
      <w:color w:val="605E5C"/>
      <w:shd w:val="clear" w:color="auto" w:fill="E1DFDD"/>
    </w:rPr>
  </w:style>
  <w:style w:type="character" w:customStyle="1" w:styleId="48">
    <w:name w:val="日期 字符"/>
    <w:basedOn w:val="32"/>
    <w:autoRedefine/>
    <w:qFormat/>
    <w:uiPriority w:val="0"/>
    <w:rPr>
      <w:kern w:val="2"/>
      <w:sz w:val="21"/>
      <w:szCs w:val="24"/>
    </w:rPr>
  </w:style>
  <w:style w:type="character" w:customStyle="1" w:styleId="49">
    <w:name w:val="页脚 字符"/>
    <w:basedOn w:val="32"/>
    <w:autoRedefine/>
    <w:qFormat/>
    <w:uiPriority w:val="0"/>
    <w:rPr>
      <w:sz w:val="18"/>
      <w:szCs w:val="18"/>
    </w:rPr>
  </w:style>
  <w:style w:type="character" w:customStyle="1" w:styleId="50">
    <w:name w:val="批注主题 字符1"/>
    <w:basedOn w:val="51"/>
    <w:link w:val="29"/>
    <w:autoRedefine/>
    <w:qFormat/>
    <w:uiPriority w:val="0"/>
    <w:rPr>
      <w:b/>
      <w:bCs/>
      <w:kern w:val="2"/>
      <w:sz w:val="21"/>
      <w:szCs w:val="24"/>
    </w:rPr>
  </w:style>
  <w:style w:type="character" w:customStyle="1" w:styleId="51">
    <w:name w:val="批注文字 Char"/>
    <w:basedOn w:val="32"/>
    <w:autoRedefine/>
    <w:qFormat/>
    <w:uiPriority w:val="0"/>
    <w:rPr>
      <w:kern w:val="2"/>
      <w:sz w:val="21"/>
      <w:szCs w:val="24"/>
    </w:rPr>
  </w:style>
  <w:style w:type="character" w:customStyle="1" w:styleId="52">
    <w:name w:val="正文文本 Char"/>
    <w:basedOn w:val="32"/>
    <w:autoRedefine/>
    <w:qFormat/>
    <w:uiPriority w:val="0"/>
    <w:rPr>
      <w:kern w:val="2"/>
      <w:sz w:val="21"/>
      <w:szCs w:val="24"/>
    </w:rPr>
  </w:style>
  <w:style w:type="character" w:customStyle="1" w:styleId="53">
    <w:name w:val="标题 1 字符"/>
    <w:basedOn w:val="32"/>
    <w:autoRedefine/>
    <w:qFormat/>
    <w:uiPriority w:val="0"/>
    <w:rPr>
      <w:b/>
      <w:bCs/>
      <w:kern w:val="44"/>
      <w:sz w:val="44"/>
      <w:szCs w:val="44"/>
    </w:rPr>
  </w:style>
  <w:style w:type="paragraph" w:customStyle="1" w:styleId="54">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55">
    <w:name w:val="标题 5 字符"/>
    <w:basedOn w:val="32"/>
    <w:autoRedefine/>
    <w:qFormat/>
    <w:uiPriority w:val="0"/>
    <w:rPr>
      <w:b/>
      <w:bCs/>
      <w:kern w:val="2"/>
      <w:sz w:val="28"/>
      <w:szCs w:val="28"/>
    </w:rPr>
  </w:style>
  <w:style w:type="character" w:customStyle="1" w:styleId="56">
    <w:name w:val="标题 1 字符2"/>
    <w:basedOn w:val="32"/>
    <w:link w:val="2"/>
    <w:autoRedefine/>
    <w:qFormat/>
    <w:uiPriority w:val="0"/>
    <w:rPr>
      <w:b/>
      <w:bCs/>
      <w:kern w:val="44"/>
      <w:sz w:val="44"/>
      <w:szCs w:val="44"/>
    </w:rPr>
  </w:style>
  <w:style w:type="character" w:customStyle="1" w:styleId="57">
    <w:name w:val="正文文本 字符2"/>
    <w:basedOn w:val="32"/>
    <w:link w:val="14"/>
    <w:autoRedefine/>
    <w:qFormat/>
    <w:uiPriority w:val="0"/>
    <w:rPr>
      <w:kern w:val="2"/>
      <w:sz w:val="21"/>
      <w:szCs w:val="24"/>
    </w:rPr>
  </w:style>
  <w:style w:type="character" w:customStyle="1" w:styleId="58">
    <w:name w:val="标题 2 Char"/>
    <w:basedOn w:val="32"/>
    <w:autoRedefine/>
    <w:qFormat/>
    <w:uiPriority w:val="0"/>
    <w:rPr>
      <w:rFonts w:hint="default" w:ascii="Cambria" w:hAnsi="Cambria" w:eastAsia="宋体" w:cs="Times New Roman"/>
      <w:b/>
      <w:bCs/>
      <w:kern w:val="2"/>
      <w:sz w:val="32"/>
      <w:szCs w:val="32"/>
    </w:rPr>
  </w:style>
  <w:style w:type="character" w:customStyle="1" w:styleId="59">
    <w:name w:val="标题 3 字符1"/>
    <w:basedOn w:val="32"/>
    <w:link w:val="4"/>
    <w:autoRedefine/>
    <w:qFormat/>
    <w:uiPriority w:val="0"/>
    <w:rPr>
      <w:b/>
      <w:bCs/>
      <w:kern w:val="2"/>
      <w:sz w:val="32"/>
      <w:szCs w:val="32"/>
    </w:rPr>
  </w:style>
  <w:style w:type="character" w:customStyle="1" w:styleId="60">
    <w:name w:val="标题 5 字符1"/>
    <w:basedOn w:val="32"/>
    <w:link w:val="6"/>
    <w:autoRedefine/>
    <w:qFormat/>
    <w:uiPriority w:val="0"/>
    <w:rPr>
      <w:b/>
      <w:bCs/>
      <w:kern w:val="2"/>
      <w:sz w:val="28"/>
      <w:szCs w:val="28"/>
    </w:rPr>
  </w:style>
  <w:style w:type="character" w:customStyle="1" w:styleId="61">
    <w:name w:val="标题 8 Char"/>
    <w:basedOn w:val="32"/>
    <w:autoRedefine/>
    <w:qFormat/>
    <w:uiPriority w:val="0"/>
    <w:rPr>
      <w:rFonts w:hint="default" w:ascii="Cambria" w:hAnsi="Cambria" w:eastAsia="宋体" w:cs="Times New Roman"/>
      <w:kern w:val="2"/>
      <w:sz w:val="24"/>
      <w:szCs w:val="24"/>
    </w:rPr>
  </w:style>
  <w:style w:type="character" w:customStyle="1" w:styleId="62">
    <w:name w:val="纯文本 字符1"/>
    <w:basedOn w:val="32"/>
    <w:autoRedefine/>
    <w:qFormat/>
    <w:uiPriority w:val="0"/>
    <w:rPr>
      <w:rFonts w:hint="eastAsia" w:ascii="宋体" w:hAnsi="Courier New" w:eastAsia="宋体" w:cs="宋体"/>
    </w:rPr>
  </w:style>
  <w:style w:type="character" w:customStyle="1" w:styleId="63">
    <w:name w:val="标题 2 字符1"/>
    <w:basedOn w:val="32"/>
    <w:link w:val="3"/>
    <w:autoRedefine/>
    <w:qFormat/>
    <w:uiPriority w:val="0"/>
    <w:rPr>
      <w:rFonts w:hint="default" w:ascii="Cambria" w:hAnsi="Cambria" w:eastAsia="Cambria" w:cs="Cambria"/>
      <w:b/>
      <w:bCs/>
      <w:kern w:val="2"/>
      <w:sz w:val="32"/>
      <w:szCs w:val="32"/>
    </w:rPr>
  </w:style>
  <w:style w:type="character" w:customStyle="1" w:styleId="64">
    <w:name w:val="标题 8 字符1"/>
    <w:basedOn w:val="32"/>
    <w:link w:val="7"/>
    <w:autoRedefine/>
    <w:qFormat/>
    <w:uiPriority w:val="0"/>
    <w:rPr>
      <w:rFonts w:hint="eastAsia" w:ascii="等线 Light" w:hAnsi="等线 Light" w:eastAsia="等线 Light" w:cs="等线 Light"/>
      <w:kern w:val="2"/>
      <w:sz w:val="24"/>
      <w:szCs w:val="24"/>
    </w:rPr>
  </w:style>
  <w:style w:type="character" w:customStyle="1" w:styleId="65">
    <w:name w:val="批注文字 字符3"/>
    <w:basedOn w:val="32"/>
    <w:link w:val="12"/>
    <w:autoRedefine/>
    <w:qFormat/>
    <w:uiPriority w:val="0"/>
    <w:rPr>
      <w:kern w:val="2"/>
      <w:sz w:val="21"/>
      <w:szCs w:val="24"/>
    </w:rPr>
  </w:style>
  <w:style w:type="character" w:customStyle="1" w:styleId="66">
    <w:name w:val="纯文本 字符4"/>
    <w:basedOn w:val="32"/>
    <w:link w:val="18"/>
    <w:autoRedefine/>
    <w:qFormat/>
    <w:uiPriority w:val="0"/>
    <w:rPr>
      <w:rFonts w:hint="eastAsia" w:ascii="宋体" w:hAnsi="Courier New" w:eastAsia="宋体" w:cs="宋体"/>
      <w:szCs w:val="21"/>
    </w:rPr>
  </w:style>
  <w:style w:type="character" w:customStyle="1" w:styleId="67">
    <w:name w:val="批注框文本 字符"/>
    <w:basedOn w:val="32"/>
    <w:link w:val="20"/>
    <w:autoRedefine/>
    <w:qFormat/>
    <w:uiPriority w:val="0"/>
    <w:rPr>
      <w:kern w:val="2"/>
      <w:sz w:val="18"/>
      <w:szCs w:val="18"/>
    </w:rPr>
  </w:style>
  <w:style w:type="character" w:customStyle="1" w:styleId="68">
    <w:name w:val="页脚 字符1"/>
    <w:basedOn w:val="32"/>
    <w:link w:val="21"/>
    <w:autoRedefine/>
    <w:qFormat/>
    <w:uiPriority w:val="0"/>
    <w:rPr>
      <w:sz w:val="18"/>
      <w:szCs w:val="18"/>
    </w:rPr>
  </w:style>
  <w:style w:type="character" w:customStyle="1" w:styleId="69">
    <w:name w:val="页眉 字符1"/>
    <w:basedOn w:val="32"/>
    <w:link w:val="22"/>
    <w:autoRedefine/>
    <w:qFormat/>
    <w:uiPriority w:val="0"/>
    <w:rPr>
      <w:sz w:val="18"/>
      <w:szCs w:val="18"/>
    </w:rPr>
  </w:style>
  <w:style w:type="character" w:customStyle="1" w:styleId="70">
    <w:name w:val="纯文本 字符"/>
    <w:basedOn w:val="32"/>
    <w:autoRedefine/>
    <w:qFormat/>
    <w:uiPriority w:val="0"/>
    <w:rPr>
      <w:rFonts w:hint="eastAsia" w:ascii="宋体" w:hAnsi="Courier New" w:eastAsia="宋体" w:cs="Courier New"/>
      <w:szCs w:val="21"/>
    </w:rPr>
  </w:style>
  <w:style w:type="character" w:customStyle="1" w:styleId="71">
    <w:name w:val="纯文本 字符2"/>
    <w:basedOn w:val="32"/>
    <w:autoRedefine/>
    <w:qFormat/>
    <w:uiPriority w:val="0"/>
    <w:rPr>
      <w:rFonts w:hint="eastAsia" w:ascii="宋体" w:hAnsi="Courier New" w:eastAsia="宋体" w:cs="Courier New"/>
      <w:szCs w:val="21"/>
    </w:rPr>
  </w:style>
  <w:style w:type="character" w:customStyle="1" w:styleId="72">
    <w:name w:val="apple-style-span"/>
    <w:basedOn w:val="32"/>
    <w:autoRedefine/>
    <w:qFormat/>
    <w:uiPriority w:val="0"/>
  </w:style>
  <w:style w:type="character" w:customStyle="1" w:styleId="73">
    <w:name w:val="批注文字 字符1"/>
    <w:basedOn w:val="32"/>
    <w:autoRedefine/>
    <w:qFormat/>
    <w:uiPriority w:val="0"/>
    <w:rPr>
      <w:rFonts w:hint="default" w:ascii="Times New Roman" w:hAnsi="Times New Roman" w:cs="Times New Roman"/>
      <w:kern w:val="2"/>
      <w:sz w:val="21"/>
      <w:szCs w:val="24"/>
    </w:rPr>
  </w:style>
  <w:style w:type="character" w:customStyle="1" w:styleId="74">
    <w:name w:val="标题 1 字符1"/>
    <w:basedOn w:val="32"/>
    <w:autoRedefine/>
    <w:qFormat/>
    <w:uiPriority w:val="0"/>
    <w:rPr>
      <w:b/>
      <w:bCs/>
      <w:kern w:val="44"/>
      <w:sz w:val="44"/>
      <w:szCs w:val="44"/>
    </w:rPr>
  </w:style>
  <w:style w:type="character" w:customStyle="1" w:styleId="75">
    <w:name w:val="批注主题 字符"/>
    <w:basedOn w:val="32"/>
    <w:autoRedefine/>
    <w:qFormat/>
    <w:uiPriority w:val="0"/>
    <w:rPr>
      <w:rFonts w:hint="default" w:ascii="Times New Roman" w:hAnsi="Times New Roman" w:cs="Times New Roman"/>
      <w:b/>
      <w:bCs/>
      <w:kern w:val="2"/>
      <w:sz w:val="21"/>
      <w:szCs w:val="24"/>
    </w:rPr>
  </w:style>
  <w:style w:type="character" w:customStyle="1" w:styleId="76">
    <w:name w:val="正文文本 字符"/>
    <w:basedOn w:val="32"/>
    <w:autoRedefine/>
    <w:qFormat/>
    <w:uiPriority w:val="0"/>
    <w:rPr>
      <w:rFonts w:hint="default" w:ascii="Times New Roman" w:hAnsi="Times New Roman" w:cs="Times New Roman"/>
      <w:kern w:val="2"/>
      <w:sz w:val="21"/>
      <w:szCs w:val="24"/>
    </w:rPr>
  </w:style>
  <w:style w:type="character" w:customStyle="1" w:styleId="77">
    <w:name w:val="批注文字 字符"/>
    <w:basedOn w:val="32"/>
    <w:autoRedefine/>
    <w:qFormat/>
    <w:uiPriority w:val="0"/>
    <w:rPr>
      <w:rFonts w:hint="default" w:ascii="Times New Roman" w:hAnsi="Times New Roman" w:cs="Times New Roman"/>
      <w:kern w:val="2"/>
      <w:sz w:val="21"/>
      <w:szCs w:val="24"/>
    </w:rPr>
  </w:style>
  <w:style w:type="character" w:customStyle="1" w:styleId="78">
    <w:name w:val="textcontents"/>
    <w:basedOn w:val="32"/>
    <w:autoRedefine/>
    <w:qFormat/>
    <w:uiPriority w:val="0"/>
  </w:style>
  <w:style w:type="character" w:customStyle="1" w:styleId="79">
    <w:name w:val="正文2 Char Char"/>
    <w:basedOn w:val="32"/>
    <w:link w:val="80"/>
    <w:autoRedefine/>
    <w:qFormat/>
    <w:uiPriority w:val="0"/>
    <w:rPr>
      <w:sz w:val="24"/>
    </w:rPr>
  </w:style>
  <w:style w:type="paragraph" w:customStyle="1" w:styleId="80">
    <w:name w:val="正文2"/>
    <w:basedOn w:val="1"/>
    <w:link w:val="79"/>
    <w:autoRedefine/>
    <w:qFormat/>
    <w:uiPriority w:val="0"/>
    <w:pPr>
      <w:adjustRightInd w:val="0"/>
      <w:spacing w:before="156" w:line="360" w:lineRule="auto"/>
      <w:ind w:firstLine="510" w:firstLineChars="200"/>
    </w:pPr>
    <w:rPr>
      <w:rFonts w:ascii="Times New Roman" w:hAnsi="Times New Roman" w:eastAsia="宋体" w:cs="Times New Roman"/>
      <w:kern w:val="0"/>
      <w:sz w:val="24"/>
      <w:szCs w:val="20"/>
    </w:rPr>
  </w:style>
  <w:style w:type="character" w:customStyle="1" w:styleId="81">
    <w:name w:val="正文文本 字符1"/>
    <w:basedOn w:val="32"/>
    <w:autoRedefine/>
    <w:qFormat/>
    <w:uiPriority w:val="0"/>
    <w:rPr>
      <w:kern w:val="2"/>
      <w:sz w:val="21"/>
      <w:szCs w:val="24"/>
    </w:rPr>
  </w:style>
  <w:style w:type="paragraph" w:customStyle="1" w:styleId="82">
    <w:name w:val="样式5"/>
    <w:basedOn w:val="1"/>
    <w:autoRedefine/>
    <w:qFormat/>
    <w:uiPriority w:val="0"/>
    <w:pPr>
      <w:adjustRightInd w:val="0"/>
      <w:spacing w:line="440" w:lineRule="exact"/>
      <w:ind w:left="2" w:firstLine="480" w:firstLineChars="200"/>
    </w:pPr>
    <w:rPr>
      <w:rFonts w:hint="eastAsia" w:ascii="仿宋_GB2312" w:hAnsi="仿宋" w:eastAsia="仿宋_GB2312" w:cs="Times New Roman"/>
      <w:sz w:val="24"/>
    </w:rPr>
  </w:style>
  <w:style w:type="character" w:customStyle="1" w:styleId="83">
    <w:name w:val="标题 3 字符"/>
    <w:basedOn w:val="32"/>
    <w:autoRedefine/>
    <w:qFormat/>
    <w:uiPriority w:val="0"/>
    <w:rPr>
      <w:b/>
      <w:bCs/>
      <w:kern w:val="2"/>
      <w:sz w:val="32"/>
      <w:szCs w:val="32"/>
    </w:rPr>
  </w:style>
  <w:style w:type="character" w:customStyle="1" w:styleId="84">
    <w:name w:val="正文文本 3 字符"/>
    <w:basedOn w:val="32"/>
    <w:autoRedefine/>
    <w:qFormat/>
    <w:uiPriority w:val="0"/>
    <w:rPr>
      <w:kern w:val="2"/>
      <w:sz w:val="16"/>
      <w:szCs w:val="16"/>
    </w:rPr>
  </w:style>
  <w:style w:type="character" w:customStyle="1" w:styleId="85">
    <w:name w:val="纯文本 字符3"/>
    <w:basedOn w:val="32"/>
    <w:autoRedefine/>
    <w:qFormat/>
    <w:uiPriority w:val="0"/>
    <w:rPr>
      <w:rFonts w:hint="eastAsia" w:ascii="宋体" w:hAnsi="Courier New" w:eastAsia="宋体" w:cs="宋体"/>
      <w:szCs w:val="21"/>
    </w:rPr>
  </w:style>
  <w:style w:type="character" w:customStyle="1" w:styleId="86">
    <w:name w:val="正文文本缩进 字符"/>
    <w:basedOn w:val="32"/>
    <w:autoRedefine/>
    <w:qFormat/>
    <w:uiPriority w:val="0"/>
    <w:rPr>
      <w:rFonts w:hint="eastAsia" w:ascii="仿宋_GB2312" w:eastAsia="仿宋_GB2312" w:cs="仿宋_GB2312"/>
      <w:sz w:val="32"/>
    </w:rPr>
  </w:style>
  <w:style w:type="character" w:customStyle="1" w:styleId="87">
    <w:name w:val="页眉 字符"/>
    <w:basedOn w:val="32"/>
    <w:autoRedefine/>
    <w:qFormat/>
    <w:uiPriority w:val="0"/>
    <w:rPr>
      <w:sz w:val="18"/>
      <w:szCs w:val="18"/>
    </w:rPr>
  </w:style>
  <w:style w:type="paragraph" w:customStyle="1" w:styleId="88">
    <w:name w:val="Table Text"/>
    <w:basedOn w:val="1"/>
    <w:autoRedefine/>
    <w:semiHidden/>
    <w:qFormat/>
    <w:uiPriority w:val="0"/>
    <w:rPr>
      <w:rFonts w:ascii="宋体" w:hAnsi="宋体" w:eastAsia="宋体" w:cs="宋体"/>
      <w:szCs w:val="21"/>
      <w:lang w:eastAsia="en-US"/>
    </w:rPr>
  </w:style>
  <w:style w:type="table" w:customStyle="1" w:styleId="89">
    <w:name w:val="Table Normal"/>
    <w:autoRedefine/>
    <w:semiHidden/>
    <w:unhideWhenUsed/>
    <w:qFormat/>
    <w:uiPriority w:val="0"/>
    <w:tblPr>
      <w:tblCellMar>
        <w:top w:w="0" w:type="dxa"/>
        <w:left w:w="0" w:type="dxa"/>
        <w:bottom w:w="0" w:type="dxa"/>
        <w:right w:w="0" w:type="dxa"/>
      </w:tblCellMar>
    </w:tblPr>
  </w:style>
  <w:style w:type="character" w:customStyle="1" w:styleId="90">
    <w:name w:val="fontstyle01"/>
    <w:basedOn w:val="32"/>
    <w:autoRedefine/>
    <w:qFormat/>
    <w:uiPriority w:val="0"/>
    <w:rPr>
      <w:rFonts w:hint="eastAsia" w:ascii="仿宋_GB2312" w:eastAsia="仿宋_GB2312"/>
      <w:color w:val="000000"/>
      <w:sz w:val="32"/>
      <w:szCs w:val="32"/>
    </w:rPr>
  </w:style>
  <w:style w:type="paragraph" w:customStyle="1" w:styleId="9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92">
    <w:name w:val="正文_5"/>
    <w:qFormat/>
    <w:uiPriority w:val="99"/>
    <w:pPr>
      <w:widowControl w:val="0"/>
      <w:jc w:val="both"/>
    </w:pPr>
    <w:rPr>
      <w:rFonts w:ascii="Calibri" w:hAnsi="Calibri" w:eastAsia="宋体" w:cs="Times New Roman"/>
      <w:kern w:val="2"/>
      <w:sz w:val="21"/>
      <w:szCs w:val="24"/>
      <w:lang w:val="en-US" w:eastAsia="zh-CN" w:bidi="ar-SA"/>
    </w:rPr>
  </w:style>
  <w:style w:type="paragraph" w:customStyle="1" w:styleId="93">
    <w:name w:val="正文文本缩进 2_1"/>
    <w:basedOn w:val="92"/>
    <w:unhideWhenUsed/>
    <w:qFormat/>
    <w:uiPriority w:val="99"/>
    <w:pPr>
      <w:spacing w:after="120" w:line="480" w:lineRule="auto"/>
      <w:ind w:left="420" w:leftChars="200"/>
    </w:pPr>
  </w:style>
  <w:style w:type="paragraph" w:customStyle="1" w:styleId="94">
    <w:name w:val="标题 2_0"/>
    <w:basedOn w:val="95"/>
    <w:next w:val="95"/>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95">
    <w:name w:val="正文_2"/>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96">
    <w:name w:val="标题 3_1"/>
    <w:basedOn w:val="95"/>
    <w:next w:val="95"/>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 w:type="paragraph" w:customStyle="1" w:styleId="97">
    <w:name w:val="Body text|1_1"/>
    <w:basedOn w:val="95"/>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98">
    <w:name w:val="Body text|2_0"/>
    <w:basedOn w:val="95"/>
    <w:qFormat/>
    <w:uiPriority w:val="0"/>
    <w:pPr>
      <w:spacing w:after="30"/>
      <w:ind w:firstLine="420"/>
    </w:pPr>
    <w:rPr>
      <w:rFonts w:eastAsia="宋体"/>
      <w:color w:val="auto"/>
      <w:sz w:val="20"/>
      <w:szCs w:val="20"/>
      <w:lang w:bidi="ar-SA"/>
    </w:rPr>
  </w:style>
  <w:style w:type="paragraph" w:customStyle="1" w:styleId="99">
    <w:name w:val="Other|1_1"/>
    <w:basedOn w:val="95"/>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00">
    <w:name w:val="标题 3_1_0"/>
    <w:basedOn w:val="101"/>
    <w:next w:val="101"/>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 w:type="paragraph" w:customStyle="1" w:styleId="101">
    <w:name w:val="正文_2_0"/>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02">
    <w:name w:val="Body text|1_1_0"/>
    <w:basedOn w:val="101"/>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03">
    <w:name w:val="Body text|2_0_0"/>
    <w:basedOn w:val="101"/>
    <w:qFormat/>
    <w:uiPriority w:val="0"/>
    <w:pPr>
      <w:spacing w:after="30"/>
      <w:ind w:firstLine="420"/>
    </w:pPr>
    <w:rPr>
      <w:rFonts w:eastAsia="宋体"/>
      <w:color w:val="auto"/>
      <w:sz w:val="20"/>
      <w:szCs w:val="20"/>
      <w:lang w:bidi="ar-SA"/>
    </w:rPr>
  </w:style>
  <w:style w:type="character" w:customStyle="1" w:styleId="104">
    <w:name w:val="10"/>
    <w:qFormat/>
    <w:uiPriority w:val="0"/>
    <w:rPr>
      <w:rFonts w:hint="default" w:ascii="Times New Roman" w:hAnsi="Times New Roman" w:eastAsia="Times New Roman" w:cs="Times New Roman"/>
      <w:lang w:eastAsia="en-US" w:bidi="en-US"/>
    </w:rPr>
  </w:style>
  <w:style w:type="paragraph" w:customStyle="1" w:styleId="105">
    <w:name w:val="正文_2_0_0"/>
    <w:basedOn w:val="106"/>
    <w:qFormat/>
    <w:uiPriority w:val="0"/>
    <w:rPr>
      <w:rFonts w:eastAsia="宋体"/>
      <w:lang w:eastAsia="zh-CN" w:bidi="ar-SA"/>
    </w:rPr>
  </w:style>
  <w:style w:type="paragraph" w:customStyle="1" w:styleId="106">
    <w:name w:val="正文_2_1"/>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07">
    <w:name w:val="标题 2_1"/>
    <w:basedOn w:val="108"/>
    <w:next w:val="108"/>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108">
    <w:name w:val="正文_3"/>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109">
    <w:name w:val="Body text|1_2"/>
    <w:basedOn w:val="108"/>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110">
    <w:name w:val="Other|1_2"/>
    <w:basedOn w:val="108"/>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111">
    <w:name w:val="正文_6"/>
    <w:unhideWhenUsed/>
    <w:qFormat/>
    <w:uiPriority w:val="0"/>
    <w:pPr>
      <w:widowControl w:val="0"/>
      <w:spacing w:beforeLines="0" w:afterLines="0"/>
      <w:jc w:val="both"/>
    </w:pPr>
    <w:rPr>
      <w:rFonts w:hint="eastAsia" w:ascii="Times New Roman" w:hAnsi="Times New Roman" w:eastAsia="Times New Roman" w:cs="Times New Roman"/>
      <w:kern w:val="2"/>
      <w:sz w:val="21"/>
      <w:szCs w:val="22"/>
      <w:lang w:val="en-US" w:eastAsia="zh-CN" w:bidi="ar-SA"/>
    </w:rPr>
  </w:style>
  <w:style w:type="paragraph" w:customStyle="1" w:styleId="112">
    <w:name w:val="正文文本_1"/>
    <w:basedOn w:val="108"/>
    <w:unhideWhenUsed/>
    <w:qFormat/>
    <w:uiPriority w:val="0"/>
    <w:pPr>
      <w:spacing w:beforeLines="0" w:after="120" w:afterLines="0"/>
      <w:jc w:val="both"/>
    </w:pPr>
    <w:rPr>
      <w:rFonts w:hint="eastAsia"/>
      <w:color w:val="auto"/>
      <w:kern w:val="2"/>
      <w:sz w:val="21"/>
      <w:szCs w:val="24"/>
      <w:lang w:bidi="ar-SA"/>
    </w:rPr>
  </w:style>
  <w:style w:type="paragraph" w:customStyle="1" w:styleId="113">
    <w:name w:val="_Style 5"/>
    <w:basedOn w:val="108"/>
    <w:unhideWhenUsed/>
    <w:qFormat/>
    <w:uiPriority w:val="0"/>
    <w:pPr>
      <w:spacing w:beforeLines="0" w:afterLines="0"/>
      <w:ind w:left="521" w:firstLine="420"/>
    </w:pPr>
    <w:rPr>
      <w:rFonts w:hint="eastAsia"/>
      <w:sz w:val="24"/>
      <w:szCs w:val="24"/>
    </w:rPr>
  </w:style>
  <w:style w:type="paragraph" w:customStyle="1" w:styleId="114">
    <w:name w:val="Heading 3_0"/>
    <w:basedOn w:val="108"/>
    <w:unhideWhenUsed/>
    <w:qFormat/>
    <w:uiPriority w:val="0"/>
    <w:pPr>
      <w:spacing w:before="46" w:beforeLines="0" w:afterLines="0"/>
      <w:ind w:left="521"/>
      <w:outlineLvl w:val="3"/>
    </w:pPr>
    <w:rPr>
      <w:rFonts w:hint="eastAsia"/>
      <w:b/>
      <w:sz w:val="28"/>
      <w:szCs w:val="28"/>
    </w:rPr>
  </w:style>
  <w:style w:type="paragraph" w:customStyle="1" w:styleId="115">
    <w:name w:val="Heading 6_0"/>
    <w:basedOn w:val="108"/>
    <w:unhideWhenUsed/>
    <w:qFormat/>
    <w:uiPriority w:val="0"/>
    <w:pPr>
      <w:spacing w:beforeLines="0" w:afterLines="0"/>
      <w:ind w:left="881" w:hanging="361"/>
      <w:outlineLvl w:val="6"/>
    </w:pPr>
    <w:rPr>
      <w:rFonts w:hint="eastAsia"/>
      <w:b/>
      <w:sz w:val="24"/>
      <w:szCs w:val="21"/>
    </w:rPr>
  </w:style>
  <w:style w:type="character" w:customStyle="1" w:styleId="116">
    <w:name w:val="10_0"/>
    <w:unhideWhenUsed/>
    <w:qFormat/>
    <w:uiPriority w:val="0"/>
    <w:rPr>
      <w:rFonts w:hint="eastAsia" w:ascii="Times New Roman" w:hAnsi="Times New Roman" w:eastAsia="Times New Roman" w:cs="Times New Roman"/>
      <w:sz w:val="24"/>
      <w:szCs w:val="24"/>
    </w:rPr>
  </w:style>
  <w:style w:type="paragraph" w:customStyle="1" w:styleId="117">
    <w:name w:val="正文_4"/>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118">
    <w:name w:val="正文首行缩进_0"/>
    <w:basedOn w:val="112"/>
    <w:unhideWhenUsed/>
    <w:qFormat/>
    <w:uiPriority w:val="0"/>
    <w:pPr>
      <w:spacing w:beforeLines="0" w:afterLines="0"/>
      <w:ind w:firstLine="420" w:firstLineChars="100"/>
    </w:pPr>
    <w:rPr>
      <w:rFonts w:hint="default" w:ascii="Calibri" w:hAnsi="Calibri" w:eastAsia="宋体"/>
      <w:color w:val="auto"/>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5.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1.xml"/><Relationship Id="rId13" Type="http://schemas.openxmlformats.org/officeDocument/2006/relationships/header" Target="header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157</Pages>
  <Words>4972</Words>
  <Characters>5956</Characters>
  <Lines>450</Lines>
  <Paragraphs>126</Paragraphs>
  <TotalTime>8</TotalTime>
  <ScaleCrop>false</ScaleCrop>
  <LinksUpToDate>false</LinksUpToDate>
  <CharactersWithSpaces>6071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2023-06-09T03:51:00Z</dcterms:created>
  <dc:creator>炎炎</dc:creator>
  <cp:lastModifiedBy>炎炎</cp:lastModifiedBy>
  <cp:lastPrinted>2026-06-08T07:43:22Z</cp:lastPrinted>
  <dcterms:modified xsi:type="dcterms:W3CDTF">2026-06-08T07:51:40Z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C98F97AF10D146DAAC787724D5A7BBE0_13</vt:lpwstr>
  </property>
  <property fmtid="{D5CDD505-2E9C-101B-9397-08002B2CF9AE}" pid="4" name="KSOTemplateDocerSaveRecord">
    <vt:lpwstr>eyJoZGlkIjoiYmIyYzQ5YjI5Y2Y2NWQzMTgwOGQ3OTEwYjg2NjlhYzEiLCJ1c2VySWQiOiIxMTY2MzcwOTA2In0=</vt:lpwstr>
  </property>
</Properties>
</file>