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2DB0F6">
      <w:pPr>
        <w:spacing w:before="120" w:beforeLines="50" w:line="360" w:lineRule="auto"/>
        <w:jc w:val="center"/>
        <w:rPr>
          <w:color w:val="auto"/>
          <w:sz w:val="52"/>
          <w:szCs w:val="52"/>
        </w:rPr>
      </w:pPr>
    </w:p>
    <w:p w14:paraId="57B8E7F0">
      <w:pPr>
        <w:spacing w:line="360" w:lineRule="auto"/>
        <w:jc w:val="center"/>
        <w:rPr>
          <w:rFonts w:hint="eastAsia" w:ascii="宋体" w:hAnsi="宋体" w:cs="宋体"/>
          <w:b/>
          <w:bCs/>
          <w:color w:val="auto"/>
          <w:sz w:val="48"/>
          <w:szCs w:val="48"/>
        </w:rPr>
      </w:pPr>
      <w:r>
        <w:rPr>
          <w:rFonts w:hint="eastAsia" w:ascii="宋体" w:hAnsi="宋体" w:cs="宋体"/>
          <w:b/>
          <w:bCs/>
          <w:color w:val="auto"/>
          <w:sz w:val="48"/>
          <w:szCs w:val="48"/>
        </w:rPr>
        <w:t>广西中启招标咨询有限公司</w:t>
      </w:r>
    </w:p>
    <w:p w14:paraId="37BFC123">
      <w:pPr>
        <w:pStyle w:val="22"/>
        <w:spacing w:line="360" w:lineRule="auto"/>
        <w:rPr>
          <w:rFonts w:hint="eastAsia" w:hAnsi="宋体" w:cs="宋体"/>
          <w:b/>
          <w:color w:val="auto"/>
          <w:sz w:val="84"/>
          <w:szCs w:val="84"/>
        </w:rPr>
      </w:pPr>
      <w:r>
        <w:rPr>
          <w:rFonts w:hint="eastAsia" w:hAnsi="宋体" w:cs="宋体"/>
          <w:b/>
          <w:color w:val="auto"/>
          <w:sz w:val="48"/>
          <w:szCs w:val="48"/>
        </w:rPr>
        <w:drawing>
          <wp:anchor distT="0" distB="0" distL="114300" distR="114300" simplePos="0" relativeHeight="251662336" behindDoc="0" locked="0" layoutInCell="1" allowOverlap="1">
            <wp:simplePos x="0" y="0"/>
            <wp:positionH relativeFrom="column">
              <wp:posOffset>2275205</wp:posOffset>
            </wp:positionH>
            <wp:positionV relativeFrom="paragraph">
              <wp:posOffset>91440</wp:posOffset>
            </wp:positionV>
            <wp:extent cx="1346835" cy="1346835"/>
            <wp:effectExtent l="0" t="0" r="5715" b="5715"/>
            <wp:wrapSquare wrapText="bothSides"/>
            <wp:docPr id="6" name="图片 7" descr="57b69ef081d63843b0d783392390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descr="57b69ef081d63843b0d783392390110"/>
                    <pic:cNvPicPr>
                      <a:picLocks noChangeAspect="1"/>
                    </pic:cNvPicPr>
                  </pic:nvPicPr>
                  <pic:blipFill>
                    <a:blip r:embed="rId12"/>
                    <a:stretch>
                      <a:fillRect/>
                    </a:stretch>
                  </pic:blipFill>
                  <pic:spPr>
                    <a:xfrm>
                      <a:off x="0" y="0"/>
                      <a:ext cx="1346835" cy="1346835"/>
                    </a:xfrm>
                    <a:prstGeom prst="rect">
                      <a:avLst/>
                    </a:prstGeom>
                    <a:noFill/>
                    <a:ln>
                      <a:noFill/>
                    </a:ln>
                  </pic:spPr>
                </pic:pic>
              </a:graphicData>
            </a:graphic>
          </wp:anchor>
        </w:drawing>
      </w:r>
    </w:p>
    <w:p w14:paraId="0E4109D7">
      <w:pPr>
        <w:pStyle w:val="22"/>
        <w:spacing w:line="360" w:lineRule="auto"/>
        <w:jc w:val="center"/>
        <w:rPr>
          <w:rFonts w:hint="eastAsia" w:hAnsi="宋体" w:cs="宋体"/>
          <w:b/>
          <w:bCs/>
          <w:color w:val="auto"/>
          <w:sz w:val="72"/>
          <w:szCs w:val="72"/>
        </w:rPr>
      </w:pPr>
    </w:p>
    <w:p w14:paraId="44E96592">
      <w:pPr>
        <w:snapToGrid w:val="0"/>
        <w:spacing w:before="50" w:after="120" w:line="360" w:lineRule="auto"/>
        <w:ind w:firstLine="1446" w:firstLineChars="200"/>
        <w:rPr>
          <w:rFonts w:hint="eastAsia" w:ascii="宋体" w:hAnsi="宋体" w:cs="宋体"/>
          <w:b/>
          <w:bCs/>
          <w:color w:val="auto"/>
          <w:w w:val="95"/>
          <w:kern w:val="1"/>
          <w:sz w:val="72"/>
          <w:szCs w:val="72"/>
        </w:rPr>
      </w:pPr>
      <w:r>
        <w:rPr>
          <w:rFonts w:hint="eastAsia" w:hAnsi="宋体" w:cs="宋体"/>
          <w:b/>
          <w:bCs/>
          <w:color w:val="auto"/>
          <w:sz w:val="72"/>
          <w:szCs w:val="72"/>
        </w:rPr>
        <w:t>竞争性磋商采购文件</w:t>
      </w:r>
    </w:p>
    <w:p w14:paraId="041046C4">
      <w:pPr>
        <w:snapToGrid w:val="0"/>
        <w:spacing w:before="50" w:after="120" w:line="360" w:lineRule="auto"/>
        <w:ind w:firstLine="1145" w:firstLineChars="400"/>
        <w:rPr>
          <w:rFonts w:hint="eastAsia" w:ascii="宋体" w:hAnsi="宋体" w:cs="宋体"/>
          <w:b/>
          <w:bCs/>
          <w:color w:val="auto"/>
          <w:w w:val="95"/>
          <w:kern w:val="1"/>
          <w:sz w:val="30"/>
          <w:szCs w:val="30"/>
        </w:rPr>
      </w:pPr>
    </w:p>
    <w:p w14:paraId="2734EE92">
      <w:pPr>
        <w:snapToGrid w:val="0"/>
        <w:spacing w:before="50" w:after="120" w:line="360" w:lineRule="auto"/>
        <w:ind w:left="1193" w:leftChars="568" w:firstLine="0" w:firstLineChars="0"/>
        <w:rPr>
          <w:rFonts w:hint="eastAsia" w:ascii="宋体" w:hAnsi="宋体" w:eastAsia="宋体" w:cs="宋体"/>
          <w:b/>
          <w:bCs/>
          <w:color w:val="auto"/>
          <w:w w:val="95"/>
          <w:kern w:val="1"/>
          <w:sz w:val="30"/>
          <w:szCs w:val="30"/>
          <w:lang w:val="en-US" w:eastAsia="zh-CN"/>
        </w:rPr>
      </w:pPr>
      <w:r>
        <w:rPr>
          <w:rFonts w:hint="eastAsia" w:ascii="宋体" w:hAnsi="宋体" w:cs="宋体"/>
          <w:b/>
          <w:bCs/>
          <w:color w:val="auto"/>
          <w:w w:val="95"/>
          <w:kern w:val="1"/>
          <w:sz w:val="30"/>
          <w:szCs w:val="30"/>
        </w:rPr>
        <w:t>项目名称：</w:t>
      </w:r>
      <w:r>
        <w:rPr>
          <w:rFonts w:hint="eastAsia" w:ascii="宋体" w:hAnsi="宋体" w:eastAsia="宋体" w:cs="宋体"/>
          <w:b/>
          <w:bCs/>
          <w:color w:val="auto"/>
          <w:w w:val="95"/>
          <w:kern w:val="1"/>
          <w:sz w:val="30"/>
          <w:szCs w:val="30"/>
          <w:lang w:val="en-US" w:eastAsia="zh-CN"/>
        </w:rPr>
        <w:t>广西壮族自治区国家级自然保护区勘界立标基础</w:t>
      </w:r>
    </w:p>
    <w:p w14:paraId="18852A94">
      <w:pPr>
        <w:snapToGrid w:val="0"/>
        <w:spacing w:before="50" w:after="120" w:line="360" w:lineRule="auto"/>
        <w:ind w:left="0" w:leftChars="0" w:firstLine="1145" w:firstLineChars="400"/>
        <w:rPr>
          <w:rFonts w:hint="eastAsia" w:ascii="宋体" w:hAnsi="宋体" w:eastAsia="宋体" w:cs="宋体"/>
          <w:b/>
          <w:bCs/>
          <w:color w:val="auto"/>
          <w:w w:val="95"/>
          <w:kern w:val="1"/>
          <w:sz w:val="30"/>
          <w:szCs w:val="30"/>
        </w:rPr>
      </w:pPr>
      <w:r>
        <w:rPr>
          <w:rFonts w:hint="eastAsia" w:ascii="宋体" w:hAnsi="宋体" w:eastAsia="宋体" w:cs="宋体"/>
          <w:b/>
          <w:bCs/>
          <w:color w:val="auto"/>
          <w:w w:val="95"/>
          <w:kern w:val="1"/>
          <w:sz w:val="30"/>
          <w:szCs w:val="30"/>
          <w:lang w:val="en-US" w:eastAsia="zh-CN"/>
        </w:rPr>
        <w:t>设施建设项目</w:t>
      </w:r>
      <w:r>
        <w:rPr>
          <w:rFonts w:hint="eastAsia" w:ascii="宋体" w:hAnsi="宋体" w:cs="宋体"/>
          <w:b/>
          <w:bCs/>
          <w:color w:val="auto"/>
          <w:w w:val="95"/>
          <w:kern w:val="1"/>
          <w:sz w:val="30"/>
          <w:szCs w:val="30"/>
          <w:lang w:val="en-US" w:eastAsia="zh-CN"/>
        </w:rPr>
        <w:t>(项目建议书和可行性研究报告编制服务）</w:t>
      </w:r>
    </w:p>
    <w:p w14:paraId="721DAA4A">
      <w:pPr>
        <w:snapToGrid w:val="0"/>
        <w:spacing w:before="50" w:after="120" w:line="360" w:lineRule="auto"/>
        <w:ind w:firstLine="1145" w:firstLineChars="400"/>
        <w:rPr>
          <w:rFonts w:hint="eastAsia" w:ascii="宋体" w:hAnsi="宋体" w:cs="宋体"/>
          <w:b/>
          <w:bCs/>
          <w:color w:val="auto"/>
          <w:w w:val="95"/>
          <w:kern w:val="1"/>
          <w:sz w:val="30"/>
          <w:szCs w:val="30"/>
        </w:rPr>
      </w:pPr>
      <w:r>
        <w:rPr>
          <w:rFonts w:hint="eastAsia" w:ascii="宋体" w:hAnsi="宋体" w:cs="宋体"/>
          <w:b/>
          <w:bCs/>
          <w:color w:val="auto"/>
          <w:w w:val="95"/>
          <w:kern w:val="1"/>
          <w:sz w:val="30"/>
          <w:szCs w:val="30"/>
        </w:rPr>
        <w:t>项目编号：</w:t>
      </w:r>
      <w:r>
        <w:rPr>
          <w:rFonts w:hint="eastAsia" w:ascii="宋体" w:hAnsi="宋体" w:eastAsia="宋体" w:cs="宋体"/>
          <w:b/>
          <w:bCs/>
          <w:i w:val="0"/>
          <w:iCs w:val="0"/>
          <w:caps w:val="0"/>
          <w:color w:val="auto"/>
          <w:spacing w:val="0"/>
          <w:w w:val="95"/>
          <w:kern w:val="1"/>
          <w:sz w:val="30"/>
          <w:szCs w:val="30"/>
        </w:rPr>
        <w:t>GXZC2026-C3-002246-ZQZB</w:t>
      </w:r>
    </w:p>
    <w:p w14:paraId="5D88ABA0">
      <w:pPr>
        <w:snapToGrid w:val="0"/>
        <w:spacing w:before="50" w:after="120" w:line="360" w:lineRule="auto"/>
        <w:rPr>
          <w:rFonts w:hint="eastAsia" w:ascii="宋体" w:hAnsi="宋体" w:cs="宋体"/>
          <w:b/>
          <w:bCs/>
          <w:color w:val="auto"/>
          <w:w w:val="95"/>
          <w:kern w:val="1"/>
          <w:sz w:val="30"/>
          <w:szCs w:val="30"/>
        </w:rPr>
      </w:pPr>
    </w:p>
    <w:p w14:paraId="20C7161D">
      <w:pPr>
        <w:snapToGrid w:val="0"/>
        <w:spacing w:before="50" w:after="120" w:line="360" w:lineRule="auto"/>
        <w:ind w:firstLine="1125" w:firstLineChars="393"/>
        <w:rPr>
          <w:rFonts w:hint="eastAsia" w:ascii="宋体" w:hAnsi="宋体" w:cs="宋体"/>
          <w:b/>
          <w:bCs/>
          <w:color w:val="auto"/>
          <w:w w:val="95"/>
          <w:kern w:val="1"/>
          <w:sz w:val="30"/>
          <w:szCs w:val="30"/>
        </w:rPr>
      </w:pPr>
    </w:p>
    <w:p w14:paraId="2DC285AC">
      <w:pPr>
        <w:snapToGrid w:val="0"/>
        <w:spacing w:before="50" w:after="120" w:line="360" w:lineRule="auto"/>
        <w:ind w:firstLine="1125" w:firstLineChars="393"/>
        <w:rPr>
          <w:rFonts w:hint="eastAsia" w:ascii="宋体" w:hAnsi="宋体" w:cs="宋体"/>
          <w:b/>
          <w:bCs/>
          <w:color w:val="auto"/>
          <w:w w:val="95"/>
          <w:kern w:val="1"/>
          <w:sz w:val="30"/>
          <w:szCs w:val="30"/>
        </w:rPr>
      </w:pPr>
    </w:p>
    <w:p w14:paraId="4ECD099A">
      <w:pPr>
        <w:snapToGrid w:val="0"/>
        <w:spacing w:before="50" w:after="120" w:line="360" w:lineRule="auto"/>
        <w:ind w:firstLine="859" w:firstLineChars="300"/>
        <w:rPr>
          <w:rFonts w:hint="eastAsia" w:ascii="宋体" w:hAnsi="宋体" w:eastAsia="宋体" w:cs="宋体"/>
          <w:b/>
          <w:bCs/>
          <w:color w:val="auto"/>
          <w:w w:val="95"/>
          <w:kern w:val="1"/>
          <w:sz w:val="30"/>
          <w:szCs w:val="30"/>
        </w:rPr>
      </w:pPr>
      <w:r>
        <w:rPr>
          <w:rFonts w:hint="eastAsia" w:ascii="宋体" w:hAnsi="宋体" w:eastAsia="宋体" w:cs="宋体"/>
          <w:b/>
          <w:bCs/>
          <w:color w:val="auto"/>
          <w:w w:val="95"/>
          <w:kern w:val="1"/>
          <w:sz w:val="30"/>
          <w:szCs w:val="30"/>
        </w:rPr>
        <w:t>采 购 人：广西壮族自治区野生动植物和自然保护区管理站</w:t>
      </w:r>
    </w:p>
    <w:p w14:paraId="3CE1F52B">
      <w:pPr>
        <w:snapToGrid w:val="0"/>
        <w:spacing w:before="50" w:after="120" w:line="360" w:lineRule="auto"/>
        <w:ind w:firstLine="859" w:firstLineChars="300"/>
        <w:rPr>
          <w:rFonts w:hint="eastAsia" w:ascii="宋体" w:hAnsi="宋体" w:cs="宋体"/>
          <w:b/>
          <w:bCs/>
          <w:color w:val="auto"/>
          <w:w w:val="95"/>
          <w:kern w:val="1"/>
          <w:sz w:val="30"/>
          <w:szCs w:val="30"/>
        </w:rPr>
      </w:pPr>
      <w:r>
        <w:rPr>
          <w:rFonts w:hint="eastAsia" w:ascii="宋体" w:hAnsi="宋体" w:cs="宋体"/>
          <w:b/>
          <w:bCs/>
          <w:color w:val="auto"/>
          <w:w w:val="95"/>
          <w:kern w:val="1"/>
          <w:sz w:val="30"/>
          <w:szCs w:val="30"/>
        </w:rPr>
        <w:t>采购代理机构：广西中启招标咨询有限公司</w:t>
      </w:r>
    </w:p>
    <w:p w14:paraId="7E62EFD5">
      <w:pPr>
        <w:snapToGrid w:val="0"/>
        <w:spacing w:before="50" w:after="120" w:line="360" w:lineRule="auto"/>
        <w:ind w:firstLine="841" w:firstLineChars="294"/>
        <w:jc w:val="left"/>
        <w:rPr>
          <w:rFonts w:hint="eastAsia" w:ascii="宋体" w:hAnsi="宋体" w:cs="宋体"/>
          <w:b/>
          <w:bCs/>
          <w:color w:val="auto"/>
          <w:w w:val="95"/>
          <w:kern w:val="1"/>
          <w:sz w:val="30"/>
          <w:szCs w:val="30"/>
        </w:rPr>
      </w:pPr>
      <w:r>
        <w:rPr>
          <w:rFonts w:hint="eastAsia" w:ascii="宋体" w:hAnsi="宋体" w:cs="宋体"/>
          <w:b/>
          <w:bCs/>
          <w:color w:val="auto"/>
          <w:w w:val="95"/>
          <w:kern w:val="1"/>
          <w:sz w:val="30"/>
          <w:szCs w:val="30"/>
        </w:rPr>
        <w:t xml:space="preserve">                  2026年</w:t>
      </w:r>
      <w:r>
        <w:rPr>
          <w:rFonts w:hint="eastAsia" w:ascii="宋体" w:hAnsi="宋体" w:cs="宋体"/>
          <w:b/>
          <w:bCs/>
          <w:color w:val="auto"/>
          <w:w w:val="95"/>
          <w:kern w:val="1"/>
          <w:sz w:val="30"/>
          <w:szCs w:val="30"/>
          <w:lang w:val="en-US" w:eastAsia="zh-CN"/>
        </w:rPr>
        <w:t>7</w:t>
      </w:r>
      <w:r>
        <w:rPr>
          <w:rFonts w:hint="eastAsia" w:ascii="宋体" w:hAnsi="宋体" w:cs="宋体"/>
          <w:b/>
          <w:bCs/>
          <w:color w:val="auto"/>
          <w:w w:val="95"/>
          <w:kern w:val="1"/>
          <w:sz w:val="30"/>
          <w:szCs w:val="30"/>
        </w:rPr>
        <w:t>月</w:t>
      </w:r>
      <w:r>
        <w:rPr>
          <w:rFonts w:hint="eastAsia" w:ascii="宋体" w:hAnsi="宋体" w:cs="宋体"/>
          <w:b/>
          <w:bCs/>
          <w:color w:val="auto"/>
          <w:w w:val="95"/>
          <w:kern w:val="1"/>
          <w:sz w:val="30"/>
          <w:szCs w:val="30"/>
          <w:lang w:val="en-US" w:eastAsia="zh-CN"/>
        </w:rPr>
        <w:t>13</w:t>
      </w:r>
      <w:r>
        <w:rPr>
          <w:rFonts w:hint="eastAsia" w:ascii="宋体" w:hAnsi="宋体" w:cs="宋体"/>
          <w:b/>
          <w:bCs/>
          <w:color w:val="auto"/>
          <w:w w:val="95"/>
          <w:kern w:val="1"/>
          <w:sz w:val="30"/>
          <w:szCs w:val="30"/>
        </w:rPr>
        <w:t>日</w:t>
      </w:r>
    </w:p>
    <w:p w14:paraId="39CCBA8B">
      <w:pPr>
        <w:spacing w:before="360" w:beforeLines="150" w:after="360" w:afterLines="150" w:line="360" w:lineRule="auto"/>
        <w:jc w:val="center"/>
        <w:rPr>
          <w:b/>
          <w:color w:val="auto"/>
          <w:sz w:val="44"/>
          <w:szCs w:val="44"/>
        </w:rPr>
        <w:sectPr>
          <w:headerReference r:id="rId3" w:type="first"/>
          <w:footerReference r:id="rId5" w:type="first"/>
          <w:footerReference r:id="rId4" w:type="default"/>
          <w:pgSz w:w="11911" w:h="16838"/>
          <w:pgMar w:top="1134" w:right="1417" w:bottom="1134" w:left="1417" w:header="720" w:footer="720" w:gutter="0"/>
          <w:cols w:space="720" w:num="1"/>
          <w:docGrid w:linePitch="312" w:charSpace="0"/>
        </w:sectPr>
      </w:pPr>
    </w:p>
    <w:p w14:paraId="40AB9BCA">
      <w:pPr>
        <w:spacing w:before="360" w:beforeLines="150" w:after="360" w:afterLines="150" w:line="360" w:lineRule="auto"/>
        <w:jc w:val="center"/>
        <w:rPr>
          <w:b/>
          <w:color w:val="auto"/>
          <w:sz w:val="44"/>
          <w:szCs w:val="44"/>
        </w:rPr>
      </w:pPr>
      <w:r>
        <w:rPr>
          <w:rFonts w:hint="eastAsia"/>
          <w:b/>
          <w:color w:val="auto"/>
          <w:sz w:val="44"/>
          <w:szCs w:val="44"/>
        </w:rPr>
        <w:t>目   录</w:t>
      </w:r>
    </w:p>
    <w:p w14:paraId="678857F2">
      <w:pPr>
        <w:spacing w:line="400" w:lineRule="exact"/>
        <w:jc w:val="center"/>
        <w:rPr>
          <w:b/>
          <w:color w:val="auto"/>
          <w:sz w:val="44"/>
          <w:szCs w:val="44"/>
        </w:rPr>
      </w:pPr>
    </w:p>
    <w:p w14:paraId="1B173D09">
      <w:pPr>
        <w:pStyle w:val="27"/>
        <w:tabs>
          <w:tab w:val="right" w:leader="dot" w:pos="9643"/>
        </w:tabs>
        <w:spacing w:line="480" w:lineRule="auto"/>
        <w:rPr>
          <w:rFonts w:hint="eastAsia" w:ascii="宋体" w:hAnsi="宋体" w:cs="宋体"/>
          <w:b/>
          <w:bCs/>
          <w:color w:val="auto"/>
          <w:sz w:val="32"/>
          <w:szCs w:val="32"/>
        </w:rPr>
      </w:pPr>
      <w:r>
        <w:rPr>
          <w:rFonts w:hint="eastAsia" w:ascii="宋体" w:hAnsi="宋体" w:cs="宋体"/>
          <w:b/>
          <w:bCs/>
          <w:color w:val="auto"/>
          <w:sz w:val="24"/>
        </w:rPr>
        <w:fldChar w:fldCharType="begin"/>
      </w:r>
      <w:r>
        <w:rPr>
          <w:rFonts w:hint="eastAsia" w:ascii="宋体" w:hAnsi="宋体" w:cs="宋体"/>
          <w:b/>
          <w:bCs/>
          <w:color w:val="auto"/>
          <w:sz w:val="24"/>
        </w:rPr>
        <w:instrText xml:space="preserve">TOC \o "1-1" \h \u </w:instrText>
      </w:r>
      <w:r>
        <w:rPr>
          <w:rFonts w:hint="eastAsia" w:ascii="宋体" w:hAnsi="宋体" w:cs="宋体"/>
          <w:b/>
          <w:bCs/>
          <w:color w:val="auto"/>
          <w:sz w:val="24"/>
        </w:rPr>
        <w:fldChar w:fldCharType="separate"/>
      </w:r>
      <w:r>
        <w:rPr>
          <w:color w:val="auto"/>
        </w:rPr>
        <w:fldChar w:fldCharType="begin"/>
      </w:r>
      <w:r>
        <w:rPr>
          <w:color w:val="auto"/>
        </w:rPr>
        <w:instrText xml:space="preserve"> HYPERLINK \l "_Toc32264" </w:instrText>
      </w:r>
      <w:r>
        <w:rPr>
          <w:color w:val="auto"/>
        </w:rPr>
        <w:fldChar w:fldCharType="separate"/>
      </w:r>
      <w:r>
        <w:rPr>
          <w:rFonts w:hint="eastAsia" w:ascii="宋体" w:hAnsi="宋体" w:cs="宋体"/>
          <w:b/>
          <w:bCs/>
          <w:color w:val="auto"/>
          <w:sz w:val="32"/>
          <w:szCs w:val="32"/>
        </w:rPr>
        <w:t>第一章  竞争性磋</w:t>
      </w:r>
      <w:bookmarkStart w:id="0" w:name="_Hlt135924181"/>
      <w:r>
        <w:rPr>
          <w:rFonts w:hint="eastAsia" w:ascii="宋体" w:hAnsi="宋体" w:cs="宋体"/>
          <w:b/>
          <w:bCs/>
          <w:color w:val="auto"/>
          <w:sz w:val="32"/>
          <w:szCs w:val="32"/>
        </w:rPr>
        <w:t>商</w:t>
      </w:r>
      <w:bookmarkEnd w:id="0"/>
      <w:r>
        <w:rPr>
          <w:rFonts w:hint="eastAsia" w:ascii="宋体" w:hAnsi="宋体" w:cs="宋体"/>
          <w:b/>
          <w:bCs/>
          <w:color w:val="auto"/>
          <w:sz w:val="32"/>
          <w:szCs w:val="32"/>
        </w:rPr>
        <w:t>公告</w:t>
      </w:r>
      <w:r>
        <w:rPr>
          <w:rFonts w:hint="eastAsia" w:ascii="宋体" w:hAnsi="宋体" w:cs="宋体"/>
          <w:b/>
          <w:bCs/>
          <w:color w:val="auto"/>
          <w:sz w:val="32"/>
          <w:szCs w:val="32"/>
        </w:rPr>
        <w:tab/>
      </w:r>
      <w:r>
        <w:rPr>
          <w:rFonts w:hint="eastAsia" w:ascii="宋体" w:hAnsi="宋体" w:cs="宋体"/>
          <w:b/>
          <w:bCs/>
          <w:color w:val="auto"/>
          <w:sz w:val="32"/>
          <w:szCs w:val="32"/>
        </w:rPr>
        <w:fldChar w:fldCharType="begin"/>
      </w:r>
      <w:r>
        <w:rPr>
          <w:rFonts w:hint="eastAsia" w:ascii="宋体" w:hAnsi="宋体" w:cs="宋体"/>
          <w:b/>
          <w:bCs/>
          <w:color w:val="auto"/>
          <w:sz w:val="32"/>
          <w:szCs w:val="32"/>
        </w:rPr>
        <w:instrText xml:space="preserve"> PAGEREF _Toc32264 </w:instrText>
      </w:r>
      <w:r>
        <w:rPr>
          <w:rFonts w:hint="eastAsia" w:ascii="宋体" w:hAnsi="宋体" w:cs="宋体"/>
          <w:b/>
          <w:bCs/>
          <w:color w:val="auto"/>
          <w:sz w:val="32"/>
          <w:szCs w:val="32"/>
        </w:rPr>
        <w:fldChar w:fldCharType="separate"/>
      </w:r>
      <w:r>
        <w:rPr>
          <w:rFonts w:hint="eastAsia" w:ascii="宋体" w:hAnsi="宋体" w:cs="宋体"/>
          <w:b/>
          <w:bCs/>
          <w:color w:val="auto"/>
          <w:sz w:val="32"/>
          <w:szCs w:val="32"/>
        </w:rPr>
        <w:t>2</w:t>
      </w:r>
      <w:r>
        <w:rPr>
          <w:rFonts w:hint="eastAsia" w:ascii="宋体" w:hAnsi="宋体" w:cs="宋体"/>
          <w:b/>
          <w:bCs/>
          <w:color w:val="auto"/>
          <w:sz w:val="32"/>
          <w:szCs w:val="32"/>
        </w:rPr>
        <w:fldChar w:fldCharType="end"/>
      </w:r>
      <w:r>
        <w:rPr>
          <w:rFonts w:hint="eastAsia" w:ascii="宋体" w:hAnsi="宋体" w:cs="宋体"/>
          <w:b/>
          <w:bCs/>
          <w:color w:val="auto"/>
          <w:sz w:val="32"/>
          <w:szCs w:val="32"/>
        </w:rPr>
        <w:fldChar w:fldCharType="end"/>
      </w:r>
    </w:p>
    <w:p w14:paraId="0B9EF66F">
      <w:pPr>
        <w:pStyle w:val="27"/>
        <w:tabs>
          <w:tab w:val="right" w:leader="dot" w:pos="9643"/>
        </w:tabs>
        <w:spacing w:line="480" w:lineRule="auto"/>
        <w:rPr>
          <w:rFonts w:hint="eastAsia" w:ascii="宋体" w:hAnsi="宋体" w:cs="宋体"/>
          <w:b/>
          <w:bCs/>
          <w:color w:val="auto"/>
          <w:sz w:val="32"/>
          <w:szCs w:val="32"/>
        </w:rPr>
      </w:pPr>
      <w:r>
        <w:rPr>
          <w:color w:val="auto"/>
        </w:rPr>
        <w:fldChar w:fldCharType="begin"/>
      </w:r>
      <w:r>
        <w:rPr>
          <w:color w:val="auto"/>
        </w:rPr>
        <w:instrText xml:space="preserve"> HYPERLINK \l "_Toc26836" </w:instrText>
      </w:r>
      <w:r>
        <w:rPr>
          <w:color w:val="auto"/>
        </w:rPr>
        <w:fldChar w:fldCharType="separate"/>
      </w:r>
      <w:r>
        <w:rPr>
          <w:rFonts w:hint="eastAsia" w:ascii="宋体" w:hAnsi="宋体" w:cs="宋体"/>
          <w:b/>
          <w:bCs/>
          <w:color w:val="auto"/>
          <w:sz w:val="32"/>
          <w:szCs w:val="32"/>
        </w:rPr>
        <w:t>第二章  采购需</w:t>
      </w:r>
      <w:bookmarkStart w:id="1" w:name="_Hlt137127195"/>
      <w:r>
        <w:rPr>
          <w:rFonts w:hint="eastAsia" w:ascii="宋体" w:hAnsi="宋体" w:cs="宋体"/>
          <w:b/>
          <w:bCs/>
          <w:color w:val="auto"/>
          <w:sz w:val="32"/>
          <w:szCs w:val="32"/>
        </w:rPr>
        <w:t>求</w:t>
      </w:r>
      <w:bookmarkEnd w:id="1"/>
      <w:r>
        <w:rPr>
          <w:rFonts w:hint="eastAsia" w:ascii="宋体" w:hAnsi="宋体" w:cs="宋体"/>
          <w:b/>
          <w:bCs/>
          <w:color w:val="auto"/>
          <w:sz w:val="32"/>
          <w:szCs w:val="32"/>
        </w:rPr>
        <w:tab/>
      </w:r>
      <w:r>
        <w:rPr>
          <w:rFonts w:hint="eastAsia" w:ascii="宋体" w:hAnsi="宋体" w:cs="宋体"/>
          <w:b/>
          <w:bCs/>
          <w:color w:val="auto"/>
          <w:sz w:val="32"/>
          <w:szCs w:val="32"/>
        </w:rPr>
        <w:fldChar w:fldCharType="begin"/>
      </w:r>
      <w:r>
        <w:rPr>
          <w:rFonts w:hint="eastAsia" w:ascii="宋体" w:hAnsi="宋体" w:cs="宋体"/>
          <w:b/>
          <w:bCs/>
          <w:color w:val="auto"/>
          <w:sz w:val="32"/>
          <w:szCs w:val="32"/>
        </w:rPr>
        <w:instrText xml:space="preserve"> PAGEREF _Toc26836 </w:instrText>
      </w:r>
      <w:r>
        <w:rPr>
          <w:rFonts w:hint="eastAsia" w:ascii="宋体" w:hAnsi="宋体" w:cs="宋体"/>
          <w:b/>
          <w:bCs/>
          <w:color w:val="auto"/>
          <w:sz w:val="32"/>
          <w:szCs w:val="32"/>
        </w:rPr>
        <w:fldChar w:fldCharType="separate"/>
      </w:r>
      <w:r>
        <w:rPr>
          <w:rFonts w:hint="eastAsia" w:ascii="宋体" w:hAnsi="宋体" w:cs="宋体"/>
          <w:b/>
          <w:bCs/>
          <w:color w:val="auto"/>
          <w:sz w:val="32"/>
          <w:szCs w:val="32"/>
        </w:rPr>
        <w:t>2</w:t>
      </w:r>
      <w:r>
        <w:rPr>
          <w:rFonts w:hint="eastAsia" w:ascii="宋体" w:hAnsi="宋体" w:cs="宋体"/>
          <w:b/>
          <w:bCs/>
          <w:color w:val="auto"/>
          <w:sz w:val="32"/>
          <w:szCs w:val="32"/>
        </w:rPr>
        <w:fldChar w:fldCharType="end"/>
      </w:r>
      <w:r>
        <w:rPr>
          <w:rFonts w:hint="eastAsia" w:ascii="宋体" w:hAnsi="宋体" w:cs="宋体"/>
          <w:b/>
          <w:bCs/>
          <w:color w:val="auto"/>
          <w:sz w:val="32"/>
          <w:szCs w:val="32"/>
        </w:rPr>
        <w:fldChar w:fldCharType="end"/>
      </w:r>
    </w:p>
    <w:p w14:paraId="6B0D357C">
      <w:pPr>
        <w:pStyle w:val="27"/>
        <w:tabs>
          <w:tab w:val="right" w:leader="dot" w:pos="9643"/>
        </w:tabs>
        <w:spacing w:line="480" w:lineRule="auto"/>
        <w:rPr>
          <w:rFonts w:hint="eastAsia" w:ascii="宋体" w:hAnsi="宋体" w:cs="宋体"/>
          <w:b/>
          <w:bCs/>
          <w:color w:val="auto"/>
          <w:sz w:val="32"/>
          <w:szCs w:val="32"/>
        </w:rPr>
      </w:pPr>
      <w:r>
        <w:rPr>
          <w:color w:val="auto"/>
        </w:rPr>
        <w:fldChar w:fldCharType="begin"/>
      </w:r>
      <w:r>
        <w:rPr>
          <w:color w:val="auto"/>
        </w:rPr>
        <w:instrText xml:space="preserve"> HYPERLINK \l "_Toc2072" </w:instrText>
      </w:r>
      <w:r>
        <w:rPr>
          <w:color w:val="auto"/>
        </w:rPr>
        <w:fldChar w:fldCharType="separate"/>
      </w:r>
      <w:r>
        <w:rPr>
          <w:rFonts w:hint="eastAsia" w:ascii="宋体" w:hAnsi="宋体" w:cs="宋体"/>
          <w:b/>
          <w:bCs/>
          <w:color w:val="auto"/>
          <w:sz w:val="32"/>
          <w:szCs w:val="32"/>
        </w:rPr>
        <w:t>第三章  供应</w:t>
      </w:r>
      <w:bookmarkStart w:id="2" w:name="_Hlt135905307"/>
      <w:r>
        <w:rPr>
          <w:rFonts w:hint="eastAsia" w:ascii="宋体" w:hAnsi="宋体" w:cs="宋体"/>
          <w:b/>
          <w:bCs/>
          <w:color w:val="auto"/>
          <w:sz w:val="32"/>
          <w:szCs w:val="32"/>
        </w:rPr>
        <w:t>商</w:t>
      </w:r>
      <w:bookmarkEnd w:id="2"/>
      <w:r>
        <w:rPr>
          <w:rFonts w:hint="eastAsia" w:ascii="宋体" w:hAnsi="宋体" w:cs="宋体"/>
          <w:b/>
          <w:bCs/>
          <w:color w:val="auto"/>
          <w:sz w:val="32"/>
          <w:szCs w:val="32"/>
        </w:rPr>
        <w:t>须知</w:t>
      </w:r>
      <w:r>
        <w:rPr>
          <w:rFonts w:hint="eastAsia" w:ascii="宋体" w:hAnsi="宋体" w:cs="宋体"/>
          <w:b/>
          <w:bCs/>
          <w:color w:val="auto"/>
          <w:sz w:val="32"/>
          <w:szCs w:val="32"/>
        </w:rPr>
        <w:tab/>
      </w:r>
      <w:r>
        <w:rPr>
          <w:rFonts w:hint="eastAsia" w:ascii="宋体" w:hAnsi="宋体" w:cs="宋体"/>
          <w:b/>
          <w:bCs/>
          <w:color w:val="auto"/>
          <w:sz w:val="32"/>
          <w:szCs w:val="32"/>
        </w:rPr>
        <w:fldChar w:fldCharType="begin"/>
      </w:r>
      <w:r>
        <w:rPr>
          <w:rFonts w:hint="eastAsia" w:ascii="宋体" w:hAnsi="宋体" w:cs="宋体"/>
          <w:b/>
          <w:bCs/>
          <w:color w:val="auto"/>
          <w:sz w:val="32"/>
          <w:szCs w:val="32"/>
        </w:rPr>
        <w:instrText xml:space="preserve"> PAGEREF _Toc2072 </w:instrText>
      </w:r>
      <w:r>
        <w:rPr>
          <w:rFonts w:hint="eastAsia" w:ascii="宋体" w:hAnsi="宋体" w:cs="宋体"/>
          <w:b/>
          <w:bCs/>
          <w:color w:val="auto"/>
          <w:sz w:val="32"/>
          <w:szCs w:val="32"/>
        </w:rPr>
        <w:fldChar w:fldCharType="separate"/>
      </w:r>
      <w:r>
        <w:rPr>
          <w:rFonts w:hint="eastAsia" w:ascii="宋体" w:hAnsi="宋体" w:cs="宋体"/>
          <w:b/>
          <w:bCs/>
          <w:color w:val="auto"/>
          <w:sz w:val="32"/>
          <w:szCs w:val="32"/>
        </w:rPr>
        <w:t>9</w:t>
      </w:r>
      <w:r>
        <w:rPr>
          <w:rFonts w:hint="eastAsia" w:ascii="宋体" w:hAnsi="宋体" w:cs="宋体"/>
          <w:b/>
          <w:bCs/>
          <w:color w:val="auto"/>
          <w:sz w:val="32"/>
          <w:szCs w:val="32"/>
        </w:rPr>
        <w:fldChar w:fldCharType="end"/>
      </w:r>
      <w:r>
        <w:rPr>
          <w:rFonts w:hint="eastAsia" w:ascii="宋体" w:hAnsi="宋体" w:cs="宋体"/>
          <w:b/>
          <w:bCs/>
          <w:color w:val="auto"/>
          <w:sz w:val="32"/>
          <w:szCs w:val="32"/>
        </w:rPr>
        <w:fldChar w:fldCharType="end"/>
      </w:r>
    </w:p>
    <w:p w14:paraId="4ED80E70">
      <w:pPr>
        <w:pStyle w:val="27"/>
        <w:tabs>
          <w:tab w:val="right" w:leader="dot" w:pos="9643"/>
        </w:tabs>
        <w:spacing w:line="480" w:lineRule="auto"/>
        <w:rPr>
          <w:rFonts w:hint="eastAsia" w:ascii="宋体" w:hAnsi="宋体" w:cs="宋体"/>
          <w:b/>
          <w:bCs/>
          <w:color w:val="auto"/>
          <w:sz w:val="32"/>
          <w:szCs w:val="32"/>
        </w:rPr>
      </w:pPr>
      <w:r>
        <w:rPr>
          <w:color w:val="auto"/>
        </w:rPr>
        <w:fldChar w:fldCharType="begin"/>
      </w:r>
      <w:r>
        <w:rPr>
          <w:color w:val="auto"/>
        </w:rPr>
        <w:instrText xml:space="preserve"> HYPERLINK \l "_Toc1088" </w:instrText>
      </w:r>
      <w:r>
        <w:rPr>
          <w:color w:val="auto"/>
        </w:rPr>
        <w:fldChar w:fldCharType="separate"/>
      </w:r>
      <w:r>
        <w:rPr>
          <w:rFonts w:hint="eastAsia" w:ascii="宋体" w:hAnsi="宋体" w:cs="宋体"/>
          <w:b/>
          <w:bCs/>
          <w:color w:val="auto"/>
          <w:sz w:val="32"/>
          <w:szCs w:val="32"/>
        </w:rPr>
        <w:t>第四章  评审程序、评审方法和评审标准</w:t>
      </w:r>
      <w:r>
        <w:rPr>
          <w:rFonts w:hint="eastAsia" w:ascii="宋体" w:hAnsi="宋体" w:cs="宋体"/>
          <w:b/>
          <w:bCs/>
          <w:color w:val="auto"/>
          <w:sz w:val="32"/>
          <w:szCs w:val="32"/>
        </w:rPr>
        <w:tab/>
      </w:r>
      <w:r>
        <w:rPr>
          <w:rFonts w:hint="eastAsia" w:ascii="宋体" w:hAnsi="宋体" w:cs="宋体"/>
          <w:b/>
          <w:bCs/>
          <w:color w:val="auto"/>
          <w:sz w:val="32"/>
          <w:szCs w:val="32"/>
        </w:rPr>
        <w:fldChar w:fldCharType="begin"/>
      </w:r>
      <w:r>
        <w:rPr>
          <w:rFonts w:hint="eastAsia" w:ascii="宋体" w:hAnsi="宋体" w:cs="宋体"/>
          <w:b/>
          <w:bCs/>
          <w:color w:val="auto"/>
          <w:sz w:val="32"/>
          <w:szCs w:val="32"/>
        </w:rPr>
        <w:instrText xml:space="preserve"> PAGEREF _Toc1088 </w:instrText>
      </w:r>
      <w:r>
        <w:rPr>
          <w:rFonts w:hint="eastAsia" w:ascii="宋体" w:hAnsi="宋体" w:cs="宋体"/>
          <w:b/>
          <w:bCs/>
          <w:color w:val="auto"/>
          <w:sz w:val="32"/>
          <w:szCs w:val="32"/>
        </w:rPr>
        <w:fldChar w:fldCharType="separate"/>
      </w:r>
      <w:r>
        <w:rPr>
          <w:rFonts w:hint="eastAsia" w:ascii="宋体" w:hAnsi="宋体" w:cs="宋体"/>
          <w:b/>
          <w:bCs/>
          <w:color w:val="auto"/>
          <w:sz w:val="32"/>
          <w:szCs w:val="32"/>
        </w:rPr>
        <w:t>30</w:t>
      </w:r>
      <w:r>
        <w:rPr>
          <w:rFonts w:hint="eastAsia" w:ascii="宋体" w:hAnsi="宋体" w:cs="宋体"/>
          <w:b/>
          <w:bCs/>
          <w:color w:val="auto"/>
          <w:sz w:val="32"/>
          <w:szCs w:val="32"/>
        </w:rPr>
        <w:fldChar w:fldCharType="end"/>
      </w:r>
      <w:r>
        <w:rPr>
          <w:rFonts w:hint="eastAsia" w:ascii="宋体" w:hAnsi="宋体" w:cs="宋体"/>
          <w:b/>
          <w:bCs/>
          <w:color w:val="auto"/>
          <w:sz w:val="32"/>
          <w:szCs w:val="32"/>
        </w:rPr>
        <w:fldChar w:fldCharType="end"/>
      </w:r>
    </w:p>
    <w:p w14:paraId="1A545089">
      <w:pPr>
        <w:pStyle w:val="27"/>
        <w:tabs>
          <w:tab w:val="right" w:leader="dot" w:pos="9643"/>
        </w:tabs>
        <w:spacing w:line="480" w:lineRule="auto"/>
        <w:rPr>
          <w:rFonts w:hint="eastAsia" w:ascii="宋体" w:hAnsi="宋体" w:cs="宋体"/>
          <w:b/>
          <w:bCs/>
          <w:color w:val="auto"/>
          <w:sz w:val="32"/>
          <w:szCs w:val="32"/>
        </w:rPr>
      </w:pPr>
      <w:r>
        <w:rPr>
          <w:color w:val="auto"/>
        </w:rPr>
        <w:fldChar w:fldCharType="begin"/>
      </w:r>
      <w:r>
        <w:rPr>
          <w:color w:val="auto"/>
        </w:rPr>
        <w:instrText xml:space="preserve"> HYPERLINK \l "_Toc22302" </w:instrText>
      </w:r>
      <w:r>
        <w:rPr>
          <w:color w:val="auto"/>
        </w:rPr>
        <w:fldChar w:fldCharType="separate"/>
      </w:r>
      <w:r>
        <w:rPr>
          <w:rFonts w:hint="eastAsia" w:ascii="宋体" w:hAnsi="宋体" w:cs="宋体"/>
          <w:b/>
          <w:bCs/>
          <w:color w:val="auto"/>
          <w:sz w:val="32"/>
          <w:szCs w:val="32"/>
        </w:rPr>
        <w:t>第五章  响应文</w:t>
      </w:r>
      <w:bookmarkStart w:id="3" w:name="_Hlt135897173"/>
      <w:bookmarkStart w:id="4" w:name="_Hlt135897174"/>
      <w:r>
        <w:rPr>
          <w:rFonts w:hint="eastAsia" w:ascii="宋体" w:hAnsi="宋体" w:cs="宋体"/>
          <w:b/>
          <w:bCs/>
          <w:color w:val="auto"/>
          <w:sz w:val="32"/>
          <w:szCs w:val="32"/>
        </w:rPr>
        <w:t>件</w:t>
      </w:r>
      <w:bookmarkEnd w:id="3"/>
      <w:bookmarkEnd w:id="4"/>
      <w:r>
        <w:rPr>
          <w:rFonts w:hint="eastAsia" w:ascii="宋体" w:hAnsi="宋体" w:cs="宋体"/>
          <w:b/>
          <w:bCs/>
          <w:color w:val="auto"/>
          <w:sz w:val="32"/>
          <w:szCs w:val="32"/>
        </w:rPr>
        <w:t>格式</w:t>
      </w:r>
      <w:r>
        <w:rPr>
          <w:rFonts w:hint="eastAsia" w:ascii="宋体" w:hAnsi="宋体" w:cs="宋体"/>
          <w:b/>
          <w:bCs/>
          <w:color w:val="auto"/>
          <w:sz w:val="32"/>
          <w:szCs w:val="32"/>
        </w:rPr>
        <w:tab/>
      </w:r>
      <w:r>
        <w:rPr>
          <w:rFonts w:hint="eastAsia" w:ascii="宋体" w:hAnsi="宋体" w:cs="宋体"/>
          <w:b/>
          <w:bCs/>
          <w:color w:val="auto"/>
          <w:sz w:val="32"/>
          <w:szCs w:val="32"/>
        </w:rPr>
        <w:fldChar w:fldCharType="begin"/>
      </w:r>
      <w:r>
        <w:rPr>
          <w:rFonts w:hint="eastAsia" w:ascii="宋体" w:hAnsi="宋体" w:cs="宋体"/>
          <w:b/>
          <w:bCs/>
          <w:color w:val="auto"/>
          <w:sz w:val="32"/>
          <w:szCs w:val="32"/>
        </w:rPr>
        <w:instrText xml:space="preserve"> PAGEREF _Toc22302 </w:instrText>
      </w:r>
      <w:r>
        <w:rPr>
          <w:rFonts w:hint="eastAsia" w:ascii="宋体" w:hAnsi="宋体" w:cs="宋体"/>
          <w:b/>
          <w:bCs/>
          <w:color w:val="auto"/>
          <w:sz w:val="32"/>
          <w:szCs w:val="32"/>
        </w:rPr>
        <w:fldChar w:fldCharType="separate"/>
      </w:r>
      <w:r>
        <w:rPr>
          <w:rFonts w:hint="eastAsia" w:ascii="宋体" w:hAnsi="宋体" w:cs="宋体"/>
          <w:b/>
          <w:bCs/>
          <w:color w:val="auto"/>
          <w:sz w:val="32"/>
          <w:szCs w:val="32"/>
        </w:rPr>
        <w:t>42</w:t>
      </w:r>
      <w:r>
        <w:rPr>
          <w:rFonts w:hint="eastAsia" w:ascii="宋体" w:hAnsi="宋体" w:cs="宋体"/>
          <w:b/>
          <w:bCs/>
          <w:color w:val="auto"/>
          <w:sz w:val="32"/>
          <w:szCs w:val="32"/>
        </w:rPr>
        <w:fldChar w:fldCharType="end"/>
      </w:r>
      <w:r>
        <w:rPr>
          <w:rFonts w:hint="eastAsia" w:ascii="宋体" w:hAnsi="宋体" w:cs="宋体"/>
          <w:b/>
          <w:bCs/>
          <w:color w:val="auto"/>
          <w:sz w:val="32"/>
          <w:szCs w:val="32"/>
        </w:rPr>
        <w:fldChar w:fldCharType="end"/>
      </w:r>
    </w:p>
    <w:p w14:paraId="7F026597">
      <w:pPr>
        <w:pStyle w:val="27"/>
        <w:tabs>
          <w:tab w:val="right" w:leader="dot" w:pos="9643"/>
        </w:tabs>
        <w:spacing w:line="480" w:lineRule="auto"/>
        <w:rPr>
          <w:rFonts w:hint="eastAsia" w:ascii="宋体" w:hAnsi="宋体" w:cs="宋体"/>
          <w:b/>
          <w:bCs/>
          <w:color w:val="auto"/>
          <w:sz w:val="32"/>
          <w:szCs w:val="32"/>
        </w:rPr>
      </w:pPr>
      <w:r>
        <w:rPr>
          <w:color w:val="auto"/>
        </w:rPr>
        <w:fldChar w:fldCharType="begin"/>
      </w:r>
      <w:r>
        <w:rPr>
          <w:color w:val="auto"/>
        </w:rPr>
        <w:instrText xml:space="preserve"> HYPERLINK \l "_Toc18676" </w:instrText>
      </w:r>
      <w:r>
        <w:rPr>
          <w:color w:val="auto"/>
        </w:rPr>
        <w:fldChar w:fldCharType="separate"/>
      </w:r>
      <w:r>
        <w:rPr>
          <w:rFonts w:hint="eastAsia" w:ascii="宋体" w:hAnsi="宋体" w:cs="宋体"/>
          <w:b/>
          <w:bCs/>
          <w:color w:val="auto"/>
          <w:sz w:val="32"/>
          <w:szCs w:val="32"/>
        </w:rPr>
        <w:t>第六章  合同</w:t>
      </w:r>
      <w:bookmarkStart w:id="5" w:name="_Hlt137127063"/>
      <w:bookmarkStart w:id="6" w:name="_Hlt137127064"/>
      <w:bookmarkStart w:id="7" w:name="_Hlt135924190"/>
      <w:r>
        <w:rPr>
          <w:rFonts w:hint="eastAsia" w:ascii="宋体" w:hAnsi="宋体" w:cs="宋体"/>
          <w:b/>
          <w:bCs/>
          <w:color w:val="auto"/>
          <w:sz w:val="32"/>
          <w:szCs w:val="32"/>
        </w:rPr>
        <w:t>文</w:t>
      </w:r>
      <w:bookmarkEnd w:id="5"/>
      <w:bookmarkEnd w:id="6"/>
      <w:bookmarkEnd w:id="7"/>
      <w:bookmarkStart w:id="8" w:name="_Hlt135924166"/>
      <w:bookmarkStart w:id="9" w:name="_Hlt135924167"/>
      <w:r>
        <w:rPr>
          <w:rFonts w:hint="eastAsia" w:ascii="宋体" w:hAnsi="宋体" w:cs="宋体"/>
          <w:b/>
          <w:bCs/>
          <w:color w:val="auto"/>
          <w:sz w:val="32"/>
          <w:szCs w:val="32"/>
        </w:rPr>
        <w:t>本</w:t>
      </w:r>
      <w:bookmarkEnd w:id="8"/>
      <w:bookmarkEnd w:id="9"/>
      <w:r>
        <w:rPr>
          <w:rFonts w:hint="eastAsia" w:ascii="宋体" w:hAnsi="宋体" w:cs="宋体"/>
          <w:b/>
          <w:bCs/>
          <w:color w:val="auto"/>
          <w:sz w:val="32"/>
          <w:szCs w:val="32"/>
        </w:rPr>
        <w:tab/>
      </w:r>
      <w:r>
        <w:rPr>
          <w:rFonts w:hint="eastAsia" w:ascii="宋体" w:hAnsi="宋体" w:cs="宋体"/>
          <w:b/>
          <w:bCs/>
          <w:color w:val="auto"/>
          <w:sz w:val="32"/>
          <w:szCs w:val="32"/>
        </w:rPr>
        <w:fldChar w:fldCharType="begin"/>
      </w:r>
      <w:r>
        <w:rPr>
          <w:rFonts w:hint="eastAsia" w:ascii="宋体" w:hAnsi="宋体" w:cs="宋体"/>
          <w:b/>
          <w:bCs/>
          <w:color w:val="auto"/>
          <w:sz w:val="32"/>
          <w:szCs w:val="32"/>
        </w:rPr>
        <w:instrText xml:space="preserve"> PAGEREF _Toc18676 </w:instrText>
      </w:r>
      <w:r>
        <w:rPr>
          <w:rFonts w:hint="eastAsia" w:ascii="宋体" w:hAnsi="宋体" w:cs="宋体"/>
          <w:b/>
          <w:bCs/>
          <w:color w:val="auto"/>
          <w:sz w:val="32"/>
          <w:szCs w:val="32"/>
        </w:rPr>
        <w:fldChar w:fldCharType="separate"/>
      </w:r>
      <w:r>
        <w:rPr>
          <w:rFonts w:hint="eastAsia" w:ascii="宋体" w:hAnsi="宋体" w:cs="宋体"/>
          <w:b/>
          <w:bCs/>
          <w:color w:val="auto"/>
          <w:sz w:val="32"/>
          <w:szCs w:val="32"/>
        </w:rPr>
        <w:t>63</w:t>
      </w:r>
      <w:r>
        <w:rPr>
          <w:rFonts w:hint="eastAsia" w:ascii="宋体" w:hAnsi="宋体" w:cs="宋体"/>
          <w:b/>
          <w:bCs/>
          <w:color w:val="auto"/>
          <w:sz w:val="32"/>
          <w:szCs w:val="32"/>
        </w:rPr>
        <w:fldChar w:fldCharType="end"/>
      </w:r>
      <w:r>
        <w:rPr>
          <w:rFonts w:hint="eastAsia" w:ascii="宋体" w:hAnsi="宋体" w:cs="宋体"/>
          <w:b/>
          <w:bCs/>
          <w:color w:val="auto"/>
          <w:sz w:val="32"/>
          <w:szCs w:val="32"/>
        </w:rPr>
        <w:fldChar w:fldCharType="end"/>
      </w:r>
    </w:p>
    <w:p w14:paraId="65259DA5">
      <w:pPr>
        <w:pStyle w:val="27"/>
        <w:tabs>
          <w:tab w:val="right" w:leader="dot" w:pos="9643"/>
        </w:tabs>
        <w:spacing w:line="480" w:lineRule="auto"/>
        <w:rPr>
          <w:b/>
          <w:bCs/>
          <w:color w:val="auto"/>
          <w:sz w:val="32"/>
          <w:szCs w:val="32"/>
        </w:rPr>
      </w:pPr>
      <w:r>
        <w:rPr>
          <w:color w:val="auto"/>
        </w:rPr>
        <w:fldChar w:fldCharType="begin"/>
      </w:r>
      <w:r>
        <w:rPr>
          <w:color w:val="auto"/>
        </w:rPr>
        <w:instrText xml:space="preserve"> HYPERLINK \l "_Toc13011" </w:instrText>
      </w:r>
      <w:r>
        <w:rPr>
          <w:color w:val="auto"/>
        </w:rPr>
        <w:fldChar w:fldCharType="separate"/>
      </w:r>
      <w:r>
        <w:rPr>
          <w:rFonts w:hint="eastAsia" w:ascii="宋体" w:hAnsi="宋体" w:cs="宋体"/>
          <w:b/>
          <w:bCs/>
          <w:color w:val="auto"/>
          <w:sz w:val="32"/>
          <w:szCs w:val="32"/>
        </w:rPr>
        <w:t>第七章  质疑、投诉</w:t>
      </w:r>
      <w:bookmarkStart w:id="10" w:name="_Hlt137580637"/>
      <w:bookmarkStart w:id="11" w:name="_Hlt137580638"/>
      <w:r>
        <w:rPr>
          <w:rFonts w:hint="eastAsia" w:ascii="宋体" w:hAnsi="宋体" w:cs="宋体"/>
          <w:b/>
          <w:bCs/>
          <w:color w:val="auto"/>
          <w:sz w:val="32"/>
          <w:szCs w:val="32"/>
        </w:rPr>
        <w:t>材</w:t>
      </w:r>
      <w:bookmarkEnd w:id="10"/>
      <w:bookmarkEnd w:id="11"/>
      <w:r>
        <w:rPr>
          <w:rFonts w:hint="eastAsia" w:ascii="宋体" w:hAnsi="宋体" w:cs="宋体"/>
          <w:b/>
          <w:bCs/>
          <w:color w:val="auto"/>
          <w:sz w:val="32"/>
          <w:szCs w:val="32"/>
        </w:rPr>
        <w:t>料格式</w:t>
      </w:r>
      <w:r>
        <w:rPr>
          <w:rFonts w:hint="eastAsia" w:ascii="宋体" w:hAnsi="宋体" w:cs="宋体"/>
          <w:b/>
          <w:bCs/>
          <w:color w:val="auto"/>
          <w:sz w:val="32"/>
          <w:szCs w:val="32"/>
        </w:rPr>
        <w:tab/>
      </w:r>
      <w:r>
        <w:rPr>
          <w:rFonts w:hint="eastAsia" w:ascii="宋体" w:hAnsi="宋体" w:cs="宋体"/>
          <w:b/>
          <w:bCs/>
          <w:color w:val="auto"/>
          <w:sz w:val="32"/>
          <w:szCs w:val="32"/>
        </w:rPr>
        <w:fldChar w:fldCharType="begin"/>
      </w:r>
      <w:r>
        <w:rPr>
          <w:rFonts w:hint="eastAsia" w:ascii="宋体" w:hAnsi="宋体" w:cs="宋体"/>
          <w:b/>
          <w:bCs/>
          <w:color w:val="auto"/>
          <w:sz w:val="32"/>
          <w:szCs w:val="32"/>
        </w:rPr>
        <w:instrText xml:space="preserve"> PAGEREF _Toc13011 </w:instrText>
      </w:r>
      <w:r>
        <w:rPr>
          <w:rFonts w:hint="eastAsia" w:ascii="宋体" w:hAnsi="宋体" w:cs="宋体"/>
          <w:b/>
          <w:bCs/>
          <w:color w:val="auto"/>
          <w:sz w:val="32"/>
          <w:szCs w:val="32"/>
        </w:rPr>
        <w:fldChar w:fldCharType="separate"/>
      </w:r>
      <w:r>
        <w:rPr>
          <w:rFonts w:hint="eastAsia" w:ascii="宋体" w:hAnsi="宋体" w:cs="宋体"/>
          <w:b/>
          <w:bCs/>
          <w:color w:val="auto"/>
          <w:sz w:val="32"/>
          <w:szCs w:val="32"/>
        </w:rPr>
        <w:t>69</w:t>
      </w:r>
      <w:r>
        <w:rPr>
          <w:rFonts w:hint="eastAsia" w:ascii="宋体" w:hAnsi="宋体" w:cs="宋体"/>
          <w:b/>
          <w:bCs/>
          <w:color w:val="auto"/>
          <w:sz w:val="32"/>
          <w:szCs w:val="32"/>
        </w:rPr>
        <w:fldChar w:fldCharType="end"/>
      </w:r>
      <w:r>
        <w:rPr>
          <w:rFonts w:hint="eastAsia" w:ascii="宋体" w:hAnsi="宋体" w:cs="宋体"/>
          <w:b/>
          <w:bCs/>
          <w:color w:val="auto"/>
          <w:sz w:val="32"/>
          <w:szCs w:val="32"/>
        </w:rPr>
        <w:fldChar w:fldCharType="end"/>
      </w:r>
    </w:p>
    <w:p w14:paraId="1792F312">
      <w:pPr>
        <w:pStyle w:val="30"/>
        <w:spacing w:line="480" w:lineRule="auto"/>
        <w:rPr>
          <w:b/>
          <w:color w:val="auto"/>
          <w:sz w:val="32"/>
          <w:szCs w:val="32"/>
        </w:rPr>
      </w:pPr>
      <w:r>
        <w:rPr>
          <w:rFonts w:hint="eastAsia" w:ascii="宋体" w:hAnsi="宋体" w:cs="宋体"/>
          <w:b/>
          <w:bCs/>
          <w:color w:val="auto"/>
          <w:sz w:val="24"/>
        </w:rPr>
        <w:fldChar w:fldCharType="end"/>
      </w:r>
    </w:p>
    <w:p w14:paraId="6579D2A3">
      <w:pPr>
        <w:spacing w:line="400" w:lineRule="exact"/>
        <w:rPr>
          <w:b/>
          <w:color w:val="auto"/>
          <w:sz w:val="32"/>
          <w:szCs w:val="32"/>
        </w:rPr>
        <w:sectPr>
          <w:footerReference r:id="rId6" w:type="default"/>
          <w:pgSz w:w="11911" w:h="16838"/>
          <w:pgMar w:top="1134" w:right="1417" w:bottom="1134" w:left="1417" w:header="720" w:footer="720" w:gutter="0"/>
          <w:pgNumType w:start="1"/>
          <w:cols w:space="720" w:num="1"/>
          <w:docGrid w:linePitch="312" w:charSpace="0"/>
        </w:sectPr>
      </w:pPr>
    </w:p>
    <w:p w14:paraId="1B22201B">
      <w:pPr>
        <w:pStyle w:val="6"/>
        <w:spacing w:before="360" w:after="360" w:line="400" w:lineRule="exact"/>
        <w:jc w:val="center"/>
        <w:rPr>
          <w:rFonts w:ascii="Calibri" w:hAnsi="Calibri"/>
          <w:color w:val="auto"/>
        </w:rPr>
      </w:pPr>
      <w:bookmarkStart w:id="12" w:name="_Toc18838"/>
      <w:bookmarkStart w:id="13" w:name="_Toc27000"/>
      <w:bookmarkStart w:id="14" w:name="_Toc11382"/>
      <w:bookmarkStart w:id="15" w:name="_Toc32264"/>
      <w:bookmarkStart w:id="16" w:name="_Toc11989"/>
      <w:bookmarkStart w:id="17" w:name="_Toc15624"/>
      <w:bookmarkStart w:id="18" w:name="_Toc12242"/>
      <w:bookmarkStart w:id="19" w:name="_Toc80886925"/>
      <w:r>
        <w:rPr>
          <w:rFonts w:hint="eastAsia" w:ascii="Calibri" w:hAnsi="Calibri"/>
          <w:color w:val="auto"/>
        </w:rPr>
        <w:t>第一章 竞争性磋商公告</w:t>
      </w:r>
      <w:bookmarkEnd w:id="12"/>
      <w:bookmarkEnd w:id="13"/>
      <w:bookmarkEnd w:id="14"/>
      <w:bookmarkEnd w:id="15"/>
      <w:bookmarkEnd w:id="16"/>
      <w:bookmarkEnd w:id="17"/>
      <w:bookmarkEnd w:id="18"/>
      <w:bookmarkEnd w:id="19"/>
      <w:bookmarkStart w:id="20" w:name="_Toc44229878"/>
      <w:bookmarkStart w:id="21" w:name="_Toc28359089"/>
      <w:bookmarkStart w:id="22" w:name="_Toc28359004"/>
      <w:bookmarkStart w:id="23" w:name="_Toc35393798"/>
      <w:bookmarkStart w:id="24" w:name="_Toc35393792"/>
      <w:bookmarkStart w:id="25" w:name="_Toc28359081"/>
      <w:bookmarkStart w:id="26" w:name="_Toc35393629"/>
      <w:bookmarkStart w:id="27" w:name="_Toc35393623"/>
      <w:bookmarkStart w:id="28" w:name="_Toc28359012"/>
    </w:p>
    <w:p w14:paraId="6F7A5B00">
      <w:pPr>
        <w:snapToGrid w:val="0"/>
        <w:spacing w:before="50" w:after="120" w:line="360" w:lineRule="auto"/>
        <w:ind w:firstLine="0" w:firstLineChars="0"/>
        <w:jc w:val="center"/>
        <w:rPr>
          <w:rFonts w:hint="eastAsia" w:ascii="宋体" w:hAnsi="宋体" w:cs="宋体"/>
          <w:b/>
          <w:bCs/>
          <w:color w:val="auto"/>
          <w:w w:val="95"/>
          <w:kern w:val="1"/>
          <w:sz w:val="30"/>
          <w:szCs w:val="30"/>
          <w:lang w:val="en-US" w:eastAsia="zh-CN"/>
        </w:rPr>
      </w:pPr>
      <w:r>
        <w:rPr>
          <w:rFonts w:hint="eastAsia" w:ascii="宋体" w:hAnsi="宋体" w:cs="宋体"/>
          <w:b/>
          <w:bCs/>
          <w:color w:val="auto"/>
          <w:w w:val="95"/>
          <w:kern w:val="1"/>
          <w:sz w:val="30"/>
          <w:szCs w:val="30"/>
        </w:rPr>
        <w:t>广西中启招标咨询有限公司关于</w:t>
      </w:r>
      <w:r>
        <w:rPr>
          <w:rFonts w:hint="eastAsia" w:ascii="宋体" w:hAnsi="宋体" w:eastAsia="宋体" w:cs="宋体"/>
          <w:b/>
          <w:bCs/>
          <w:color w:val="auto"/>
          <w:w w:val="95"/>
          <w:kern w:val="1"/>
          <w:sz w:val="30"/>
          <w:szCs w:val="30"/>
          <w:lang w:val="en-US" w:eastAsia="zh-CN"/>
        </w:rPr>
        <w:t>广西壮族自治区国家级自然保护区勘界立标基础设施建设项目</w:t>
      </w:r>
      <w:r>
        <w:rPr>
          <w:rFonts w:hint="eastAsia" w:ascii="宋体" w:hAnsi="宋体" w:cs="宋体"/>
          <w:b/>
          <w:bCs/>
          <w:color w:val="auto"/>
          <w:w w:val="95"/>
          <w:kern w:val="1"/>
          <w:sz w:val="30"/>
          <w:szCs w:val="30"/>
          <w:lang w:val="en-US" w:eastAsia="zh-CN"/>
        </w:rPr>
        <w:t>(项目建议书和可行性研究报告编制服务）</w:t>
      </w:r>
    </w:p>
    <w:p w14:paraId="684BEF80">
      <w:pPr>
        <w:snapToGrid w:val="0"/>
        <w:spacing w:before="50" w:after="120" w:line="360" w:lineRule="auto"/>
        <w:ind w:firstLine="0" w:firstLineChars="0"/>
        <w:jc w:val="center"/>
        <w:rPr>
          <w:rFonts w:hint="eastAsia" w:ascii="宋体" w:hAnsi="宋体" w:cs="宋体"/>
          <w:b/>
          <w:bCs/>
          <w:color w:val="auto"/>
          <w:w w:val="95"/>
          <w:kern w:val="1"/>
          <w:sz w:val="30"/>
          <w:szCs w:val="30"/>
        </w:rPr>
      </w:pPr>
      <w:r>
        <w:rPr>
          <w:rFonts w:hint="eastAsia" w:ascii="宋体" w:hAnsi="宋体" w:cs="宋体"/>
          <w:b/>
          <w:bCs/>
          <w:color w:val="auto"/>
          <w:w w:val="95"/>
          <w:kern w:val="1"/>
          <w:sz w:val="30"/>
          <w:szCs w:val="30"/>
        </w:rPr>
        <w:t>（项目编号：</w:t>
      </w:r>
      <w:r>
        <w:rPr>
          <w:rFonts w:hint="eastAsia" w:ascii="宋体" w:hAnsi="宋体" w:eastAsia="宋体" w:cs="宋体"/>
          <w:b/>
          <w:bCs/>
          <w:i w:val="0"/>
          <w:iCs w:val="0"/>
          <w:caps w:val="0"/>
          <w:color w:val="auto"/>
          <w:spacing w:val="0"/>
          <w:w w:val="95"/>
          <w:kern w:val="1"/>
          <w:sz w:val="30"/>
          <w:szCs w:val="30"/>
        </w:rPr>
        <w:t>GXZC2026-C3-002246-ZQZB</w:t>
      </w:r>
      <w:r>
        <w:rPr>
          <w:rFonts w:hint="eastAsia" w:ascii="宋体" w:hAnsi="宋体" w:cs="宋体"/>
          <w:b/>
          <w:bCs/>
          <w:color w:val="auto"/>
          <w:w w:val="95"/>
          <w:kern w:val="1"/>
          <w:sz w:val="30"/>
          <w:szCs w:val="30"/>
        </w:rPr>
        <w:t>）竞争性磋商公告</w:t>
      </w:r>
    </w:p>
    <w:p w14:paraId="3EAF1097">
      <w:pPr>
        <w:pStyle w:val="25"/>
        <w:rPr>
          <w:color w:val="auto"/>
        </w:rPr>
      </w:pPr>
    </w:p>
    <w:bookmarkEnd w:id="20"/>
    <w:bookmarkEnd w:id="21"/>
    <w:bookmarkEnd w:id="22"/>
    <w:bookmarkEnd w:id="23"/>
    <w:bookmarkEnd w:id="24"/>
    <w:bookmarkEnd w:id="25"/>
    <w:bookmarkEnd w:id="26"/>
    <w:bookmarkEnd w:id="27"/>
    <w:bookmarkEnd w:id="28"/>
    <w:p w14:paraId="44AAFCFD">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color w:val="auto"/>
          <w:szCs w:val="21"/>
        </w:rPr>
      </w:pPr>
      <w:bookmarkStart w:id="29" w:name="_Toc25520"/>
      <w:bookmarkStart w:id="30" w:name="_Toc26836"/>
      <w:bookmarkStart w:id="31" w:name="_Toc7184"/>
      <w:bookmarkStart w:id="32" w:name="_Toc22325"/>
      <w:bookmarkStart w:id="33" w:name="_Toc11093"/>
      <w:bookmarkStart w:id="34" w:name="_Toc80886926"/>
      <w:bookmarkStart w:id="35" w:name="_Toc9127"/>
      <w:bookmarkStart w:id="36" w:name="_Toc22760"/>
      <w:r>
        <w:rPr>
          <w:rFonts w:hint="eastAsia" w:ascii="宋体" w:hAnsi="宋体" w:cs="宋体"/>
          <w:color w:val="auto"/>
          <w:szCs w:val="21"/>
        </w:rPr>
        <w:t>项目概况</w:t>
      </w:r>
    </w:p>
    <w:p w14:paraId="30FBC46D">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color w:val="auto"/>
          <w:szCs w:val="21"/>
        </w:rPr>
      </w:pPr>
      <w:r>
        <w:rPr>
          <w:rFonts w:hint="eastAsia" w:ascii="宋体" w:hAnsi="宋体" w:cs="宋体"/>
          <w:color w:val="auto"/>
          <w:szCs w:val="21"/>
          <w:u w:val="none"/>
        </w:rPr>
        <w:t xml:space="preserve"> </w:t>
      </w:r>
      <w:r>
        <w:rPr>
          <w:rFonts w:hint="eastAsia" w:ascii="宋体" w:hAnsi="宋体" w:eastAsia="宋体" w:cs="宋体"/>
          <w:b w:val="0"/>
          <w:bCs w:val="0"/>
          <w:color w:val="auto"/>
          <w:w w:val="100"/>
          <w:kern w:val="2"/>
          <w:sz w:val="21"/>
          <w:szCs w:val="21"/>
          <w:u w:val="single"/>
          <w:lang w:val="en-US" w:eastAsia="zh-CN"/>
        </w:rPr>
        <w:t>广西壮族自治区国家级自然保护区勘界立标基础设施建设项目</w:t>
      </w:r>
      <w:r>
        <w:rPr>
          <w:rFonts w:hint="eastAsia" w:ascii="宋体" w:hAnsi="宋体" w:cs="宋体"/>
          <w:b w:val="0"/>
          <w:bCs w:val="0"/>
          <w:color w:val="auto"/>
          <w:w w:val="100"/>
          <w:kern w:val="2"/>
          <w:sz w:val="21"/>
          <w:szCs w:val="21"/>
          <w:u w:val="single"/>
          <w:lang w:val="en-US" w:eastAsia="zh-CN"/>
        </w:rPr>
        <w:t>(项目建议书和可行性研究报告编制服务）</w:t>
      </w:r>
      <w:r>
        <w:rPr>
          <w:rFonts w:hint="eastAsia" w:ascii="宋体" w:hAnsi="宋体" w:cs="宋体"/>
          <w:color w:val="auto"/>
          <w:szCs w:val="21"/>
          <w:u w:val="single"/>
        </w:rPr>
        <w:t xml:space="preserve"> </w:t>
      </w:r>
      <w:r>
        <w:rPr>
          <w:rFonts w:hint="eastAsia" w:ascii="宋体" w:hAnsi="宋体" w:cs="宋体"/>
          <w:color w:val="auto"/>
          <w:szCs w:val="21"/>
        </w:rPr>
        <w:t>的潜在供应商应在</w:t>
      </w:r>
      <w:r>
        <w:rPr>
          <w:rFonts w:hint="eastAsia" w:ascii="宋体" w:hAnsi="宋体" w:cs="宋体"/>
          <w:color w:val="auto"/>
          <w:szCs w:val="21"/>
          <w:u w:val="single"/>
        </w:rPr>
        <w:t>广西政府采购云平台（https://www.gcy.zfcg.gxzf.gov.cn/）</w:t>
      </w:r>
      <w:r>
        <w:rPr>
          <w:rFonts w:hint="eastAsia" w:ascii="宋体" w:hAnsi="宋体" w:cs="宋体"/>
          <w:color w:val="auto"/>
          <w:szCs w:val="21"/>
        </w:rPr>
        <w:t>获取（下载）竞争性磋商文件，并于</w:t>
      </w:r>
      <w:r>
        <w:rPr>
          <w:rFonts w:hint="eastAsia" w:ascii="宋体" w:hAnsi="宋体" w:cs="宋体"/>
          <w:color w:val="auto"/>
          <w:szCs w:val="21"/>
          <w:u w:val="single"/>
        </w:rPr>
        <w:t>2026年</w:t>
      </w:r>
      <w:r>
        <w:rPr>
          <w:rFonts w:hint="eastAsia" w:ascii="宋体" w:hAnsi="宋体" w:cs="宋体"/>
          <w:color w:val="auto"/>
          <w:szCs w:val="21"/>
          <w:u w:val="single"/>
          <w:lang w:val="en-US" w:eastAsia="zh-CN"/>
        </w:rPr>
        <w:t>7</w:t>
      </w:r>
      <w:r>
        <w:rPr>
          <w:rFonts w:hint="eastAsia" w:ascii="宋体" w:hAnsi="宋体" w:cs="宋体"/>
          <w:color w:val="auto"/>
          <w:szCs w:val="21"/>
          <w:u w:val="single"/>
        </w:rPr>
        <w:t>月</w:t>
      </w:r>
      <w:r>
        <w:rPr>
          <w:rFonts w:hint="eastAsia" w:ascii="宋体" w:hAnsi="宋体" w:cs="宋体"/>
          <w:color w:val="auto"/>
          <w:szCs w:val="21"/>
          <w:u w:val="single"/>
          <w:lang w:val="en-US" w:eastAsia="zh-CN"/>
        </w:rPr>
        <w:t>24</w:t>
      </w:r>
      <w:r>
        <w:rPr>
          <w:rFonts w:hint="eastAsia" w:ascii="宋体" w:hAnsi="宋体" w:cs="宋体"/>
          <w:color w:val="auto"/>
          <w:szCs w:val="21"/>
          <w:u w:val="single"/>
        </w:rPr>
        <w:t>日</w:t>
      </w:r>
      <w:r>
        <w:rPr>
          <w:rFonts w:hint="eastAsia" w:ascii="宋体" w:hAnsi="宋体" w:cs="宋体"/>
          <w:color w:val="auto"/>
          <w:szCs w:val="21"/>
          <w:u w:val="single"/>
          <w:lang w:val="en-US" w:eastAsia="zh-CN"/>
        </w:rPr>
        <w:t>9</w:t>
      </w:r>
      <w:r>
        <w:rPr>
          <w:rFonts w:hint="eastAsia" w:ascii="宋体" w:hAnsi="宋体" w:cs="宋体"/>
          <w:color w:val="auto"/>
          <w:szCs w:val="21"/>
          <w:u w:val="single"/>
        </w:rPr>
        <w:t xml:space="preserve"> </w:t>
      </w:r>
      <w:r>
        <w:rPr>
          <w:rFonts w:hint="eastAsia" w:ascii="宋体" w:hAnsi="宋体" w:cs="宋体"/>
          <w:bCs/>
          <w:color w:val="auto"/>
          <w:szCs w:val="21"/>
          <w:u w:val="single"/>
        </w:rPr>
        <w:t>时</w:t>
      </w:r>
      <w:r>
        <w:rPr>
          <w:rFonts w:hint="eastAsia" w:ascii="宋体" w:hAnsi="宋体" w:cs="宋体"/>
          <w:bCs/>
          <w:color w:val="auto"/>
          <w:szCs w:val="21"/>
          <w:u w:val="single"/>
          <w:lang w:val="en-US" w:eastAsia="zh-CN"/>
        </w:rPr>
        <w:t>30</w:t>
      </w:r>
      <w:r>
        <w:rPr>
          <w:rFonts w:hint="eastAsia" w:ascii="宋体" w:hAnsi="宋体" w:cs="宋体"/>
          <w:bCs/>
          <w:color w:val="auto"/>
          <w:szCs w:val="21"/>
          <w:u w:val="single"/>
        </w:rPr>
        <w:t>分</w:t>
      </w:r>
      <w:r>
        <w:rPr>
          <w:rFonts w:hint="eastAsia" w:ascii="宋体" w:hAnsi="宋体" w:cs="宋体"/>
          <w:bCs/>
          <w:color w:val="auto"/>
          <w:szCs w:val="21"/>
        </w:rPr>
        <w:t>（北京时间）前提交（上传）</w:t>
      </w:r>
      <w:r>
        <w:rPr>
          <w:rFonts w:hint="eastAsia" w:ascii="宋体" w:hAnsi="宋体" w:cs="宋体"/>
          <w:color w:val="auto"/>
          <w:szCs w:val="21"/>
        </w:rPr>
        <w:t>响应</w:t>
      </w:r>
      <w:r>
        <w:rPr>
          <w:rFonts w:hint="eastAsia" w:ascii="宋体" w:hAnsi="宋体" w:cs="宋体"/>
          <w:bCs/>
          <w:color w:val="auto"/>
          <w:szCs w:val="21"/>
        </w:rPr>
        <w:t>文件</w:t>
      </w:r>
      <w:r>
        <w:rPr>
          <w:rFonts w:hint="eastAsia" w:ascii="宋体" w:hAnsi="宋体" w:cs="宋体"/>
          <w:color w:val="auto"/>
          <w:szCs w:val="21"/>
        </w:rPr>
        <w:t>。</w:t>
      </w:r>
    </w:p>
    <w:p w14:paraId="211A42F6">
      <w:pPr>
        <w:spacing w:line="360" w:lineRule="auto"/>
        <w:rPr>
          <w:rFonts w:hint="eastAsia" w:ascii="宋体" w:hAnsi="宋体" w:cs="宋体"/>
          <w:color w:val="auto"/>
          <w:szCs w:val="21"/>
        </w:rPr>
      </w:pPr>
    </w:p>
    <w:p w14:paraId="1D9BD9A3">
      <w:pPr>
        <w:spacing w:line="360" w:lineRule="auto"/>
        <w:ind w:firstLine="361" w:firstLineChars="150"/>
        <w:rPr>
          <w:rFonts w:hint="eastAsia" w:ascii="宋体" w:hAnsi="宋体" w:cs="宋体"/>
          <w:b/>
          <w:bCs/>
          <w:color w:val="auto"/>
          <w:sz w:val="24"/>
        </w:rPr>
      </w:pPr>
      <w:bookmarkStart w:id="37" w:name="_Toc71365362"/>
      <w:bookmarkStart w:id="38" w:name="_Toc71366040"/>
      <w:r>
        <w:rPr>
          <w:rFonts w:hint="eastAsia" w:ascii="宋体" w:hAnsi="宋体" w:cs="宋体"/>
          <w:b/>
          <w:bCs/>
          <w:color w:val="auto"/>
          <w:sz w:val="24"/>
        </w:rPr>
        <w:t>一、项目基本情况</w:t>
      </w:r>
      <w:bookmarkEnd w:id="37"/>
      <w:bookmarkEnd w:id="38"/>
    </w:p>
    <w:p w14:paraId="67A284C2">
      <w:pPr>
        <w:snapToGrid w:val="0"/>
        <w:spacing w:before="50" w:after="120" w:line="360" w:lineRule="auto"/>
        <w:ind w:firstLine="420" w:firstLineChars="200"/>
        <w:rPr>
          <w:rFonts w:hint="eastAsia" w:ascii="宋体" w:hAnsi="宋体" w:cs="宋体"/>
          <w:color w:val="auto"/>
          <w:szCs w:val="21"/>
        </w:rPr>
      </w:pPr>
      <w:r>
        <w:rPr>
          <w:rFonts w:hint="eastAsia" w:ascii="宋体" w:hAnsi="宋体" w:cs="宋体"/>
          <w:color w:val="auto"/>
          <w:szCs w:val="21"/>
        </w:rPr>
        <w:t>项目编号：</w:t>
      </w:r>
      <w:r>
        <w:rPr>
          <w:rFonts w:hint="eastAsia" w:ascii="宋体" w:hAnsi="宋体" w:eastAsia="宋体" w:cs="宋体"/>
          <w:b w:val="0"/>
          <w:bCs w:val="0"/>
          <w:i w:val="0"/>
          <w:iCs w:val="0"/>
          <w:caps w:val="0"/>
          <w:color w:val="auto"/>
          <w:spacing w:val="0"/>
          <w:w w:val="100"/>
          <w:kern w:val="2"/>
          <w:sz w:val="21"/>
          <w:szCs w:val="21"/>
        </w:rPr>
        <w:t>GXZC2026-C3-002246-ZQZB</w:t>
      </w:r>
    </w:p>
    <w:p w14:paraId="69D87F5C">
      <w:pPr>
        <w:snapToGrid w:val="0"/>
        <w:spacing w:before="50" w:after="120" w:line="360" w:lineRule="auto"/>
        <w:ind w:firstLine="420" w:firstLineChars="200"/>
        <w:rPr>
          <w:rFonts w:hint="eastAsia" w:ascii="宋体" w:hAnsi="宋体" w:cs="宋体"/>
          <w:b w:val="0"/>
          <w:bCs w:val="0"/>
          <w:color w:val="auto"/>
          <w:w w:val="100"/>
          <w:kern w:val="2"/>
          <w:sz w:val="21"/>
          <w:szCs w:val="21"/>
          <w:lang w:val="en-US" w:eastAsia="zh-CN"/>
        </w:rPr>
      </w:pPr>
      <w:r>
        <w:rPr>
          <w:rFonts w:hint="eastAsia" w:ascii="宋体" w:hAnsi="宋体" w:cs="宋体"/>
          <w:color w:val="auto"/>
          <w:szCs w:val="21"/>
        </w:rPr>
        <w:t>项目名称：</w:t>
      </w:r>
      <w:r>
        <w:rPr>
          <w:rFonts w:hint="eastAsia" w:ascii="宋体" w:hAnsi="宋体" w:eastAsia="宋体" w:cs="宋体"/>
          <w:b w:val="0"/>
          <w:bCs w:val="0"/>
          <w:color w:val="auto"/>
          <w:w w:val="100"/>
          <w:kern w:val="2"/>
          <w:sz w:val="21"/>
          <w:szCs w:val="21"/>
          <w:lang w:val="en-US" w:eastAsia="zh-CN"/>
        </w:rPr>
        <w:t>广西壮族自治区国家级自然保护区勘界立标基础设施建设项目</w:t>
      </w:r>
      <w:r>
        <w:rPr>
          <w:rFonts w:hint="eastAsia" w:ascii="宋体" w:hAnsi="宋体" w:cs="宋体"/>
          <w:b w:val="0"/>
          <w:bCs w:val="0"/>
          <w:color w:val="auto"/>
          <w:w w:val="100"/>
          <w:kern w:val="2"/>
          <w:sz w:val="21"/>
          <w:szCs w:val="21"/>
          <w:lang w:val="en-US" w:eastAsia="zh-CN"/>
        </w:rPr>
        <w:t>(项目建议书和可行性研究报告编制服务）</w:t>
      </w:r>
    </w:p>
    <w:p w14:paraId="7AA1F583">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采购方式：竞争性磋商</w:t>
      </w:r>
    </w:p>
    <w:p w14:paraId="35F8A770">
      <w:pPr>
        <w:spacing w:line="360" w:lineRule="auto"/>
        <w:ind w:firstLine="420" w:firstLineChars="200"/>
        <w:rPr>
          <w:rFonts w:hint="eastAsia" w:ascii="宋体" w:hAnsi="宋体" w:cs="宋体"/>
          <w:color w:val="auto"/>
        </w:rPr>
      </w:pPr>
      <w:r>
        <w:rPr>
          <w:rFonts w:hint="eastAsia" w:ascii="宋体" w:hAnsi="宋体" w:cs="宋体"/>
          <w:color w:val="auto"/>
        </w:rPr>
        <w:t>预算金额：</w:t>
      </w:r>
      <w:r>
        <w:rPr>
          <w:rFonts w:hint="eastAsia" w:ascii="宋体" w:hAnsi="宋体" w:cs="宋体"/>
          <w:color w:val="auto"/>
          <w:lang w:val="en-US" w:eastAsia="zh-CN"/>
        </w:rPr>
        <w:t>141.00</w:t>
      </w:r>
      <w:r>
        <w:rPr>
          <w:rFonts w:hint="eastAsia" w:ascii="宋体" w:hAnsi="宋体" w:cs="宋体"/>
          <w:color w:val="auto"/>
        </w:rPr>
        <w:t>万元</w:t>
      </w:r>
    </w:p>
    <w:p w14:paraId="54773FDF">
      <w:pPr>
        <w:spacing w:line="360" w:lineRule="auto"/>
        <w:ind w:firstLine="420" w:firstLineChars="200"/>
        <w:rPr>
          <w:rFonts w:hint="eastAsia" w:ascii="宋体" w:hAnsi="宋体" w:cs="宋体"/>
          <w:color w:val="auto"/>
        </w:rPr>
      </w:pPr>
      <w:r>
        <w:rPr>
          <w:rFonts w:hint="eastAsia" w:ascii="宋体" w:hAnsi="宋体" w:cs="宋体"/>
          <w:color w:val="auto"/>
        </w:rPr>
        <w:t>最高限价（如有）：</w:t>
      </w:r>
      <w:r>
        <w:rPr>
          <w:rFonts w:hint="eastAsia" w:ascii="宋体" w:hAnsi="宋体" w:cs="宋体"/>
          <w:color w:val="auto"/>
          <w:lang w:val="en-US" w:eastAsia="zh-CN"/>
        </w:rPr>
        <w:t>141.00</w:t>
      </w:r>
      <w:r>
        <w:rPr>
          <w:rFonts w:hint="eastAsia" w:ascii="宋体" w:hAnsi="宋体" w:cs="宋体"/>
          <w:color w:val="auto"/>
        </w:rPr>
        <w:t>万元</w:t>
      </w:r>
    </w:p>
    <w:p w14:paraId="0F0BB75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 xml:space="preserve">采购需求： </w:t>
      </w:r>
    </w:p>
    <w:tbl>
      <w:tblPr>
        <w:tblStyle w:val="34"/>
        <w:tblW w:w="867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8"/>
        <w:gridCol w:w="2215"/>
        <w:gridCol w:w="1274"/>
        <w:gridCol w:w="4635"/>
      </w:tblGrid>
      <w:tr w14:paraId="367031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548" w:type="dxa"/>
            <w:tcBorders>
              <w:top w:val="single" w:color="auto" w:sz="4" w:space="0"/>
              <w:left w:val="single" w:color="auto" w:sz="4" w:space="0"/>
              <w:bottom w:val="single" w:color="auto" w:sz="4" w:space="0"/>
              <w:right w:val="single" w:color="auto" w:sz="4" w:space="0"/>
            </w:tcBorders>
            <w:vAlign w:val="center"/>
          </w:tcPr>
          <w:p w14:paraId="3E2D22FA">
            <w:pPr>
              <w:snapToGrid w:val="0"/>
              <w:spacing w:line="360" w:lineRule="auto"/>
              <w:jc w:val="center"/>
              <w:rPr>
                <w:rFonts w:hint="eastAsia" w:ascii="宋体" w:hAnsi="宋体" w:cs="宋体"/>
                <w:color w:val="auto"/>
                <w:szCs w:val="21"/>
              </w:rPr>
            </w:pPr>
            <w:r>
              <w:rPr>
                <w:rFonts w:hint="eastAsia" w:ascii="宋体" w:hAnsi="宋体" w:cs="宋体"/>
                <w:color w:val="auto"/>
                <w:szCs w:val="21"/>
              </w:rPr>
              <w:t>序号</w:t>
            </w:r>
          </w:p>
        </w:tc>
        <w:tc>
          <w:tcPr>
            <w:tcW w:w="2215" w:type="dxa"/>
            <w:tcBorders>
              <w:top w:val="single" w:color="auto" w:sz="4" w:space="0"/>
              <w:left w:val="single" w:color="auto" w:sz="4" w:space="0"/>
              <w:bottom w:val="single" w:color="auto" w:sz="4" w:space="0"/>
              <w:right w:val="single" w:color="auto" w:sz="4" w:space="0"/>
            </w:tcBorders>
            <w:vAlign w:val="center"/>
          </w:tcPr>
          <w:p w14:paraId="6EBC5908">
            <w:pPr>
              <w:snapToGrid w:val="0"/>
              <w:spacing w:line="360" w:lineRule="auto"/>
              <w:jc w:val="center"/>
              <w:rPr>
                <w:rFonts w:hint="eastAsia" w:ascii="宋体" w:hAnsi="宋体" w:cs="宋体"/>
                <w:color w:val="auto"/>
                <w:szCs w:val="21"/>
              </w:rPr>
            </w:pPr>
            <w:r>
              <w:rPr>
                <w:rFonts w:hint="eastAsia" w:ascii="宋体" w:hAnsi="宋体" w:cs="宋体"/>
                <w:color w:val="auto"/>
                <w:szCs w:val="21"/>
              </w:rPr>
              <w:t>标的名称</w:t>
            </w:r>
          </w:p>
        </w:tc>
        <w:tc>
          <w:tcPr>
            <w:tcW w:w="1274" w:type="dxa"/>
            <w:tcBorders>
              <w:top w:val="single" w:color="auto" w:sz="4" w:space="0"/>
              <w:left w:val="single" w:color="auto" w:sz="4" w:space="0"/>
              <w:bottom w:val="single" w:color="auto" w:sz="4" w:space="0"/>
              <w:right w:val="single" w:color="auto" w:sz="4" w:space="0"/>
            </w:tcBorders>
            <w:vAlign w:val="center"/>
          </w:tcPr>
          <w:p w14:paraId="36045B81">
            <w:pPr>
              <w:snapToGrid w:val="0"/>
              <w:jc w:val="center"/>
              <w:rPr>
                <w:rFonts w:hint="eastAsia" w:ascii="宋体" w:hAnsi="宋体" w:cs="宋体"/>
                <w:color w:val="auto"/>
                <w:szCs w:val="21"/>
              </w:rPr>
            </w:pPr>
            <w:r>
              <w:rPr>
                <w:rFonts w:hint="eastAsia" w:ascii="宋体" w:hAnsi="宋体" w:cs="宋体"/>
                <w:color w:val="auto"/>
                <w:szCs w:val="21"/>
              </w:rPr>
              <w:t>数量及单位</w:t>
            </w:r>
          </w:p>
        </w:tc>
        <w:tc>
          <w:tcPr>
            <w:tcW w:w="4635" w:type="dxa"/>
            <w:tcBorders>
              <w:top w:val="single" w:color="auto" w:sz="4" w:space="0"/>
              <w:left w:val="single" w:color="auto" w:sz="4" w:space="0"/>
              <w:bottom w:val="single" w:color="auto" w:sz="4" w:space="0"/>
              <w:right w:val="single" w:color="auto" w:sz="4" w:space="0"/>
            </w:tcBorders>
            <w:vAlign w:val="center"/>
          </w:tcPr>
          <w:p w14:paraId="0AA6CB1E">
            <w:pPr>
              <w:snapToGrid w:val="0"/>
              <w:spacing w:line="360" w:lineRule="auto"/>
              <w:jc w:val="center"/>
              <w:rPr>
                <w:rFonts w:hint="eastAsia" w:ascii="宋体" w:hAnsi="宋体" w:cs="宋体"/>
                <w:color w:val="auto"/>
                <w:szCs w:val="21"/>
              </w:rPr>
            </w:pPr>
            <w:r>
              <w:rPr>
                <w:rFonts w:hint="eastAsia" w:ascii="宋体" w:hAnsi="宋体" w:cs="宋体"/>
                <w:color w:val="auto"/>
                <w:szCs w:val="21"/>
              </w:rPr>
              <w:t>简要技术需求或者服务物要求</w:t>
            </w:r>
          </w:p>
        </w:tc>
      </w:tr>
      <w:tr w14:paraId="561DB0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548" w:type="dxa"/>
            <w:tcBorders>
              <w:top w:val="single" w:color="auto" w:sz="4" w:space="0"/>
              <w:left w:val="single" w:color="auto" w:sz="4" w:space="0"/>
              <w:bottom w:val="single" w:color="auto" w:sz="4" w:space="0"/>
              <w:right w:val="single" w:color="auto" w:sz="4" w:space="0"/>
            </w:tcBorders>
            <w:vAlign w:val="center"/>
          </w:tcPr>
          <w:p w14:paraId="0ABDBA3E">
            <w:pPr>
              <w:snapToGrid w:val="0"/>
              <w:jc w:val="center"/>
              <w:rPr>
                <w:rFonts w:hint="eastAsia" w:ascii="宋体" w:hAnsi="宋体" w:cs="宋体"/>
                <w:color w:val="auto"/>
                <w:szCs w:val="21"/>
              </w:rPr>
            </w:pPr>
            <w:r>
              <w:rPr>
                <w:rFonts w:hint="eastAsia" w:ascii="宋体" w:hAnsi="宋体" w:cs="宋体"/>
                <w:color w:val="auto"/>
                <w:szCs w:val="21"/>
              </w:rPr>
              <w:t>1</w:t>
            </w:r>
          </w:p>
        </w:tc>
        <w:tc>
          <w:tcPr>
            <w:tcW w:w="2215" w:type="dxa"/>
            <w:tcBorders>
              <w:top w:val="single" w:color="auto" w:sz="4" w:space="0"/>
              <w:left w:val="single" w:color="auto" w:sz="4" w:space="0"/>
              <w:bottom w:val="single" w:color="auto" w:sz="4" w:space="0"/>
              <w:right w:val="single" w:color="auto" w:sz="4" w:space="0"/>
            </w:tcBorders>
            <w:vAlign w:val="center"/>
          </w:tcPr>
          <w:p w14:paraId="7F725D5F">
            <w:pPr>
              <w:snapToGrid w:val="0"/>
              <w:spacing w:line="360" w:lineRule="auto"/>
              <w:jc w:val="center"/>
              <w:rPr>
                <w:rFonts w:hint="eastAsia" w:ascii="宋体" w:hAnsi="宋体" w:cs="宋体"/>
                <w:color w:val="auto"/>
                <w:szCs w:val="21"/>
              </w:rPr>
            </w:pPr>
            <w:r>
              <w:rPr>
                <w:rFonts w:hint="eastAsia" w:ascii="宋体" w:hAnsi="宋体" w:eastAsia="宋体" w:cs="宋体"/>
                <w:b w:val="0"/>
                <w:bCs w:val="0"/>
                <w:color w:val="auto"/>
                <w:w w:val="100"/>
                <w:kern w:val="2"/>
                <w:sz w:val="21"/>
                <w:szCs w:val="21"/>
                <w:lang w:val="en-US" w:eastAsia="zh-CN"/>
              </w:rPr>
              <w:t>广西壮族自治区国家级自然保护区勘界立标基础设施建设项目</w:t>
            </w:r>
            <w:r>
              <w:rPr>
                <w:rFonts w:hint="eastAsia" w:ascii="宋体" w:hAnsi="宋体" w:cs="宋体"/>
                <w:b w:val="0"/>
                <w:bCs w:val="0"/>
                <w:color w:val="auto"/>
                <w:w w:val="100"/>
                <w:kern w:val="2"/>
                <w:sz w:val="21"/>
                <w:szCs w:val="21"/>
                <w:lang w:val="en-US" w:eastAsia="zh-CN"/>
              </w:rPr>
              <w:t>(项目建议书和可行性研究报告编制服务）</w:t>
            </w:r>
          </w:p>
        </w:tc>
        <w:tc>
          <w:tcPr>
            <w:tcW w:w="1274" w:type="dxa"/>
            <w:tcBorders>
              <w:top w:val="single" w:color="auto" w:sz="4" w:space="0"/>
              <w:left w:val="single" w:color="auto" w:sz="4" w:space="0"/>
              <w:bottom w:val="single" w:color="auto" w:sz="4" w:space="0"/>
              <w:right w:val="single" w:color="auto" w:sz="4" w:space="0"/>
            </w:tcBorders>
            <w:vAlign w:val="center"/>
          </w:tcPr>
          <w:p w14:paraId="3B1C7BF0">
            <w:pPr>
              <w:snapToGrid w:val="0"/>
              <w:spacing w:line="300" w:lineRule="exact"/>
              <w:jc w:val="center"/>
              <w:rPr>
                <w:rFonts w:hint="eastAsia" w:ascii="宋体" w:hAnsi="宋体" w:cs="宋体"/>
                <w:color w:val="auto"/>
                <w:szCs w:val="21"/>
              </w:rPr>
            </w:pPr>
            <w:r>
              <w:rPr>
                <w:rFonts w:hint="eastAsia" w:ascii="宋体" w:hAnsi="宋体" w:cs="宋体"/>
                <w:bCs/>
                <w:color w:val="auto"/>
                <w:szCs w:val="21"/>
              </w:rPr>
              <w:t>1项</w:t>
            </w:r>
          </w:p>
        </w:tc>
        <w:tc>
          <w:tcPr>
            <w:tcW w:w="4635" w:type="dxa"/>
            <w:tcBorders>
              <w:top w:val="single" w:color="auto" w:sz="4" w:space="0"/>
              <w:left w:val="single" w:color="auto" w:sz="4" w:space="0"/>
              <w:bottom w:val="single" w:color="auto" w:sz="4" w:space="0"/>
              <w:right w:val="single" w:color="auto" w:sz="4" w:space="0"/>
            </w:tcBorders>
            <w:vAlign w:val="center"/>
          </w:tcPr>
          <w:p w14:paraId="30872A1B">
            <w:pPr>
              <w:snapToGrid w:val="0"/>
              <w:spacing w:line="360" w:lineRule="auto"/>
              <w:jc w:val="left"/>
              <w:rPr>
                <w:rFonts w:hint="eastAsia" w:ascii="宋体" w:hAnsi="宋体" w:cs="宋体"/>
                <w:color w:val="auto"/>
                <w:szCs w:val="21"/>
              </w:rPr>
            </w:pPr>
            <w:r>
              <w:rPr>
                <w:rFonts w:hint="eastAsia" w:ascii="宋体" w:hAnsi="宋体" w:cs="宋体"/>
                <w:color w:val="auto"/>
                <w:szCs w:val="21"/>
              </w:rPr>
              <w:t xml:space="preserve">   </w:t>
            </w:r>
            <w:r>
              <w:rPr>
                <w:rFonts w:hint="default" w:ascii="宋体" w:hAnsi="宋体" w:eastAsia="宋体" w:cs="宋体"/>
                <w:color w:val="auto"/>
                <w:szCs w:val="21"/>
                <w:lang w:val="en-US" w:eastAsia="zh-CN"/>
              </w:rPr>
              <w:t>开展广西23个国家级自然保护区勘界立标</w:t>
            </w:r>
            <w:r>
              <w:rPr>
                <w:rFonts w:hint="eastAsia" w:ascii="宋体" w:hAnsi="宋体" w:eastAsia="宋体" w:cs="宋体"/>
                <w:color w:val="auto"/>
                <w:szCs w:val="21"/>
                <w:lang w:val="en-US" w:eastAsia="zh-CN"/>
              </w:rPr>
              <w:t>项目建议书及可行性研究报告编制</w:t>
            </w:r>
            <w:r>
              <w:rPr>
                <w:rFonts w:hint="default" w:ascii="宋体" w:hAnsi="宋体" w:eastAsia="宋体" w:cs="宋体"/>
                <w:color w:val="auto"/>
                <w:szCs w:val="21"/>
                <w:highlight w:val="none"/>
                <w:lang w:val="en-US" w:eastAsia="zh-CN"/>
              </w:rPr>
              <w:t>工作</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w:t>
            </w:r>
            <w:r>
              <w:rPr>
                <w:rFonts w:hint="eastAsia" w:ascii="宋体" w:hAnsi="宋体" w:cs="宋体"/>
                <w:color w:val="auto"/>
                <w:szCs w:val="21"/>
                <w:highlight w:val="none"/>
              </w:rPr>
              <w:t>如</w:t>
            </w:r>
            <w:r>
              <w:rPr>
                <w:rFonts w:hint="eastAsia" w:ascii="宋体" w:hAnsi="宋体" w:cs="宋体"/>
                <w:color w:val="auto"/>
                <w:szCs w:val="21"/>
              </w:rPr>
              <w:t>需进一步了解详细内容，详见竞争性磋商文件。</w:t>
            </w:r>
          </w:p>
        </w:tc>
      </w:tr>
    </w:tbl>
    <w:p w14:paraId="2C4BDE55">
      <w:pPr>
        <w:numPr>
          <w:ilvl w:val="0"/>
          <w:numId w:val="0"/>
        </w:numPr>
        <w:wordWrap w:val="0"/>
        <w:adjustRightInd w:val="0"/>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合同履行期限：</w:t>
      </w:r>
      <w:r>
        <w:rPr>
          <w:rFonts w:hint="eastAsia" w:ascii="宋体" w:hAnsi="宋体" w:eastAsia="宋体" w:cs="宋体"/>
          <w:color w:val="auto"/>
          <w:szCs w:val="21"/>
          <w:lang w:val="en-US" w:eastAsia="zh-CN"/>
        </w:rPr>
        <w:t>自</w:t>
      </w:r>
      <w:r>
        <w:rPr>
          <w:rFonts w:hint="eastAsia" w:ascii="宋体" w:hAnsi="宋体" w:eastAsia="宋体" w:cs="宋体"/>
          <w:color w:val="auto"/>
          <w:sz w:val="21"/>
          <w:szCs w:val="21"/>
          <w:lang w:val="en-US" w:eastAsia="zh-CN"/>
        </w:rPr>
        <w:t>合同签订之日起至2026年</w:t>
      </w:r>
      <w:r>
        <w:rPr>
          <w:rFonts w:hint="eastAsia" w:ascii="宋体" w:hAnsi="宋体" w:cs="宋体"/>
          <w:color w:val="auto"/>
          <w:sz w:val="21"/>
          <w:szCs w:val="21"/>
          <w:lang w:val="en-US" w:eastAsia="zh-CN"/>
        </w:rPr>
        <w:t>9</w:t>
      </w:r>
      <w:r>
        <w:rPr>
          <w:rFonts w:hint="eastAsia" w:ascii="宋体" w:hAnsi="宋体" w:eastAsia="宋体" w:cs="宋体"/>
          <w:color w:val="auto"/>
          <w:sz w:val="21"/>
          <w:szCs w:val="21"/>
          <w:lang w:val="en-US" w:eastAsia="zh-CN"/>
        </w:rPr>
        <w:t>月30日，提交成果</w:t>
      </w:r>
      <w:r>
        <w:rPr>
          <w:rFonts w:hint="eastAsia" w:ascii="宋体" w:hAnsi="宋体" w:eastAsia="宋体" w:cs="宋体"/>
          <w:color w:val="auto"/>
          <w:sz w:val="21"/>
          <w:szCs w:val="21"/>
          <w:highlight w:val="none"/>
          <w:lang w:val="en-US" w:eastAsia="zh-CN"/>
        </w:rPr>
        <w:t>并通过</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lang w:val="en-US" w:eastAsia="zh-CN"/>
        </w:rPr>
        <w:t>内部验收。</w:t>
      </w:r>
    </w:p>
    <w:p w14:paraId="3302D86D">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本项目不接受联合体</w:t>
      </w:r>
      <w:r>
        <w:rPr>
          <w:rFonts w:hint="eastAsia" w:ascii="宋体" w:hAnsi="宋体" w:cs="宋体"/>
          <w:color w:val="auto"/>
          <w:szCs w:val="21"/>
          <w:highlight w:val="none"/>
          <w:lang w:val="en-US" w:eastAsia="zh-CN"/>
        </w:rPr>
        <w:t>竞标</w:t>
      </w:r>
      <w:r>
        <w:rPr>
          <w:rFonts w:hint="eastAsia" w:ascii="宋体" w:hAnsi="宋体" w:cs="宋体"/>
          <w:color w:val="auto"/>
          <w:szCs w:val="21"/>
          <w:highlight w:val="none"/>
        </w:rPr>
        <w:t>。</w:t>
      </w:r>
    </w:p>
    <w:p w14:paraId="73B41A15">
      <w:pPr>
        <w:spacing w:line="400" w:lineRule="exact"/>
        <w:ind w:firstLine="420"/>
        <w:rPr>
          <w:rFonts w:hint="eastAsia" w:ascii="宋体" w:hAnsi="宋体" w:cs="宋体"/>
          <w:b/>
          <w:bCs/>
          <w:color w:val="auto"/>
          <w:sz w:val="24"/>
        </w:rPr>
      </w:pPr>
      <w:bookmarkStart w:id="39" w:name="_Toc28359013"/>
      <w:bookmarkStart w:id="40" w:name="_Toc71365363"/>
      <w:bookmarkStart w:id="41" w:name="_Toc28359090"/>
      <w:bookmarkStart w:id="42" w:name="_Toc35393799"/>
      <w:bookmarkStart w:id="43" w:name="_Toc71366041"/>
      <w:bookmarkStart w:id="44" w:name="_Toc35393630"/>
      <w:r>
        <w:rPr>
          <w:rFonts w:hint="eastAsia" w:ascii="宋体" w:hAnsi="宋体" w:cs="宋体"/>
          <w:b/>
          <w:bCs/>
          <w:color w:val="auto"/>
          <w:sz w:val="24"/>
        </w:rPr>
        <w:t>二、供应商的资格条件：</w:t>
      </w:r>
      <w:bookmarkEnd w:id="39"/>
      <w:bookmarkEnd w:id="40"/>
      <w:bookmarkEnd w:id="41"/>
      <w:bookmarkEnd w:id="42"/>
      <w:bookmarkEnd w:id="43"/>
      <w:bookmarkEnd w:id="44"/>
    </w:p>
    <w:p w14:paraId="0F170224">
      <w:pPr>
        <w:spacing w:line="400" w:lineRule="exact"/>
        <w:ind w:firstLine="420" w:firstLineChars="200"/>
        <w:rPr>
          <w:rFonts w:hint="eastAsia" w:ascii="宋体" w:hAnsi="宋体" w:cs="宋体"/>
          <w:color w:val="auto"/>
          <w:szCs w:val="21"/>
        </w:rPr>
      </w:pPr>
      <w:bookmarkStart w:id="45" w:name="_Toc28359091"/>
      <w:bookmarkStart w:id="46" w:name="_Toc28359014"/>
      <w:r>
        <w:rPr>
          <w:rFonts w:hint="eastAsia" w:ascii="宋体" w:hAnsi="宋体" w:cs="宋体"/>
          <w:color w:val="auto"/>
          <w:szCs w:val="21"/>
        </w:rPr>
        <w:t>1.满足《中华人民共和国政府采购法》第二十二条规定；</w:t>
      </w:r>
    </w:p>
    <w:p w14:paraId="0C500685">
      <w:pPr>
        <w:spacing w:line="360" w:lineRule="exact"/>
        <w:ind w:firstLine="420" w:firstLineChars="200"/>
        <w:rPr>
          <w:rFonts w:hint="eastAsia" w:ascii="宋体" w:hAnsi="宋体" w:cs="宋体"/>
          <w:color w:val="auto"/>
          <w:szCs w:val="21"/>
        </w:rPr>
      </w:pPr>
      <w:r>
        <w:rPr>
          <w:rFonts w:hint="eastAsia" w:ascii="宋体" w:hAnsi="宋体" w:cs="宋体"/>
          <w:color w:val="auto"/>
          <w:szCs w:val="21"/>
        </w:rPr>
        <w:t>2.落实政府采购政策需满足的资格要求：</w:t>
      </w:r>
    </w:p>
    <w:p w14:paraId="36EF7683">
      <w:pPr>
        <w:spacing w:line="360" w:lineRule="exact"/>
        <w:ind w:firstLine="420" w:firstLineChars="200"/>
        <w:rPr>
          <w:rFonts w:hint="eastAsia" w:ascii="宋体" w:hAnsi="宋体" w:cs="宋体"/>
          <w:bCs/>
          <w:color w:val="auto"/>
          <w:kern w:val="0"/>
          <w:szCs w:val="21"/>
        </w:rPr>
      </w:pPr>
      <w:r>
        <w:rPr>
          <w:rFonts w:hint="eastAsia" w:ascii="宋体" w:hAnsi="宋体" w:cs="宋体"/>
          <w:bCs/>
          <w:color w:val="auto"/>
          <w:kern w:val="0"/>
          <w:szCs w:val="21"/>
        </w:rPr>
        <w:t>☑专门面向</w:t>
      </w:r>
      <w:r>
        <w:rPr>
          <w:rFonts w:hint="eastAsia" w:ascii="宋体" w:hAnsi="宋体" w:cs="宋体"/>
          <w:bCs/>
          <w:color w:val="auto"/>
          <w:kern w:val="0"/>
          <w:szCs w:val="21"/>
          <w:lang w:val="en-US" w:eastAsia="zh-CN"/>
        </w:rPr>
        <w:t>中</w:t>
      </w:r>
      <w:r>
        <w:rPr>
          <w:rFonts w:hint="eastAsia" w:ascii="宋体" w:hAnsi="宋体" w:cs="宋体"/>
          <w:bCs/>
          <w:color w:val="auto"/>
          <w:kern w:val="0"/>
          <w:szCs w:val="21"/>
        </w:rPr>
        <w:t>小企业采购的项目（供应商应为</w:t>
      </w:r>
      <w:r>
        <w:rPr>
          <w:rFonts w:hint="eastAsia" w:ascii="宋体" w:hAnsi="宋体" w:cs="宋体"/>
          <w:bCs/>
          <w:color w:val="auto"/>
          <w:kern w:val="0"/>
          <w:szCs w:val="21"/>
          <w:lang w:val="en-US" w:eastAsia="zh-CN"/>
        </w:rPr>
        <w:t>中</w:t>
      </w:r>
      <w:r>
        <w:rPr>
          <w:rFonts w:hint="eastAsia" w:ascii="宋体" w:hAnsi="宋体" w:cs="宋体"/>
          <w:bCs/>
          <w:color w:val="auto"/>
          <w:kern w:val="0"/>
          <w:szCs w:val="21"/>
        </w:rPr>
        <w:t>小微企业或监狱企业或残疾人福利性单位)</w:t>
      </w:r>
    </w:p>
    <w:p w14:paraId="7386B611">
      <w:pPr>
        <w:spacing w:line="360" w:lineRule="exact"/>
        <w:ind w:firstLine="420" w:firstLineChars="200"/>
        <w:rPr>
          <w:rFonts w:hint="eastAsia" w:ascii="宋体" w:hAnsi="宋体" w:cs="宋体"/>
          <w:bCs/>
          <w:color w:val="auto"/>
          <w:kern w:val="0"/>
          <w:szCs w:val="21"/>
        </w:rPr>
      </w:pPr>
      <w:r>
        <w:rPr>
          <w:rFonts w:hint="eastAsia" w:ascii="宋体" w:hAnsi="宋体" w:cs="宋体"/>
          <w:bCs/>
          <w:color w:val="auto"/>
          <w:kern w:val="0"/>
          <w:szCs w:val="21"/>
        </w:rPr>
        <w:t>□非专门面向中小企业采购的项目。</w:t>
      </w:r>
    </w:p>
    <w:p w14:paraId="269734B5">
      <w:pPr>
        <w:numPr>
          <w:ilvl w:val="0"/>
          <w:numId w:val="0"/>
        </w:numPr>
        <w:spacing w:line="400" w:lineRule="exact"/>
        <w:ind w:firstLine="420" w:firstLineChars="200"/>
        <w:rPr>
          <w:rFonts w:hint="default" w:ascii="宋体" w:hAnsi="宋体" w:eastAsia="宋体" w:cs="宋体"/>
          <w:color w:val="auto"/>
          <w:szCs w:val="21"/>
          <w:highlight w:val="yellow"/>
          <w:lang w:val="en-US" w:eastAsia="zh-CN"/>
        </w:rPr>
      </w:pPr>
      <w:r>
        <w:rPr>
          <w:rFonts w:hint="eastAsia" w:ascii="宋体" w:hAnsi="宋体" w:cs="宋体"/>
          <w:color w:val="auto"/>
          <w:szCs w:val="21"/>
          <w:lang w:val="en-US" w:eastAsia="zh-CN"/>
        </w:rPr>
        <w:t>3.</w:t>
      </w:r>
      <w:r>
        <w:rPr>
          <w:rFonts w:hint="eastAsia" w:ascii="宋体" w:hAnsi="宋体" w:cs="宋体"/>
          <w:color w:val="auto"/>
          <w:szCs w:val="21"/>
        </w:rPr>
        <w:t>本项目的特定资格要求</w:t>
      </w:r>
      <w:r>
        <w:rPr>
          <w:rFonts w:hint="eastAsia" w:ascii="宋体" w:hAnsi="宋体" w:eastAsia="宋体" w:cs="宋体"/>
          <w:color w:val="auto"/>
          <w:szCs w:val="21"/>
        </w:rPr>
        <w:t>：</w:t>
      </w:r>
      <w:r>
        <w:rPr>
          <w:rFonts w:hint="eastAsia" w:ascii="宋体" w:hAnsi="宋体" w:eastAsia="宋体" w:cs="宋体"/>
          <w:i w:val="0"/>
          <w:iCs w:val="0"/>
          <w:caps w:val="0"/>
          <w:color w:val="auto"/>
          <w:spacing w:val="0"/>
          <w:sz w:val="21"/>
          <w:szCs w:val="21"/>
          <w:shd w:val="clear" w:fill="FFFFFF"/>
        </w:rPr>
        <w:t>供应商</w:t>
      </w:r>
      <w:r>
        <w:rPr>
          <w:rFonts w:hint="eastAsia" w:ascii="宋体" w:hAnsi="宋体" w:eastAsia="宋体" w:cs="宋体"/>
          <w:i w:val="0"/>
          <w:iCs w:val="0"/>
          <w:caps w:val="0"/>
          <w:color w:val="auto"/>
          <w:spacing w:val="0"/>
          <w:sz w:val="21"/>
          <w:szCs w:val="21"/>
          <w:shd w:val="clear" w:fill="FFFFFF"/>
          <w:lang w:val="en-US" w:eastAsia="zh-CN"/>
        </w:rPr>
        <w:t>须</w:t>
      </w:r>
      <w:r>
        <w:rPr>
          <w:rFonts w:hint="eastAsia" w:ascii="宋体" w:hAnsi="宋体" w:eastAsia="宋体" w:cs="宋体"/>
          <w:i w:val="0"/>
          <w:iCs w:val="0"/>
          <w:caps w:val="0"/>
          <w:color w:val="auto"/>
          <w:spacing w:val="0"/>
          <w:sz w:val="21"/>
          <w:szCs w:val="21"/>
          <w:shd w:val="clear" w:fill="FFFFFF"/>
        </w:rPr>
        <w:t>在全国投资项目在线审批监管平台备案并通过审核的咨询单位</w:t>
      </w:r>
      <w:r>
        <w:rPr>
          <w:rFonts w:hint="eastAsia" w:ascii="宋体" w:hAnsi="宋体" w:eastAsia="宋体" w:cs="宋体"/>
          <w:i w:val="0"/>
          <w:iCs w:val="0"/>
          <w:caps w:val="0"/>
          <w:color w:val="auto"/>
          <w:spacing w:val="0"/>
          <w:sz w:val="21"/>
          <w:szCs w:val="21"/>
          <w:shd w:val="clear" w:fill="FFFFFF"/>
          <w:lang w:eastAsia="zh-CN"/>
        </w:rPr>
        <w:t>（</w:t>
      </w:r>
      <w:r>
        <w:rPr>
          <w:rFonts w:hint="eastAsia" w:ascii="宋体" w:hAnsi="宋体" w:eastAsia="宋体" w:cs="宋体"/>
          <w:i w:val="0"/>
          <w:iCs w:val="0"/>
          <w:caps w:val="0"/>
          <w:color w:val="auto"/>
          <w:spacing w:val="0"/>
          <w:sz w:val="21"/>
          <w:szCs w:val="21"/>
          <w:shd w:val="clear" w:fill="FFFFFF"/>
        </w:rPr>
        <w:t>咨询</w:t>
      </w:r>
      <w:r>
        <w:rPr>
          <w:rFonts w:hint="eastAsia" w:ascii="宋体" w:hAnsi="宋体" w:eastAsia="宋体" w:cs="宋体"/>
          <w:i w:val="0"/>
          <w:iCs w:val="0"/>
          <w:caps w:val="0"/>
          <w:color w:val="auto"/>
          <w:spacing w:val="0"/>
          <w:sz w:val="21"/>
          <w:szCs w:val="21"/>
          <w:highlight w:val="none"/>
          <w:shd w:val="clear" w:fill="FFFFFF"/>
        </w:rPr>
        <w:t>专业应包含</w:t>
      </w:r>
      <w:r>
        <w:rPr>
          <w:rFonts w:hint="eastAsia" w:ascii="宋体" w:hAnsi="宋体" w:cs="宋体"/>
          <w:i w:val="0"/>
          <w:iCs w:val="0"/>
          <w:caps w:val="0"/>
          <w:color w:val="auto"/>
          <w:spacing w:val="0"/>
          <w:sz w:val="21"/>
          <w:szCs w:val="21"/>
          <w:highlight w:val="none"/>
          <w:shd w:val="clear" w:fill="FFFFFF"/>
          <w:lang w:eastAsia="zh-CN"/>
        </w:rPr>
        <w:t>“</w:t>
      </w:r>
      <w:r>
        <w:rPr>
          <w:rFonts w:hint="eastAsia" w:ascii="宋体" w:hAnsi="宋体" w:eastAsia="宋体" w:cs="宋体"/>
          <w:i w:val="0"/>
          <w:iCs w:val="0"/>
          <w:caps w:val="0"/>
          <w:color w:val="auto"/>
          <w:spacing w:val="0"/>
          <w:sz w:val="21"/>
          <w:szCs w:val="21"/>
          <w:highlight w:val="none"/>
          <w:shd w:val="clear" w:fill="FFFFFF"/>
        </w:rPr>
        <w:t>农业、林业</w:t>
      </w:r>
      <w:r>
        <w:rPr>
          <w:rFonts w:hint="eastAsia" w:ascii="宋体" w:hAnsi="宋体" w:cs="宋体"/>
          <w:i w:val="0"/>
          <w:iCs w:val="0"/>
          <w:caps w:val="0"/>
          <w:color w:val="auto"/>
          <w:spacing w:val="0"/>
          <w:sz w:val="21"/>
          <w:szCs w:val="21"/>
          <w:highlight w:val="none"/>
          <w:shd w:val="clear" w:fill="FFFFFF"/>
          <w:lang w:eastAsia="zh-CN"/>
        </w:rPr>
        <w:t>”</w:t>
      </w:r>
      <w:r>
        <w:rPr>
          <w:rFonts w:hint="eastAsia" w:ascii="宋体" w:hAnsi="宋体" w:cs="宋体"/>
          <w:i w:val="0"/>
          <w:iCs w:val="0"/>
          <w:caps w:val="0"/>
          <w:color w:val="auto"/>
          <w:spacing w:val="0"/>
          <w:sz w:val="21"/>
          <w:szCs w:val="21"/>
          <w:highlight w:val="none"/>
          <w:shd w:val="clear" w:fill="FFFFFF"/>
          <w:lang w:val="en-US" w:eastAsia="zh-CN"/>
        </w:rPr>
        <w:t>或“</w:t>
      </w:r>
      <w:r>
        <w:rPr>
          <w:rFonts w:hint="eastAsia" w:ascii="宋体" w:hAnsi="宋体" w:eastAsia="宋体" w:cs="宋体"/>
          <w:i w:val="0"/>
          <w:iCs w:val="0"/>
          <w:caps w:val="0"/>
          <w:color w:val="auto"/>
          <w:spacing w:val="0"/>
          <w:sz w:val="21"/>
          <w:szCs w:val="21"/>
          <w:highlight w:val="none"/>
          <w:shd w:val="clear" w:fill="FFFFFF"/>
          <w:lang w:val="en-US" w:eastAsia="zh-CN"/>
        </w:rPr>
        <w:t>生态建设和环境工程</w:t>
      </w:r>
      <w:r>
        <w:rPr>
          <w:rFonts w:hint="eastAsia" w:ascii="宋体" w:hAnsi="宋体" w:cs="宋体"/>
          <w:i w:val="0"/>
          <w:iCs w:val="0"/>
          <w:caps w:val="0"/>
          <w:color w:val="auto"/>
          <w:spacing w:val="0"/>
          <w:sz w:val="21"/>
          <w:szCs w:val="21"/>
          <w:highlight w:val="none"/>
          <w:shd w:val="clear" w:fill="FFFFFF"/>
          <w:lang w:val="en-US" w:eastAsia="zh-CN"/>
        </w:rPr>
        <w:t>”</w:t>
      </w:r>
      <w:r>
        <w:rPr>
          <w:rFonts w:hint="eastAsia" w:ascii="宋体" w:hAnsi="宋体" w:eastAsia="宋体" w:cs="宋体"/>
          <w:i w:val="0"/>
          <w:iCs w:val="0"/>
          <w:caps w:val="0"/>
          <w:color w:val="auto"/>
          <w:spacing w:val="0"/>
          <w:sz w:val="21"/>
          <w:szCs w:val="21"/>
          <w:highlight w:val="none"/>
          <w:shd w:val="clear" w:fill="FFFFFF"/>
          <w:lang w:eastAsia="zh-CN"/>
        </w:rPr>
        <w:t>）</w:t>
      </w:r>
      <w:r>
        <w:rPr>
          <w:rFonts w:hint="eastAsia" w:ascii="宋体" w:hAnsi="宋体" w:cs="宋体"/>
          <w:i w:val="0"/>
          <w:iCs w:val="0"/>
          <w:caps w:val="0"/>
          <w:color w:val="auto"/>
          <w:spacing w:val="0"/>
          <w:sz w:val="21"/>
          <w:szCs w:val="21"/>
          <w:highlight w:val="none"/>
          <w:shd w:val="clear" w:fill="FFFFFF"/>
          <w:lang w:eastAsia="zh-CN"/>
        </w:rPr>
        <w:t>，</w:t>
      </w:r>
      <w:r>
        <w:rPr>
          <w:rFonts w:hint="eastAsia" w:ascii="宋体" w:hAnsi="宋体" w:cs="宋体"/>
          <w:i w:val="0"/>
          <w:iCs w:val="0"/>
          <w:caps w:val="0"/>
          <w:color w:val="auto"/>
          <w:spacing w:val="0"/>
          <w:sz w:val="21"/>
          <w:szCs w:val="21"/>
          <w:highlight w:val="none"/>
          <w:shd w:val="clear" w:fill="FFFFFF"/>
          <w:lang w:val="en-US" w:eastAsia="zh-CN"/>
        </w:rPr>
        <w:t>提供备案证</w:t>
      </w:r>
      <w:r>
        <w:rPr>
          <w:rFonts w:hint="eastAsia" w:ascii="宋体" w:hAnsi="宋体" w:cs="宋体"/>
          <w:i w:val="0"/>
          <w:iCs w:val="0"/>
          <w:caps w:val="0"/>
          <w:color w:val="auto"/>
          <w:spacing w:val="0"/>
          <w:sz w:val="21"/>
          <w:szCs w:val="21"/>
          <w:shd w:val="clear" w:fill="FFFFFF"/>
          <w:lang w:val="en-US" w:eastAsia="zh-CN"/>
        </w:rPr>
        <w:t>明。</w:t>
      </w:r>
    </w:p>
    <w:p w14:paraId="43939E47">
      <w:pPr>
        <w:spacing w:line="400" w:lineRule="exact"/>
        <w:ind w:firstLine="482" w:firstLineChars="200"/>
        <w:rPr>
          <w:rFonts w:hint="eastAsia" w:ascii="宋体" w:hAnsi="宋体" w:cs="宋体"/>
          <w:b/>
          <w:bCs/>
          <w:color w:val="auto"/>
          <w:sz w:val="24"/>
        </w:rPr>
      </w:pPr>
      <w:bookmarkStart w:id="47" w:name="_Toc71365364"/>
      <w:bookmarkStart w:id="48" w:name="_Toc35393800"/>
      <w:bookmarkStart w:id="49" w:name="_Toc71366042"/>
      <w:bookmarkStart w:id="50" w:name="_Toc35393631"/>
      <w:r>
        <w:rPr>
          <w:rFonts w:hint="eastAsia" w:ascii="宋体" w:hAnsi="宋体" w:cs="宋体"/>
          <w:b/>
          <w:bCs/>
          <w:color w:val="auto"/>
          <w:sz w:val="24"/>
        </w:rPr>
        <w:t>三、获取竞争性磋商文件</w:t>
      </w:r>
      <w:bookmarkEnd w:id="45"/>
      <w:bookmarkEnd w:id="46"/>
      <w:bookmarkEnd w:id="47"/>
      <w:bookmarkEnd w:id="48"/>
      <w:bookmarkEnd w:id="49"/>
      <w:bookmarkEnd w:id="50"/>
    </w:p>
    <w:p w14:paraId="2ADAE9AF">
      <w:pPr>
        <w:spacing w:line="400" w:lineRule="exact"/>
        <w:ind w:firstLine="424" w:firstLineChars="202"/>
        <w:rPr>
          <w:rFonts w:hint="eastAsia" w:ascii="宋体" w:hAnsi="宋体" w:cs="宋体"/>
          <w:bCs/>
          <w:color w:val="auto"/>
          <w:kern w:val="0"/>
          <w:szCs w:val="21"/>
        </w:rPr>
      </w:pPr>
      <w:r>
        <w:rPr>
          <w:rFonts w:hint="eastAsia" w:ascii="宋体" w:hAnsi="宋体" w:cs="宋体"/>
          <w:bCs/>
          <w:color w:val="auto"/>
          <w:kern w:val="0"/>
          <w:szCs w:val="21"/>
        </w:rPr>
        <w:t>1.时间：2026年</w:t>
      </w:r>
      <w:r>
        <w:rPr>
          <w:rFonts w:hint="eastAsia" w:ascii="宋体" w:hAnsi="宋体" w:cs="宋体"/>
          <w:bCs/>
          <w:color w:val="auto"/>
          <w:kern w:val="0"/>
          <w:szCs w:val="21"/>
          <w:lang w:val="en-US" w:eastAsia="zh-CN"/>
        </w:rPr>
        <w:t>7</w:t>
      </w:r>
      <w:r>
        <w:rPr>
          <w:rFonts w:hint="eastAsia" w:ascii="宋体" w:hAnsi="宋体" w:cs="宋体"/>
          <w:bCs/>
          <w:color w:val="auto"/>
          <w:kern w:val="0"/>
          <w:szCs w:val="21"/>
        </w:rPr>
        <w:t>月</w:t>
      </w:r>
      <w:r>
        <w:rPr>
          <w:rFonts w:hint="eastAsia" w:ascii="宋体" w:hAnsi="宋体" w:cs="宋体"/>
          <w:bCs/>
          <w:color w:val="auto"/>
          <w:kern w:val="0"/>
          <w:szCs w:val="21"/>
          <w:lang w:val="en-US" w:eastAsia="zh-CN"/>
        </w:rPr>
        <w:t>13</w:t>
      </w:r>
      <w:r>
        <w:rPr>
          <w:rFonts w:hint="eastAsia" w:ascii="宋体" w:hAnsi="宋体" w:cs="宋体"/>
          <w:bCs/>
          <w:color w:val="auto"/>
          <w:kern w:val="0"/>
          <w:szCs w:val="21"/>
        </w:rPr>
        <w:t>日</w:t>
      </w:r>
      <w:r>
        <w:rPr>
          <w:rFonts w:hint="eastAsia" w:ascii="宋体" w:hAnsi="宋体" w:cs="宋体"/>
          <w:bCs/>
          <w:color w:val="auto"/>
          <w:kern w:val="0"/>
          <w:szCs w:val="21"/>
          <w:lang w:eastAsia="zh-CN"/>
        </w:rPr>
        <w:t>起</w:t>
      </w:r>
      <w:r>
        <w:rPr>
          <w:rFonts w:hint="eastAsia" w:ascii="宋体" w:hAnsi="宋体" w:cs="宋体"/>
          <w:bCs/>
          <w:color w:val="auto"/>
          <w:kern w:val="0"/>
          <w:szCs w:val="21"/>
        </w:rPr>
        <w:t>至2026年</w:t>
      </w:r>
      <w:r>
        <w:rPr>
          <w:rFonts w:hint="eastAsia" w:ascii="宋体" w:hAnsi="宋体" w:cs="宋体"/>
          <w:bCs/>
          <w:color w:val="auto"/>
          <w:kern w:val="0"/>
          <w:szCs w:val="21"/>
          <w:lang w:val="en-US" w:eastAsia="zh-CN"/>
        </w:rPr>
        <w:t>7</w:t>
      </w:r>
      <w:r>
        <w:rPr>
          <w:rFonts w:hint="eastAsia" w:ascii="宋体" w:hAnsi="宋体" w:cs="宋体"/>
          <w:bCs/>
          <w:color w:val="auto"/>
          <w:kern w:val="0"/>
          <w:szCs w:val="21"/>
        </w:rPr>
        <w:t>月</w:t>
      </w:r>
      <w:r>
        <w:rPr>
          <w:rFonts w:hint="eastAsia" w:ascii="宋体" w:hAnsi="宋体" w:cs="宋体"/>
          <w:bCs/>
          <w:color w:val="auto"/>
          <w:kern w:val="0"/>
          <w:szCs w:val="21"/>
          <w:lang w:val="en-US" w:eastAsia="zh-CN"/>
        </w:rPr>
        <w:t>20</w:t>
      </w:r>
      <w:r>
        <w:rPr>
          <w:rFonts w:hint="eastAsia" w:ascii="宋体" w:hAnsi="宋体" w:cs="宋体"/>
          <w:bCs/>
          <w:color w:val="auto"/>
          <w:kern w:val="0"/>
          <w:szCs w:val="21"/>
        </w:rPr>
        <w:t>日，每天上午00:00至11:59，下午12:00至23:59（北京时间，法定节假日除外）。</w:t>
      </w:r>
    </w:p>
    <w:p w14:paraId="5108A9C4">
      <w:pPr>
        <w:spacing w:line="400" w:lineRule="exact"/>
        <w:ind w:firstLine="420" w:firstLineChars="200"/>
        <w:rPr>
          <w:rFonts w:hint="eastAsia" w:ascii="宋体" w:hAnsi="宋体" w:cs="宋体"/>
          <w:bCs/>
          <w:color w:val="auto"/>
          <w:kern w:val="0"/>
          <w:szCs w:val="21"/>
        </w:rPr>
      </w:pPr>
      <w:r>
        <w:rPr>
          <w:rFonts w:hint="eastAsia" w:ascii="宋体" w:hAnsi="宋体" w:cs="宋体"/>
          <w:bCs/>
          <w:color w:val="auto"/>
          <w:kern w:val="0"/>
          <w:szCs w:val="21"/>
        </w:rPr>
        <w:t>2.地点：广西政府采购云平台（https://www.gcy.zfcg.gxzf.gov.cn/）。</w:t>
      </w:r>
    </w:p>
    <w:p w14:paraId="4022AE34">
      <w:pPr>
        <w:spacing w:line="400" w:lineRule="exact"/>
        <w:ind w:firstLine="420" w:firstLineChars="200"/>
        <w:rPr>
          <w:rFonts w:hint="eastAsia" w:ascii="宋体" w:hAnsi="宋体" w:cs="宋体"/>
          <w:bCs/>
          <w:color w:val="auto"/>
          <w:kern w:val="0"/>
          <w:szCs w:val="21"/>
        </w:rPr>
      </w:pPr>
      <w:r>
        <w:rPr>
          <w:rFonts w:hint="eastAsia" w:ascii="宋体" w:hAnsi="宋体" w:cs="宋体"/>
          <w:bCs/>
          <w:color w:val="auto"/>
          <w:kern w:val="0"/>
          <w:szCs w:val="21"/>
        </w:rPr>
        <w:t>3.方式：网上下载。本项目不提供纸质采购文件，潜在供应商需使用账号登录或者使用CA登录“广西政府采购云”平台（https://www.gcy.zfcg.gxzf.gov.cn/）-进入“项目采购”应用，在获取采购文件菜单中选择项目，获取竞争性磋商文件。</w:t>
      </w:r>
      <w:r>
        <w:rPr>
          <w:rFonts w:hint="eastAsia" w:ascii="宋体" w:hAnsi="宋体" w:cs="宋体"/>
          <w:color w:val="auto"/>
          <w:szCs w:val="21"/>
        </w:rPr>
        <w:t>电子</w:t>
      </w:r>
      <w:r>
        <w:rPr>
          <w:rFonts w:hint="eastAsia" w:ascii="宋体" w:hAnsi="宋体" w:cs="宋体"/>
          <w:color w:val="auto"/>
        </w:rPr>
        <w:t>响应文件</w:t>
      </w:r>
      <w:r>
        <w:rPr>
          <w:rFonts w:hint="eastAsia" w:ascii="宋体" w:hAnsi="宋体" w:cs="宋体"/>
          <w:color w:val="auto"/>
          <w:szCs w:val="21"/>
        </w:rPr>
        <w:t>制作需要基于“</w:t>
      </w:r>
      <w:r>
        <w:rPr>
          <w:rFonts w:hint="eastAsia" w:ascii="宋体" w:hAnsi="宋体" w:cs="宋体"/>
          <w:bCs/>
          <w:color w:val="auto"/>
          <w:kern w:val="0"/>
          <w:szCs w:val="21"/>
        </w:rPr>
        <w:t>广西政府采购云</w:t>
      </w:r>
      <w:r>
        <w:rPr>
          <w:rFonts w:hint="eastAsia" w:ascii="宋体" w:hAnsi="宋体" w:cs="宋体"/>
          <w:color w:val="auto"/>
          <w:szCs w:val="21"/>
        </w:rPr>
        <w:t>”平台获取的采购文件编制，</w:t>
      </w:r>
      <w:r>
        <w:rPr>
          <w:rFonts w:hint="eastAsia" w:ascii="宋体" w:hAnsi="宋体" w:cs="宋体"/>
          <w:bCs/>
          <w:color w:val="auto"/>
          <w:kern w:val="0"/>
          <w:szCs w:val="21"/>
        </w:rPr>
        <w:t>通过其他方式获取采购文件的，将有可能导致供应商无法在“广西政府采购云”平台编制及上传响应文件。</w:t>
      </w:r>
    </w:p>
    <w:p w14:paraId="03AB79FD">
      <w:pPr>
        <w:spacing w:line="400" w:lineRule="exact"/>
        <w:ind w:firstLine="424" w:firstLineChars="202"/>
        <w:rPr>
          <w:rFonts w:hint="eastAsia" w:ascii="宋体" w:hAnsi="宋体" w:cs="宋体"/>
          <w:bCs/>
          <w:color w:val="auto"/>
          <w:kern w:val="0"/>
          <w:szCs w:val="21"/>
        </w:rPr>
      </w:pPr>
      <w:r>
        <w:rPr>
          <w:rFonts w:hint="eastAsia" w:ascii="宋体" w:hAnsi="宋体" w:cs="宋体"/>
          <w:bCs/>
          <w:color w:val="auto"/>
          <w:kern w:val="0"/>
          <w:szCs w:val="21"/>
        </w:rPr>
        <w:t>4.售价：0元</w:t>
      </w:r>
    </w:p>
    <w:p w14:paraId="21314BB0">
      <w:pPr>
        <w:spacing w:line="400" w:lineRule="exact"/>
        <w:ind w:firstLine="361" w:firstLineChars="150"/>
        <w:rPr>
          <w:rFonts w:hint="eastAsia" w:ascii="宋体" w:hAnsi="宋体" w:cs="宋体"/>
          <w:b/>
          <w:bCs/>
          <w:color w:val="auto"/>
          <w:sz w:val="24"/>
        </w:rPr>
      </w:pPr>
      <w:bookmarkStart w:id="51" w:name="_Toc35393632"/>
      <w:bookmarkStart w:id="52" w:name="_Toc28359092"/>
      <w:bookmarkStart w:id="53" w:name="_Toc35393801"/>
      <w:bookmarkStart w:id="54" w:name="_Toc71366043"/>
      <w:bookmarkStart w:id="55" w:name="_Toc71365365"/>
      <w:bookmarkStart w:id="56" w:name="_Toc28359015"/>
      <w:r>
        <w:rPr>
          <w:rFonts w:hint="eastAsia" w:ascii="宋体" w:hAnsi="宋体" w:cs="宋体"/>
          <w:b/>
          <w:bCs/>
          <w:color w:val="auto"/>
          <w:sz w:val="24"/>
        </w:rPr>
        <w:t>四、响应文件提交</w:t>
      </w:r>
      <w:bookmarkEnd w:id="51"/>
      <w:bookmarkEnd w:id="52"/>
      <w:bookmarkEnd w:id="53"/>
      <w:bookmarkEnd w:id="54"/>
      <w:bookmarkEnd w:id="55"/>
      <w:bookmarkEnd w:id="56"/>
    </w:p>
    <w:p w14:paraId="1FBC3B83">
      <w:pPr>
        <w:spacing w:line="400" w:lineRule="exact"/>
        <w:ind w:firstLine="420" w:firstLineChars="200"/>
        <w:rPr>
          <w:rFonts w:hint="eastAsia" w:ascii="宋体" w:hAnsi="宋体" w:cs="宋体"/>
          <w:bCs/>
          <w:color w:val="auto"/>
          <w:szCs w:val="21"/>
          <w:u w:val="single"/>
        </w:rPr>
      </w:pPr>
      <w:r>
        <w:rPr>
          <w:rFonts w:hint="eastAsia" w:ascii="宋体" w:hAnsi="宋体" w:cs="宋体"/>
          <w:color w:val="auto"/>
          <w:szCs w:val="21"/>
        </w:rPr>
        <w:t>1.截止时间：</w:t>
      </w:r>
      <w:r>
        <w:rPr>
          <w:rFonts w:hint="eastAsia" w:ascii="宋体" w:hAnsi="宋体" w:cs="宋体"/>
          <w:bCs/>
          <w:color w:val="auto"/>
          <w:kern w:val="0"/>
          <w:szCs w:val="21"/>
        </w:rPr>
        <w:t>2026年</w:t>
      </w:r>
      <w:r>
        <w:rPr>
          <w:rFonts w:hint="eastAsia" w:ascii="宋体" w:hAnsi="宋体" w:cs="宋体"/>
          <w:bCs/>
          <w:color w:val="auto"/>
          <w:kern w:val="0"/>
          <w:szCs w:val="21"/>
          <w:lang w:val="en-US" w:eastAsia="zh-CN"/>
        </w:rPr>
        <w:t>7</w:t>
      </w:r>
      <w:r>
        <w:rPr>
          <w:rFonts w:hint="eastAsia" w:ascii="宋体" w:hAnsi="宋体" w:cs="宋体"/>
          <w:bCs/>
          <w:color w:val="auto"/>
          <w:kern w:val="0"/>
          <w:szCs w:val="21"/>
        </w:rPr>
        <w:t>月</w:t>
      </w:r>
      <w:r>
        <w:rPr>
          <w:rFonts w:hint="eastAsia" w:ascii="宋体" w:hAnsi="宋体" w:cs="宋体"/>
          <w:bCs/>
          <w:color w:val="auto"/>
          <w:kern w:val="0"/>
          <w:szCs w:val="21"/>
          <w:lang w:val="en-US" w:eastAsia="zh-CN"/>
        </w:rPr>
        <w:t xml:space="preserve">24 </w:t>
      </w:r>
      <w:r>
        <w:rPr>
          <w:rFonts w:hint="eastAsia" w:ascii="宋体" w:hAnsi="宋体" w:cs="宋体"/>
          <w:bCs/>
          <w:color w:val="auto"/>
          <w:kern w:val="0"/>
          <w:szCs w:val="21"/>
        </w:rPr>
        <w:t>日</w:t>
      </w:r>
      <w:r>
        <w:rPr>
          <w:rFonts w:hint="eastAsia" w:ascii="宋体" w:hAnsi="宋体" w:cs="宋体"/>
          <w:bCs/>
          <w:color w:val="auto"/>
          <w:kern w:val="0"/>
          <w:szCs w:val="21"/>
          <w:lang w:val="en-US" w:eastAsia="zh-CN"/>
        </w:rPr>
        <w:t>9</w:t>
      </w:r>
      <w:r>
        <w:rPr>
          <w:rFonts w:hint="eastAsia" w:ascii="宋体" w:hAnsi="宋体" w:cs="宋体"/>
          <w:color w:val="auto"/>
          <w:szCs w:val="21"/>
        </w:rPr>
        <w:t>时</w:t>
      </w:r>
      <w:r>
        <w:rPr>
          <w:rFonts w:hint="eastAsia" w:ascii="宋体" w:hAnsi="宋体" w:cs="宋体"/>
          <w:color w:val="auto"/>
          <w:szCs w:val="21"/>
          <w:lang w:val="en-US" w:eastAsia="zh-CN"/>
        </w:rPr>
        <w:t>30</w:t>
      </w:r>
      <w:r>
        <w:rPr>
          <w:rFonts w:hint="eastAsia" w:ascii="宋体" w:hAnsi="宋体" w:cs="宋体"/>
          <w:color w:val="auto"/>
          <w:szCs w:val="21"/>
        </w:rPr>
        <w:t>分（北京时间</w:t>
      </w:r>
      <w:r>
        <w:rPr>
          <w:rFonts w:hint="eastAsia" w:ascii="宋体" w:hAnsi="宋体" w:cs="宋体"/>
          <w:bCs/>
          <w:color w:val="auto"/>
          <w:szCs w:val="21"/>
        </w:rPr>
        <w:t>）</w:t>
      </w:r>
    </w:p>
    <w:p w14:paraId="3BC77DD0">
      <w:pPr>
        <w:spacing w:line="400" w:lineRule="exact"/>
        <w:ind w:firstLine="424" w:firstLineChars="202"/>
        <w:rPr>
          <w:rFonts w:hint="eastAsia" w:ascii="宋体" w:hAnsi="宋体" w:cs="宋体"/>
          <w:bCs/>
          <w:color w:val="auto"/>
          <w:szCs w:val="21"/>
          <w:u w:val="single"/>
        </w:rPr>
      </w:pPr>
      <w:r>
        <w:rPr>
          <w:rFonts w:hint="eastAsia" w:ascii="宋体" w:hAnsi="宋体" w:cs="宋体"/>
          <w:color w:val="auto"/>
          <w:szCs w:val="21"/>
        </w:rPr>
        <w:t>2.地点：</w:t>
      </w:r>
      <w:r>
        <w:rPr>
          <w:rFonts w:hint="eastAsia" w:ascii="宋体" w:hAnsi="宋体" w:cs="宋体"/>
          <w:bCs/>
          <w:color w:val="auto"/>
          <w:kern w:val="0"/>
          <w:szCs w:val="21"/>
        </w:rPr>
        <w:t>广西政府采购云平台（https://www.gcy.zfcg.gxzf.gov.cn/）。</w:t>
      </w:r>
    </w:p>
    <w:p w14:paraId="3F214F9A">
      <w:pPr>
        <w:spacing w:line="400" w:lineRule="exact"/>
        <w:ind w:firstLine="361" w:firstLineChars="150"/>
        <w:rPr>
          <w:rFonts w:hint="eastAsia" w:ascii="宋体" w:hAnsi="宋体" w:cs="宋体"/>
          <w:b/>
          <w:bCs/>
          <w:color w:val="auto"/>
          <w:sz w:val="24"/>
        </w:rPr>
      </w:pPr>
      <w:bookmarkStart w:id="57" w:name="_Toc28359016"/>
      <w:bookmarkStart w:id="58" w:name="_Toc35393633"/>
      <w:bookmarkStart w:id="59" w:name="_Toc35393802"/>
      <w:bookmarkStart w:id="60" w:name="_Toc28359093"/>
      <w:bookmarkStart w:id="61" w:name="_Toc71365366"/>
      <w:bookmarkStart w:id="62" w:name="_Toc71366044"/>
      <w:r>
        <w:rPr>
          <w:rFonts w:hint="eastAsia" w:ascii="宋体" w:hAnsi="宋体" w:cs="宋体"/>
          <w:b/>
          <w:bCs/>
          <w:color w:val="auto"/>
          <w:sz w:val="24"/>
        </w:rPr>
        <w:t>五、开启</w:t>
      </w:r>
      <w:bookmarkEnd w:id="57"/>
      <w:bookmarkEnd w:id="58"/>
      <w:bookmarkEnd w:id="59"/>
      <w:bookmarkEnd w:id="60"/>
      <w:bookmarkEnd w:id="61"/>
      <w:bookmarkEnd w:id="62"/>
    </w:p>
    <w:p w14:paraId="6A5C6722">
      <w:pPr>
        <w:spacing w:line="400" w:lineRule="exact"/>
        <w:ind w:firstLine="420" w:firstLineChars="200"/>
        <w:rPr>
          <w:rFonts w:hint="eastAsia" w:ascii="宋体" w:hAnsi="宋体" w:cs="宋体"/>
          <w:bCs/>
          <w:color w:val="auto"/>
          <w:szCs w:val="21"/>
          <w:u w:val="single"/>
        </w:rPr>
      </w:pPr>
      <w:r>
        <w:rPr>
          <w:rFonts w:hint="eastAsia" w:ascii="宋体" w:hAnsi="宋体" w:cs="宋体"/>
          <w:color w:val="auto"/>
          <w:szCs w:val="21"/>
        </w:rPr>
        <w:t>1.时间：</w:t>
      </w:r>
      <w:r>
        <w:rPr>
          <w:rFonts w:hint="eastAsia" w:ascii="宋体" w:hAnsi="宋体" w:cs="宋体"/>
          <w:bCs/>
          <w:color w:val="auto"/>
          <w:kern w:val="0"/>
          <w:szCs w:val="21"/>
        </w:rPr>
        <w:t>2026年</w:t>
      </w:r>
      <w:r>
        <w:rPr>
          <w:rFonts w:hint="eastAsia" w:ascii="宋体" w:hAnsi="宋体" w:cs="宋体"/>
          <w:bCs/>
          <w:color w:val="auto"/>
          <w:kern w:val="0"/>
          <w:szCs w:val="21"/>
          <w:lang w:val="en-US" w:eastAsia="zh-CN"/>
        </w:rPr>
        <w:t>7</w:t>
      </w:r>
      <w:r>
        <w:rPr>
          <w:rFonts w:hint="eastAsia" w:ascii="宋体" w:hAnsi="宋体" w:cs="宋体"/>
          <w:bCs/>
          <w:color w:val="auto"/>
          <w:kern w:val="0"/>
          <w:szCs w:val="21"/>
        </w:rPr>
        <w:t>月</w:t>
      </w:r>
      <w:r>
        <w:rPr>
          <w:rFonts w:hint="eastAsia" w:ascii="宋体" w:hAnsi="宋体" w:cs="宋体"/>
          <w:bCs/>
          <w:color w:val="auto"/>
          <w:kern w:val="0"/>
          <w:szCs w:val="21"/>
          <w:lang w:val="en-US" w:eastAsia="zh-CN"/>
        </w:rPr>
        <w:t>24</w:t>
      </w:r>
      <w:r>
        <w:rPr>
          <w:rFonts w:hint="eastAsia" w:ascii="宋体" w:hAnsi="宋体" w:cs="宋体"/>
          <w:bCs/>
          <w:color w:val="auto"/>
          <w:kern w:val="0"/>
          <w:szCs w:val="21"/>
        </w:rPr>
        <w:t>日</w:t>
      </w:r>
      <w:r>
        <w:rPr>
          <w:rFonts w:hint="eastAsia" w:ascii="宋体" w:hAnsi="宋体" w:cs="宋体"/>
          <w:bCs/>
          <w:color w:val="auto"/>
          <w:kern w:val="0"/>
          <w:szCs w:val="21"/>
          <w:lang w:val="en-US" w:eastAsia="zh-CN"/>
        </w:rPr>
        <w:t>9</w:t>
      </w:r>
      <w:r>
        <w:rPr>
          <w:rFonts w:hint="eastAsia" w:ascii="宋体" w:hAnsi="宋体" w:cs="宋体"/>
          <w:color w:val="auto"/>
          <w:szCs w:val="21"/>
        </w:rPr>
        <w:t>时</w:t>
      </w:r>
      <w:r>
        <w:rPr>
          <w:rFonts w:hint="eastAsia" w:ascii="宋体" w:hAnsi="宋体" w:cs="宋体"/>
          <w:color w:val="auto"/>
          <w:szCs w:val="21"/>
          <w:lang w:val="en-US" w:eastAsia="zh-CN"/>
        </w:rPr>
        <w:t>30</w:t>
      </w:r>
      <w:r>
        <w:rPr>
          <w:rFonts w:hint="eastAsia" w:ascii="宋体" w:hAnsi="宋体" w:cs="宋体"/>
          <w:color w:val="auto"/>
          <w:szCs w:val="21"/>
        </w:rPr>
        <w:t>分（北京时间</w:t>
      </w:r>
    </w:p>
    <w:p w14:paraId="5590F374">
      <w:pPr>
        <w:spacing w:line="400" w:lineRule="exact"/>
        <w:ind w:firstLine="424" w:firstLineChars="202"/>
        <w:rPr>
          <w:rFonts w:hint="eastAsia" w:ascii="宋体" w:hAnsi="宋体" w:cs="宋体"/>
          <w:bCs/>
          <w:color w:val="auto"/>
          <w:szCs w:val="21"/>
          <w:u w:val="single"/>
        </w:rPr>
      </w:pPr>
      <w:r>
        <w:rPr>
          <w:rFonts w:hint="eastAsia" w:ascii="宋体" w:hAnsi="宋体" w:cs="宋体"/>
          <w:color w:val="auto"/>
          <w:szCs w:val="21"/>
        </w:rPr>
        <w:t>2.地点：</w:t>
      </w:r>
      <w:r>
        <w:rPr>
          <w:rFonts w:hint="eastAsia" w:ascii="宋体" w:hAnsi="宋体" w:cs="宋体"/>
          <w:bCs/>
          <w:color w:val="auto"/>
          <w:kern w:val="0"/>
          <w:szCs w:val="21"/>
        </w:rPr>
        <w:t>广西政府采购云平台（https://www.gcy.zfcg.gxzf.gov.cn/）。</w:t>
      </w:r>
    </w:p>
    <w:p w14:paraId="68308D99">
      <w:pPr>
        <w:spacing w:line="400" w:lineRule="exact"/>
        <w:ind w:firstLine="361" w:firstLineChars="150"/>
        <w:rPr>
          <w:rFonts w:hint="eastAsia" w:ascii="宋体" w:hAnsi="宋体" w:cs="宋体"/>
          <w:b/>
          <w:bCs/>
          <w:color w:val="auto"/>
          <w:sz w:val="24"/>
        </w:rPr>
      </w:pPr>
      <w:bookmarkStart w:id="63" w:name="_Toc35393634"/>
      <w:bookmarkStart w:id="64" w:name="_Toc71366045"/>
      <w:bookmarkStart w:id="65" w:name="_Toc28359094"/>
      <w:bookmarkStart w:id="66" w:name="_Toc28359017"/>
      <w:bookmarkStart w:id="67" w:name="_Toc35393803"/>
      <w:bookmarkStart w:id="68" w:name="_Toc71365367"/>
      <w:r>
        <w:rPr>
          <w:rFonts w:hint="eastAsia" w:ascii="宋体" w:hAnsi="宋体" w:cs="宋体"/>
          <w:b/>
          <w:bCs/>
          <w:color w:val="auto"/>
          <w:sz w:val="24"/>
        </w:rPr>
        <w:t>六、公告期限</w:t>
      </w:r>
      <w:bookmarkEnd w:id="63"/>
      <w:bookmarkEnd w:id="64"/>
      <w:bookmarkEnd w:id="65"/>
      <w:bookmarkEnd w:id="66"/>
      <w:bookmarkEnd w:id="67"/>
      <w:bookmarkEnd w:id="68"/>
    </w:p>
    <w:p w14:paraId="604B3948">
      <w:pPr>
        <w:spacing w:line="40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自本公告发布之日起5个工作日。</w:t>
      </w:r>
    </w:p>
    <w:p w14:paraId="35A9F75C">
      <w:pPr>
        <w:spacing w:line="400" w:lineRule="exact"/>
        <w:ind w:firstLine="361" w:firstLineChars="150"/>
        <w:rPr>
          <w:rFonts w:hint="eastAsia" w:ascii="宋体" w:hAnsi="宋体" w:cs="宋体"/>
          <w:b/>
          <w:bCs/>
          <w:color w:val="auto"/>
          <w:sz w:val="24"/>
        </w:rPr>
      </w:pPr>
      <w:bookmarkStart w:id="69" w:name="_Toc35393635"/>
      <w:bookmarkStart w:id="70" w:name="_Toc71366046"/>
      <w:bookmarkStart w:id="71" w:name="_Toc71365368"/>
      <w:bookmarkStart w:id="72" w:name="_Toc35393804"/>
      <w:r>
        <w:rPr>
          <w:rFonts w:hint="eastAsia" w:ascii="宋体" w:hAnsi="宋体" w:cs="宋体"/>
          <w:b/>
          <w:bCs/>
          <w:color w:val="auto"/>
          <w:sz w:val="24"/>
        </w:rPr>
        <w:t>七、其他补充事宜</w:t>
      </w:r>
      <w:bookmarkEnd w:id="69"/>
      <w:bookmarkEnd w:id="70"/>
      <w:bookmarkEnd w:id="71"/>
      <w:bookmarkEnd w:id="72"/>
    </w:p>
    <w:p w14:paraId="35355845">
      <w:pPr>
        <w:snapToGrid w:val="0"/>
        <w:spacing w:line="400" w:lineRule="exact"/>
        <w:ind w:firstLine="420" w:firstLineChars="200"/>
        <w:rPr>
          <w:rFonts w:hint="eastAsia" w:ascii="宋体" w:hAnsi="宋体" w:cs="宋体"/>
          <w:color w:val="auto"/>
        </w:rPr>
      </w:pPr>
      <w:r>
        <w:rPr>
          <w:rFonts w:hint="eastAsia" w:ascii="宋体" w:hAnsi="宋体" w:cs="宋体"/>
          <w:color w:val="auto"/>
          <w:szCs w:val="21"/>
        </w:rPr>
        <w:t>1.</w:t>
      </w:r>
      <w:r>
        <w:rPr>
          <w:rFonts w:hint="eastAsia" w:ascii="宋体" w:hAnsi="宋体" w:cs="宋体"/>
          <w:color w:val="auto"/>
          <w:kern w:val="0"/>
          <w:szCs w:val="21"/>
        </w:rPr>
        <w:t>磋商保证金：本项目不收取磋商保证金</w:t>
      </w:r>
      <w:r>
        <w:rPr>
          <w:rFonts w:hint="eastAsia" w:ascii="宋体" w:hAnsi="宋体" w:cs="宋体"/>
          <w:color w:val="auto"/>
        </w:rPr>
        <w:t>。</w:t>
      </w:r>
    </w:p>
    <w:p w14:paraId="44E85680">
      <w:pPr>
        <w:spacing w:line="400" w:lineRule="exact"/>
        <w:ind w:firstLine="420" w:firstLineChars="200"/>
        <w:rPr>
          <w:rFonts w:hint="eastAsia" w:ascii="宋体" w:hAnsi="宋体" w:cs="宋体"/>
          <w:color w:val="auto"/>
          <w:szCs w:val="21"/>
        </w:rPr>
      </w:pPr>
      <w:r>
        <w:rPr>
          <w:rFonts w:hint="eastAsia" w:ascii="宋体" w:hAnsi="宋体" w:cs="宋体"/>
          <w:color w:val="auto"/>
          <w:szCs w:val="21"/>
        </w:rPr>
        <w:t>2.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229C984">
      <w:pPr>
        <w:spacing w:line="400" w:lineRule="exact"/>
        <w:ind w:firstLine="420" w:firstLineChars="200"/>
        <w:rPr>
          <w:rFonts w:hint="eastAsia" w:ascii="宋体" w:hAnsi="宋体" w:cs="宋体"/>
          <w:color w:val="auto"/>
          <w:szCs w:val="21"/>
        </w:rPr>
      </w:pPr>
      <w:r>
        <w:rPr>
          <w:rFonts w:hint="eastAsia" w:ascii="宋体" w:hAnsi="宋体" w:cs="宋体"/>
          <w:color w:val="auto"/>
          <w:szCs w:val="21"/>
        </w:rPr>
        <w:t>3.根据财政部《关于在政府采购活动中查询及使用信用记录有关问题的通知》（财库〔2016〕125号）的规定，对在“信用中国”网站(www.creditchina.gov.cn) 、中国政府采购网(www.ccgp.gov.cn)被列入失信被执行人、</w:t>
      </w:r>
      <w:r>
        <w:rPr>
          <w:rFonts w:hint="eastAsia" w:ascii="宋体" w:hAnsi="宋体" w:cs="宋体"/>
          <w:color w:val="auto"/>
          <w:szCs w:val="21"/>
          <w:lang w:eastAsia="zh-CN"/>
        </w:rPr>
        <w:t>重大税收违法失信主体名单</w:t>
      </w:r>
      <w:r>
        <w:rPr>
          <w:rFonts w:hint="eastAsia" w:ascii="宋体" w:hAnsi="宋体" w:cs="宋体"/>
          <w:color w:val="auto"/>
          <w:szCs w:val="21"/>
        </w:rPr>
        <w:t>、政府采购严重违法失信行为记录名单及其他不符合《中华人民共和国政府采购法》第二十二条规定条件的供应商，不得参与政府采购活动。</w:t>
      </w:r>
    </w:p>
    <w:p w14:paraId="1D587212">
      <w:pPr>
        <w:spacing w:line="400" w:lineRule="exact"/>
        <w:ind w:firstLine="420" w:firstLineChars="200"/>
        <w:rPr>
          <w:rFonts w:hint="eastAsia" w:ascii="宋体" w:hAnsi="宋体" w:cs="宋体"/>
          <w:color w:val="auto"/>
          <w:szCs w:val="21"/>
        </w:rPr>
      </w:pPr>
      <w:r>
        <w:rPr>
          <w:rFonts w:hint="eastAsia" w:ascii="宋体" w:hAnsi="宋体" w:cs="宋体"/>
          <w:color w:val="auto"/>
          <w:szCs w:val="21"/>
        </w:rPr>
        <w:t>4.网上查询地址：</w:t>
      </w:r>
    </w:p>
    <w:p w14:paraId="7185520A">
      <w:pPr>
        <w:spacing w:line="40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中国政府采购网（http://www.ccgp.gov.cn）、广西壮族自治区政府采购网（http://zfcg.gxzf.gov.cn）。</w:t>
      </w:r>
    </w:p>
    <w:p w14:paraId="33D9126C">
      <w:pPr>
        <w:spacing w:line="400" w:lineRule="exact"/>
        <w:ind w:firstLine="424" w:firstLineChars="202"/>
        <w:rPr>
          <w:rFonts w:hint="eastAsia" w:ascii="宋体" w:hAnsi="宋体" w:cs="宋体"/>
          <w:color w:val="auto"/>
          <w:kern w:val="0"/>
          <w:szCs w:val="21"/>
        </w:rPr>
      </w:pPr>
      <w:bookmarkStart w:id="73" w:name="_Hlk37429674"/>
      <w:bookmarkStart w:id="74" w:name="_Toc28359018"/>
      <w:bookmarkStart w:id="75" w:name="_Toc71366047"/>
      <w:bookmarkStart w:id="76" w:name="_Toc71365369"/>
      <w:bookmarkStart w:id="77" w:name="_Toc35393805"/>
      <w:bookmarkStart w:id="78" w:name="_Toc35393636"/>
      <w:bookmarkStart w:id="79" w:name="_Toc28359095"/>
      <w:r>
        <w:rPr>
          <w:rFonts w:hint="eastAsia" w:ascii="宋体" w:hAnsi="宋体" w:cs="宋体"/>
          <w:color w:val="auto"/>
          <w:szCs w:val="21"/>
        </w:rPr>
        <w:t>5.</w:t>
      </w:r>
      <w:r>
        <w:rPr>
          <w:rFonts w:hint="eastAsia" w:ascii="宋体" w:hAnsi="宋体" w:cs="宋体"/>
          <w:color w:val="auto"/>
          <w:kern w:val="0"/>
          <w:szCs w:val="21"/>
        </w:rPr>
        <w:t>本项目需要落实的政府采购政策</w:t>
      </w:r>
    </w:p>
    <w:p w14:paraId="3431124B">
      <w:pPr>
        <w:spacing w:line="400" w:lineRule="exact"/>
        <w:ind w:firstLine="420" w:firstLineChars="200"/>
        <w:rPr>
          <w:rFonts w:hint="eastAsia" w:ascii="宋体" w:hAnsi="宋体" w:cs="宋体"/>
          <w:iCs/>
          <w:color w:val="auto"/>
          <w:kern w:val="0"/>
          <w:szCs w:val="21"/>
        </w:rPr>
      </w:pPr>
      <w:r>
        <w:rPr>
          <w:rFonts w:hint="eastAsia" w:ascii="宋体" w:hAnsi="宋体" w:cs="宋体"/>
          <w:iCs/>
          <w:color w:val="auto"/>
          <w:kern w:val="0"/>
          <w:szCs w:val="21"/>
        </w:rPr>
        <w:t>（1）政府采购促进中小企业发展。</w:t>
      </w:r>
    </w:p>
    <w:p w14:paraId="512882C1">
      <w:pPr>
        <w:spacing w:line="400" w:lineRule="exact"/>
        <w:ind w:firstLine="420" w:firstLineChars="200"/>
        <w:rPr>
          <w:rFonts w:hint="eastAsia" w:ascii="宋体" w:hAnsi="宋体" w:cs="宋体"/>
          <w:iCs/>
          <w:color w:val="auto"/>
          <w:kern w:val="0"/>
          <w:szCs w:val="21"/>
        </w:rPr>
      </w:pPr>
      <w:r>
        <w:rPr>
          <w:rFonts w:hint="eastAsia" w:ascii="宋体" w:hAnsi="宋体" w:cs="宋体"/>
          <w:iCs/>
          <w:color w:val="auto"/>
          <w:kern w:val="0"/>
          <w:szCs w:val="21"/>
        </w:rPr>
        <w:t>（2）政府采购支持采用本国产品的政策。</w:t>
      </w:r>
    </w:p>
    <w:p w14:paraId="781BCB92">
      <w:pPr>
        <w:spacing w:line="400" w:lineRule="exact"/>
        <w:ind w:firstLine="420" w:firstLineChars="200"/>
        <w:rPr>
          <w:rFonts w:hint="eastAsia" w:ascii="宋体" w:hAnsi="宋体" w:cs="宋体"/>
          <w:iCs/>
          <w:color w:val="auto"/>
          <w:kern w:val="0"/>
          <w:szCs w:val="21"/>
        </w:rPr>
      </w:pPr>
      <w:r>
        <w:rPr>
          <w:rFonts w:hint="eastAsia" w:ascii="宋体" w:hAnsi="宋体" w:cs="宋体"/>
          <w:iCs/>
          <w:color w:val="auto"/>
          <w:kern w:val="0"/>
          <w:szCs w:val="21"/>
        </w:rPr>
        <w:t>（3）强制采购节能产品；优先采购节能产品、环境标志产品。</w:t>
      </w:r>
    </w:p>
    <w:p w14:paraId="254990F6">
      <w:pPr>
        <w:spacing w:line="400" w:lineRule="exact"/>
        <w:ind w:firstLine="420" w:firstLineChars="200"/>
        <w:rPr>
          <w:rFonts w:hint="eastAsia" w:ascii="宋体" w:hAnsi="宋体" w:cs="宋体"/>
          <w:iCs/>
          <w:color w:val="auto"/>
          <w:kern w:val="0"/>
          <w:szCs w:val="21"/>
        </w:rPr>
      </w:pPr>
      <w:r>
        <w:rPr>
          <w:rFonts w:hint="eastAsia" w:ascii="宋体" w:hAnsi="宋体" w:cs="宋体"/>
          <w:iCs/>
          <w:color w:val="auto"/>
          <w:kern w:val="0"/>
          <w:szCs w:val="21"/>
        </w:rPr>
        <w:t>（4）政府采购促进残疾人就业政策。</w:t>
      </w:r>
    </w:p>
    <w:p w14:paraId="5B9D92F2">
      <w:pPr>
        <w:spacing w:line="400" w:lineRule="exact"/>
        <w:ind w:firstLine="420" w:firstLineChars="200"/>
        <w:rPr>
          <w:rFonts w:hint="eastAsia" w:ascii="宋体" w:hAnsi="宋体" w:cs="宋体"/>
          <w:iCs/>
          <w:color w:val="auto"/>
          <w:kern w:val="0"/>
          <w:szCs w:val="21"/>
        </w:rPr>
      </w:pPr>
      <w:r>
        <w:rPr>
          <w:rFonts w:hint="eastAsia" w:ascii="宋体" w:hAnsi="宋体" w:cs="宋体"/>
          <w:iCs/>
          <w:color w:val="auto"/>
          <w:kern w:val="0"/>
          <w:szCs w:val="21"/>
        </w:rPr>
        <w:t>（5）政府采购支持监狱企业发展。</w:t>
      </w:r>
    </w:p>
    <w:p w14:paraId="5E92F1D7">
      <w:pPr>
        <w:widowControl/>
        <w:spacing w:line="400" w:lineRule="exact"/>
        <w:ind w:firstLine="420" w:firstLineChars="200"/>
        <w:jc w:val="left"/>
        <w:rPr>
          <w:rFonts w:hint="eastAsia" w:ascii="宋体" w:hAnsi="宋体" w:cs="宋体"/>
          <w:color w:val="auto"/>
          <w:szCs w:val="21"/>
        </w:rPr>
      </w:pPr>
      <w:r>
        <w:rPr>
          <w:rFonts w:hint="eastAsia" w:ascii="宋体" w:hAnsi="宋体" w:cs="宋体"/>
          <w:color w:val="auto"/>
          <w:kern w:val="0"/>
          <w:szCs w:val="21"/>
        </w:rPr>
        <w:t>6.供应商</w:t>
      </w:r>
      <w:r>
        <w:rPr>
          <w:rFonts w:hint="eastAsia" w:ascii="宋体" w:hAnsi="宋体" w:cs="宋体"/>
          <w:color w:val="auto"/>
          <w:szCs w:val="21"/>
        </w:rPr>
        <w:t>竞标注意事项</w:t>
      </w:r>
    </w:p>
    <w:p w14:paraId="17E17182">
      <w:pPr>
        <w:widowControl/>
        <w:spacing w:line="400" w:lineRule="exact"/>
        <w:ind w:firstLine="420" w:firstLineChars="200"/>
        <w:jc w:val="left"/>
        <w:rPr>
          <w:rFonts w:hint="eastAsia" w:ascii="宋体" w:hAnsi="宋体" w:cs="宋体"/>
          <w:color w:val="auto"/>
          <w:szCs w:val="21"/>
        </w:rPr>
      </w:pPr>
      <w:r>
        <w:rPr>
          <w:rFonts w:hint="eastAsia" w:ascii="宋体" w:hAnsi="宋体" w:cs="宋体"/>
          <w:color w:val="auto"/>
          <w:szCs w:val="21"/>
        </w:rPr>
        <w:t>（1）本项目为全流程电子化采购项目，通过“广西政府采购云”平台</w:t>
      </w:r>
      <w:r>
        <w:rPr>
          <w:rFonts w:hint="eastAsia" w:ascii="宋体" w:hAnsi="宋体" w:cs="宋体"/>
          <w:bCs/>
          <w:color w:val="auto"/>
          <w:kern w:val="0"/>
          <w:szCs w:val="21"/>
        </w:rPr>
        <w:t>（https://www.gcy.zfcg.gxzf.gov.cn/）</w:t>
      </w:r>
      <w:r>
        <w:rPr>
          <w:rFonts w:hint="eastAsia" w:ascii="宋体" w:hAnsi="宋体" w:cs="宋体"/>
          <w:color w:val="auto"/>
          <w:szCs w:val="21"/>
        </w:rPr>
        <w:t>实行在线电子竞标，供应商应先安装“政采云电子交易客户端”（请自行前往“广西政府采购云”平台进行下载），并按照本项目竞争性磋商文件和“广西政府采购云”平台的要求编制、加密后在提交响应文件截止时间前通过网络上传至 “广西政府采购云”平台（加密的电子响应文件是指</w:t>
      </w:r>
      <w:r>
        <w:rPr>
          <w:rFonts w:hint="eastAsia" w:ascii="宋体" w:hAnsi="宋体" w:cs="宋体"/>
          <w:color w:val="auto"/>
        </w:rPr>
        <w:t>后缀名为“jmbs”的文件</w:t>
      </w:r>
      <w:r>
        <w:rPr>
          <w:rFonts w:hint="eastAsia" w:ascii="宋体" w:hAnsi="宋体" w:cs="宋体"/>
          <w:color w:val="auto"/>
          <w:szCs w:val="21"/>
        </w:rPr>
        <w:t>），</w:t>
      </w:r>
      <w:r>
        <w:rPr>
          <w:rFonts w:hint="eastAsia" w:ascii="宋体" w:hAnsi="宋体" w:cs="宋体"/>
          <w:b/>
          <w:color w:val="auto"/>
          <w:szCs w:val="21"/>
        </w:rPr>
        <w:t>供应商在“广西政府采购云”平台提交电子响应文件时，请填写参加远程采购活动经办人联系方式。</w:t>
      </w:r>
      <w:r>
        <w:rPr>
          <w:rFonts w:hint="eastAsia" w:ascii="宋体" w:hAnsi="宋体" w:cs="宋体"/>
          <w:color w:val="auto"/>
          <w:szCs w:val="21"/>
        </w:rPr>
        <w:t>供应商登录“广西政府采购云”平台，依次进入“服务中心-项目采购-操作流程-电子招投标-</w:t>
      </w:r>
      <w:r>
        <w:rPr>
          <w:rFonts w:hint="eastAsia" w:ascii="宋体" w:hAnsi="宋体" w:cs="宋体"/>
          <w:color w:val="auto"/>
        </w:rPr>
        <w:t>政府采购项目电子交易管理操作指南-供应商</w:t>
      </w:r>
      <w:r>
        <w:rPr>
          <w:rFonts w:hint="eastAsia" w:ascii="宋体" w:hAnsi="宋体" w:cs="宋体"/>
          <w:color w:val="auto"/>
          <w:szCs w:val="21"/>
        </w:rPr>
        <w:t>”查看电子竞标具体操作流程。</w:t>
      </w:r>
    </w:p>
    <w:p w14:paraId="4C33AFFB">
      <w:pPr>
        <w:widowControl/>
        <w:spacing w:line="400" w:lineRule="exact"/>
        <w:ind w:firstLine="420" w:firstLineChars="200"/>
        <w:jc w:val="left"/>
        <w:rPr>
          <w:rFonts w:hint="eastAsia" w:ascii="宋体" w:hAnsi="宋体" w:cs="宋体"/>
          <w:color w:val="auto"/>
          <w:szCs w:val="21"/>
        </w:rPr>
      </w:pPr>
      <w:r>
        <w:rPr>
          <w:rFonts w:hint="eastAsia" w:ascii="宋体" w:hAnsi="宋体" w:cs="宋体"/>
          <w:color w:val="auto"/>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w:t>
      </w:r>
      <w:r>
        <w:rPr>
          <w:rFonts w:hint="eastAsia" w:ascii="宋体" w:hAnsi="宋体" w:cs="宋体"/>
          <w:color w:val="auto"/>
          <w:szCs w:val="21"/>
          <w:lang w:eastAsia="zh-CN"/>
        </w:rPr>
        <w:t>登录</w:t>
      </w:r>
      <w:r>
        <w:rPr>
          <w:rFonts w:hint="eastAsia" w:ascii="宋体" w:hAnsi="宋体" w:cs="宋体"/>
          <w:color w:val="auto"/>
          <w:kern w:val="0"/>
          <w:szCs w:val="21"/>
        </w:rPr>
        <w:t>“</w:t>
      </w:r>
      <w:r>
        <w:rPr>
          <w:rFonts w:hint="eastAsia" w:ascii="宋体" w:hAnsi="宋体" w:cs="宋体"/>
          <w:color w:val="auto"/>
          <w:szCs w:val="21"/>
        </w:rPr>
        <w:t>广西政府采购云</w:t>
      </w:r>
      <w:r>
        <w:rPr>
          <w:rFonts w:hint="eastAsia" w:ascii="宋体" w:hAnsi="宋体" w:cs="宋体"/>
          <w:color w:val="auto"/>
          <w:kern w:val="0"/>
          <w:szCs w:val="21"/>
        </w:rPr>
        <w:t>”平台，</w:t>
      </w:r>
      <w:r>
        <w:rPr>
          <w:rFonts w:hint="eastAsia" w:ascii="宋体" w:hAnsi="宋体" w:cs="宋体"/>
          <w:color w:val="auto"/>
          <w:szCs w:val="21"/>
        </w:rPr>
        <w:t>依次进入“服务中心-入驻与配置”中查看CA数字证书办理操作流程。</w:t>
      </w:r>
      <w:r>
        <w:rPr>
          <w:rFonts w:hint="eastAsia" w:ascii="宋体" w:hAnsi="宋体" w:cs="宋体"/>
          <w:bCs/>
          <w:color w:val="auto"/>
          <w:kern w:val="0"/>
          <w:szCs w:val="21"/>
        </w:rPr>
        <w:t>如在操作过程中遇到问题或者需要技术支持，请致电政采云客服热线：95763</w:t>
      </w:r>
      <w:r>
        <w:rPr>
          <w:rFonts w:hint="eastAsia" w:ascii="宋体" w:hAnsi="宋体" w:cs="宋体"/>
          <w:color w:val="auto"/>
          <w:szCs w:val="21"/>
        </w:rPr>
        <w:t>）。</w:t>
      </w:r>
    </w:p>
    <w:p w14:paraId="5AE6A29E">
      <w:pPr>
        <w:snapToGrid w:val="0"/>
        <w:spacing w:line="40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（3）CA证书在线解密：首次响应文件开启时，需携带制作响应文件时用来加密的有效数字证书（CA认证）登录“政采云”平台电子开标大厅现场按规定时间对加密的响应文件进行解密，否则后果自负。</w:t>
      </w:r>
    </w:p>
    <w:p w14:paraId="5D9C2F63">
      <w:pPr>
        <w:widowControl/>
        <w:spacing w:line="400" w:lineRule="exact"/>
        <w:ind w:firstLine="420" w:firstLineChars="200"/>
        <w:jc w:val="left"/>
        <w:rPr>
          <w:rFonts w:hint="eastAsia" w:ascii="宋体" w:hAnsi="宋体" w:cs="宋体"/>
          <w:bCs/>
          <w:color w:val="auto"/>
          <w:szCs w:val="21"/>
        </w:rPr>
      </w:pPr>
      <w:r>
        <w:rPr>
          <w:rFonts w:hint="eastAsia" w:ascii="宋体" w:hAnsi="宋体" w:cs="宋体"/>
          <w:color w:val="auto"/>
          <w:szCs w:val="21"/>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cs="宋体"/>
          <w:bCs/>
          <w:color w:val="auto"/>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color w:val="auto"/>
          <w:szCs w:val="21"/>
        </w:rPr>
        <w:t>广西政府采购网</w:t>
      </w:r>
      <w:r>
        <w:rPr>
          <w:rFonts w:hint="eastAsia" w:ascii="宋体" w:hAnsi="宋体" w:cs="宋体"/>
          <w:bCs/>
          <w:color w:val="auto"/>
          <w:szCs w:val="21"/>
        </w:rPr>
        <w:t>”平台将予以拒收。</w:t>
      </w:r>
    </w:p>
    <w:p w14:paraId="2B6B16FB">
      <w:pPr>
        <w:snapToGrid w:val="0"/>
        <w:spacing w:line="40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（4）供应商需要在具备有摄像头及语音功能且互联网网络状况良好的电脑登录“</w:t>
      </w:r>
      <w:r>
        <w:rPr>
          <w:rFonts w:hint="eastAsia" w:ascii="宋体" w:hAnsi="宋体" w:cs="宋体"/>
          <w:color w:val="auto"/>
          <w:szCs w:val="21"/>
        </w:rPr>
        <w:t>广西政府采购网</w:t>
      </w:r>
      <w:r>
        <w:rPr>
          <w:rFonts w:hint="eastAsia" w:ascii="宋体" w:hAnsi="宋体" w:cs="宋体"/>
          <w:color w:val="auto"/>
          <w:kern w:val="0"/>
          <w:szCs w:val="21"/>
        </w:rPr>
        <w:t>”平台远程开标大厅参与本次磋商，否则后果自负。</w:t>
      </w:r>
    </w:p>
    <w:bookmarkEnd w:id="73"/>
    <w:p w14:paraId="08832EEB">
      <w:pPr>
        <w:spacing w:line="400" w:lineRule="exact"/>
        <w:ind w:firstLine="361" w:firstLineChars="150"/>
        <w:rPr>
          <w:rFonts w:hint="eastAsia" w:ascii="宋体" w:hAnsi="宋体" w:cs="宋体"/>
          <w:b/>
          <w:bCs/>
          <w:color w:val="auto"/>
          <w:sz w:val="24"/>
        </w:rPr>
      </w:pPr>
      <w:r>
        <w:rPr>
          <w:rFonts w:hint="eastAsia" w:ascii="宋体" w:hAnsi="宋体" w:cs="宋体"/>
          <w:b/>
          <w:bCs/>
          <w:color w:val="auto"/>
          <w:sz w:val="24"/>
        </w:rPr>
        <w:t>八、凡对本次采购提出询问，请按以下方式联系。</w:t>
      </w:r>
      <w:bookmarkEnd w:id="74"/>
      <w:bookmarkEnd w:id="75"/>
      <w:bookmarkEnd w:id="76"/>
      <w:bookmarkEnd w:id="77"/>
      <w:bookmarkEnd w:id="78"/>
      <w:bookmarkEnd w:id="79"/>
    </w:p>
    <w:p w14:paraId="74E5CCD7">
      <w:pPr>
        <w:widowControl/>
        <w:spacing w:line="400" w:lineRule="exact"/>
        <w:ind w:firstLine="420" w:firstLineChars="200"/>
        <w:jc w:val="left"/>
        <w:rPr>
          <w:rFonts w:hint="eastAsia" w:ascii="宋体" w:hAnsi="宋体" w:eastAsia="宋体" w:cs="宋体"/>
          <w:bCs/>
          <w:color w:val="auto"/>
          <w:szCs w:val="21"/>
        </w:rPr>
      </w:pPr>
      <w:bookmarkStart w:id="80" w:name="_Toc35393806"/>
      <w:bookmarkStart w:id="81" w:name="_Toc35393637"/>
      <w:bookmarkStart w:id="82" w:name="_Toc28359019"/>
      <w:bookmarkStart w:id="83" w:name="_Toc28359096"/>
      <w:r>
        <w:rPr>
          <w:rFonts w:hint="eastAsia" w:ascii="宋体" w:hAnsi="宋体" w:eastAsia="宋体" w:cs="宋体"/>
          <w:bCs/>
          <w:color w:val="auto"/>
          <w:szCs w:val="21"/>
        </w:rPr>
        <w:t>1.采购人信息</w:t>
      </w:r>
    </w:p>
    <w:p w14:paraId="656EA4D5">
      <w:pPr>
        <w:widowControl/>
        <w:spacing w:line="400" w:lineRule="exact"/>
        <w:ind w:firstLine="420" w:firstLineChars="200"/>
        <w:jc w:val="left"/>
        <w:rPr>
          <w:rFonts w:hint="eastAsia" w:ascii="宋体" w:hAnsi="宋体" w:eastAsia="宋体" w:cs="宋体"/>
          <w:bCs/>
          <w:color w:val="auto"/>
          <w:szCs w:val="21"/>
        </w:rPr>
      </w:pPr>
      <w:r>
        <w:rPr>
          <w:rFonts w:hint="eastAsia" w:ascii="宋体" w:hAnsi="宋体" w:eastAsia="宋体" w:cs="宋体"/>
          <w:bCs/>
          <w:color w:val="auto"/>
          <w:szCs w:val="21"/>
        </w:rPr>
        <w:t>名    称：广西壮族自治区野生动植物和自然保护区管理站</w:t>
      </w:r>
    </w:p>
    <w:p w14:paraId="6A6C1D52">
      <w:pPr>
        <w:widowControl/>
        <w:spacing w:line="400" w:lineRule="exact"/>
        <w:ind w:firstLine="420" w:firstLineChars="200"/>
        <w:jc w:val="left"/>
        <w:rPr>
          <w:rFonts w:hint="eastAsia" w:ascii="宋体" w:hAnsi="宋体" w:eastAsia="宋体" w:cs="宋体"/>
          <w:bCs/>
          <w:color w:val="auto"/>
          <w:szCs w:val="21"/>
        </w:rPr>
      </w:pPr>
      <w:r>
        <w:rPr>
          <w:rFonts w:hint="eastAsia" w:ascii="宋体" w:hAnsi="宋体" w:eastAsia="宋体" w:cs="宋体"/>
          <w:bCs/>
          <w:color w:val="auto"/>
          <w:szCs w:val="21"/>
        </w:rPr>
        <w:t>地    址：</w:t>
      </w:r>
      <w:r>
        <w:rPr>
          <w:rFonts w:hint="eastAsia" w:ascii="宋体" w:hAnsi="宋体" w:eastAsia="宋体" w:cs="宋体"/>
          <w:bCs/>
          <w:color w:val="auto"/>
          <w:sz w:val="21"/>
          <w:szCs w:val="21"/>
        </w:rPr>
        <w:t>南宁市青秀区</w:t>
      </w:r>
      <w:r>
        <w:rPr>
          <w:rFonts w:hint="eastAsia" w:ascii="宋体" w:hAnsi="宋体" w:eastAsia="宋体" w:cs="宋体"/>
          <w:bCs/>
          <w:color w:val="auto"/>
          <w:sz w:val="21"/>
          <w:szCs w:val="21"/>
          <w:lang w:eastAsia="zh-CN"/>
        </w:rPr>
        <w:t>云景路</w:t>
      </w:r>
      <w:r>
        <w:rPr>
          <w:rFonts w:hint="eastAsia" w:ascii="宋体" w:hAnsi="宋体" w:eastAsia="宋体" w:cs="宋体"/>
          <w:bCs/>
          <w:color w:val="auto"/>
          <w:sz w:val="21"/>
          <w:szCs w:val="21"/>
          <w:lang w:val="en-US" w:eastAsia="zh-CN"/>
        </w:rPr>
        <w:t>21</w:t>
      </w:r>
      <w:r>
        <w:rPr>
          <w:rFonts w:hint="eastAsia" w:ascii="宋体" w:hAnsi="宋体" w:eastAsia="宋体" w:cs="宋体"/>
          <w:bCs/>
          <w:color w:val="auto"/>
          <w:sz w:val="21"/>
          <w:szCs w:val="21"/>
        </w:rPr>
        <w:t>号</w:t>
      </w:r>
    </w:p>
    <w:p w14:paraId="1C62B843">
      <w:pPr>
        <w:widowControl/>
        <w:spacing w:line="400" w:lineRule="exact"/>
        <w:ind w:firstLine="420" w:firstLineChars="200"/>
        <w:jc w:val="left"/>
        <w:rPr>
          <w:rFonts w:hint="eastAsia" w:ascii="宋体" w:hAnsi="宋体" w:eastAsia="宋体" w:cs="宋体"/>
          <w:bCs/>
          <w:color w:val="auto"/>
          <w:szCs w:val="21"/>
          <w:lang w:eastAsia="zh-CN"/>
        </w:rPr>
      </w:pPr>
      <w:r>
        <w:rPr>
          <w:rFonts w:hint="eastAsia" w:ascii="宋体" w:hAnsi="宋体" w:eastAsia="宋体" w:cs="宋体"/>
          <w:bCs/>
          <w:color w:val="auto"/>
          <w:szCs w:val="21"/>
        </w:rPr>
        <w:t>项目联系人：</w:t>
      </w:r>
      <w:r>
        <w:rPr>
          <w:rFonts w:hint="eastAsia" w:ascii="宋体" w:hAnsi="宋体" w:eastAsia="宋体" w:cs="宋体"/>
          <w:bCs/>
          <w:color w:val="auto"/>
          <w:szCs w:val="21"/>
          <w:lang w:eastAsia="zh-CN"/>
        </w:rPr>
        <w:t>蓝玉甜</w:t>
      </w:r>
    </w:p>
    <w:p w14:paraId="384BD618">
      <w:pPr>
        <w:widowControl/>
        <w:spacing w:line="400" w:lineRule="exact"/>
        <w:ind w:firstLine="420" w:firstLineChars="200"/>
        <w:jc w:val="left"/>
        <w:rPr>
          <w:rFonts w:hint="eastAsia" w:ascii="宋体" w:hAnsi="宋体" w:cs="宋体"/>
          <w:bCs/>
          <w:color w:val="auto"/>
          <w:szCs w:val="21"/>
          <w:lang w:val="en-US" w:eastAsia="zh-CN"/>
        </w:rPr>
      </w:pPr>
      <w:r>
        <w:rPr>
          <w:rFonts w:hint="eastAsia" w:ascii="宋体" w:hAnsi="宋体" w:eastAsia="宋体" w:cs="宋体"/>
          <w:bCs/>
          <w:color w:val="auto"/>
          <w:szCs w:val="21"/>
        </w:rPr>
        <w:t>项目联系方式：</w:t>
      </w:r>
      <w:r>
        <w:rPr>
          <w:rFonts w:hint="eastAsia" w:ascii="宋体" w:hAnsi="宋体" w:cs="宋体"/>
          <w:bCs/>
          <w:color w:val="auto"/>
          <w:szCs w:val="21"/>
          <w:lang w:val="en-US" w:eastAsia="zh-CN"/>
        </w:rPr>
        <w:t>0771-6783811</w:t>
      </w:r>
    </w:p>
    <w:p w14:paraId="3F2A73F0">
      <w:pPr>
        <w:widowControl/>
        <w:spacing w:line="400" w:lineRule="exact"/>
        <w:ind w:firstLine="420" w:firstLineChars="200"/>
        <w:jc w:val="left"/>
        <w:rPr>
          <w:rFonts w:hint="eastAsia" w:ascii="宋体" w:hAnsi="宋体" w:cs="宋体"/>
          <w:bCs/>
          <w:color w:val="auto"/>
          <w:szCs w:val="21"/>
        </w:rPr>
      </w:pPr>
      <w:r>
        <w:rPr>
          <w:rFonts w:hint="eastAsia" w:ascii="宋体" w:hAnsi="宋体" w:cs="宋体"/>
          <w:bCs/>
          <w:color w:val="auto"/>
          <w:szCs w:val="21"/>
        </w:rPr>
        <w:t>2.采购代理机构信息</w:t>
      </w:r>
    </w:p>
    <w:p w14:paraId="02D7BED2">
      <w:pPr>
        <w:widowControl/>
        <w:spacing w:line="400" w:lineRule="exact"/>
        <w:ind w:firstLine="420" w:firstLineChars="200"/>
        <w:jc w:val="left"/>
        <w:rPr>
          <w:rFonts w:hint="eastAsia" w:ascii="宋体" w:hAnsi="宋体" w:cs="宋体"/>
          <w:bCs/>
          <w:color w:val="auto"/>
          <w:szCs w:val="21"/>
        </w:rPr>
      </w:pPr>
      <w:r>
        <w:rPr>
          <w:rFonts w:hint="eastAsia" w:ascii="宋体" w:hAnsi="宋体" w:cs="宋体"/>
          <w:bCs/>
          <w:color w:val="auto"/>
          <w:szCs w:val="21"/>
        </w:rPr>
        <w:t>名    称：广西中启招标咨询有限公司</w:t>
      </w:r>
    </w:p>
    <w:p w14:paraId="7099AC74">
      <w:pPr>
        <w:widowControl/>
        <w:spacing w:line="400" w:lineRule="exact"/>
        <w:ind w:firstLine="420" w:firstLineChars="200"/>
        <w:jc w:val="left"/>
        <w:rPr>
          <w:rFonts w:hint="eastAsia" w:ascii="宋体" w:hAnsi="宋体" w:cs="宋体"/>
          <w:bCs/>
          <w:color w:val="auto"/>
          <w:szCs w:val="21"/>
        </w:rPr>
      </w:pPr>
      <w:r>
        <w:rPr>
          <w:rFonts w:hint="eastAsia" w:ascii="宋体" w:hAnsi="宋体" w:cs="宋体"/>
          <w:bCs/>
          <w:color w:val="auto"/>
          <w:szCs w:val="21"/>
        </w:rPr>
        <w:t xml:space="preserve">地　　址：广西南宁市那洪大道7号研祥智谷A1栋7楼   </w:t>
      </w:r>
    </w:p>
    <w:p w14:paraId="10C71151">
      <w:pPr>
        <w:widowControl/>
        <w:spacing w:line="400" w:lineRule="exact"/>
        <w:ind w:firstLine="420" w:firstLineChars="200"/>
        <w:jc w:val="left"/>
        <w:rPr>
          <w:rFonts w:hint="eastAsia" w:ascii="宋体" w:hAnsi="宋体" w:cs="宋体"/>
          <w:bCs/>
          <w:color w:val="auto"/>
          <w:szCs w:val="21"/>
          <w:lang w:val="en-US" w:eastAsia="zh-CN"/>
        </w:rPr>
      </w:pPr>
      <w:r>
        <w:rPr>
          <w:rFonts w:hint="eastAsia" w:ascii="宋体" w:hAnsi="宋体" w:cs="宋体"/>
          <w:bCs/>
          <w:color w:val="auto"/>
          <w:szCs w:val="21"/>
        </w:rPr>
        <w:t>项目联系人：梁煜、丁凯、方</w:t>
      </w:r>
      <w:r>
        <w:rPr>
          <w:rFonts w:hint="eastAsia" w:ascii="宋体" w:hAnsi="宋体" w:cs="宋体"/>
          <w:bCs/>
          <w:color w:val="auto"/>
          <w:szCs w:val="21"/>
          <w:lang w:val="en-US" w:eastAsia="zh-CN"/>
        </w:rPr>
        <w:t>洛菲</w:t>
      </w:r>
    </w:p>
    <w:p w14:paraId="0701350E">
      <w:pPr>
        <w:widowControl/>
        <w:spacing w:line="400" w:lineRule="exact"/>
        <w:ind w:firstLine="420" w:firstLineChars="200"/>
        <w:jc w:val="left"/>
        <w:rPr>
          <w:rFonts w:hint="eastAsia" w:ascii="宋体" w:hAnsi="宋体" w:cs="宋体"/>
          <w:bCs/>
          <w:color w:val="auto"/>
          <w:szCs w:val="21"/>
        </w:rPr>
      </w:pPr>
      <w:r>
        <w:rPr>
          <w:rFonts w:hint="eastAsia" w:ascii="宋体" w:hAnsi="宋体" w:cs="宋体"/>
          <w:bCs/>
          <w:color w:val="auto"/>
          <w:szCs w:val="21"/>
        </w:rPr>
        <w:t xml:space="preserve">项目联系方式：0771-3154419  </w:t>
      </w:r>
    </w:p>
    <w:p w14:paraId="5170B0D2">
      <w:pPr>
        <w:spacing w:line="360" w:lineRule="auto"/>
        <w:ind w:firstLine="424" w:firstLineChars="202"/>
        <w:jc w:val="left"/>
        <w:rPr>
          <w:rFonts w:hint="eastAsia" w:ascii="宋体" w:hAnsi="宋体" w:cs="宋体"/>
          <w:color w:val="auto"/>
          <w:szCs w:val="21"/>
        </w:rPr>
      </w:pPr>
      <w:r>
        <w:rPr>
          <w:rFonts w:hint="eastAsia" w:ascii="宋体" w:hAnsi="宋体" w:cs="宋体"/>
          <w:color w:val="auto"/>
          <w:szCs w:val="21"/>
        </w:rPr>
        <w:t xml:space="preserve">                                               </w:t>
      </w:r>
    </w:p>
    <w:p w14:paraId="041E0E42">
      <w:pPr>
        <w:spacing w:line="360" w:lineRule="auto"/>
        <w:jc w:val="right"/>
        <w:rPr>
          <w:rFonts w:hint="eastAsia" w:ascii="宋体" w:hAnsi="宋体" w:cs="宋体"/>
          <w:color w:val="auto"/>
          <w:szCs w:val="21"/>
        </w:rPr>
      </w:pPr>
      <w:r>
        <w:rPr>
          <w:rFonts w:hint="eastAsia" w:ascii="宋体" w:hAnsi="宋体" w:cs="宋体"/>
          <w:color w:val="auto"/>
          <w:szCs w:val="21"/>
        </w:rPr>
        <w:t>广西中启招标咨询有限公司</w:t>
      </w:r>
    </w:p>
    <w:p w14:paraId="71EE2A25">
      <w:pPr>
        <w:snapToGrid w:val="0"/>
        <w:spacing w:line="360" w:lineRule="auto"/>
        <w:ind w:firstLine="424" w:firstLineChars="202"/>
        <w:jc w:val="right"/>
        <w:rPr>
          <w:rFonts w:hint="eastAsia" w:ascii="宋体" w:hAnsi="宋体" w:cs="宋体"/>
          <w:color w:val="auto"/>
          <w:szCs w:val="21"/>
        </w:rPr>
      </w:pPr>
      <w:r>
        <w:rPr>
          <w:rFonts w:hint="eastAsia" w:ascii="宋体" w:hAnsi="宋体" w:cs="宋体"/>
          <w:color w:val="auto"/>
          <w:szCs w:val="21"/>
        </w:rPr>
        <w:t>2026年</w:t>
      </w:r>
      <w:r>
        <w:rPr>
          <w:rFonts w:hint="eastAsia" w:ascii="宋体" w:hAnsi="宋体" w:cs="宋体"/>
          <w:color w:val="auto"/>
          <w:szCs w:val="21"/>
          <w:lang w:val="en-US" w:eastAsia="zh-CN"/>
        </w:rPr>
        <w:t>7</w:t>
      </w:r>
      <w:r>
        <w:rPr>
          <w:rFonts w:hint="eastAsia" w:ascii="宋体" w:hAnsi="宋体" w:cs="宋体"/>
          <w:color w:val="auto"/>
          <w:szCs w:val="21"/>
        </w:rPr>
        <w:t>月</w:t>
      </w:r>
      <w:r>
        <w:rPr>
          <w:rFonts w:hint="eastAsia" w:ascii="宋体" w:hAnsi="宋体" w:cs="宋体"/>
          <w:color w:val="auto"/>
          <w:szCs w:val="21"/>
          <w:lang w:val="en-US" w:eastAsia="zh-CN"/>
        </w:rPr>
        <w:t>13</w:t>
      </w:r>
      <w:r>
        <w:rPr>
          <w:rFonts w:hint="eastAsia" w:ascii="宋体" w:hAnsi="宋体" w:cs="宋体"/>
          <w:color w:val="auto"/>
          <w:szCs w:val="21"/>
        </w:rPr>
        <w:t>日</w:t>
      </w:r>
    </w:p>
    <w:bookmarkEnd w:id="80"/>
    <w:bookmarkEnd w:id="81"/>
    <w:bookmarkEnd w:id="82"/>
    <w:bookmarkEnd w:id="83"/>
    <w:p w14:paraId="423D1653">
      <w:pPr>
        <w:rPr>
          <w:rFonts w:ascii="Cambria" w:hAnsi="Cambria"/>
          <w:color w:val="auto"/>
          <w:sz w:val="32"/>
          <w:szCs w:val="32"/>
        </w:rPr>
      </w:pPr>
      <w:r>
        <w:rPr>
          <w:rFonts w:hint="eastAsia" w:ascii="Cambria" w:hAnsi="Cambria"/>
          <w:color w:val="auto"/>
          <w:sz w:val="32"/>
          <w:szCs w:val="32"/>
        </w:rPr>
        <w:br w:type="page"/>
      </w:r>
    </w:p>
    <w:p w14:paraId="481F6CA3">
      <w:pPr>
        <w:pStyle w:val="6"/>
        <w:spacing w:before="100" w:after="90" w:line="240" w:lineRule="auto"/>
        <w:jc w:val="center"/>
        <w:rPr>
          <w:rFonts w:ascii="Cambria" w:hAnsi="Cambria"/>
          <w:bCs w:val="0"/>
          <w:color w:val="auto"/>
          <w:sz w:val="32"/>
          <w:szCs w:val="32"/>
        </w:rPr>
      </w:pPr>
      <w:r>
        <w:rPr>
          <w:rFonts w:hint="eastAsia" w:ascii="Cambria" w:hAnsi="Cambria"/>
          <w:bCs w:val="0"/>
          <w:color w:val="auto"/>
          <w:sz w:val="32"/>
          <w:szCs w:val="32"/>
        </w:rPr>
        <w:t>第二章 采购需求</w:t>
      </w:r>
      <w:bookmarkEnd w:id="29"/>
      <w:bookmarkEnd w:id="30"/>
      <w:bookmarkEnd w:id="31"/>
      <w:bookmarkEnd w:id="32"/>
      <w:bookmarkEnd w:id="33"/>
      <w:bookmarkEnd w:id="34"/>
      <w:bookmarkEnd w:id="35"/>
    </w:p>
    <w:bookmarkEnd w:id="36"/>
    <w:p w14:paraId="5185CC75">
      <w:pPr>
        <w:wordWrap w:val="0"/>
        <w:adjustRightInd w:val="0"/>
        <w:spacing w:line="360" w:lineRule="exact"/>
        <w:jc w:val="left"/>
        <w:rPr>
          <w:rFonts w:hint="eastAsia" w:ascii="宋体" w:hAnsi="宋体" w:cs="宋体"/>
          <w:color w:val="auto"/>
          <w:szCs w:val="21"/>
        </w:rPr>
      </w:pPr>
      <w:r>
        <w:rPr>
          <w:rFonts w:hint="eastAsia" w:ascii="宋体" w:hAnsi="宋体" w:cs="宋体"/>
          <w:color w:val="auto"/>
          <w:szCs w:val="21"/>
        </w:rPr>
        <w:t>说明：</w:t>
      </w:r>
    </w:p>
    <w:p w14:paraId="5AA5505D">
      <w:pPr>
        <w:wordWrap w:val="0"/>
        <w:adjustRightInd w:val="0"/>
        <w:spacing w:line="360" w:lineRule="exact"/>
        <w:ind w:firstLine="420" w:firstLineChars="200"/>
        <w:jc w:val="left"/>
        <w:rPr>
          <w:rFonts w:hint="eastAsia" w:ascii="宋体" w:hAnsi="宋体" w:cs="宋体"/>
          <w:color w:val="auto"/>
          <w:szCs w:val="21"/>
        </w:rPr>
      </w:pPr>
      <w:r>
        <w:rPr>
          <w:rFonts w:hint="eastAsia" w:ascii="宋体" w:hAnsi="宋体"/>
          <w:color w:val="auto"/>
        </w:rPr>
        <w:t>1</w:t>
      </w:r>
      <w:r>
        <w:rPr>
          <w:rFonts w:hint="eastAsia"/>
          <w:color w:val="auto"/>
        </w:rPr>
        <w:t>.为落实政府采购政策需满足的要求</w:t>
      </w:r>
    </w:p>
    <w:p w14:paraId="6F58B54B">
      <w:pPr>
        <w:wordWrap w:val="0"/>
        <w:adjustRightInd w:val="0"/>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（1）本竞争性磋商采购文件所称中小企业必须符合《政府采购促进中小企业发展管理办法》（财库〔2020〕46号）的规定。</w:t>
      </w:r>
    </w:p>
    <w:p w14:paraId="4767A35F">
      <w:pPr>
        <w:tabs>
          <w:tab w:val="left" w:pos="180"/>
          <w:tab w:val="left" w:pos="1620"/>
        </w:tabs>
        <w:wordWrap w:val="0"/>
        <w:adjustRightInd w:val="0"/>
        <w:spacing w:line="360" w:lineRule="exact"/>
        <w:ind w:firstLine="420" w:firstLineChars="200"/>
        <w:rPr>
          <w:rFonts w:hint="eastAsia" w:ascii="宋体" w:hAnsi="宋体" w:cs="宋体"/>
          <w:b/>
          <w:bCs/>
          <w:color w:val="auto"/>
          <w:szCs w:val="21"/>
        </w:rPr>
      </w:pPr>
      <w:r>
        <w:rPr>
          <w:rFonts w:hint="eastAsia" w:ascii="宋体" w:hAnsi="宋体" w:cs="宋体"/>
          <w:color w:val="auto"/>
          <w:szCs w:val="21"/>
        </w:rPr>
        <w:t>（2）服务项目中包含货物的，根据《财政部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w:t>
      </w:r>
      <w:r>
        <w:rPr>
          <w:rFonts w:hint="eastAsia" w:ascii="宋体" w:hAnsi="宋体" w:cs="宋体"/>
          <w:b/>
          <w:bCs/>
          <w:color w:val="auto"/>
          <w:szCs w:val="21"/>
        </w:rPr>
        <w:t>否则响应文件作无效处理</w:t>
      </w:r>
      <w:r>
        <w:rPr>
          <w:rFonts w:hint="eastAsia" w:ascii="宋体" w:hAnsi="宋体" w:cs="宋体"/>
          <w:color w:val="auto"/>
          <w:szCs w:val="21"/>
        </w:rPr>
        <w:t>。如本项目包含的配套货物属于品目清单内非标注“★”的产品时，应优先采购，具体详见“第四章 评审程序和评定成交的标准”。</w:t>
      </w:r>
    </w:p>
    <w:p w14:paraId="11CD1BF0">
      <w:pPr>
        <w:wordWrap w:val="0"/>
        <w:adjustRightInd w:val="0"/>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rPr>
        <w:t>（3）服务项目中包含货物的，根据《关于调整网络安全专用产品安全管理有关事项的公告》（2023年1号）规定，本项目采购需求中的产品如果包括《网络关键设备和网络安全专用产品目录》的网络安全专用产品，供应商在响应文件中应主动列明供货范围中属于网络安全专用产品的竞标产品，并在响应文件（商务及技术文件）中提供由中国网信网（http://www.cac.gov.cn/index.htm）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响应无效。如属于《网络关键设备和网络安全专用产品目录》中“二、网络安全专用产品”内“产品类别”中的所描述的产品，但不属于所列“产品描述”情形的，应提供相应的说明及证明材料。</w:t>
      </w:r>
    </w:p>
    <w:p w14:paraId="03A065DA">
      <w:pPr>
        <w:wordWrap w:val="0"/>
        <w:adjustRightInd w:val="0"/>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lang w:val="en-US" w:eastAsia="zh-CN"/>
        </w:rPr>
        <w:t>2.</w:t>
      </w:r>
      <w:r>
        <w:rPr>
          <w:rFonts w:hint="eastAsia" w:ascii="宋体" w:hAnsi="宋体" w:cs="宋体"/>
          <w:color w:val="auto"/>
          <w:szCs w:val="21"/>
        </w:rPr>
        <w:t>“实质性要求”是指采购需求中带“▲”的条款或者不能负偏离的条款或者已经指明不满足按响应文件作无效处理的条款。</w:t>
      </w:r>
    </w:p>
    <w:p w14:paraId="78612501">
      <w:pPr>
        <w:wordWrap w:val="0"/>
        <w:adjustRightInd w:val="0"/>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lang w:val="en-US" w:eastAsia="zh-CN"/>
        </w:rPr>
        <w:t>3</w:t>
      </w:r>
      <w:r>
        <w:rPr>
          <w:rFonts w:hint="eastAsia" w:ascii="宋体" w:hAnsi="宋体" w:cs="宋体"/>
          <w:color w:val="auto"/>
          <w:szCs w:val="21"/>
        </w:rPr>
        <w:t>.如供应商竞标产品（或服务）存在侵犯他人的知识产权或者专利成果行为的，应承担相应法律责任。</w:t>
      </w:r>
    </w:p>
    <w:p w14:paraId="5135B47A">
      <w:pPr>
        <w:wordWrap w:val="0"/>
        <w:adjustRightInd w:val="0"/>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lang w:val="en-US" w:eastAsia="zh-CN"/>
        </w:rPr>
        <w:t>4.</w:t>
      </w:r>
      <w:r>
        <w:rPr>
          <w:rFonts w:hint="eastAsia" w:ascii="宋体" w:hAnsi="宋体" w:cs="宋体"/>
          <w:color w:val="auto"/>
          <w:szCs w:val="21"/>
        </w:rPr>
        <w:t>不需要供应商对采购需求响应为具体数值的，此采购需求的数值后将以◆号标注。</w:t>
      </w:r>
    </w:p>
    <w:p w14:paraId="5A09CF7A">
      <w:pPr>
        <w:wordWrap w:val="0"/>
        <w:adjustRightInd w:val="0"/>
        <w:spacing w:line="360" w:lineRule="exact"/>
        <w:ind w:firstLine="420" w:firstLineChars="200"/>
        <w:jc w:val="left"/>
        <w:rPr>
          <w:rFonts w:hint="eastAsia" w:ascii="宋体" w:hAnsi="宋体" w:cs="宋体"/>
          <w:color w:val="auto"/>
          <w:szCs w:val="21"/>
        </w:rPr>
      </w:pPr>
      <w:r>
        <w:rPr>
          <w:rFonts w:hint="eastAsia" w:ascii="宋体" w:hAnsi="宋体" w:cs="宋体"/>
          <w:color w:val="auto"/>
          <w:szCs w:val="21"/>
          <w:lang w:val="en-US" w:eastAsia="zh-CN"/>
        </w:rPr>
        <w:t>5.</w:t>
      </w:r>
      <w:r>
        <w:rPr>
          <w:rFonts w:hint="eastAsia" w:ascii="宋体" w:hAnsi="宋体" w:cs="宋体"/>
          <w:color w:val="auto"/>
          <w:szCs w:val="21"/>
        </w:rPr>
        <w:t>采购标的对应的中小企业划分标准所属行业：根据《关于印发中小企业划型标准规定的通知》（工信部联企业〔2011〕300号），本次采购标的属于：</w:t>
      </w:r>
      <w:r>
        <w:rPr>
          <w:rFonts w:hint="eastAsia" w:ascii="宋体" w:hAnsi="宋体" w:cs="宋体"/>
          <w:b/>
          <w:color w:val="auto"/>
          <w:szCs w:val="21"/>
        </w:rPr>
        <w:t>其他未列明行业</w:t>
      </w:r>
      <w:r>
        <w:rPr>
          <w:rFonts w:hint="eastAsia" w:ascii="宋体" w:hAnsi="宋体" w:cs="宋体"/>
          <w:color w:val="auto"/>
          <w:szCs w:val="21"/>
        </w:rPr>
        <w:t>。</w:t>
      </w:r>
    </w:p>
    <w:tbl>
      <w:tblPr>
        <w:tblStyle w:val="34"/>
        <w:tblW w:w="9740" w:type="dxa"/>
        <w:jc w:val="center"/>
        <w:tblLayout w:type="fixed"/>
        <w:tblCellMar>
          <w:top w:w="0" w:type="dxa"/>
          <w:left w:w="0" w:type="dxa"/>
          <w:bottom w:w="0" w:type="dxa"/>
          <w:right w:w="0" w:type="dxa"/>
        </w:tblCellMar>
      </w:tblPr>
      <w:tblGrid>
        <w:gridCol w:w="526"/>
        <w:gridCol w:w="1428"/>
        <w:gridCol w:w="1212"/>
        <w:gridCol w:w="6574"/>
      </w:tblGrid>
      <w:tr w14:paraId="6CD8A414">
        <w:tblPrEx>
          <w:tblCellMar>
            <w:top w:w="0" w:type="dxa"/>
            <w:left w:w="0" w:type="dxa"/>
            <w:bottom w:w="0" w:type="dxa"/>
            <w:right w:w="0" w:type="dxa"/>
          </w:tblCellMar>
        </w:tblPrEx>
        <w:trPr>
          <w:trHeight w:val="472" w:hRule="atLeast"/>
          <w:jc w:val="center"/>
        </w:trPr>
        <w:tc>
          <w:tcPr>
            <w:tcW w:w="9740" w:type="dxa"/>
            <w:gridSpan w:val="4"/>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552947C">
            <w:pPr>
              <w:widowControl/>
              <w:jc w:val="left"/>
              <w:rPr>
                <w:rFonts w:hint="eastAsia" w:ascii="宋体" w:hAnsi="宋体" w:eastAsia="宋体" w:cs="宋体"/>
                <w:b/>
                <w:bCs/>
                <w:color w:val="auto"/>
                <w:szCs w:val="21"/>
              </w:rPr>
            </w:pPr>
            <w:r>
              <w:rPr>
                <w:rFonts w:hint="eastAsia" w:ascii="宋体" w:hAnsi="宋体" w:eastAsia="宋体" w:cs="宋体"/>
                <w:b/>
                <w:bCs/>
                <w:color w:val="auto"/>
                <w:szCs w:val="21"/>
              </w:rPr>
              <w:t>一．采购需求</w:t>
            </w:r>
          </w:p>
        </w:tc>
      </w:tr>
      <w:tr w14:paraId="3E312219">
        <w:tblPrEx>
          <w:tblCellMar>
            <w:top w:w="0" w:type="dxa"/>
            <w:left w:w="0" w:type="dxa"/>
            <w:bottom w:w="0" w:type="dxa"/>
            <w:right w:w="0" w:type="dxa"/>
          </w:tblCellMar>
        </w:tblPrEx>
        <w:trPr>
          <w:trHeight w:val="780" w:hRule="atLeast"/>
          <w:jc w:val="center"/>
        </w:trPr>
        <w:tc>
          <w:tcPr>
            <w:tcW w:w="5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AD9EC20">
            <w:pPr>
              <w:spacing w:line="380" w:lineRule="exact"/>
              <w:jc w:val="center"/>
              <w:rPr>
                <w:rFonts w:hint="eastAsia" w:ascii="宋体" w:hAnsi="宋体" w:eastAsia="宋体" w:cs="宋体"/>
                <w:b/>
                <w:bCs/>
                <w:color w:val="auto"/>
                <w:szCs w:val="21"/>
              </w:rPr>
            </w:pPr>
            <w:r>
              <w:rPr>
                <w:rFonts w:hint="eastAsia" w:ascii="宋体" w:hAnsi="宋体" w:eastAsia="宋体" w:cs="宋体"/>
                <w:b/>
                <w:bCs/>
                <w:color w:val="auto"/>
                <w:szCs w:val="21"/>
              </w:rPr>
              <w:t>序号</w:t>
            </w:r>
          </w:p>
        </w:tc>
        <w:tc>
          <w:tcPr>
            <w:tcW w:w="1428"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534BFD26">
            <w:pPr>
              <w:snapToGrid w:val="0"/>
              <w:spacing w:line="380" w:lineRule="exact"/>
              <w:jc w:val="center"/>
              <w:rPr>
                <w:rFonts w:hint="eastAsia" w:ascii="宋体" w:hAnsi="宋体" w:eastAsia="宋体" w:cs="宋体"/>
                <w:b/>
                <w:bCs/>
                <w:color w:val="auto"/>
                <w:szCs w:val="21"/>
              </w:rPr>
            </w:pPr>
            <w:r>
              <w:rPr>
                <w:rFonts w:hint="eastAsia" w:ascii="宋体" w:hAnsi="宋体" w:eastAsia="宋体" w:cs="宋体"/>
                <w:b/>
                <w:bCs/>
                <w:color w:val="auto"/>
                <w:szCs w:val="21"/>
              </w:rPr>
              <w:t>标的名称</w:t>
            </w:r>
          </w:p>
        </w:tc>
        <w:tc>
          <w:tcPr>
            <w:tcW w:w="1212"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4BCA3FD">
            <w:pPr>
              <w:spacing w:line="380" w:lineRule="exact"/>
              <w:jc w:val="center"/>
              <w:rPr>
                <w:rFonts w:hint="eastAsia" w:ascii="宋体" w:hAnsi="宋体" w:eastAsia="宋体" w:cs="宋体"/>
                <w:b/>
                <w:bCs/>
                <w:color w:val="auto"/>
                <w:szCs w:val="21"/>
              </w:rPr>
            </w:pPr>
            <w:r>
              <w:rPr>
                <w:rFonts w:hint="eastAsia" w:ascii="宋体" w:hAnsi="宋体" w:eastAsia="宋体" w:cs="宋体"/>
                <w:b/>
                <w:bCs/>
                <w:color w:val="auto"/>
                <w:szCs w:val="21"/>
              </w:rPr>
              <w:t>数量及单位</w:t>
            </w:r>
          </w:p>
        </w:tc>
        <w:tc>
          <w:tcPr>
            <w:tcW w:w="6574" w:type="dxa"/>
            <w:tcBorders>
              <w:top w:val="single" w:color="auto" w:sz="4" w:space="0"/>
              <w:left w:val="nil"/>
              <w:bottom w:val="single" w:color="auto" w:sz="4" w:space="0"/>
              <w:right w:val="single" w:color="auto" w:sz="4" w:space="0"/>
            </w:tcBorders>
            <w:vAlign w:val="center"/>
          </w:tcPr>
          <w:p w14:paraId="7D5DCAD8">
            <w:pPr>
              <w:spacing w:line="380" w:lineRule="exact"/>
              <w:jc w:val="center"/>
              <w:rPr>
                <w:rFonts w:hint="eastAsia" w:ascii="宋体" w:hAnsi="宋体" w:eastAsia="宋体" w:cs="宋体"/>
                <w:b/>
                <w:bCs/>
                <w:color w:val="auto"/>
                <w:szCs w:val="21"/>
              </w:rPr>
            </w:pPr>
            <w:r>
              <w:rPr>
                <w:rFonts w:hint="eastAsia" w:ascii="宋体" w:hAnsi="宋体" w:eastAsia="宋体" w:cs="宋体"/>
                <w:b/>
                <w:bCs/>
                <w:color w:val="auto"/>
                <w:szCs w:val="21"/>
              </w:rPr>
              <w:t>服务要求及内容</w:t>
            </w:r>
          </w:p>
        </w:tc>
      </w:tr>
      <w:tr w14:paraId="259CDEF2">
        <w:tblPrEx>
          <w:tblCellMar>
            <w:top w:w="0" w:type="dxa"/>
            <w:left w:w="0" w:type="dxa"/>
            <w:bottom w:w="0" w:type="dxa"/>
            <w:right w:w="0" w:type="dxa"/>
          </w:tblCellMar>
        </w:tblPrEx>
        <w:trPr>
          <w:trHeight w:val="1341" w:hRule="atLeast"/>
          <w:jc w:val="center"/>
        </w:trPr>
        <w:tc>
          <w:tcPr>
            <w:tcW w:w="5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7D34488">
            <w:pPr>
              <w:spacing w:line="288" w:lineRule="auto"/>
              <w:jc w:val="center"/>
              <w:rPr>
                <w:rFonts w:hint="eastAsia" w:ascii="宋体" w:hAnsi="宋体" w:eastAsia="宋体" w:cs="宋体"/>
                <w:color w:val="auto"/>
                <w:szCs w:val="21"/>
              </w:rPr>
            </w:pPr>
          </w:p>
          <w:p w14:paraId="01F5301F">
            <w:pPr>
              <w:spacing w:line="288" w:lineRule="auto"/>
              <w:jc w:val="center"/>
              <w:rPr>
                <w:rFonts w:hint="eastAsia" w:ascii="宋体" w:hAnsi="宋体" w:eastAsia="宋体" w:cs="宋体"/>
                <w:color w:val="auto"/>
                <w:szCs w:val="21"/>
              </w:rPr>
            </w:pPr>
          </w:p>
          <w:p w14:paraId="26631709">
            <w:pPr>
              <w:spacing w:line="288" w:lineRule="auto"/>
              <w:jc w:val="center"/>
              <w:rPr>
                <w:rFonts w:hint="eastAsia" w:ascii="宋体" w:hAnsi="宋体" w:eastAsia="宋体" w:cs="宋体"/>
                <w:color w:val="auto"/>
                <w:szCs w:val="21"/>
              </w:rPr>
            </w:pPr>
          </w:p>
          <w:p w14:paraId="58BB3B07">
            <w:pPr>
              <w:spacing w:line="288" w:lineRule="auto"/>
              <w:jc w:val="center"/>
              <w:rPr>
                <w:rFonts w:hint="eastAsia" w:ascii="宋体" w:hAnsi="宋体" w:eastAsia="宋体" w:cs="宋体"/>
                <w:color w:val="auto"/>
                <w:szCs w:val="21"/>
              </w:rPr>
            </w:pPr>
          </w:p>
          <w:p w14:paraId="264623AC">
            <w:pPr>
              <w:spacing w:line="288" w:lineRule="auto"/>
              <w:jc w:val="center"/>
              <w:rPr>
                <w:rFonts w:hint="eastAsia" w:ascii="宋体" w:hAnsi="宋体" w:eastAsia="宋体" w:cs="宋体"/>
                <w:color w:val="auto"/>
                <w:szCs w:val="21"/>
              </w:rPr>
            </w:pPr>
          </w:p>
          <w:p w14:paraId="6F15062A">
            <w:pPr>
              <w:spacing w:line="288" w:lineRule="auto"/>
              <w:jc w:val="center"/>
              <w:rPr>
                <w:rFonts w:hint="eastAsia" w:ascii="宋体" w:hAnsi="宋体" w:eastAsia="宋体" w:cs="宋体"/>
                <w:color w:val="auto"/>
                <w:szCs w:val="21"/>
              </w:rPr>
            </w:pPr>
          </w:p>
          <w:p w14:paraId="3D5CF164">
            <w:pPr>
              <w:spacing w:line="288" w:lineRule="auto"/>
              <w:jc w:val="center"/>
              <w:rPr>
                <w:rFonts w:hint="eastAsia" w:ascii="宋体" w:hAnsi="宋体" w:eastAsia="宋体" w:cs="宋体"/>
                <w:color w:val="auto"/>
                <w:szCs w:val="21"/>
              </w:rPr>
            </w:pPr>
          </w:p>
          <w:p w14:paraId="39EF2EBA">
            <w:pPr>
              <w:spacing w:line="288" w:lineRule="auto"/>
              <w:jc w:val="center"/>
              <w:rPr>
                <w:rFonts w:hint="eastAsia" w:ascii="宋体" w:hAnsi="宋体" w:eastAsia="宋体" w:cs="宋体"/>
                <w:color w:val="auto"/>
                <w:szCs w:val="21"/>
              </w:rPr>
            </w:pPr>
          </w:p>
          <w:p w14:paraId="3AD9E6DD">
            <w:pPr>
              <w:spacing w:line="288" w:lineRule="auto"/>
              <w:jc w:val="center"/>
              <w:rPr>
                <w:rFonts w:hint="eastAsia" w:ascii="宋体" w:hAnsi="宋体" w:eastAsia="宋体" w:cs="宋体"/>
                <w:color w:val="auto"/>
                <w:szCs w:val="21"/>
              </w:rPr>
            </w:pPr>
          </w:p>
          <w:p w14:paraId="6B4C2E9B">
            <w:pPr>
              <w:spacing w:line="288" w:lineRule="auto"/>
              <w:jc w:val="center"/>
              <w:rPr>
                <w:rFonts w:hint="eastAsia" w:ascii="宋体" w:hAnsi="宋体" w:eastAsia="宋体" w:cs="宋体"/>
                <w:color w:val="auto"/>
                <w:szCs w:val="21"/>
              </w:rPr>
            </w:pPr>
          </w:p>
          <w:p w14:paraId="2D727C7B">
            <w:pPr>
              <w:spacing w:line="288" w:lineRule="auto"/>
              <w:jc w:val="center"/>
              <w:rPr>
                <w:rFonts w:hint="eastAsia" w:ascii="宋体" w:hAnsi="宋体" w:eastAsia="宋体" w:cs="宋体"/>
                <w:color w:val="auto"/>
                <w:szCs w:val="21"/>
              </w:rPr>
            </w:pPr>
          </w:p>
          <w:p w14:paraId="3F162E22">
            <w:pPr>
              <w:spacing w:line="288" w:lineRule="auto"/>
              <w:jc w:val="center"/>
              <w:rPr>
                <w:rFonts w:hint="eastAsia" w:ascii="宋体" w:hAnsi="宋体" w:eastAsia="宋体" w:cs="宋体"/>
                <w:bCs/>
                <w:color w:val="auto"/>
                <w:szCs w:val="21"/>
              </w:rPr>
            </w:pPr>
            <w:r>
              <w:rPr>
                <w:rFonts w:hint="eastAsia" w:ascii="宋体" w:hAnsi="宋体" w:eastAsia="宋体" w:cs="宋体"/>
                <w:color w:val="auto"/>
                <w:szCs w:val="21"/>
              </w:rPr>
              <w:t>1</w:t>
            </w:r>
          </w:p>
        </w:tc>
        <w:tc>
          <w:tcPr>
            <w:tcW w:w="1428"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64897F96">
            <w:pPr>
              <w:spacing w:line="360" w:lineRule="auto"/>
              <w:jc w:val="center"/>
              <w:rPr>
                <w:rFonts w:hint="eastAsia" w:ascii="宋体" w:hAnsi="宋体" w:eastAsia="宋体" w:cs="宋体"/>
                <w:color w:val="auto"/>
                <w:kern w:val="0"/>
                <w:szCs w:val="21"/>
              </w:rPr>
            </w:pPr>
          </w:p>
          <w:p w14:paraId="57914519">
            <w:pPr>
              <w:spacing w:line="360" w:lineRule="auto"/>
              <w:jc w:val="center"/>
              <w:rPr>
                <w:rFonts w:hint="eastAsia" w:ascii="宋体" w:hAnsi="宋体" w:eastAsia="宋体" w:cs="宋体"/>
                <w:color w:val="auto"/>
                <w:kern w:val="0"/>
                <w:szCs w:val="21"/>
              </w:rPr>
            </w:pPr>
          </w:p>
          <w:p w14:paraId="1A0AD88E">
            <w:pPr>
              <w:spacing w:line="360" w:lineRule="auto"/>
              <w:jc w:val="center"/>
              <w:rPr>
                <w:rFonts w:hint="eastAsia" w:ascii="宋体" w:hAnsi="宋体" w:eastAsia="宋体" w:cs="宋体"/>
                <w:color w:val="auto"/>
                <w:kern w:val="0"/>
                <w:szCs w:val="21"/>
              </w:rPr>
            </w:pPr>
          </w:p>
          <w:p w14:paraId="33295504">
            <w:pPr>
              <w:spacing w:line="360" w:lineRule="auto"/>
              <w:jc w:val="center"/>
              <w:rPr>
                <w:rFonts w:hint="eastAsia" w:ascii="宋体" w:hAnsi="宋体" w:eastAsia="宋体" w:cs="宋体"/>
                <w:color w:val="auto"/>
                <w:kern w:val="0"/>
                <w:szCs w:val="21"/>
              </w:rPr>
            </w:pPr>
          </w:p>
          <w:p w14:paraId="14AFD178">
            <w:pPr>
              <w:spacing w:line="360" w:lineRule="auto"/>
              <w:jc w:val="center"/>
              <w:rPr>
                <w:rFonts w:hint="eastAsia" w:ascii="宋体" w:hAnsi="宋体" w:eastAsia="宋体" w:cs="宋体"/>
                <w:color w:val="auto"/>
                <w:kern w:val="0"/>
                <w:szCs w:val="21"/>
              </w:rPr>
            </w:pPr>
          </w:p>
          <w:p w14:paraId="5AFE7614">
            <w:pPr>
              <w:spacing w:line="360" w:lineRule="auto"/>
              <w:jc w:val="center"/>
              <w:rPr>
                <w:rFonts w:hint="eastAsia" w:ascii="宋体" w:hAnsi="宋体" w:eastAsia="宋体" w:cs="宋体"/>
                <w:color w:val="auto"/>
                <w:kern w:val="0"/>
                <w:szCs w:val="21"/>
              </w:rPr>
            </w:pPr>
          </w:p>
          <w:p w14:paraId="3B1B9D62">
            <w:pPr>
              <w:spacing w:line="360" w:lineRule="auto"/>
              <w:jc w:val="center"/>
              <w:rPr>
                <w:rFonts w:hint="eastAsia" w:ascii="宋体" w:hAnsi="宋体" w:eastAsia="宋体" w:cs="宋体"/>
                <w:color w:val="auto"/>
                <w:kern w:val="0"/>
                <w:szCs w:val="21"/>
              </w:rPr>
            </w:pPr>
          </w:p>
          <w:p w14:paraId="3B57827F">
            <w:pPr>
              <w:spacing w:line="360" w:lineRule="auto"/>
              <w:jc w:val="center"/>
              <w:rPr>
                <w:rFonts w:hint="eastAsia" w:ascii="宋体" w:hAnsi="宋体" w:eastAsia="宋体" w:cs="宋体"/>
                <w:color w:val="auto"/>
                <w:kern w:val="0"/>
                <w:szCs w:val="21"/>
              </w:rPr>
            </w:pPr>
            <w:r>
              <w:rPr>
                <w:rFonts w:hint="eastAsia" w:ascii="宋体" w:hAnsi="宋体" w:eastAsia="宋体" w:cs="宋体"/>
                <w:b w:val="0"/>
                <w:bCs w:val="0"/>
                <w:color w:val="auto"/>
                <w:w w:val="100"/>
                <w:kern w:val="2"/>
                <w:sz w:val="21"/>
                <w:szCs w:val="21"/>
                <w:lang w:val="en-US" w:eastAsia="zh-CN"/>
              </w:rPr>
              <w:t>广西壮族自治区国家级自然保护区勘界立标基础设施建设项目</w:t>
            </w:r>
            <w:r>
              <w:rPr>
                <w:rFonts w:hint="eastAsia" w:ascii="宋体" w:hAnsi="宋体" w:cs="宋体"/>
                <w:b w:val="0"/>
                <w:bCs w:val="0"/>
                <w:color w:val="auto"/>
                <w:w w:val="100"/>
                <w:kern w:val="2"/>
                <w:sz w:val="21"/>
                <w:szCs w:val="21"/>
                <w:lang w:val="en-US" w:eastAsia="zh-CN"/>
              </w:rPr>
              <w:t>（项目建议书和可行性研究报告编制服务）</w:t>
            </w:r>
          </w:p>
          <w:p w14:paraId="76C687F5">
            <w:pPr>
              <w:spacing w:line="360" w:lineRule="auto"/>
              <w:jc w:val="center"/>
              <w:rPr>
                <w:rFonts w:hint="eastAsia" w:ascii="宋体" w:hAnsi="宋体" w:eastAsia="宋体" w:cs="宋体"/>
                <w:color w:val="auto"/>
                <w:kern w:val="0"/>
                <w:szCs w:val="21"/>
              </w:rPr>
            </w:pPr>
          </w:p>
          <w:p w14:paraId="09BBEED8">
            <w:pPr>
              <w:spacing w:line="360" w:lineRule="auto"/>
              <w:jc w:val="center"/>
              <w:rPr>
                <w:rFonts w:hint="eastAsia" w:ascii="宋体" w:hAnsi="宋体" w:eastAsia="宋体" w:cs="宋体"/>
                <w:color w:val="auto"/>
                <w:kern w:val="0"/>
                <w:szCs w:val="21"/>
              </w:rPr>
            </w:pPr>
          </w:p>
          <w:p w14:paraId="345E2712">
            <w:pPr>
              <w:spacing w:line="360" w:lineRule="auto"/>
              <w:jc w:val="center"/>
              <w:rPr>
                <w:rFonts w:hint="eastAsia" w:ascii="宋体" w:hAnsi="宋体" w:eastAsia="宋体" w:cs="宋体"/>
                <w:color w:val="auto"/>
                <w:kern w:val="0"/>
                <w:szCs w:val="21"/>
              </w:rPr>
            </w:pPr>
          </w:p>
          <w:p w14:paraId="4A775F62">
            <w:pPr>
              <w:spacing w:line="360" w:lineRule="auto"/>
              <w:jc w:val="center"/>
              <w:rPr>
                <w:rFonts w:hint="eastAsia" w:ascii="宋体" w:hAnsi="宋体" w:eastAsia="宋体" w:cs="宋体"/>
                <w:color w:val="auto"/>
                <w:kern w:val="0"/>
                <w:szCs w:val="21"/>
              </w:rPr>
            </w:pPr>
          </w:p>
          <w:p w14:paraId="2E2144AF">
            <w:pPr>
              <w:spacing w:line="360" w:lineRule="auto"/>
              <w:jc w:val="center"/>
              <w:rPr>
                <w:rFonts w:hint="eastAsia" w:ascii="宋体" w:hAnsi="宋体" w:eastAsia="宋体" w:cs="宋体"/>
                <w:color w:val="auto"/>
                <w:kern w:val="0"/>
                <w:szCs w:val="21"/>
              </w:rPr>
            </w:pPr>
          </w:p>
          <w:p w14:paraId="079FE7B1">
            <w:pPr>
              <w:spacing w:line="360" w:lineRule="auto"/>
              <w:jc w:val="center"/>
              <w:rPr>
                <w:rFonts w:hint="eastAsia" w:ascii="宋体" w:hAnsi="宋体" w:eastAsia="宋体" w:cs="宋体"/>
                <w:bCs/>
                <w:color w:val="auto"/>
                <w:szCs w:val="21"/>
              </w:rPr>
            </w:pPr>
          </w:p>
        </w:tc>
        <w:tc>
          <w:tcPr>
            <w:tcW w:w="1212"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6BBE9724">
            <w:pPr>
              <w:widowControl/>
              <w:spacing w:line="360" w:lineRule="auto"/>
              <w:jc w:val="both"/>
              <w:rPr>
                <w:rFonts w:hint="eastAsia" w:ascii="宋体" w:hAnsi="宋体" w:eastAsia="宋体" w:cs="宋体"/>
                <w:bCs/>
                <w:color w:val="auto"/>
                <w:szCs w:val="21"/>
              </w:rPr>
            </w:pPr>
          </w:p>
          <w:p w14:paraId="3EA57A86">
            <w:pPr>
              <w:widowControl/>
              <w:spacing w:line="360" w:lineRule="auto"/>
              <w:jc w:val="both"/>
              <w:rPr>
                <w:rFonts w:hint="eastAsia" w:ascii="宋体" w:hAnsi="宋体" w:eastAsia="宋体" w:cs="宋体"/>
                <w:bCs/>
                <w:color w:val="auto"/>
                <w:szCs w:val="21"/>
              </w:rPr>
            </w:pPr>
          </w:p>
          <w:p w14:paraId="6B97C752">
            <w:pPr>
              <w:widowControl/>
              <w:spacing w:line="360" w:lineRule="auto"/>
              <w:jc w:val="both"/>
              <w:rPr>
                <w:rFonts w:hint="eastAsia" w:ascii="宋体" w:hAnsi="宋体" w:eastAsia="宋体" w:cs="宋体"/>
                <w:bCs/>
                <w:color w:val="auto"/>
                <w:szCs w:val="21"/>
              </w:rPr>
            </w:pPr>
          </w:p>
          <w:p w14:paraId="59B14040">
            <w:pPr>
              <w:widowControl/>
              <w:spacing w:line="360" w:lineRule="auto"/>
              <w:jc w:val="both"/>
              <w:rPr>
                <w:rFonts w:hint="eastAsia" w:ascii="宋体" w:hAnsi="宋体" w:eastAsia="宋体" w:cs="宋体"/>
                <w:bCs/>
                <w:color w:val="auto"/>
                <w:szCs w:val="21"/>
              </w:rPr>
            </w:pPr>
          </w:p>
          <w:p w14:paraId="5498A6A4">
            <w:pPr>
              <w:widowControl/>
              <w:spacing w:line="360" w:lineRule="auto"/>
              <w:jc w:val="both"/>
              <w:rPr>
                <w:rFonts w:hint="eastAsia" w:ascii="宋体" w:hAnsi="宋体" w:eastAsia="宋体" w:cs="宋体"/>
                <w:bCs/>
                <w:color w:val="auto"/>
                <w:szCs w:val="21"/>
              </w:rPr>
            </w:pPr>
          </w:p>
          <w:p w14:paraId="300A4A98">
            <w:pPr>
              <w:widowControl/>
              <w:spacing w:line="360" w:lineRule="auto"/>
              <w:jc w:val="both"/>
              <w:rPr>
                <w:rFonts w:hint="eastAsia" w:ascii="宋体" w:hAnsi="宋体" w:eastAsia="宋体" w:cs="宋体"/>
                <w:bCs/>
                <w:color w:val="auto"/>
                <w:szCs w:val="21"/>
              </w:rPr>
            </w:pPr>
          </w:p>
          <w:p w14:paraId="6722F8AC">
            <w:pPr>
              <w:widowControl/>
              <w:spacing w:line="360" w:lineRule="auto"/>
              <w:jc w:val="both"/>
              <w:rPr>
                <w:rFonts w:hint="eastAsia" w:ascii="宋体" w:hAnsi="宋体" w:eastAsia="宋体" w:cs="宋体"/>
                <w:bCs/>
                <w:color w:val="auto"/>
                <w:szCs w:val="21"/>
              </w:rPr>
            </w:pPr>
          </w:p>
          <w:p w14:paraId="1BB32EFD">
            <w:pPr>
              <w:widowControl/>
              <w:spacing w:line="360" w:lineRule="auto"/>
              <w:jc w:val="both"/>
              <w:rPr>
                <w:rFonts w:hint="eastAsia" w:ascii="宋体" w:hAnsi="宋体" w:eastAsia="宋体" w:cs="宋体"/>
                <w:bCs/>
                <w:color w:val="auto"/>
                <w:szCs w:val="21"/>
              </w:rPr>
            </w:pPr>
          </w:p>
          <w:p w14:paraId="0AC273CE">
            <w:pPr>
              <w:widowControl/>
              <w:spacing w:line="360" w:lineRule="auto"/>
              <w:jc w:val="center"/>
              <w:rPr>
                <w:rFonts w:hint="eastAsia" w:ascii="宋体" w:hAnsi="宋体" w:eastAsia="宋体" w:cs="宋体"/>
                <w:bCs/>
                <w:color w:val="auto"/>
                <w:szCs w:val="21"/>
                <w:lang w:val="en-US" w:eastAsia="zh-CN"/>
              </w:rPr>
            </w:pPr>
            <w:r>
              <w:rPr>
                <w:rFonts w:hint="eastAsia" w:ascii="宋体" w:hAnsi="宋体" w:eastAsia="宋体" w:cs="宋体"/>
                <w:bCs/>
                <w:color w:val="auto"/>
                <w:szCs w:val="21"/>
                <w:lang w:val="en-US" w:eastAsia="zh-CN"/>
              </w:rPr>
              <w:t>1项</w:t>
            </w:r>
          </w:p>
        </w:tc>
        <w:tc>
          <w:tcPr>
            <w:tcW w:w="6574" w:type="dxa"/>
            <w:tcBorders>
              <w:top w:val="single" w:color="auto" w:sz="4" w:space="0"/>
              <w:left w:val="nil"/>
              <w:bottom w:val="single" w:color="auto" w:sz="4" w:space="0"/>
              <w:right w:val="single" w:color="auto" w:sz="4" w:space="0"/>
            </w:tcBorders>
            <w:vAlign w:val="center"/>
          </w:tcPr>
          <w:p w14:paraId="3D1E0CA6">
            <w:pPr>
              <w:numPr>
                <w:ilvl w:val="0"/>
                <w:numId w:val="2"/>
              </w:numPr>
              <w:wordWrap w:val="0"/>
              <w:adjustRightInd w:val="0"/>
              <w:spacing w:line="360" w:lineRule="auto"/>
              <w:ind w:firstLine="422" w:firstLineChars="200"/>
              <w:jc w:val="left"/>
              <w:rPr>
                <w:rFonts w:hint="default"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项目</w:t>
            </w:r>
            <w:r>
              <w:rPr>
                <w:rFonts w:hint="default" w:ascii="宋体" w:hAnsi="宋体" w:eastAsia="宋体" w:cs="宋体"/>
                <w:b/>
                <w:bCs/>
                <w:color w:val="auto"/>
                <w:szCs w:val="21"/>
                <w:lang w:val="en-US" w:eastAsia="zh-CN"/>
              </w:rPr>
              <w:t>建设规模和主要建设内容。</w:t>
            </w:r>
          </w:p>
          <w:p w14:paraId="7FD47974">
            <w:pPr>
              <w:numPr>
                <w:ilvl w:val="0"/>
                <w:numId w:val="0"/>
              </w:numPr>
              <w:wordWrap w:val="0"/>
              <w:adjustRightInd w:val="0"/>
              <w:spacing w:line="360" w:lineRule="auto"/>
              <w:ind w:firstLine="420" w:firstLineChars="200"/>
              <w:jc w:val="left"/>
              <w:rPr>
                <w:rFonts w:hint="default" w:ascii="宋体" w:hAnsi="宋体" w:eastAsia="宋体" w:cs="宋体"/>
                <w:color w:val="auto"/>
                <w:szCs w:val="21"/>
                <w:highlight w:val="yellow"/>
                <w:lang w:val="en-US" w:eastAsia="zh-CN"/>
              </w:rPr>
            </w:pPr>
            <w:r>
              <w:rPr>
                <w:rFonts w:hint="default" w:ascii="宋体" w:hAnsi="宋体" w:eastAsia="宋体" w:cs="宋体"/>
                <w:color w:val="auto"/>
                <w:szCs w:val="21"/>
                <w:lang w:val="en-US" w:eastAsia="zh-CN"/>
              </w:rPr>
              <w:t>开展</w:t>
            </w:r>
            <w:r>
              <w:rPr>
                <w:rFonts w:hint="eastAsia" w:ascii="宋体" w:hAnsi="宋体" w:cs="宋体"/>
                <w:color w:val="auto"/>
                <w:szCs w:val="21"/>
                <w:lang w:val="en-US" w:eastAsia="zh-CN"/>
              </w:rPr>
              <w:t>广西壮族自治区23个</w:t>
            </w:r>
            <w:r>
              <w:rPr>
                <w:rFonts w:hint="default" w:ascii="宋体" w:hAnsi="宋体" w:eastAsia="宋体" w:cs="宋体"/>
                <w:color w:val="auto"/>
                <w:szCs w:val="21"/>
                <w:lang w:val="en-US" w:eastAsia="zh-CN"/>
              </w:rPr>
              <w:t>国家级自然保护区勘界立标</w:t>
            </w:r>
            <w:r>
              <w:rPr>
                <w:rFonts w:hint="eastAsia" w:ascii="宋体" w:hAnsi="宋体" w:eastAsia="宋体" w:cs="宋体"/>
                <w:color w:val="auto"/>
                <w:szCs w:val="21"/>
                <w:lang w:val="en-US" w:eastAsia="zh-CN"/>
              </w:rPr>
              <w:t>项目建议书及可行性研究报告编制</w:t>
            </w:r>
            <w:r>
              <w:rPr>
                <w:rFonts w:hint="default" w:ascii="宋体" w:hAnsi="宋体" w:eastAsia="宋体" w:cs="宋体"/>
                <w:color w:val="auto"/>
                <w:szCs w:val="21"/>
                <w:lang w:val="en-US" w:eastAsia="zh-CN"/>
              </w:rPr>
              <w:t>工作</w:t>
            </w:r>
            <w:r>
              <w:rPr>
                <w:rFonts w:hint="eastAsia" w:ascii="宋体" w:hAnsi="宋体" w:cs="宋体"/>
                <w:color w:val="auto"/>
                <w:szCs w:val="21"/>
                <w:lang w:val="en-US" w:eastAsia="zh-CN"/>
              </w:rPr>
              <w:t>。</w:t>
            </w:r>
          </w:p>
          <w:p w14:paraId="6E7DB400">
            <w:pPr>
              <w:wordWrap w:val="0"/>
              <w:adjustRightInd w:val="0"/>
              <w:spacing w:line="360" w:lineRule="auto"/>
              <w:ind w:firstLine="420" w:firstLineChars="200"/>
              <w:jc w:val="left"/>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（一）编制项目建议书：开展前期调查研究，明确项目建设背景和建设条件，开展必要性和需求分析，</w:t>
            </w:r>
            <w:r>
              <w:rPr>
                <w:rFonts w:hint="default" w:ascii="宋体" w:hAnsi="宋体" w:eastAsia="宋体" w:cs="宋体"/>
                <w:color w:val="auto"/>
                <w:szCs w:val="21"/>
                <w:lang w:val="en-US" w:eastAsia="zh-CN"/>
              </w:rPr>
              <w:t>编制广西壮族自治区国家级自然保护区勘界立标基础设施建设项目建议书</w:t>
            </w:r>
            <w:r>
              <w:rPr>
                <w:rFonts w:hint="eastAsia" w:ascii="宋体" w:hAnsi="宋体" w:cs="宋体"/>
                <w:color w:val="auto"/>
                <w:szCs w:val="21"/>
                <w:lang w:val="en-US" w:eastAsia="zh-CN"/>
              </w:rPr>
              <w:t>及论证工作</w:t>
            </w:r>
            <w:r>
              <w:rPr>
                <w:rFonts w:hint="eastAsia" w:ascii="宋体" w:hAnsi="宋体" w:eastAsia="宋体" w:cs="宋体"/>
                <w:color w:val="auto"/>
                <w:szCs w:val="21"/>
                <w:lang w:val="en-US" w:eastAsia="zh-CN"/>
              </w:rPr>
              <w:t>。</w:t>
            </w:r>
            <w:r>
              <w:rPr>
                <w:rFonts w:hint="eastAsia" w:ascii="宋体" w:hAnsi="宋体" w:eastAsia="宋体" w:cs="宋体"/>
                <w:i w:val="0"/>
                <w:iCs w:val="0"/>
                <w:caps w:val="0"/>
                <w:color w:val="auto"/>
                <w:spacing w:val="0"/>
                <w:sz w:val="21"/>
                <w:szCs w:val="21"/>
                <w:shd w:val="clear" w:fill="auto"/>
                <w:lang w:eastAsia="zh-CN"/>
              </w:rPr>
              <w:t>项目建议书应对项目建设的</w:t>
            </w:r>
            <w:r>
              <w:rPr>
                <w:rFonts w:hint="eastAsia" w:ascii="宋体" w:hAnsi="宋体" w:eastAsia="宋体" w:cs="宋体"/>
                <w:b w:val="0"/>
                <w:bCs w:val="0"/>
                <w:i w:val="0"/>
                <w:iCs w:val="0"/>
                <w:caps w:val="0"/>
                <w:color w:val="auto"/>
                <w:spacing w:val="0"/>
                <w:sz w:val="21"/>
                <w:szCs w:val="21"/>
                <w:shd w:val="clear" w:fill="auto"/>
                <w:lang w:eastAsia="zh-CN"/>
              </w:rPr>
              <w:t>必要性、主要建设内容、拟建地点、拟建规模、投资匡算、资金筹措以及社会效益和经济效益等进行初步分析</w:t>
            </w:r>
            <w:r>
              <w:rPr>
                <w:rFonts w:hint="eastAsia" w:ascii="宋体" w:hAnsi="宋体" w:eastAsia="宋体" w:cs="宋体"/>
                <w:i w:val="0"/>
                <w:iCs w:val="0"/>
                <w:caps w:val="0"/>
                <w:color w:val="auto"/>
                <w:spacing w:val="0"/>
                <w:sz w:val="21"/>
                <w:szCs w:val="21"/>
                <w:shd w:val="clear" w:fill="auto"/>
                <w:lang w:eastAsia="zh-CN"/>
              </w:rPr>
              <w:t>，并附相应文件资料</w:t>
            </w:r>
            <w:r>
              <w:rPr>
                <w:rFonts w:hint="eastAsia" w:ascii="宋体" w:hAnsi="宋体" w:cs="宋体"/>
                <w:color w:val="auto"/>
                <w:szCs w:val="21"/>
                <w:lang w:val="en-US" w:eastAsia="zh-CN"/>
              </w:rPr>
              <w:t>。</w:t>
            </w:r>
          </w:p>
          <w:p w14:paraId="7500AA0E">
            <w:pPr>
              <w:wordWrap w:val="0"/>
              <w:adjustRightInd w:val="0"/>
              <w:spacing w:line="360" w:lineRule="auto"/>
              <w:ind w:firstLine="420" w:firstLineChars="200"/>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（二）编制项目</w:t>
            </w:r>
            <w:r>
              <w:rPr>
                <w:rFonts w:hint="default" w:ascii="宋体" w:hAnsi="宋体" w:eastAsia="宋体" w:cs="宋体"/>
                <w:color w:val="auto"/>
                <w:szCs w:val="21"/>
                <w:lang w:val="en-US" w:eastAsia="zh-CN"/>
              </w:rPr>
              <w:t>可行性研究报告</w:t>
            </w:r>
            <w:r>
              <w:rPr>
                <w:rFonts w:hint="eastAsia" w:ascii="宋体" w:hAnsi="宋体" w:eastAsia="宋体" w:cs="宋体"/>
                <w:color w:val="auto"/>
                <w:szCs w:val="21"/>
                <w:lang w:val="en-US" w:eastAsia="zh-CN"/>
              </w:rPr>
              <w:t>。在</w:t>
            </w:r>
            <w:r>
              <w:rPr>
                <w:rFonts w:hint="default" w:ascii="宋体" w:hAnsi="宋体" w:eastAsia="宋体" w:cs="宋体"/>
                <w:color w:val="auto"/>
                <w:szCs w:val="21"/>
                <w:lang w:val="en-US" w:eastAsia="zh-CN"/>
              </w:rPr>
              <w:t>项目建议书</w:t>
            </w:r>
            <w:r>
              <w:rPr>
                <w:rFonts w:hint="eastAsia" w:ascii="宋体" w:hAnsi="宋体" w:eastAsia="宋体" w:cs="宋体"/>
                <w:color w:val="auto"/>
                <w:szCs w:val="21"/>
                <w:lang w:val="en-US" w:eastAsia="zh-CN"/>
              </w:rPr>
              <w:t>的基础上，深入分析</w:t>
            </w:r>
            <w:r>
              <w:rPr>
                <w:rFonts w:ascii="宋体" w:hAnsi="宋体" w:eastAsia="宋体" w:cs="宋体"/>
                <w:b w:val="0"/>
                <w:bCs w:val="0"/>
                <w:i w:val="0"/>
                <w:iCs w:val="0"/>
                <w:caps w:val="0"/>
                <w:color w:val="auto"/>
                <w:spacing w:val="0"/>
                <w:sz w:val="21"/>
                <w:szCs w:val="21"/>
                <w:shd w:val="clear" w:fill="auto"/>
              </w:rPr>
              <w:t>项目建设背景和必要性</w:t>
            </w:r>
            <w:r>
              <w:rPr>
                <w:rFonts w:hint="default" w:ascii="宋体" w:hAnsi="宋体" w:eastAsia="宋体" w:cs="宋体"/>
                <w:b w:val="0"/>
                <w:bCs w:val="0"/>
                <w:i w:val="0"/>
                <w:iCs w:val="0"/>
                <w:caps w:val="0"/>
                <w:color w:val="auto"/>
                <w:spacing w:val="0"/>
                <w:sz w:val="21"/>
                <w:szCs w:val="21"/>
                <w:shd w:val="clear" w:fill="auto"/>
                <w:lang w:eastAsia="zh-CN"/>
              </w:rPr>
              <w:t>、</w:t>
            </w:r>
            <w:r>
              <w:rPr>
                <w:rFonts w:ascii="宋体" w:hAnsi="宋体" w:eastAsia="宋体" w:cs="宋体"/>
                <w:b w:val="0"/>
                <w:bCs w:val="0"/>
                <w:i w:val="0"/>
                <w:iCs w:val="0"/>
                <w:caps w:val="0"/>
                <w:color w:val="auto"/>
                <w:spacing w:val="0"/>
                <w:sz w:val="21"/>
                <w:szCs w:val="21"/>
                <w:shd w:val="clear" w:fill="auto"/>
              </w:rPr>
              <w:t>项目需求分析与产出方案</w:t>
            </w:r>
            <w:r>
              <w:rPr>
                <w:rFonts w:hint="default" w:ascii="宋体" w:hAnsi="宋体" w:eastAsia="宋体" w:cs="宋体"/>
                <w:b w:val="0"/>
                <w:bCs w:val="0"/>
                <w:i w:val="0"/>
                <w:iCs w:val="0"/>
                <w:caps w:val="0"/>
                <w:color w:val="auto"/>
                <w:spacing w:val="0"/>
                <w:sz w:val="21"/>
                <w:szCs w:val="21"/>
                <w:shd w:val="clear" w:fill="auto"/>
                <w:lang w:eastAsia="zh-CN"/>
              </w:rPr>
              <w:t>、</w:t>
            </w:r>
            <w:r>
              <w:rPr>
                <w:rFonts w:ascii="宋体" w:hAnsi="宋体" w:eastAsia="宋体" w:cs="宋体"/>
                <w:b w:val="0"/>
                <w:bCs w:val="0"/>
                <w:i w:val="0"/>
                <w:iCs w:val="0"/>
                <w:caps w:val="0"/>
                <w:color w:val="auto"/>
                <w:spacing w:val="0"/>
                <w:sz w:val="21"/>
                <w:szCs w:val="21"/>
                <w:shd w:val="clear" w:fill="auto"/>
              </w:rPr>
              <w:t>项目选址与要素保障</w:t>
            </w:r>
            <w:r>
              <w:rPr>
                <w:rFonts w:hint="default" w:ascii="宋体" w:hAnsi="宋体" w:eastAsia="宋体" w:cs="宋体"/>
                <w:b w:val="0"/>
                <w:bCs w:val="0"/>
                <w:i w:val="0"/>
                <w:iCs w:val="0"/>
                <w:caps w:val="0"/>
                <w:color w:val="auto"/>
                <w:spacing w:val="0"/>
                <w:sz w:val="21"/>
                <w:szCs w:val="21"/>
                <w:shd w:val="clear" w:fill="auto"/>
                <w:lang w:eastAsia="zh-CN"/>
              </w:rPr>
              <w:t>、</w:t>
            </w:r>
            <w:r>
              <w:rPr>
                <w:rFonts w:ascii="宋体" w:hAnsi="宋体" w:eastAsia="宋体" w:cs="宋体"/>
                <w:b w:val="0"/>
                <w:bCs w:val="0"/>
                <w:i w:val="0"/>
                <w:iCs w:val="0"/>
                <w:caps w:val="0"/>
                <w:color w:val="auto"/>
                <w:spacing w:val="0"/>
                <w:sz w:val="21"/>
                <w:szCs w:val="21"/>
                <w:shd w:val="clear" w:fill="auto"/>
              </w:rPr>
              <w:t>项目建设方案</w:t>
            </w:r>
            <w:r>
              <w:rPr>
                <w:rFonts w:hint="default" w:ascii="宋体" w:hAnsi="宋体" w:eastAsia="宋体" w:cs="宋体"/>
                <w:b w:val="0"/>
                <w:bCs w:val="0"/>
                <w:i w:val="0"/>
                <w:iCs w:val="0"/>
                <w:caps w:val="0"/>
                <w:color w:val="auto"/>
                <w:spacing w:val="0"/>
                <w:sz w:val="21"/>
                <w:szCs w:val="21"/>
                <w:shd w:val="clear" w:fill="auto"/>
                <w:lang w:eastAsia="zh-CN"/>
              </w:rPr>
              <w:t>、</w:t>
            </w:r>
            <w:r>
              <w:rPr>
                <w:rFonts w:ascii="宋体" w:hAnsi="宋体" w:eastAsia="宋体" w:cs="宋体"/>
                <w:b w:val="0"/>
                <w:bCs w:val="0"/>
                <w:i w:val="0"/>
                <w:iCs w:val="0"/>
                <w:caps w:val="0"/>
                <w:color w:val="auto"/>
                <w:spacing w:val="0"/>
                <w:sz w:val="21"/>
                <w:szCs w:val="21"/>
                <w:shd w:val="clear" w:fill="auto"/>
              </w:rPr>
              <w:t>项目运营方案</w:t>
            </w:r>
            <w:r>
              <w:rPr>
                <w:rFonts w:hint="default" w:ascii="宋体" w:hAnsi="宋体" w:eastAsia="宋体" w:cs="宋体"/>
                <w:b w:val="0"/>
                <w:bCs w:val="0"/>
                <w:i w:val="0"/>
                <w:iCs w:val="0"/>
                <w:caps w:val="0"/>
                <w:color w:val="auto"/>
                <w:spacing w:val="0"/>
                <w:sz w:val="21"/>
                <w:szCs w:val="21"/>
                <w:shd w:val="clear" w:fill="auto"/>
                <w:lang w:eastAsia="zh-CN"/>
              </w:rPr>
              <w:t>、</w:t>
            </w:r>
            <w:r>
              <w:rPr>
                <w:rFonts w:ascii="宋体" w:hAnsi="宋体" w:eastAsia="宋体" w:cs="宋体"/>
                <w:b w:val="0"/>
                <w:bCs w:val="0"/>
                <w:i w:val="0"/>
                <w:iCs w:val="0"/>
                <w:caps w:val="0"/>
                <w:color w:val="auto"/>
                <w:spacing w:val="0"/>
                <w:sz w:val="21"/>
                <w:szCs w:val="21"/>
                <w:shd w:val="clear" w:fill="auto"/>
              </w:rPr>
              <w:t>项目投融资与财务方案</w:t>
            </w:r>
            <w:r>
              <w:rPr>
                <w:rFonts w:hint="default" w:ascii="宋体" w:hAnsi="宋体" w:eastAsia="宋体" w:cs="宋体"/>
                <w:b w:val="0"/>
                <w:bCs w:val="0"/>
                <w:i w:val="0"/>
                <w:iCs w:val="0"/>
                <w:caps w:val="0"/>
                <w:color w:val="auto"/>
                <w:spacing w:val="0"/>
                <w:sz w:val="21"/>
                <w:szCs w:val="21"/>
                <w:shd w:val="clear" w:fill="auto"/>
                <w:lang w:eastAsia="zh-CN"/>
              </w:rPr>
              <w:t>、</w:t>
            </w:r>
            <w:r>
              <w:rPr>
                <w:rFonts w:ascii="宋体" w:hAnsi="宋体" w:eastAsia="宋体" w:cs="宋体"/>
                <w:b w:val="0"/>
                <w:bCs w:val="0"/>
                <w:i w:val="0"/>
                <w:iCs w:val="0"/>
                <w:caps w:val="0"/>
                <w:color w:val="auto"/>
                <w:spacing w:val="0"/>
                <w:sz w:val="21"/>
                <w:szCs w:val="21"/>
                <w:shd w:val="clear" w:fill="auto"/>
              </w:rPr>
              <w:t>项目影响效果分析</w:t>
            </w:r>
            <w:r>
              <w:rPr>
                <w:rFonts w:hint="default" w:ascii="宋体" w:hAnsi="宋体" w:eastAsia="宋体" w:cs="宋体"/>
                <w:b w:val="0"/>
                <w:bCs w:val="0"/>
                <w:i w:val="0"/>
                <w:iCs w:val="0"/>
                <w:caps w:val="0"/>
                <w:color w:val="auto"/>
                <w:spacing w:val="0"/>
                <w:sz w:val="21"/>
                <w:szCs w:val="21"/>
                <w:shd w:val="clear" w:fill="auto"/>
                <w:lang w:eastAsia="zh-CN"/>
              </w:rPr>
              <w:t>、</w:t>
            </w:r>
            <w:r>
              <w:rPr>
                <w:rFonts w:ascii="宋体" w:hAnsi="宋体" w:eastAsia="宋体" w:cs="宋体"/>
                <w:b w:val="0"/>
                <w:bCs w:val="0"/>
                <w:i w:val="0"/>
                <w:iCs w:val="0"/>
                <w:caps w:val="0"/>
                <w:color w:val="auto"/>
                <w:spacing w:val="0"/>
                <w:sz w:val="21"/>
                <w:szCs w:val="21"/>
                <w:shd w:val="clear" w:fill="auto"/>
              </w:rPr>
              <w:t>项目风险管控方案</w:t>
            </w:r>
            <w:r>
              <w:rPr>
                <w:rFonts w:hint="default" w:ascii="宋体" w:hAnsi="宋体" w:eastAsia="宋体" w:cs="宋体"/>
                <w:b w:val="0"/>
                <w:bCs w:val="0"/>
                <w:i w:val="0"/>
                <w:iCs w:val="0"/>
                <w:caps w:val="0"/>
                <w:color w:val="auto"/>
                <w:spacing w:val="0"/>
                <w:sz w:val="21"/>
                <w:szCs w:val="21"/>
                <w:shd w:val="clear" w:fill="auto"/>
                <w:lang w:eastAsia="zh-CN"/>
              </w:rPr>
              <w:t>、</w:t>
            </w:r>
            <w:r>
              <w:rPr>
                <w:rFonts w:ascii="宋体" w:hAnsi="宋体" w:eastAsia="宋体" w:cs="宋体"/>
                <w:b w:val="0"/>
                <w:bCs w:val="0"/>
                <w:i w:val="0"/>
                <w:iCs w:val="0"/>
                <w:caps w:val="0"/>
                <w:color w:val="auto"/>
                <w:spacing w:val="0"/>
                <w:sz w:val="21"/>
                <w:szCs w:val="21"/>
                <w:shd w:val="clear" w:fill="auto"/>
              </w:rPr>
              <w:t>研究结论及建议</w:t>
            </w:r>
            <w:r>
              <w:rPr>
                <w:rFonts w:hint="default" w:ascii="宋体" w:hAnsi="宋体" w:eastAsia="宋体" w:cs="宋体"/>
                <w:b w:val="0"/>
                <w:bCs w:val="0"/>
                <w:i w:val="0"/>
                <w:iCs w:val="0"/>
                <w:caps w:val="0"/>
                <w:color w:val="auto"/>
                <w:spacing w:val="0"/>
                <w:sz w:val="21"/>
                <w:szCs w:val="21"/>
                <w:shd w:val="clear" w:fill="auto"/>
                <w:lang w:val="en-US" w:eastAsia="zh-CN"/>
              </w:rPr>
              <w:t>等</w:t>
            </w:r>
            <w:r>
              <w:rPr>
                <w:rFonts w:ascii="宋体" w:hAnsi="宋体" w:eastAsia="宋体" w:cs="宋体"/>
                <w:b w:val="0"/>
                <w:bCs w:val="0"/>
                <w:i w:val="0"/>
                <w:iCs w:val="0"/>
                <w:caps w:val="0"/>
                <w:color w:val="auto"/>
                <w:spacing w:val="0"/>
                <w:sz w:val="21"/>
                <w:szCs w:val="21"/>
                <w:shd w:val="clear" w:fill="auto"/>
              </w:rPr>
              <w:t>内容</w:t>
            </w:r>
            <w:r>
              <w:rPr>
                <w:rFonts w:hint="eastAsia" w:ascii="宋体" w:hAnsi="宋体" w:eastAsia="宋体" w:cs="宋体"/>
                <w:color w:val="auto"/>
                <w:szCs w:val="21"/>
                <w:lang w:val="en-US" w:eastAsia="zh-CN"/>
              </w:rPr>
              <w:t>，</w:t>
            </w:r>
            <w:r>
              <w:rPr>
                <w:rFonts w:hint="default" w:ascii="宋体" w:hAnsi="宋体" w:eastAsia="宋体" w:cs="宋体"/>
                <w:color w:val="auto"/>
                <w:szCs w:val="21"/>
                <w:lang w:val="en-US" w:eastAsia="zh-CN"/>
              </w:rPr>
              <w:t>编制广西壮族自治区国家级自然保护区勘界立标基础设施</w:t>
            </w:r>
            <w:r>
              <w:rPr>
                <w:rFonts w:hint="eastAsia" w:ascii="宋体" w:hAnsi="宋体" w:cs="宋体"/>
                <w:color w:val="auto"/>
                <w:szCs w:val="21"/>
                <w:lang w:val="en-US" w:eastAsia="zh-CN"/>
              </w:rPr>
              <w:t>建设项目</w:t>
            </w:r>
            <w:r>
              <w:rPr>
                <w:rFonts w:hint="default" w:ascii="宋体" w:hAnsi="宋体" w:eastAsia="宋体" w:cs="宋体"/>
                <w:color w:val="auto"/>
                <w:szCs w:val="21"/>
                <w:lang w:val="en-US" w:eastAsia="zh-CN"/>
              </w:rPr>
              <w:t>可行性研究报告</w:t>
            </w:r>
            <w:r>
              <w:rPr>
                <w:rFonts w:hint="eastAsia" w:ascii="宋体" w:hAnsi="宋体" w:eastAsia="宋体" w:cs="宋体"/>
                <w:color w:val="auto"/>
                <w:szCs w:val="21"/>
                <w:lang w:val="en-US" w:eastAsia="zh-CN"/>
              </w:rPr>
              <w:t>。</w:t>
            </w:r>
          </w:p>
          <w:p w14:paraId="7E9EC68F">
            <w:pPr>
              <w:wordWrap w:val="0"/>
              <w:adjustRightInd w:val="0"/>
              <w:spacing w:line="360" w:lineRule="auto"/>
              <w:ind w:firstLine="422" w:firstLineChars="200"/>
              <w:jc w:val="left"/>
              <w:rPr>
                <w:rFonts w:hint="eastAsia"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二、项目实施依据</w:t>
            </w:r>
          </w:p>
          <w:p w14:paraId="4B483734">
            <w:pPr>
              <w:wordWrap w:val="0"/>
              <w:adjustRightInd w:val="0"/>
              <w:spacing w:line="360" w:lineRule="auto"/>
              <w:ind w:firstLine="420" w:firstLineChars="200"/>
              <w:jc w:val="left"/>
              <w:rPr>
                <w:rFonts w:hint="default" w:ascii="宋体" w:hAnsi="宋体" w:eastAsia="宋体" w:cs="宋体"/>
                <w:color w:val="auto"/>
                <w:szCs w:val="21"/>
                <w:shd w:val="clear" w:fill="auto"/>
                <w:lang w:val="en-US" w:eastAsia="zh-CN"/>
              </w:rPr>
            </w:pPr>
            <w:r>
              <w:rPr>
                <w:rFonts w:hint="default" w:ascii="宋体" w:hAnsi="宋体" w:eastAsia="宋体" w:cs="宋体"/>
                <w:color w:val="auto"/>
                <w:szCs w:val="21"/>
                <w:shd w:val="clear" w:fill="auto"/>
                <w:lang w:val="en-US" w:eastAsia="zh-CN"/>
              </w:rPr>
              <w:t>1.《</w:t>
            </w:r>
            <w:bookmarkStart w:id="84" w:name="OLE_LINK4"/>
            <w:r>
              <w:rPr>
                <w:rFonts w:hint="default" w:ascii="宋体" w:hAnsi="宋体" w:eastAsia="宋体" w:cs="宋体"/>
                <w:color w:val="auto"/>
                <w:szCs w:val="21"/>
                <w:shd w:val="clear" w:fill="auto"/>
                <w:lang w:val="en-US" w:eastAsia="zh-CN"/>
              </w:rPr>
              <w:t>中华人民共和国自然保护区条例</w:t>
            </w:r>
            <w:bookmarkEnd w:id="84"/>
            <w:r>
              <w:rPr>
                <w:rFonts w:hint="default" w:ascii="宋体" w:hAnsi="宋体" w:eastAsia="宋体" w:cs="宋体"/>
                <w:color w:val="auto"/>
                <w:szCs w:val="21"/>
                <w:shd w:val="clear" w:fill="auto"/>
                <w:lang w:val="en-US" w:eastAsia="zh-CN"/>
              </w:rPr>
              <w:t>》（2026年修订）（国务院令第830号）：</w:t>
            </w:r>
          </w:p>
          <w:p w14:paraId="40235319">
            <w:pPr>
              <w:wordWrap w:val="0"/>
              <w:adjustRightInd w:val="0"/>
              <w:spacing w:line="360" w:lineRule="auto"/>
              <w:ind w:firstLine="420" w:firstLineChars="200"/>
              <w:jc w:val="left"/>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w:t>
            </w:r>
            <w:r>
              <w:rPr>
                <w:rFonts w:hint="default" w:ascii="宋体" w:hAnsi="宋体" w:eastAsia="宋体" w:cs="宋体"/>
                <w:color w:val="auto"/>
                <w:szCs w:val="21"/>
                <w:lang w:val="en-US" w:eastAsia="zh-CN"/>
              </w:rPr>
              <w:t>《自然保护地勘界立标规范》</w:t>
            </w:r>
            <w:r>
              <w:rPr>
                <w:rFonts w:hint="eastAsia" w:ascii="宋体" w:hAnsi="宋体" w:cs="宋体"/>
                <w:color w:val="auto"/>
                <w:szCs w:val="21"/>
                <w:lang w:val="en-US" w:eastAsia="zh-CN"/>
              </w:rPr>
              <w:t xml:space="preserve">GB/T </w:t>
            </w:r>
            <w:r>
              <w:rPr>
                <w:rFonts w:hint="default" w:ascii="宋体" w:hAnsi="宋体" w:eastAsia="宋体" w:cs="宋体"/>
                <w:color w:val="auto"/>
                <w:szCs w:val="21"/>
                <w:lang w:val="en-US" w:eastAsia="zh-CN"/>
              </w:rPr>
              <w:t>39740-2020</w:t>
            </w:r>
          </w:p>
          <w:p w14:paraId="147D0646">
            <w:pPr>
              <w:wordWrap w:val="0"/>
              <w:adjustRightInd w:val="0"/>
              <w:spacing w:line="360" w:lineRule="auto"/>
              <w:ind w:firstLine="420" w:firstLineChars="200"/>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3.自然保护区等自然保护地勘界立标工作规范</w:t>
            </w:r>
          </w:p>
          <w:p w14:paraId="75DF6B26">
            <w:pPr>
              <w:wordWrap w:val="0"/>
              <w:adjustRightInd w:val="0"/>
              <w:spacing w:line="360" w:lineRule="auto"/>
              <w:ind w:firstLine="420" w:firstLineChars="200"/>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4.自然保护区功能区划技术规程</w:t>
            </w:r>
            <w:r>
              <w:rPr>
                <w:rFonts w:hint="eastAsia" w:ascii="宋体" w:hAnsi="宋体" w:cs="宋体"/>
                <w:color w:val="auto"/>
                <w:szCs w:val="21"/>
                <w:lang w:val="en-US" w:eastAsia="zh-CN"/>
              </w:rPr>
              <w:t xml:space="preserve">GB/T </w:t>
            </w:r>
            <w:r>
              <w:rPr>
                <w:rFonts w:hint="eastAsia" w:ascii="宋体" w:hAnsi="宋体" w:eastAsia="宋体" w:cs="宋体"/>
                <w:color w:val="auto"/>
                <w:szCs w:val="21"/>
                <w:lang w:val="en-US" w:eastAsia="zh-CN"/>
              </w:rPr>
              <w:t>35822-2018</w:t>
            </w:r>
          </w:p>
          <w:p w14:paraId="1062B2BA">
            <w:pPr>
              <w:wordWrap w:val="0"/>
              <w:adjustRightInd w:val="0"/>
              <w:spacing w:line="360" w:lineRule="auto"/>
              <w:ind w:firstLine="420" w:firstLineChars="200"/>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5.国家公园勘界立标规范</w:t>
            </w:r>
            <w:r>
              <w:rPr>
                <w:rFonts w:hint="eastAsia" w:ascii="宋体" w:hAnsi="宋体" w:cs="宋体"/>
                <w:color w:val="auto"/>
                <w:szCs w:val="21"/>
                <w:lang w:val="en-US" w:eastAsia="zh-CN"/>
              </w:rPr>
              <w:t>LY/T 3190-2020</w:t>
            </w:r>
          </w:p>
          <w:p w14:paraId="141B879C">
            <w:pPr>
              <w:wordWrap w:val="0"/>
              <w:adjustRightInd w:val="0"/>
              <w:spacing w:line="360" w:lineRule="auto"/>
              <w:ind w:firstLine="420" w:firstLineChars="200"/>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6.自然保护区设施标识规范</w:t>
            </w:r>
            <w:r>
              <w:rPr>
                <w:rFonts w:hint="eastAsia" w:ascii="宋体" w:hAnsi="宋体" w:cs="宋体"/>
                <w:color w:val="auto"/>
                <w:szCs w:val="21"/>
                <w:lang w:val="en-US" w:eastAsia="zh-CN"/>
              </w:rPr>
              <w:t>LY/T</w:t>
            </w:r>
            <w:r>
              <w:rPr>
                <w:rFonts w:hint="eastAsia" w:ascii="宋体" w:hAnsi="宋体" w:eastAsia="宋体" w:cs="宋体"/>
                <w:color w:val="auto"/>
                <w:szCs w:val="21"/>
                <w:lang w:val="en-US" w:eastAsia="zh-CN"/>
              </w:rPr>
              <w:t xml:space="preserve"> 1953-2011 </w:t>
            </w:r>
          </w:p>
          <w:p w14:paraId="2CE32EB6">
            <w:pPr>
              <w:wordWrap w:val="0"/>
              <w:adjustRightInd w:val="0"/>
              <w:spacing w:line="360" w:lineRule="auto"/>
              <w:ind w:firstLine="420" w:firstLineChars="200"/>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7.广西自然保护地勘界立标技术规范（DB45</w:t>
            </w:r>
            <w:r>
              <w:rPr>
                <w:rFonts w:hint="eastAsia" w:ascii="宋体" w:hAnsi="宋体" w:cs="宋体"/>
                <w:color w:val="auto"/>
                <w:szCs w:val="21"/>
                <w:lang w:val="en-US" w:eastAsia="zh-CN"/>
              </w:rPr>
              <w:t>/T 2853</w:t>
            </w:r>
            <w:r>
              <w:rPr>
                <w:rFonts w:hint="eastAsia" w:ascii="宋体" w:hAnsi="宋体" w:eastAsia="宋体" w:cs="宋体"/>
                <w:color w:val="auto"/>
                <w:szCs w:val="21"/>
                <w:lang w:val="en-US" w:eastAsia="zh-CN"/>
              </w:rPr>
              <w:t>-2024</w:t>
            </w:r>
          </w:p>
          <w:p w14:paraId="1DE71706">
            <w:pPr>
              <w:wordWrap w:val="0"/>
              <w:adjustRightInd w:val="0"/>
              <w:spacing w:line="360" w:lineRule="auto"/>
              <w:ind w:firstLine="420" w:firstLineChars="200"/>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8.自然保护区总体规划技术规程</w:t>
            </w:r>
            <w:r>
              <w:rPr>
                <w:rFonts w:hint="eastAsia" w:ascii="宋体" w:hAnsi="宋体" w:cs="宋体"/>
                <w:color w:val="auto"/>
                <w:szCs w:val="21"/>
                <w:lang w:val="en-US" w:eastAsia="zh-CN"/>
              </w:rPr>
              <w:t>GB/T 20399</w:t>
            </w:r>
            <w:r>
              <w:rPr>
                <w:rFonts w:hint="eastAsia" w:ascii="宋体" w:hAnsi="宋体" w:eastAsia="宋体" w:cs="宋体"/>
                <w:color w:val="auto"/>
                <w:szCs w:val="21"/>
                <w:lang w:val="en-US" w:eastAsia="zh-CN"/>
              </w:rPr>
              <w:t>-2006</w:t>
            </w:r>
          </w:p>
          <w:p w14:paraId="51EFAF57">
            <w:pPr>
              <w:wordWrap w:val="0"/>
              <w:adjustRightInd w:val="0"/>
              <w:spacing w:line="360" w:lineRule="auto"/>
              <w:ind w:firstLine="420" w:firstLineChars="200"/>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9.全球导航卫星系统（GNSS）测量规范</w:t>
            </w:r>
            <w:r>
              <w:rPr>
                <w:rFonts w:hint="eastAsia" w:ascii="宋体" w:hAnsi="宋体" w:cs="宋体"/>
                <w:color w:val="auto"/>
                <w:szCs w:val="21"/>
                <w:lang w:val="en-US" w:eastAsia="zh-CN"/>
              </w:rPr>
              <w:t xml:space="preserve">GB/T </w:t>
            </w:r>
            <w:r>
              <w:rPr>
                <w:rFonts w:hint="eastAsia" w:ascii="宋体" w:hAnsi="宋体" w:eastAsia="宋体" w:cs="宋体"/>
                <w:color w:val="auto"/>
                <w:szCs w:val="21"/>
                <w:lang w:val="en-US" w:eastAsia="zh-CN"/>
              </w:rPr>
              <w:t>18314-2024</w:t>
            </w:r>
          </w:p>
          <w:p w14:paraId="6694B934">
            <w:pPr>
              <w:wordWrap w:val="0"/>
              <w:adjustRightInd w:val="0"/>
              <w:spacing w:line="360" w:lineRule="auto"/>
              <w:ind w:firstLine="420" w:firstLineChars="200"/>
              <w:jc w:val="left"/>
              <w:rPr>
                <w:rFonts w:hint="eastAsia" w:ascii="宋体" w:hAnsi="宋体" w:eastAsia="宋体" w:cs="宋体"/>
                <w:i w:val="0"/>
                <w:iCs w:val="0"/>
                <w:caps w:val="0"/>
                <w:color w:val="auto"/>
                <w:spacing w:val="0"/>
                <w:kern w:val="2"/>
                <w:sz w:val="21"/>
                <w:szCs w:val="21"/>
                <w:lang w:val="en-US" w:eastAsia="zh-CN" w:bidi="ar"/>
              </w:rPr>
            </w:pPr>
            <w:r>
              <w:rPr>
                <w:rFonts w:hint="eastAsia" w:ascii="宋体" w:hAnsi="宋体" w:cs="宋体"/>
                <w:color w:val="auto"/>
                <w:szCs w:val="21"/>
                <w:lang w:val="en-US" w:eastAsia="zh-CN"/>
              </w:rPr>
              <w:t>10.</w:t>
            </w:r>
            <w:r>
              <w:rPr>
                <w:rFonts w:hint="eastAsia" w:ascii="宋体" w:hAnsi="宋体" w:eastAsia="宋体" w:cs="宋体"/>
                <w:i w:val="0"/>
                <w:iCs w:val="0"/>
                <w:caps w:val="0"/>
                <w:color w:val="auto"/>
                <w:spacing w:val="0"/>
                <w:kern w:val="2"/>
                <w:sz w:val="21"/>
                <w:szCs w:val="21"/>
                <w:lang w:val="en-US" w:eastAsia="zh-CN" w:bidi="ar"/>
              </w:rPr>
              <w:t>《政府投资条例》（国务院令第712号）</w:t>
            </w:r>
          </w:p>
          <w:p w14:paraId="1465A760">
            <w:pPr>
              <w:wordWrap w:val="0"/>
              <w:adjustRightInd w:val="0"/>
              <w:spacing w:line="360" w:lineRule="auto"/>
              <w:ind w:firstLine="420" w:firstLineChars="200"/>
              <w:jc w:val="left"/>
              <w:rPr>
                <w:rFonts w:hint="eastAsia" w:ascii="宋体" w:hAnsi="宋体" w:eastAsia="宋体" w:cs="宋体"/>
                <w:i w:val="0"/>
                <w:iCs w:val="0"/>
                <w:caps w:val="0"/>
                <w:color w:val="auto"/>
                <w:spacing w:val="0"/>
                <w:kern w:val="2"/>
                <w:sz w:val="21"/>
                <w:szCs w:val="21"/>
                <w:lang w:val="en-US" w:eastAsia="zh-CN" w:bidi="ar"/>
              </w:rPr>
            </w:pPr>
            <w:r>
              <w:rPr>
                <w:rFonts w:hint="eastAsia" w:ascii="宋体" w:hAnsi="宋体" w:eastAsia="宋体" w:cs="宋体"/>
                <w:i w:val="0"/>
                <w:iCs w:val="0"/>
                <w:caps w:val="0"/>
                <w:color w:val="auto"/>
                <w:spacing w:val="0"/>
                <w:kern w:val="2"/>
                <w:sz w:val="21"/>
                <w:szCs w:val="21"/>
                <w:lang w:val="en-US" w:eastAsia="zh-CN" w:bidi="ar"/>
              </w:rPr>
              <w:t>11.《林业固定资产投资建设项目管理办法》（国家林业局令第36号）</w:t>
            </w:r>
          </w:p>
          <w:p w14:paraId="048EAD4A">
            <w:pPr>
              <w:wordWrap w:val="0"/>
              <w:adjustRightInd w:val="0"/>
              <w:spacing w:line="360" w:lineRule="auto"/>
              <w:ind w:firstLine="420" w:firstLineChars="200"/>
              <w:jc w:val="left"/>
              <w:rPr>
                <w:rFonts w:hint="eastAsia" w:ascii="宋体" w:hAnsi="宋体" w:eastAsia="宋体" w:cs="宋体"/>
                <w:i w:val="0"/>
                <w:iCs w:val="0"/>
                <w:caps w:val="0"/>
                <w:color w:val="auto"/>
                <w:spacing w:val="0"/>
                <w:kern w:val="2"/>
                <w:sz w:val="21"/>
                <w:szCs w:val="21"/>
                <w:lang w:val="en-US" w:eastAsia="zh-CN" w:bidi="ar"/>
              </w:rPr>
            </w:pPr>
            <w:r>
              <w:rPr>
                <w:rFonts w:hint="eastAsia" w:ascii="宋体" w:hAnsi="宋体" w:eastAsia="宋体" w:cs="宋体"/>
                <w:i w:val="0"/>
                <w:iCs w:val="0"/>
                <w:caps w:val="0"/>
                <w:color w:val="auto"/>
                <w:spacing w:val="0"/>
                <w:kern w:val="2"/>
                <w:sz w:val="21"/>
                <w:szCs w:val="21"/>
                <w:lang w:val="en-US" w:eastAsia="zh-CN" w:bidi="ar"/>
              </w:rPr>
              <w:t>12.《国家发展改革委关于印发投资项目可行性研究报告编写大纲及说明的通知》（发改投资规〔2023〕304号）</w:t>
            </w:r>
          </w:p>
          <w:p w14:paraId="75CA408E">
            <w:pPr>
              <w:wordWrap w:val="0"/>
              <w:adjustRightInd w:val="0"/>
              <w:spacing w:line="360" w:lineRule="auto"/>
              <w:ind w:firstLine="420" w:firstLineChars="200"/>
              <w:jc w:val="left"/>
              <w:rPr>
                <w:rFonts w:hint="eastAsia" w:ascii="宋体" w:hAnsi="宋体" w:eastAsia="宋体" w:cs="宋体"/>
                <w:i w:val="0"/>
                <w:iCs w:val="0"/>
                <w:caps w:val="0"/>
                <w:color w:val="auto"/>
                <w:spacing w:val="0"/>
                <w:kern w:val="2"/>
                <w:sz w:val="21"/>
                <w:szCs w:val="21"/>
                <w:lang w:val="en-US" w:eastAsia="zh-CN" w:bidi="ar"/>
              </w:rPr>
            </w:pPr>
            <w:r>
              <w:rPr>
                <w:rFonts w:hint="eastAsia" w:ascii="宋体" w:hAnsi="宋体" w:eastAsia="宋体" w:cs="宋体"/>
                <w:i w:val="0"/>
                <w:iCs w:val="0"/>
                <w:caps w:val="0"/>
                <w:color w:val="auto"/>
                <w:spacing w:val="0"/>
                <w:kern w:val="2"/>
                <w:sz w:val="21"/>
                <w:szCs w:val="21"/>
                <w:lang w:val="en-US" w:eastAsia="zh-CN" w:bidi="ar"/>
              </w:rPr>
              <w:t>13.《林业和草原建设项目可行性研究报告编制实施细则》（办规字〔2023〕174号）</w:t>
            </w:r>
          </w:p>
          <w:p w14:paraId="5F73801A">
            <w:pPr>
              <w:keepNext w:val="0"/>
              <w:keepLines w:val="0"/>
              <w:suppressLineNumbers w:val="0"/>
              <w:snapToGrid w:val="0"/>
              <w:spacing w:before="0" w:beforeAutospacing="0" w:after="0" w:afterAutospacing="0" w:line="360" w:lineRule="auto"/>
              <w:ind w:left="0" w:right="0" w:firstLine="482" w:firstLineChars="200"/>
              <w:jc w:val="left"/>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eastAsia="zh-CN"/>
              </w:rPr>
              <w:t>三</w:t>
            </w:r>
            <w:r>
              <w:rPr>
                <w:rFonts w:hint="eastAsia" w:ascii="宋体" w:hAnsi="宋体" w:eastAsia="宋体" w:cs="宋体"/>
                <w:b/>
                <w:color w:val="auto"/>
                <w:kern w:val="0"/>
                <w:sz w:val="24"/>
                <w:szCs w:val="24"/>
                <w:highlight w:val="none"/>
              </w:rPr>
              <w:t>、服务要求：</w:t>
            </w:r>
          </w:p>
          <w:p w14:paraId="10B43D61">
            <w:pPr>
              <w:adjustRightInd w:val="0"/>
              <w:snapToGrid w:val="0"/>
              <w:spacing w:after="0" w:line="360" w:lineRule="auto"/>
              <w:ind w:firstLine="480" w:firstLineChars="200"/>
              <w:rPr>
                <w:rFonts w:hint="eastAsia"/>
                <w:color w:val="auto"/>
                <w:lang w:val="en-US" w:eastAsia="zh-CN"/>
              </w:rPr>
            </w:pPr>
            <w:r>
              <w:rPr>
                <w:rFonts w:hint="eastAsia" w:ascii="宋体" w:hAnsi="宋体" w:cs="宋体"/>
                <w:color w:val="auto"/>
                <w:sz w:val="24"/>
                <w:szCs w:val="24"/>
                <w:highlight w:val="none"/>
                <w:lang w:eastAsia="zh-CN"/>
              </w:rPr>
              <w:t>项目建议书、可行性研究报告</w:t>
            </w:r>
            <w:r>
              <w:rPr>
                <w:rFonts w:hint="eastAsia" w:ascii="宋体" w:hAnsi="宋体" w:eastAsia="宋体" w:cs="宋体"/>
                <w:color w:val="auto"/>
                <w:sz w:val="24"/>
                <w:szCs w:val="24"/>
                <w:highlight w:val="none"/>
              </w:rPr>
              <w:t>深度符合国家、地方的相关规范、标准、规程等要求。</w:t>
            </w:r>
          </w:p>
          <w:p w14:paraId="2B1A1720">
            <w:pPr>
              <w:keepNext w:val="0"/>
              <w:keepLines w:val="0"/>
              <w:suppressLineNumbers w:val="0"/>
              <w:snapToGrid w:val="0"/>
              <w:spacing w:before="0" w:beforeAutospacing="0" w:after="0" w:afterAutospacing="0" w:line="360" w:lineRule="auto"/>
              <w:ind w:left="0" w:right="0" w:firstLine="482" w:firstLineChars="200"/>
              <w:jc w:val="left"/>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eastAsia="zh-CN"/>
              </w:rPr>
              <w:t>四</w:t>
            </w:r>
            <w:r>
              <w:rPr>
                <w:rFonts w:hint="eastAsia" w:ascii="宋体" w:hAnsi="宋体" w:eastAsia="宋体" w:cs="宋体"/>
                <w:b/>
                <w:bCs/>
                <w:color w:val="auto"/>
                <w:kern w:val="0"/>
                <w:sz w:val="24"/>
                <w:szCs w:val="24"/>
                <w:highlight w:val="none"/>
              </w:rPr>
              <w:t>、适用规范标准</w:t>
            </w:r>
          </w:p>
          <w:p w14:paraId="1C2320A1">
            <w:pPr>
              <w:wordWrap/>
              <w:adjustRightInd w:val="0"/>
              <w:snapToGrid w:val="0"/>
              <w:spacing w:line="360" w:lineRule="auto"/>
              <w:ind w:firstLine="480" w:firstLineChars="200"/>
              <w:jc w:val="left"/>
              <w:rPr>
                <w:rFonts w:hint="default" w:ascii="Times New Roman" w:hAnsi="Times New Roman" w:eastAsia="仿宋_GB2312" w:cs="Times New Roman"/>
                <w:i w:val="0"/>
                <w:iCs w:val="0"/>
                <w:caps w:val="0"/>
                <w:color w:val="auto"/>
                <w:spacing w:val="0"/>
                <w:kern w:val="0"/>
                <w:sz w:val="24"/>
                <w:szCs w:val="24"/>
                <w:lang w:val="en-US" w:eastAsia="zh-CN" w:bidi="ar"/>
              </w:rPr>
            </w:pPr>
            <w:r>
              <w:rPr>
                <w:rFonts w:hint="eastAsia" w:ascii="宋体" w:hAnsi="宋体" w:eastAsia="宋体" w:cs="宋体"/>
                <w:color w:val="auto"/>
                <w:sz w:val="24"/>
                <w:szCs w:val="24"/>
                <w:highlight w:val="none"/>
              </w:rPr>
              <w:t>符合国家规定的报告编制、质量标准、深度要求和现行技术规范、规程要求，并通过国家相关部门组织的审查</w:t>
            </w:r>
            <w:r>
              <w:rPr>
                <w:rFonts w:hint="eastAsia" w:ascii="宋体" w:hAnsi="宋体" w:cs="宋体"/>
                <w:color w:val="auto"/>
                <w:sz w:val="24"/>
                <w:szCs w:val="24"/>
                <w:highlight w:val="none"/>
                <w:lang w:eastAsia="zh-CN"/>
              </w:rPr>
              <w:t>。</w:t>
            </w:r>
            <w:r>
              <w:rPr>
                <w:rFonts w:hint="eastAsia" w:ascii="宋体" w:hAnsi="宋体" w:eastAsia="宋体" w:cs="宋体"/>
                <w:bCs/>
                <w:color w:val="auto"/>
                <w:kern w:val="0"/>
                <w:sz w:val="24"/>
                <w:szCs w:val="24"/>
                <w:highlight w:val="none"/>
              </w:rPr>
              <w:t xml:space="preserve"> </w:t>
            </w:r>
          </w:p>
          <w:p w14:paraId="14E05244">
            <w:pPr>
              <w:wordWrap w:val="0"/>
              <w:adjustRightInd w:val="0"/>
              <w:spacing w:line="360" w:lineRule="auto"/>
              <w:ind w:firstLine="422" w:firstLineChars="200"/>
              <w:jc w:val="left"/>
              <w:rPr>
                <w:rFonts w:hint="eastAsia" w:ascii="宋体" w:hAnsi="宋体" w:eastAsia="宋体" w:cs="宋体"/>
                <w:b/>
                <w:bCs/>
                <w:color w:val="auto"/>
                <w:szCs w:val="21"/>
                <w:lang w:val="en-US" w:eastAsia="zh-CN"/>
              </w:rPr>
            </w:pPr>
            <w:r>
              <w:rPr>
                <w:rFonts w:hint="eastAsia" w:ascii="宋体" w:hAnsi="宋体" w:cs="宋体"/>
                <w:b/>
                <w:bCs/>
                <w:color w:val="auto"/>
                <w:szCs w:val="21"/>
                <w:lang w:val="en-US" w:eastAsia="zh-CN"/>
              </w:rPr>
              <w:t>五</w:t>
            </w:r>
            <w:r>
              <w:rPr>
                <w:rFonts w:hint="eastAsia" w:ascii="宋体" w:hAnsi="宋体" w:eastAsia="宋体" w:cs="宋体"/>
                <w:b/>
                <w:bCs/>
                <w:color w:val="auto"/>
                <w:szCs w:val="21"/>
                <w:lang w:val="en-US" w:eastAsia="zh-CN"/>
              </w:rPr>
              <w:t>、成果要求</w:t>
            </w:r>
          </w:p>
          <w:p w14:paraId="29E706FE">
            <w:pPr>
              <w:wordWrap w:val="0"/>
              <w:adjustRightInd w:val="0"/>
              <w:spacing w:line="360" w:lineRule="auto"/>
              <w:ind w:firstLine="420" w:firstLineChars="200"/>
              <w:jc w:val="left"/>
              <w:rPr>
                <w:rFonts w:hint="default" w:ascii="宋体" w:hAnsi="宋体" w:eastAsia="宋体" w:cs="宋体"/>
                <w:b/>
                <w:bCs/>
                <w:color w:val="auto"/>
                <w:szCs w:val="21"/>
                <w:lang w:val="en-US" w:eastAsia="zh-CN"/>
              </w:rPr>
            </w:pPr>
            <w:r>
              <w:rPr>
                <w:rFonts w:hint="eastAsia" w:ascii="宋体" w:hAnsi="宋体" w:eastAsia="宋体" w:cs="宋体"/>
                <w:color w:val="auto"/>
                <w:szCs w:val="21"/>
                <w:lang w:val="en-US" w:eastAsia="zh-CN"/>
              </w:rPr>
              <w:t>提交广西壮族自治区国家级自然保护区勘界立标基础设施建设项目建议书和可行性研究报告。</w:t>
            </w:r>
            <w:r>
              <w:rPr>
                <w:rFonts w:hint="default" w:ascii="宋体" w:hAnsi="宋体" w:eastAsia="宋体" w:cs="宋体"/>
                <w:color w:val="auto"/>
                <w:szCs w:val="21"/>
                <w:lang w:val="en-US" w:eastAsia="zh-CN"/>
              </w:rPr>
              <w:t>自合同签订之日起</w:t>
            </w:r>
            <w:r>
              <w:rPr>
                <w:rFonts w:hint="default" w:ascii="宋体" w:hAnsi="宋体" w:eastAsia="宋体" w:cs="宋体"/>
                <w:color w:val="auto"/>
                <w:szCs w:val="21"/>
                <w:highlight w:val="none"/>
                <w:lang w:val="en-US" w:eastAsia="zh-CN"/>
              </w:rPr>
              <w:t>至2026年</w:t>
            </w:r>
            <w:r>
              <w:rPr>
                <w:rFonts w:hint="eastAsia" w:ascii="宋体" w:hAnsi="宋体" w:cs="宋体"/>
                <w:color w:val="auto"/>
                <w:szCs w:val="21"/>
                <w:highlight w:val="none"/>
                <w:lang w:val="en-US" w:eastAsia="zh-CN"/>
              </w:rPr>
              <w:t>9</w:t>
            </w:r>
            <w:r>
              <w:rPr>
                <w:rFonts w:hint="default" w:ascii="宋体" w:hAnsi="宋体" w:eastAsia="宋体" w:cs="宋体"/>
                <w:color w:val="auto"/>
                <w:szCs w:val="21"/>
                <w:highlight w:val="none"/>
                <w:lang w:val="en-US" w:eastAsia="zh-CN"/>
              </w:rPr>
              <w:t>月30日，</w:t>
            </w:r>
            <w:r>
              <w:rPr>
                <w:rFonts w:hint="default" w:ascii="宋体" w:hAnsi="宋体" w:eastAsia="宋体" w:cs="宋体"/>
                <w:color w:val="auto"/>
                <w:szCs w:val="21"/>
                <w:lang w:val="en-US" w:eastAsia="zh-CN"/>
              </w:rPr>
              <w:t>提交成果并通过</w:t>
            </w:r>
            <w:r>
              <w:rPr>
                <w:rFonts w:hint="eastAsia" w:ascii="宋体" w:hAnsi="宋体" w:cs="宋体"/>
                <w:color w:val="auto"/>
                <w:szCs w:val="21"/>
                <w:lang w:val="en-US" w:eastAsia="zh-CN"/>
              </w:rPr>
              <w:t>采购人</w:t>
            </w:r>
            <w:r>
              <w:rPr>
                <w:rFonts w:hint="default" w:ascii="宋体" w:hAnsi="宋体" w:eastAsia="宋体" w:cs="宋体"/>
                <w:color w:val="auto"/>
                <w:szCs w:val="21"/>
                <w:lang w:val="en-US" w:eastAsia="zh-CN"/>
              </w:rPr>
              <w:t>内部验</w:t>
            </w:r>
            <w:r>
              <w:rPr>
                <w:rFonts w:hint="eastAsia" w:ascii="宋体" w:hAnsi="宋体" w:eastAsia="宋体" w:cs="宋体"/>
                <w:color w:val="auto"/>
                <w:szCs w:val="21"/>
                <w:lang w:val="en-US" w:eastAsia="zh-CN"/>
              </w:rPr>
              <w:t>收。</w:t>
            </w:r>
          </w:p>
        </w:tc>
      </w:tr>
      <w:tr w14:paraId="1961C942">
        <w:tblPrEx>
          <w:tblCellMar>
            <w:top w:w="0" w:type="dxa"/>
            <w:left w:w="0" w:type="dxa"/>
            <w:bottom w:w="0" w:type="dxa"/>
            <w:right w:w="0" w:type="dxa"/>
          </w:tblCellMar>
        </w:tblPrEx>
        <w:trPr>
          <w:trHeight w:val="534" w:hRule="atLeast"/>
          <w:jc w:val="center"/>
        </w:trPr>
        <w:tc>
          <w:tcPr>
            <w:tcW w:w="9740" w:type="dxa"/>
            <w:gridSpan w:val="4"/>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3162B13">
            <w:pPr>
              <w:spacing w:line="300" w:lineRule="exact"/>
              <w:rPr>
                <w:rFonts w:hint="eastAsia" w:ascii="宋体" w:hAnsi="宋体" w:eastAsia="宋体" w:cs="宋体"/>
                <w:color w:val="auto"/>
                <w:kern w:val="0"/>
                <w:szCs w:val="21"/>
              </w:rPr>
            </w:pPr>
            <w:r>
              <w:rPr>
                <w:rFonts w:hint="eastAsia" w:ascii="宋体" w:hAnsi="宋体" w:eastAsia="宋体" w:cs="宋体"/>
                <w:b/>
                <w:bCs/>
                <w:color w:val="auto"/>
                <w:szCs w:val="21"/>
              </w:rPr>
              <w:t>二、商务条款</w:t>
            </w:r>
          </w:p>
        </w:tc>
      </w:tr>
      <w:tr w14:paraId="67765350">
        <w:tblPrEx>
          <w:tblCellMar>
            <w:top w:w="0" w:type="dxa"/>
            <w:left w:w="0" w:type="dxa"/>
            <w:bottom w:w="0" w:type="dxa"/>
            <w:right w:w="0" w:type="dxa"/>
          </w:tblCellMar>
        </w:tblPrEx>
        <w:trPr>
          <w:trHeight w:val="501" w:hRule="atLeast"/>
          <w:jc w:val="center"/>
        </w:trPr>
        <w:tc>
          <w:tcPr>
            <w:tcW w:w="1954" w:type="dxa"/>
            <w:gridSpan w:val="2"/>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5F422B5">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val="0"/>
                <w:bCs w:val="0"/>
                <w:color w:val="auto"/>
                <w:szCs w:val="21"/>
                <w:highlight w:val="none"/>
              </w:rPr>
              <w:t>▲合同签订期</w:t>
            </w:r>
          </w:p>
        </w:tc>
        <w:tc>
          <w:tcPr>
            <w:tcW w:w="7786" w:type="dxa"/>
            <w:gridSpan w:val="2"/>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721A7620">
            <w:pPr>
              <w:spacing w:line="360" w:lineRule="auto"/>
              <w:rPr>
                <w:rFonts w:hint="eastAsia" w:ascii="宋体" w:hAnsi="宋体" w:eastAsia="宋体" w:cs="宋体"/>
                <w:color w:val="auto"/>
                <w:szCs w:val="21"/>
              </w:rPr>
            </w:pPr>
            <w:r>
              <w:rPr>
                <w:rFonts w:hint="eastAsia" w:ascii="宋体" w:hAnsi="宋体" w:eastAsia="宋体" w:cs="宋体"/>
                <w:color w:val="auto"/>
                <w:szCs w:val="21"/>
              </w:rPr>
              <w:t>自成交通知书发出之日起25</w:t>
            </w:r>
            <w:r>
              <w:rPr>
                <w:rFonts w:hint="eastAsia" w:ascii="宋体" w:hAnsi="宋体" w:cs="宋体"/>
                <w:color w:val="auto"/>
                <w:szCs w:val="21"/>
                <w:lang w:val="en-US" w:eastAsia="zh-CN"/>
              </w:rPr>
              <w:t>日</w:t>
            </w:r>
            <w:r>
              <w:rPr>
                <w:rFonts w:hint="eastAsia" w:ascii="宋体" w:hAnsi="宋体" w:eastAsia="宋体" w:cs="宋体"/>
                <w:color w:val="auto"/>
                <w:szCs w:val="21"/>
              </w:rPr>
              <w:t>内。</w:t>
            </w:r>
          </w:p>
        </w:tc>
      </w:tr>
      <w:tr w14:paraId="3174BFCC">
        <w:tblPrEx>
          <w:tblCellMar>
            <w:top w:w="0" w:type="dxa"/>
            <w:left w:w="0" w:type="dxa"/>
            <w:bottom w:w="0" w:type="dxa"/>
            <w:right w:w="0" w:type="dxa"/>
          </w:tblCellMar>
        </w:tblPrEx>
        <w:trPr>
          <w:trHeight w:val="1243" w:hRule="atLeast"/>
          <w:jc w:val="center"/>
        </w:trPr>
        <w:tc>
          <w:tcPr>
            <w:tcW w:w="1954" w:type="dxa"/>
            <w:gridSpan w:val="2"/>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CD780C5">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w:t>
            </w:r>
            <w:r>
              <w:rPr>
                <w:rFonts w:hint="default" w:ascii="宋体" w:hAnsi="宋体" w:eastAsia="宋体" w:cs="宋体"/>
                <w:color w:val="auto"/>
                <w:szCs w:val="21"/>
                <w:lang w:val="en-US" w:eastAsia="zh-CN"/>
              </w:rPr>
              <w:t>合同履行期限</w:t>
            </w:r>
            <w:r>
              <w:rPr>
                <w:rFonts w:hint="eastAsia" w:ascii="宋体" w:hAnsi="宋体" w:eastAsia="宋体" w:cs="宋体"/>
                <w:color w:val="auto"/>
                <w:szCs w:val="21"/>
              </w:rPr>
              <w:t>及</w:t>
            </w:r>
            <w:r>
              <w:rPr>
                <w:rFonts w:hint="eastAsia" w:ascii="宋体" w:hAnsi="宋体" w:eastAsia="宋体" w:cs="宋体"/>
                <w:color w:val="auto"/>
                <w:szCs w:val="21"/>
                <w:lang w:val="en-US" w:eastAsia="zh-CN"/>
              </w:rPr>
              <w:t>服务成果提交</w:t>
            </w:r>
            <w:r>
              <w:rPr>
                <w:rFonts w:hint="eastAsia" w:ascii="宋体" w:hAnsi="宋体" w:eastAsia="宋体" w:cs="宋体"/>
                <w:color w:val="auto"/>
                <w:szCs w:val="21"/>
              </w:rPr>
              <w:t>地点</w:t>
            </w:r>
          </w:p>
        </w:tc>
        <w:tc>
          <w:tcPr>
            <w:tcW w:w="7786" w:type="dxa"/>
            <w:gridSpan w:val="2"/>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7D622405">
            <w:pPr>
              <w:numPr>
                <w:ilvl w:val="0"/>
                <w:numId w:val="0"/>
              </w:numPr>
              <w:wordWrap w:val="0"/>
              <w:adjustRightInd w:val="0"/>
              <w:spacing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Cs w:val="21"/>
                <w:lang w:val="en-US" w:eastAsia="zh-CN"/>
              </w:rPr>
              <w:t>1.合同履行期限</w:t>
            </w:r>
            <w:r>
              <w:rPr>
                <w:rFonts w:hint="eastAsia" w:ascii="宋体" w:hAnsi="宋体" w:eastAsia="宋体" w:cs="宋体"/>
                <w:color w:val="auto"/>
                <w:szCs w:val="21"/>
              </w:rPr>
              <w:t>：</w:t>
            </w:r>
            <w:r>
              <w:rPr>
                <w:rFonts w:hint="eastAsia" w:ascii="宋体" w:hAnsi="宋体" w:eastAsia="宋体" w:cs="宋体"/>
                <w:color w:val="auto"/>
                <w:szCs w:val="21"/>
                <w:lang w:val="en-US" w:eastAsia="zh-CN"/>
              </w:rPr>
              <w:t>自</w:t>
            </w:r>
            <w:r>
              <w:rPr>
                <w:rFonts w:hint="eastAsia" w:ascii="宋体" w:hAnsi="宋体" w:eastAsia="宋体" w:cs="宋体"/>
                <w:color w:val="auto"/>
                <w:sz w:val="21"/>
                <w:szCs w:val="21"/>
                <w:lang w:val="en-US" w:eastAsia="zh-CN"/>
              </w:rPr>
              <w:t>合同签订之日起至2026年</w:t>
            </w:r>
            <w:r>
              <w:rPr>
                <w:rFonts w:hint="eastAsia" w:ascii="宋体" w:hAnsi="宋体" w:cs="宋体"/>
                <w:color w:val="auto"/>
                <w:sz w:val="21"/>
                <w:szCs w:val="21"/>
                <w:lang w:val="en-US" w:eastAsia="zh-CN"/>
              </w:rPr>
              <w:t>9</w:t>
            </w:r>
            <w:r>
              <w:rPr>
                <w:rFonts w:hint="eastAsia" w:ascii="宋体" w:hAnsi="宋体" w:eastAsia="宋体" w:cs="宋体"/>
                <w:color w:val="auto"/>
                <w:sz w:val="21"/>
                <w:szCs w:val="21"/>
                <w:lang w:val="en-US" w:eastAsia="zh-CN"/>
              </w:rPr>
              <w:t>月30日，提交成果</w:t>
            </w:r>
            <w:r>
              <w:rPr>
                <w:rFonts w:hint="eastAsia" w:ascii="宋体" w:hAnsi="宋体" w:eastAsia="宋体" w:cs="宋体"/>
                <w:color w:val="auto"/>
                <w:sz w:val="21"/>
                <w:szCs w:val="21"/>
                <w:highlight w:val="none"/>
                <w:lang w:val="en-US" w:eastAsia="zh-CN"/>
              </w:rPr>
              <w:t>并通过</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lang w:val="en-US" w:eastAsia="zh-CN"/>
              </w:rPr>
              <w:t>内部验收。</w:t>
            </w:r>
          </w:p>
          <w:p w14:paraId="7F57F91F">
            <w:pPr>
              <w:numPr>
                <w:ilvl w:val="0"/>
                <w:numId w:val="0"/>
              </w:numPr>
              <w:wordWrap w:val="0"/>
              <w:adjustRightIn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szCs w:val="21"/>
                <w:lang w:val="en-US" w:eastAsia="zh-CN"/>
              </w:rPr>
              <w:t>2.服务成果提交</w:t>
            </w:r>
            <w:r>
              <w:rPr>
                <w:rFonts w:hint="eastAsia" w:ascii="宋体" w:hAnsi="宋体" w:eastAsia="宋体" w:cs="宋体"/>
                <w:color w:val="auto"/>
                <w:szCs w:val="21"/>
              </w:rPr>
              <w:t>地点</w:t>
            </w:r>
            <w:r>
              <w:rPr>
                <w:rFonts w:hint="eastAsia" w:ascii="宋体" w:hAnsi="宋体" w:eastAsia="宋体" w:cs="宋体"/>
                <w:color w:val="auto"/>
                <w:szCs w:val="21"/>
                <w:lang w:val="en-US" w:eastAsia="zh-CN"/>
              </w:rPr>
              <w:t>：</w:t>
            </w:r>
            <w:r>
              <w:rPr>
                <w:rFonts w:hint="eastAsia" w:ascii="宋体" w:hAnsi="宋体" w:eastAsia="宋体" w:cs="宋体"/>
                <w:bCs/>
                <w:color w:val="auto"/>
                <w:kern w:val="0"/>
                <w:szCs w:val="21"/>
                <w:lang w:val="en-US" w:eastAsia="zh-CN"/>
              </w:rPr>
              <w:t>广西壮族自治区林业局</w:t>
            </w:r>
            <w:r>
              <w:rPr>
                <w:rFonts w:hint="eastAsia" w:ascii="宋体" w:hAnsi="宋体" w:eastAsia="宋体" w:cs="宋体"/>
                <w:color w:val="auto"/>
                <w:szCs w:val="21"/>
                <w:lang w:val="en-US" w:eastAsia="zh-CN"/>
              </w:rPr>
              <w:t>（南宁市青秀区云景路21号）。</w:t>
            </w:r>
          </w:p>
        </w:tc>
      </w:tr>
      <w:tr w14:paraId="073FC81D">
        <w:tblPrEx>
          <w:tblCellMar>
            <w:top w:w="0" w:type="dxa"/>
            <w:left w:w="0" w:type="dxa"/>
            <w:bottom w:w="0" w:type="dxa"/>
            <w:right w:w="0" w:type="dxa"/>
          </w:tblCellMar>
        </w:tblPrEx>
        <w:trPr>
          <w:trHeight w:val="1257" w:hRule="atLeast"/>
          <w:jc w:val="center"/>
        </w:trPr>
        <w:tc>
          <w:tcPr>
            <w:tcW w:w="1954" w:type="dxa"/>
            <w:gridSpan w:val="2"/>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8749D27">
            <w:pPr>
              <w:numPr>
                <w:ilvl w:val="0"/>
                <w:numId w:val="0"/>
              </w:numPr>
              <w:wordWrap w:val="0"/>
              <w:adjustRightIn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▲报价要求</w:t>
            </w:r>
          </w:p>
        </w:tc>
        <w:tc>
          <w:tcPr>
            <w:tcW w:w="7786" w:type="dxa"/>
            <w:gridSpan w:val="2"/>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274622B0">
            <w:pPr>
              <w:numPr>
                <w:ilvl w:val="0"/>
                <w:numId w:val="0"/>
              </w:numPr>
              <w:wordWrap w:val="0"/>
              <w:adjustRightInd w:val="0"/>
              <w:spacing w:line="360" w:lineRule="auto"/>
              <w:ind w:left="0" w:leftChars="0" w:firstLine="420" w:firstLineChars="200"/>
              <w:jc w:val="left"/>
              <w:rPr>
                <w:rFonts w:hint="default" w:ascii="宋体" w:hAnsi="宋体" w:eastAsia="宋体" w:cs="宋体"/>
                <w:color w:val="auto"/>
                <w:szCs w:val="21"/>
                <w:lang w:val="en-US" w:eastAsia="zh-CN"/>
              </w:rPr>
            </w:pPr>
            <w:r>
              <w:rPr>
                <w:rFonts w:hint="default" w:ascii="宋体" w:hAnsi="宋体" w:eastAsia="宋体" w:cs="宋体"/>
                <w:color w:val="auto"/>
                <w:szCs w:val="21"/>
                <w:lang w:val="en-US" w:eastAsia="zh-CN"/>
              </w:rPr>
              <w:t>报价必须包含以下部分:完成本项目服务所有内容及相关服务的投入、附加培训、完成本次工作所产生的费用、税金、利润、异地调查与调研、开展项目评审、验收及其他所有可能发生的一切费用。除此之外，采购人不再另行支付任何费用。</w:t>
            </w:r>
          </w:p>
        </w:tc>
      </w:tr>
      <w:tr w14:paraId="2C0FEE91">
        <w:tblPrEx>
          <w:tblCellMar>
            <w:top w:w="0" w:type="dxa"/>
            <w:left w:w="0" w:type="dxa"/>
            <w:bottom w:w="0" w:type="dxa"/>
            <w:right w:w="0" w:type="dxa"/>
          </w:tblCellMar>
        </w:tblPrEx>
        <w:trPr>
          <w:trHeight w:val="1257" w:hRule="atLeast"/>
          <w:jc w:val="center"/>
        </w:trPr>
        <w:tc>
          <w:tcPr>
            <w:tcW w:w="1954" w:type="dxa"/>
            <w:gridSpan w:val="2"/>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F7D4481">
            <w:pPr>
              <w:numPr>
                <w:ilvl w:val="0"/>
                <w:numId w:val="0"/>
              </w:numPr>
              <w:wordWrap w:val="0"/>
              <w:adjustRightIn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▲付款方式</w:t>
            </w:r>
          </w:p>
        </w:tc>
        <w:tc>
          <w:tcPr>
            <w:tcW w:w="7786" w:type="dxa"/>
            <w:gridSpan w:val="2"/>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15D64D26">
            <w:pPr>
              <w:numPr>
                <w:ilvl w:val="0"/>
                <w:numId w:val="0"/>
              </w:numPr>
              <w:wordWrap w:val="0"/>
              <w:adjustRightInd w:val="0"/>
              <w:spacing w:line="360" w:lineRule="auto"/>
              <w:ind w:firstLine="420" w:firstLineChars="200"/>
              <w:jc w:val="left"/>
              <w:rPr>
                <w:rFonts w:hint="eastAsia" w:ascii="宋体" w:hAnsi="宋体" w:eastAsia="宋体" w:cs="宋体"/>
                <w:color w:val="auto"/>
                <w:szCs w:val="21"/>
                <w:lang w:val="en-US" w:eastAsia="zh-CN"/>
              </w:rPr>
            </w:pPr>
            <w:r>
              <w:rPr>
                <w:rFonts w:hint="default" w:ascii="宋体" w:hAnsi="宋体" w:eastAsia="宋体" w:cs="宋体"/>
                <w:color w:val="auto"/>
                <w:szCs w:val="21"/>
                <w:highlight w:val="none"/>
                <w:lang w:val="en-US" w:eastAsia="zh-CN"/>
              </w:rPr>
              <w:t>为保证项目顺利实施，</w:t>
            </w:r>
            <w:r>
              <w:rPr>
                <w:rFonts w:hint="eastAsia" w:ascii="宋体" w:hAnsi="宋体" w:cs="宋体"/>
                <w:color w:val="auto"/>
                <w:szCs w:val="21"/>
                <w:highlight w:val="none"/>
                <w:lang w:val="en-US" w:eastAsia="zh-CN"/>
              </w:rPr>
              <w:t>自</w:t>
            </w:r>
            <w:r>
              <w:rPr>
                <w:rFonts w:hint="default" w:ascii="宋体" w:hAnsi="宋体" w:eastAsia="宋体" w:cs="宋体"/>
                <w:color w:val="auto"/>
                <w:szCs w:val="21"/>
                <w:highlight w:val="none"/>
                <w:lang w:val="en-US" w:eastAsia="zh-CN"/>
              </w:rPr>
              <w:t>合同签订</w:t>
            </w:r>
            <w:r>
              <w:rPr>
                <w:rFonts w:hint="eastAsia" w:ascii="宋体" w:hAnsi="宋体" w:cs="宋体"/>
                <w:color w:val="auto"/>
                <w:szCs w:val="21"/>
                <w:highlight w:val="none"/>
                <w:lang w:val="en-US" w:eastAsia="zh-CN"/>
              </w:rPr>
              <w:t>之日起十</w:t>
            </w:r>
            <w:r>
              <w:rPr>
                <w:rFonts w:hint="default" w:ascii="宋体" w:hAnsi="宋体" w:eastAsia="宋体" w:cs="宋体"/>
                <w:color w:val="auto"/>
                <w:szCs w:val="21"/>
                <w:highlight w:val="none"/>
                <w:lang w:val="en-US" w:eastAsia="zh-CN"/>
              </w:rPr>
              <w:t>个工作日内</w:t>
            </w:r>
            <w:r>
              <w:rPr>
                <w:rFonts w:hint="eastAsia" w:ascii="宋体" w:hAnsi="宋体" w:cs="宋体"/>
                <w:color w:val="auto"/>
                <w:szCs w:val="21"/>
                <w:highlight w:val="none"/>
                <w:lang w:val="en-US" w:eastAsia="zh-CN"/>
              </w:rPr>
              <w:t>由采购人</w:t>
            </w:r>
            <w:r>
              <w:rPr>
                <w:rFonts w:hint="default" w:ascii="宋体" w:hAnsi="宋体" w:eastAsia="宋体" w:cs="宋体"/>
                <w:color w:val="auto"/>
                <w:szCs w:val="21"/>
                <w:highlight w:val="none"/>
                <w:lang w:val="en-US" w:eastAsia="zh-CN"/>
              </w:rPr>
              <w:t>向</w:t>
            </w:r>
            <w:r>
              <w:rPr>
                <w:rFonts w:hint="eastAsia" w:ascii="宋体" w:hAnsi="宋体" w:cs="宋体"/>
                <w:color w:val="auto"/>
                <w:szCs w:val="21"/>
                <w:highlight w:val="none"/>
                <w:lang w:val="en-US" w:eastAsia="zh-CN"/>
              </w:rPr>
              <w:t>成交供应商</w:t>
            </w:r>
            <w:r>
              <w:rPr>
                <w:rFonts w:hint="default" w:ascii="宋体" w:hAnsi="宋体" w:eastAsia="宋体" w:cs="宋体"/>
                <w:color w:val="auto"/>
                <w:szCs w:val="21"/>
                <w:highlight w:val="none"/>
                <w:lang w:val="en-US" w:eastAsia="zh-CN"/>
              </w:rPr>
              <w:t>支付合同总价的50%；提交全部成果文件并验收合格后</w:t>
            </w:r>
            <w:r>
              <w:rPr>
                <w:rFonts w:hint="eastAsia" w:ascii="宋体" w:hAnsi="宋体" w:cs="宋体"/>
                <w:color w:val="auto"/>
                <w:szCs w:val="21"/>
                <w:highlight w:val="none"/>
                <w:lang w:val="en-US" w:eastAsia="zh-CN"/>
              </w:rPr>
              <w:t>十</w:t>
            </w:r>
            <w:r>
              <w:rPr>
                <w:rFonts w:hint="default" w:ascii="宋体" w:hAnsi="宋体" w:eastAsia="宋体" w:cs="宋体"/>
                <w:color w:val="auto"/>
                <w:szCs w:val="21"/>
                <w:highlight w:val="none"/>
                <w:lang w:val="en-US" w:eastAsia="zh-CN"/>
              </w:rPr>
              <w:t>个工作日内一次性结清结余款50%。</w:t>
            </w:r>
            <w:r>
              <w:rPr>
                <w:rFonts w:hint="eastAsia" w:ascii="宋体" w:hAnsi="宋体" w:cs="宋体"/>
                <w:color w:val="auto"/>
                <w:szCs w:val="21"/>
                <w:highlight w:val="none"/>
                <w:lang w:val="en-US" w:eastAsia="zh-CN"/>
              </w:rPr>
              <w:t>采购人</w:t>
            </w:r>
            <w:r>
              <w:rPr>
                <w:rFonts w:hint="default" w:ascii="宋体" w:hAnsi="宋体" w:eastAsia="宋体" w:cs="宋体"/>
                <w:color w:val="auto"/>
                <w:szCs w:val="21"/>
                <w:highlight w:val="none"/>
                <w:lang w:val="en-US" w:eastAsia="zh-CN"/>
              </w:rPr>
              <w:t>向</w:t>
            </w:r>
            <w:r>
              <w:rPr>
                <w:rFonts w:hint="eastAsia" w:ascii="宋体" w:hAnsi="宋体" w:cs="宋体"/>
                <w:color w:val="auto"/>
                <w:szCs w:val="21"/>
                <w:highlight w:val="none"/>
                <w:lang w:val="en-US" w:eastAsia="zh-CN"/>
              </w:rPr>
              <w:t>供应商</w:t>
            </w:r>
            <w:r>
              <w:rPr>
                <w:rFonts w:hint="default" w:ascii="宋体" w:hAnsi="宋体" w:eastAsia="宋体" w:cs="宋体"/>
                <w:color w:val="auto"/>
                <w:szCs w:val="21"/>
                <w:highlight w:val="none"/>
                <w:lang w:val="en-US" w:eastAsia="zh-CN"/>
              </w:rPr>
              <w:t>支付</w:t>
            </w:r>
            <w:r>
              <w:rPr>
                <w:rFonts w:hint="eastAsia" w:ascii="宋体" w:hAnsi="宋体" w:cs="宋体"/>
                <w:color w:val="auto"/>
                <w:szCs w:val="21"/>
                <w:highlight w:val="none"/>
                <w:lang w:val="en-US" w:eastAsia="zh-CN"/>
              </w:rPr>
              <w:t>款项</w:t>
            </w:r>
            <w:r>
              <w:rPr>
                <w:rFonts w:hint="default" w:ascii="宋体" w:hAnsi="宋体" w:eastAsia="宋体" w:cs="宋体"/>
                <w:color w:val="auto"/>
                <w:szCs w:val="21"/>
                <w:highlight w:val="none"/>
                <w:lang w:val="en-US" w:eastAsia="zh-CN"/>
              </w:rPr>
              <w:t>前由</w:t>
            </w:r>
            <w:r>
              <w:rPr>
                <w:rFonts w:hint="eastAsia" w:ascii="宋体" w:hAnsi="宋体" w:cs="宋体"/>
                <w:color w:val="auto"/>
                <w:szCs w:val="21"/>
                <w:highlight w:val="none"/>
                <w:lang w:val="en-US" w:eastAsia="zh-CN"/>
              </w:rPr>
              <w:t>供应商</w:t>
            </w:r>
            <w:r>
              <w:rPr>
                <w:rFonts w:hint="default" w:ascii="宋体" w:hAnsi="宋体" w:eastAsia="宋体" w:cs="宋体"/>
                <w:color w:val="auto"/>
                <w:szCs w:val="21"/>
                <w:highlight w:val="none"/>
                <w:lang w:val="en-US" w:eastAsia="zh-CN"/>
              </w:rPr>
              <w:t>开具等额有效发票及请款文件。</w:t>
            </w:r>
          </w:p>
        </w:tc>
      </w:tr>
      <w:tr w14:paraId="24CAB179">
        <w:tblPrEx>
          <w:tblCellMar>
            <w:top w:w="0" w:type="dxa"/>
            <w:left w:w="0" w:type="dxa"/>
            <w:bottom w:w="0" w:type="dxa"/>
            <w:right w:w="0" w:type="dxa"/>
          </w:tblCellMar>
        </w:tblPrEx>
        <w:trPr>
          <w:trHeight w:val="562" w:hRule="atLeast"/>
          <w:jc w:val="center"/>
        </w:trPr>
        <w:tc>
          <w:tcPr>
            <w:tcW w:w="1954" w:type="dxa"/>
            <w:gridSpan w:val="2"/>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E96FAC7">
            <w:pPr>
              <w:numPr>
                <w:ilvl w:val="0"/>
                <w:numId w:val="0"/>
              </w:numPr>
              <w:wordWrap w:val="0"/>
              <w:adjustRightIn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w:t>
            </w:r>
            <w:r>
              <w:rPr>
                <w:rFonts w:hint="default" w:ascii="宋体" w:hAnsi="宋体" w:eastAsia="宋体" w:cs="宋体"/>
                <w:color w:val="auto"/>
                <w:szCs w:val="21"/>
                <w:lang w:val="en-US" w:eastAsia="zh-CN"/>
              </w:rPr>
              <w:t>验收标准</w:t>
            </w:r>
            <w:r>
              <w:rPr>
                <w:rFonts w:hint="eastAsia" w:ascii="宋体" w:hAnsi="宋体" w:eastAsia="宋体" w:cs="宋体"/>
                <w:color w:val="auto"/>
                <w:szCs w:val="21"/>
                <w:lang w:val="en-US" w:eastAsia="zh-CN"/>
              </w:rPr>
              <w:t>、</w:t>
            </w:r>
            <w:r>
              <w:rPr>
                <w:rFonts w:hint="default" w:ascii="宋体" w:hAnsi="宋体" w:eastAsia="宋体" w:cs="宋体"/>
                <w:color w:val="auto"/>
                <w:szCs w:val="21"/>
                <w:lang w:val="en-US" w:eastAsia="zh-CN"/>
              </w:rPr>
              <w:t>规范</w:t>
            </w:r>
          </w:p>
        </w:tc>
        <w:tc>
          <w:tcPr>
            <w:tcW w:w="7786" w:type="dxa"/>
            <w:gridSpan w:val="2"/>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14:paraId="2F8F0582">
            <w:pPr>
              <w:numPr>
                <w:ilvl w:val="0"/>
                <w:numId w:val="0"/>
              </w:numPr>
              <w:wordWrap w:val="0"/>
              <w:adjustRightInd w:val="0"/>
              <w:spacing w:line="360" w:lineRule="auto"/>
              <w:ind w:firstLine="420" w:firstLineChars="200"/>
              <w:jc w:val="left"/>
              <w:rPr>
                <w:rFonts w:hint="eastAsia" w:ascii="宋体" w:hAnsi="宋体" w:eastAsia="宋体" w:cs="宋体"/>
                <w:color w:val="auto"/>
                <w:szCs w:val="21"/>
                <w:lang w:val="en-US" w:eastAsia="zh-CN"/>
              </w:rPr>
            </w:pPr>
            <w:r>
              <w:rPr>
                <w:rFonts w:hint="default" w:ascii="宋体" w:hAnsi="宋体" w:eastAsia="宋体" w:cs="宋体"/>
                <w:color w:val="auto"/>
                <w:szCs w:val="21"/>
                <w:lang w:val="en-US" w:eastAsia="zh-CN"/>
              </w:rPr>
              <w:t>符合现行国家相关标准、行业标准、地方标准或</w:t>
            </w:r>
            <w:r>
              <w:rPr>
                <w:rFonts w:hint="eastAsia" w:ascii="宋体" w:hAnsi="宋体" w:eastAsia="宋体" w:cs="宋体"/>
                <w:color w:val="auto"/>
                <w:szCs w:val="21"/>
                <w:lang w:val="en-US" w:eastAsia="zh-CN"/>
              </w:rPr>
              <w:t>其</w:t>
            </w:r>
            <w:r>
              <w:rPr>
                <w:rFonts w:hint="default" w:ascii="宋体" w:hAnsi="宋体" w:eastAsia="宋体" w:cs="宋体"/>
                <w:color w:val="auto"/>
                <w:szCs w:val="21"/>
                <w:lang w:val="en-US" w:eastAsia="zh-CN"/>
              </w:rPr>
              <w:t>他规范</w:t>
            </w:r>
            <w:r>
              <w:rPr>
                <w:rFonts w:hint="eastAsia" w:ascii="宋体" w:hAnsi="宋体" w:eastAsia="宋体" w:cs="宋体"/>
                <w:color w:val="auto"/>
                <w:szCs w:val="21"/>
                <w:lang w:val="en-US" w:eastAsia="zh-CN"/>
              </w:rPr>
              <w:t>、</w:t>
            </w:r>
            <w:r>
              <w:rPr>
                <w:rFonts w:hint="default" w:ascii="宋体" w:hAnsi="宋体" w:eastAsia="宋体" w:cs="宋体"/>
                <w:color w:val="auto"/>
                <w:szCs w:val="21"/>
                <w:lang w:val="en-US" w:eastAsia="zh-CN"/>
              </w:rPr>
              <w:t>标准。</w:t>
            </w:r>
            <w:r>
              <w:rPr>
                <w:rFonts w:hint="eastAsia" w:ascii="宋体" w:hAnsi="宋体" w:eastAsia="宋体" w:cs="宋体"/>
                <w:color w:val="auto"/>
                <w:szCs w:val="21"/>
                <w:lang w:val="en-US" w:eastAsia="zh-CN"/>
              </w:rPr>
              <w:t>本</w:t>
            </w:r>
            <w:r>
              <w:rPr>
                <w:rFonts w:hint="default" w:ascii="宋体" w:hAnsi="宋体" w:eastAsia="宋体" w:cs="宋体"/>
                <w:color w:val="auto"/>
                <w:szCs w:val="21"/>
                <w:lang w:val="en-US" w:eastAsia="zh-CN"/>
              </w:rPr>
              <w:t>项目如有国家相关标准、行业标准、地方标准或者其他标准、规范的，应执行相</w:t>
            </w:r>
            <w:r>
              <w:rPr>
                <w:rFonts w:hint="eastAsia" w:ascii="宋体" w:hAnsi="宋体" w:eastAsia="宋体" w:cs="宋体"/>
                <w:color w:val="auto"/>
                <w:szCs w:val="21"/>
                <w:lang w:val="en-US" w:eastAsia="zh-CN"/>
              </w:rPr>
              <w:t>应</w:t>
            </w:r>
            <w:r>
              <w:rPr>
                <w:rFonts w:hint="default" w:ascii="宋体" w:hAnsi="宋体" w:eastAsia="宋体" w:cs="宋体"/>
                <w:color w:val="auto"/>
                <w:szCs w:val="21"/>
                <w:lang w:val="en-US" w:eastAsia="zh-CN"/>
              </w:rPr>
              <w:t>标准、规范</w:t>
            </w:r>
            <w:r>
              <w:rPr>
                <w:rFonts w:hint="eastAsia" w:ascii="宋体" w:hAnsi="宋体" w:eastAsia="宋体" w:cs="宋体"/>
                <w:color w:val="auto"/>
                <w:szCs w:val="21"/>
                <w:lang w:val="en-US" w:eastAsia="zh-CN"/>
              </w:rPr>
              <w:t>。</w:t>
            </w:r>
            <w:r>
              <w:rPr>
                <w:rFonts w:hint="default" w:ascii="宋体" w:hAnsi="宋体" w:eastAsia="宋体" w:cs="宋体"/>
                <w:color w:val="auto"/>
                <w:szCs w:val="21"/>
                <w:lang w:val="en-US" w:eastAsia="zh-CN"/>
              </w:rPr>
              <w:t>如具体采购需求与标准、规范不一致的，高于标准、规范的按</w:t>
            </w:r>
            <w:r>
              <w:rPr>
                <w:rFonts w:hint="eastAsia" w:ascii="宋体" w:hAnsi="宋体" w:cs="宋体"/>
                <w:color w:val="auto"/>
                <w:szCs w:val="21"/>
                <w:lang w:val="en-US" w:eastAsia="zh-CN"/>
              </w:rPr>
              <w:t>具体</w:t>
            </w:r>
            <w:r>
              <w:rPr>
                <w:rFonts w:hint="default" w:ascii="宋体" w:hAnsi="宋体" w:eastAsia="宋体" w:cs="宋体"/>
                <w:color w:val="auto"/>
                <w:szCs w:val="21"/>
                <w:lang w:val="en-US" w:eastAsia="zh-CN"/>
              </w:rPr>
              <w:t>采购需求执行</w:t>
            </w:r>
            <w:r>
              <w:rPr>
                <w:rFonts w:hint="eastAsia" w:ascii="宋体" w:hAnsi="宋体" w:eastAsia="宋体" w:cs="宋体"/>
                <w:color w:val="auto"/>
                <w:szCs w:val="21"/>
                <w:lang w:val="en-US" w:eastAsia="zh-CN"/>
              </w:rPr>
              <w:t>，</w:t>
            </w:r>
            <w:r>
              <w:rPr>
                <w:rFonts w:hint="default" w:ascii="宋体" w:hAnsi="宋体" w:eastAsia="宋体" w:cs="宋体"/>
                <w:color w:val="auto"/>
                <w:szCs w:val="21"/>
                <w:lang w:val="en-US" w:eastAsia="zh-CN"/>
              </w:rPr>
              <w:t>低于标准、规范的按标准、规范执行。</w:t>
            </w:r>
          </w:p>
        </w:tc>
      </w:tr>
      <w:tr w14:paraId="7EC5C36F">
        <w:tblPrEx>
          <w:tblCellMar>
            <w:top w:w="0" w:type="dxa"/>
            <w:left w:w="0" w:type="dxa"/>
            <w:bottom w:w="0" w:type="dxa"/>
            <w:right w:w="0" w:type="dxa"/>
          </w:tblCellMar>
        </w:tblPrEx>
        <w:trPr>
          <w:trHeight w:val="348" w:hRule="atLeast"/>
          <w:jc w:val="center"/>
        </w:trPr>
        <w:tc>
          <w:tcPr>
            <w:tcW w:w="1954" w:type="dxa"/>
            <w:gridSpan w:val="2"/>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C5EE696">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rPr>
              <w:t>其他要求</w:t>
            </w:r>
          </w:p>
        </w:tc>
        <w:tc>
          <w:tcPr>
            <w:tcW w:w="7786" w:type="dxa"/>
            <w:gridSpan w:val="2"/>
            <w:tcBorders>
              <w:top w:val="single" w:color="auto" w:sz="4" w:space="0"/>
              <w:left w:val="nil"/>
              <w:bottom w:val="single" w:color="auto" w:sz="4" w:space="0"/>
              <w:right w:val="single" w:color="auto" w:sz="4" w:space="0"/>
            </w:tcBorders>
            <w:tcMar>
              <w:top w:w="0" w:type="dxa"/>
              <w:left w:w="57" w:type="dxa"/>
              <w:bottom w:w="0" w:type="dxa"/>
              <w:right w:w="57" w:type="dxa"/>
            </w:tcMar>
          </w:tcPr>
          <w:p w14:paraId="3249979E">
            <w:pPr>
              <w:numPr>
                <w:ilvl w:val="0"/>
                <w:numId w:val="0"/>
              </w:numPr>
              <w:wordWrap w:val="0"/>
              <w:adjustRightInd w:val="0"/>
              <w:spacing w:line="360" w:lineRule="auto"/>
              <w:ind w:firstLine="420" w:firstLineChars="200"/>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1.采购人在中华人民共和国境内使用供应商提供的服务成果时免受第三方提出的侵犯其专利权或其它知识产权的起诉。如果第三方提出侵权指控，成交供应商应承担由此而引起的一切法律责任和费用。</w:t>
            </w:r>
          </w:p>
          <w:p w14:paraId="6C60E8F5">
            <w:pPr>
              <w:numPr>
                <w:ilvl w:val="0"/>
                <w:numId w:val="0"/>
              </w:numPr>
              <w:wordWrap w:val="0"/>
              <w:adjustRightInd w:val="0"/>
              <w:spacing w:line="360" w:lineRule="auto"/>
              <w:ind w:firstLine="420" w:firstLineChars="200"/>
              <w:jc w:val="left"/>
              <w:rPr>
                <w:rFonts w:hint="eastAsia" w:ascii="宋体" w:hAnsi="宋体" w:eastAsia="宋体" w:cs="宋体"/>
                <w:color w:val="auto"/>
                <w:sz w:val="21"/>
                <w:szCs w:val="21"/>
                <w:lang w:eastAsia="zh-CN"/>
              </w:rPr>
            </w:pPr>
            <w:r>
              <w:rPr>
                <w:rFonts w:hint="eastAsia" w:ascii="宋体" w:hAnsi="宋体" w:eastAsia="宋体" w:cs="宋体"/>
                <w:color w:val="auto"/>
                <w:szCs w:val="21"/>
                <w:lang w:val="en-US" w:eastAsia="zh-CN"/>
              </w:rPr>
              <w:t>2.未尽事宜参照《关于印发广西壮族自治区政府采购项目履约验收管理办法的通知》[桂财采〔2015〕22 号]以及《财政部关于进一步加强政府采购需求和履约验收管理的指导意见》[财库〔2016〕205 号]规定执行。</w:t>
            </w:r>
          </w:p>
        </w:tc>
      </w:tr>
    </w:tbl>
    <w:p w14:paraId="73035052">
      <w:pPr>
        <w:spacing w:line="360" w:lineRule="auto"/>
        <w:rPr>
          <w:rFonts w:hint="eastAsia" w:ascii="宋体" w:hAnsi="宋体" w:cs="宋体"/>
          <w:i/>
          <w:iCs/>
          <w:color w:val="auto"/>
          <w:u w:val="single"/>
        </w:rPr>
      </w:pPr>
      <w:r>
        <w:rPr>
          <w:rFonts w:hint="eastAsia" w:ascii="宋体" w:hAnsi="宋体" w:cs="宋体"/>
          <w:i/>
          <w:iCs/>
          <w:color w:val="auto"/>
          <w:u w:val="single"/>
        </w:rPr>
        <w:br w:type="page"/>
      </w:r>
    </w:p>
    <w:p w14:paraId="257D8DE3">
      <w:pPr>
        <w:widowControl/>
        <w:jc w:val="left"/>
        <w:rPr>
          <w:rFonts w:hint="eastAsia" w:ascii="宋体" w:hAnsi="宋体" w:cs="宋体"/>
          <w:color w:val="auto"/>
          <w:sz w:val="20"/>
          <w:szCs w:val="20"/>
        </w:rPr>
        <w:sectPr>
          <w:pgSz w:w="11911" w:h="16838"/>
          <w:pgMar w:top="1440" w:right="1440" w:bottom="1440" w:left="1440" w:header="720" w:footer="720" w:gutter="0"/>
          <w:cols w:space="0" w:num="1"/>
        </w:sectPr>
      </w:pPr>
      <w:bookmarkStart w:id="85" w:name="_Toc19152"/>
      <w:bookmarkStart w:id="86" w:name="_Toc9239"/>
      <w:bookmarkStart w:id="87" w:name="_Toc3319"/>
      <w:bookmarkStart w:id="88" w:name="_Toc7704"/>
      <w:bookmarkStart w:id="89" w:name="_Toc80886927"/>
      <w:bookmarkStart w:id="90" w:name="_Toc24174"/>
      <w:bookmarkStart w:id="91" w:name="_Toc13614"/>
      <w:bookmarkStart w:id="92" w:name="_Toc2072"/>
    </w:p>
    <w:p w14:paraId="10018434">
      <w:pPr>
        <w:rPr>
          <w:rFonts w:hint="eastAsia" w:ascii="宋体" w:hAnsi="宋体" w:cs="宋体"/>
          <w:color w:val="auto"/>
          <w:sz w:val="20"/>
          <w:szCs w:val="20"/>
        </w:rPr>
      </w:pPr>
    </w:p>
    <w:p w14:paraId="51B33C41">
      <w:pPr>
        <w:jc w:val="left"/>
        <w:rPr>
          <w:rFonts w:hint="eastAsia" w:ascii="宋体" w:hAnsi="宋体" w:cs="宋体"/>
          <w:b/>
          <w:bCs/>
          <w:color w:val="auto"/>
          <w:kern w:val="0"/>
          <w:sz w:val="32"/>
          <w:szCs w:val="32"/>
        </w:rPr>
      </w:pPr>
      <w:r>
        <w:rPr>
          <w:rFonts w:hint="eastAsia" w:ascii="宋体" w:hAnsi="宋体" w:cs="宋体"/>
          <w:b/>
          <w:bCs/>
          <w:color w:val="auto"/>
          <w:kern w:val="0"/>
          <w:sz w:val="32"/>
          <w:szCs w:val="32"/>
        </w:rPr>
        <w:t>附件1：</w:t>
      </w:r>
    </w:p>
    <w:p w14:paraId="63FC858E">
      <w:pPr>
        <w:spacing w:line="528" w:lineRule="exact"/>
        <w:jc w:val="center"/>
        <w:rPr>
          <w:rFonts w:hint="eastAsia" w:ascii="宋体" w:hAnsi="宋体" w:cs="宋体"/>
          <w:color w:val="auto"/>
          <w:sz w:val="40"/>
          <w:szCs w:val="40"/>
        </w:rPr>
      </w:pPr>
      <w:r>
        <w:rPr>
          <w:rFonts w:hint="eastAsia" w:ascii="宋体" w:hAnsi="宋体" w:cs="宋体"/>
          <w:color w:val="auto"/>
          <w:sz w:val="40"/>
          <w:szCs w:val="40"/>
        </w:rPr>
        <w:t>中小微企业划型标准</w:t>
      </w:r>
    </w:p>
    <w:tbl>
      <w:tblPr>
        <w:tblStyle w:val="34"/>
        <w:tblW w:w="9117" w:type="dxa"/>
        <w:tblInd w:w="250" w:type="dxa"/>
        <w:tblLayout w:type="fixed"/>
        <w:tblCellMar>
          <w:top w:w="0" w:type="dxa"/>
          <w:left w:w="108" w:type="dxa"/>
          <w:bottom w:w="0" w:type="dxa"/>
          <w:right w:w="108" w:type="dxa"/>
        </w:tblCellMar>
      </w:tblPr>
      <w:tblGrid>
        <w:gridCol w:w="1906"/>
        <w:gridCol w:w="1905"/>
        <w:gridCol w:w="817"/>
        <w:gridCol w:w="1768"/>
        <w:gridCol w:w="1633"/>
        <w:gridCol w:w="1088"/>
      </w:tblGrid>
      <w:tr w14:paraId="525CA6EE">
        <w:tblPrEx>
          <w:tblCellMar>
            <w:top w:w="0" w:type="dxa"/>
            <w:left w:w="108" w:type="dxa"/>
            <w:bottom w:w="0" w:type="dxa"/>
            <w:right w:w="108" w:type="dxa"/>
          </w:tblCellMar>
        </w:tblPrEx>
        <w:trPr>
          <w:trHeight w:val="631" w:hRule="atLeast"/>
        </w:trPr>
        <w:tc>
          <w:tcPr>
            <w:tcW w:w="1906" w:type="dxa"/>
            <w:tcBorders>
              <w:top w:val="single" w:color="auto" w:sz="4" w:space="0"/>
              <w:left w:val="single" w:color="auto" w:sz="4" w:space="0"/>
              <w:bottom w:val="single" w:color="auto" w:sz="4" w:space="0"/>
              <w:right w:val="single" w:color="auto" w:sz="4" w:space="0"/>
            </w:tcBorders>
            <w:noWrap/>
            <w:vAlign w:val="center"/>
          </w:tcPr>
          <w:p w14:paraId="713648C7">
            <w:pPr>
              <w:widowControl/>
              <w:jc w:val="left"/>
              <w:rPr>
                <w:rFonts w:hint="eastAsia" w:ascii="宋体" w:hAnsi="宋体" w:cs="宋体"/>
                <w:b/>
                <w:color w:val="auto"/>
                <w:kern w:val="0"/>
                <w:sz w:val="24"/>
              </w:rPr>
            </w:pPr>
            <w:r>
              <w:rPr>
                <w:rFonts w:hint="eastAsia" w:ascii="宋体" w:hAnsi="宋体" w:cs="宋体"/>
                <w:b/>
                <w:color w:val="auto"/>
                <w:kern w:val="0"/>
                <w:sz w:val="24"/>
              </w:rPr>
              <w:t>行业名称</w:t>
            </w:r>
          </w:p>
        </w:tc>
        <w:tc>
          <w:tcPr>
            <w:tcW w:w="1905" w:type="dxa"/>
            <w:tcBorders>
              <w:top w:val="single" w:color="auto" w:sz="4" w:space="0"/>
              <w:left w:val="nil"/>
              <w:bottom w:val="single" w:color="auto" w:sz="4" w:space="0"/>
              <w:right w:val="single" w:color="auto" w:sz="4" w:space="0"/>
            </w:tcBorders>
            <w:noWrap/>
            <w:vAlign w:val="center"/>
          </w:tcPr>
          <w:p w14:paraId="71BE0331">
            <w:pPr>
              <w:widowControl/>
              <w:jc w:val="left"/>
              <w:rPr>
                <w:rFonts w:hint="eastAsia" w:ascii="宋体" w:hAnsi="宋体" w:cs="宋体"/>
                <w:b/>
                <w:color w:val="auto"/>
                <w:kern w:val="0"/>
                <w:sz w:val="24"/>
              </w:rPr>
            </w:pPr>
            <w:r>
              <w:rPr>
                <w:rFonts w:hint="eastAsia" w:ascii="宋体" w:hAnsi="宋体" w:cs="宋体"/>
                <w:b/>
                <w:color w:val="auto"/>
                <w:kern w:val="0"/>
                <w:sz w:val="24"/>
              </w:rPr>
              <w:t>指标名称</w:t>
            </w:r>
          </w:p>
        </w:tc>
        <w:tc>
          <w:tcPr>
            <w:tcW w:w="817" w:type="dxa"/>
            <w:tcBorders>
              <w:top w:val="single" w:color="auto" w:sz="4" w:space="0"/>
              <w:left w:val="nil"/>
              <w:bottom w:val="single" w:color="auto" w:sz="4" w:space="0"/>
              <w:right w:val="single" w:color="auto" w:sz="4" w:space="0"/>
            </w:tcBorders>
            <w:noWrap/>
            <w:vAlign w:val="center"/>
          </w:tcPr>
          <w:p w14:paraId="2E0BA074">
            <w:pPr>
              <w:widowControl/>
              <w:jc w:val="left"/>
              <w:rPr>
                <w:rFonts w:hint="eastAsia" w:ascii="宋体" w:hAnsi="宋体" w:cs="宋体"/>
                <w:b/>
                <w:color w:val="auto"/>
                <w:kern w:val="0"/>
                <w:sz w:val="24"/>
              </w:rPr>
            </w:pPr>
            <w:r>
              <w:rPr>
                <w:rFonts w:hint="eastAsia" w:ascii="宋体" w:hAnsi="宋体" w:cs="宋体"/>
                <w:b/>
                <w:color w:val="auto"/>
                <w:kern w:val="0"/>
                <w:sz w:val="24"/>
              </w:rPr>
              <w:t>计量单位</w:t>
            </w:r>
          </w:p>
        </w:tc>
        <w:tc>
          <w:tcPr>
            <w:tcW w:w="1768" w:type="dxa"/>
            <w:tcBorders>
              <w:top w:val="single" w:color="auto" w:sz="4" w:space="0"/>
              <w:left w:val="nil"/>
              <w:bottom w:val="single" w:color="auto" w:sz="4" w:space="0"/>
              <w:right w:val="single" w:color="auto" w:sz="4" w:space="0"/>
            </w:tcBorders>
            <w:noWrap/>
            <w:vAlign w:val="center"/>
          </w:tcPr>
          <w:p w14:paraId="115E177A">
            <w:pPr>
              <w:widowControl/>
              <w:jc w:val="left"/>
              <w:rPr>
                <w:rFonts w:hint="eastAsia" w:ascii="宋体" w:hAnsi="宋体" w:cs="宋体"/>
                <w:b/>
                <w:color w:val="auto"/>
                <w:kern w:val="0"/>
                <w:sz w:val="24"/>
              </w:rPr>
            </w:pPr>
            <w:r>
              <w:rPr>
                <w:rFonts w:hint="eastAsia" w:ascii="宋体" w:hAnsi="宋体" w:cs="宋体"/>
                <w:b/>
                <w:color w:val="auto"/>
                <w:kern w:val="0"/>
                <w:sz w:val="24"/>
              </w:rPr>
              <w:t>中型</w:t>
            </w:r>
          </w:p>
        </w:tc>
        <w:tc>
          <w:tcPr>
            <w:tcW w:w="1633" w:type="dxa"/>
            <w:tcBorders>
              <w:top w:val="single" w:color="auto" w:sz="4" w:space="0"/>
              <w:left w:val="nil"/>
              <w:bottom w:val="single" w:color="auto" w:sz="4" w:space="0"/>
              <w:right w:val="single" w:color="auto" w:sz="4" w:space="0"/>
            </w:tcBorders>
            <w:noWrap/>
            <w:vAlign w:val="center"/>
          </w:tcPr>
          <w:p w14:paraId="6884BA1C">
            <w:pPr>
              <w:widowControl/>
              <w:jc w:val="left"/>
              <w:rPr>
                <w:rFonts w:hint="eastAsia" w:ascii="宋体" w:hAnsi="宋体" w:cs="宋体"/>
                <w:b/>
                <w:color w:val="auto"/>
                <w:kern w:val="0"/>
                <w:sz w:val="24"/>
              </w:rPr>
            </w:pPr>
            <w:r>
              <w:rPr>
                <w:rFonts w:hint="eastAsia" w:ascii="宋体" w:hAnsi="宋体" w:cs="宋体"/>
                <w:b/>
                <w:color w:val="auto"/>
                <w:kern w:val="0"/>
                <w:sz w:val="24"/>
              </w:rPr>
              <w:t>小型</w:t>
            </w:r>
          </w:p>
        </w:tc>
        <w:tc>
          <w:tcPr>
            <w:tcW w:w="1088" w:type="dxa"/>
            <w:tcBorders>
              <w:top w:val="single" w:color="auto" w:sz="4" w:space="0"/>
              <w:left w:val="nil"/>
              <w:bottom w:val="single" w:color="auto" w:sz="4" w:space="0"/>
              <w:right w:val="single" w:color="auto" w:sz="4" w:space="0"/>
            </w:tcBorders>
            <w:noWrap/>
            <w:vAlign w:val="center"/>
          </w:tcPr>
          <w:p w14:paraId="27B0A20A">
            <w:pPr>
              <w:widowControl/>
              <w:jc w:val="left"/>
              <w:rPr>
                <w:rFonts w:hint="eastAsia" w:ascii="宋体" w:hAnsi="宋体" w:cs="宋体"/>
                <w:b/>
                <w:color w:val="auto"/>
                <w:kern w:val="0"/>
                <w:sz w:val="24"/>
              </w:rPr>
            </w:pPr>
            <w:r>
              <w:rPr>
                <w:rFonts w:hint="eastAsia" w:ascii="宋体" w:hAnsi="宋体" w:cs="宋体"/>
                <w:b/>
                <w:color w:val="auto"/>
                <w:kern w:val="0"/>
                <w:sz w:val="24"/>
              </w:rPr>
              <w:t>微型</w:t>
            </w:r>
          </w:p>
        </w:tc>
      </w:tr>
      <w:tr w14:paraId="32B5CEB2">
        <w:tblPrEx>
          <w:tblCellMar>
            <w:top w:w="0" w:type="dxa"/>
            <w:left w:w="108" w:type="dxa"/>
            <w:bottom w:w="0" w:type="dxa"/>
            <w:right w:w="108" w:type="dxa"/>
          </w:tblCellMar>
        </w:tblPrEx>
        <w:trPr>
          <w:trHeight w:val="243" w:hRule="atLeast"/>
        </w:trPr>
        <w:tc>
          <w:tcPr>
            <w:tcW w:w="1906" w:type="dxa"/>
            <w:tcBorders>
              <w:top w:val="nil"/>
              <w:left w:val="single" w:color="auto" w:sz="4" w:space="0"/>
              <w:bottom w:val="single" w:color="auto" w:sz="4" w:space="0"/>
              <w:right w:val="single" w:color="auto" w:sz="4" w:space="0"/>
            </w:tcBorders>
            <w:noWrap/>
            <w:vAlign w:val="bottom"/>
          </w:tcPr>
          <w:p w14:paraId="6A0C7106">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农、林、牧、渔</w:t>
            </w:r>
          </w:p>
        </w:tc>
        <w:tc>
          <w:tcPr>
            <w:tcW w:w="1905" w:type="dxa"/>
            <w:tcBorders>
              <w:top w:val="nil"/>
              <w:left w:val="nil"/>
              <w:bottom w:val="single" w:color="auto" w:sz="4" w:space="0"/>
              <w:right w:val="single" w:color="auto" w:sz="4" w:space="0"/>
            </w:tcBorders>
            <w:noWrap/>
            <w:vAlign w:val="center"/>
          </w:tcPr>
          <w:p w14:paraId="5A756BE9">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817" w:type="dxa"/>
            <w:tcBorders>
              <w:top w:val="nil"/>
              <w:left w:val="nil"/>
              <w:bottom w:val="single" w:color="auto" w:sz="4" w:space="0"/>
              <w:right w:val="single" w:color="auto" w:sz="4" w:space="0"/>
            </w:tcBorders>
            <w:noWrap/>
            <w:vAlign w:val="center"/>
          </w:tcPr>
          <w:p w14:paraId="42B2B89F">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68" w:type="dxa"/>
            <w:tcBorders>
              <w:top w:val="nil"/>
              <w:left w:val="nil"/>
              <w:bottom w:val="single" w:color="auto" w:sz="4" w:space="0"/>
              <w:right w:val="single" w:color="auto" w:sz="4" w:space="0"/>
            </w:tcBorders>
            <w:noWrap/>
            <w:vAlign w:val="center"/>
          </w:tcPr>
          <w:p w14:paraId="59B3FEF1">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500≤Y＜20000</w:t>
            </w:r>
          </w:p>
        </w:tc>
        <w:tc>
          <w:tcPr>
            <w:tcW w:w="1633" w:type="dxa"/>
            <w:tcBorders>
              <w:top w:val="nil"/>
              <w:left w:val="nil"/>
              <w:bottom w:val="single" w:color="auto" w:sz="4" w:space="0"/>
              <w:right w:val="single" w:color="auto" w:sz="4" w:space="0"/>
            </w:tcBorders>
            <w:noWrap/>
            <w:vAlign w:val="center"/>
          </w:tcPr>
          <w:p w14:paraId="7DF4F525">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50≤Y＜500</w:t>
            </w:r>
          </w:p>
        </w:tc>
        <w:tc>
          <w:tcPr>
            <w:tcW w:w="1088" w:type="dxa"/>
            <w:tcBorders>
              <w:top w:val="nil"/>
              <w:left w:val="nil"/>
              <w:bottom w:val="single" w:color="auto" w:sz="4" w:space="0"/>
              <w:right w:val="single" w:color="auto" w:sz="4" w:space="0"/>
            </w:tcBorders>
            <w:noWrap/>
            <w:vAlign w:val="center"/>
          </w:tcPr>
          <w:p w14:paraId="6320312C">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Y＜50</w:t>
            </w:r>
          </w:p>
        </w:tc>
      </w:tr>
      <w:tr w14:paraId="74058ECA">
        <w:tblPrEx>
          <w:tblCellMar>
            <w:top w:w="0" w:type="dxa"/>
            <w:left w:w="108" w:type="dxa"/>
            <w:bottom w:w="0" w:type="dxa"/>
            <w:right w:w="108" w:type="dxa"/>
          </w:tblCellMar>
        </w:tblPrEx>
        <w:trPr>
          <w:trHeight w:val="243" w:hRule="atLeast"/>
        </w:trPr>
        <w:tc>
          <w:tcPr>
            <w:tcW w:w="1906" w:type="dxa"/>
            <w:vMerge w:val="restart"/>
            <w:tcBorders>
              <w:top w:val="nil"/>
              <w:left w:val="single" w:color="auto" w:sz="4" w:space="0"/>
              <w:bottom w:val="single" w:color="auto" w:sz="4" w:space="0"/>
              <w:right w:val="single" w:color="auto" w:sz="4" w:space="0"/>
            </w:tcBorders>
            <w:noWrap/>
            <w:vAlign w:val="bottom"/>
          </w:tcPr>
          <w:p w14:paraId="0756DC52">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工业</w:t>
            </w:r>
          </w:p>
        </w:tc>
        <w:tc>
          <w:tcPr>
            <w:tcW w:w="1905" w:type="dxa"/>
            <w:tcBorders>
              <w:top w:val="nil"/>
              <w:left w:val="nil"/>
              <w:bottom w:val="single" w:color="auto" w:sz="4" w:space="0"/>
              <w:right w:val="single" w:color="auto" w:sz="4" w:space="0"/>
            </w:tcBorders>
            <w:noWrap/>
            <w:vAlign w:val="center"/>
          </w:tcPr>
          <w:p w14:paraId="6555B8B8">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817" w:type="dxa"/>
            <w:tcBorders>
              <w:top w:val="nil"/>
              <w:left w:val="nil"/>
              <w:bottom w:val="single" w:color="auto" w:sz="4" w:space="0"/>
              <w:right w:val="single" w:color="auto" w:sz="4" w:space="0"/>
            </w:tcBorders>
            <w:noWrap/>
            <w:vAlign w:val="center"/>
          </w:tcPr>
          <w:p w14:paraId="70D3C5A3">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768" w:type="dxa"/>
            <w:tcBorders>
              <w:top w:val="nil"/>
              <w:left w:val="nil"/>
              <w:bottom w:val="single" w:color="auto" w:sz="4" w:space="0"/>
              <w:right w:val="single" w:color="auto" w:sz="4" w:space="0"/>
            </w:tcBorders>
            <w:noWrap/>
            <w:vAlign w:val="center"/>
          </w:tcPr>
          <w:p w14:paraId="7BAF4B28">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300≤X＜1000</w:t>
            </w:r>
          </w:p>
        </w:tc>
        <w:tc>
          <w:tcPr>
            <w:tcW w:w="1633" w:type="dxa"/>
            <w:tcBorders>
              <w:top w:val="nil"/>
              <w:left w:val="nil"/>
              <w:bottom w:val="single" w:color="auto" w:sz="4" w:space="0"/>
              <w:right w:val="single" w:color="auto" w:sz="4" w:space="0"/>
            </w:tcBorders>
            <w:noWrap/>
            <w:vAlign w:val="center"/>
          </w:tcPr>
          <w:p w14:paraId="7C274EDD">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20≤X＜300</w:t>
            </w:r>
          </w:p>
        </w:tc>
        <w:tc>
          <w:tcPr>
            <w:tcW w:w="1088" w:type="dxa"/>
            <w:tcBorders>
              <w:top w:val="nil"/>
              <w:left w:val="nil"/>
              <w:bottom w:val="single" w:color="auto" w:sz="4" w:space="0"/>
              <w:right w:val="single" w:color="auto" w:sz="4" w:space="0"/>
            </w:tcBorders>
            <w:noWrap/>
            <w:vAlign w:val="center"/>
          </w:tcPr>
          <w:p w14:paraId="32EA099E">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X＜20</w:t>
            </w:r>
          </w:p>
        </w:tc>
      </w:tr>
      <w:tr w14:paraId="3E5F6B79">
        <w:tblPrEx>
          <w:tblCellMar>
            <w:top w:w="0" w:type="dxa"/>
            <w:left w:w="108" w:type="dxa"/>
            <w:bottom w:w="0" w:type="dxa"/>
            <w:right w:w="108" w:type="dxa"/>
          </w:tblCellMar>
        </w:tblPrEx>
        <w:trPr>
          <w:trHeight w:val="243" w:hRule="atLeast"/>
        </w:trPr>
        <w:tc>
          <w:tcPr>
            <w:tcW w:w="1906" w:type="dxa"/>
            <w:vMerge w:val="continue"/>
            <w:tcBorders>
              <w:top w:val="nil"/>
              <w:left w:val="single" w:color="auto" w:sz="4" w:space="0"/>
              <w:bottom w:val="single" w:color="auto" w:sz="4" w:space="0"/>
              <w:right w:val="single" w:color="auto" w:sz="4" w:space="0"/>
            </w:tcBorders>
            <w:vAlign w:val="center"/>
          </w:tcPr>
          <w:p w14:paraId="7CE99032">
            <w:pPr>
              <w:widowControl/>
              <w:jc w:val="left"/>
              <w:rPr>
                <w:rFonts w:hint="eastAsia" w:ascii="宋体" w:hAnsi="宋体" w:cs="宋体"/>
                <w:b/>
                <w:bCs/>
                <w:color w:val="auto"/>
                <w:kern w:val="0"/>
                <w:sz w:val="18"/>
                <w:szCs w:val="18"/>
              </w:rPr>
            </w:pPr>
          </w:p>
        </w:tc>
        <w:tc>
          <w:tcPr>
            <w:tcW w:w="1905" w:type="dxa"/>
            <w:tcBorders>
              <w:top w:val="nil"/>
              <w:left w:val="nil"/>
              <w:bottom w:val="single" w:color="auto" w:sz="4" w:space="0"/>
              <w:right w:val="single" w:color="auto" w:sz="4" w:space="0"/>
            </w:tcBorders>
            <w:noWrap/>
            <w:vAlign w:val="center"/>
          </w:tcPr>
          <w:p w14:paraId="610CCB06">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817" w:type="dxa"/>
            <w:tcBorders>
              <w:top w:val="nil"/>
              <w:left w:val="nil"/>
              <w:bottom w:val="single" w:color="auto" w:sz="4" w:space="0"/>
              <w:right w:val="single" w:color="auto" w:sz="4" w:space="0"/>
            </w:tcBorders>
            <w:noWrap/>
            <w:vAlign w:val="center"/>
          </w:tcPr>
          <w:p w14:paraId="519BBE7D">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68" w:type="dxa"/>
            <w:tcBorders>
              <w:top w:val="nil"/>
              <w:left w:val="nil"/>
              <w:bottom w:val="single" w:color="auto" w:sz="4" w:space="0"/>
              <w:right w:val="single" w:color="auto" w:sz="4" w:space="0"/>
            </w:tcBorders>
            <w:noWrap/>
            <w:vAlign w:val="center"/>
          </w:tcPr>
          <w:p w14:paraId="5854AA6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2000≤Y＜40000</w:t>
            </w:r>
          </w:p>
        </w:tc>
        <w:tc>
          <w:tcPr>
            <w:tcW w:w="1633" w:type="dxa"/>
            <w:tcBorders>
              <w:top w:val="nil"/>
              <w:left w:val="nil"/>
              <w:bottom w:val="single" w:color="auto" w:sz="4" w:space="0"/>
              <w:right w:val="single" w:color="auto" w:sz="4" w:space="0"/>
            </w:tcBorders>
            <w:noWrap/>
            <w:vAlign w:val="center"/>
          </w:tcPr>
          <w:p w14:paraId="6BDE9C11">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300≤Y＜2000</w:t>
            </w:r>
          </w:p>
        </w:tc>
        <w:tc>
          <w:tcPr>
            <w:tcW w:w="1088" w:type="dxa"/>
            <w:tcBorders>
              <w:top w:val="nil"/>
              <w:left w:val="nil"/>
              <w:bottom w:val="single" w:color="auto" w:sz="4" w:space="0"/>
              <w:right w:val="single" w:color="auto" w:sz="4" w:space="0"/>
            </w:tcBorders>
            <w:noWrap/>
            <w:vAlign w:val="center"/>
          </w:tcPr>
          <w:p w14:paraId="4E9AE72F">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Y＜300</w:t>
            </w:r>
          </w:p>
        </w:tc>
      </w:tr>
      <w:tr w14:paraId="4BC9DEA8">
        <w:tblPrEx>
          <w:tblCellMar>
            <w:top w:w="0" w:type="dxa"/>
            <w:left w:w="108" w:type="dxa"/>
            <w:bottom w:w="0" w:type="dxa"/>
            <w:right w:w="108" w:type="dxa"/>
          </w:tblCellMar>
        </w:tblPrEx>
        <w:trPr>
          <w:trHeight w:val="243" w:hRule="atLeast"/>
        </w:trPr>
        <w:tc>
          <w:tcPr>
            <w:tcW w:w="1906" w:type="dxa"/>
            <w:vMerge w:val="restart"/>
            <w:tcBorders>
              <w:top w:val="nil"/>
              <w:left w:val="single" w:color="auto" w:sz="4" w:space="0"/>
              <w:bottom w:val="single" w:color="auto" w:sz="4" w:space="0"/>
              <w:right w:val="single" w:color="auto" w:sz="4" w:space="0"/>
            </w:tcBorders>
            <w:noWrap/>
            <w:vAlign w:val="bottom"/>
          </w:tcPr>
          <w:p w14:paraId="37506F6E">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建筑业</w:t>
            </w:r>
          </w:p>
        </w:tc>
        <w:tc>
          <w:tcPr>
            <w:tcW w:w="1905" w:type="dxa"/>
            <w:tcBorders>
              <w:top w:val="nil"/>
              <w:left w:val="nil"/>
              <w:bottom w:val="single" w:color="auto" w:sz="4" w:space="0"/>
              <w:right w:val="single" w:color="auto" w:sz="4" w:space="0"/>
            </w:tcBorders>
            <w:noWrap/>
            <w:vAlign w:val="center"/>
          </w:tcPr>
          <w:p w14:paraId="035056F1">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817" w:type="dxa"/>
            <w:tcBorders>
              <w:top w:val="nil"/>
              <w:left w:val="nil"/>
              <w:bottom w:val="single" w:color="auto" w:sz="4" w:space="0"/>
              <w:right w:val="single" w:color="auto" w:sz="4" w:space="0"/>
            </w:tcBorders>
            <w:noWrap/>
            <w:vAlign w:val="center"/>
          </w:tcPr>
          <w:p w14:paraId="1780EAA8">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68" w:type="dxa"/>
            <w:tcBorders>
              <w:top w:val="nil"/>
              <w:left w:val="nil"/>
              <w:bottom w:val="single" w:color="auto" w:sz="4" w:space="0"/>
              <w:right w:val="single" w:color="auto" w:sz="4" w:space="0"/>
            </w:tcBorders>
            <w:noWrap/>
            <w:vAlign w:val="center"/>
          </w:tcPr>
          <w:p w14:paraId="409176B2">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6000≤Y＜80000</w:t>
            </w:r>
          </w:p>
        </w:tc>
        <w:tc>
          <w:tcPr>
            <w:tcW w:w="1633" w:type="dxa"/>
            <w:tcBorders>
              <w:top w:val="nil"/>
              <w:left w:val="nil"/>
              <w:bottom w:val="single" w:color="auto" w:sz="4" w:space="0"/>
              <w:right w:val="single" w:color="auto" w:sz="4" w:space="0"/>
            </w:tcBorders>
            <w:noWrap/>
            <w:vAlign w:val="center"/>
          </w:tcPr>
          <w:p w14:paraId="239D14BD">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300≤Y＜6000</w:t>
            </w:r>
          </w:p>
        </w:tc>
        <w:tc>
          <w:tcPr>
            <w:tcW w:w="1088" w:type="dxa"/>
            <w:tcBorders>
              <w:top w:val="nil"/>
              <w:left w:val="nil"/>
              <w:bottom w:val="single" w:color="auto" w:sz="4" w:space="0"/>
              <w:right w:val="single" w:color="auto" w:sz="4" w:space="0"/>
            </w:tcBorders>
            <w:noWrap/>
            <w:vAlign w:val="center"/>
          </w:tcPr>
          <w:p w14:paraId="4CA80FE5">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Y＜300</w:t>
            </w:r>
          </w:p>
        </w:tc>
      </w:tr>
      <w:tr w14:paraId="48AF830F">
        <w:tblPrEx>
          <w:tblCellMar>
            <w:top w:w="0" w:type="dxa"/>
            <w:left w:w="108" w:type="dxa"/>
            <w:bottom w:w="0" w:type="dxa"/>
            <w:right w:w="108" w:type="dxa"/>
          </w:tblCellMar>
        </w:tblPrEx>
        <w:trPr>
          <w:trHeight w:val="243" w:hRule="atLeast"/>
        </w:trPr>
        <w:tc>
          <w:tcPr>
            <w:tcW w:w="1906" w:type="dxa"/>
            <w:vMerge w:val="continue"/>
            <w:tcBorders>
              <w:top w:val="nil"/>
              <w:left w:val="single" w:color="auto" w:sz="4" w:space="0"/>
              <w:bottom w:val="single" w:color="auto" w:sz="4" w:space="0"/>
              <w:right w:val="single" w:color="auto" w:sz="4" w:space="0"/>
            </w:tcBorders>
            <w:vAlign w:val="center"/>
          </w:tcPr>
          <w:p w14:paraId="1D4D7562">
            <w:pPr>
              <w:widowControl/>
              <w:jc w:val="left"/>
              <w:rPr>
                <w:rFonts w:hint="eastAsia" w:ascii="宋体" w:hAnsi="宋体" w:cs="宋体"/>
                <w:b/>
                <w:bCs/>
                <w:color w:val="auto"/>
                <w:kern w:val="0"/>
                <w:sz w:val="18"/>
                <w:szCs w:val="18"/>
              </w:rPr>
            </w:pPr>
          </w:p>
        </w:tc>
        <w:tc>
          <w:tcPr>
            <w:tcW w:w="1905" w:type="dxa"/>
            <w:tcBorders>
              <w:top w:val="nil"/>
              <w:left w:val="nil"/>
              <w:bottom w:val="single" w:color="auto" w:sz="4" w:space="0"/>
              <w:right w:val="single" w:color="auto" w:sz="4" w:space="0"/>
            </w:tcBorders>
            <w:noWrap/>
            <w:vAlign w:val="center"/>
          </w:tcPr>
          <w:p w14:paraId="0B655DBE">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资产总额（Z）</w:t>
            </w:r>
          </w:p>
        </w:tc>
        <w:tc>
          <w:tcPr>
            <w:tcW w:w="817" w:type="dxa"/>
            <w:tcBorders>
              <w:top w:val="nil"/>
              <w:left w:val="nil"/>
              <w:bottom w:val="single" w:color="auto" w:sz="4" w:space="0"/>
              <w:right w:val="single" w:color="auto" w:sz="4" w:space="0"/>
            </w:tcBorders>
            <w:noWrap/>
            <w:vAlign w:val="center"/>
          </w:tcPr>
          <w:p w14:paraId="2E2E6F0E">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68" w:type="dxa"/>
            <w:tcBorders>
              <w:top w:val="nil"/>
              <w:left w:val="nil"/>
              <w:bottom w:val="single" w:color="auto" w:sz="4" w:space="0"/>
              <w:right w:val="single" w:color="auto" w:sz="4" w:space="0"/>
            </w:tcBorders>
            <w:noWrap/>
            <w:vAlign w:val="center"/>
          </w:tcPr>
          <w:p w14:paraId="60AFA678">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5000≤Z＜80000</w:t>
            </w:r>
          </w:p>
        </w:tc>
        <w:tc>
          <w:tcPr>
            <w:tcW w:w="1633" w:type="dxa"/>
            <w:tcBorders>
              <w:top w:val="nil"/>
              <w:left w:val="nil"/>
              <w:bottom w:val="single" w:color="auto" w:sz="4" w:space="0"/>
              <w:right w:val="single" w:color="auto" w:sz="4" w:space="0"/>
            </w:tcBorders>
            <w:noWrap/>
            <w:vAlign w:val="center"/>
          </w:tcPr>
          <w:p w14:paraId="3AAD2823">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300≤Z＜5000</w:t>
            </w:r>
          </w:p>
        </w:tc>
        <w:tc>
          <w:tcPr>
            <w:tcW w:w="1088" w:type="dxa"/>
            <w:tcBorders>
              <w:top w:val="nil"/>
              <w:left w:val="nil"/>
              <w:bottom w:val="single" w:color="auto" w:sz="4" w:space="0"/>
              <w:right w:val="single" w:color="auto" w:sz="4" w:space="0"/>
            </w:tcBorders>
            <w:noWrap/>
            <w:vAlign w:val="center"/>
          </w:tcPr>
          <w:p w14:paraId="19AE2139">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Z＜300</w:t>
            </w:r>
          </w:p>
        </w:tc>
      </w:tr>
      <w:tr w14:paraId="78A9C680">
        <w:tblPrEx>
          <w:tblCellMar>
            <w:top w:w="0" w:type="dxa"/>
            <w:left w:w="108" w:type="dxa"/>
            <w:bottom w:w="0" w:type="dxa"/>
            <w:right w:w="108" w:type="dxa"/>
          </w:tblCellMar>
        </w:tblPrEx>
        <w:trPr>
          <w:trHeight w:val="243" w:hRule="atLeast"/>
        </w:trPr>
        <w:tc>
          <w:tcPr>
            <w:tcW w:w="1906" w:type="dxa"/>
            <w:vMerge w:val="restart"/>
            <w:tcBorders>
              <w:top w:val="nil"/>
              <w:left w:val="single" w:color="auto" w:sz="4" w:space="0"/>
              <w:bottom w:val="single" w:color="auto" w:sz="4" w:space="0"/>
              <w:right w:val="single" w:color="auto" w:sz="4" w:space="0"/>
            </w:tcBorders>
            <w:noWrap/>
            <w:vAlign w:val="bottom"/>
          </w:tcPr>
          <w:p w14:paraId="6EEB8117">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批发业</w:t>
            </w:r>
          </w:p>
        </w:tc>
        <w:tc>
          <w:tcPr>
            <w:tcW w:w="1905" w:type="dxa"/>
            <w:tcBorders>
              <w:top w:val="nil"/>
              <w:left w:val="nil"/>
              <w:bottom w:val="single" w:color="auto" w:sz="4" w:space="0"/>
              <w:right w:val="single" w:color="auto" w:sz="4" w:space="0"/>
            </w:tcBorders>
            <w:noWrap/>
            <w:vAlign w:val="center"/>
          </w:tcPr>
          <w:p w14:paraId="7AAFAA56">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817" w:type="dxa"/>
            <w:tcBorders>
              <w:top w:val="nil"/>
              <w:left w:val="nil"/>
              <w:bottom w:val="single" w:color="auto" w:sz="4" w:space="0"/>
              <w:right w:val="single" w:color="auto" w:sz="4" w:space="0"/>
            </w:tcBorders>
            <w:noWrap/>
            <w:vAlign w:val="center"/>
          </w:tcPr>
          <w:p w14:paraId="2C4F9AA4">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768" w:type="dxa"/>
            <w:tcBorders>
              <w:top w:val="nil"/>
              <w:left w:val="nil"/>
              <w:bottom w:val="single" w:color="auto" w:sz="4" w:space="0"/>
              <w:right w:val="single" w:color="auto" w:sz="4" w:space="0"/>
            </w:tcBorders>
            <w:noWrap/>
            <w:vAlign w:val="center"/>
          </w:tcPr>
          <w:p w14:paraId="37BA0DEF">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20≤X＜200</w:t>
            </w:r>
          </w:p>
        </w:tc>
        <w:tc>
          <w:tcPr>
            <w:tcW w:w="1633" w:type="dxa"/>
            <w:tcBorders>
              <w:top w:val="nil"/>
              <w:left w:val="nil"/>
              <w:bottom w:val="single" w:color="auto" w:sz="4" w:space="0"/>
              <w:right w:val="single" w:color="auto" w:sz="4" w:space="0"/>
            </w:tcBorders>
            <w:noWrap/>
            <w:vAlign w:val="center"/>
          </w:tcPr>
          <w:p w14:paraId="7D64B8E0">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5≤X＜20</w:t>
            </w:r>
          </w:p>
        </w:tc>
        <w:tc>
          <w:tcPr>
            <w:tcW w:w="1088" w:type="dxa"/>
            <w:tcBorders>
              <w:top w:val="nil"/>
              <w:left w:val="nil"/>
              <w:bottom w:val="single" w:color="auto" w:sz="4" w:space="0"/>
              <w:right w:val="single" w:color="auto" w:sz="4" w:space="0"/>
            </w:tcBorders>
            <w:noWrap/>
            <w:vAlign w:val="center"/>
          </w:tcPr>
          <w:p w14:paraId="335076E9">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X＜5</w:t>
            </w:r>
          </w:p>
        </w:tc>
      </w:tr>
      <w:tr w14:paraId="4334362A">
        <w:tblPrEx>
          <w:tblCellMar>
            <w:top w:w="0" w:type="dxa"/>
            <w:left w:w="108" w:type="dxa"/>
            <w:bottom w:w="0" w:type="dxa"/>
            <w:right w:w="108" w:type="dxa"/>
          </w:tblCellMar>
        </w:tblPrEx>
        <w:trPr>
          <w:trHeight w:val="243" w:hRule="atLeast"/>
        </w:trPr>
        <w:tc>
          <w:tcPr>
            <w:tcW w:w="1906" w:type="dxa"/>
            <w:vMerge w:val="continue"/>
            <w:tcBorders>
              <w:top w:val="nil"/>
              <w:left w:val="single" w:color="auto" w:sz="4" w:space="0"/>
              <w:bottom w:val="single" w:color="auto" w:sz="4" w:space="0"/>
              <w:right w:val="single" w:color="auto" w:sz="4" w:space="0"/>
            </w:tcBorders>
            <w:vAlign w:val="center"/>
          </w:tcPr>
          <w:p w14:paraId="23AAF75B">
            <w:pPr>
              <w:widowControl/>
              <w:jc w:val="left"/>
              <w:rPr>
                <w:rFonts w:hint="eastAsia" w:ascii="宋体" w:hAnsi="宋体" w:cs="宋体"/>
                <w:b/>
                <w:bCs/>
                <w:color w:val="auto"/>
                <w:kern w:val="0"/>
                <w:sz w:val="18"/>
                <w:szCs w:val="18"/>
              </w:rPr>
            </w:pPr>
          </w:p>
        </w:tc>
        <w:tc>
          <w:tcPr>
            <w:tcW w:w="1905" w:type="dxa"/>
            <w:tcBorders>
              <w:top w:val="nil"/>
              <w:left w:val="nil"/>
              <w:bottom w:val="single" w:color="auto" w:sz="4" w:space="0"/>
              <w:right w:val="single" w:color="auto" w:sz="4" w:space="0"/>
            </w:tcBorders>
            <w:noWrap/>
            <w:vAlign w:val="center"/>
          </w:tcPr>
          <w:p w14:paraId="33A7971F">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817" w:type="dxa"/>
            <w:tcBorders>
              <w:top w:val="nil"/>
              <w:left w:val="nil"/>
              <w:bottom w:val="single" w:color="auto" w:sz="4" w:space="0"/>
              <w:right w:val="single" w:color="auto" w:sz="4" w:space="0"/>
            </w:tcBorders>
            <w:noWrap/>
            <w:vAlign w:val="center"/>
          </w:tcPr>
          <w:p w14:paraId="6FF7B664">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68" w:type="dxa"/>
            <w:tcBorders>
              <w:top w:val="nil"/>
              <w:left w:val="nil"/>
              <w:bottom w:val="single" w:color="auto" w:sz="4" w:space="0"/>
              <w:right w:val="single" w:color="auto" w:sz="4" w:space="0"/>
            </w:tcBorders>
            <w:noWrap/>
            <w:vAlign w:val="center"/>
          </w:tcPr>
          <w:p w14:paraId="005D9D25">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5000≤Y＜40000</w:t>
            </w:r>
          </w:p>
        </w:tc>
        <w:tc>
          <w:tcPr>
            <w:tcW w:w="1633" w:type="dxa"/>
            <w:tcBorders>
              <w:top w:val="nil"/>
              <w:left w:val="nil"/>
              <w:bottom w:val="single" w:color="auto" w:sz="4" w:space="0"/>
              <w:right w:val="single" w:color="auto" w:sz="4" w:space="0"/>
            </w:tcBorders>
            <w:noWrap/>
            <w:vAlign w:val="center"/>
          </w:tcPr>
          <w:p w14:paraId="247C41F3">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1000≤Y＜5000</w:t>
            </w:r>
          </w:p>
        </w:tc>
        <w:tc>
          <w:tcPr>
            <w:tcW w:w="1088" w:type="dxa"/>
            <w:tcBorders>
              <w:top w:val="nil"/>
              <w:left w:val="nil"/>
              <w:bottom w:val="single" w:color="auto" w:sz="4" w:space="0"/>
              <w:right w:val="single" w:color="auto" w:sz="4" w:space="0"/>
            </w:tcBorders>
            <w:noWrap/>
            <w:vAlign w:val="center"/>
          </w:tcPr>
          <w:p w14:paraId="67F4B6B5">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Y＜1000</w:t>
            </w:r>
          </w:p>
        </w:tc>
      </w:tr>
      <w:tr w14:paraId="06DB589A">
        <w:tblPrEx>
          <w:tblCellMar>
            <w:top w:w="0" w:type="dxa"/>
            <w:left w:w="108" w:type="dxa"/>
            <w:bottom w:w="0" w:type="dxa"/>
            <w:right w:w="108" w:type="dxa"/>
          </w:tblCellMar>
        </w:tblPrEx>
        <w:trPr>
          <w:trHeight w:val="243" w:hRule="atLeast"/>
        </w:trPr>
        <w:tc>
          <w:tcPr>
            <w:tcW w:w="1906" w:type="dxa"/>
            <w:vMerge w:val="restart"/>
            <w:tcBorders>
              <w:top w:val="nil"/>
              <w:left w:val="single" w:color="auto" w:sz="4" w:space="0"/>
              <w:bottom w:val="single" w:color="auto" w:sz="4" w:space="0"/>
              <w:right w:val="single" w:color="auto" w:sz="4" w:space="0"/>
            </w:tcBorders>
            <w:noWrap/>
            <w:vAlign w:val="bottom"/>
          </w:tcPr>
          <w:p w14:paraId="1CA4EBF3">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零售业</w:t>
            </w:r>
          </w:p>
        </w:tc>
        <w:tc>
          <w:tcPr>
            <w:tcW w:w="1905" w:type="dxa"/>
            <w:tcBorders>
              <w:top w:val="nil"/>
              <w:left w:val="nil"/>
              <w:bottom w:val="single" w:color="auto" w:sz="4" w:space="0"/>
              <w:right w:val="single" w:color="auto" w:sz="4" w:space="0"/>
            </w:tcBorders>
            <w:noWrap/>
            <w:vAlign w:val="center"/>
          </w:tcPr>
          <w:p w14:paraId="5BCBB922">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817" w:type="dxa"/>
            <w:tcBorders>
              <w:top w:val="nil"/>
              <w:left w:val="nil"/>
              <w:bottom w:val="single" w:color="auto" w:sz="4" w:space="0"/>
              <w:right w:val="single" w:color="auto" w:sz="4" w:space="0"/>
            </w:tcBorders>
            <w:noWrap/>
            <w:vAlign w:val="center"/>
          </w:tcPr>
          <w:p w14:paraId="6A191029">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768" w:type="dxa"/>
            <w:tcBorders>
              <w:top w:val="nil"/>
              <w:left w:val="nil"/>
              <w:bottom w:val="single" w:color="auto" w:sz="4" w:space="0"/>
              <w:right w:val="single" w:color="auto" w:sz="4" w:space="0"/>
            </w:tcBorders>
            <w:noWrap/>
            <w:vAlign w:val="center"/>
          </w:tcPr>
          <w:p w14:paraId="46FBEC81">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50≤X＜300</w:t>
            </w:r>
          </w:p>
        </w:tc>
        <w:tc>
          <w:tcPr>
            <w:tcW w:w="1633" w:type="dxa"/>
            <w:tcBorders>
              <w:top w:val="nil"/>
              <w:left w:val="nil"/>
              <w:bottom w:val="single" w:color="auto" w:sz="4" w:space="0"/>
              <w:right w:val="single" w:color="auto" w:sz="4" w:space="0"/>
            </w:tcBorders>
            <w:noWrap/>
            <w:vAlign w:val="center"/>
          </w:tcPr>
          <w:p w14:paraId="74802DF2">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10≤X＜50</w:t>
            </w:r>
          </w:p>
        </w:tc>
        <w:tc>
          <w:tcPr>
            <w:tcW w:w="1088" w:type="dxa"/>
            <w:tcBorders>
              <w:top w:val="nil"/>
              <w:left w:val="nil"/>
              <w:bottom w:val="single" w:color="auto" w:sz="4" w:space="0"/>
              <w:right w:val="single" w:color="auto" w:sz="4" w:space="0"/>
            </w:tcBorders>
            <w:noWrap/>
            <w:vAlign w:val="center"/>
          </w:tcPr>
          <w:p w14:paraId="236F4083">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X＜10</w:t>
            </w:r>
          </w:p>
        </w:tc>
      </w:tr>
      <w:tr w14:paraId="7C33733D">
        <w:tblPrEx>
          <w:tblCellMar>
            <w:top w:w="0" w:type="dxa"/>
            <w:left w:w="108" w:type="dxa"/>
            <w:bottom w:w="0" w:type="dxa"/>
            <w:right w:w="108" w:type="dxa"/>
          </w:tblCellMar>
        </w:tblPrEx>
        <w:trPr>
          <w:trHeight w:val="243" w:hRule="atLeast"/>
        </w:trPr>
        <w:tc>
          <w:tcPr>
            <w:tcW w:w="1906" w:type="dxa"/>
            <w:vMerge w:val="continue"/>
            <w:tcBorders>
              <w:top w:val="nil"/>
              <w:left w:val="single" w:color="auto" w:sz="4" w:space="0"/>
              <w:bottom w:val="single" w:color="auto" w:sz="4" w:space="0"/>
              <w:right w:val="single" w:color="auto" w:sz="4" w:space="0"/>
            </w:tcBorders>
            <w:vAlign w:val="center"/>
          </w:tcPr>
          <w:p w14:paraId="72AA3EE1">
            <w:pPr>
              <w:widowControl/>
              <w:jc w:val="left"/>
              <w:rPr>
                <w:rFonts w:hint="eastAsia" w:ascii="宋体" w:hAnsi="宋体" w:cs="宋体"/>
                <w:b/>
                <w:bCs/>
                <w:color w:val="auto"/>
                <w:kern w:val="0"/>
                <w:sz w:val="18"/>
                <w:szCs w:val="18"/>
              </w:rPr>
            </w:pPr>
          </w:p>
        </w:tc>
        <w:tc>
          <w:tcPr>
            <w:tcW w:w="1905" w:type="dxa"/>
            <w:tcBorders>
              <w:top w:val="nil"/>
              <w:left w:val="nil"/>
              <w:bottom w:val="single" w:color="auto" w:sz="4" w:space="0"/>
              <w:right w:val="single" w:color="auto" w:sz="4" w:space="0"/>
            </w:tcBorders>
            <w:noWrap/>
            <w:vAlign w:val="center"/>
          </w:tcPr>
          <w:p w14:paraId="7F3DC16E">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817" w:type="dxa"/>
            <w:tcBorders>
              <w:top w:val="nil"/>
              <w:left w:val="nil"/>
              <w:bottom w:val="single" w:color="auto" w:sz="4" w:space="0"/>
              <w:right w:val="single" w:color="auto" w:sz="4" w:space="0"/>
            </w:tcBorders>
            <w:noWrap/>
            <w:vAlign w:val="center"/>
          </w:tcPr>
          <w:p w14:paraId="4B0DDCFE">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68" w:type="dxa"/>
            <w:tcBorders>
              <w:top w:val="nil"/>
              <w:left w:val="nil"/>
              <w:bottom w:val="single" w:color="auto" w:sz="4" w:space="0"/>
              <w:right w:val="single" w:color="auto" w:sz="4" w:space="0"/>
            </w:tcBorders>
            <w:noWrap/>
            <w:vAlign w:val="center"/>
          </w:tcPr>
          <w:p w14:paraId="2DAE0235">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500≤Y＜20000</w:t>
            </w:r>
          </w:p>
        </w:tc>
        <w:tc>
          <w:tcPr>
            <w:tcW w:w="1633" w:type="dxa"/>
            <w:tcBorders>
              <w:top w:val="nil"/>
              <w:left w:val="nil"/>
              <w:bottom w:val="single" w:color="auto" w:sz="4" w:space="0"/>
              <w:right w:val="single" w:color="auto" w:sz="4" w:space="0"/>
            </w:tcBorders>
            <w:noWrap/>
            <w:vAlign w:val="center"/>
          </w:tcPr>
          <w:p w14:paraId="214A5E29">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100≤Y＜500</w:t>
            </w:r>
          </w:p>
        </w:tc>
        <w:tc>
          <w:tcPr>
            <w:tcW w:w="1088" w:type="dxa"/>
            <w:tcBorders>
              <w:top w:val="nil"/>
              <w:left w:val="nil"/>
              <w:bottom w:val="single" w:color="auto" w:sz="4" w:space="0"/>
              <w:right w:val="single" w:color="auto" w:sz="4" w:space="0"/>
            </w:tcBorders>
            <w:noWrap/>
            <w:vAlign w:val="center"/>
          </w:tcPr>
          <w:p w14:paraId="1469F7BA">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Y＜100</w:t>
            </w:r>
          </w:p>
        </w:tc>
      </w:tr>
      <w:tr w14:paraId="62772FB5">
        <w:tblPrEx>
          <w:tblCellMar>
            <w:top w:w="0" w:type="dxa"/>
            <w:left w:w="108" w:type="dxa"/>
            <w:bottom w:w="0" w:type="dxa"/>
            <w:right w:w="108" w:type="dxa"/>
          </w:tblCellMar>
        </w:tblPrEx>
        <w:trPr>
          <w:trHeight w:val="243" w:hRule="atLeast"/>
        </w:trPr>
        <w:tc>
          <w:tcPr>
            <w:tcW w:w="1906" w:type="dxa"/>
            <w:vMerge w:val="restart"/>
            <w:tcBorders>
              <w:top w:val="nil"/>
              <w:left w:val="single" w:color="auto" w:sz="4" w:space="0"/>
              <w:bottom w:val="single" w:color="auto" w:sz="4" w:space="0"/>
              <w:right w:val="single" w:color="auto" w:sz="4" w:space="0"/>
            </w:tcBorders>
            <w:noWrap/>
            <w:vAlign w:val="bottom"/>
          </w:tcPr>
          <w:p w14:paraId="0A70FB7A">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交通运输业</w:t>
            </w:r>
          </w:p>
        </w:tc>
        <w:tc>
          <w:tcPr>
            <w:tcW w:w="1905" w:type="dxa"/>
            <w:tcBorders>
              <w:top w:val="nil"/>
              <w:left w:val="nil"/>
              <w:bottom w:val="single" w:color="auto" w:sz="4" w:space="0"/>
              <w:right w:val="single" w:color="auto" w:sz="4" w:space="0"/>
            </w:tcBorders>
            <w:noWrap/>
            <w:vAlign w:val="center"/>
          </w:tcPr>
          <w:p w14:paraId="0A0975B2">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817" w:type="dxa"/>
            <w:tcBorders>
              <w:top w:val="nil"/>
              <w:left w:val="nil"/>
              <w:bottom w:val="single" w:color="auto" w:sz="4" w:space="0"/>
              <w:right w:val="single" w:color="auto" w:sz="4" w:space="0"/>
            </w:tcBorders>
            <w:noWrap/>
            <w:vAlign w:val="center"/>
          </w:tcPr>
          <w:p w14:paraId="52CF9F67">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768" w:type="dxa"/>
            <w:tcBorders>
              <w:top w:val="nil"/>
              <w:left w:val="nil"/>
              <w:bottom w:val="single" w:color="auto" w:sz="4" w:space="0"/>
              <w:right w:val="single" w:color="auto" w:sz="4" w:space="0"/>
            </w:tcBorders>
            <w:noWrap/>
            <w:vAlign w:val="center"/>
          </w:tcPr>
          <w:p w14:paraId="3F974A82">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300≤X＜1000</w:t>
            </w:r>
          </w:p>
        </w:tc>
        <w:tc>
          <w:tcPr>
            <w:tcW w:w="1633" w:type="dxa"/>
            <w:tcBorders>
              <w:top w:val="nil"/>
              <w:left w:val="nil"/>
              <w:bottom w:val="single" w:color="auto" w:sz="4" w:space="0"/>
              <w:right w:val="single" w:color="auto" w:sz="4" w:space="0"/>
            </w:tcBorders>
            <w:noWrap/>
            <w:vAlign w:val="center"/>
          </w:tcPr>
          <w:p w14:paraId="67FC8633">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20≤X＜300</w:t>
            </w:r>
          </w:p>
        </w:tc>
        <w:tc>
          <w:tcPr>
            <w:tcW w:w="1088" w:type="dxa"/>
            <w:tcBorders>
              <w:top w:val="nil"/>
              <w:left w:val="nil"/>
              <w:bottom w:val="single" w:color="auto" w:sz="4" w:space="0"/>
              <w:right w:val="single" w:color="auto" w:sz="4" w:space="0"/>
            </w:tcBorders>
            <w:noWrap/>
            <w:vAlign w:val="center"/>
          </w:tcPr>
          <w:p w14:paraId="70609A1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X＜20</w:t>
            </w:r>
          </w:p>
        </w:tc>
      </w:tr>
      <w:tr w14:paraId="18FD0055">
        <w:tblPrEx>
          <w:tblCellMar>
            <w:top w:w="0" w:type="dxa"/>
            <w:left w:w="108" w:type="dxa"/>
            <w:bottom w:w="0" w:type="dxa"/>
            <w:right w:w="108" w:type="dxa"/>
          </w:tblCellMar>
        </w:tblPrEx>
        <w:trPr>
          <w:trHeight w:val="243" w:hRule="atLeast"/>
        </w:trPr>
        <w:tc>
          <w:tcPr>
            <w:tcW w:w="1906" w:type="dxa"/>
            <w:vMerge w:val="continue"/>
            <w:tcBorders>
              <w:top w:val="nil"/>
              <w:left w:val="single" w:color="auto" w:sz="4" w:space="0"/>
              <w:bottom w:val="single" w:color="auto" w:sz="4" w:space="0"/>
              <w:right w:val="single" w:color="auto" w:sz="4" w:space="0"/>
            </w:tcBorders>
            <w:vAlign w:val="center"/>
          </w:tcPr>
          <w:p w14:paraId="003A9BC3">
            <w:pPr>
              <w:widowControl/>
              <w:jc w:val="left"/>
              <w:rPr>
                <w:rFonts w:hint="eastAsia" w:ascii="宋体" w:hAnsi="宋体" w:cs="宋体"/>
                <w:b/>
                <w:bCs/>
                <w:color w:val="auto"/>
                <w:kern w:val="0"/>
                <w:sz w:val="18"/>
                <w:szCs w:val="18"/>
              </w:rPr>
            </w:pPr>
          </w:p>
        </w:tc>
        <w:tc>
          <w:tcPr>
            <w:tcW w:w="1905" w:type="dxa"/>
            <w:tcBorders>
              <w:top w:val="nil"/>
              <w:left w:val="nil"/>
              <w:bottom w:val="single" w:color="auto" w:sz="4" w:space="0"/>
              <w:right w:val="single" w:color="auto" w:sz="4" w:space="0"/>
            </w:tcBorders>
            <w:noWrap/>
            <w:vAlign w:val="center"/>
          </w:tcPr>
          <w:p w14:paraId="4EC84470">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817" w:type="dxa"/>
            <w:tcBorders>
              <w:top w:val="nil"/>
              <w:left w:val="nil"/>
              <w:bottom w:val="single" w:color="auto" w:sz="4" w:space="0"/>
              <w:right w:val="single" w:color="auto" w:sz="4" w:space="0"/>
            </w:tcBorders>
            <w:noWrap/>
            <w:vAlign w:val="center"/>
          </w:tcPr>
          <w:p w14:paraId="0FC0AF08">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68" w:type="dxa"/>
            <w:tcBorders>
              <w:top w:val="nil"/>
              <w:left w:val="nil"/>
              <w:bottom w:val="single" w:color="auto" w:sz="4" w:space="0"/>
              <w:right w:val="single" w:color="auto" w:sz="4" w:space="0"/>
            </w:tcBorders>
            <w:noWrap/>
            <w:vAlign w:val="center"/>
          </w:tcPr>
          <w:p w14:paraId="57BE3626">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3000≤Y＜30000</w:t>
            </w:r>
          </w:p>
        </w:tc>
        <w:tc>
          <w:tcPr>
            <w:tcW w:w="1633" w:type="dxa"/>
            <w:tcBorders>
              <w:top w:val="nil"/>
              <w:left w:val="nil"/>
              <w:bottom w:val="single" w:color="auto" w:sz="4" w:space="0"/>
              <w:right w:val="single" w:color="auto" w:sz="4" w:space="0"/>
            </w:tcBorders>
            <w:noWrap/>
            <w:vAlign w:val="center"/>
          </w:tcPr>
          <w:p w14:paraId="021BDC86">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200≤Y＜3000</w:t>
            </w:r>
          </w:p>
        </w:tc>
        <w:tc>
          <w:tcPr>
            <w:tcW w:w="1088" w:type="dxa"/>
            <w:tcBorders>
              <w:top w:val="nil"/>
              <w:left w:val="nil"/>
              <w:bottom w:val="single" w:color="auto" w:sz="4" w:space="0"/>
              <w:right w:val="single" w:color="auto" w:sz="4" w:space="0"/>
            </w:tcBorders>
            <w:noWrap/>
            <w:vAlign w:val="center"/>
          </w:tcPr>
          <w:p w14:paraId="2CA52312">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Y＜200</w:t>
            </w:r>
          </w:p>
        </w:tc>
      </w:tr>
      <w:tr w14:paraId="6D37A516">
        <w:tblPrEx>
          <w:tblCellMar>
            <w:top w:w="0" w:type="dxa"/>
            <w:left w:w="108" w:type="dxa"/>
            <w:bottom w:w="0" w:type="dxa"/>
            <w:right w:w="108" w:type="dxa"/>
          </w:tblCellMar>
        </w:tblPrEx>
        <w:trPr>
          <w:trHeight w:val="243" w:hRule="atLeast"/>
        </w:trPr>
        <w:tc>
          <w:tcPr>
            <w:tcW w:w="1906" w:type="dxa"/>
            <w:vMerge w:val="restart"/>
            <w:tcBorders>
              <w:top w:val="nil"/>
              <w:left w:val="single" w:color="auto" w:sz="4" w:space="0"/>
              <w:bottom w:val="single" w:color="auto" w:sz="4" w:space="0"/>
              <w:right w:val="single" w:color="auto" w:sz="4" w:space="0"/>
            </w:tcBorders>
            <w:noWrap/>
            <w:vAlign w:val="bottom"/>
          </w:tcPr>
          <w:p w14:paraId="7C2E3D95">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仓储业</w:t>
            </w:r>
          </w:p>
        </w:tc>
        <w:tc>
          <w:tcPr>
            <w:tcW w:w="1905" w:type="dxa"/>
            <w:tcBorders>
              <w:top w:val="nil"/>
              <w:left w:val="nil"/>
              <w:bottom w:val="single" w:color="auto" w:sz="4" w:space="0"/>
              <w:right w:val="single" w:color="auto" w:sz="4" w:space="0"/>
            </w:tcBorders>
            <w:noWrap/>
            <w:vAlign w:val="center"/>
          </w:tcPr>
          <w:p w14:paraId="33E3553C">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817" w:type="dxa"/>
            <w:tcBorders>
              <w:top w:val="nil"/>
              <w:left w:val="nil"/>
              <w:bottom w:val="single" w:color="auto" w:sz="4" w:space="0"/>
              <w:right w:val="single" w:color="auto" w:sz="4" w:space="0"/>
            </w:tcBorders>
            <w:noWrap/>
            <w:vAlign w:val="center"/>
          </w:tcPr>
          <w:p w14:paraId="384AE5E3">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768" w:type="dxa"/>
            <w:tcBorders>
              <w:top w:val="nil"/>
              <w:left w:val="nil"/>
              <w:bottom w:val="single" w:color="auto" w:sz="4" w:space="0"/>
              <w:right w:val="single" w:color="auto" w:sz="4" w:space="0"/>
            </w:tcBorders>
            <w:noWrap/>
            <w:vAlign w:val="center"/>
          </w:tcPr>
          <w:p w14:paraId="45CB4CF8">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100≤X＜200</w:t>
            </w:r>
          </w:p>
        </w:tc>
        <w:tc>
          <w:tcPr>
            <w:tcW w:w="1633" w:type="dxa"/>
            <w:tcBorders>
              <w:top w:val="nil"/>
              <w:left w:val="nil"/>
              <w:bottom w:val="single" w:color="auto" w:sz="4" w:space="0"/>
              <w:right w:val="single" w:color="auto" w:sz="4" w:space="0"/>
            </w:tcBorders>
            <w:noWrap/>
            <w:vAlign w:val="center"/>
          </w:tcPr>
          <w:p w14:paraId="0BE9B4E5">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20≤X＜100</w:t>
            </w:r>
          </w:p>
        </w:tc>
        <w:tc>
          <w:tcPr>
            <w:tcW w:w="1088" w:type="dxa"/>
            <w:tcBorders>
              <w:top w:val="nil"/>
              <w:left w:val="nil"/>
              <w:bottom w:val="single" w:color="auto" w:sz="4" w:space="0"/>
              <w:right w:val="single" w:color="auto" w:sz="4" w:space="0"/>
            </w:tcBorders>
            <w:noWrap/>
            <w:vAlign w:val="center"/>
          </w:tcPr>
          <w:p w14:paraId="1DCEFC58">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X＜20</w:t>
            </w:r>
          </w:p>
        </w:tc>
      </w:tr>
      <w:tr w14:paraId="27E69867">
        <w:tblPrEx>
          <w:tblCellMar>
            <w:top w:w="0" w:type="dxa"/>
            <w:left w:w="108" w:type="dxa"/>
            <w:bottom w:w="0" w:type="dxa"/>
            <w:right w:w="108" w:type="dxa"/>
          </w:tblCellMar>
        </w:tblPrEx>
        <w:trPr>
          <w:trHeight w:val="243" w:hRule="atLeast"/>
        </w:trPr>
        <w:tc>
          <w:tcPr>
            <w:tcW w:w="1906" w:type="dxa"/>
            <w:vMerge w:val="continue"/>
            <w:tcBorders>
              <w:top w:val="nil"/>
              <w:left w:val="single" w:color="auto" w:sz="4" w:space="0"/>
              <w:bottom w:val="single" w:color="auto" w:sz="4" w:space="0"/>
              <w:right w:val="single" w:color="auto" w:sz="4" w:space="0"/>
            </w:tcBorders>
            <w:vAlign w:val="center"/>
          </w:tcPr>
          <w:p w14:paraId="16CEDC4F">
            <w:pPr>
              <w:widowControl/>
              <w:jc w:val="left"/>
              <w:rPr>
                <w:rFonts w:hint="eastAsia" w:ascii="宋体" w:hAnsi="宋体" w:cs="宋体"/>
                <w:b/>
                <w:bCs/>
                <w:color w:val="auto"/>
                <w:kern w:val="0"/>
                <w:sz w:val="18"/>
                <w:szCs w:val="18"/>
              </w:rPr>
            </w:pPr>
          </w:p>
        </w:tc>
        <w:tc>
          <w:tcPr>
            <w:tcW w:w="1905" w:type="dxa"/>
            <w:tcBorders>
              <w:top w:val="nil"/>
              <w:left w:val="nil"/>
              <w:bottom w:val="single" w:color="auto" w:sz="4" w:space="0"/>
              <w:right w:val="single" w:color="auto" w:sz="4" w:space="0"/>
            </w:tcBorders>
            <w:noWrap/>
            <w:vAlign w:val="center"/>
          </w:tcPr>
          <w:p w14:paraId="2B61B90F">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817" w:type="dxa"/>
            <w:tcBorders>
              <w:top w:val="nil"/>
              <w:left w:val="nil"/>
              <w:bottom w:val="single" w:color="auto" w:sz="4" w:space="0"/>
              <w:right w:val="single" w:color="auto" w:sz="4" w:space="0"/>
            </w:tcBorders>
            <w:noWrap/>
            <w:vAlign w:val="center"/>
          </w:tcPr>
          <w:p w14:paraId="31258A43">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68" w:type="dxa"/>
            <w:tcBorders>
              <w:top w:val="nil"/>
              <w:left w:val="nil"/>
              <w:bottom w:val="single" w:color="auto" w:sz="4" w:space="0"/>
              <w:right w:val="single" w:color="auto" w:sz="4" w:space="0"/>
            </w:tcBorders>
            <w:noWrap/>
            <w:vAlign w:val="center"/>
          </w:tcPr>
          <w:p w14:paraId="1544E99F">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1000≤Y＜30000</w:t>
            </w:r>
          </w:p>
        </w:tc>
        <w:tc>
          <w:tcPr>
            <w:tcW w:w="1633" w:type="dxa"/>
            <w:tcBorders>
              <w:top w:val="nil"/>
              <w:left w:val="nil"/>
              <w:bottom w:val="single" w:color="auto" w:sz="4" w:space="0"/>
              <w:right w:val="single" w:color="auto" w:sz="4" w:space="0"/>
            </w:tcBorders>
            <w:noWrap/>
            <w:vAlign w:val="center"/>
          </w:tcPr>
          <w:p w14:paraId="5AF22CB1">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100≤Y＜1000</w:t>
            </w:r>
          </w:p>
        </w:tc>
        <w:tc>
          <w:tcPr>
            <w:tcW w:w="1088" w:type="dxa"/>
            <w:tcBorders>
              <w:top w:val="nil"/>
              <w:left w:val="nil"/>
              <w:bottom w:val="single" w:color="auto" w:sz="4" w:space="0"/>
              <w:right w:val="single" w:color="auto" w:sz="4" w:space="0"/>
            </w:tcBorders>
            <w:noWrap/>
            <w:vAlign w:val="center"/>
          </w:tcPr>
          <w:p w14:paraId="0B96C769">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Y＜100</w:t>
            </w:r>
          </w:p>
        </w:tc>
      </w:tr>
      <w:tr w14:paraId="76702F77">
        <w:tblPrEx>
          <w:tblCellMar>
            <w:top w:w="0" w:type="dxa"/>
            <w:left w:w="108" w:type="dxa"/>
            <w:bottom w:w="0" w:type="dxa"/>
            <w:right w:w="108" w:type="dxa"/>
          </w:tblCellMar>
        </w:tblPrEx>
        <w:trPr>
          <w:trHeight w:val="243" w:hRule="atLeast"/>
        </w:trPr>
        <w:tc>
          <w:tcPr>
            <w:tcW w:w="1906" w:type="dxa"/>
            <w:vMerge w:val="restart"/>
            <w:tcBorders>
              <w:top w:val="nil"/>
              <w:left w:val="single" w:color="auto" w:sz="4" w:space="0"/>
              <w:bottom w:val="single" w:color="auto" w:sz="4" w:space="0"/>
              <w:right w:val="single" w:color="auto" w:sz="4" w:space="0"/>
            </w:tcBorders>
            <w:noWrap/>
            <w:vAlign w:val="bottom"/>
          </w:tcPr>
          <w:p w14:paraId="334D91FE">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邮政业</w:t>
            </w:r>
          </w:p>
        </w:tc>
        <w:tc>
          <w:tcPr>
            <w:tcW w:w="1905" w:type="dxa"/>
            <w:tcBorders>
              <w:top w:val="nil"/>
              <w:left w:val="nil"/>
              <w:bottom w:val="single" w:color="auto" w:sz="4" w:space="0"/>
              <w:right w:val="single" w:color="auto" w:sz="4" w:space="0"/>
            </w:tcBorders>
            <w:noWrap/>
            <w:vAlign w:val="center"/>
          </w:tcPr>
          <w:p w14:paraId="5565ECFC">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817" w:type="dxa"/>
            <w:tcBorders>
              <w:top w:val="nil"/>
              <w:left w:val="nil"/>
              <w:bottom w:val="single" w:color="auto" w:sz="4" w:space="0"/>
              <w:right w:val="single" w:color="auto" w:sz="4" w:space="0"/>
            </w:tcBorders>
            <w:noWrap/>
            <w:vAlign w:val="center"/>
          </w:tcPr>
          <w:p w14:paraId="5F74690F">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768" w:type="dxa"/>
            <w:tcBorders>
              <w:top w:val="nil"/>
              <w:left w:val="nil"/>
              <w:bottom w:val="single" w:color="auto" w:sz="4" w:space="0"/>
              <w:right w:val="single" w:color="auto" w:sz="4" w:space="0"/>
            </w:tcBorders>
            <w:noWrap/>
            <w:vAlign w:val="center"/>
          </w:tcPr>
          <w:p w14:paraId="1BF0C48D">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300≤X＜1000</w:t>
            </w:r>
          </w:p>
        </w:tc>
        <w:tc>
          <w:tcPr>
            <w:tcW w:w="1633" w:type="dxa"/>
            <w:tcBorders>
              <w:top w:val="nil"/>
              <w:left w:val="nil"/>
              <w:bottom w:val="single" w:color="auto" w:sz="4" w:space="0"/>
              <w:right w:val="single" w:color="auto" w:sz="4" w:space="0"/>
            </w:tcBorders>
            <w:noWrap/>
            <w:vAlign w:val="center"/>
          </w:tcPr>
          <w:p w14:paraId="2472DE0A">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20≤X＜300</w:t>
            </w:r>
          </w:p>
        </w:tc>
        <w:tc>
          <w:tcPr>
            <w:tcW w:w="1088" w:type="dxa"/>
            <w:tcBorders>
              <w:top w:val="nil"/>
              <w:left w:val="nil"/>
              <w:bottom w:val="single" w:color="auto" w:sz="4" w:space="0"/>
              <w:right w:val="single" w:color="auto" w:sz="4" w:space="0"/>
            </w:tcBorders>
            <w:noWrap/>
            <w:vAlign w:val="center"/>
          </w:tcPr>
          <w:p w14:paraId="578E34BA">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X＜20</w:t>
            </w:r>
          </w:p>
        </w:tc>
      </w:tr>
      <w:tr w14:paraId="754A209F">
        <w:tblPrEx>
          <w:tblCellMar>
            <w:top w:w="0" w:type="dxa"/>
            <w:left w:w="108" w:type="dxa"/>
            <w:bottom w:w="0" w:type="dxa"/>
            <w:right w:w="108" w:type="dxa"/>
          </w:tblCellMar>
        </w:tblPrEx>
        <w:trPr>
          <w:trHeight w:val="243" w:hRule="atLeast"/>
        </w:trPr>
        <w:tc>
          <w:tcPr>
            <w:tcW w:w="1906" w:type="dxa"/>
            <w:vMerge w:val="continue"/>
            <w:tcBorders>
              <w:top w:val="nil"/>
              <w:left w:val="single" w:color="auto" w:sz="4" w:space="0"/>
              <w:bottom w:val="single" w:color="auto" w:sz="4" w:space="0"/>
              <w:right w:val="single" w:color="auto" w:sz="4" w:space="0"/>
            </w:tcBorders>
            <w:vAlign w:val="center"/>
          </w:tcPr>
          <w:p w14:paraId="2BF0066B">
            <w:pPr>
              <w:widowControl/>
              <w:jc w:val="left"/>
              <w:rPr>
                <w:rFonts w:hint="eastAsia" w:ascii="宋体" w:hAnsi="宋体" w:cs="宋体"/>
                <w:b/>
                <w:bCs/>
                <w:color w:val="auto"/>
                <w:kern w:val="0"/>
                <w:sz w:val="18"/>
                <w:szCs w:val="18"/>
              </w:rPr>
            </w:pPr>
          </w:p>
        </w:tc>
        <w:tc>
          <w:tcPr>
            <w:tcW w:w="1905" w:type="dxa"/>
            <w:tcBorders>
              <w:top w:val="nil"/>
              <w:left w:val="nil"/>
              <w:bottom w:val="single" w:color="auto" w:sz="4" w:space="0"/>
              <w:right w:val="single" w:color="auto" w:sz="4" w:space="0"/>
            </w:tcBorders>
            <w:noWrap/>
            <w:vAlign w:val="center"/>
          </w:tcPr>
          <w:p w14:paraId="0466E7CF">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817" w:type="dxa"/>
            <w:tcBorders>
              <w:top w:val="nil"/>
              <w:left w:val="nil"/>
              <w:bottom w:val="single" w:color="auto" w:sz="4" w:space="0"/>
              <w:right w:val="single" w:color="auto" w:sz="4" w:space="0"/>
            </w:tcBorders>
            <w:noWrap/>
            <w:vAlign w:val="center"/>
          </w:tcPr>
          <w:p w14:paraId="65AA0F4A">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68" w:type="dxa"/>
            <w:tcBorders>
              <w:top w:val="nil"/>
              <w:left w:val="nil"/>
              <w:bottom w:val="single" w:color="auto" w:sz="4" w:space="0"/>
              <w:right w:val="single" w:color="auto" w:sz="4" w:space="0"/>
            </w:tcBorders>
            <w:noWrap/>
            <w:vAlign w:val="center"/>
          </w:tcPr>
          <w:p w14:paraId="024961FA">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2000≤Y＜30000</w:t>
            </w:r>
          </w:p>
        </w:tc>
        <w:tc>
          <w:tcPr>
            <w:tcW w:w="1633" w:type="dxa"/>
            <w:tcBorders>
              <w:top w:val="nil"/>
              <w:left w:val="nil"/>
              <w:bottom w:val="single" w:color="auto" w:sz="4" w:space="0"/>
              <w:right w:val="single" w:color="auto" w:sz="4" w:space="0"/>
            </w:tcBorders>
            <w:noWrap/>
            <w:vAlign w:val="center"/>
          </w:tcPr>
          <w:p w14:paraId="3C58BAE4">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100≤Y＜2000</w:t>
            </w:r>
          </w:p>
        </w:tc>
        <w:tc>
          <w:tcPr>
            <w:tcW w:w="1088" w:type="dxa"/>
            <w:tcBorders>
              <w:top w:val="nil"/>
              <w:left w:val="nil"/>
              <w:bottom w:val="single" w:color="auto" w:sz="4" w:space="0"/>
              <w:right w:val="single" w:color="auto" w:sz="4" w:space="0"/>
            </w:tcBorders>
            <w:noWrap/>
            <w:vAlign w:val="center"/>
          </w:tcPr>
          <w:p w14:paraId="356027FE">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Y＜100</w:t>
            </w:r>
          </w:p>
        </w:tc>
      </w:tr>
      <w:tr w14:paraId="70B4BDC5">
        <w:tblPrEx>
          <w:tblCellMar>
            <w:top w:w="0" w:type="dxa"/>
            <w:left w:w="108" w:type="dxa"/>
            <w:bottom w:w="0" w:type="dxa"/>
            <w:right w:w="108" w:type="dxa"/>
          </w:tblCellMar>
        </w:tblPrEx>
        <w:trPr>
          <w:trHeight w:val="243" w:hRule="atLeast"/>
        </w:trPr>
        <w:tc>
          <w:tcPr>
            <w:tcW w:w="1906" w:type="dxa"/>
            <w:vMerge w:val="restart"/>
            <w:tcBorders>
              <w:top w:val="nil"/>
              <w:left w:val="single" w:color="auto" w:sz="4" w:space="0"/>
              <w:bottom w:val="single" w:color="auto" w:sz="4" w:space="0"/>
              <w:right w:val="single" w:color="auto" w:sz="4" w:space="0"/>
            </w:tcBorders>
            <w:noWrap/>
            <w:vAlign w:val="bottom"/>
          </w:tcPr>
          <w:p w14:paraId="66298027">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住宿业</w:t>
            </w:r>
          </w:p>
        </w:tc>
        <w:tc>
          <w:tcPr>
            <w:tcW w:w="1905" w:type="dxa"/>
            <w:tcBorders>
              <w:top w:val="nil"/>
              <w:left w:val="nil"/>
              <w:bottom w:val="single" w:color="auto" w:sz="4" w:space="0"/>
              <w:right w:val="single" w:color="auto" w:sz="4" w:space="0"/>
            </w:tcBorders>
            <w:noWrap/>
            <w:vAlign w:val="center"/>
          </w:tcPr>
          <w:p w14:paraId="1946E28E">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817" w:type="dxa"/>
            <w:tcBorders>
              <w:top w:val="nil"/>
              <w:left w:val="nil"/>
              <w:bottom w:val="single" w:color="auto" w:sz="4" w:space="0"/>
              <w:right w:val="single" w:color="auto" w:sz="4" w:space="0"/>
            </w:tcBorders>
            <w:noWrap/>
            <w:vAlign w:val="center"/>
          </w:tcPr>
          <w:p w14:paraId="190E4217">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768" w:type="dxa"/>
            <w:tcBorders>
              <w:top w:val="nil"/>
              <w:left w:val="nil"/>
              <w:bottom w:val="single" w:color="auto" w:sz="4" w:space="0"/>
              <w:right w:val="single" w:color="auto" w:sz="4" w:space="0"/>
            </w:tcBorders>
            <w:noWrap/>
            <w:vAlign w:val="center"/>
          </w:tcPr>
          <w:p w14:paraId="5943FF5F">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100≤X＜300</w:t>
            </w:r>
          </w:p>
        </w:tc>
        <w:tc>
          <w:tcPr>
            <w:tcW w:w="1633" w:type="dxa"/>
            <w:tcBorders>
              <w:top w:val="nil"/>
              <w:left w:val="nil"/>
              <w:bottom w:val="single" w:color="auto" w:sz="4" w:space="0"/>
              <w:right w:val="single" w:color="auto" w:sz="4" w:space="0"/>
            </w:tcBorders>
            <w:noWrap/>
            <w:vAlign w:val="center"/>
          </w:tcPr>
          <w:p w14:paraId="4F02DBC5">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10≤X＜100</w:t>
            </w:r>
          </w:p>
        </w:tc>
        <w:tc>
          <w:tcPr>
            <w:tcW w:w="1088" w:type="dxa"/>
            <w:tcBorders>
              <w:top w:val="nil"/>
              <w:left w:val="nil"/>
              <w:bottom w:val="single" w:color="auto" w:sz="4" w:space="0"/>
              <w:right w:val="single" w:color="auto" w:sz="4" w:space="0"/>
            </w:tcBorders>
            <w:noWrap/>
            <w:vAlign w:val="center"/>
          </w:tcPr>
          <w:p w14:paraId="61AD6F3F">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X＜10</w:t>
            </w:r>
          </w:p>
        </w:tc>
      </w:tr>
      <w:tr w14:paraId="7F16F43C">
        <w:tblPrEx>
          <w:tblCellMar>
            <w:top w:w="0" w:type="dxa"/>
            <w:left w:w="108" w:type="dxa"/>
            <w:bottom w:w="0" w:type="dxa"/>
            <w:right w:w="108" w:type="dxa"/>
          </w:tblCellMar>
        </w:tblPrEx>
        <w:trPr>
          <w:trHeight w:val="243" w:hRule="atLeast"/>
        </w:trPr>
        <w:tc>
          <w:tcPr>
            <w:tcW w:w="1906" w:type="dxa"/>
            <w:vMerge w:val="continue"/>
            <w:tcBorders>
              <w:top w:val="nil"/>
              <w:left w:val="single" w:color="auto" w:sz="4" w:space="0"/>
              <w:bottom w:val="single" w:color="auto" w:sz="4" w:space="0"/>
              <w:right w:val="single" w:color="auto" w:sz="4" w:space="0"/>
            </w:tcBorders>
            <w:vAlign w:val="center"/>
          </w:tcPr>
          <w:p w14:paraId="41CAD8FF">
            <w:pPr>
              <w:widowControl/>
              <w:jc w:val="left"/>
              <w:rPr>
                <w:rFonts w:hint="eastAsia" w:ascii="宋体" w:hAnsi="宋体" w:cs="宋体"/>
                <w:b/>
                <w:bCs/>
                <w:color w:val="auto"/>
                <w:kern w:val="0"/>
                <w:sz w:val="18"/>
                <w:szCs w:val="18"/>
              </w:rPr>
            </w:pPr>
          </w:p>
        </w:tc>
        <w:tc>
          <w:tcPr>
            <w:tcW w:w="1905" w:type="dxa"/>
            <w:tcBorders>
              <w:top w:val="nil"/>
              <w:left w:val="nil"/>
              <w:bottom w:val="single" w:color="auto" w:sz="4" w:space="0"/>
              <w:right w:val="single" w:color="auto" w:sz="4" w:space="0"/>
            </w:tcBorders>
            <w:noWrap/>
            <w:vAlign w:val="center"/>
          </w:tcPr>
          <w:p w14:paraId="5FC4351E">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817" w:type="dxa"/>
            <w:tcBorders>
              <w:top w:val="nil"/>
              <w:left w:val="nil"/>
              <w:bottom w:val="single" w:color="auto" w:sz="4" w:space="0"/>
              <w:right w:val="single" w:color="auto" w:sz="4" w:space="0"/>
            </w:tcBorders>
            <w:noWrap/>
            <w:vAlign w:val="center"/>
          </w:tcPr>
          <w:p w14:paraId="31DF7A1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68" w:type="dxa"/>
            <w:tcBorders>
              <w:top w:val="nil"/>
              <w:left w:val="nil"/>
              <w:bottom w:val="single" w:color="auto" w:sz="4" w:space="0"/>
              <w:right w:val="single" w:color="auto" w:sz="4" w:space="0"/>
            </w:tcBorders>
            <w:noWrap/>
            <w:vAlign w:val="center"/>
          </w:tcPr>
          <w:p w14:paraId="24BE618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2000≤Y＜10000</w:t>
            </w:r>
          </w:p>
        </w:tc>
        <w:tc>
          <w:tcPr>
            <w:tcW w:w="1633" w:type="dxa"/>
            <w:tcBorders>
              <w:top w:val="nil"/>
              <w:left w:val="nil"/>
              <w:bottom w:val="single" w:color="auto" w:sz="4" w:space="0"/>
              <w:right w:val="single" w:color="auto" w:sz="4" w:space="0"/>
            </w:tcBorders>
            <w:noWrap/>
            <w:vAlign w:val="center"/>
          </w:tcPr>
          <w:p w14:paraId="09C57FCF">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100≤Y＜2000</w:t>
            </w:r>
          </w:p>
        </w:tc>
        <w:tc>
          <w:tcPr>
            <w:tcW w:w="1088" w:type="dxa"/>
            <w:tcBorders>
              <w:top w:val="nil"/>
              <w:left w:val="nil"/>
              <w:bottom w:val="single" w:color="auto" w:sz="4" w:space="0"/>
              <w:right w:val="single" w:color="auto" w:sz="4" w:space="0"/>
            </w:tcBorders>
            <w:noWrap/>
            <w:vAlign w:val="center"/>
          </w:tcPr>
          <w:p w14:paraId="15BEC0E6">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Y＜100</w:t>
            </w:r>
          </w:p>
        </w:tc>
      </w:tr>
      <w:tr w14:paraId="6976D8C3">
        <w:tblPrEx>
          <w:tblCellMar>
            <w:top w:w="0" w:type="dxa"/>
            <w:left w:w="108" w:type="dxa"/>
            <w:bottom w:w="0" w:type="dxa"/>
            <w:right w:w="108" w:type="dxa"/>
          </w:tblCellMar>
        </w:tblPrEx>
        <w:trPr>
          <w:trHeight w:val="243" w:hRule="atLeast"/>
        </w:trPr>
        <w:tc>
          <w:tcPr>
            <w:tcW w:w="1906" w:type="dxa"/>
            <w:vMerge w:val="restart"/>
            <w:tcBorders>
              <w:top w:val="nil"/>
              <w:left w:val="single" w:color="auto" w:sz="4" w:space="0"/>
              <w:bottom w:val="single" w:color="auto" w:sz="4" w:space="0"/>
              <w:right w:val="single" w:color="auto" w:sz="4" w:space="0"/>
            </w:tcBorders>
            <w:noWrap/>
            <w:vAlign w:val="bottom"/>
          </w:tcPr>
          <w:p w14:paraId="793C05FF">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餐饮业</w:t>
            </w:r>
          </w:p>
        </w:tc>
        <w:tc>
          <w:tcPr>
            <w:tcW w:w="1905" w:type="dxa"/>
            <w:tcBorders>
              <w:top w:val="nil"/>
              <w:left w:val="nil"/>
              <w:bottom w:val="single" w:color="auto" w:sz="4" w:space="0"/>
              <w:right w:val="single" w:color="auto" w:sz="4" w:space="0"/>
            </w:tcBorders>
            <w:noWrap/>
            <w:vAlign w:val="center"/>
          </w:tcPr>
          <w:p w14:paraId="1498C424">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817" w:type="dxa"/>
            <w:tcBorders>
              <w:top w:val="nil"/>
              <w:left w:val="nil"/>
              <w:bottom w:val="single" w:color="auto" w:sz="4" w:space="0"/>
              <w:right w:val="single" w:color="auto" w:sz="4" w:space="0"/>
            </w:tcBorders>
            <w:noWrap/>
            <w:vAlign w:val="center"/>
          </w:tcPr>
          <w:p w14:paraId="0151E7A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768" w:type="dxa"/>
            <w:tcBorders>
              <w:top w:val="nil"/>
              <w:left w:val="nil"/>
              <w:bottom w:val="single" w:color="auto" w:sz="4" w:space="0"/>
              <w:right w:val="single" w:color="auto" w:sz="4" w:space="0"/>
            </w:tcBorders>
            <w:noWrap/>
            <w:vAlign w:val="center"/>
          </w:tcPr>
          <w:p w14:paraId="7E3A087E">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100≤X＜300</w:t>
            </w:r>
          </w:p>
        </w:tc>
        <w:tc>
          <w:tcPr>
            <w:tcW w:w="1633" w:type="dxa"/>
            <w:tcBorders>
              <w:top w:val="nil"/>
              <w:left w:val="nil"/>
              <w:bottom w:val="single" w:color="auto" w:sz="4" w:space="0"/>
              <w:right w:val="single" w:color="auto" w:sz="4" w:space="0"/>
            </w:tcBorders>
            <w:noWrap/>
            <w:vAlign w:val="center"/>
          </w:tcPr>
          <w:p w14:paraId="2E34D22C">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10≤X＜100</w:t>
            </w:r>
          </w:p>
        </w:tc>
        <w:tc>
          <w:tcPr>
            <w:tcW w:w="1088" w:type="dxa"/>
            <w:tcBorders>
              <w:top w:val="nil"/>
              <w:left w:val="nil"/>
              <w:bottom w:val="single" w:color="auto" w:sz="4" w:space="0"/>
              <w:right w:val="single" w:color="auto" w:sz="4" w:space="0"/>
            </w:tcBorders>
            <w:noWrap/>
            <w:vAlign w:val="center"/>
          </w:tcPr>
          <w:p w14:paraId="7285901E">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X＜10</w:t>
            </w:r>
          </w:p>
        </w:tc>
      </w:tr>
      <w:tr w14:paraId="566F3056">
        <w:tblPrEx>
          <w:tblCellMar>
            <w:top w:w="0" w:type="dxa"/>
            <w:left w:w="108" w:type="dxa"/>
            <w:bottom w:w="0" w:type="dxa"/>
            <w:right w:w="108" w:type="dxa"/>
          </w:tblCellMar>
        </w:tblPrEx>
        <w:trPr>
          <w:trHeight w:val="243" w:hRule="atLeast"/>
        </w:trPr>
        <w:tc>
          <w:tcPr>
            <w:tcW w:w="1906" w:type="dxa"/>
            <w:vMerge w:val="continue"/>
            <w:tcBorders>
              <w:top w:val="nil"/>
              <w:left w:val="single" w:color="auto" w:sz="4" w:space="0"/>
              <w:bottom w:val="single" w:color="auto" w:sz="4" w:space="0"/>
              <w:right w:val="single" w:color="auto" w:sz="4" w:space="0"/>
            </w:tcBorders>
            <w:vAlign w:val="center"/>
          </w:tcPr>
          <w:p w14:paraId="5BD54D0E">
            <w:pPr>
              <w:widowControl/>
              <w:jc w:val="left"/>
              <w:rPr>
                <w:rFonts w:hint="eastAsia" w:ascii="宋体" w:hAnsi="宋体" w:cs="宋体"/>
                <w:b/>
                <w:bCs/>
                <w:color w:val="auto"/>
                <w:kern w:val="0"/>
                <w:sz w:val="18"/>
                <w:szCs w:val="18"/>
              </w:rPr>
            </w:pPr>
          </w:p>
        </w:tc>
        <w:tc>
          <w:tcPr>
            <w:tcW w:w="1905" w:type="dxa"/>
            <w:tcBorders>
              <w:top w:val="nil"/>
              <w:left w:val="nil"/>
              <w:bottom w:val="single" w:color="auto" w:sz="4" w:space="0"/>
              <w:right w:val="single" w:color="auto" w:sz="4" w:space="0"/>
            </w:tcBorders>
            <w:noWrap/>
            <w:vAlign w:val="center"/>
          </w:tcPr>
          <w:p w14:paraId="15403178">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817" w:type="dxa"/>
            <w:tcBorders>
              <w:top w:val="nil"/>
              <w:left w:val="nil"/>
              <w:bottom w:val="single" w:color="auto" w:sz="4" w:space="0"/>
              <w:right w:val="single" w:color="auto" w:sz="4" w:space="0"/>
            </w:tcBorders>
            <w:noWrap/>
            <w:vAlign w:val="center"/>
          </w:tcPr>
          <w:p w14:paraId="0F23A399">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68" w:type="dxa"/>
            <w:tcBorders>
              <w:top w:val="nil"/>
              <w:left w:val="nil"/>
              <w:bottom w:val="single" w:color="auto" w:sz="4" w:space="0"/>
              <w:right w:val="single" w:color="auto" w:sz="4" w:space="0"/>
            </w:tcBorders>
            <w:noWrap/>
            <w:vAlign w:val="center"/>
          </w:tcPr>
          <w:p w14:paraId="49F4335F">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2000≤Y＜10000</w:t>
            </w:r>
          </w:p>
        </w:tc>
        <w:tc>
          <w:tcPr>
            <w:tcW w:w="1633" w:type="dxa"/>
            <w:tcBorders>
              <w:top w:val="nil"/>
              <w:left w:val="nil"/>
              <w:bottom w:val="single" w:color="auto" w:sz="4" w:space="0"/>
              <w:right w:val="single" w:color="auto" w:sz="4" w:space="0"/>
            </w:tcBorders>
            <w:noWrap/>
            <w:vAlign w:val="center"/>
          </w:tcPr>
          <w:p w14:paraId="3597B3F4">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100≤Y＜2000</w:t>
            </w:r>
          </w:p>
        </w:tc>
        <w:tc>
          <w:tcPr>
            <w:tcW w:w="1088" w:type="dxa"/>
            <w:tcBorders>
              <w:top w:val="nil"/>
              <w:left w:val="nil"/>
              <w:bottom w:val="single" w:color="auto" w:sz="4" w:space="0"/>
              <w:right w:val="single" w:color="auto" w:sz="4" w:space="0"/>
            </w:tcBorders>
            <w:noWrap/>
            <w:vAlign w:val="center"/>
          </w:tcPr>
          <w:p w14:paraId="73055F0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Y＜100</w:t>
            </w:r>
          </w:p>
        </w:tc>
      </w:tr>
      <w:tr w14:paraId="7F7EB67F">
        <w:tblPrEx>
          <w:tblCellMar>
            <w:top w:w="0" w:type="dxa"/>
            <w:left w:w="108" w:type="dxa"/>
            <w:bottom w:w="0" w:type="dxa"/>
            <w:right w:w="108" w:type="dxa"/>
          </w:tblCellMar>
        </w:tblPrEx>
        <w:trPr>
          <w:trHeight w:val="243" w:hRule="atLeast"/>
        </w:trPr>
        <w:tc>
          <w:tcPr>
            <w:tcW w:w="1906" w:type="dxa"/>
            <w:vMerge w:val="restart"/>
            <w:tcBorders>
              <w:top w:val="nil"/>
              <w:left w:val="single" w:color="auto" w:sz="4" w:space="0"/>
              <w:bottom w:val="single" w:color="auto" w:sz="4" w:space="0"/>
              <w:right w:val="single" w:color="auto" w:sz="4" w:space="0"/>
            </w:tcBorders>
            <w:noWrap/>
            <w:vAlign w:val="bottom"/>
          </w:tcPr>
          <w:p w14:paraId="4342EA83">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信息传输业</w:t>
            </w:r>
          </w:p>
        </w:tc>
        <w:tc>
          <w:tcPr>
            <w:tcW w:w="1905" w:type="dxa"/>
            <w:tcBorders>
              <w:top w:val="nil"/>
              <w:left w:val="nil"/>
              <w:bottom w:val="single" w:color="auto" w:sz="4" w:space="0"/>
              <w:right w:val="single" w:color="auto" w:sz="4" w:space="0"/>
            </w:tcBorders>
            <w:noWrap/>
            <w:vAlign w:val="center"/>
          </w:tcPr>
          <w:p w14:paraId="0479B8D4">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817" w:type="dxa"/>
            <w:tcBorders>
              <w:top w:val="nil"/>
              <w:left w:val="nil"/>
              <w:bottom w:val="single" w:color="auto" w:sz="4" w:space="0"/>
              <w:right w:val="single" w:color="auto" w:sz="4" w:space="0"/>
            </w:tcBorders>
            <w:noWrap/>
            <w:vAlign w:val="center"/>
          </w:tcPr>
          <w:p w14:paraId="358E6C50">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768" w:type="dxa"/>
            <w:tcBorders>
              <w:top w:val="nil"/>
              <w:left w:val="nil"/>
              <w:bottom w:val="single" w:color="auto" w:sz="4" w:space="0"/>
              <w:right w:val="single" w:color="auto" w:sz="4" w:space="0"/>
            </w:tcBorders>
            <w:noWrap/>
            <w:vAlign w:val="center"/>
          </w:tcPr>
          <w:p w14:paraId="6D48A70D">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100≤X＜2000</w:t>
            </w:r>
          </w:p>
        </w:tc>
        <w:tc>
          <w:tcPr>
            <w:tcW w:w="1633" w:type="dxa"/>
            <w:tcBorders>
              <w:top w:val="nil"/>
              <w:left w:val="nil"/>
              <w:bottom w:val="single" w:color="auto" w:sz="4" w:space="0"/>
              <w:right w:val="single" w:color="auto" w:sz="4" w:space="0"/>
            </w:tcBorders>
            <w:noWrap/>
            <w:vAlign w:val="center"/>
          </w:tcPr>
          <w:p w14:paraId="0D754620">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10≤X＜100</w:t>
            </w:r>
          </w:p>
        </w:tc>
        <w:tc>
          <w:tcPr>
            <w:tcW w:w="1088" w:type="dxa"/>
            <w:tcBorders>
              <w:top w:val="nil"/>
              <w:left w:val="nil"/>
              <w:bottom w:val="single" w:color="auto" w:sz="4" w:space="0"/>
              <w:right w:val="single" w:color="auto" w:sz="4" w:space="0"/>
            </w:tcBorders>
            <w:noWrap/>
            <w:vAlign w:val="center"/>
          </w:tcPr>
          <w:p w14:paraId="0D34D714">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X＜10</w:t>
            </w:r>
          </w:p>
        </w:tc>
      </w:tr>
      <w:tr w14:paraId="3130A113">
        <w:tblPrEx>
          <w:tblCellMar>
            <w:top w:w="0" w:type="dxa"/>
            <w:left w:w="108" w:type="dxa"/>
            <w:bottom w:w="0" w:type="dxa"/>
            <w:right w:w="108" w:type="dxa"/>
          </w:tblCellMar>
        </w:tblPrEx>
        <w:trPr>
          <w:trHeight w:val="243" w:hRule="atLeast"/>
        </w:trPr>
        <w:tc>
          <w:tcPr>
            <w:tcW w:w="1906" w:type="dxa"/>
            <w:vMerge w:val="continue"/>
            <w:tcBorders>
              <w:top w:val="nil"/>
              <w:left w:val="single" w:color="auto" w:sz="4" w:space="0"/>
              <w:bottom w:val="single" w:color="auto" w:sz="4" w:space="0"/>
              <w:right w:val="single" w:color="auto" w:sz="4" w:space="0"/>
            </w:tcBorders>
            <w:vAlign w:val="center"/>
          </w:tcPr>
          <w:p w14:paraId="792FADC7">
            <w:pPr>
              <w:widowControl/>
              <w:jc w:val="left"/>
              <w:rPr>
                <w:rFonts w:hint="eastAsia" w:ascii="宋体" w:hAnsi="宋体" w:cs="宋体"/>
                <w:b/>
                <w:bCs/>
                <w:color w:val="auto"/>
                <w:kern w:val="0"/>
                <w:sz w:val="18"/>
                <w:szCs w:val="18"/>
              </w:rPr>
            </w:pPr>
          </w:p>
        </w:tc>
        <w:tc>
          <w:tcPr>
            <w:tcW w:w="1905" w:type="dxa"/>
            <w:tcBorders>
              <w:top w:val="nil"/>
              <w:left w:val="nil"/>
              <w:bottom w:val="single" w:color="auto" w:sz="4" w:space="0"/>
              <w:right w:val="single" w:color="auto" w:sz="4" w:space="0"/>
            </w:tcBorders>
            <w:noWrap/>
            <w:vAlign w:val="center"/>
          </w:tcPr>
          <w:p w14:paraId="51862095">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817" w:type="dxa"/>
            <w:tcBorders>
              <w:top w:val="nil"/>
              <w:left w:val="nil"/>
              <w:bottom w:val="single" w:color="auto" w:sz="4" w:space="0"/>
              <w:right w:val="single" w:color="auto" w:sz="4" w:space="0"/>
            </w:tcBorders>
            <w:noWrap/>
            <w:vAlign w:val="center"/>
          </w:tcPr>
          <w:p w14:paraId="44320C87">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68" w:type="dxa"/>
            <w:tcBorders>
              <w:top w:val="nil"/>
              <w:left w:val="nil"/>
              <w:bottom w:val="single" w:color="auto" w:sz="4" w:space="0"/>
              <w:right w:val="single" w:color="auto" w:sz="4" w:space="0"/>
            </w:tcBorders>
            <w:noWrap/>
            <w:vAlign w:val="center"/>
          </w:tcPr>
          <w:p w14:paraId="6ACAD980">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1000≤Y＜100000</w:t>
            </w:r>
          </w:p>
        </w:tc>
        <w:tc>
          <w:tcPr>
            <w:tcW w:w="1633" w:type="dxa"/>
            <w:tcBorders>
              <w:top w:val="nil"/>
              <w:left w:val="nil"/>
              <w:bottom w:val="single" w:color="auto" w:sz="4" w:space="0"/>
              <w:right w:val="single" w:color="auto" w:sz="4" w:space="0"/>
            </w:tcBorders>
            <w:noWrap/>
            <w:vAlign w:val="center"/>
          </w:tcPr>
          <w:p w14:paraId="368A2999">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100≤Y＜1000</w:t>
            </w:r>
          </w:p>
        </w:tc>
        <w:tc>
          <w:tcPr>
            <w:tcW w:w="1088" w:type="dxa"/>
            <w:tcBorders>
              <w:top w:val="nil"/>
              <w:left w:val="nil"/>
              <w:bottom w:val="single" w:color="auto" w:sz="4" w:space="0"/>
              <w:right w:val="single" w:color="auto" w:sz="4" w:space="0"/>
            </w:tcBorders>
            <w:noWrap/>
            <w:vAlign w:val="center"/>
          </w:tcPr>
          <w:p w14:paraId="15D16729">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Y＜100</w:t>
            </w:r>
          </w:p>
        </w:tc>
      </w:tr>
      <w:tr w14:paraId="6AFF7618">
        <w:tblPrEx>
          <w:tblCellMar>
            <w:top w:w="0" w:type="dxa"/>
            <w:left w:w="108" w:type="dxa"/>
            <w:bottom w:w="0" w:type="dxa"/>
            <w:right w:w="108" w:type="dxa"/>
          </w:tblCellMar>
        </w:tblPrEx>
        <w:trPr>
          <w:trHeight w:val="243" w:hRule="atLeast"/>
        </w:trPr>
        <w:tc>
          <w:tcPr>
            <w:tcW w:w="1906" w:type="dxa"/>
            <w:vMerge w:val="restart"/>
            <w:tcBorders>
              <w:top w:val="nil"/>
              <w:left w:val="single" w:color="auto" w:sz="4" w:space="0"/>
              <w:bottom w:val="single" w:color="auto" w:sz="4" w:space="0"/>
              <w:right w:val="single" w:color="auto" w:sz="4" w:space="0"/>
            </w:tcBorders>
            <w:noWrap/>
            <w:vAlign w:val="bottom"/>
          </w:tcPr>
          <w:p w14:paraId="49EE5A8D">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软件和信息技术服务业</w:t>
            </w:r>
          </w:p>
        </w:tc>
        <w:tc>
          <w:tcPr>
            <w:tcW w:w="1905" w:type="dxa"/>
            <w:tcBorders>
              <w:top w:val="nil"/>
              <w:left w:val="nil"/>
              <w:bottom w:val="single" w:color="auto" w:sz="4" w:space="0"/>
              <w:right w:val="single" w:color="auto" w:sz="4" w:space="0"/>
            </w:tcBorders>
            <w:noWrap/>
            <w:vAlign w:val="center"/>
          </w:tcPr>
          <w:p w14:paraId="3BC6AB6D">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817" w:type="dxa"/>
            <w:tcBorders>
              <w:top w:val="nil"/>
              <w:left w:val="nil"/>
              <w:bottom w:val="single" w:color="auto" w:sz="4" w:space="0"/>
              <w:right w:val="single" w:color="auto" w:sz="4" w:space="0"/>
            </w:tcBorders>
            <w:noWrap/>
            <w:vAlign w:val="center"/>
          </w:tcPr>
          <w:p w14:paraId="1A251AED">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768" w:type="dxa"/>
            <w:tcBorders>
              <w:top w:val="nil"/>
              <w:left w:val="nil"/>
              <w:bottom w:val="single" w:color="auto" w:sz="4" w:space="0"/>
              <w:right w:val="single" w:color="auto" w:sz="4" w:space="0"/>
            </w:tcBorders>
            <w:noWrap/>
            <w:vAlign w:val="center"/>
          </w:tcPr>
          <w:p w14:paraId="6E2DBE6C">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100≤X＜300</w:t>
            </w:r>
          </w:p>
        </w:tc>
        <w:tc>
          <w:tcPr>
            <w:tcW w:w="1633" w:type="dxa"/>
            <w:tcBorders>
              <w:top w:val="nil"/>
              <w:left w:val="nil"/>
              <w:bottom w:val="single" w:color="auto" w:sz="4" w:space="0"/>
              <w:right w:val="single" w:color="auto" w:sz="4" w:space="0"/>
            </w:tcBorders>
            <w:noWrap/>
            <w:vAlign w:val="center"/>
          </w:tcPr>
          <w:p w14:paraId="73916099">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10≤X＜100</w:t>
            </w:r>
          </w:p>
        </w:tc>
        <w:tc>
          <w:tcPr>
            <w:tcW w:w="1088" w:type="dxa"/>
            <w:tcBorders>
              <w:top w:val="nil"/>
              <w:left w:val="nil"/>
              <w:bottom w:val="single" w:color="auto" w:sz="4" w:space="0"/>
              <w:right w:val="single" w:color="auto" w:sz="4" w:space="0"/>
            </w:tcBorders>
            <w:noWrap/>
            <w:vAlign w:val="center"/>
          </w:tcPr>
          <w:p w14:paraId="7667D8E4">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X＜10</w:t>
            </w:r>
          </w:p>
        </w:tc>
      </w:tr>
      <w:tr w14:paraId="430F109A">
        <w:tblPrEx>
          <w:tblCellMar>
            <w:top w:w="0" w:type="dxa"/>
            <w:left w:w="108" w:type="dxa"/>
            <w:bottom w:w="0" w:type="dxa"/>
            <w:right w:w="108" w:type="dxa"/>
          </w:tblCellMar>
        </w:tblPrEx>
        <w:trPr>
          <w:trHeight w:val="243" w:hRule="atLeast"/>
        </w:trPr>
        <w:tc>
          <w:tcPr>
            <w:tcW w:w="1906" w:type="dxa"/>
            <w:vMerge w:val="continue"/>
            <w:tcBorders>
              <w:top w:val="nil"/>
              <w:left w:val="single" w:color="auto" w:sz="4" w:space="0"/>
              <w:bottom w:val="single" w:color="auto" w:sz="4" w:space="0"/>
              <w:right w:val="single" w:color="auto" w:sz="4" w:space="0"/>
            </w:tcBorders>
            <w:vAlign w:val="center"/>
          </w:tcPr>
          <w:p w14:paraId="667DBFC6">
            <w:pPr>
              <w:widowControl/>
              <w:jc w:val="left"/>
              <w:rPr>
                <w:rFonts w:hint="eastAsia" w:ascii="宋体" w:hAnsi="宋体" w:cs="宋体"/>
                <w:b/>
                <w:bCs/>
                <w:color w:val="auto"/>
                <w:kern w:val="0"/>
                <w:sz w:val="18"/>
                <w:szCs w:val="18"/>
              </w:rPr>
            </w:pPr>
          </w:p>
        </w:tc>
        <w:tc>
          <w:tcPr>
            <w:tcW w:w="1905" w:type="dxa"/>
            <w:tcBorders>
              <w:top w:val="nil"/>
              <w:left w:val="nil"/>
              <w:bottom w:val="single" w:color="auto" w:sz="4" w:space="0"/>
              <w:right w:val="single" w:color="auto" w:sz="4" w:space="0"/>
            </w:tcBorders>
            <w:noWrap/>
            <w:vAlign w:val="center"/>
          </w:tcPr>
          <w:p w14:paraId="79601905">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817" w:type="dxa"/>
            <w:tcBorders>
              <w:top w:val="nil"/>
              <w:left w:val="nil"/>
              <w:bottom w:val="single" w:color="auto" w:sz="4" w:space="0"/>
              <w:right w:val="single" w:color="auto" w:sz="4" w:space="0"/>
            </w:tcBorders>
            <w:noWrap/>
            <w:vAlign w:val="center"/>
          </w:tcPr>
          <w:p w14:paraId="186D8236">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68" w:type="dxa"/>
            <w:tcBorders>
              <w:top w:val="nil"/>
              <w:left w:val="nil"/>
              <w:bottom w:val="single" w:color="auto" w:sz="4" w:space="0"/>
              <w:right w:val="single" w:color="auto" w:sz="4" w:space="0"/>
            </w:tcBorders>
            <w:noWrap/>
            <w:vAlign w:val="center"/>
          </w:tcPr>
          <w:p w14:paraId="24B60158">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1000≤Y＜10000</w:t>
            </w:r>
          </w:p>
        </w:tc>
        <w:tc>
          <w:tcPr>
            <w:tcW w:w="1633" w:type="dxa"/>
            <w:tcBorders>
              <w:top w:val="nil"/>
              <w:left w:val="nil"/>
              <w:bottom w:val="single" w:color="auto" w:sz="4" w:space="0"/>
              <w:right w:val="single" w:color="auto" w:sz="4" w:space="0"/>
            </w:tcBorders>
            <w:noWrap/>
            <w:vAlign w:val="center"/>
          </w:tcPr>
          <w:p w14:paraId="11802645">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50≤Y＜1000</w:t>
            </w:r>
          </w:p>
        </w:tc>
        <w:tc>
          <w:tcPr>
            <w:tcW w:w="1088" w:type="dxa"/>
            <w:tcBorders>
              <w:top w:val="nil"/>
              <w:left w:val="nil"/>
              <w:bottom w:val="single" w:color="auto" w:sz="4" w:space="0"/>
              <w:right w:val="single" w:color="auto" w:sz="4" w:space="0"/>
            </w:tcBorders>
            <w:noWrap/>
            <w:vAlign w:val="center"/>
          </w:tcPr>
          <w:p w14:paraId="31E0A40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Y＜50</w:t>
            </w:r>
          </w:p>
        </w:tc>
      </w:tr>
      <w:tr w14:paraId="11C8B920">
        <w:tblPrEx>
          <w:tblCellMar>
            <w:top w:w="0" w:type="dxa"/>
            <w:left w:w="108" w:type="dxa"/>
            <w:bottom w:w="0" w:type="dxa"/>
            <w:right w:w="108" w:type="dxa"/>
          </w:tblCellMar>
        </w:tblPrEx>
        <w:trPr>
          <w:trHeight w:val="243" w:hRule="atLeast"/>
        </w:trPr>
        <w:tc>
          <w:tcPr>
            <w:tcW w:w="1906" w:type="dxa"/>
            <w:vMerge w:val="restart"/>
            <w:tcBorders>
              <w:top w:val="nil"/>
              <w:left w:val="single" w:color="auto" w:sz="4" w:space="0"/>
              <w:bottom w:val="single" w:color="auto" w:sz="4" w:space="0"/>
              <w:right w:val="single" w:color="auto" w:sz="4" w:space="0"/>
            </w:tcBorders>
            <w:noWrap/>
            <w:vAlign w:val="bottom"/>
          </w:tcPr>
          <w:p w14:paraId="52A8033F">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房地产开发经营</w:t>
            </w:r>
          </w:p>
        </w:tc>
        <w:tc>
          <w:tcPr>
            <w:tcW w:w="1905" w:type="dxa"/>
            <w:tcBorders>
              <w:top w:val="nil"/>
              <w:left w:val="nil"/>
              <w:bottom w:val="single" w:color="auto" w:sz="4" w:space="0"/>
              <w:right w:val="single" w:color="auto" w:sz="4" w:space="0"/>
            </w:tcBorders>
            <w:noWrap/>
            <w:vAlign w:val="center"/>
          </w:tcPr>
          <w:p w14:paraId="3D775EA6">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817" w:type="dxa"/>
            <w:tcBorders>
              <w:top w:val="nil"/>
              <w:left w:val="nil"/>
              <w:bottom w:val="single" w:color="auto" w:sz="4" w:space="0"/>
              <w:right w:val="single" w:color="auto" w:sz="4" w:space="0"/>
            </w:tcBorders>
            <w:noWrap/>
            <w:vAlign w:val="center"/>
          </w:tcPr>
          <w:p w14:paraId="22BCC4A3">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68" w:type="dxa"/>
            <w:tcBorders>
              <w:top w:val="nil"/>
              <w:left w:val="nil"/>
              <w:bottom w:val="single" w:color="auto" w:sz="4" w:space="0"/>
              <w:right w:val="single" w:color="auto" w:sz="4" w:space="0"/>
            </w:tcBorders>
            <w:noWrap/>
            <w:vAlign w:val="center"/>
          </w:tcPr>
          <w:p w14:paraId="7501E68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1000≤Y＜200000</w:t>
            </w:r>
          </w:p>
        </w:tc>
        <w:tc>
          <w:tcPr>
            <w:tcW w:w="1633" w:type="dxa"/>
            <w:tcBorders>
              <w:top w:val="nil"/>
              <w:left w:val="nil"/>
              <w:bottom w:val="single" w:color="auto" w:sz="4" w:space="0"/>
              <w:right w:val="single" w:color="auto" w:sz="4" w:space="0"/>
            </w:tcBorders>
            <w:noWrap/>
            <w:vAlign w:val="center"/>
          </w:tcPr>
          <w:p w14:paraId="1CC2ED0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100≤X＜1000</w:t>
            </w:r>
          </w:p>
        </w:tc>
        <w:tc>
          <w:tcPr>
            <w:tcW w:w="1088" w:type="dxa"/>
            <w:tcBorders>
              <w:top w:val="nil"/>
              <w:left w:val="nil"/>
              <w:bottom w:val="single" w:color="auto" w:sz="4" w:space="0"/>
              <w:right w:val="single" w:color="auto" w:sz="4" w:space="0"/>
            </w:tcBorders>
            <w:noWrap/>
            <w:vAlign w:val="center"/>
          </w:tcPr>
          <w:p w14:paraId="2883E29F">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X＜100</w:t>
            </w:r>
          </w:p>
        </w:tc>
      </w:tr>
      <w:tr w14:paraId="0EC59658">
        <w:tblPrEx>
          <w:tblCellMar>
            <w:top w:w="0" w:type="dxa"/>
            <w:left w:w="108" w:type="dxa"/>
            <w:bottom w:w="0" w:type="dxa"/>
            <w:right w:w="108" w:type="dxa"/>
          </w:tblCellMar>
        </w:tblPrEx>
        <w:trPr>
          <w:trHeight w:val="243" w:hRule="atLeast"/>
        </w:trPr>
        <w:tc>
          <w:tcPr>
            <w:tcW w:w="1906" w:type="dxa"/>
            <w:vMerge w:val="continue"/>
            <w:tcBorders>
              <w:top w:val="nil"/>
              <w:left w:val="single" w:color="auto" w:sz="4" w:space="0"/>
              <w:bottom w:val="single" w:color="auto" w:sz="4" w:space="0"/>
              <w:right w:val="single" w:color="auto" w:sz="4" w:space="0"/>
            </w:tcBorders>
            <w:vAlign w:val="center"/>
          </w:tcPr>
          <w:p w14:paraId="33D03338">
            <w:pPr>
              <w:widowControl/>
              <w:jc w:val="left"/>
              <w:rPr>
                <w:rFonts w:hint="eastAsia" w:ascii="宋体" w:hAnsi="宋体" w:cs="宋体"/>
                <w:b/>
                <w:bCs/>
                <w:color w:val="auto"/>
                <w:kern w:val="0"/>
                <w:sz w:val="18"/>
                <w:szCs w:val="18"/>
              </w:rPr>
            </w:pPr>
          </w:p>
        </w:tc>
        <w:tc>
          <w:tcPr>
            <w:tcW w:w="1905" w:type="dxa"/>
            <w:tcBorders>
              <w:top w:val="nil"/>
              <w:left w:val="nil"/>
              <w:bottom w:val="single" w:color="auto" w:sz="4" w:space="0"/>
              <w:right w:val="single" w:color="auto" w:sz="4" w:space="0"/>
            </w:tcBorders>
            <w:noWrap/>
            <w:vAlign w:val="center"/>
          </w:tcPr>
          <w:p w14:paraId="7AA58EE1">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资产总额（Z）</w:t>
            </w:r>
          </w:p>
        </w:tc>
        <w:tc>
          <w:tcPr>
            <w:tcW w:w="817" w:type="dxa"/>
            <w:tcBorders>
              <w:top w:val="nil"/>
              <w:left w:val="nil"/>
              <w:bottom w:val="single" w:color="auto" w:sz="4" w:space="0"/>
              <w:right w:val="single" w:color="auto" w:sz="4" w:space="0"/>
            </w:tcBorders>
            <w:noWrap/>
            <w:vAlign w:val="center"/>
          </w:tcPr>
          <w:p w14:paraId="62F9A067">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68" w:type="dxa"/>
            <w:tcBorders>
              <w:top w:val="nil"/>
              <w:left w:val="nil"/>
              <w:bottom w:val="single" w:color="auto" w:sz="4" w:space="0"/>
              <w:right w:val="single" w:color="auto" w:sz="4" w:space="0"/>
            </w:tcBorders>
            <w:noWrap/>
            <w:vAlign w:val="center"/>
          </w:tcPr>
          <w:p w14:paraId="3DCF47A0">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5000≤Z＜10000</w:t>
            </w:r>
          </w:p>
        </w:tc>
        <w:tc>
          <w:tcPr>
            <w:tcW w:w="1633" w:type="dxa"/>
            <w:tcBorders>
              <w:top w:val="nil"/>
              <w:left w:val="nil"/>
              <w:bottom w:val="single" w:color="auto" w:sz="4" w:space="0"/>
              <w:right w:val="single" w:color="auto" w:sz="4" w:space="0"/>
            </w:tcBorders>
            <w:noWrap/>
            <w:vAlign w:val="center"/>
          </w:tcPr>
          <w:p w14:paraId="6B4EADFC">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2000≤Y＜5000</w:t>
            </w:r>
          </w:p>
        </w:tc>
        <w:tc>
          <w:tcPr>
            <w:tcW w:w="1088" w:type="dxa"/>
            <w:tcBorders>
              <w:top w:val="nil"/>
              <w:left w:val="nil"/>
              <w:bottom w:val="single" w:color="auto" w:sz="4" w:space="0"/>
              <w:right w:val="single" w:color="auto" w:sz="4" w:space="0"/>
            </w:tcBorders>
            <w:noWrap/>
            <w:vAlign w:val="center"/>
          </w:tcPr>
          <w:p w14:paraId="54F15823">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Y＜2000</w:t>
            </w:r>
          </w:p>
        </w:tc>
      </w:tr>
      <w:tr w14:paraId="43680DF1">
        <w:tblPrEx>
          <w:tblCellMar>
            <w:top w:w="0" w:type="dxa"/>
            <w:left w:w="108" w:type="dxa"/>
            <w:bottom w:w="0" w:type="dxa"/>
            <w:right w:w="108" w:type="dxa"/>
          </w:tblCellMar>
        </w:tblPrEx>
        <w:trPr>
          <w:trHeight w:val="243" w:hRule="atLeast"/>
        </w:trPr>
        <w:tc>
          <w:tcPr>
            <w:tcW w:w="1906" w:type="dxa"/>
            <w:vMerge w:val="restart"/>
            <w:tcBorders>
              <w:top w:val="nil"/>
              <w:left w:val="single" w:color="auto" w:sz="4" w:space="0"/>
              <w:bottom w:val="single" w:color="auto" w:sz="4" w:space="0"/>
              <w:right w:val="single" w:color="auto" w:sz="4" w:space="0"/>
            </w:tcBorders>
            <w:noWrap/>
            <w:vAlign w:val="bottom"/>
          </w:tcPr>
          <w:p w14:paraId="4727A4B1">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物业管理</w:t>
            </w:r>
          </w:p>
        </w:tc>
        <w:tc>
          <w:tcPr>
            <w:tcW w:w="1905" w:type="dxa"/>
            <w:tcBorders>
              <w:top w:val="nil"/>
              <w:left w:val="nil"/>
              <w:bottom w:val="single" w:color="auto" w:sz="4" w:space="0"/>
              <w:right w:val="single" w:color="auto" w:sz="4" w:space="0"/>
            </w:tcBorders>
            <w:noWrap/>
            <w:vAlign w:val="center"/>
          </w:tcPr>
          <w:p w14:paraId="66A83887">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817" w:type="dxa"/>
            <w:tcBorders>
              <w:top w:val="nil"/>
              <w:left w:val="nil"/>
              <w:bottom w:val="single" w:color="auto" w:sz="4" w:space="0"/>
              <w:right w:val="single" w:color="auto" w:sz="4" w:space="0"/>
            </w:tcBorders>
            <w:noWrap/>
            <w:vAlign w:val="center"/>
          </w:tcPr>
          <w:p w14:paraId="4C1D6539">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768" w:type="dxa"/>
            <w:tcBorders>
              <w:top w:val="nil"/>
              <w:left w:val="nil"/>
              <w:bottom w:val="single" w:color="auto" w:sz="4" w:space="0"/>
              <w:right w:val="single" w:color="auto" w:sz="4" w:space="0"/>
            </w:tcBorders>
            <w:noWrap/>
            <w:vAlign w:val="center"/>
          </w:tcPr>
          <w:p w14:paraId="1C1E5FDE">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300≤X＜1000</w:t>
            </w:r>
          </w:p>
        </w:tc>
        <w:tc>
          <w:tcPr>
            <w:tcW w:w="1633" w:type="dxa"/>
            <w:tcBorders>
              <w:top w:val="nil"/>
              <w:left w:val="nil"/>
              <w:bottom w:val="single" w:color="auto" w:sz="4" w:space="0"/>
              <w:right w:val="single" w:color="auto" w:sz="4" w:space="0"/>
            </w:tcBorders>
            <w:noWrap/>
            <w:vAlign w:val="center"/>
          </w:tcPr>
          <w:p w14:paraId="7CE68893">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100≤X＜300</w:t>
            </w:r>
          </w:p>
        </w:tc>
        <w:tc>
          <w:tcPr>
            <w:tcW w:w="1088" w:type="dxa"/>
            <w:tcBorders>
              <w:top w:val="nil"/>
              <w:left w:val="nil"/>
              <w:bottom w:val="single" w:color="auto" w:sz="4" w:space="0"/>
              <w:right w:val="single" w:color="auto" w:sz="4" w:space="0"/>
            </w:tcBorders>
            <w:noWrap/>
            <w:vAlign w:val="center"/>
          </w:tcPr>
          <w:p w14:paraId="7D3A6CD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X＜100</w:t>
            </w:r>
          </w:p>
        </w:tc>
      </w:tr>
      <w:tr w14:paraId="423FC270">
        <w:tblPrEx>
          <w:tblCellMar>
            <w:top w:w="0" w:type="dxa"/>
            <w:left w:w="108" w:type="dxa"/>
            <w:bottom w:w="0" w:type="dxa"/>
            <w:right w:w="108" w:type="dxa"/>
          </w:tblCellMar>
        </w:tblPrEx>
        <w:trPr>
          <w:trHeight w:val="243" w:hRule="atLeast"/>
        </w:trPr>
        <w:tc>
          <w:tcPr>
            <w:tcW w:w="1906" w:type="dxa"/>
            <w:vMerge w:val="continue"/>
            <w:tcBorders>
              <w:top w:val="nil"/>
              <w:left w:val="single" w:color="auto" w:sz="4" w:space="0"/>
              <w:bottom w:val="single" w:color="auto" w:sz="4" w:space="0"/>
              <w:right w:val="single" w:color="auto" w:sz="4" w:space="0"/>
            </w:tcBorders>
            <w:vAlign w:val="center"/>
          </w:tcPr>
          <w:p w14:paraId="12F9BDF9">
            <w:pPr>
              <w:widowControl/>
              <w:jc w:val="left"/>
              <w:rPr>
                <w:rFonts w:hint="eastAsia" w:ascii="宋体" w:hAnsi="宋体" w:cs="宋体"/>
                <w:b/>
                <w:bCs/>
                <w:color w:val="auto"/>
                <w:kern w:val="0"/>
                <w:sz w:val="18"/>
                <w:szCs w:val="18"/>
              </w:rPr>
            </w:pPr>
          </w:p>
        </w:tc>
        <w:tc>
          <w:tcPr>
            <w:tcW w:w="1905" w:type="dxa"/>
            <w:tcBorders>
              <w:top w:val="nil"/>
              <w:left w:val="nil"/>
              <w:bottom w:val="single" w:color="auto" w:sz="4" w:space="0"/>
              <w:right w:val="single" w:color="auto" w:sz="4" w:space="0"/>
            </w:tcBorders>
            <w:noWrap/>
            <w:vAlign w:val="center"/>
          </w:tcPr>
          <w:p w14:paraId="4421B110">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营业收入（Y）</w:t>
            </w:r>
          </w:p>
        </w:tc>
        <w:tc>
          <w:tcPr>
            <w:tcW w:w="817" w:type="dxa"/>
            <w:tcBorders>
              <w:top w:val="nil"/>
              <w:left w:val="nil"/>
              <w:bottom w:val="single" w:color="auto" w:sz="4" w:space="0"/>
              <w:right w:val="single" w:color="auto" w:sz="4" w:space="0"/>
            </w:tcBorders>
            <w:noWrap/>
            <w:vAlign w:val="center"/>
          </w:tcPr>
          <w:p w14:paraId="5598443C">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68" w:type="dxa"/>
            <w:tcBorders>
              <w:top w:val="nil"/>
              <w:left w:val="nil"/>
              <w:bottom w:val="single" w:color="auto" w:sz="4" w:space="0"/>
              <w:right w:val="single" w:color="auto" w:sz="4" w:space="0"/>
            </w:tcBorders>
            <w:noWrap/>
            <w:vAlign w:val="center"/>
          </w:tcPr>
          <w:p w14:paraId="4E3DF8E4">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1000≤Y＜5000</w:t>
            </w:r>
          </w:p>
        </w:tc>
        <w:tc>
          <w:tcPr>
            <w:tcW w:w="1633" w:type="dxa"/>
            <w:tcBorders>
              <w:top w:val="nil"/>
              <w:left w:val="nil"/>
              <w:bottom w:val="single" w:color="auto" w:sz="4" w:space="0"/>
              <w:right w:val="single" w:color="auto" w:sz="4" w:space="0"/>
            </w:tcBorders>
            <w:noWrap/>
            <w:vAlign w:val="center"/>
          </w:tcPr>
          <w:p w14:paraId="19F276D3">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500≤Y＜1000</w:t>
            </w:r>
          </w:p>
        </w:tc>
        <w:tc>
          <w:tcPr>
            <w:tcW w:w="1088" w:type="dxa"/>
            <w:tcBorders>
              <w:top w:val="nil"/>
              <w:left w:val="nil"/>
              <w:bottom w:val="single" w:color="auto" w:sz="4" w:space="0"/>
              <w:right w:val="single" w:color="auto" w:sz="4" w:space="0"/>
            </w:tcBorders>
            <w:noWrap/>
            <w:vAlign w:val="center"/>
          </w:tcPr>
          <w:p w14:paraId="315E6368">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Y＜500</w:t>
            </w:r>
          </w:p>
        </w:tc>
      </w:tr>
      <w:tr w14:paraId="0E64D1E2">
        <w:tblPrEx>
          <w:tblCellMar>
            <w:top w:w="0" w:type="dxa"/>
            <w:left w:w="108" w:type="dxa"/>
            <w:bottom w:w="0" w:type="dxa"/>
            <w:right w:w="108" w:type="dxa"/>
          </w:tblCellMar>
        </w:tblPrEx>
        <w:trPr>
          <w:trHeight w:val="243" w:hRule="atLeast"/>
        </w:trPr>
        <w:tc>
          <w:tcPr>
            <w:tcW w:w="1906" w:type="dxa"/>
            <w:vMerge w:val="restart"/>
            <w:tcBorders>
              <w:top w:val="nil"/>
              <w:left w:val="single" w:color="auto" w:sz="4" w:space="0"/>
              <w:bottom w:val="single" w:color="auto" w:sz="4" w:space="0"/>
              <w:right w:val="single" w:color="auto" w:sz="4" w:space="0"/>
            </w:tcBorders>
            <w:noWrap/>
            <w:vAlign w:val="bottom"/>
          </w:tcPr>
          <w:p w14:paraId="60A56486">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租赁和商务服务业</w:t>
            </w:r>
          </w:p>
        </w:tc>
        <w:tc>
          <w:tcPr>
            <w:tcW w:w="1905" w:type="dxa"/>
            <w:tcBorders>
              <w:top w:val="nil"/>
              <w:left w:val="nil"/>
              <w:bottom w:val="single" w:color="auto" w:sz="4" w:space="0"/>
              <w:right w:val="single" w:color="auto" w:sz="4" w:space="0"/>
            </w:tcBorders>
            <w:noWrap/>
            <w:vAlign w:val="center"/>
          </w:tcPr>
          <w:p w14:paraId="58B47DD7">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817" w:type="dxa"/>
            <w:tcBorders>
              <w:top w:val="nil"/>
              <w:left w:val="nil"/>
              <w:bottom w:val="single" w:color="auto" w:sz="4" w:space="0"/>
              <w:right w:val="single" w:color="auto" w:sz="4" w:space="0"/>
            </w:tcBorders>
            <w:noWrap/>
            <w:vAlign w:val="center"/>
          </w:tcPr>
          <w:p w14:paraId="3E7409E8">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768" w:type="dxa"/>
            <w:tcBorders>
              <w:top w:val="nil"/>
              <w:left w:val="nil"/>
              <w:bottom w:val="single" w:color="auto" w:sz="4" w:space="0"/>
              <w:right w:val="single" w:color="auto" w:sz="4" w:space="0"/>
            </w:tcBorders>
            <w:noWrap/>
            <w:vAlign w:val="center"/>
          </w:tcPr>
          <w:p w14:paraId="534F8468">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100≤X＜300</w:t>
            </w:r>
          </w:p>
        </w:tc>
        <w:tc>
          <w:tcPr>
            <w:tcW w:w="1633" w:type="dxa"/>
            <w:tcBorders>
              <w:top w:val="nil"/>
              <w:left w:val="nil"/>
              <w:bottom w:val="single" w:color="auto" w:sz="4" w:space="0"/>
              <w:right w:val="single" w:color="auto" w:sz="4" w:space="0"/>
            </w:tcBorders>
            <w:noWrap/>
            <w:vAlign w:val="center"/>
          </w:tcPr>
          <w:p w14:paraId="3B2974DE">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10≤X＜100</w:t>
            </w:r>
          </w:p>
        </w:tc>
        <w:tc>
          <w:tcPr>
            <w:tcW w:w="1088" w:type="dxa"/>
            <w:tcBorders>
              <w:top w:val="nil"/>
              <w:left w:val="nil"/>
              <w:bottom w:val="single" w:color="auto" w:sz="4" w:space="0"/>
              <w:right w:val="single" w:color="auto" w:sz="4" w:space="0"/>
            </w:tcBorders>
            <w:noWrap/>
            <w:vAlign w:val="center"/>
          </w:tcPr>
          <w:p w14:paraId="5E6A74FB">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X＜10</w:t>
            </w:r>
          </w:p>
        </w:tc>
      </w:tr>
      <w:tr w14:paraId="138F1046">
        <w:tblPrEx>
          <w:tblCellMar>
            <w:top w:w="0" w:type="dxa"/>
            <w:left w:w="108" w:type="dxa"/>
            <w:bottom w:w="0" w:type="dxa"/>
            <w:right w:w="108" w:type="dxa"/>
          </w:tblCellMar>
        </w:tblPrEx>
        <w:trPr>
          <w:trHeight w:val="243" w:hRule="atLeast"/>
        </w:trPr>
        <w:tc>
          <w:tcPr>
            <w:tcW w:w="1906" w:type="dxa"/>
            <w:vMerge w:val="continue"/>
            <w:tcBorders>
              <w:top w:val="nil"/>
              <w:left w:val="single" w:color="auto" w:sz="4" w:space="0"/>
              <w:bottom w:val="single" w:color="auto" w:sz="4" w:space="0"/>
              <w:right w:val="single" w:color="auto" w:sz="4" w:space="0"/>
            </w:tcBorders>
            <w:vAlign w:val="center"/>
          </w:tcPr>
          <w:p w14:paraId="3296B55E">
            <w:pPr>
              <w:widowControl/>
              <w:jc w:val="left"/>
              <w:rPr>
                <w:rFonts w:hint="eastAsia" w:ascii="宋体" w:hAnsi="宋体" w:cs="宋体"/>
                <w:b/>
                <w:bCs/>
                <w:color w:val="auto"/>
                <w:kern w:val="0"/>
                <w:sz w:val="18"/>
                <w:szCs w:val="18"/>
              </w:rPr>
            </w:pPr>
          </w:p>
        </w:tc>
        <w:tc>
          <w:tcPr>
            <w:tcW w:w="1905" w:type="dxa"/>
            <w:tcBorders>
              <w:top w:val="nil"/>
              <w:left w:val="nil"/>
              <w:bottom w:val="single" w:color="auto" w:sz="4" w:space="0"/>
              <w:right w:val="single" w:color="auto" w:sz="4" w:space="0"/>
            </w:tcBorders>
            <w:noWrap/>
            <w:vAlign w:val="center"/>
          </w:tcPr>
          <w:p w14:paraId="34F3724D">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资产总额（Z）</w:t>
            </w:r>
          </w:p>
        </w:tc>
        <w:tc>
          <w:tcPr>
            <w:tcW w:w="817" w:type="dxa"/>
            <w:tcBorders>
              <w:top w:val="nil"/>
              <w:left w:val="nil"/>
              <w:bottom w:val="single" w:color="auto" w:sz="4" w:space="0"/>
              <w:right w:val="single" w:color="auto" w:sz="4" w:space="0"/>
            </w:tcBorders>
            <w:noWrap/>
            <w:vAlign w:val="center"/>
          </w:tcPr>
          <w:p w14:paraId="3ADB3F5A">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万元</w:t>
            </w:r>
          </w:p>
        </w:tc>
        <w:tc>
          <w:tcPr>
            <w:tcW w:w="1768" w:type="dxa"/>
            <w:tcBorders>
              <w:top w:val="nil"/>
              <w:left w:val="nil"/>
              <w:bottom w:val="single" w:color="auto" w:sz="4" w:space="0"/>
              <w:right w:val="single" w:color="auto" w:sz="4" w:space="0"/>
            </w:tcBorders>
            <w:noWrap/>
            <w:vAlign w:val="center"/>
          </w:tcPr>
          <w:p w14:paraId="1EAED16F">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8000≤Z＜120000</w:t>
            </w:r>
          </w:p>
        </w:tc>
        <w:tc>
          <w:tcPr>
            <w:tcW w:w="1633" w:type="dxa"/>
            <w:tcBorders>
              <w:top w:val="nil"/>
              <w:left w:val="nil"/>
              <w:bottom w:val="single" w:color="auto" w:sz="4" w:space="0"/>
              <w:right w:val="single" w:color="auto" w:sz="4" w:space="0"/>
            </w:tcBorders>
            <w:noWrap/>
            <w:vAlign w:val="center"/>
          </w:tcPr>
          <w:p w14:paraId="5902A073">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100≤Z＜8000</w:t>
            </w:r>
          </w:p>
        </w:tc>
        <w:tc>
          <w:tcPr>
            <w:tcW w:w="1088" w:type="dxa"/>
            <w:tcBorders>
              <w:top w:val="nil"/>
              <w:left w:val="nil"/>
              <w:bottom w:val="single" w:color="auto" w:sz="4" w:space="0"/>
              <w:right w:val="single" w:color="auto" w:sz="4" w:space="0"/>
            </w:tcBorders>
            <w:noWrap/>
            <w:vAlign w:val="center"/>
          </w:tcPr>
          <w:p w14:paraId="0CC4F16D">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Y＜100</w:t>
            </w:r>
          </w:p>
        </w:tc>
      </w:tr>
      <w:tr w14:paraId="286873C4">
        <w:tblPrEx>
          <w:tblCellMar>
            <w:top w:w="0" w:type="dxa"/>
            <w:left w:w="108" w:type="dxa"/>
            <w:bottom w:w="0" w:type="dxa"/>
            <w:right w:w="108" w:type="dxa"/>
          </w:tblCellMar>
        </w:tblPrEx>
        <w:trPr>
          <w:trHeight w:val="253" w:hRule="atLeast"/>
        </w:trPr>
        <w:tc>
          <w:tcPr>
            <w:tcW w:w="1906" w:type="dxa"/>
            <w:tcBorders>
              <w:top w:val="nil"/>
              <w:left w:val="single" w:color="auto" w:sz="4" w:space="0"/>
              <w:bottom w:val="single" w:color="auto" w:sz="4" w:space="0"/>
              <w:right w:val="single" w:color="auto" w:sz="4" w:space="0"/>
            </w:tcBorders>
            <w:noWrap/>
            <w:vAlign w:val="bottom"/>
          </w:tcPr>
          <w:p w14:paraId="7F7798EC">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其他未列明行业</w:t>
            </w:r>
          </w:p>
        </w:tc>
        <w:tc>
          <w:tcPr>
            <w:tcW w:w="1905" w:type="dxa"/>
            <w:tcBorders>
              <w:top w:val="nil"/>
              <w:left w:val="nil"/>
              <w:bottom w:val="single" w:color="auto" w:sz="4" w:space="0"/>
              <w:right w:val="single" w:color="auto" w:sz="4" w:space="0"/>
            </w:tcBorders>
            <w:noWrap/>
            <w:vAlign w:val="center"/>
          </w:tcPr>
          <w:p w14:paraId="060418F6">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从业人员（X）</w:t>
            </w:r>
          </w:p>
        </w:tc>
        <w:tc>
          <w:tcPr>
            <w:tcW w:w="817" w:type="dxa"/>
            <w:tcBorders>
              <w:top w:val="nil"/>
              <w:left w:val="nil"/>
              <w:bottom w:val="single" w:color="auto" w:sz="4" w:space="0"/>
              <w:right w:val="single" w:color="auto" w:sz="4" w:space="0"/>
            </w:tcBorders>
            <w:noWrap/>
            <w:vAlign w:val="center"/>
          </w:tcPr>
          <w:p w14:paraId="784A7D25">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人</w:t>
            </w:r>
          </w:p>
        </w:tc>
        <w:tc>
          <w:tcPr>
            <w:tcW w:w="1768" w:type="dxa"/>
            <w:tcBorders>
              <w:top w:val="nil"/>
              <w:left w:val="nil"/>
              <w:bottom w:val="single" w:color="auto" w:sz="4" w:space="0"/>
              <w:right w:val="single" w:color="auto" w:sz="4" w:space="0"/>
            </w:tcBorders>
            <w:noWrap/>
            <w:vAlign w:val="center"/>
          </w:tcPr>
          <w:p w14:paraId="3171E392">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100≤X＜300</w:t>
            </w:r>
          </w:p>
        </w:tc>
        <w:tc>
          <w:tcPr>
            <w:tcW w:w="1633" w:type="dxa"/>
            <w:tcBorders>
              <w:top w:val="nil"/>
              <w:left w:val="nil"/>
              <w:bottom w:val="single" w:color="auto" w:sz="4" w:space="0"/>
              <w:right w:val="single" w:color="auto" w:sz="4" w:space="0"/>
            </w:tcBorders>
            <w:noWrap/>
            <w:vAlign w:val="center"/>
          </w:tcPr>
          <w:p w14:paraId="18A29998">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10≤X＜100</w:t>
            </w:r>
          </w:p>
        </w:tc>
        <w:tc>
          <w:tcPr>
            <w:tcW w:w="1088" w:type="dxa"/>
            <w:tcBorders>
              <w:top w:val="nil"/>
              <w:left w:val="nil"/>
              <w:bottom w:val="single" w:color="auto" w:sz="4" w:space="0"/>
              <w:right w:val="single" w:color="auto" w:sz="4" w:space="0"/>
            </w:tcBorders>
            <w:noWrap/>
            <w:vAlign w:val="center"/>
          </w:tcPr>
          <w:p w14:paraId="7AAD0571">
            <w:pPr>
              <w:widowControl/>
              <w:jc w:val="left"/>
              <w:rPr>
                <w:rFonts w:hint="eastAsia" w:ascii="宋体" w:hAnsi="宋体" w:cs="宋体"/>
                <w:color w:val="auto"/>
                <w:kern w:val="0"/>
                <w:sz w:val="18"/>
                <w:szCs w:val="18"/>
              </w:rPr>
            </w:pPr>
            <w:r>
              <w:rPr>
                <w:rFonts w:hint="eastAsia" w:ascii="宋体" w:hAnsi="宋体" w:cs="宋体"/>
                <w:color w:val="auto"/>
                <w:kern w:val="0"/>
                <w:sz w:val="18"/>
                <w:szCs w:val="18"/>
              </w:rPr>
              <w:t>X＜10</w:t>
            </w:r>
          </w:p>
        </w:tc>
      </w:tr>
    </w:tbl>
    <w:p w14:paraId="4ACA0BBE">
      <w:pPr>
        <w:spacing w:line="560" w:lineRule="exact"/>
        <w:ind w:firstLine="525" w:firstLineChars="250"/>
        <w:rPr>
          <w:rFonts w:hint="eastAsia" w:ascii="宋体" w:hAnsi="宋体" w:cs="宋体"/>
          <w:color w:val="auto"/>
          <w:szCs w:val="21"/>
        </w:rPr>
      </w:pPr>
      <w:r>
        <w:rPr>
          <w:rFonts w:hint="eastAsia" w:ascii="宋体" w:hAnsi="宋体" w:cs="宋体"/>
          <w:color w:val="auto"/>
          <w:szCs w:val="21"/>
        </w:rPr>
        <w:t>说明：上述标准参照《关于印发中小企业划型标准规定的通知》（工信部联企业</w:t>
      </w:r>
      <w:r>
        <w:rPr>
          <w:rFonts w:hint="eastAsia" w:ascii="宋体" w:hAnsi="宋体" w:cs="宋体"/>
          <w:color w:val="auto"/>
          <w:szCs w:val="21"/>
          <w:lang w:eastAsia="zh-CN"/>
        </w:rPr>
        <w:t>〔2011〕300号</w:t>
      </w:r>
      <w:r>
        <w:rPr>
          <w:rFonts w:hint="eastAsia" w:ascii="宋体" w:hAnsi="宋体" w:cs="宋体"/>
          <w:color w:val="auto"/>
          <w:szCs w:val="21"/>
        </w:rPr>
        <w:t>），大型、中型和小型企业须同时满足所列指标的下限，否则下划一档；微型企业只</w:t>
      </w:r>
      <w:r>
        <w:rPr>
          <w:rFonts w:hint="eastAsia" w:ascii="宋体" w:hAnsi="宋体" w:cs="宋体"/>
          <w:color w:val="auto"/>
          <w:szCs w:val="21"/>
          <w:lang w:eastAsia="zh-CN"/>
        </w:rPr>
        <w:t>需</w:t>
      </w:r>
      <w:r>
        <w:rPr>
          <w:rFonts w:hint="eastAsia" w:ascii="宋体" w:hAnsi="宋体" w:cs="宋体"/>
          <w:color w:val="auto"/>
          <w:szCs w:val="21"/>
        </w:rPr>
        <w:t>满足所列指标中的一项即可。</w:t>
      </w:r>
    </w:p>
    <w:p w14:paraId="54321D09">
      <w:pPr>
        <w:pStyle w:val="2"/>
        <w:rPr>
          <w:rFonts w:hint="eastAsia" w:ascii="宋体" w:hAnsi="宋体" w:cs="宋体"/>
          <w:color w:val="auto"/>
          <w:szCs w:val="21"/>
        </w:rPr>
      </w:pPr>
    </w:p>
    <w:p w14:paraId="7F5BF451">
      <w:pPr>
        <w:pStyle w:val="2"/>
        <w:rPr>
          <w:rFonts w:hint="eastAsia" w:ascii="宋体" w:hAnsi="宋体" w:cs="宋体"/>
          <w:color w:val="auto"/>
          <w:szCs w:val="21"/>
        </w:rPr>
      </w:pPr>
    </w:p>
    <w:p w14:paraId="265985FA">
      <w:pPr>
        <w:pStyle w:val="2"/>
        <w:rPr>
          <w:rFonts w:hint="eastAsia" w:ascii="宋体" w:hAnsi="宋体" w:cs="宋体"/>
          <w:color w:val="auto"/>
          <w:szCs w:val="21"/>
        </w:rPr>
      </w:pPr>
    </w:p>
    <w:p w14:paraId="33512475">
      <w:pPr>
        <w:pStyle w:val="2"/>
        <w:rPr>
          <w:rFonts w:hint="eastAsia" w:ascii="宋体" w:hAnsi="宋体" w:cs="宋体"/>
          <w:color w:val="auto"/>
          <w:szCs w:val="21"/>
        </w:rPr>
      </w:pPr>
    </w:p>
    <w:p w14:paraId="136A59F6">
      <w:pPr>
        <w:pStyle w:val="2"/>
        <w:rPr>
          <w:rFonts w:hint="eastAsia" w:ascii="宋体" w:hAnsi="宋体" w:cs="宋体"/>
          <w:color w:val="auto"/>
          <w:szCs w:val="21"/>
        </w:rPr>
      </w:pPr>
    </w:p>
    <w:p w14:paraId="2C9FF40A">
      <w:pPr>
        <w:pStyle w:val="2"/>
        <w:rPr>
          <w:rFonts w:hint="eastAsia" w:ascii="宋体" w:hAnsi="宋体" w:cs="宋体"/>
          <w:color w:val="auto"/>
          <w:szCs w:val="21"/>
        </w:rPr>
      </w:pPr>
    </w:p>
    <w:p w14:paraId="006A0E40">
      <w:pPr>
        <w:rPr>
          <w:rFonts w:hint="eastAsia" w:ascii="宋体" w:hAnsi="宋体" w:cs="宋体"/>
          <w:color w:val="auto"/>
          <w:szCs w:val="21"/>
        </w:rPr>
      </w:pPr>
    </w:p>
    <w:p w14:paraId="2D1E1D44">
      <w:pPr>
        <w:rPr>
          <w:rFonts w:hint="eastAsia" w:ascii="宋体" w:hAnsi="宋体" w:cs="宋体"/>
          <w:color w:val="auto"/>
          <w:szCs w:val="21"/>
        </w:rPr>
      </w:pPr>
    </w:p>
    <w:p w14:paraId="0894EC35">
      <w:pPr>
        <w:pStyle w:val="2"/>
        <w:rPr>
          <w:rFonts w:hint="eastAsia" w:ascii="宋体" w:hAnsi="宋体" w:cs="宋体"/>
          <w:color w:val="auto"/>
          <w:szCs w:val="21"/>
        </w:rPr>
      </w:pPr>
    </w:p>
    <w:p w14:paraId="6E5EA152">
      <w:pPr>
        <w:jc w:val="left"/>
        <w:rPr>
          <w:rFonts w:hint="eastAsia" w:ascii="宋体" w:hAnsi="宋体" w:cs="宋体"/>
          <w:b/>
          <w:bCs/>
          <w:color w:val="auto"/>
          <w:kern w:val="0"/>
          <w:sz w:val="32"/>
          <w:szCs w:val="32"/>
        </w:rPr>
      </w:pPr>
      <w:r>
        <w:rPr>
          <w:rFonts w:hint="eastAsia" w:ascii="宋体" w:hAnsi="宋体" w:cs="宋体"/>
          <w:b/>
          <w:bCs/>
          <w:color w:val="auto"/>
          <w:kern w:val="0"/>
          <w:sz w:val="32"/>
          <w:szCs w:val="32"/>
        </w:rPr>
        <w:t>附件2：</w:t>
      </w:r>
    </w:p>
    <w:p w14:paraId="723C3D2C">
      <w:pPr>
        <w:widowControl/>
        <w:spacing w:line="480" w:lineRule="atLeast"/>
        <w:jc w:val="center"/>
        <w:rPr>
          <w:rFonts w:hint="eastAsia" w:ascii="宋体" w:hAnsi="宋体" w:cs="宋体"/>
          <w:color w:val="auto"/>
          <w:kern w:val="0"/>
          <w:sz w:val="32"/>
          <w:szCs w:val="32"/>
        </w:rPr>
      </w:pPr>
      <w:r>
        <w:rPr>
          <w:rFonts w:hint="eastAsia" w:ascii="宋体" w:hAnsi="宋体" w:cs="宋体"/>
          <w:b/>
          <w:bCs/>
          <w:color w:val="auto"/>
          <w:kern w:val="0"/>
          <w:sz w:val="32"/>
          <w:szCs w:val="32"/>
        </w:rPr>
        <w:t>采购项目合同验收书（格式）</w:t>
      </w:r>
    </w:p>
    <w:p w14:paraId="0742F549">
      <w:pPr>
        <w:rPr>
          <w:rFonts w:hint="eastAsia" w:ascii="宋体" w:hAnsi="宋体" w:cs="宋体"/>
          <w:color w:val="auto"/>
        </w:rPr>
      </w:pPr>
    </w:p>
    <w:p w14:paraId="393CBCAD">
      <w:pPr>
        <w:widowControl/>
        <w:snapToGrid w:val="0"/>
        <w:spacing w:line="320" w:lineRule="atLeast"/>
        <w:ind w:firstLine="480"/>
        <w:jc w:val="left"/>
        <w:rPr>
          <w:rFonts w:hint="eastAsia" w:ascii="宋体" w:hAnsi="宋体" w:cs="宋体"/>
          <w:color w:val="auto"/>
          <w:kern w:val="0"/>
          <w:szCs w:val="21"/>
        </w:rPr>
      </w:pPr>
      <w:r>
        <w:rPr>
          <w:rFonts w:hint="eastAsia" w:ascii="宋体" w:hAnsi="宋体" w:cs="宋体"/>
          <w:color w:val="auto"/>
          <w:kern w:val="0"/>
          <w:szCs w:val="21"/>
        </w:rPr>
        <w:t>根据政府采购项目（</w:t>
      </w:r>
      <w:r>
        <w:rPr>
          <w:rFonts w:hint="eastAsia" w:ascii="宋体" w:hAnsi="宋体" w:cs="宋体"/>
          <w:color w:val="auto"/>
          <w:kern w:val="0"/>
          <w:szCs w:val="21"/>
          <w:u w:val="single"/>
        </w:rPr>
        <w:t>采购合同编号：</w:t>
      </w:r>
      <w:r>
        <w:rPr>
          <w:rFonts w:hint="eastAsia" w:ascii="宋体" w:hAnsi="宋体" w:cs="宋体"/>
          <w:color w:val="auto"/>
          <w:kern w:val="0"/>
          <w:szCs w:val="21"/>
          <w:u w:val="single"/>
        </w:rPr>
        <w:softHyphen/>
      </w:r>
      <w:r>
        <w:rPr>
          <w:rFonts w:hint="eastAsia" w:ascii="宋体" w:hAnsi="宋体" w:cs="宋体"/>
          <w:color w:val="auto"/>
          <w:kern w:val="0"/>
          <w:szCs w:val="21"/>
        </w:rPr>
        <w:t>）的约定，我单位对（</w:t>
      </w:r>
      <w:r>
        <w:rPr>
          <w:rFonts w:hint="eastAsia" w:ascii="宋体" w:hAnsi="宋体" w:cs="宋体"/>
          <w:color w:val="auto"/>
          <w:kern w:val="0"/>
          <w:szCs w:val="21"/>
          <w:u w:val="single"/>
        </w:rPr>
        <w:t xml:space="preserve"> 项目名称 </w:t>
      </w:r>
      <w:r>
        <w:rPr>
          <w:rFonts w:hint="eastAsia" w:ascii="宋体" w:hAnsi="宋体" w:cs="宋体"/>
          <w:color w:val="auto"/>
          <w:kern w:val="0"/>
          <w:szCs w:val="21"/>
        </w:rPr>
        <w:t>） 政府采购项目成交供应商（</w:t>
      </w:r>
      <w:r>
        <w:rPr>
          <w:rFonts w:hint="eastAsia" w:ascii="宋体" w:hAnsi="宋体" w:cs="宋体"/>
          <w:color w:val="auto"/>
          <w:kern w:val="0"/>
          <w:szCs w:val="21"/>
          <w:u w:val="single"/>
        </w:rPr>
        <w:t xml:space="preserve"> 公司名称 </w:t>
      </w:r>
      <w:r>
        <w:rPr>
          <w:rFonts w:hint="eastAsia" w:ascii="宋体" w:hAnsi="宋体" w:cs="宋体"/>
          <w:color w:val="auto"/>
          <w:kern w:val="0"/>
          <w:szCs w:val="21"/>
        </w:rPr>
        <w:t>） 提供的货物（或者工程、服务）进行了验收，验收情况如下：</w:t>
      </w:r>
    </w:p>
    <w:tbl>
      <w:tblPr>
        <w:tblStyle w:val="34"/>
        <w:tblW w:w="9319" w:type="dxa"/>
        <w:jc w:val="center"/>
        <w:tblLayout w:type="fixed"/>
        <w:tblCellMar>
          <w:top w:w="0" w:type="dxa"/>
          <w:left w:w="0" w:type="dxa"/>
          <w:bottom w:w="0" w:type="dxa"/>
          <w:right w:w="0" w:type="dxa"/>
        </w:tblCellMar>
      </w:tblPr>
      <w:tblGrid>
        <w:gridCol w:w="887"/>
        <w:gridCol w:w="910"/>
        <w:gridCol w:w="1791"/>
        <w:gridCol w:w="880"/>
        <w:gridCol w:w="114"/>
        <w:gridCol w:w="2208"/>
        <w:gridCol w:w="196"/>
        <w:gridCol w:w="756"/>
        <w:gridCol w:w="1577"/>
      </w:tblGrid>
      <w:tr w14:paraId="0D2FB775">
        <w:tblPrEx>
          <w:tblCellMar>
            <w:top w:w="0" w:type="dxa"/>
            <w:left w:w="0" w:type="dxa"/>
            <w:bottom w:w="0" w:type="dxa"/>
            <w:right w:w="0" w:type="dxa"/>
          </w:tblCellMar>
        </w:tblPrEx>
        <w:trPr>
          <w:trHeight w:val="506" w:hRule="atLeast"/>
          <w:jc w:val="center"/>
        </w:trPr>
        <w:tc>
          <w:tcPr>
            <w:tcW w:w="3588" w:type="dxa"/>
            <w:gridSpan w:val="3"/>
            <w:tcBorders>
              <w:top w:val="single" w:color="auto" w:sz="8" w:space="0"/>
              <w:left w:val="single" w:color="auto" w:sz="8" w:space="0"/>
              <w:bottom w:val="single" w:color="auto" w:sz="8" w:space="0"/>
              <w:right w:val="single" w:color="auto" w:sz="8" w:space="0"/>
            </w:tcBorders>
            <w:vAlign w:val="center"/>
          </w:tcPr>
          <w:p w14:paraId="24A12B80">
            <w:pPr>
              <w:widowControl/>
              <w:snapToGrid w:val="0"/>
              <w:spacing w:before="100" w:beforeAutospacing="1" w:after="100" w:afterAutospacing="1" w:line="320" w:lineRule="atLeast"/>
              <w:ind w:firstLine="5"/>
              <w:jc w:val="center"/>
              <w:rPr>
                <w:rFonts w:hint="eastAsia" w:ascii="宋体" w:hAnsi="宋体" w:cs="宋体"/>
                <w:color w:val="auto"/>
                <w:kern w:val="0"/>
                <w:szCs w:val="21"/>
              </w:rPr>
            </w:pPr>
            <w:r>
              <w:rPr>
                <w:rFonts w:hint="eastAsia" w:ascii="宋体" w:hAnsi="宋体" w:cs="宋体"/>
                <w:color w:val="auto"/>
                <w:kern w:val="0"/>
                <w:szCs w:val="21"/>
              </w:rPr>
              <w:t>验收方式：</w:t>
            </w:r>
          </w:p>
        </w:tc>
        <w:tc>
          <w:tcPr>
            <w:tcW w:w="5731" w:type="dxa"/>
            <w:gridSpan w:val="6"/>
            <w:tcBorders>
              <w:top w:val="single" w:color="auto" w:sz="8" w:space="0"/>
              <w:left w:val="nil"/>
              <w:bottom w:val="single" w:color="auto" w:sz="8" w:space="0"/>
              <w:right w:val="single" w:color="auto" w:sz="8" w:space="0"/>
            </w:tcBorders>
            <w:vAlign w:val="center"/>
          </w:tcPr>
          <w:p w14:paraId="14C0D00D">
            <w:pPr>
              <w:widowControl/>
              <w:snapToGrid w:val="0"/>
              <w:spacing w:before="100" w:beforeAutospacing="1" w:after="100" w:afterAutospacing="1" w:line="320" w:lineRule="atLeast"/>
              <w:jc w:val="center"/>
              <w:rPr>
                <w:rFonts w:hint="eastAsia" w:ascii="宋体" w:hAnsi="宋体" w:cs="宋体"/>
                <w:color w:val="auto"/>
                <w:kern w:val="0"/>
                <w:szCs w:val="21"/>
              </w:rPr>
            </w:pPr>
            <w:r>
              <w:rPr>
                <w:rFonts w:hint="eastAsia" w:ascii="宋体" w:hAnsi="宋体" w:cs="宋体"/>
                <w:color w:val="auto"/>
                <w:kern w:val="0"/>
                <w:szCs w:val="21"/>
              </w:rPr>
              <w:sym w:font="Wingdings 2" w:char="00A3"/>
            </w:r>
            <w:r>
              <w:rPr>
                <w:rFonts w:hint="eastAsia" w:ascii="宋体" w:hAnsi="宋体" w:cs="宋体"/>
                <w:color w:val="auto"/>
                <w:kern w:val="0"/>
                <w:szCs w:val="21"/>
              </w:rPr>
              <w:t xml:space="preserve">自行验收 </w:t>
            </w:r>
            <w:r>
              <w:rPr>
                <w:rFonts w:hint="eastAsia" w:ascii="宋体" w:hAnsi="宋体" w:cs="宋体"/>
                <w:color w:val="auto"/>
                <w:kern w:val="0"/>
                <w:szCs w:val="21"/>
              </w:rPr>
              <w:sym w:font="Wingdings 2" w:char="00A3"/>
            </w:r>
            <w:r>
              <w:rPr>
                <w:rFonts w:hint="eastAsia" w:ascii="宋体" w:hAnsi="宋体" w:cs="宋体"/>
                <w:color w:val="auto"/>
                <w:kern w:val="0"/>
                <w:szCs w:val="21"/>
              </w:rPr>
              <w:t>委托验收</w:t>
            </w:r>
          </w:p>
        </w:tc>
      </w:tr>
      <w:tr w14:paraId="0E3E66FC">
        <w:tblPrEx>
          <w:tblCellMar>
            <w:top w:w="0" w:type="dxa"/>
            <w:left w:w="0" w:type="dxa"/>
            <w:bottom w:w="0" w:type="dxa"/>
            <w:right w:w="0" w:type="dxa"/>
          </w:tblCellMar>
        </w:tblPrEx>
        <w:trPr>
          <w:trHeight w:val="645" w:hRule="atLeast"/>
          <w:jc w:val="center"/>
        </w:trPr>
        <w:tc>
          <w:tcPr>
            <w:tcW w:w="887" w:type="dxa"/>
            <w:tcBorders>
              <w:top w:val="nil"/>
              <w:left w:val="single" w:color="auto" w:sz="8" w:space="0"/>
              <w:bottom w:val="single" w:color="auto" w:sz="8" w:space="0"/>
              <w:right w:val="single" w:color="auto" w:sz="8" w:space="0"/>
            </w:tcBorders>
            <w:vAlign w:val="center"/>
          </w:tcPr>
          <w:p w14:paraId="158624AA">
            <w:pPr>
              <w:widowControl/>
              <w:snapToGrid w:val="0"/>
              <w:spacing w:before="100" w:beforeAutospacing="1" w:after="100" w:afterAutospacing="1" w:line="320" w:lineRule="atLeast"/>
              <w:ind w:firstLine="2"/>
              <w:jc w:val="center"/>
              <w:rPr>
                <w:rFonts w:hint="eastAsia" w:ascii="宋体" w:hAnsi="宋体" w:cs="宋体"/>
                <w:color w:val="auto"/>
                <w:kern w:val="0"/>
                <w:szCs w:val="21"/>
              </w:rPr>
            </w:pPr>
            <w:r>
              <w:rPr>
                <w:rFonts w:hint="eastAsia" w:ascii="宋体" w:hAnsi="宋体" w:cs="宋体"/>
                <w:color w:val="auto"/>
                <w:kern w:val="0"/>
                <w:szCs w:val="21"/>
              </w:rPr>
              <w:t>序号</w:t>
            </w:r>
          </w:p>
        </w:tc>
        <w:tc>
          <w:tcPr>
            <w:tcW w:w="2701" w:type="dxa"/>
            <w:gridSpan w:val="2"/>
            <w:tcBorders>
              <w:top w:val="nil"/>
              <w:left w:val="nil"/>
              <w:bottom w:val="single" w:color="auto" w:sz="8" w:space="0"/>
              <w:right w:val="single" w:color="auto" w:sz="8" w:space="0"/>
            </w:tcBorders>
            <w:vAlign w:val="center"/>
          </w:tcPr>
          <w:p w14:paraId="075154DC">
            <w:pPr>
              <w:widowControl/>
              <w:snapToGrid w:val="0"/>
              <w:spacing w:before="100" w:beforeAutospacing="1" w:after="100" w:afterAutospacing="1" w:line="320" w:lineRule="atLeast"/>
              <w:ind w:firstLine="2"/>
              <w:jc w:val="center"/>
              <w:rPr>
                <w:rFonts w:hint="eastAsia" w:ascii="宋体" w:hAnsi="宋体" w:cs="宋体"/>
                <w:color w:val="auto"/>
                <w:kern w:val="0"/>
                <w:szCs w:val="21"/>
              </w:rPr>
            </w:pPr>
            <w:r>
              <w:rPr>
                <w:rFonts w:hint="eastAsia" w:ascii="宋体" w:hAnsi="宋体" w:cs="宋体"/>
                <w:color w:val="auto"/>
                <w:kern w:val="0"/>
                <w:szCs w:val="21"/>
              </w:rPr>
              <w:t>名称</w:t>
            </w:r>
          </w:p>
        </w:tc>
        <w:tc>
          <w:tcPr>
            <w:tcW w:w="3202" w:type="dxa"/>
            <w:gridSpan w:val="3"/>
            <w:tcBorders>
              <w:top w:val="nil"/>
              <w:left w:val="nil"/>
              <w:bottom w:val="single" w:color="auto" w:sz="8" w:space="0"/>
              <w:right w:val="single" w:color="auto" w:sz="8" w:space="0"/>
            </w:tcBorders>
            <w:vAlign w:val="center"/>
          </w:tcPr>
          <w:p w14:paraId="779FD629">
            <w:pPr>
              <w:widowControl/>
              <w:snapToGrid w:val="0"/>
              <w:spacing w:before="100" w:beforeAutospacing="1" w:after="100" w:afterAutospacing="1" w:line="320" w:lineRule="atLeast"/>
              <w:ind w:firstLine="2"/>
              <w:jc w:val="center"/>
              <w:rPr>
                <w:rFonts w:hint="eastAsia" w:ascii="宋体" w:hAnsi="宋体" w:cs="宋体"/>
                <w:color w:val="auto"/>
                <w:kern w:val="0"/>
                <w:szCs w:val="21"/>
              </w:rPr>
            </w:pPr>
            <w:r>
              <w:rPr>
                <w:rFonts w:hint="eastAsia" w:ascii="宋体" w:hAnsi="宋体" w:cs="宋体"/>
                <w:color w:val="auto"/>
                <w:kern w:val="0"/>
                <w:szCs w:val="21"/>
              </w:rPr>
              <w:t>货物型号规格、标准及配置等（或者服务内容、标准）</w:t>
            </w:r>
          </w:p>
        </w:tc>
        <w:tc>
          <w:tcPr>
            <w:tcW w:w="952" w:type="dxa"/>
            <w:gridSpan w:val="2"/>
            <w:tcBorders>
              <w:top w:val="nil"/>
              <w:left w:val="nil"/>
              <w:bottom w:val="single" w:color="auto" w:sz="8" w:space="0"/>
              <w:right w:val="single" w:color="auto" w:sz="8" w:space="0"/>
            </w:tcBorders>
            <w:vAlign w:val="center"/>
          </w:tcPr>
          <w:p w14:paraId="223C3084">
            <w:pPr>
              <w:widowControl/>
              <w:snapToGrid w:val="0"/>
              <w:spacing w:before="100" w:beforeAutospacing="1" w:after="100" w:afterAutospacing="1" w:line="320" w:lineRule="atLeast"/>
              <w:jc w:val="center"/>
              <w:rPr>
                <w:rFonts w:hint="eastAsia" w:ascii="宋体" w:hAnsi="宋体" w:cs="宋体"/>
                <w:color w:val="auto"/>
                <w:kern w:val="0"/>
                <w:szCs w:val="21"/>
              </w:rPr>
            </w:pPr>
            <w:r>
              <w:rPr>
                <w:rFonts w:hint="eastAsia" w:ascii="宋体" w:hAnsi="宋体" w:cs="宋体"/>
                <w:color w:val="auto"/>
                <w:kern w:val="0"/>
                <w:szCs w:val="21"/>
              </w:rPr>
              <w:t>数量</w:t>
            </w:r>
          </w:p>
        </w:tc>
        <w:tc>
          <w:tcPr>
            <w:tcW w:w="1577" w:type="dxa"/>
            <w:tcBorders>
              <w:top w:val="nil"/>
              <w:left w:val="nil"/>
              <w:bottom w:val="single" w:color="auto" w:sz="8" w:space="0"/>
              <w:right w:val="single" w:color="auto" w:sz="8" w:space="0"/>
            </w:tcBorders>
            <w:vAlign w:val="center"/>
          </w:tcPr>
          <w:p w14:paraId="76635209">
            <w:pPr>
              <w:widowControl/>
              <w:snapToGrid w:val="0"/>
              <w:spacing w:before="100" w:beforeAutospacing="1" w:after="100" w:afterAutospacing="1" w:line="320" w:lineRule="atLeast"/>
              <w:ind w:firstLine="2"/>
              <w:jc w:val="center"/>
              <w:rPr>
                <w:rFonts w:hint="eastAsia" w:ascii="宋体" w:hAnsi="宋体" w:cs="宋体"/>
                <w:color w:val="auto"/>
                <w:kern w:val="0"/>
                <w:szCs w:val="21"/>
              </w:rPr>
            </w:pPr>
            <w:r>
              <w:rPr>
                <w:rFonts w:hint="eastAsia" w:ascii="宋体" w:hAnsi="宋体" w:cs="宋体"/>
                <w:color w:val="auto"/>
                <w:kern w:val="0"/>
                <w:szCs w:val="21"/>
              </w:rPr>
              <w:t>金额</w:t>
            </w:r>
          </w:p>
        </w:tc>
      </w:tr>
      <w:tr w14:paraId="7B0F884A">
        <w:tblPrEx>
          <w:tblCellMar>
            <w:top w:w="0" w:type="dxa"/>
            <w:left w:w="0" w:type="dxa"/>
            <w:bottom w:w="0" w:type="dxa"/>
            <w:right w:w="0" w:type="dxa"/>
          </w:tblCellMar>
        </w:tblPrEx>
        <w:trPr>
          <w:trHeight w:val="496" w:hRule="atLeast"/>
          <w:jc w:val="center"/>
        </w:trPr>
        <w:tc>
          <w:tcPr>
            <w:tcW w:w="887" w:type="dxa"/>
            <w:tcBorders>
              <w:top w:val="nil"/>
              <w:left w:val="single" w:color="auto" w:sz="8" w:space="0"/>
              <w:bottom w:val="single" w:color="auto" w:sz="8" w:space="0"/>
              <w:right w:val="single" w:color="auto" w:sz="8" w:space="0"/>
            </w:tcBorders>
            <w:vAlign w:val="center"/>
          </w:tcPr>
          <w:p w14:paraId="61C07CEA">
            <w:pPr>
              <w:widowControl/>
              <w:spacing w:before="100" w:beforeAutospacing="1" w:after="100" w:afterAutospacing="1" w:line="240" w:lineRule="atLeast"/>
              <w:jc w:val="center"/>
              <w:rPr>
                <w:rFonts w:hint="eastAsia" w:ascii="宋体" w:hAnsi="宋体" w:cs="宋体"/>
                <w:color w:val="auto"/>
                <w:kern w:val="0"/>
                <w:szCs w:val="21"/>
              </w:rPr>
            </w:pPr>
          </w:p>
        </w:tc>
        <w:tc>
          <w:tcPr>
            <w:tcW w:w="2701" w:type="dxa"/>
            <w:gridSpan w:val="2"/>
            <w:tcBorders>
              <w:top w:val="nil"/>
              <w:left w:val="nil"/>
              <w:bottom w:val="single" w:color="auto" w:sz="8" w:space="0"/>
              <w:right w:val="single" w:color="auto" w:sz="8" w:space="0"/>
            </w:tcBorders>
            <w:vAlign w:val="center"/>
          </w:tcPr>
          <w:p w14:paraId="635C2ACB">
            <w:pPr>
              <w:widowControl/>
              <w:spacing w:before="100" w:beforeAutospacing="1" w:after="100" w:afterAutospacing="1" w:line="240" w:lineRule="atLeast"/>
              <w:jc w:val="center"/>
              <w:rPr>
                <w:rFonts w:hint="eastAsia" w:ascii="宋体" w:hAnsi="宋体" w:cs="宋体"/>
                <w:color w:val="auto"/>
                <w:kern w:val="0"/>
                <w:szCs w:val="21"/>
              </w:rPr>
            </w:pPr>
          </w:p>
        </w:tc>
        <w:tc>
          <w:tcPr>
            <w:tcW w:w="3202" w:type="dxa"/>
            <w:gridSpan w:val="3"/>
            <w:tcBorders>
              <w:top w:val="nil"/>
              <w:left w:val="nil"/>
              <w:bottom w:val="single" w:color="auto" w:sz="8" w:space="0"/>
              <w:right w:val="single" w:color="auto" w:sz="8" w:space="0"/>
            </w:tcBorders>
            <w:vAlign w:val="center"/>
          </w:tcPr>
          <w:p w14:paraId="2F8E6EA8">
            <w:pPr>
              <w:widowControl/>
              <w:spacing w:before="100" w:beforeAutospacing="1" w:after="100" w:afterAutospacing="1" w:line="240" w:lineRule="atLeast"/>
              <w:jc w:val="center"/>
              <w:rPr>
                <w:rFonts w:hint="eastAsia" w:ascii="宋体" w:hAnsi="宋体" w:cs="宋体"/>
                <w:color w:val="auto"/>
                <w:kern w:val="0"/>
                <w:szCs w:val="21"/>
              </w:rPr>
            </w:pPr>
          </w:p>
        </w:tc>
        <w:tc>
          <w:tcPr>
            <w:tcW w:w="952" w:type="dxa"/>
            <w:gridSpan w:val="2"/>
            <w:tcBorders>
              <w:top w:val="nil"/>
              <w:left w:val="nil"/>
              <w:bottom w:val="single" w:color="auto" w:sz="8" w:space="0"/>
              <w:right w:val="single" w:color="auto" w:sz="8" w:space="0"/>
            </w:tcBorders>
            <w:vAlign w:val="center"/>
          </w:tcPr>
          <w:p w14:paraId="1B668B3D">
            <w:pPr>
              <w:widowControl/>
              <w:spacing w:before="100" w:beforeAutospacing="1" w:after="100" w:afterAutospacing="1" w:line="240" w:lineRule="atLeast"/>
              <w:jc w:val="center"/>
              <w:rPr>
                <w:rFonts w:hint="eastAsia" w:ascii="宋体" w:hAnsi="宋体" w:cs="宋体"/>
                <w:color w:val="auto"/>
                <w:kern w:val="0"/>
                <w:szCs w:val="21"/>
              </w:rPr>
            </w:pPr>
          </w:p>
        </w:tc>
        <w:tc>
          <w:tcPr>
            <w:tcW w:w="1577" w:type="dxa"/>
            <w:tcBorders>
              <w:top w:val="nil"/>
              <w:left w:val="nil"/>
              <w:bottom w:val="single" w:color="auto" w:sz="8" w:space="0"/>
              <w:right w:val="single" w:color="auto" w:sz="8" w:space="0"/>
            </w:tcBorders>
            <w:vAlign w:val="center"/>
          </w:tcPr>
          <w:p w14:paraId="32C61972">
            <w:pPr>
              <w:widowControl/>
              <w:spacing w:before="100" w:beforeAutospacing="1" w:after="100" w:afterAutospacing="1" w:line="240" w:lineRule="atLeast"/>
              <w:jc w:val="center"/>
              <w:rPr>
                <w:rFonts w:hint="eastAsia" w:ascii="宋体" w:hAnsi="宋体" w:cs="宋体"/>
                <w:color w:val="auto"/>
                <w:kern w:val="0"/>
                <w:szCs w:val="21"/>
              </w:rPr>
            </w:pPr>
          </w:p>
        </w:tc>
      </w:tr>
      <w:tr w14:paraId="4170C9B6">
        <w:tblPrEx>
          <w:tblCellMar>
            <w:top w:w="0" w:type="dxa"/>
            <w:left w:w="0" w:type="dxa"/>
            <w:bottom w:w="0" w:type="dxa"/>
            <w:right w:w="0" w:type="dxa"/>
          </w:tblCellMar>
        </w:tblPrEx>
        <w:trPr>
          <w:trHeight w:val="496" w:hRule="atLeast"/>
          <w:jc w:val="center"/>
        </w:trPr>
        <w:tc>
          <w:tcPr>
            <w:tcW w:w="887" w:type="dxa"/>
            <w:tcBorders>
              <w:top w:val="nil"/>
              <w:left w:val="single" w:color="auto" w:sz="8" w:space="0"/>
              <w:bottom w:val="single" w:color="auto" w:sz="8" w:space="0"/>
              <w:right w:val="single" w:color="auto" w:sz="8" w:space="0"/>
            </w:tcBorders>
            <w:vAlign w:val="center"/>
          </w:tcPr>
          <w:p w14:paraId="16C12B5F">
            <w:pPr>
              <w:widowControl/>
              <w:spacing w:before="100" w:beforeAutospacing="1" w:after="100" w:afterAutospacing="1" w:line="240" w:lineRule="atLeast"/>
              <w:jc w:val="center"/>
              <w:rPr>
                <w:rFonts w:hint="eastAsia" w:ascii="宋体" w:hAnsi="宋体" w:cs="宋体"/>
                <w:color w:val="auto"/>
                <w:kern w:val="0"/>
                <w:szCs w:val="21"/>
              </w:rPr>
            </w:pPr>
          </w:p>
        </w:tc>
        <w:tc>
          <w:tcPr>
            <w:tcW w:w="2701" w:type="dxa"/>
            <w:gridSpan w:val="2"/>
            <w:tcBorders>
              <w:top w:val="nil"/>
              <w:left w:val="nil"/>
              <w:bottom w:val="single" w:color="auto" w:sz="8" w:space="0"/>
              <w:right w:val="single" w:color="auto" w:sz="8" w:space="0"/>
            </w:tcBorders>
            <w:vAlign w:val="center"/>
          </w:tcPr>
          <w:p w14:paraId="7DE95566">
            <w:pPr>
              <w:widowControl/>
              <w:spacing w:before="100" w:beforeAutospacing="1" w:after="100" w:afterAutospacing="1" w:line="240" w:lineRule="atLeast"/>
              <w:jc w:val="center"/>
              <w:rPr>
                <w:rFonts w:hint="eastAsia" w:ascii="宋体" w:hAnsi="宋体" w:cs="宋体"/>
                <w:color w:val="auto"/>
                <w:kern w:val="0"/>
                <w:szCs w:val="21"/>
              </w:rPr>
            </w:pPr>
          </w:p>
        </w:tc>
        <w:tc>
          <w:tcPr>
            <w:tcW w:w="3202" w:type="dxa"/>
            <w:gridSpan w:val="3"/>
            <w:tcBorders>
              <w:top w:val="nil"/>
              <w:left w:val="nil"/>
              <w:bottom w:val="single" w:color="auto" w:sz="8" w:space="0"/>
              <w:right w:val="single" w:color="auto" w:sz="8" w:space="0"/>
            </w:tcBorders>
            <w:vAlign w:val="center"/>
          </w:tcPr>
          <w:p w14:paraId="751DE9BA">
            <w:pPr>
              <w:widowControl/>
              <w:spacing w:before="100" w:beforeAutospacing="1" w:after="100" w:afterAutospacing="1" w:line="240" w:lineRule="atLeast"/>
              <w:jc w:val="center"/>
              <w:rPr>
                <w:rFonts w:hint="eastAsia" w:ascii="宋体" w:hAnsi="宋体" w:cs="宋体"/>
                <w:color w:val="auto"/>
                <w:kern w:val="0"/>
                <w:szCs w:val="21"/>
              </w:rPr>
            </w:pPr>
          </w:p>
        </w:tc>
        <w:tc>
          <w:tcPr>
            <w:tcW w:w="952" w:type="dxa"/>
            <w:gridSpan w:val="2"/>
            <w:tcBorders>
              <w:top w:val="nil"/>
              <w:left w:val="nil"/>
              <w:bottom w:val="single" w:color="auto" w:sz="8" w:space="0"/>
              <w:right w:val="single" w:color="auto" w:sz="8" w:space="0"/>
            </w:tcBorders>
            <w:vAlign w:val="center"/>
          </w:tcPr>
          <w:p w14:paraId="024DD1ED">
            <w:pPr>
              <w:widowControl/>
              <w:spacing w:before="100" w:beforeAutospacing="1" w:after="100" w:afterAutospacing="1" w:line="240" w:lineRule="atLeast"/>
              <w:jc w:val="center"/>
              <w:rPr>
                <w:rFonts w:hint="eastAsia" w:ascii="宋体" w:hAnsi="宋体" w:cs="宋体"/>
                <w:color w:val="auto"/>
                <w:kern w:val="0"/>
                <w:szCs w:val="21"/>
              </w:rPr>
            </w:pPr>
          </w:p>
        </w:tc>
        <w:tc>
          <w:tcPr>
            <w:tcW w:w="1577" w:type="dxa"/>
            <w:tcBorders>
              <w:top w:val="nil"/>
              <w:left w:val="nil"/>
              <w:bottom w:val="single" w:color="auto" w:sz="8" w:space="0"/>
              <w:right w:val="single" w:color="auto" w:sz="8" w:space="0"/>
            </w:tcBorders>
            <w:vAlign w:val="center"/>
          </w:tcPr>
          <w:p w14:paraId="17F35B80">
            <w:pPr>
              <w:widowControl/>
              <w:spacing w:before="100" w:beforeAutospacing="1" w:after="100" w:afterAutospacing="1" w:line="240" w:lineRule="atLeast"/>
              <w:jc w:val="center"/>
              <w:rPr>
                <w:rFonts w:hint="eastAsia" w:ascii="宋体" w:hAnsi="宋体" w:cs="宋体"/>
                <w:color w:val="auto"/>
                <w:kern w:val="0"/>
                <w:szCs w:val="21"/>
              </w:rPr>
            </w:pPr>
          </w:p>
        </w:tc>
      </w:tr>
      <w:tr w14:paraId="4818C9A3">
        <w:tblPrEx>
          <w:tblCellMar>
            <w:top w:w="0" w:type="dxa"/>
            <w:left w:w="0" w:type="dxa"/>
            <w:bottom w:w="0" w:type="dxa"/>
            <w:right w:w="0" w:type="dxa"/>
          </w:tblCellMar>
        </w:tblPrEx>
        <w:trPr>
          <w:trHeight w:val="496" w:hRule="atLeast"/>
          <w:jc w:val="center"/>
        </w:trPr>
        <w:tc>
          <w:tcPr>
            <w:tcW w:w="887" w:type="dxa"/>
            <w:tcBorders>
              <w:top w:val="nil"/>
              <w:left w:val="single" w:color="auto" w:sz="8" w:space="0"/>
              <w:bottom w:val="single" w:color="auto" w:sz="8" w:space="0"/>
              <w:right w:val="single" w:color="auto" w:sz="8" w:space="0"/>
            </w:tcBorders>
            <w:vAlign w:val="center"/>
          </w:tcPr>
          <w:p w14:paraId="21C0339C">
            <w:pPr>
              <w:widowControl/>
              <w:spacing w:before="100" w:beforeAutospacing="1" w:after="100" w:afterAutospacing="1" w:line="240" w:lineRule="atLeast"/>
              <w:jc w:val="center"/>
              <w:rPr>
                <w:rFonts w:hint="eastAsia" w:ascii="宋体" w:hAnsi="宋体" w:cs="宋体"/>
                <w:color w:val="auto"/>
                <w:kern w:val="0"/>
                <w:szCs w:val="21"/>
              </w:rPr>
            </w:pPr>
          </w:p>
        </w:tc>
        <w:tc>
          <w:tcPr>
            <w:tcW w:w="2701" w:type="dxa"/>
            <w:gridSpan w:val="2"/>
            <w:tcBorders>
              <w:top w:val="nil"/>
              <w:left w:val="nil"/>
              <w:bottom w:val="single" w:color="auto" w:sz="8" w:space="0"/>
              <w:right w:val="single" w:color="auto" w:sz="8" w:space="0"/>
            </w:tcBorders>
            <w:vAlign w:val="center"/>
          </w:tcPr>
          <w:p w14:paraId="2E58B28B">
            <w:pPr>
              <w:widowControl/>
              <w:spacing w:before="100" w:beforeAutospacing="1" w:after="100" w:afterAutospacing="1" w:line="240" w:lineRule="atLeast"/>
              <w:jc w:val="center"/>
              <w:rPr>
                <w:rFonts w:hint="eastAsia" w:ascii="宋体" w:hAnsi="宋体" w:cs="宋体"/>
                <w:color w:val="auto"/>
                <w:kern w:val="0"/>
                <w:szCs w:val="21"/>
              </w:rPr>
            </w:pPr>
          </w:p>
        </w:tc>
        <w:tc>
          <w:tcPr>
            <w:tcW w:w="3202" w:type="dxa"/>
            <w:gridSpan w:val="3"/>
            <w:tcBorders>
              <w:top w:val="nil"/>
              <w:left w:val="nil"/>
              <w:bottom w:val="single" w:color="auto" w:sz="8" w:space="0"/>
              <w:right w:val="single" w:color="auto" w:sz="8" w:space="0"/>
            </w:tcBorders>
            <w:vAlign w:val="center"/>
          </w:tcPr>
          <w:p w14:paraId="0E2794FD">
            <w:pPr>
              <w:widowControl/>
              <w:spacing w:before="100" w:beforeAutospacing="1" w:after="100" w:afterAutospacing="1" w:line="240" w:lineRule="atLeast"/>
              <w:jc w:val="center"/>
              <w:rPr>
                <w:rFonts w:hint="eastAsia" w:ascii="宋体" w:hAnsi="宋体" w:cs="宋体"/>
                <w:color w:val="auto"/>
                <w:kern w:val="0"/>
                <w:szCs w:val="21"/>
              </w:rPr>
            </w:pPr>
          </w:p>
        </w:tc>
        <w:tc>
          <w:tcPr>
            <w:tcW w:w="952" w:type="dxa"/>
            <w:gridSpan w:val="2"/>
            <w:tcBorders>
              <w:top w:val="nil"/>
              <w:left w:val="nil"/>
              <w:bottom w:val="single" w:color="auto" w:sz="8" w:space="0"/>
              <w:right w:val="single" w:color="auto" w:sz="8" w:space="0"/>
            </w:tcBorders>
            <w:vAlign w:val="center"/>
          </w:tcPr>
          <w:p w14:paraId="61464CDD">
            <w:pPr>
              <w:widowControl/>
              <w:spacing w:before="100" w:beforeAutospacing="1" w:after="100" w:afterAutospacing="1" w:line="240" w:lineRule="atLeast"/>
              <w:jc w:val="center"/>
              <w:rPr>
                <w:rFonts w:hint="eastAsia" w:ascii="宋体" w:hAnsi="宋体" w:cs="宋体"/>
                <w:color w:val="auto"/>
                <w:kern w:val="0"/>
                <w:szCs w:val="21"/>
              </w:rPr>
            </w:pPr>
          </w:p>
        </w:tc>
        <w:tc>
          <w:tcPr>
            <w:tcW w:w="1577" w:type="dxa"/>
            <w:tcBorders>
              <w:top w:val="nil"/>
              <w:left w:val="nil"/>
              <w:bottom w:val="single" w:color="auto" w:sz="8" w:space="0"/>
              <w:right w:val="single" w:color="auto" w:sz="8" w:space="0"/>
            </w:tcBorders>
            <w:vAlign w:val="center"/>
          </w:tcPr>
          <w:p w14:paraId="6A4CF52E">
            <w:pPr>
              <w:widowControl/>
              <w:spacing w:before="100" w:beforeAutospacing="1" w:after="100" w:afterAutospacing="1" w:line="240" w:lineRule="atLeast"/>
              <w:jc w:val="center"/>
              <w:rPr>
                <w:rFonts w:hint="eastAsia" w:ascii="宋体" w:hAnsi="宋体" w:cs="宋体"/>
                <w:color w:val="auto"/>
                <w:kern w:val="0"/>
                <w:szCs w:val="21"/>
              </w:rPr>
            </w:pPr>
          </w:p>
        </w:tc>
      </w:tr>
      <w:tr w14:paraId="7274913A">
        <w:tblPrEx>
          <w:tblCellMar>
            <w:top w:w="0" w:type="dxa"/>
            <w:left w:w="0" w:type="dxa"/>
            <w:bottom w:w="0" w:type="dxa"/>
            <w:right w:w="0" w:type="dxa"/>
          </w:tblCellMar>
        </w:tblPrEx>
        <w:trPr>
          <w:trHeight w:val="496" w:hRule="atLeast"/>
          <w:jc w:val="center"/>
        </w:trPr>
        <w:tc>
          <w:tcPr>
            <w:tcW w:w="6790" w:type="dxa"/>
            <w:gridSpan w:val="6"/>
            <w:tcBorders>
              <w:top w:val="nil"/>
              <w:left w:val="single" w:color="auto" w:sz="8" w:space="0"/>
              <w:bottom w:val="single" w:color="auto" w:sz="8" w:space="0"/>
              <w:right w:val="single" w:color="auto" w:sz="8" w:space="0"/>
            </w:tcBorders>
            <w:vAlign w:val="center"/>
          </w:tcPr>
          <w:p w14:paraId="1493A44A">
            <w:pPr>
              <w:widowControl/>
              <w:snapToGrid w:val="0"/>
              <w:spacing w:before="100" w:beforeAutospacing="1" w:after="100" w:afterAutospacing="1" w:line="320" w:lineRule="atLeast"/>
              <w:ind w:firstLine="5"/>
              <w:jc w:val="center"/>
              <w:rPr>
                <w:rFonts w:hint="eastAsia" w:ascii="宋体" w:hAnsi="宋体" w:cs="宋体"/>
                <w:color w:val="auto"/>
                <w:kern w:val="0"/>
                <w:szCs w:val="21"/>
              </w:rPr>
            </w:pPr>
            <w:r>
              <w:rPr>
                <w:rFonts w:hint="eastAsia" w:ascii="宋体" w:hAnsi="宋体" w:cs="宋体"/>
                <w:color w:val="auto"/>
                <w:kern w:val="0"/>
                <w:szCs w:val="21"/>
              </w:rPr>
              <w:t>合 计</w:t>
            </w:r>
          </w:p>
        </w:tc>
        <w:tc>
          <w:tcPr>
            <w:tcW w:w="952" w:type="dxa"/>
            <w:gridSpan w:val="2"/>
            <w:tcBorders>
              <w:top w:val="nil"/>
              <w:left w:val="nil"/>
              <w:bottom w:val="single" w:color="auto" w:sz="8" w:space="0"/>
              <w:right w:val="single" w:color="auto" w:sz="8" w:space="0"/>
            </w:tcBorders>
            <w:vAlign w:val="center"/>
          </w:tcPr>
          <w:p w14:paraId="7B71D6F8">
            <w:pPr>
              <w:widowControl/>
              <w:spacing w:before="100" w:beforeAutospacing="1" w:after="100" w:afterAutospacing="1" w:line="240" w:lineRule="atLeast"/>
              <w:jc w:val="center"/>
              <w:rPr>
                <w:rFonts w:hint="eastAsia" w:ascii="宋体" w:hAnsi="宋体" w:cs="宋体"/>
                <w:color w:val="auto"/>
                <w:kern w:val="0"/>
                <w:szCs w:val="21"/>
              </w:rPr>
            </w:pPr>
          </w:p>
        </w:tc>
        <w:tc>
          <w:tcPr>
            <w:tcW w:w="1577" w:type="dxa"/>
            <w:tcBorders>
              <w:top w:val="nil"/>
              <w:left w:val="nil"/>
              <w:bottom w:val="single" w:color="auto" w:sz="8" w:space="0"/>
              <w:right w:val="single" w:color="auto" w:sz="8" w:space="0"/>
            </w:tcBorders>
            <w:vAlign w:val="center"/>
          </w:tcPr>
          <w:p w14:paraId="3A409F76">
            <w:pPr>
              <w:widowControl/>
              <w:spacing w:before="100" w:beforeAutospacing="1" w:after="100" w:afterAutospacing="1" w:line="240" w:lineRule="atLeast"/>
              <w:jc w:val="center"/>
              <w:rPr>
                <w:rFonts w:hint="eastAsia" w:ascii="宋体" w:hAnsi="宋体" w:cs="宋体"/>
                <w:color w:val="auto"/>
                <w:kern w:val="0"/>
                <w:szCs w:val="21"/>
              </w:rPr>
            </w:pPr>
          </w:p>
        </w:tc>
      </w:tr>
      <w:tr w14:paraId="1CD70767">
        <w:tblPrEx>
          <w:tblCellMar>
            <w:top w:w="0" w:type="dxa"/>
            <w:left w:w="0" w:type="dxa"/>
            <w:bottom w:w="0" w:type="dxa"/>
            <w:right w:w="0" w:type="dxa"/>
          </w:tblCellMar>
        </w:tblPrEx>
        <w:trPr>
          <w:trHeight w:val="646" w:hRule="atLeast"/>
          <w:jc w:val="center"/>
        </w:trPr>
        <w:tc>
          <w:tcPr>
            <w:tcW w:w="9319" w:type="dxa"/>
            <w:gridSpan w:val="9"/>
            <w:tcBorders>
              <w:top w:val="nil"/>
              <w:left w:val="single" w:color="auto" w:sz="8" w:space="0"/>
              <w:bottom w:val="single" w:color="auto" w:sz="8" w:space="0"/>
              <w:right w:val="single" w:color="auto" w:sz="8" w:space="0"/>
            </w:tcBorders>
            <w:vAlign w:val="center"/>
          </w:tcPr>
          <w:p w14:paraId="1FD58B5D">
            <w:pPr>
              <w:widowControl/>
              <w:snapToGrid w:val="0"/>
              <w:spacing w:before="100" w:beforeAutospacing="1" w:after="100" w:afterAutospacing="1" w:line="320" w:lineRule="atLeast"/>
              <w:ind w:firstLine="210" w:firstLineChars="100"/>
              <w:jc w:val="left"/>
              <w:rPr>
                <w:rFonts w:hint="eastAsia" w:ascii="宋体" w:hAnsi="宋体" w:cs="宋体"/>
                <w:color w:val="auto"/>
                <w:kern w:val="0"/>
                <w:szCs w:val="21"/>
              </w:rPr>
            </w:pPr>
            <w:r>
              <w:rPr>
                <w:rFonts w:hint="eastAsia" w:ascii="宋体" w:hAnsi="宋体" w:cs="宋体"/>
                <w:color w:val="auto"/>
                <w:kern w:val="0"/>
                <w:szCs w:val="21"/>
              </w:rPr>
              <w:t>合计大写金额：  仟  佰  拾  万  仟  佰  拾  元</w:t>
            </w:r>
          </w:p>
        </w:tc>
      </w:tr>
      <w:tr w14:paraId="7E9F44E1">
        <w:tblPrEx>
          <w:tblCellMar>
            <w:top w:w="0" w:type="dxa"/>
            <w:left w:w="0" w:type="dxa"/>
            <w:bottom w:w="0" w:type="dxa"/>
            <w:right w:w="0" w:type="dxa"/>
          </w:tblCellMar>
        </w:tblPrEx>
        <w:trPr>
          <w:trHeight w:val="646" w:hRule="atLeast"/>
          <w:jc w:val="center"/>
        </w:trPr>
        <w:tc>
          <w:tcPr>
            <w:tcW w:w="1797" w:type="dxa"/>
            <w:gridSpan w:val="2"/>
            <w:tcBorders>
              <w:top w:val="nil"/>
              <w:left w:val="single" w:color="auto" w:sz="8" w:space="0"/>
              <w:bottom w:val="single" w:color="auto" w:sz="8" w:space="0"/>
              <w:right w:val="single" w:color="auto" w:sz="8" w:space="0"/>
            </w:tcBorders>
            <w:vAlign w:val="center"/>
          </w:tcPr>
          <w:p w14:paraId="0EFC41DF">
            <w:pPr>
              <w:widowControl/>
              <w:snapToGrid w:val="0"/>
              <w:spacing w:before="100" w:beforeAutospacing="1" w:after="100" w:afterAutospacing="1" w:line="320" w:lineRule="atLeast"/>
              <w:ind w:firstLine="2"/>
              <w:jc w:val="center"/>
              <w:rPr>
                <w:rFonts w:hint="eastAsia" w:ascii="宋体" w:hAnsi="宋体" w:cs="宋体"/>
                <w:color w:val="auto"/>
                <w:kern w:val="0"/>
                <w:szCs w:val="21"/>
              </w:rPr>
            </w:pPr>
            <w:r>
              <w:rPr>
                <w:rFonts w:hint="eastAsia" w:ascii="宋体" w:hAnsi="宋体" w:cs="宋体"/>
                <w:color w:val="auto"/>
                <w:kern w:val="0"/>
                <w:szCs w:val="21"/>
              </w:rPr>
              <w:t>实际供货日期</w:t>
            </w:r>
          </w:p>
        </w:tc>
        <w:tc>
          <w:tcPr>
            <w:tcW w:w="2671" w:type="dxa"/>
            <w:gridSpan w:val="2"/>
            <w:tcBorders>
              <w:top w:val="nil"/>
              <w:left w:val="nil"/>
              <w:bottom w:val="single" w:color="auto" w:sz="8" w:space="0"/>
              <w:right w:val="single" w:color="auto" w:sz="8" w:space="0"/>
            </w:tcBorders>
            <w:vAlign w:val="center"/>
          </w:tcPr>
          <w:p w14:paraId="3395E6CB">
            <w:pPr>
              <w:widowControl/>
              <w:spacing w:before="100" w:beforeAutospacing="1" w:after="100" w:afterAutospacing="1" w:line="240" w:lineRule="atLeast"/>
              <w:jc w:val="center"/>
              <w:rPr>
                <w:rFonts w:hint="eastAsia" w:ascii="宋体" w:hAnsi="宋体" w:cs="宋体"/>
                <w:color w:val="auto"/>
                <w:kern w:val="0"/>
                <w:szCs w:val="21"/>
              </w:rPr>
            </w:pPr>
          </w:p>
        </w:tc>
        <w:tc>
          <w:tcPr>
            <w:tcW w:w="2518" w:type="dxa"/>
            <w:gridSpan w:val="3"/>
            <w:tcBorders>
              <w:top w:val="nil"/>
              <w:left w:val="nil"/>
              <w:bottom w:val="single" w:color="auto" w:sz="8" w:space="0"/>
              <w:right w:val="single" w:color="auto" w:sz="8" w:space="0"/>
            </w:tcBorders>
            <w:vAlign w:val="center"/>
          </w:tcPr>
          <w:p w14:paraId="50E67EFD">
            <w:pPr>
              <w:widowControl/>
              <w:snapToGrid w:val="0"/>
              <w:spacing w:before="100" w:beforeAutospacing="1" w:after="100" w:afterAutospacing="1" w:line="320" w:lineRule="atLeast"/>
              <w:ind w:firstLine="46"/>
              <w:jc w:val="center"/>
              <w:rPr>
                <w:rFonts w:hint="eastAsia" w:ascii="宋体" w:hAnsi="宋体" w:cs="宋体"/>
                <w:color w:val="auto"/>
                <w:kern w:val="0"/>
                <w:szCs w:val="21"/>
              </w:rPr>
            </w:pPr>
            <w:r>
              <w:rPr>
                <w:rFonts w:hint="eastAsia" w:ascii="宋体" w:hAnsi="宋体" w:cs="宋体"/>
                <w:color w:val="auto"/>
                <w:kern w:val="0"/>
                <w:szCs w:val="21"/>
              </w:rPr>
              <w:t>合同交货验收日期</w:t>
            </w:r>
          </w:p>
        </w:tc>
        <w:tc>
          <w:tcPr>
            <w:tcW w:w="2333" w:type="dxa"/>
            <w:gridSpan w:val="2"/>
            <w:tcBorders>
              <w:top w:val="nil"/>
              <w:left w:val="nil"/>
              <w:bottom w:val="single" w:color="auto" w:sz="8" w:space="0"/>
              <w:right w:val="single" w:color="auto" w:sz="8" w:space="0"/>
            </w:tcBorders>
            <w:vAlign w:val="center"/>
          </w:tcPr>
          <w:p w14:paraId="2AADA152">
            <w:pPr>
              <w:widowControl/>
              <w:spacing w:before="100" w:beforeAutospacing="1" w:after="100" w:afterAutospacing="1" w:line="240" w:lineRule="atLeast"/>
              <w:jc w:val="center"/>
              <w:rPr>
                <w:rFonts w:hint="eastAsia" w:ascii="宋体" w:hAnsi="宋体" w:cs="宋体"/>
                <w:color w:val="auto"/>
                <w:kern w:val="0"/>
                <w:szCs w:val="21"/>
              </w:rPr>
            </w:pPr>
          </w:p>
        </w:tc>
      </w:tr>
      <w:tr w14:paraId="5A7F0A08">
        <w:tblPrEx>
          <w:tblCellMar>
            <w:top w:w="0" w:type="dxa"/>
            <w:left w:w="0" w:type="dxa"/>
            <w:bottom w:w="0" w:type="dxa"/>
            <w:right w:w="0" w:type="dxa"/>
          </w:tblCellMar>
        </w:tblPrEx>
        <w:trPr>
          <w:trHeight w:val="1271" w:hRule="atLeast"/>
          <w:jc w:val="center"/>
        </w:trPr>
        <w:tc>
          <w:tcPr>
            <w:tcW w:w="1797"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452F846">
            <w:pPr>
              <w:widowControl/>
              <w:snapToGrid w:val="0"/>
              <w:spacing w:before="100" w:beforeAutospacing="1" w:after="100" w:afterAutospacing="1" w:line="320" w:lineRule="atLeast"/>
              <w:jc w:val="left"/>
              <w:rPr>
                <w:rFonts w:hint="eastAsia" w:ascii="宋体" w:hAnsi="宋体" w:cs="宋体"/>
                <w:color w:val="auto"/>
                <w:kern w:val="0"/>
                <w:szCs w:val="21"/>
              </w:rPr>
            </w:pPr>
            <w:r>
              <w:rPr>
                <w:rFonts w:hint="eastAsia" w:ascii="宋体" w:hAnsi="宋体" w:cs="宋体"/>
                <w:color w:val="auto"/>
                <w:kern w:val="0"/>
                <w:szCs w:val="21"/>
              </w:rPr>
              <w:t>验收具体内容</w:t>
            </w:r>
          </w:p>
        </w:tc>
        <w:tc>
          <w:tcPr>
            <w:tcW w:w="7522"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54095B61">
            <w:pPr>
              <w:widowControl/>
              <w:snapToGrid w:val="0"/>
              <w:spacing w:before="100" w:beforeAutospacing="1" w:after="100" w:afterAutospacing="1" w:line="320" w:lineRule="atLeast"/>
              <w:jc w:val="left"/>
              <w:rPr>
                <w:rFonts w:hint="eastAsia" w:ascii="宋体" w:hAnsi="宋体" w:cs="宋体"/>
                <w:color w:val="auto"/>
                <w:kern w:val="0"/>
                <w:szCs w:val="21"/>
              </w:rPr>
            </w:pPr>
            <w:r>
              <w:rPr>
                <w:rFonts w:hint="eastAsia" w:ascii="宋体" w:hAnsi="宋体" w:cs="宋体"/>
                <w:color w:val="auto"/>
                <w:kern w:val="0"/>
                <w:szCs w:val="21"/>
              </w:rPr>
              <w:t>（应按采购合同、采购文件、投标文件及验收方案等进行验收；并核对成交供应商在安装调试等方面是否违反合同约定或者服务规范要求、提供的质量保证证明材料是否齐全、应有的配件及附件是否达到合同约定等。可附件)</w:t>
            </w:r>
          </w:p>
        </w:tc>
      </w:tr>
      <w:tr w14:paraId="5636B097">
        <w:tblPrEx>
          <w:tblCellMar>
            <w:top w:w="0" w:type="dxa"/>
            <w:left w:w="0" w:type="dxa"/>
            <w:bottom w:w="0" w:type="dxa"/>
            <w:right w:w="0" w:type="dxa"/>
          </w:tblCellMar>
        </w:tblPrEx>
        <w:trPr>
          <w:trHeight w:val="1272" w:hRule="atLeast"/>
          <w:jc w:val="center"/>
        </w:trPr>
        <w:tc>
          <w:tcPr>
            <w:tcW w:w="1797"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D41119C">
            <w:pPr>
              <w:widowControl/>
              <w:spacing w:before="100" w:beforeAutospacing="1" w:after="100" w:afterAutospacing="1" w:line="320" w:lineRule="atLeast"/>
              <w:rPr>
                <w:rFonts w:hint="eastAsia" w:ascii="宋体" w:hAnsi="宋体" w:cs="宋体"/>
                <w:color w:val="auto"/>
                <w:kern w:val="0"/>
                <w:szCs w:val="21"/>
              </w:rPr>
            </w:pPr>
            <w:r>
              <w:rPr>
                <w:rFonts w:hint="eastAsia" w:ascii="宋体" w:hAnsi="宋体" w:cs="宋体"/>
                <w:color w:val="auto"/>
                <w:kern w:val="0"/>
                <w:szCs w:val="21"/>
              </w:rPr>
              <w:t>验收小组意见</w:t>
            </w:r>
          </w:p>
        </w:tc>
        <w:tc>
          <w:tcPr>
            <w:tcW w:w="7522" w:type="dxa"/>
            <w:gridSpan w:val="7"/>
            <w:tcBorders>
              <w:top w:val="nil"/>
              <w:left w:val="nil"/>
              <w:bottom w:val="single" w:color="auto" w:sz="8" w:space="0"/>
              <w:right w:val="single" w:color="auto" w:sz="8" w:space="0"/>
            </w:tcBorders>
            <w:vAlign w:val="center"/>
          </w:tcPr>
          <w:p w14:paraId="673194B0">
            <w:pPr>
              <w:widowControl/>
              <w:spacing w:before="100" w:beforeAutospacing="1" w:after="100" w:afterAutospacing="1" w:line="320" w:lineRule="atLeast"/>
              <w:ind w:firstLine="210" w:firstLineChars="100"/>
              <w:rPr>
                <w:rFonts w:hint="eastAsia" w:ascii="宋体" w:hAnsi="宋体" w:cs="宋体"/>
                <w:color w:val="auto"/>
                <w:kern w:val="0"/>
                <w:szCs w:val="21"/>
              </w:rPr>
            </w:pPr>
            <w:r>
              <w:rPr>
                <w:rFonts w:hint="eastAsia" w:ascii="宋体" w:hAnsi="宋体" w:cs="宋体"/>
                <w:color w:val="auto"/>
                <w:kern w:val="0"/>
                <w:szCs w:val="21"/>
              </w:rPr>
              <w:t>验收结论性意见：</w:t>
            </w:r>
          </w:p>
        </w:tc>
      </w:tr>
      <w:tr w14:paraId="03DECF85">
        <w:tblPrEx>
          <w:tblCellMar>
            <w:top w:w="0" w:type="dxa"/>
            <w:left w:w="0" w:type="dxa"/>
            <w:bottom w:w="0" w:type="dxa"/>
            <w:right w:w="0" w:type="dxa"/>
          </w:tblCellMar>
        </w:tblPrEx>
        <w:trPr>
          <w:trHeight w:val="919" w:hRule="atLeast"/>
          <w:jc w:val="center"/>
        </w:trPr>
        <w:tc>
          <w:tcPr>
            <w:tcW w:w="1797" w:type="dxa"/>
            <w:gridSpan w:val="2"/>
            <w:vMerge w:val="continue"/>
            <w:tcBorders>
              <w:top w:val="nil"/>
              <w:left w:val="single" w:color="auto" w:sz="8" w:space="0"/>
              <w:bottom w:val="single" w:color="auto" w:sz="8" w:space="0"/>
              <w:right w:val="single" w:color="auto" w:sz="8" w:space="0"/>
            </w:tcBorders>
            <w:vAlign w:val="center"/>
          </w:tcPr>
          <w:p w14:paraId="367909CF">
            <w:pPr>
              <w:widowControl/>
              <w:jc w:val="left"/>
              <w:rPr>
                <w:rFonts w:hint="eastAsia" w:ascii="宋体" w:hAnsi="宋体" w:cs="宋体"/>
                <w:color w:val="auto"/>
                <w:kern w:val="0"/>
                <w:szCs w:val="21"/>
              </w:rPr>
            </w:pPr>
          </w:p>
        </w:tc>
        <w:tc>
          <w:tcPr>
            <w:tcW w:w="7522" w:type="dxa"/>
            <w:gridSpan w:val="7"/>
            <w:tcBorders>
              <w:top w:val="nil"/>
              <w:left w:val="nil"/>
              <w:bottom w:val="single" w:color="auto" w:sz="8" w:space="0"/>
              <w:right w:val="single" w:color="auto" w:sz="8" w:space="0"/>
            </w:tcBorders>
            <w:vAlign w:val="center"/>
          </w:tcPr>
          <w:p w14:paraId="74B84C42">
            <w:pPr>
              <w:widowControl/>
              <w:spacing w:before="100" w:beforeAutospacing="1" w:after="100" w:afterAutospacing="1" w:line="320" w:lineRule="atLeast"/>
              <w:ind w:firstLine="210" w:firstLineChars="100"/>
              <w:jc w:val="left"/>
              <w:rPr>
                <w:rFonts w:hint="eastAsia" w:ascii="宋体" w:hAnsi="宋体" w:cs="宋体"/>
                <w:color w:val="auto"/>
                <w:kern w:val="0"/>
                <w:szCs w:val="21"/>
              </w:rPr>
            </w:pPr>
            <w:r>
              <w:rPr>
                <w:rFonts w:hint="eastAsia" w:ascii="宋体" w:hAnsi="宋体" w:cs="宋体"/>
                <w:color w:val="auto"/>
                <w:kern w:val="0"/>
                <w:szCs w:val="21"/>
              </w:rPr>
              <w:t>有异议的意见和说明理由：</w:t>
            </w:r>
          </w:p>
          <w:p w14:paraId="08395295">
            <w:pPr>
              <w:widowControl/>
              <w:spacing w:before="100" w:beforeAutospacing="1" w:after="100" w:afterAutospacing="1" w:line="320" w:lineRule="atLeast"/>
              <w:ind w:firstLine="210" w:firstLineChars="100"/>
              <w:jc w:val="left"/>
              <w:rPr>
                <w:rFonts w:hint="eastAsia" w:ascii="宋体" w:hAnsi="宋体" w:cs="宋体"/>
                <w:color w:val="auto"/>
                <w:kern w:val="0"/>
                <w:szCs w:val="21"/>
              </w:rPr>
            </w:pPr>
            <w:r>
              <w:rPr>
                <w:rFonts w:hint="eastAsia" w:ascii="宋体" w:hAnsi="宋体" w:cs="宋体"/>
                <w:color w:val="auto"/>
                <w:kern w:val="0"/>
                <w:szCs w:val="21"/>
              </w:rPr>
              <w:t>签字：</w:t>
            </w:r>
          </w:p>
        </w:tc>
      </w:tr>
      <w:tr w14:paraId="0319DDDA">
        <w:tblPrEx>
          <w:tblCellMar>
            <w:top w:w="0" w:type="dxa"/>
            <w:left w:w="0" w:type="dxa"/>
            <w:bottom w:w="0" w:type="dxa"/>
            <w:right w:w="0" w:type="dxa"/>
          </w:tblCellMar>
        </w:tblPrEx>
        <w:trPr>
          <w:trHeight w:val="515" w:hRule="atLeast"/>
          <w:jc w:val="center"/>
        </w:trPr>
        <w:tc>
          <w:tcPr>
            <w:tcW w:w="9319"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A4B3752">
            <w:pPr>
              <w:widowControl/>
              <w:spacing w:before="100" w:beforeAutospacing="1" w:after="100" w:afterAutospacing="1" w:line="320" w:lineRule="atLeast"/>
              <w:jc w:val="left"/>
              <w:rPr>
                <w:rFonts w:hint="eastAsia" w:ascii="宋体" w:hAnsi="宋体" w:cs="宋体"/>
                <w:color w:val="auto"/>
                <w:kern w:val="0"/>
                <w:szCs w:val="21"/>
              </w:rPr>
            </w:pPr>
            <w:r>
              <w:rPr>
                <w:rFonts w:hint="eastAsia" w:ascii="宋体" w:hAnsi="宋体" w:cs="宋体"/>
                <w:color w:val="auto"/>
                <w:kern w:val="0"/>
                <w:szCs w:val="21"/>
              </w:rPr>
              <w:t>验收小组成员签字：</w:t>
            </w:r>
          </w:p>
        </w:tc>
      </w:tr>
      <w:tr w14:paraId="7E632E5C">
        <w:tblPrEx>
          <w:tblCellMar>
            <w:top w:w="0" w:type="dxa"/>
            <w:left w:w="0" w:type="dxa"/>
            <w:bottom w:w="0" w:type="dxa"/>
            <w:right w:w="0" w:type="dxa"/>
          </w:tblCellMar>
        </w:tblPrEx>
        <w:trPr>
          <w:trHeight w:val="919" w:hRule="atLeast"/>
          <w:jc w:val="center"/>
        </w:trPr>
        <w:tc>
          <w:tcPr>
            <w:tcW w:w="9319"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1AB997B">
            <w:pPr>
              <w:widowControl/>
              <w:spacing w:before="100" w:beforeAutospacing="1" w:after="100" w:afterAutospacing="1" w:line="320" w:lineRule="atLeast"/>
              <w:jc w:val="left"/>
              <w:rPr>
                <w:rFonts w:hint="eastAsia" w:ascii="宋体" w:hAnsi="宋体" w:cs="宋体"/>
                <w:color w:val="auto"/>
                <w:kern w:val="0"/>
                <w:szCs w:val="21"/>
              </w:rPr>
            </w:pPr>
            <w:r>
              <w:rPr>
                <w:rFonts w:hint="eastAsia" w:ascii="宋体" w:hAnsi="宋体" w:cs="宋体"/>
                <w:color w:val="auto"/>
                <w:kern w:val="0"/>
                <w:szCs w:val="21"/>
              </w:rPr>
              <w:t>监督人员或者其他相关人员签字：</w:t>
            </w:r>
          </w:p>
          <w:p w14:paraId="6215D842">
            <w:pPr>
              <w:widowControl/>
              <w:spacing w:before="100" w:beforeAutospacing="1" w:after="100" w:afterAutospacing="1" w:line="320" w:lineRule="atLeast"/>
              <w:ind w:firstLine="74"/>
              <w:jc w:val="left"/>
              <w:rPr>
                <w:rFonts w:hint="eastAsia" w:ascii="宋体" w:hAnsi="宋体" w:cs="宋体"/>
                <w:color w:val="auto"/>
                <w:kern w:val="0"/>
                <w:szCs w:val="21"/>
              </w:rPr>
            </w:pPr>
            <w:r>
              <w:rPr>
                <w:rFonts w:hint="eastAsia" w:ascii="宋体" w:hAnsi="宋体" w:cs="宋体"/>
                <w:color w:val="auto"/>
                <w:kern w:val="0"/>
                <w:szCs w:val="21"/>
              </w:rPr>
              <w:t>或者受邀机构的意见（盖章）：</w:t>
            </w:r>
          </w:p>
        </w:tc>
      </w:tr>
      <w:tr w14:paraId="24742F7F">
        <w:tblPrEx>
          <w:tblCellMar>
            <w:top w:w="0" w:type="dxa"/>
            <w:left w:w="0" w:type="dxa"/>
            <w:bottom w:w="0" w:type="dxa"/>
            <w:right w:w="0" w:type="dxa"/>
          </w:tblCellMar>
        </w:tblPrEx>
        <w:trPr>
          <w:trHeight w:val="1525" w:hRule="atLeast"/>
          <w:jc w:val="center"/>
        </w:trPr>
        <w:tc>
          <w:tcPr>
            <w:tcW w:w="4582" w:type="dxa"/>
            <w:gridSpan w:val="5"/>
            <w:tcBorders>
              <w:top w:val="nil"/>
              <w:left w:val="single" w:color="auto" w:sz="8" w:space="0"/>
              <w:bottom w:val="single" w:color="auto" w:sz="8" w:space="0"/>
              <w:right w:val="nil"/>
            </w:tcBorders>
            <w:tcMar>
              <w:top w:w="0" w:type="dxa"/>
              <w:left w:w="108" w:type="dxa"/>
              <w:bottom w:w="0" w:type="dxa"/>
              <w:right w:w="108" w:type="dxa"/>
            </w:tcMar>
            <w:vAlign w:val="center"/>
          </w:tcPr>
          <w:p w14:paraId="490A14B1">
            <w:pPr>
              <w:widowControl/>
              <w:spacing w:before="100" w:beforeAutospacing="1" w:after="100" w:afterAutospacing="1" w:line="320" w:lineRule="atLeast"/>
              <w:jc w:val="left"/>
              <w:rPr>
                <w:rFonts w:hint="eastAsia" w:ascii="宋体" w:hAnsi="宋体" w:cs="宋体"/>
                <w:color w:val="auto"/>
                <w:kern w:val="0"/>
                <w:szCs w:val="21"/>
              </w:rPr>
            </w:pPr>
            <w:r>
              <w:rPr>
                <w:rFonts w:hint="eastAsia" w:ascii="宋体" w:hAnsi="宋体" w:cs="宋体"/>
                <w:color w:val="auto"/>
                <w:kern w:val="0"/>
                <w:szCs w:val="21"/>
              </w:rPr>
              <w:t>成交供应商负责人签字或者盖章：</w:t>
            </w:r>
          </w:p>
          <w:p w14:paraId="7445A489">
            <w:pPr>
              <w:widowControl/>
              <w:spacing w:before="100" w:beforeAutospacing="1" w:after="100" w:afterAutospacing="1" w:line="320" w:lineRule="atLeast"/>
              <w:jc w:val="left"/>
              <w:rPr>
                <w:rFonts w:hint="eastAsia" w:ascii="宋体" w:hAnsi="宋体" w:cs="宋体"/>
                <w:color w:val="auto"/>
                <w:kern w:val="0"/>
                <w:szCs w:val="21"/>
              </w:rPr>
            </w:pPr>
          </w:p>
          <w:p w14:paraId="2DD5CB9E">
            <w:pPr>
              <w:widowControl/>
              <w:spacing w:before="100" w:beforeAutospacing="1" w:after="100" w:afterAutospacing="1" w:line="320" w:lineRule="atLeast"/>
              <w:jc w:val="left"/>
              <w:rPr>
                <w:rFonts w:hint="eastAsia" w:ascii="宋体" w:hAnsi="宋体" w:cs="宋体"/>
                <w:color w:val="auto"/>
                <w:kern w:val="0"/>
                <w:szCs w:val="21"/>
              </w:rPr>
            </w:pPr>
            <w:r>
              <w:rPr>
                <w:rFonts w:hint="eastAsia" w:ascii="宋体" w:hAnsi="宋体" w:cs="宋体"/>
                <w:color w:val="auto"/>
                <w:kern w:val="0"/>
                <w:szCs w:val="21"/>
              </w:rPr>
              <w:t>联系电话：                年  月  日</w:t>
            </w:r>
          </w:p>
        </w:tc>
        <w:tc>
          <w:tcPr>
            <w:tcW w:w="4737" w:type="dxa"/>
            <w:gridSpan w:val="4"/>
            <w:tcBorders>
              <w:top w:val="nil"/>
              <w:left w:val="nil"/>
              <w:bottom w:val="single" w:color="auto" w:sz="8" w:space="0"/>
              <w:right w:val="single" w:color="auto" w:sz="8" w:space="0"/>
            </w:tcBorders>
            <w:vAlign w:val="center"/>
          </w:tcPr>
          <w:p w14:paraId="36C711F5">
            <w:pPr>
              <w:widowControl/>
              <w:spacing w:before="100" w:beforeAutospacing="1" w:after="100" w:afterAutospacing="1" w:line="320" w:lineRule="atLeast"/>
              <w:ind w:firstLine="210" w:firstLineChars="100"/>
              <w:jc w:val="left"/>
              <w:rPr>
                <w:rFonts w:hint="eastAsia" w:ascii="宋体" w:hAnsi="宋体" w:cs="宋体"/>
                <w:color w:val="auto"/>
                <w:kern w:val="0"/>
                <w:szCs w:val="21"/>
              </w:rPr>
            </w:pPr>
            <w:r>
              <w:rPr>
                <w:rFonts w:hint="eastAsia" w:ascii="宋体" w:hAnsi="宋体" w:cs="宋体"/>
                <w:color w:val="auto"/>
                <w:kern w:val="0"/>
                <w:szCs w:val="21"/>
              </w:rPr>
              <w:t>采购人或者受托机构的意见（盖章）：</w:t>
            </w:r>
          </w:p>
          <w:p w14:paraId="304AC3BC">
            <w:pPr>
              <w:widowControl/>
              <w:spacing w:before="100" w:beforeAutospacing="1" w:after="100" w:afterAutospacing="1" w:line="320" w:lineRule="atLeast"/>
              <w:ind w:firstLine="210" w:firstLineChars="100"/>
              <w:jc w:val="left"/>
              <w:rPr>
                <w:rFonts w:hint="eastAsia" w:ascii="宋体" w:hAnsi="宋体" w:cs="宋体"/>
                <w:color w:val="auto"/>
                <w:kern w:val="0"/>
                <w:szCs w:val="21"/>
              </w:rPr>
            </w:pPr>
          </w:p>
          <w:p w14:paraId="57117ACC">
            <w:pPr>
              <w:widowControl/>
              <w:spacing w:before="100" w:beforeAutospacing="1" w:after="100" w:afterAutospacing="1" w:line="320" w:lineRule="atLeast"/>
              <w:ind w:firstLine="210" w:firstLineChars="100"/>
              <w:jc w:val="left"/>
              <w:rPr>
                <w:rFonts w:hint="eastAsia" w:ascii="宋体" w:hAnsi="宋体" w:cs="宋体"/>
                <w:color w:val="auto"/>
                <w:kern w:val="0"/>
                <w:szCs w:val="21"/>
              </w:rPr>
            </w:pPr>
            <w:r>
              <w:rPr>
                <w:rFonts w:hint="eastAsia" w:ascii="宋体" w:hAnsi="宋体" w:cs="宋体"/>
                <w:color w:val="auto"/>
                <w:kern w:val="0"/>
                <w:szCs w:val="21"/>
              </w:rPr>
              <w:t>联系电话：                  年  月  日</w:t>
            </w:r>
          </w:p>
        </w:tc>
      </w:tr>
    </w:tbl>
    <w:p w14:paraId="7E66000A">
      <w:pPr>
        <w:spacing w:line="380" w:lineRule="exact"/>
        <w:ind w:left="1" w:firstLine="2" w:firstLineChars="1"/>
        <w:rPr>
          <w:rFonts w:hint="eastAsia" w:ascii="宋体" w:hAnsi="宋体" w:cs="宋体"/>
          <w:b/>
          <w:bCs/>
          <w:color w:val="auto"/>
          <w:kern w:val="0"/>
          <w:sz w:val="18"/>
          <w:szCs w:val="18"/>
        </w:rPr>
      </w:pPr>
      <w:r>
        <w:rPr>
          <w:rFonts w:hint="eastAsia" w:ascii="宋体" w:hAnsi="宋体" w:cs="宋体"/>
          <w:color w:val="auto"/>
        </w:rPr>
        <w:br w:type="page"/>
      </w:r>
    </w:p>
    <w:p w14:paraId="443E0DF9">
      <w:pPr>
        <w:pStyle w:val="2"/>
        <w:rPr>
          <w:rFonts w:hint="eastAsia" w:ascii="宋体" w:hAnsi="宋体" w:cs="宋体"/>
          <w:color w:val="auto"/>
          <w:szCs w:val="21"/>
        </w:rPr>
      </w:pPr>
    </w:p>
    <w:p w14:paraId="2DB84DA2">
      <w:pPr>
        <w:pStyle w:val="6"/>
        <w:spacing w:line="480" w:lineRule="auto"/>
        <w:jc w:val="center"/>
        <w:rPr>
          <w:rFonts w:ascii="Calibri" w:hAnsi="Calibri"/>
          <w:color w:val="auto"/>
        </w:rPr>
      </w:pPr>
      <w:r>
        <w:rPr>
          <w:rFonts w:hint="eastAsia" w:ascii="Cambria" w:hAnsi="Cambria"/>
          <w:bCs w:val="0"/>
          <w:color w:val="auto"/>
          <w:sz w:val="32"/>
          <w:szCs w:val="32"/>
        </w:rPr>
        <w:t>第三章 供应商须知</w:t>
      </w:r>
      <w:bookmarkEnd w:id="85"/>
      <w:bookmarkEnd w:id="86"/>
      <w:bookmarkEnd w:id="87"/>
      <w:bookmarkEnd w:id="88"/>
      <w:bookmarkEnd w:id="89"/>
      <w:bookmarkEnd w:id="90"/>
      <w:bookmarkEnd w:id="91"/>
      <w:bookmarkEnd w:id="92"/>
    </w:p>
    <w:p w14:paraId="635C395B">
      <w:pPr>
        <w:pStyle w:val="7"/>
        <w:jc w:val="center"/>
        <w:rPr>
          <w:rFonts w:hint="eastAsia" w:ascii="宋体" w:hAnsi="宋体"/>
          <w:b w:val="0"/>
          <w:color w:val="auto"/>
        </w:rPr>
      </w:pPr>
      <w:bookmarkStart w:id="93" w:name="_Toc80886928"/>
      <w:bookmarkStart w:id="94" w:name="_Toc9482"/>
      <w:bookmarkStart w:id="95" w:name="_Toc30660"/>
      <w:r>
        <w:rPr>
          <w:rFonts w:hint="eastAsia" w:ascii="宋体" w:hAnsi="宋体"/>
          <w:b w:val="0"/>
          <w:color w:val="auto"/>
        </w:rPr>
        <w:t>第一节 供应商须知前附表</w:t>
      </w:r>
      <w:bookmarkEnd w:id="93"/>
      <w:bookmarkEnd w:id="94"/>
      <w:bookmarkEnd w:id="95"/>
    </w:p>
    <w:tbl>
      <w:tblPr>
        <w:tblStyle w:val="34"/>
        <w:tblW w:w="97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3"/>
        <w:gridCol w:w="2390"/>
        <w:gridCol w:w="6416"/>
      </w:tblGrid>
      <w:tr w14:paraId="200B4A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63" w:type="dxa"/>
          </w:tcPr>
          <w:p w14:paraId="5A995400">
            <w:pPr>
              <w:spacing w:line="360" w:lineRule="auto"/>
              <w:jc w:val="center"/>
              <w:rPr>
                <w:rFonts w:hint="eastAsia" w:ascii="宋体" w:hAnsi="宋体" w:cs="宋体"/>
                <w:b/>
                <w:color w:val="auto"/>
                <w:szCs w:val="21"/>
              </w:rPr>
            </w:pPr>
            <w:r>
              <w:rPr>
                <w:rFonts w:hint="eastAsia" w:ascii="宋体" w:hAnsi="宋体" w:cs="宋体"/>
                <w:b/>
                <w:color w:val="auto"/>
                <w:szCs w:val="21"/>
              </w:rPr>
              <w:t>条款号</w:t>
            </w:r>
          </w:p>
        </w:tc>
        <w:tc>
          <w:tcPr>
            <w:tcW w:w="2390" w:type="dxa"/>
            <w:vAlign w:val="center"/>
          </w:tcPr>
          <w:p w14:paraId="775CF59C">
            <w:pPr>
              <w:spacing w:line="360" w:lineRule="auto"/>
              <w:jc w:val="center"/>
              <w:rPr>
                <w:rFonts w:hint="eastAsia" w:ascii="宋体" w:hAnsi="宋体" w:cs="宋体"/>
                <w:b/>
                <w:color w:val="auto"/>
                <w:szCs w:val="21"/>
              </w:rPr>
            </w:pPr>
            <w:r>
              <w:rPr>
                <w:rFonts w:hint="eastAsia" w:ascii="宋体" w:hAnsi="宋体" w:cs="宋体"/>
                <w:b/>
                <w:color w:val="auto"/>
                <w:szCs w:val="21"/>
              </w:rPr>
              <w:t>条款内容</w:t>
            </w:r>
          </w:p>
        </w:tc>
        <w:tc>
          <w:tcPr>
            <w:tcW w:w="6416" w:type="dxa"/>
          </w:tcPr>
          <w:p w14:paraId="0B95B906">
            <w:pPr>
              <w:spacing w:line="360" w:lineRule="auto"/>
              <w:jc w:val="center"/>
              <w:rPr>
                <w:rFonts w:hint="eastAsia" w:ascii="宋体" w:hAnsi="宋体" w:cs="宋体"/>
                <w:b/>
                <w:color w:val="auto"/>
                <w:szCs w:val="21"/>
              </w:rPr>
            </w:pPr>
            <w:r>
              <w:rPr>
                <w:rFonts w:hint="eastAsia" w:ascii="宋体" w:hAnsi="宋体" w:cs="宋体"/>
                <w:b/>
                <w:color w:val="auto"/>
                <w:szCs w:val="21"/>
              </w:rPr>
              <w:t>具体要求</w:t>
            </w:r>
          </w:p>
        </w:tc>
      </w:tr>
      <w:tr w14:paraId="79738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Align w:val="center"/>
          </w:tcPr>
          <w:p w14:paraId="150E22A9">
            <w:pPr>
              <w:spacing w:line="360" w:lineRule="auto"/>
              <w:jc w:val="center"/>
              <w:rPr>
                <w:rFonts w:hint="eastAsia" w:ascii="宋体" w:hAnsi="宋体" w:cs="宋体"/>
                <w:color w:val="auto"/>
                <w:szCs w:val="21"/>
              </w:rPr>
            </w:pPr>
            <w:r>
              <w:rPr>
                <w:rFonts w:hint="eastAsia" w:ascii="宋体" w:hAnsi="宋体" w:cs="宋体"/>
                <w:color w:val="auto"/>
                <w:szCs w:val="21"/>
              </w:rPr>
              <w:t>3.1</w:t>
            </w:r>
          </w:p>
        </w:tc>
        <w:tc>
          <w:tcPr>
            <w:tcW w:w="2390" w:type="dxa"/>
            <w:vAlign w:val="center"/>
          </w:tcPr>
          <w:p w14:paraId="3B4B1DEA">
            <w:pPr>
              <w:spacing w:line="360" w:lineRule="auto"/>
              <w:jc w:val="center"/>
              <w:rPr>
                <w:rFonts w:hint="eastAsia" w:ascii="宋体" w:hAnsi="宋体" w:cs="宋体"/>
                <w:color w:val="auto"/>
                <w:szCs w:val="21"/>
              </w:rPr>
            </w:pPr>
            <w:r>
              <w:rPr>
                <w:rFonts w:hint="eastAsia" w:ascii="宋体" w:hAnsi="宋体" w:cs="宋体"/>
                <w:color w:val="auto"/>
                <w:szCs w:val="21"/>
              </w:rPr>
              <w:t>供应商资格条件</w:t>
            </w:r>
          </w:p>
        </w:tc>
        <w:tc>
          <w:tcPr>
            <w:tcW w:w="6416" w:type="dxa"/>
          </w:tcPr>
          <w:p w14:paraId="060022F8">
            <w:pPr>
              <w:spacing w:line="360" w:lineRule="auto"/>
              <w:rPr>
                <w:rFonts w:hint="eastAsia" w:ascii="宋体" w:hAnsi="宋体" w:cs="宋体"/>
                <w:color w:val="auto"/>
                <w:szCs w:val="21"/>
              </w:rPr>
            </w:pPr>
            <w:r>
              <w:rPr>
                <w:rFonts w:hint="eastAsia" w:ascii="宋体" w:hAnsi="宋体" w:cs="宋体"/>
                <w:color w:val="auto"/>
                <w:szCs w:val="21"/>
              </w:rPr>
              <w:t>详见竞争性磋商公告。</w:t>
            </w:r>
          </w:p>
        </w:tc>
      </w:tr>
      <w:tr w14:paraId="46ABA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Align w:val="center"/>
          </w:tcPr>
          <w:p w14:paraId="09C79305">
            <w:pPr>
              <w:spacing w:line="360" w:lineRule="auto"/>
              <w:jc w:val="center"/>
              <w:rPr>
                <w:rFonts w:hint="eastAsia" w:ascii="宋体" w:hAnsi="宋体" w:cs="宋体"/>
                <w:color w:val="auto"/>
                <w:szCs w:val="21"/>
              </w:rPr>
            </w:pPr>
            <w:r>
              <w:rPr>
                <w:rFonts w:hint="eastAsia" w:ascii="宋体" w:hAnsi="宋体" w:cs="宋体"/>
                <w:color w:val="auto"/>
                <w:szCs w:val="21"/>
              </w:rPr>
              <w:t>5.1</w:t>
            </w:r>
          </w:p>
        </w:tc>
        <w:tc>
          <w:tcPr>
            <w:tcW w:w="2390" w:type="dxa"/>
            <w:vAlign w:val="center"/>
          </w:tcPr>
          <w:p w14:paraId="3BA164B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是否接受联合体竞标</w:t>
            </w:r>
          </w:p>
        </w:tc>
        <w:tc>
          <w:tcPr>
            <w:tcW w:w="6416" w:type="dxa"/>
            <w:vAlign w:val="center"/>
          </w:tcPr>
          <w:p w14:paraId="24A86BA6">
            <w:pPr>
              <w:spacing w:line="360" w:lineRule="auto"/>
              <w:rPr>
                <w:rFonts w:hint="eastAsia" w:ascii="宋体" w:hAnsi="宋体" w:eastAsia="宋体" w:cs="宋体"/>
                <w:color w:val="auto"/>
                <w:szCs w:val="21"/>
                <w:highlight w:val="none"/>
                <w:lang w:eastAsia="zh-CN"/>
              </w:rPr>
            </w:pPr>
            <w:r>
              <w:rPr>
                <w:rFonts w:hint="eastAsia" w:ascii="宋体" w:hAnsi="宋体" w:cs="宋体"/>
                <w:color w:val="auto"/>
                <w:highlight w:val="none"/>
              </w:rPr>
              <w:t>本项目不接受联合体竞标</w:t>
            </w:r>
            <w:r>
              <w:rPr>
                <w:rFonts w:hint="eastAsia" w:ascii="宋体" w:hAnsi="宋体" w:cs="宋体"/>
                <w:color w:val="auto"/>
                <w:highlight w:val="none"/>
                <w:lang w:eastAsia="zh-CN"/>
              </w:rPr>
              <w:t>。</w:t>
            </w:r>
          </w:p>
        </w:tc>
      </w:tr>
      <w:tr w14:paraId="48475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Align w:val="center"/>
          </w:tcPr>
          <w:p w14:paraId="08ED7127">
            <w:pPr>
              <w:spacing w:line="360" w:lineRule="auto"/>
              <w:jc w:val="center"/>
              <w:rPr>
                <w:rFonts w:hint="eastAsia" w:ascii="宋体" w:hAnsi="宋体" w:cs="宋体"/>
                <w:color w:val="auto"/>
                <w:szCs w:val="21"/>
              </w:rPr>
            </w:pPr>
            <w:r>
              <w:rPr>
                <w:rFonts w:hint="eastAsia" w:ascii="宋体" w:hAnsi="宋体" w:cs="宋体"/>
                <w:color w:val="auto"/>
                <w:szCs w:val="21"/>
              </w:rPr>
              <w:t>5.2</w:t>
            </w:r>
          </w:p>
        </w:tc>
        <w:tc>
          <w:tcPr>
            <w:tcW w:w="2390" w:type="dxa"/>
            <w:vAlign w:val="center"/>
          </w:tcPr>
          <w:p w14:paraId="72580355">
            <w:pPr>
              <w:spacing w:line="360" w:lineRule="auto"/>
              <w:jc w:val="center"/>
              <w:rPr>
                <w:rFonts w:hint="eastAsia" w:ascii="宋体" w:hAnsi="宋体" w:cs="宋体"/>
                <w:color w:val="auto"/>
                <w:szCs w:val="21"/>
              </w:rPr>
            </w:pPr>
            <w:r>
              <w:rPr>
                <w:rFonts w:hint="eastAsia" w:ascii="宋体" w:hAnsi="宋体" w:cs="宋体"/>
                <w:color w:val="auto"/>
                <w:szCs w:val="21"/>
              </w:rPr>
              <w:t>联合体竞标要求</w:t>
            </w:r>
          </w:p>
        </w:tc>
        <w:tc>
          <w:tcPr>
            <w:tcW w:w="6416" w:type="dxa"/>
            <w:vAlign w:val="center"/>
          </w:tcPr>
          <w:p w14:paraId="70BB7DCC">
            <w:pPr>
              <w:spacing w:line="360" w:lineRule="auto"/>
              <w:rPr>
                <w:rFonts w:hint="eastAsia" w:ascii="宋体" w:hAnsi="宋体" w:cs="宋体"/>
                <w:color w:val="auto"/>
                <w:szCs w:val="21"/>
              </w:rPr>
            </w:pPr>
            <w:r>
              <w:rPr>
                <w:rFonts w:hint="eastAsia" w:ascii="宋体" w:hAnsi="宋体" w:cs="宋体"/>
                <w:color w:val="auto"/>
                <w:szCs w:val="21"/>
              </w:rPr>
              <w:t>无。</w:t>
            </w:r>
          </w:p>
        </w:tc>
      </w:tr>
      <w:tr w14:paraId="1232A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Align w:val="center"/>
          </w:tcPr>
          <w:p w14:paraId="4CE0C7C7">
            <w:pPr>
              <w:spacing w:line="360" w:lineRule="auto"/>
              <w:jc w:val="center"/>
              <w:rPr>
                <w:rFonts w:hint="eastAsia" w:ascii="宋体" w:hAnsi="宋体" w:cs="宋体"/>
                <w:color w:val="auto"/>
                <w:szCs w:val="21"/>
              </w:rPr>
            </w:pPr>
            <w:r>
              <w:rPr>
                <w:rFonts w:hint="eastAsia" w:ascii="宋体" w:hAnsi="宋体" w:cs="宋体"/>
                <w:color w:val="auto"/>
                <w:szCs w:val="21"/>
              </w:rPr>
              <w:t>6.1</w:t>
            </w:r>
          </w:p>
        </w:tc>
        <w:tc>
          <w:tcPr>
            <w:tcW w:w="2390" w:type="dxa"/>
            <w:vAlign w:val="center"/>
          </w:tcPr>
          <w:p w14:paraId="024E542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是否允许分包</w:t>
            </w:r>
          </w:p>
        </w:tc>
        <w:tc>
          <w:tcPr>
            <w:tcW w:w="6416" w:type="dxa"/>
            <w:vAlign w:val="center"/>
          </w:tcPr>
          <w:p w14:paraId="0DB0317D">
            <w:pPr>
              <w:pStyle w:val="17"/>
              <w:spacing w:line="360" w:lineRule="auto"/>
              <w:rPr>
                <w:rFonts w:hint="eastAsia" w:ascii="宋体" w:hAnsi="宋体" w:cs="宋体"/>
                <w:color w:val="auto"/>
                <w:szCs w:val="21"/>
                <w:highlight w:val="none"/>
              </w:rPr>
            </w:pPr>
            <w:r>
              <w:rPr>
                <w:rFonts w:hint="eastAsia" w:ascii="宋体" w:hAnsi="宋体" w:cs="宋体"/>
                <w:color w:val="auto"/>
                <w:szCs w:val="21"/>
                <w:highlight w:val="none"/>
              </w:rPr>
              <w:t>不允许分包</w:t>
            </w:r>
          </w:p>
        </w:tc>
      </w:tr>
      <w:tr w14:paraId="5AC5A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Align w:val="center"/>
          </w:tcPr>
          <w:p w14:paraId="3647761D">
            <w:pPr>
              <w:spacing w:line="360" w:lineRule="auto"/>
              <w:jc w:val="center"/>
              <w:rPr>
                <w:rFonts w:hint="eastAsia" w:ascii="宋体" w:hAnsi="宋体" w:cs="宋体"/>
                <w:color w:val="auto"/>
                <w:szCs w:val="21"/>
              </w:rPr>
            </w:pPr>
            <w:r>
              <w:rPr>
                <w:rFonts w:hint="eastAsia" w:ascii="宋体" w:hAnsi="宋体" w:cs="宋体"/>
                <w:color w:val="auto"/>
                <w:szCs w:val="21"/>
              </w:rPr>
              <w:t>12.1.1</w:t>
            </w:r>
          </w:p>
        </w:tc>
        <w:tc>
          <w:tcPr>
            <w:tcW w:w="2390" w:type="dxa"/>
            <w:vAlign w:val="center"/>
          </w:tcPr>
          <w:p w14:paraId="18A4F71C">
            <w:pPr>
              <w:snapToGrid w:val="0"/>
              <w:spacing w:line="360" w:lineRule="auto"/>
              <w:jc w:val="center"/>
              <w:rPr>
                <w:rFonts w:hint="eastAsia" w:ascii="宋体" w:hAnsi="宋体" w:cs="宋体"/>
                <w:color w:val="auto"/>
                <w:szCs w:val="21"/>
              </w:rPr>
            </w:pPr>
            <w:r>
              <w:rPr>
                <w:rFonts w:hint="eastAsia" w:ascii="宋体" w:hAnsi="宋体" w:cs="宋体"/>
                <w:b/>
                <w:color w:val="auto"/>
                <w:szCs w:val="21"/>
              </w:rPr>
              <w:t>资格证明文件组成</w:t>
            </w:r>
          </w:p>
        </w:tc>
        <w:tc>
          <w:tcPr>
            <w:tcW w:w="6416" w:type="dxa"/>
            <w:vAlign w:val="center"/>
          </w:tcPr>
          <w:p w14:paraId="0E7BAEC1">
            <w:pPr>
              <w:pStyle w:val="17"/>
              <w:spacing w:line="360" w:lineRule="auto"/>
              <w:rPr>
                <w:rFonts w:hint="eastAsia" w:ascii="宋体" w:hAnsi="宋体" w:cs="宋体"/>
                <w:color w:val="auto"/>
                <w:szCs w:val="21"/>
              </w:rPr>
            </w:pPr>
            <w:r>
              <w:rPr>
                <w:rFonts w:hint="eastAsia" w:ascii="宋体" w:hAnsi="宋体" w:cs="宋体"/>
                <w:color w:val="auto"/>
                <w:szCs w:val="21"/>
              </w:rPr>
              <w:t>1.供应商为法人或者其他组织的</w:t>
            </w:r>
            <w:r>
              <w:rPr>
                <w:rFonts w:hint="eastAsia" w:ascii="宋体" w:hAnsi="宋体" w:cs="宋体"/>
                <w:color w:val="auto"/>
                <w:szCs w:val="21"/>
                <w:lang w:eastAsia="zh-CN"/>
              </w:rPr>
              <w:t>，提供</w:t>
            </w:r>
            <w:r>
              <w:rPr>
                <w:rFonts w:hint="eastAsia" w:ascii="宋体" w:hAnsi="宋体" w:cs="宋体"/>
                <w:color w:val="auto"/>
                <w:szCs w:val="21"/>
              </w:rPr>
              <w:t>其营业执照等证明文件复印件（如营业执照或者事业单位法人证书或者执业许可证等），供应商为自然人的提供其有效身份证正反面复印件；（</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4A111C1B">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rPr>
              <w:t>2.供应商依法缴纳税收的相</w:t>
            </w:r>
            <w:r>
              <w:rPr>
                <w:rFonts w:hint="eastAsia" w:ascii="宋体" w:hAnsi="宋体" w:cs="宋体"/>
                <w:color w:val="auto"/>
                <w:szCs w:val="21"/>
                <w:highlight w:val="none"/>
              </w:rPr>
              <w:t>关材料</w:t>
            </w:r>
            <w:r>
              <w:rPr>
                <w:rFonts w:hint="eastAsia" w:ascii="宋体" w:hAnsi="宋体" w:cs="宋体"/>
                <w:color w:val="auto"/>
                <w:szCs w:val="21"/>
                <w:highlight w:val="none"/>
                <w:lang w:eastAsia="zh-CN"/>
              </w:rPr>
              <w:t>：</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以来</w:t>
            </w:r>
            <w:r>
              <w:rPr>
                <w:rFonts w:hint="eastAsia" w:ascii="宋体" w:hAnsi="宋体" w:cs="宋体"/>
                <w:color w:val="auto"/>
                <w:szCs w:val="21"/>
                <w:highlight w:val="none"/>
              </w:rPr>
              <w:t>任意</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个月的依法缴纳税收的凭据复印件；依法免税的供应商，必须提供相应文件证明其依法免税。从取得营业执照时间起到首次响应文件提交截止时间为止不足要求月数的，只需提供从取得营业执照起的依法缴纳税收相应证明文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0E51863">
            <w:pPr>
              <w:snapToGrid w:val="0"/>
              <w:spacing w:line="360" w:lineRule="auto"/>
              <w:jc w:val="left"/>
              <w:rPr>
                <w:rFonts w:hint="eastAsia" w:ascii="宋体" w:hAnsi="宋体" w:cs="宋体"/>
                <w:color w:val="auto"/>
                <w:szCs w:val="21"/>
              </w:rPr>
            </w:pPr>
            <w:r>
              <w:rPr>
                <w:rFonts w:hint="eastAsia" w:ascii="宋体" w:hAnsi="宋体" w:cs="宋体"/>
                <w:color w:val="auto"/>
                <w:szCs w:val="21"/>
                <w:highlight w:val="none"/>
              </w:rPr>
              <w:t>3.供应商依法缴纳社会保障资金的相关材料：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以来</w:t>
            </w:r>
            <w:r>
              <w:rPr>
                <w:rFonts w:hint="eastAsia" w:ascii="宋体" w:hAnsi="宋体" w:cs="宋体"/>
                <w:color w:val="auto"/>
                <w:szCs w:val="21"/>
                <w:highlight w:val="none"/>
              </w:rPr>
              <w:t>任意</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个月的依法缴纳社会保障资金的缴费凭证（专用收据</w:t>
            </w:r>
            <w:r>
              <w:rPr>
                <w:rFonts w:hint="eastAsia" w:ascii="宋体" w:hAnsi="宋体" w:cs="宋体"/>
                <w:color w:val="auto"/>
                <w:szCs w:val="21"/>
              </w:rPr>
              <w:t>或者社会保险缴纳清单）复印件；依法不需要缴纳社会保障资金的供应商，必须提供相应文件证明不需要缴纳社会保障资金。从取得营业执照时间起到首次响应文件提交截止时间为止不足要求月数的只需提供从取得营业执照起的依法缴纳社会保障资金的相应证明文件）；（</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3CD6FAE1">
            <w:pPr>
              <w:snapToGrid w:val="0"/>
              <w:spacing w:line="360" w:lineRule="auto"/>
              <w:jc w:val="left"/>
              <w:rPr>
                <w:rFonts w:hint="eastAsia" w:ascii="宋体" w:hAnsi="宋体" w:cs="宋体"/>
                <w:color w:val="auto"/>
                <w:szCs w:val="21"/>
              </w:rPr>
            </w:pPr>
            <w:r>
              <w:rPr>
                <w:rFonts w:hint="eastAsia" w:ascii="宋体" w:hAnsi="宋体" w:cs="宋体"/>
                <w:color w:val="auto"/>
                <w:szCs w:val="21"/>
              </w:rPr>
              <w:t>4.供应商财务状况报告：202</w:t>
            </w:r>
            <w:r>
              <w:rPr>
                <w:rFonts w:hint="eastAsia" w:ascii="宋体" w:hAnsi="宋体" w:cs="宋体"/>
                <w:color w:val="auto"/>
                <w:szCs w:val="21"/>
                <w:lang w:val="en-US" w:eastAsia="zh-CN"/>
              </w:rPr>
              <w:t>5</w:t>
            </w:r>
            <w:r>
              <w:rPr>
                <w:rFonts w:hint="eastAsia" w:ascii="宋体" w:hAnsi="宋体" w:cs="宋体"/>
                <w:color w:val="auto"/>
                <w:szCs w:val="21"/>
              </w:rPr>
              <w:t>年度财务报表（财务报表至少包含资产负债表、利润表、现金流量表）复印件或者银行出具的资信证明；供应商属于成立时间在规定年度之后的法人或其他组织，需提供成立之日起至响应文件提交截止时间前的月报表或银行出具的资信证明；资信证明应在有效期内）。</w:t>
            </w:r>
            <w:r>
              <w:rPr>
                <w:rFonts w:hint="eastAsia" w:ascii="宋体" w:hAnsi="宋体" w:cs="宋体"/>
                <w:bCs/>
                <w:color w:val="auto"/>
                <w:szCs w:val="21"/>
              </w:rPr>
              <w:t>（</w:t>
            </w:r>
            <w:r>
              <w:rPr>
                <w:rFonts w:hint="eastAsia" w:ascii="宋体" w:hAnsi="宋体" w:cs="宋体"/>
                <w:b/>
                <w:color w:val="auto"/>
                <w:szCs w:val="21"/>
              </w:rPr>
              <w:t>必须提供，否则响应文件按无效响应处理</w:t>
            </w:r>
            <w:r>
              <w:rPr>
                <w:rFonts w:hint="eastAsia" w:ascii="宋体" w:hAnsi="宋体" w:cs="宋体"/>
                <w:bCs/>
                <w:color w:val="auto"/>
                <w:szCs w:val="21"/>
              </w:rPr>
              <w:t>）</w:t>
            </w:r>
          </w:p>
          <w:p w14:paraId="014BA6F2">
            <w:pPr>
              <w:snapToGrid w:val="0"/>
              <w:spacing w:line="360" w:lineRule="auto"/>
              <w:jc w:val="left"/>
              <w:rPr>
                <w:rFonts w:hint="eastAsia" w:ascii="宋体" w:hAnsi="宋体" w:cs="宋体"/>
                <w:color w:val="auto"/>
                <w:szCs w:val="21"/>
              </w:rPr>
            </w:pPr>
            <w:r>
              <w:rPr>
                <w:rFonts w:hint="eastAsia" w:ascii="宋体" w:hAnsi="宋体" w:cs="宋体"/>
                <w:color w:val="auto"/>
                <w:szCs w:val="21"/>
              </w:rPr>
              <w:t>5.竞标声明函（格式后附）；（</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23B3D07A">
            <w:pPr>
              <w:numPr>
                <w:ilvl w:val="0"/>
                <w:numId w:val="0"/>
              </w:numPr>
              <w:snapToGrid/>
              <w:spacing w:line="400" w:lineRule="exact"/>
              <w:jc w:val="left"/>
              <w:rPr>
                <w:rFonts w:hint="eastAsia" w:ascii="宋体" w:hAnsi="宋体" w:cs="宋体"/>
                <w:color w:val="auto"/>
                <w:szCs w:val="21"/>
              </w:rPr>
            </w:pPr>
            <w:r>
              <w:rPr>
                <w:rFonts w:hint="eastAsia" w:ascii="宋体" w:hAnsi="宋体" w:cs="宋体"/>
                <w:color w:val="auto"/>
                <w:szCs w:val="21"/>
              </w:rPr>
              <w:t>6.</w:t>
            </w:r>
            <w:r>
              <w:rPr>
                <w:rFonts w:hint="eastAsia" w:ascii="宋体" w:hAnsi="宋体" w:eastAsia="宋体" w:cs="宋体"/>
                <w:i w:val="0"/>
                <w:iCs w:val="0"/>
                <w:caps w:val="0"/>
                <w:color w:val="auto"/>
                <w:spacing w:val="0"/>
                <w:sz w:val="21"/>
                <w:szCs w:val="21"/>
                <w:shd w:val="clear" w:fill="FFFFFF"/>
              </w:rPr>
              <w:t>供应商</w:t>
            </w:r>
            <w:r>
              <w:rPr>
                <w:rFonts w:hint="eastAsia" w:ascii="宋体" w:hAnsi="宋体" w:eastAsia="宋体" w:cs="宋体"/>
                <w:i w:val="0"/>
                <w:iCs w:val="0"/>
                <w:caps w:val="0"/>
                <w:color w:val="auto"/>
                <w:spacing w:val="0"/>
                <w:sz w:val="21"/>
                <w:szCs w:val="21"/>
                <w:shd w:val="clear" w:fill="FFFFFF"/>
                <w:lang w:val="en-US" w:eastAsia="zh-CN"/>
              </w:rPr>
              <w:t>须</w:t>
            </w:r>
            <w:r>
              <w:rPr>
                <w:rFonts w:hint="eastAsia" w:ascii="宋体" w:hAnsi="宋体" w:eastAsia="宋体" w:cs="宋体"/>
                <w:i w:val="0"/>
                <w:iCs w:val="0"/>
                <w:caps w:val="0"/>
                <w:color w:val="auto"/>
                <w:spacing w:val="0"/>
                <w:sz w:val="21"/>
                <w:szCs w:val="21"/>
                <w:shd w:val="clear" w:fill="FFFFFF"/>
              </w:rPr>
              <w:t>在全国投资项目在线审批监管平台备案并通过审核的咨询单位</w:t>
            </w:r>
            <w:r>
              <w:rPr>
                <w:rFonts w:hint="eastAsia" w:ascii="宋体" w:hAnsi="宋体" w:eastAsia="宋体" w:cs="宋体"/>
                <w:i w:val="0"/>
                <w:iCs w:val="0"/>
                <w:caps w:val="0"/>
                <w:color w:val="auto"/>
                <w:spacing w:val="0"/>
                <w:sz w:val="21"/>
                <w:szCs w:val="21"/>
                <w:shd w:val="clear" w:fill="FFFFFF"/>
                <w:lang w:eastAsia="zh-CN"/>
              </w:rPr>
              <w:t>（</w:t>
            </w:r>
            <w:r>
              <w:rPr>
                <w:rFonts w:hint="eastAsia" w:ascii="宋体" w:hAnsi="宋体" w:eastAsia="宋体" w:cs="宋体"/>
                <w:i w:val="0"/>
                <w:iCs w:val="0"/>
                <w:caps w:val="0"/>
                <w:color w:val="auto"/>
                <w:spacing w:val="0"/>
                <w:sz w:val="21"/>
                <w:szCs w:val="21"/>
                <w:shd w:val="clear" w:fill="FFFFFF"/>
              </w:rPr>
              <w:t>咨询专业应包含</w:t>
            </w:r>
            <w:r>
              <w:rPr>
                <w:rFonts w:hint="eastAsia" w:ascii="宋体" w:hAnsi="宋体" w:cs="宋体"/>
                <w:i w:val="0"/>
                <w:iCs w:val="0"/>
                <w:caps w:val="0"/>
                <w:color w:val="auto"/>
                <w:spacing w:val="0"/>
                <w:sz w:val="21"/>
                <w:szCs w:val="21"/>
                <w:highlight w:val="none"/>
                <w:shd w:val="clear" w:fill="FFFFFF"/>
                <w:lang w:eastAsia="zh-CN"/>
              </w:rPr>
              <w:t>“</w:t>
            </w:r>
            <w:r>
              <w:rPr>
                <w:rFonts w:hint="eastAsia" w:ascii="宋体" w:hAnsi="宋体" w:eastAsia="宋体" w:cs="宋体"/>
                <w:i w:val="0"/>
                <w:iCs w:val="0"/>
                <w:caps w:val="0"/>
                <w:color w:val="auto"/>
                <w:spacing w:val="0"/>
                <w:sz w:val="21"/>
                <w:szCs w:val="21"/>
                <w:highlight w:val="none"/>
                <w:shd w:val="clear" w:fill="FFFFFF"/>
              </w:rPr>
              <w:t>农业、林业</w:t>
            </w:r>
            <w:r>
              <w:rPr>
                <w:rFonts w:hint="eastAsia" w:ascii="宋体" w:hAnsi="宋体" w:cs="宋体"/>
                <w:i w:val="0"/>
                <w:iCs w:val="0"/>
                <w:caps w:val="0"/>
                <w:color w:val="auto"/>
                <w:spacing w:val="0"/>
                <w:sz w:val="21"/>
                <w:szCs w:val="21"/>
                <w:highlight w:val="none"/>
                <w:shd w:val="clear" w:fill="FFFFFF"/>
                <w:lang w:eastAsia="zh-CN"/>
              </w:rPr>
              <w:t>”</w:t>
            </w:r>
            <w:r>
              <w:rPr>
                <w:rFonts w:hint="eastAsia" w:ascii="宋体" w:hAnsi="宋体" w:eastAsia="宋体" w:cs="宋体"/>
                <w:i w:val="0"/>
                <w:iCs w:val="0"/>
                <w:caps w:val="0"/>
                <w:color w:val="auto"/>
                <w:spacing w:val="0"/>
                <w:sz w:val="21"/>
                <w:szCs w:val="21"/>
                <w:shd w:val="clear" w:fill="FFFFFF"/>
                <w:lang w:val="en-US" w:eastAsia="zh-CN"/>
              </w:rPr>
              <w:t>或</w:t>
            </w:r>
            <w:r>
              <w:rPr>
                <w:rFonts w:hint="eastAsia" w:ascii="宋体" w:hAnsi="宋体" w:cs="宋体"/>
                <w:i w:val="0"/>
                <w:iCs w:val="0"/>
                <w:caps w:val="0"/>
                <w:color w:val="auto"/>
                <w:spacing w:val="0"/>
                <w:sz w:val="21"/>
                <w:szCs w:val="21"/>
                <w:shd w:val="clear" w:fill="FFFFFF"/>
                <w:lang w:val="en-US" w:eastAsia="zh-CN"/>
              </w:rPr>
              <w:t>“</w:t>
            </w:r>
            <w:r>
              <w:rPr>
                <w:rFonts w:hint="eastAsia" w:ascii="宋体" w:hAnsi="宋体" w:eastAsia="宋体" w:cs="宋体"/>
                <w:i w:val="0"/>
                <w:iCs w:val="0"/>
                <w:caps w:val="0"/>
                <w:color w:val="auto"/>
                <w:spacing w:val="0"/>
                <w:sz w:val="21"/>
                <w:szCs w:val="21"/>
                <w:shd w:val="clear" w:fill="FFFFFF"/>
                <w:lang w:val="en-US" w:eastAsia="zh-CN"/>
              </w:rPr>
              <w:t>生态建设和环境工程</w:t>
            </w:r>
            <w:r>
              <w:rPr>
                <w:rFonts w:hint="eastAsia" w:ascii="宋体" w:hAnsi="宋体" w:cs="宋体"/>
                <w:i w:val="0"/>
                <w:iCs w:val="0"/>
                <w:caps w:val="0"/>
                <w:color w:val="auto"/>
                <w:spacing w:val="0"/>
                <w:sz w:val="21"/>
                <w:szCs w:val="21"/>
                <w:shd w:val="clear" w:fill="FFFFFF"/>
                <w:lang w:val="en-US" w:eastAsia="zh-CN"/>
              </w:rPr>
              <w:t>”</w:t>
            </w:r>
            <w:r>
              <w:rPr>
                <w:rFonts w:hint="eastAsia" w:ascii="宋体" w:hAnsi="宋体" w:eastAsia="宋体" w:cs="宋体"/>
                <w:i w:val="0"/>
                <w:iCs w:val="0"/>
                <w:caps w:val="0"/>
                <w:color w:val="auto"/>
                <w:spacing w:val="0"/>
                <w:sz w:val="21"/>
                <w:szCs w:val="21"/>
                <w:shd w:val="clear" w:fill="FFFFFF"/>
                <w:lang w:eastAsia="zh-CN"/>
              </w:rPr>
              <w:t>）</w:t>
            </w:r>
            <w:r>
              <w:rPr>
                <w:rFonts w:hint="eastAsia" w:ascii="宋体" w:hAnsi="宋体" w:cs="宋体"/>
                <w:i w:val="0"/>
                <w:iCs w:val="0"/>
                <w:caps w:val="0"/>
                <w:color w:val="auto"/>
                <w:spacing w:val="0"/>
                <w:sz w:val="21"/>
                <w:szCs w:val="21"/>
                <w:shd w:val="clear" w:fill="FFFFFF"/>
                <w:lang w:eastAsia="zh-CN"/>
              </w:rPr>
              <w:t>，</w:t>
            </w:r>
            <w:r>
              <w:rPr>
                <w:rFonts w:hint="eastAsia" w:ascii="宋体" w:hAnsi="宋体" w:cs="宋体"/>
                <w:i w:val="0"/>
                <w:iCs w:val="0"/>
                <w:caps w:val="0"/>
                <w:color w:val="auto"/>
                <w:spacing w:val="0"/>
                <w:sz w:val="21"/>
                <w:szCs w:val="21"/>
                <w:shd w:val="clear" w:fill="FFFFFF"/>
                <w:lang w:val="en-US" w:eastAsia="zh-CN"/>
              </w:rPr>
              <w:t>提供备案证明。</w:t>
            </w:r>
            <w:r>
              <w:rPr>
                <w:rFonts w:hint="eastAsia" w:ascii="宋体" w:hAnsi="宋体" w:cs="宋体"/>
                <w:b/>
                <w:bCs/>
                <w:color w:val="auto"/>
                <w:szCs w:val="21"/>
              </w:rPr>
              <w:t>（必须提供，否则响应文件按无效响应处理）</w:t>
            </w:r>
          </w:p>
          <w:p w14:paraId="7E52F977">
            <w:pPr>
              <w:snapToGrid w:val="0"/>
              <w:spacing w:line="360" w:lineRule="auto"/>
              <w:jc w:val="left"/>
              <w:rPr>
                <w:rFonts w:hint="eastAsia" w:ascii="宋体" w:hAnsi="宋体" w:cs="宋体"/>
                <w:b/>
                <w:bCs/>
                <w:color w:val="auto"/>
                <w:szCs w:val="21"/>
              </w:rPr>
            </w:pPr>
            <w:r>
              <w:rPr>
                <w:rFonts w:hint="eastAsia" w:ascii="宋体" w:hAnsi="宋体" w:cs="宋体"/>
                <w:color w:val="auto"/>
                <w:szCs w:val="21"/>
              </w:rPr>
              <w:t>7.中小企业声明函或残疾人</w:t>
            </w:r>
            <w:r>
              <w:rPr>
                <w:rFonts w:hint="eastAsia" w:ascii="宋体" w:hAnsi="宋体" w:cs="宋体"/>
                <w:color w:val="auto"/>
                <w:szCs w:val="21"/>
                <w:lang w:val="en-US" w:eastAsia="zh-CN"/>
              </w:rPr>
              <w:t>福利性单位</w:t>
            </w:r>
            <w:r>
              <w:rPr>
                <w:rFonts w:hint="eastAsia" w:ascii="宋体" w:hAnsi="宋体" w:cs="宋体"/>
                <w:color w:val="auto"/>
                <w:szCs w:val="21"/>
              </w:rPr>
              <w:t>声明函或监狱企业证明文件</w:t>
            </w:r>
            <w:r>
              <w:rPr>
                <w:rFonts w:hint="eastAsia" w:ascii="宋体" w:hAnsi="宋体" w:cs="宋体"/>
                <w:b/>
                <w:bCs/>
                <w:color w:val="auto"/>
                <w:szCs w:val="21"/>
              </w:rPr>
              <w:t>（必须提供，否则响应文件按无效响应处理）</w:t>
            </w:r>
          </w:p>
          <w:p w14:paraId="2C43B470">
            <w:pPr>
              <w:snapToGrid w:val="0"/>
              <w:spacing w:line="360" w:lineRule="auto"/>
              <w:jc w:val="left"/>
              <w:rPr>
                <w:rFonts w:hint="eastAsia" w:ascii="宋体" w:hAnsi="宋体" w:cs="宋体"/>
                <w:color w:val="auto"/>
                <w:szCs w:val="21"/>
              </w:rPr>
            </w:pPr>
            <w:r>
              <w:rPr>
                <w:rFonts w:hint="eastAsia" w:ascii="宋体" w:hAnsi="宋体" w:cs="宋体"/>
                <w:color w:val="auto"/>
                <w:szCs w:val="21"/>
              </w:rPr>
              <w:t>8.除竞争性磋商文件规定必须提供以外，供应商认为需要提供的其他证明材料（格式自拟）。（</w:t>
            </w:r>
            <w:r>
              <w:rPr>
                <w:rFonts w:hint="eastAsia" w:ascii="宋体" w:hAnsi="宋体" w:cs="宋体"/>
                <w:b/>
                <w:bCs/>
                <w:color w:val="auto"/>
                <w:szCs w:val="21"/>
              </w:rPr>
              <w:t>如有，请提供</w:t>
            </w:r>
            <w:r>
              <w:rPr>
                <w:rFonts w:hint="eastAsia" w:ascii="宋体" w:hAnsi="宋体" w:cs="宋体"/>
                <w:color w:val="auto"/>
                <w:szCs w:val="21"/>
              </w:rPr>
              <w:t>）</w:t>
            </w:r>
          </w:p>
          <w:p w14:paraId="65A0B664">
            <w:pPr>
              <w:pStyle w:val="17"/>
              <w:spacing w:line="360" w:lineRule="auto"/>
              <w:rPr>
                <w:rFonts w:hint="eastAsia" w:ascii="宋体" w:hAnsi="宋体" w:cs="宋体"/>
                <w:b/>
                <w:color w:val="auto"/>
                <w:szCs w:val="21"/>
              </w:rPr>
            </w:pPr>
            <w:r>
              <w:rPr>
                <w:rFonts w:hint="eastAsia" w:ascii="宋体" w:hAnsi="宋体" w:cs="宋体"/>
                <w:b/>
                <w:color w:val="auto"/>
                <w:szCs w:val="21"/>
              </w:rPr>
              <w:t>注：</w:t>
            </w:r>
          </w:p>
          <w:p w14:paraId="7D258ACE">
            <w:pPr>
              <w:pStyle w:val="17"/>
              <w:spacing w:line="360" w:lineRule="auto"/>
              <w:rPr>
                <w:rFonts w:hint="eastAsia" w:ascii="宋体" w:hAnsi="宋体" w:cs="宋体"/>
                <w:b/>
                <w:color w:val="auto"/>
                <w:szCs w:val="21"/>
              </w:rPr>
            </w:pPr>
            <w:r>
              <w:rPr>
                <w:rFonts w:hint="eastAsia" w:ascii="宋体" w:hAnsi="宋体" w:cs="宋体"/>
                <w:b/>
                <w:color w:val="auto"/>
                <w:szCs w:val="21"/>
              </w:rPr>
              <w:t>　　1.以上标明“必须提供”的材料属于复印件的扫描件的，必须加盖供应商公章，否则响应文件按无效响应处理。</w:t>
            </w:r>
          </w:p>
          <w:p w14:paraId="3953E802">
            <w:pPr>
              <w:pStyle w:val="17"/>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2.联合体竞标时，第1-4项资格证明文件联合体各方均必须分别提供，联合体各方分别盖章，否则响应文件按无效响应处理。</w:t>
            </w:r>
          </w:p>
        </w:tc>
      </w:tr>
      <w:tr w14:paraId="64852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Merge w:val="restart"/>
            <w:vAlign w:val="center"/>
          </w:tcPr>
          <w:p w14:paraId="08DB2FE2">
            <w:pPr>
              <w:spacing w:line="360" w:lineRule="auto"/>
              <w:jc w:val="center"/>
              <w:rPr>
                <w:rFonts w:hint="eastAsia" w:ascii="宋体" w:hAnsi="宋体" w:cs="宋体"/>
                <w:color w:val="auto"/>
                <w:szCs w:val="21"/>
              </w:rPr>
            </w:pPr>
            <w:r>
              <w:rPr>
                <w:rFonts w:hint="eastAsia" w:ascii="宋体" w:hAnsi="宋体" w:cs="宋体"/>
                <w:color w:val="auto"/>
                <w:szCs w:val="21"/>
              </w:rPr>
              <w:t>12.1.2</w:t>
            </w:r>
          </w:p>
        </w:tc>
        <w:tc>
          <w:tcPr>
            <w:tcW w:w="2390" w:type="dxa"/>
            <w:vAlign w:val="center"/>
          </w:tcPr>
          <w:p w14:paraId="79D426AA">
            <w:pPr>
              <w:spacing w:line="360" w:lineRule="auto"/>
              <w:jc w:val="center"/>
              <w:rPr>
                <w:rFonts w:hint="eastAsia" w:ascii="宋体" w:hAnsi="宋体" w:cs="宋体"/>
                <w:b/>
                <w:bCs/>
                <w:color w:val="auto"/>
                <w:szCs w:val="21"/>
              </w:rPr>
            </w:pPr>
            <w:r>
              <w:rPr>
                <w:rFonts w:hint="eastAsia" w:ascii="宋体" w:hAnsi="宋体" w:cs="宋体"/>
                <w:b/>
                <w:bCs/>
                <w:color w:val="auto"/>
                <w:szCs w:val="21"/>
              </w:rPr>
              <w:t>商务文件组成</w:t>
            </w:r>
          </w:p>
        </w:tc>
        <w:tc>
          <w:tcPr>
            <w:tcW w:w="6416" w:type="dxa"/>
            <w:vAlign w:val="center"/>
          </w:tcPr>
          <w:p w14:paraId="2B81E168">
            <w:pPr>
              <w:spacing w:line="360" w:lineRule="auto"/>
              <w:rPr>
                <w:rFonts w:hint="eastAsia" w:ascii="宋体" w:hAnsi="宋体" w:cs="宋体"/>
                <w:color w:val="auto"/>
                <w:szCs w:val="21"/>
              </w:rPr>
            </w:pPr>
            <w:r>
              <w:rPr>
                <w:rFonts w:hint="eastAsia" w:ascii="宋体" w:hAnsi="宋体" w:cs="宋体"/>
                <w:color w:val="auto"/>
                <w:szCs w:val="21"/>
              </w:rPr>
              <w:t>1.无串通竞标行为的承诺函（格式后附）；（</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10F8825C">
            <w:pPr>
              <w:snapToGrid w:val="0"/>
              <w:spacing w:line="360" w:lineRule="auto"/>
              <w:jc w:val="left"/>
              <w:rPr>
                <w:rFonts w:hint="eastAsia" w:ascii="宋体" w:hAnsi="宋体" w:cs="宋体"/>
                <w:color w:val="auto"/>
                <w:szCs w:val="21"/>
              </w:rPr>
            </w:pPr>
            <w:r>
              <w:rPr>
                <w:rFonts w:hint="eastAsia" w:ascii="宋体" w:hAnsi="宋体" w:cs="宋体"/>
                <w:color w:val="auto"/>
                <w:szCs w:val="21"/>
              </w:rPr>
              <w:t>2.法定代表人身份证明及法定代表人有效身份证正反面复印件（格式后附）；（</w:t>
            </w:r>
            <w:r>
              <w:rPr>
                <w:rFonts w:hint="eastAsia" w:ascii="宋体" w:hAnsi="宋体" w:cs="宋体"/>
                <w:b/>
                <w:bCs/>
                <w:color w:val="auto"/>
                <w:szCs w:val="21"/>
              </w:rPr>
              <w:t>除自然人竞标外</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0C6949B8">
            <w:pPr>
              <w:spacing w:line="360" w:lineRule="auto"/>
              <w:rPr>
                <w:rFonts w:hint="eastAsia" w:ascii="宋体" w:hAnsi="宋体" w:cs="宋体"/>
                <w:color w:val="auto"/>
                <w:szCs w:val="21"/>
              </w:rPr>
            </w:pPr>
            <w:r>
              <w:rPr>
                <w:rFonts w:hint="eastAsia" w:ascii="宋体" w:hAnsi="宋体" w:cs="宋体"/>
                <w:color w:val="auto"/>
                <w:szCs w:val="21"/>
              </w:rPr>
              <w:t>3.法定代表人授权委托书及委托代理人有效身份证正反面复印件（格式后附）；（</w:t>
            </w:r>
            <w:r>
              <w:rPr>
                <w:rFonts w:hint="eastAsia" w:ascii="宋体" w:hAnsi="宋体" w:cs="宋体"/>
                <w:b/>
                <w:color w:val="auto"/>
                <w:szCs w:val="21"/>
              </w:rPr>
              <w:t>委托时必须提供，否则响应文件按无效响应处理</w:t>
            </w:r>
            <w:r>
              <w:rPr>
                <w:rFonts w:hint="eastAsia" w:ascii="宋体" w:hAnsi="宋体" w:cs="宋体"/>
                <w:color w:val="auto"/>
                <w:szCs w:val="21"/>
              </w:rPr>
              <w:t>）</w:t>
            </w:r>
          </w:p>
          <w:p w14:paraId="6339A80C">
            <w:pPr>
              <w:spacing w:line="360" w:lineRule="auto"/>
              <w:rPr>
                <w:rFonts w:hint="eastAsia" w:ascii="宋体" w:hAnsi="宋体" w:cs="宋体"/>
                <w:color w:val="auto"/>
                <w:szCs w:val="21"/>
              </w:rPr>
            </w:pPr>
            <w:r>
              <w:rPr>
                <w:rFonts w:hint="eastAsia" w:ascii="宋体" w:hAnsi="宋体" w:cs="宋体"/>
                <w:color w:val="auto"/>
                <w:szCs w:val="21"/>
              </w:rPr>
              <w:t>4.商务条款偏离表（格式后附）；（</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0A543E3C">
            <w:pPr>
              <w:spacing w:line="360" w:lineRule="auto"/>
              <w:rPr>
                <w:rFonts w:hint="eastAsia" w:ascii="宋体" w:hAnsi="宋体" w:cs="宋体"/>
                <w:color w:val="auto"/>
                <w:szCs w:val="21"/>
              </w:rPr>
            </w:pPr>
            <w:r>
              <w:rPr>
                <w:rFonts w:hint="eastAsia" w:ascii="宋体" w:hAnsi="宋体" w:cs="宋体"/>
                <w:color w:val="auto"/>
                <w:szCs w:val="21"/>
              </w:rPr>
              <w:t>5.供应商情况介绍（格式自拟）；（</w:t>
            </w:r>
            <w:r>
              <w:rPr>
                <w:rFonts w:hint="eastAsia" w:ascii="宋体" w:hAnsi="宋体" w:cs="宋体"/>
                <w:b/>
                <w:bCs/>
                <w:color w:val="auto"/>
                <w:szCs w:val="21"/>
              </w:rPr>
              <w:t>如有，请提供</w:t>
            </w:r>
            <w:r>
              <w:rPr>
                <w:rFonts w:hint="eastAsia" w:ascii="宋体" w:hAnsi="宋体" w:cs="宋体"/>
                <w:color w:val="auto"/>
                <w:szCs w:val="21"/>
              </w:rPr>
              <w:t>）</w:t>
            </w:r>
          </w:p>
          <w:p w14:paraId="3BAB4A37">
            <w:pPr>
              <w:spacing w:line="360" w:lineRule="auto"/>
              <w:rPr>
                <w:rFonts w:hint="eastAsia" w:ascii="宋体" w:hAnsi="宋体" w:cs="宋体"/>
                <w:color w:val="auto"/>
                <w:szCs w:val="21"/>
              </w:rPr>
            </w:pPr>
            <w:r>
              <w:rPr>
                <w:rFonts w:hint="eastAsia" w:ascii="宋体" w:hAnsi="宋体" w:cs="宋体"/>
                <w:color w:val="auto"/>
                <w:szCs w:val="21"/>
              </w:rPr>
              <w:t>6.对应采购需求的商务条款提供的其他文件资料（格式自拟）；（</w:t>
            </w:r>
            <w:r>
              <w:rPr>
                <w:rFonts w:hint="eastAsia" w:ascii="宋体" w:hAnsi="宋体" w:cs="宋体"/>
                <w:b/>
                <w:bCs/>
                <w:color w:val="auto"/>
                <w:szCs w:val="21"/>
              </w:rPr>
              <w:t>如有，请提供</w:t>
            </w:r>
            <w:r>
              <w:rPr>
                <w:rFonts w:hint="eastAsia" w:ascii="宋体" w:hAnsi="宋体" w:cs="宋体"/>
                <w:color w:val="auto"/>
                <w:szCs w:val="21"/>
              </w:rPr>
              <w:t>）</w:t>
            </w:r>
          </w:p>
          <w:p w14:paraId="479B3A6C">
            <w:pPr>
              <w:spacing w:line="360" w:lineRule="auto"/>
              <w:rPr>
                <w:rFonts w:hint="eastAsia" w:ascii="宋体" w:hAnsi="宋体" w:cs="宋体"/>
                <w:color w:val="auto"/>
                <w:szCs w:val="21"/>
              </w:rPr>
            </w:pPr>
            <w:r>
              <w:rPr>
                <w:rFonts w:hint="eastAsia" w:ascii="宋体" w:hAnsi="宋体" w:cs="宋体"/>
                <w:color w:val="auto"/>
                <w:szCs w:val="21"/>
              </w:rPr>
              <w:t>7.供应商认为需要提供的其他有关资料（格式自拟）。（</w:t>
            </w:r>
            <w:r>
              <w:rPr>
                <w:rFonts w:hint="eastAsia" w:ascii="宋体" w:hAnsi="宋体" w:cs="宋体"/>
                <w:b/>
                <w:bCs/>
                <w:color w:val="auto"/>
                <w:szCs w:val="21"/>
              </w:rPr>
              <w:t>如有，请提供</w:t>
            </w:r>
            <w:r>
              <w:rPr>
                <w:rFonts w:hint="eastAsia" w:ascii="宋体" w:hAnsi="宋体" w:cs="宋体"/>
                <w:color w:val="auto"/>
                <w:szCs w:val="21"/>
              </w:rPr>
              <w:t>）</w:t>
            </w:r>
          </w:p>
          <w:p w14:paraId="229B8DED">
            <w:pPr>
              <w:snapToGrid w:val="0"/>
              <w:spacing w:line="360" w:lineRule="auto"/>
              <w:jc w:val="left"/>
              <w:rPr>
                <w:rFonts w:hint="eastAsia" w:ascii="宋体" w:hAnsi="宋体" w:cs="宋体"/>
                <w:b/>
                <w:color w:val="auto"/>
                <w:szCs w:val="21"/>
              </w:rPr>
            </w:pPr>
            <w:r>
              <w:rPr>
                <w:rFonts w:hint="eastAsia" w:ascii="宋体" w:hAnsi="宋体" w:cs="宋体"/>
                <w:b/>
                <w:color w:val="auto"/>
                <w:szCs w:val="21"/>
              </w:rPr>
              <w:t xml:space="preserve">注： </w:t>
            </w:r>
          </w:p>
          <w:p w14:paraId="1EF9E9FB">
            <w:pPr>
              <w:snapToGrid w:val="0"/>
              <w:spacing w:line="360" w:lineRule="auto"/>
              <w:ind w:firstLine="413" w:firstLineChars="196"/>
              <w:jc w:val="left"/>
              <w:rPr>
                <w:rFonts w:hint="eastAsia" w:ascii="宋体" w:hAnsi="宋体" w:cs="宋体"/>
                <w:b/>
                <w:color w:val="auto"/>
                <w:szCs w:val="21"/>
              </w:rPr>
            </w:pPr>
            <w:r>
              <w:rPr>
                <w:rFonts w:hint="eastAsia" w:ascii="宋体" w:hAnsi="宋体" w:cs="宋体"/>
                <w:b/>
                <w:color w:val="auto"/>
                <w:szCs w:val="21"/>
              </w:rPr>
              <w:t>1.法定代表人授权委托书必须由法定代表人及其委托代理人签字，并加盖供应商公章，否则响应文件按无效响应处理。</w:t>
            </w:r>
          </w:p>
          <w:p w14:paraId="37CE5638">
            <w:pPr>
              <w:spacing w:line="360" w:lineRule="auto"/>
              <w:ind w:firstLine="413" w:firstLineChars="196"/>
              <w:rPr>
                <w:rFonts w:hint="eastAsia" w:ascii="宋体" w:hAnsi="宋体" w:cs="宋体"/>
                <w:b/>
                <w:color w:val="auto"/>
                <w:szCs w:val="21"/>
              </w:rPr>
            </w:pPr>
            <w:r>
              <w:rPr>
                <w:rFonts w:hint="eastAsia" w:ascii="宋体" w:hAnsi="宋体" w:cs="宋体"/>
                <w:b/>
                <w:color w:val="auto"/>
                <w:szCs w:val="21"/>
              </w:rPr>
              <w:t>2.以上标明“必须提供”的材料属于复印件的扫描件的，必须加盖供应商公章，否则响应文件按无效响应处理。</w:t>
            </w:r>
          </w:p>
        </w:tc>
      </w:tr>
      <w:tr w14:paraId="65BEC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5" w:hRule="atLeast"/>
          <w:jc w:val="center"/>
        </w:trPr>
        <w:tc>
          <w:tcPr>
            <w:tcW w:w="963" w:type="dxa"/>
            <w:vMerge w:val="continue"/>
            <w:vAlign w:val="center"/>
          </w:tcPr>
          <w:p w14:paraId="56FF2E48">
            <w:pPr>
              <w:spacing w:line="360" w:lineRule="auto"/>
              <w:jc w:val="center"/>
              <w:rPr>
                <w:rFonts w:hint="eastAsia" w:ascii="宋体" w:hAnsi="宋体" w:cs="宋体"/>
                <w:color w:val="auto"/>
                <w:szCs w:val="21"/>
              </w:rPr>
            </w:pPr>
          </w:p>
        </w:tc>
        <w:tc>
          <w:tcPr>
            <w:tcW w:w="2390" w:type="dxa"/>
            <w:vAlign w:val="center"/>
          </w:tcPr>
          <w:p w14:paraId="7695F028">
            <w:pPr>
              <w:spacing w:line="360" w:lineRule="auto"/>
              <w:jc w:val="center"/>
              <w:rPr>
                <w:rFonts w:hint="eastAsia" w:ascii="宋体" w:hAnsi="宋体" w:cs="宋体"/>
                <w:b/>
                <w:bCs/>
                <w:color w:val="auto"/>
                <w:szCs w:val="21"/>
              </w:rPr>
            </w:pPr>
            <w:r>
              <w:rPr>
                <w:rFonts w:hint="eastAsia" w:ascii="宋体" w:hAnsi="宋体" w:cs="宋体"/>
                <w:b/>
                <w:bCs/>
                <w:color w:val="auto"/>
                <w:szCs w:val="21"/>
              </w:rPr>
              <w:t>技术文件组成</w:t>
            </w:r>
          </w:p>
        </w:tc>
        <w:tc>
          <w:tcPr>
            <w:tcW w:w="6416" w:type="dxa"/>
            <w:vAlign w:val="center"/>
          </w:tcPr>
          <w:p w14:paraId="03D3ABAD">
            <w:pPr>
              <w:spacing w:line="360" w:lineRule="auto"/>
              <w:rPr>
                <w:rFonts w:hint="eastAsia" w:ascii="宋体" w:hAnsi="宋体" w:cs="宋体"/>
                <w:color w:val="auto"/>
                <w:szCs w:val="21"/>
              </w:rPr>
            </w:pPr>
            <w:r>
              <w:rPr>
                <w:rFonts w:hint="eastAsia" w:ascii="宋体" w:hAnsi="宋体" w:cs="宋体"/>
                <w:color w:val="auto"/>
                <w:szCs w:val="21"/>
              </w:rPr>
              <w:t>1.服务需求偏离表（格式后附）；（</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0C71838D">
            <w:pPr>
              <w:snapToGrid w:val="0"/>
              <w:spacing w:line="360" w:lineRule="auto"/>
              <w:jc w:val="left"/>
              <w:rPr>
                <w:rFonts w:hint="eastAsia" w:ascii="宋体" w:hAnsi="宋体" w:cs="宋体"/>
                <w:color w:val="auto"/>
                <w:szCs w:val="21"/>
              </w:rPr>
            </w:pPr>
            <w:r>
              <w:rPr>
                <w:rFonts w:hint="eastAsia" w:ascii="宋体" w:hAnsi="宋体" w:cs="宋体"/>
                <w:color w:val="auto"/>
                <w:szCs w:val="21"/>
              </w:rPr>
              <w:t>2.项目实施方案（格式自拟）【内容包括但不局限于评分标准所包含的内容】；（</w:t>
            </w:r>
            <w:r>
              <w:rPr>
                <w:rFonts w:hint="eastAsia" w:ascii="宋体" w:hAnsi="宋体" w:cs="宋体"/>
                <w:b/>
                <w:color w:val="auto"/>
                <w:szCs w:val="21"/>
              </w:rPr>
              <w:t>必须提供，否则按无效投标处理</w:t>
            </w:r>
            <w:r>
              <w:rPr>
                <w:rFonts w:hint="eastAsia" w:ascii="宋体" w:hAnsi="宋体" w:cs="宋体"/>
                <w:color w:val="auto"/>
                <w:szCs w:val="21"/>
              </w:rPr>
              <w:t>）</w:t>
            </w:r>
          </w:p>
          <w:p w14:paraId="0A5BDE42">
            <w:pPr>
              <w:snapToGrid w:val="0"/>
              <w:spacing w:line="360" w:lineRule="auto"/>
              <w:jc w:val="left"/>
              <w:rPr>
                <w:rFonts w:hint="eastAsia" w:ascii="宋体" w:hAnsi="宋体" w:cs="宋体"/>
                <w:color w:val="auto"/>
                <w:szCs w:val="21"/>
              </w:rPr>
            </w:pPr>
            <w:r>
              <w:rPr>
                <w:rFonts w:hint="eastAsia" w:ascii="宋体" w:hAnsi="宋体" w:cs="宋体"/>
                <w:color w:val="auto"/>
                <w:szCs w:val="21"/>
              </w:rPr>
              <w:t>3.项目实施人员一览表（格式后附）；（如有</w:t>
            </w:r>
            <w:r>
              <w:rPr>
                <w:rFonts w:hint="eastAsia" w:ascii="宋体" w:hAnsi="宋体" w:cs="宋体"/>
                <w:color w:val="auto"/>
                <w:szCs w:val="21"/>
                <w:lang w:eastAsia="zh-CN"/>
              </w:rPr>
              <w:t>，</w:t>
            </w:r>
            <w:r>
              <w:rPr>
                <w:rFonts w:hint="eastAsia" w:ascii="宋体" w:hAnsi="宋体" w:cs="宋体"/>
                <w:color w:val="auto"/>
                <w:szCs w:val="21"/>
              </w:rPr>
              <w:t>请提供）</w:t>
            </w:r>
          </w:p>
          <w:p w14:paraId="02130382">
            <w:pPr>
              <w:spacing w:line="360" w:lineRule="auto"/>
              <w:rPr>
                <w:rFonts w:hint="eastAsia" w:ascii="宋体" w:hAnsi="宋体" w:cs="宋体"/>
                <w:color w:val="auto"/>
                <w:szCs w:val="21"/>
              </w:rPr>
            </w:pPr>
            <w:r>
              <w:rPr>
                <w:rFonts w:hint="eastAsia" w:ascii="宋体" w:hAnsi="宋体" w:cs="宋体"/>
                <w:color w:val="auto"/>
              </w:rPr>
              <w:t>4.</w:t>
            </w:r>
            <w:r>
              <w:rPr>
                <w:rFonts w:hint="eastAsia" w:ascii="宋体" w:hAnsi="宋体" w:cs="宋体"/>
                <w:color w:val="auto"/>
                <w:szCs w:val="21"/>
              </w:rPr>
              <w:t>对应采购需求的服务需求提供的其他文件资料（格式自拟）；（</w:t>
            </w:r>
            <w:r>
              <w:rPr>
                <w:rFonts w:hint="eastAsia" w:ascii="宋体" w:hAnsi="宋体" w:cs="宋体"/>
                <w:b/>
                <w:bCs/>
                <w:color w:val="auto"/>
                <w:szCs w:val="21"/>
              </w:rPr>
              <w:t>如有，请提供</w:t>
            </w:r>
            <w:r>
              <w:rPr>
                <w:rFonts w:hint="eastAsia" w:ascii="宋体" w:hAnsi="宋体" w:cs="宋体"/>
                <w:color w:val="auto"/>
                <w:szCs w:val="21"/>
              </w:rPr>
              <w:t>）</w:t>
            </w:r>
          </w:p>
          <w:p w14:paraId="619BC7A9">
            <w:pPr>
              <w:spacing w:line="360" w:lineRule="auto"/>
              <w:rPr>
                <w:rFonts w:hint="eastAsia" w:ascii="宋体" w:hAnsi="宋体" w:cs="宋体"/>
                <w:color w:val="auto"/>
                <w:szCs w:val="21"/>
              </w:rPr>
            </w:pPr>
            <w:r>
              <w:rPr>
                <w:rFonts w:hint="eastAsia" w:ascii="宋体" w:hAnsi="宋体" w:cs="宋体"/>
                <w:color w:val="auto"/>
                <w:szCs w:val="21"/>
              </w:rPr>
              <w:t>5.供应商认为需要提供的其他有关资料（格式自拟）。（</w:t>
            </w:r>
            <w:r>
              <w:rPr>
                <w:rFonts w:hint="eastAsia" w:ascii="宋体" w:hAnsi="宋体" w:cs="宋体"/>
                <w:b/>
                <w:bCs/>
                <w:color w:val="auto"/>
                <w:szCs w:val="21"/>
              </w:rPr>
              <w:t>如有，请提供</w:t>
            </w:r>
            <w:r>
              <w:rPr>
                <w:rFonts w:hint="eastAsia" w:ascii="宋体" w:hAnsi="宋体" w:cs="宋体"/>
                <w:color w:val="auto"/>
                <w:szCs w:val="21"/>
              </w:rPr>
              <w:t>）</w:t>
            </w:r>
          </w:p>
          <w:p w14:paraId="1EF9A07E">
            <w:pPr>
              <w:spacing w:line="360" w:lineRule="auto"/>
              <w:rPr>
                <w:rFonts w:hint="eastAsia" w:ascii="宋体" w:hAnsi="宋体" w:cs="宋体"/>
                <w:b/>
                <w:color w:val="auto"/>
                <w:szCs w:val="21"/>
              </w:rPr>
            </w:pPr>
            <w:r>
              <w:rPr>
                <w:rFonts w:hint="eastAsia" w:ascii="宋体" w:hAnsi="宋体" w:cs="宋体"/>
                <w:b/>
                <w:color w:val="auto"/>
                <w:szCs w:val="21"/>
              </w:rPr>
              <w:t>注：以上标明“必须提供”的材料属于复印件的扫描件的，必须加盖供应商公章，否则响应文件按无效响应处理。</w:t>
            </w:r>
          </w:p>
        </w:tc>
      </w:tr>
      <w:tr w14:paraId="2EFB5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Align w:val="center"/>
          </w:tcPr>
          <w:p w14:paraId="6CD44CB5">
            <w:pPr>
              <w:spacing w:line="360" w:lineRule="auto"/>
              <w:jc w:val="center"/>
              <w:rPr>
                <w:rFonts w:hint="eastAsia" w:ascii="宋体" w:hAnsi="宋体" w:cs="宋体"/>
                <w:color w:val="auto"/>
                <w:szCs w:val="21"/>
              </w:rPr>
            </w:pPr>
            <w:r>
              <w:rPr>
                <w:rFonts w:hint="eastAsia" w:ascii="宋体" w:hAnsi="宋体" w:cs="宋体"/>
                <w:color w:val="auto"/>
                <w:szCs w:val="21"/>
              </w:rPr>
              <w:t>12.1.3</w:t>
            </w:r>
          </w:p>
        </w:tc>
        <w:tc>
          <w:tcPr>
            <w:tcW w:w="2390" w:type="dxa"/>
            <w:vAlign w:val="center"/>
          </w:tcPr>
          <w:p w14:paraId="319E6F0D">
            <w:pPr>
              <w:spacing w:line="360" w:lineRule="auto"/>
              <w:jc w:val="center"/>
              <w:rPr>
                <w:rFonts w:hint="eastAsia" w:ascii="宋体" w:hAnsi="宋体" w:cs="宋体"/>
                <w:color w:val="auto"/>
                <w:szCs w:val="21"/>
              </w:rPr>
            </w:pPr>
            <w:r>
              <w:rPr>
                <w:rFonts w:hint="eastAsia" w:ascii="宋体" w:hAnsi="宋体" w:cs="宋体"/>
                <w:b/>
                <w:bCs/>
                <w:color w:val="auto"/>
                <w:szCs w:val="21"/>
              </w:rPr>
              <w:t>报价文件组成</w:t>
            </w:r>
          </w:p>
        </w:tc>
        <w:tc>
          <w:tcPr>
            <w:tcW w:w="6416" w:type="dxa"/>
            <w:vAlign w:val="center"/>
          </w:tcPr>
          <w:p w14:paraId="2C0D3AB9">
            <w:pPr>
              <w:spacing w:line="360" w:lineRule="auto"/>
              <w:jc w:val="left"/>
              <w:rPr>
                <w:rFonts w:hint="eastAsia" w:ascii="宋体" w:hAnsi="宋体" w:cs="宋体"/>
                <w:color w:val="auto"/>
                <w:szCs w:val="21"/>
              </w:rPr>
            </w:pPr>
            <w:r>
              <w:rPr>
                <w:rFonts w:hint="eastAsia" w:ascii="宋体" w:hAnsi="宋体" w:cs="宋体"/>
                <w:color w:val="auto"/>
                <w:szCs w:val="21"/>
              </w:rPr>
              <w:t>1.响应函（格式后附）；</w:t>
            </w:r>
            <w:r>
              <w:rPr>
                <w:rFonts w:hint="eastAsia" w:ascii="宋体" w:hAnsi="宋体" w:cs="宋体"/>
                <w:b/>
                <w:color w:val="auto"/>
                <w:szCs w:val="21"/>
              </w:rPr>
              <w:t>（必须提供，否则响应文件按无效响应处理）</w:t>
            </w:r>
          </w:p>
          <w:p w14:paraId="352B44FA">
            <w:pPr>
              <w:spacing w:line="360" w:lineRule="auto"/>
              <w:rPr>
                <w:rFonts w:hint="eastAsia" w:ascii="宋体" w:hAnsi="宋体" w:cs="宋体"/>
                <w:color w:val="auto"/>
                <w:szCs w:val="21"/>
              </w:rPr>
            </w:pPr>
            <w:r>
              <w:rPr>
                <w:rFonts w:hint="eastAsia" w:ascii="宋体" w:hAnsi="宋体" w:cs="宋体"/>
                <w:color w:val="auto"/>
                <w:szCs w:val="21"/>
              </w:rPr>
              <w:t>2.响应报价表（格式后附）；（</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3B67B2ED">
            <w:pPr>
              <w:spacing w:line="360" w:lineRule="auto"/>
              <w:rPr>
                <w:rFonts w:hint="eastAsia" w:ascii="宋体" w:hAnsi="宋体" w:cs="宋体"/>
                <w:color w:val="auto"/>
                <w:szCs w:val="21"/>
              </w:rPr>
            </w:pPr>
            <w:r>
              <w:rPr>
                <w:rFonts w:hint="eastAsia" w:ascii="宋体" w:hAnsi="宋体" w:cs="宋体"/>
                <w:color w:val="auto"/>
                <w:szCs w:val="21"/>
              </w:rPr>
              <w:t>3.供应商针对报价需要说明的其他文件和说明。</w:t>
            </w:r>
          </w:p>
        </w:tc>
      </w:tr>
      <w:tr w14:paraId="003C2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Align w:val="center"/>
          </w:tcPr>
          <w:p w14:paraId="24BEADB5">
            <w:pPr>
              <w:spacing w:line="360" w:lineRule="auto"/>
              <w:jc w:val="center"/>
              <w:rPr>
                <w:rFonts w:hint="eastAsia" w:ascii="宋体" w:hAnsi="宋体" w:cs="宋体"/>
                <w:color w:val="auto"/>
                <w:szCs w:val="21"/>
              </w:rPr>
            </w:pPr>
            <w:r>
              <w:rPr>
                <w:rFonts w:hint="eastAsia" w:ascii="宋体" w:hAnsi="宋体" w:cs="宋体"/>
                <w:color w:val="auto"/>
                <w:szCs w:val="21"/>
              </w:rPr>
              <w:t>12.2</w:t>
            </w:r>
          </w:p>
        </w:tc>
        <w:tc>
          <w:tcPr>
            <w:tcW w:w="2390" w:type="dxa"/>
            <w:vAlign w:val="center"/>
          </w:tcPr>
          <w:p w14:paraId="67B05C66">
            <w:pPr>
              <w:spacing w:line="360" w:lineRule="auto"/>
              <w:jc w:val="center"/>
              <w:rPr>
                <w:rFonts w:hint="eastAsia" w:ascii="宋体" w:hAnsi="宋体" w:cs="宋体"/>
                <w:b/>
                <w:bCs/>
                <w:color w:val="auto"/>
                <w:szCs w:val="21"/>
              </w:rPr>
            </w:pPr>
            <w:r>
              <w:rPr>
                <w:rFonts w:hint="eastAsia" w:ascii="宋体" w:hAnsi="宋体" w:cs="宋体"/>
                <w:b/>
                <w:bCs/>
                <w:color w:val="auto"/>
                <w:szCs w:val="21"/>
              </w:rPr>
              <w:t>响应文件电子版要求</w:t>
            </w:r>
          </w:p>
        </w:tc>
        <w:tc>
          <w:tcPr>
            <w:tcW w:w="6416" w:type="dxa"/>
            <w:vAlign w:val="center"/>
          </w:tcPr>
          <w:p w14:paraId="1FBC945B">
            <w:pPr>
              <w:snapToGrid w:val="0"/>
              <w:spacing w:line="360" w:lineRule="auto"/>
              <w:jc w:val="left"/>
              <w:rPr>
                <w:rFonts w:hint="eastAsia" w:ascii="宋体" w:hAnsi="宋体" w:cs="宋体"/>
                <w:color w:val="auto"/>
                <w:szCs w:val="21"/>
              </w:rPr>
            </w:pPr>
            <w:r>
              <w:rPr>
                <w:rFonts w:hint="eastAsia" w:ascii="宋体" w:hAnsi="宋体" w:cs="宋体"/>
                <w:color w:val="auto"/>
                <w:szCs w:val="21"/>
              </w:rPr>
              <w:t>1.响应文件电子版要求：按照本竞争性磋商文件“第五章 响应文件格式”编写，第五章未附格式的，由供应商自行拟定。</w:t>
            </w:r>
          </w:p>
          <w:p w14:paraId="514958A5">
            <w:pPr>
              <w:snapToGrid w:val="0"/>
              <w:spacing w:line="360" w:lineRule="auto"/>
              <w:jc w:val="left"/>
              <w:rPr>
                <w:rFonts w:hint="eastAsia" w:ascii="宋体" w:hAnsi="宋体" w:cs="宋体"/>
                <w:color w:val="auto"/>
                <w:szCs w:val="21"/>
              </w:rPr>
            </w:pPr>
            <w:r>
              <w:rPr>
                <w:rFonts w:hint="eastAsia" w:ascii="宋体" w:hAnsi="宋体" w:cs="宋体"/>
                <w:color w:val="auto"/>
                <w:szCs w:val="21"/>
              </w:rPr>
              <w:t>2.响应文件电子版密封方式：电子响应文件通过平台有效CA加密后在广西政府采购云平台投送。</w:t>
            </w:r>
          </w:p>
        </w:tc>
      </w:tr>
      <w:tr w14:paraId="09100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Align w:val="center"/>
          </w:tcPr>
          <w:p w14:paraId="26013665">
            <w:pPr>
              <w:spacing w:line="360" w:lineRule="auto"/>
              <w:jc w:val="center"/>
              <w:rPr>
                <w:rFonts w:hint="eastAsia" w:ascii="宋体" w:hAnsi="宋体" w:cs="宋体"/>
                <w:color w:val="auto"/>
                <w:szCs w:val="21"/>
              </w:rPr>
            </w:pPr>
            <w:r>
              <w:rPr>
                <w:rFonts w:hint="eastAsia" w:ascii="宋体" w:hAnsi="宋体" w:cs="宋体"/>
                <w:color w:val="auto"/>
                <w:szCs w:val="21"/>
              </w:rPr>
              <w:t>15.2</w:t>
            </w:r>
          </w:p>
        </w:tc>
        <w:tc>
          <w:tcPr>
            <w:tcW w:w="2390" w:type="dxa"/>
            <w:vAlign w:val="center"/>
          </w:tcPr>
          <w:p w14:paraId="18A69CDE">
            <w:pPr>
              <w:spacing w:line="360" w:lineRule="auto"/>
              <w:jc w:val="center"/>
              <w:rPr>
                <w:rFonts w:hint="eastAsia" w:ascii="宋体" w:hAnsi="宋体" w:cs="宋体"/>
                <w:b/>
                <w:bCs/>
                <w:color w:val="auto"/>
                <w:szCs w:val="21"/>
              </w:rPr>
            </w:pPr>
            <w:r>
              <w:rPr>
                <w:rFonts w:hint="eastAsia" w:ascii="宋体" w:hAnsi="宋体" w:cs="宋体"/>
                <w:b/>
                <w:bCs/>
                <w:color w:val="auto"/>
                <w:szCs w:val="21"/>
              </w:rPr>
              <w:t>响应报价要求</w:t>
            </w:r>
          </w:p>
        </w:tc>
        <w:tc>
          <w:tcPr>
            <w:tcW w:w="6416" w:type="dxa"/>
            <w:vAlign w:val="center"/>
          </w:tcPr>
          <w:p w14:paraId="50410721">
            <w:pPr>
              <w:snapToGrid w:val="0"/>
              <w:spacing w:line="360" w:lineRule="auto"/>
              <w:jc w:val="left"/>
              <w:rPr>
                <w:rFonts w:hint="eastAsia" w:ascii="宋体" w:hAnsi="宋体" w:cs="宋体"/>
                <w:color w:val="auto"/>
              </w:rPr>
            </w:pPr>
            <w:r>
              <w:rPr>
                <w:rFonts w:hint="eastAsia" w:ascii="宋体" w:hAnsi="宋体" w:cs="宋体"/>
                <w:color w:val="auto"/>
              </w:rPr>
              <w:t>响应报价必须包含满足本次竞标全部采购需求所应提供的服务，以及伴随的货物和工程（如有）的价格；包含竞标服务、货物、工程的成本、运输（含保险）、安装（如有）、调试、检验、技术服务、培训、税费等所有费用。（采购需求另有约定的，从其约定。）</w:t>
            </w:r>
          </w:p>
          <w:p w14:paraId="6A878DE5">
            <w:pPr>
              <w:pStyle w:val="2"/>
              <w:spacing w:line="360" w:lineRule="auto"/>
              <w:rPr>
                <w:rFonts w:hint="eastAsia" w:ascii="宋体" w:hAnsi="宋体" w:cs="宋体"/>
                <w:color w:val="auto"/>
              </w:rPr>
            </w:pPr>
            <w:r>
              <w:rPr>
                <w:rFonts w:hint="eastAsia" w:ascii="宋体" w:hAnsi="宋体" w:cs="宋体"/>
                <w:b/>
                <w:color w:val="auto"/>
                <w:szCs w:val="21"/>
              </w:rPr>
              <w:t>响应报价包含验收费用。</w:t>
            </w:r>
          </w:p>
        </w:tc>
      </w:tr>
      <w:tr w14:paraId="51463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Align w:val="center"/>
          </w:tcPr>
          <w:p w14:paraId="328EFC36">
            <w:pPr>
              <w:spacing w:line="360" w:lineRule="auto"/>
              <w:jc w:val="center"/>
              <w:rPr>
                <w:rFonts w:hint="eastAsia" w:ascii="宋体" w:hAnsi="宋体" w:cs="宋体"/>
                <w:color w:val="auto"/>
                <w:szCs w:val="21"/>
              </w:rPr>
            </w:pPr>
            <w:r>
              <w:rPr>
                <w:rFonts w:hint="eastAsia" w:ascii="宋体" w:hAnsi="宋体" w:cs="宋体"/>
                <w:color w:val="auto"/>
                <w:szCs w:val="21"/>
              </w:rPr>
              <w:t>16.2</w:t>
            </w:r>
          </w:p>
        </w:tc>
        <w:tc>
          <w:tcPr>
            <w:tcW w:w="2390" w:type="dxa"/>
            <w:vAlign w:val="center"/>
          </w:tcPr>
          <w:p w14:paraId="517C7832">
            <w:pPr>
              <w:spacing w:line="360" w:lineRule="auto"/>
              <w:jc w:val="center"/>
              <w:rPr>
                <w:rFonts w:hint="eastAsia" w:ascii="宋体" w:hAnsi="宋体" w:cs="宋体"/>
                <w:b/>
                <w:bCs/>
                <w:color w:val="auto"/>
                <w:szCs w:val="21"/>
              </w:rPr>
            </w:pPr>
            <w:r>
              <w:rPr>
                <w:rFonts w:hint="eastAsia" w:ascii="宋体" w:hAnsi="宋体" w:cs="宋体"/>
                <w:b/>
                <w:bCs/>
                <w:color w:val="auto"/>
                <w:szCs w:val="21"/>
              </w:rPr>
              <w:t>竞标有效期</w:t>
            </w:r>
          </w:p>
        </w:tc>
        <w:tc>
          <w:tcPr>
            <w:tcW w:w="6416" w:type="dxa"/>
            <w:vAlign w:val="center"/>
          </w:tcPr>
          <w:p w14:paraId="0733DE4C">
            <w:pPr>
              <w:pStyle w:val="15"/>
              <w:widowControl w:val="0"/>
              <w:tabs>
                <w:tab w:val="clear" w:pos="454"/>
              </w:tabs>
              <w:snapToGrid w:val="0"/>
              <w:spacing w:afterLines="0" w:line="360" w:lineRule="auto"/>
              <w:ind w:left="283" w:hanging="283" w:hangingChars="135"/>
              <w:rPr>
                <w:rFonts w:hint="eastAsia" w:ascii="宋体" w:hAnsi="宋体" w:cs="宋体"/>
                <w:color w:val="auto"/>
                <w:kern w:val="2"/>
                <w:sz w:val="21"/>
                <w:szCs w:val="21"/>
              </w:rPr>
            </w:pPr>
            <w:r>
              <w:rPr>
                <w:rFonts w:hint="eastAsia" w:ascii="宋体" w:hAnsi="宋体" w:cs="宋体"/>
                <w:color w:val="auto"/>
                <w:kern w:val="2"/>
                <w:sz w:val="21"/>
                <w:szCs w:val="21"/>
              </w:rPr>
              <w:t>自首次响应文件提交截止之日起</w:t>
            </w:r>
            <w:r>
              <w:rPr>
                <w:rFonts w:hint="eastAsia" w:ascii="宋体" w:hAnsi="宋体" w:cs="宋体"/>
                <w:color w:val="auto"/>
                <w:kern w:val="2"/>
                <w:sz w:val="21"/>
                <w:szCs w:val="21"/>
                <w:u w:val="single"/>
              </w:rPr>
              <w:t xml:space="preserve"> 60 </w:t>
            </w:r>
            <w:r>
              <w:rPr>
                <w:rFonts w:hint="eastAsia" w:ascii="宋体" w:hAnsi="宋体" w:cs="宋体"/>
                <w:color w:val="auto"/>
                <w:kern w:val="2"/>
                <w:sz w:val="21"/>
                <w:szCs w:val="21"/>
              </w:rPr>
              <w:t>日。</w:t>
            </w:r>
          </w:p>
        </w:tc>
      </w:tr>
      <w:tr w14:paraId="7355D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Align w:val="center"/>
          </w:tcPr>
          <w:p w14:paraId="21F5BB86">
            <w:pPr>
              <w:spacing w:line="360" w:lineRule="auto"/>
              <w:jc w:val="center"/>
              <w:rPr>
                <w:rFonts w:hint="eastAsia" w:ascii="宋体" w:hAnsi="宋体" w:cs="宋体"/>
                <w:color w:val="auto"/>
                <w:szCs w:val="21"/>
              </w:rPr>
            </w:pPr>
            <w:r>
              <w:rPr>
                <w:rFonts w:hint="eastAsia" w:ascii="宋体" w:hAnsi="宋体" w:cs="宋体"/>
                <w:color w:val="auto"/>
                <w:szCs w:val="21"/>
              </w:rPr>
              <w:t>17.1</w:t>
            </w:r>
          </w:p>
        </w:tc>
        <w:tc>
          <w:tcPr>
            <w:tcW w:w="2390" w:type="dxa"/>
            <w:vAlign w:val="center"/>
          </w:tcPr>
          <w:p w14:paraId="5D4EA451">
            <w:pPr>
              <w:spacing w:line="360" w:lineRule="auto"/>
              <w:jc w:val="center"/>
              <w:rPr>
                <w:rFonts w:hint="eastAsia" w:ascii="宋体" w:hAnsi="宋体" w:cs="宋体"/>
                <w:b/>
                <w:bCs/>
                <w:color w:val="auto"/>
                <w:szCs w:val="21"/>
              </w:rPr>
            </w:pPr>
            <w:r>
              <w:rPr>
                <w:rFonts w:hint="eastAsia" w:ascii="宋体" w:hAnsi="宋体" w:cs="宋体"/>
                <w:b/>
                <w:bCs/>
                <w:color w:val="auto"/>
                <w:szCs w:val="21"/>
              </w:rPr>
              <w:t>磋商保证金</w:t>
            </w:r>
          </w:p>
        </w:tc>
        <w:tc>
          <w:tcPr>
            <w:tcW w:w="6416" w:type="dxa"/>
            <w:vAlign w:val="center"/>
          </w:tcPr>
          <w:p w14:paraId="7FE71BB3">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1.磋商保证金的金额：本项目不收取磋商保证金。</w:t>
            </w:r>
          </w:p>
          <w:p w14:paraId="55E98DFA">
            <w:pPr>
              <w:snapToGrid w:val="0"/>
              <w:spacing w:line="340" w:lineRule="exact"/>
              <w:rPr>
                <w:rFonts w:hint="eastAsia" w:ascii="宋体" w:hAnsi="宋体" w:cs="宋体"/>
                <w:color w:val="auto"/>
              </w:rPr>
            </w:pPr>
            <w:r>
              <w:rPr>
                <w:rFonts w:hint="eastAsia" w:ascii="宋体" w:hAnsi="宋体" w:cs="宋体"/>
                <w:color w:val="auto"/>
                <w:kern w:val="0"/>
                <w:szCs w:val="21"/>
              </w:rPr>
              <w:t>磋商</w:t>
            </w:r>
            <w:r>
              <w:rPr>
                <w:rFonts w:hint="eastAsia" w:ascii="宋体" w:hAnsi="宋体" w:cs="宋体"/>
                <w:color w:val="auto"/>
              </w:rPr>
              <w:t>保证金的交纳方式：银行转账、支票、汇票、本票或者银行、保险机构出具的保函（包含电子保函），禁止采用现钞方式。采用银行转账方式的，在截标截止时间前从供应商账户交至指定账户并且到账（</w:t>
            </w:r>
            <w:r>
              <w:rPr>
                <w:rFonts w:hint="eastAsia" w:ascii="宋体" w:hAnsi="宋体" w:cs="宋体"/>
                <w:b/>
                <w:bCs/>
                <w:color w:val="auto"/>
                <w:kern w:val="0"/>
                <w:szCs w:val="21"/>
              </w:rPr>
              <w:t>开户名称：/</w:t>
            </w:r>
            <w:r>
              <w:rPr>
                <w:rFonts w:hint="eastAsia" w:ascii="宋体" w:hAnsi="宋体" w:cs="宋体"/>
                <w:b/>
                <w:bCs/>
                <w:color w:val="auto"/>
                <w:szCs w:val="21"/>
              </w:rPr>
              <w:t>，开户银行：/，银行账号：</w:t>
            </w:r>
            <w:r>
              <w:rPr>
                <w:rFonts w:hint="eastAsia" w:ascii="宋体" w:hAnsi="宋体" w:cs="宋体"/>
                <w:b/>
                <w:bCs/>
                <w:color w:val="auto"/>
                <w:kern w:val="0"/>
                <w:szCs w:val="21"/>
              </w:rPr>
              <w:t>/）</w:t>
            </w:r>
            <w:r>
              <w:rPr>
                <w:rFonts w:hint="eastAsia" w:ascii="宋体" w:hAnsi="宋体" w:cs="宋体"/>
                <w:color w:val="auto"/>
              </w:rPr>
              <w:t>；采用支票、汇票、本票或者保函等方式的，在截标截止时间前，供应商必须递交单独密封的支票、汇票、本票或者保函原件。否则视为无效磋商保证金。</w:t>
            </w:r>
          </w:p>
          <w:p w14:paraId="76FEC516">
            <w:pPr>
              <w:snapToGrid w:val="0"/>
              <w:spacing w:line="340" w:lineRule="exact"/>
              <w:rPr>
                <w:rFonts w:hint="eastAsia" w:ascii="宋体" w:hAnsi="宋体" w:cs="宋体"/>
                <w:color w:val="auto"/>
                <w:szCs w:val="21"/>
              </w:rPr>
            </w:pPr>
            <w:r>
              <w:rPr>
                <w:rFonts w:hint="eastAsia" w:ascii="宋体" w:hAnsi="宋体" w:cs="宋体"/>
                <w:color w:val="auto"/>
                <w:szCs w:val="21"/>
              </w:rPr>
              <w:t>相关要求：</w:t>
            </w:r>
          </w:p>
          <w:p w14:paraId="66D75FD3">
            <w:pPr>
              <w:snapToGrid w:val="0"/>
              <w:spacing w:line="340" w:lineRule="exact"/>
              <w:rPr>
                <w:rFonts w:hint="eastAsia" w:ascii="宋体" w:hAnsi="宋体" w:cs="宋体"/>
                <w:color w:val="auto"/>
                <w:szCs w:val="21"/>
              </w:rPr>
            </w:pPr>
            <w:r>
              <w:rPr>
                <w:rFonts w:hint="eastAsia" w:ascii="宋体" w:hAnsi="宋体" w:cs="宋体"/>
                <w:color w:val="auto"/>
                <w:szCs w:val="21"/>
              </w:rPr>
              <w:t>1.磋商保证金采用银行转账交纳方式的，在响应文件提交截止时间前交至指定账户并且到账，供应商应将银行转账底单的复印件作为磋商保证金提交凭证，放置于响应文件中，</w:t>
            </w:r>
            <w:r>
              <w:rPr>
                <w:rFonts w:hint="eastAsia" w:ascii="宋体" w:hAnsi="宋体" w:cs="宋体"/>
                <w:b/>
                <w:color w:val="auto"/>
                <w:szCs w:val="21"/>
              </w:rPr>
              <w:t>否则响应文件按无效处理</w:t>
            </w:r>
            <w:r>
              <w:rPr>
                <w:rFonts w:hint="eastAsia" w:ascii="宋体" w:hAnsi="宋体" w:cs="宋体"/>
                <w:color w:val="auto"/>
                <w:szCs w:val="21"/>
              </w:rPr>
              <w:t>。</w:t>
            </w:r>
          </w:p>
          <w:p w14:paraId="6D02BE19">
            <w:pPr>
              <w:snapToGrid w:val="0"/>
              <w:spacing w:line="340" w:lineRule="exact"/>
              <w:rPr>
                <w:rFonts w:hint="eastAsia" w:ascii="宋体" w:hAnsi="宋体" w:cs="宋体"/>
                <w:color w:val="auto"/>
                <w:szCs w:val="21"/>
              </w:rPr>
            </w:pPr>
            <w:r>
              <w:rPr>
                <w:rFonts w:hint="eastAsia" w:ascii="宋体" w:hAnsi="宋体" w:cs="宋体"/>
                <w:color w:val="auto"/>
                <w:szCs w:val="21"/>
              </w:rPr>
              <w:t>2.磋商保证金采用支票、汇票、本票或者银行、保险机构出具的保函交纳方式的，供应商应将支票、汇票、本票或者银行、保险机构出具的保函的复印件作为磋商保证金提交凭证，放置于响应文件中，</w:t>
            </w:r>
            <w:r>
              <w:rPr>
                <w:rFonts w:hint="eastAsia" w:ascii="宋体" w:hAnsi="宋体" w:cs="宋体"/>
                <w:b/>
                <w:color w:val="auto"/>
                <w:szCs w:val="21"/>
              </w:rPr>
              <w:t>否则响应文件按无效处理</w:t>
            </w:r>
            <w:r>
              <w:rPr>
                <w:rFonts w:hint="eastAsia" w:ascii="宋体" w:hAnsi="宋体" w:cs="宋体"/>
                <w:color w:val="auto"/>
                <w:szCs w:val="21"/>
              </w:rPr>
              <w:t>。将</w:t>
            </w:r>
            <w:r>
              <w:rPr>
                <w:rFonts w:hint="eastAsia" w:ascii="宋体" w:hAnsi="宋体" w:cs="宋体"/>
                <w:color w:val="auto"/>
                <w:kern w:val="0"/>
                <w:szCs w:val="21"/>
              </w:rPr>
              <w:t>单独密封的</w:t>
            </w:r>
            <w:r>
              <w:rPr>
                <w:rFonts w:hint="eastAsia" w:ascii="宋体" w:hAnsi="宋体" w:cs="宋体"/>
                <w:color w:val="auto"/>
                <w:szCs w:val="21"/>
              </w:rPr>
              <w:t>支票、汇票、本票或者银行、保险机构出具的保函原件</w:t>
            </w:r>
            <w:r>
              <w:rPr>
                <w:rFonts w:hint="eastAsia" w:ascii="宋体" w:hAnsi="宋体" w:cs="宋体"/>
                <w:color w:val="auto"/>
              </w:rPr>
              <w:t>在截标截止时间前</w:t>
            </w:r>
            <w:r>
              <w:rPr>
                <w:rFonts w:hint="eastAsia" w:ascii="宋体" w:hAnsi="宋体" w:cs="宋体"/>
                <w:color w:val="auto"/>
                <w:szCs w:val="21"/>
              </w:rPr>
              <w:t>提交给采购人或者采购代理机构，由采购人或者采购代理机构向供应商出具回执（邮寄方式的除外），并妥善保管。</w:t>
            </w:r>
          </w:p>
          <w:p w14:paraId="34E6C3EB">
            <w:pPr>
              <w:snapToGrid w:val="0"/>
              <w:spacing w:line="340" w:lineRule="exact"/>
              <w:rPr>
                <w:rFonts w:hint="eastAsia" w:ascii="宋体" w:hAnsi="宋体" w:cs="宋体"/>
                <w:b/>
                <w:color w:val="auto"/>
                <w:szCs w:val="21"/>
              </w:rPr>
            </w:pPr>
            <w:r>
              <w:rPr>
                <w:rFonts w:hint="eastAsia" w:ascii="宋体" w:hAnsi="宋体" w:cs="宋体"/>
                <w:color w:val="auto"/>
                <w:szCs w:val="21"/>
              </w:rPr>
              <w:t>3.供应商为联合体的，可以由联合体中的一方或者多方共同交纳磋商保证金，其交纳的保证金对联合体各方均具有约束力。</w:t>
            </w:r>
          </w:p>
          <w:p w14:paraId="6D7EA169">
            <w:pPr>
              <w:snapToGrid w:val="0"/>
              <w:spacing w:line="340" w:lineRule="exact"/>
              <w:rPr>
                <w:rFonts w:hint="eastAsia" w:ascii="宋体" w:hAnsi="宋体" w:cs="宋体"/>
                <w:b/>
                <w:color w:val="auto"/>
                <w:szCs w:val="21"/>
              </w:rPr>
            </w:pPr>
            <w:r>
              <w:rPr>
                <w:rFonts w:hint="eastAsia" w:ascii="宋体" w:hAnsi="宋体" w:cs="宋体"/>
                <w:b/>
                <w:color w:val="auto"/>
                <w:szCs w:val="21"/>
              </w:rPr>
              <w:t xml:space="preserve">备注： </w:t>
            </w:r>
          </w:p>
          <w:p w14:paraId="19E0EBDE">
            <w:pPr>
              <w:snapToGrid w:val="0"/>
              <w:spacing w:line="340" w:lineRule="exact"/>
              <w:rPr>
                <w:rFonts w:hint="eastAsia" w:ascii="宋体" w:hAnsi="宋体" w:cs="宋体"/>
                <w:b/>
                <w:color w:val="auto"/>
                <w:szCs w:val="21"/>
              </w:rPr>
            </w:pPr>
            <w:r>
              <w:rPr>
                <w:rFonts w:hint="eastAsia" w:ascii="宋体" w:hAnsi="宋体" w:cs="宋体"/>
                <w:b/>
                <w:color w:val="auto"/>
                <w:szCs w:val="21"/>
              </w:rPr>
              <w:t>1.磋商保证金在响应文件提交截止时间后提交的，或者不按规定交纳方式交纳的，或者未足额交纳的（包含保函额度不足的），视为无效磋商保证金。</w:t>
            </w:r>
          </w:p>
          <w:p w14:paraId="16340B4E">
            <w:pPr>
              <w:snapToGrid w:val="0"/>
              <w:spacing w:line="340" w:lineRule="exact"/>
              <w:rPr>
                <w:rFonts w:hint="eastAsia" w:ascii="宋体" w:hAnsi="宋体" w:cs="宋体"/>
                <w:b/>
                <w:color w:val="auto"/>
                <w:szCs w:val="21"/>
              </w:rPr>
            </w:pPr>
            <w:r>
              <w:rPr>
                <w:rFonts w:hint="eastAsia" w:ascii="宋体" w:hAnsi="宋体" w:cs="宋体"/>
                <w:b/>
                <w:color w:val="auto"/>
                <w:szCs w:val="21"/>
              </w:rPr>
              <w:t>2.供应商采用现钞方式或者从个人账户（自然人竞标除外）转出的磋商保证金，视为无效磋商保证金。</w:t>
            </w:r>
          </w:p>
          <w:p w14:paraId="7D1159F4">
            <w:pPr>
              <w:snapToGrid w:val="0"/>
              <w:spacing w:line="340" w:lineRule="exact"/>
              <w:rPr>
                <w:rFonts w:hint="eastAsia" w:ascii="宋体" w:hAnsi="宋体" w:cs="宋体"/>
                <w:b/>
                <w:color w:val="auto"/>
                <w:szCs w:val="21"/>
              </w:rPr>
            </w:pPr>
            <w:r>
              <w:rPr>
                <w:rFonts w:hint="eastAsia" w:ascii="宋体" w:hAnsi="宋体" w:cs="宋体"/>
                <w:b/>
                <w:color w:val="auto"/>
                <w:szCs w:val="21"/>
              </w:rPr>
              <w:t>3.支票、汇票或者本票出现无效或者背书情形的，视为无效磋商保证金。</w:t>
            </w:r>
          </w:p>
          <w:p w14:paraId="7653FC6A">
            <w:pPr>
              <w:snapToGrid w:val="0"/>
              <w:spacing w:line="340" w:lineRule="exact"/>
              <w:rPr>
                <w:rFonts w:hint="eastAsia" w:ascii="宋体" w:hAnsi="宋体" w:cs="宋体"/>
                <w:b/>
                <w:color w:val="auto"/>
                <w:szCs w:val="21"/>
              </w:rPr>
            </w:pPr>
            <w:r>
              <w:rPr>
                <w:rFonts w:hint="eastAsia" w:ascii="宋体" w:hAnsi="宋体" w:cs="宋体"/>
                <w:b/>
                <w:color w:val="auto"/>
                <w:szCs w:val="21"/>
              </w:rPr>
              <w:t>4.保函有效期低于竞标有效期的，视为无效磋商保证金。</w:t>
            </w:r>
          </w:p>
          <w:p w14:paraId="67C47C20">
            <w:pPr>
              <w:autoSpaceDE w:val="0"/>
              <w:autoSpaceDN w:val="0"/>
              <w:snapToGrid w:val="0"/>
              <w:spacing w:line="360" w:lineRule="auto"/>
              <w:textAlignment w:val="bottom"/>
              <w:rPr>
                <w:rFonts w:hint="eastAsia" w:ascii="宋体" w:hAnsi="宋体" w:cs="宋体"/>
                <w:color w:val="auto"/>
                <w:szCs w:val="21"/>
              </w:rPr>
            </w:pPr>
            <w:r>
              <w:rPr>
                <w:rFonts w:hint="eastAsia" w:ascii="宋体" w:hAnsi="宋体" w:cs="宋体"/>
                <w:b/>
                <w:color w:val="auto"/>
                <w:szCs w:val="21"/>
              </w:rPr>
              <w:t>5.磋商保证金采用银行、保险机构出具的保函为有条件保函的，视为无效磋商保证金。</w:t>
            </w:r>
          </w:p>
        </w:tc>
      </w:tr>
      <w:tr w14:paraId="44288F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63" w:type="dxa"/>
            <w:vMerge w:val="restart"/>
            <w:vAlign w:val="center"/>
          </w:tcPr>
          <w:p w14:paraId="4B361993">
            <w:pPr>
              <w:spacing w:line="360" w:lineRule="auto"/>
              <w:jc w:val="center"/>
              <w:rPr>
                <w:rFonts w:hint="eastAsia" w:ascii="宋体" w:hAnsi="宋体" w:cs="宋体"/>
                <w:color w:val="auto"/>
                <w:szCs w:val="21"/>
              </w:rPr>
            </w:pPr>
            <w:r>
              <w:rPr>
                <w:rFonts w:hint="eastAsia" w:ascii="宋体" w:hAnsi="宋体" w:cs="宋体"/>
                <w:color w:val="auto"/>
                <w:szCs w:val="21"/>
              </w:rPr>
              <w:t>20.1</w:t>
            </w:r>
          </w:p>
        </w:tc>
        <w:tc>
          <w:tcPr>
            <w:tcW w:w="2390" w:type="dxa"/>
            <w:vAlign w:val="center"/>
          </w:tcPr>
          <w:p w14:paraId="5D55C1F1">
            <w:pPr>
              <w:spacing w:line="360" w:lineRule="auto"/>
              <w:jc w:val="center"/>
              <w:rPr>
                <w:rFonts w:hint="eastAsia" w:ascii="宋体" w:hAnsi="宋体" w:cs="宋体"/>
                <w:b/>
                <w:bCs/>
                <w:color w:val="auto"/>
                <w:szCs w:val="21"/>
              </w:rPr>
            </w:pPr>
            <w:r>
              <w:rPr>
                <w:rFonts w:hint="eastAsia" w:ascii="宋体" w:hAnsi="宋体" w:cs="宋体"/>
                <w:b/>
                <w:bCs/>
                <w:color w:val="auto"/>
                <w:szCs w:val="21"/>
              </w:rPr>
              <w:t>首次响应文件提交截止时间</w:t>
            </w:r>
          </w:p>
        </w:tc>
        <w:tc>
          <w:tcPr>
            <w:tcW w:w="6416" w:type="dxa"/>
            <w:vAlign w:val="center"/>
          </w:tcPr>
          <w:p w14:paraId="795866AF">
            <w:pPr>
              <w:snapToGrid w:val="0"/>
              <w:spacing w:line="360" w:lineRule="auto"/>
              <w:jc w:val="left"/>
              <w:rPr>
                <w:rFonts w:hint="eastAsia" w:ascii="宋体" w:hAnsi="宋体" w:cs="宋体"/>
                <w:color w:val="auto"/>
                <w:szCs w:val="21"/>
                <w:u w:val="single"/>
              </w:rPr>
            </w:pPr>
            <w:r>
              <w:rPr>
                <w:rFonts w:hint="eastAsia" w:ascii="宋体" w:hAnsi="宋体" w:cs="宋体"/>
                <w:color w:val="auto"/>
                <w:szCs w:val="21"/>
              </w:rPr>
              <w:t>详见竞争性磋商公告。</w:t>
            </w:r>
          </w:p>
        </w:tc>
      </w:tr>
      <w:tr w14:paraId="02D1D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63" w:type="dxa"/>
            <w:vMerge w:val="continue"/>
            <w:vAlign w:val="center"/>
          </w:tcPr>
          <w:p w14:paraId="14E22B80">
            <w:pPr>
              <w:spacing w:line="360" w:lineRule="auto"/>
              <w:jc w:val="center"/>
              <w:rPr>
                <w:rFonts w:hint="eastAsia" w:ascii="宋体" w:hAnsi="宋体" w:cs="宋体"/>
                <w:color w:val="auto"/>
                <w:szCs w:val="21"/>
              </w:rPr>
            </w:pPr>
          </w:p>
        </w:tc>
        <w:tc>
          <w:tcPr>
            <w:tcW w:w="2390" w:type="dxa"/>
            <w:vAlign w:val="center"/>
          </w:tcPr>
          <w:p w14:paraId="53FB837D">
            <w:pPr>
              <w:spacing w:line="360" w:lineRule="auto"/>
              <w:jc w:val="center"/>
              <w:rPr>
                <w:rFonts w:hint="eastAsia" w:ascii="宋体" w:hAnsi="宋体" w:cs="宋体"/>
                <w:b/>
                <w:bCs/>
                <w:color w:val="auto"/>
                <w:szCs w:val="21"/>
              </w:rPr>
            </w:pPr>
            <w:r>
              <w:rPr>
                <w:rFonts w:hint="eastAsia" w:ascii="宋体" w:hAnsi="宋体" w:cs="宋体"/>
                <w:b/>
                <w:bCs/>
                <w:color w:val="auto"/>
                <w:szCs w:val="21"/>
              </w:rPr>
              <w:t>首次响应文件开启时间</w:t>
            </w:r>
          </w:p>
        </w:tc>
        <w:tc>
          <w:tcPr>
            <w:tcW w:w="6416" w:type="dxa"/>
            <w:vAlign w:val="center"/>
          </w:tcPr>
          <w:p w14:paraId="5BF28EC7">
            <w:pPr>
              <w:snapToGrid w:val="0"/>
              <w:spacing w:line="360" w:lineRule="auto"/>
              <w:jc w:val="left"/>
              <w:rPr>
                <w:rFonts w:hint="eastAsia" w:ascii="宋体" w:hAnsi="宋体" w:cs="宋体"/>
                <w:color w:val="auto"/>
                <w:szCs w:val="21"/>
              </w:rPr>
            </w:pPr>
            <w:r>
              <w:rPr>
                <w:rFonts w:hint="eastAsia" w:ascii="宋体" w:hAnsi="宋体" w:cs="宋体"/>
                <w:color w:val="auto"/>
                <w:szCs w:val="21"/>
              </w:rPr>
              <w:t>详见竞争性磋商公告。</w:t>
            </w:r>
          </w:p>
        </w:tc>
      </w:tr>
      <w:tr w14:paraId="48966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63" w:type="dxa"/>
            <w:vMerge w:val="continue"/>
            <w:vAlign w:val="center"/>
          </w:tcPr>
          <w:p w14:paraId="0CB2601D">
            <w:pPr>
              <w:spacing w:line="360" w:lineRule="auto"/>
              <w:jc w:val="center"/>
              <w:rPr>
                <w:rFonts w:hint="eastAsia" w:ascii="宋体" w:hAnsi="宋体" w:cs="宋体"/>
                <w:color w:val="auto"/>
                <w:szCs w:val="21"/>
              </w:rPr>
            </w:pPr>
          </w:p>
        </w:tc>
        <w:tc>
          <w:tcPr>
            <w:tcW w:w="2390" w:type="dxa"/>
            <w:vAlign w:val="center"/>
          </w:tcPr>
          <w:p w14:paraId="4AF4F012">
            <w:pPr>
              <w:spacing w:line="360" w:lineRule="auto"/>
              <w:jc w:val="center"/>
              <w:rPr>
                <w:rFonts w:hint="eastAsia" w:ascii="宋体" w:hAnsi="宋体" w:cs="宋体"/>
                <w:b/>
                <w:bCs/>
                <w:color w:val="auto"/>
                <w:szCs w:val="21"/>
              </w:rPr>
            </w:pPr>
            <w:r>
              <w:rPr>
                <w:rFonts w:hint="eastAsia" w:ascii="宋体" w:hAnsi="宋体" w:cs="宋体"/>
                <w:b/>
                <w:bCs/>
                <w:color w:val="auto"/>
                <w:szCs w:val="21"/>
              </w:rPr>
              <w:t>首次响应文件提交地点</w:t>
            </w:r>
          </w:p>
        </w:tc>
        <w:tc>
          <w:tcPr>
            <w:tcW w:w="6416" w:type="dxa"/>
            <w:vAlign w:val="center"/>
          </w:tcPr>
          <w:p w14:paraId="6E4AF632">
            <w:pPr>
              <w:snapToGrid w:val="0"/>
              <w:spacing w:line="360" w:lineRule="auto"/>
              <w:jc w:val="left"/>
              <w:rPr>
                <w:rFonts w:hint="eastAsia" w:ascii="宋体" w:hAnsi="宋体" w:cs="宋体"/>
                <w:color w:val="auto"/>
                <w:szCs w:val="21"/>
                <w:u w:val="single"/>
              </w:rPr>
            </w:pPr>
            <w:r>
              <w:rPr>
                <w:rFonts w:hint="eastAsia" w:ascii="宋体" w:hAnsi="宋体" w:cs="宋体"/>
                <w:color w:val="auto"/>
                <w:szCs w:val="21"/>
              </w:rPr>
              <w:t>详见竞争性磋商公告。</w:t>
            </w:r>
          </w:p>
        </w:tc>
      </w:tr>
      <w:tr w14:paraId="098D7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63" w:type="dxa"/>
            <w:vAlign w:val="center"/>
          </w:tcPr>
          <w:p w14:paraId="4BE504D4">
            <w:pPr>
              <w:spacing w:line="360" w:lineRule="auto"/>
              <w:jc w:val="center"/>
              <w:rPr>
                <w:rFonts w:hint="eastAsia" w:ascii="宋体" w:hAnsi="宋体" w:cs="宋体"/>
                <w:color w:val="auto"/>
                <w:szCs w:val="21"/>
              </w:rPr>
            </w:pPr>
            <w:r>
              <w:rPr>
                <w:rFonts w:hint="eastAsia" w:ascii="宋体" w:hAnsi="宋体" w:cs="宋体"/>
                <w:color w:val="auto"/>
                <w:szCs w:val="21"/>
              </w:rPr>
              <w:t>20.6</w:t>
            </w:r>
          </w:p>
        </w:tc>
        <w:tc>
          <w:tcPr>
            <w:tcW w:w="2390" w:type="dxa"/>
            <w:vAlign w:val="center"/>
          </w:tcPr>
          <w:p w14:paraId="01F685F5">
            <w:pPr>
              <w:spacing w:line="360" w:lineRule="auto"/>
              <w:jc w:val="center"/>
              <w:rPr>
                <w:rFonts w:hint="eastAsia" w:ascii="宋体" w:hAnsi="宋体" w:cs="宋体"/>
                <w:b/>
                <w:bCs/>
                <w:color w:val="auto"/>
                <w:szCs w:val="21"/>
              </w:rPr>
            </w:pPr>
            <w:r>
              <w:rPr>
                <w:rFonts w:hint="eastAsia" w:ascii="宋体" w:hAnsi="宋体" w:cs="宋体"/>
                <w:b/>
                <w:bCs/>
                <w:color w:val="auto"/>
                <w:szCs w:val="21"/>
              </w:rPr>
              <w:t>备份响应文件</w:t>
            </w:r>
          </w:p>
        </w:tc>
        <w:tc>
          <w:tcPr>
            <w:tcW w:w="6416" w:type="dxa"/>
            <w:vAlign w:val="center"/>
          </w:tcPr>
          <w:p w14:paraId="5EEE4ECF">
            <w:pPr>
              <w:snapToGrid w:val="0"/>
              <w:spacing w:line="360" w:lineRule="auto"/>
              <w:jc w:val="left"/>
              <w:rPr>
                <w:rFonts w:hint="eastAsia" w:ascii="宋体" w:hAnsi="宋体" w:cs="宋体"/>
                <w:color w:val="auto"/>
                <w:szCs w:val="21"/>
              </w:rPr>
            </w:pPr>
            <w:r>
              <w:rPr>
                <w:rFonts w:hint="eastAsia" w:ascii="宋体" w:hAnsi="宋体" w:cs="宋体"/>
                <w:color w:val="auto"/>
                <w:szCs w:val="21"/>
              </w:rPr>
              <w:t>本项目不接受备份响应文件。</w:t>
            </w:r>
          </w:p>
        </w:tc>
      </w:tr>
      <w:tr w14:paraId="77E83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63" w:type="dxa"/>
            <w:vMerge w:val="restart"/>
            <w:vAlign w:val="center"/>
          </w:tcPr>
          <w:p w14:paraId="04FA95FE">
            <w:pPr>
              <w:spacing w:line="360" w:lineRule="auto"/>
              <w:jc w:val="center"/>
              <w:rPr>
                <w:rFonts w:hint="eastAsia" w:ascii="宋体" w:hAnsi="宋体" w:cs="宋体"/>
                <w:color w:val="auto"/>
                <w:szCs w:val="21"/>
              </w:rPr>
            </w:pPr>
            <w:r>
              <w:rPr>
                <w:rFonts w:hint="eastAsia" w:ascii="宋体" w:hAnsi="宋体" w:cs="宋体"/>
                <w:color w:val="auto"/>
                <w:szCs w:val="21"/>
              </w:rPr>
              <w:t>26</w:t>
            </w:r>
          </w:p>
        </w:tc>
        <w:tc>
          <w:tcPr>
            <w:tcW w:w="2390" w:type="dxa"/>
            <w:vAlign w:val="center"/>
          </w:tcPr>
          <w:p w14:paraId="6DA0AD9E">
            <w:pPr>
              <w:spacing w:line="360" w:lineRule="auto"/>
              <w:jc w:val="center"/>
              <w:rPr>
                <w:rFonts w:hint="eastAsia" w:ascii="宋体" w:hAnsi="宋体" w:cs="宋体"/>
                <w:b/>
                <w:bCs/>
                <w:color w:val="auto"/>
                <w:szCs w:val="21"/>
              </w:rPr>
            </w:pPr>
            <w:r>
              <w:rPr>
                <w:rFonts w:hint="eastAsia" w:ascii="宋体" w:hAnsi="宋体" w:cs="宋体"/>
                <w:b/>
                <w:bCs/>
                <w:color w:val="auto"/>
                <w:szCs w:val="21"/>
              </w:rPr>
              <w:t>负偏离要求</w:t>
            </w:r>
          </w:p>
        </w:tc>
        <w:tc>
          <w:tcPr>
            <w:tcW w:w="6416" w:type="dxa"/>
            <w:vAlign w:val="center"/>
          </w:tcPr>
          <w:p w14:paraId="005169E6">
            <w:pPr>
              <w:snapToGrid w:val="0"/>
              <w:spacing w:line="360" w:lineRule="auto"/>
              <w:rPr>
                <w:rFonts w:hint="eastAsia" w:ascii="宋体" w:hAnsi="宋体" w:cs="宋体"/>
                <w:color w:val="auto"/>
                <w:szCs w:val="21"/>
              </w:rPr>
            </w:pPr>
            <w:r>
              <w:rPr>
                <w:rFonts w:hint="eastAsia" w:ascii="宋体" w:hAnsi="宋体" w:cs="宋体"/>
                <w:color w:val="auto"/>
                <w:szCs w:val="21"/>
              </w:rPr>
              <w:t>商务条款中允许负偏离的条款数为</w:t>
            </w:r>
            <w:r>
              <w:rPr>
                <w:rFonts w:hint="eastAsia" w:ascii="宋体" w:hAnsi="宋体" w:cs="宋体"/>
                <w:color w:val="auto"/>
                <w:szCs w:val="21"/>
                <w:u w:val="single"/>
              </w:rPr>
              <w:t xml:space="preserve">   0   </w:t>
            </w:r>
            <w:r>
              <w:rPr>
                <w:rFonts w:hint="eastAsia" w:ascii="宋体" w:hAnsi="宋体" w:cs="宋体"/>
                <w:color w:val="auto"/>
                <w:szCs w:val="21"/>
              </w:rPr>
              <w:t>项。</w:t>
            </w:r>
          </w:p>
          <w:p w14:paraId="7C4825BA">
            <w:pPr>
              <w:snapToGrid w:val="0"/>
              <w:spacing w:line="360" w:lineRule="auto"/>
              <w:rPr>
                <w:rFonts w:hint="eastAsia" w:ascii="宋体" w:hAnsi="宋体" w:cs="宋体"/>
                <w:color w:val="auto"/>
                <w:szCs w:val="21"/>
              </w:rPr>
            </w:pPr>
            <w:r>
              <w:rPr>
                <w:rFonts w:hint="eastAsia" w:ascii="宋体" w:hAnsi="宋体" w:cs="宋体"/>
                <w:color w:val="auto"/>
                <w:szCs w:val="21"/>
              </w:rPr>
              <w:t>技术要求中允许负偏离的条款数为</w:t>
            </w:r>
            <w:r>
              <w:rPr>
                <w:rFonts w:hint="eastAsia" w:ascii="宋体" w:hAnsi="宋体" w:cs="宋体"/>
                <w:color w:val="auto"/>
                <w:szCs w:val="21"/>
                <w:u w:val="single"/>
              </w:rPr>
              <w:t xml:space="preserve">   0   </w:t>
            </w:r>
            <w:r>
              <w:rPr>
                <w:rFonts w:hint="eastAsia" w:ascii="宋体" w:hAnsi="宋体" w:cs="宋体"/>
                <w:color w:val="auto"/>
                <w:szCs w:val="21"/>
              </w:rPr>
              <w:t>项。</w:t>
            </w:r>
          </w:p>
        </w:tc>
      </w:tr>
      <w:tr w14:paraId="519DA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63" w:type="dxa"/>
            <w:vMerge w:val="continue"/>
            <w:vAlign w:val="center"/>
          </w:tcPr>
          <w:p w14:paraId="51AA16A3">
            <w:pPr>
              <w:spacing w:line="360" w:lineRule="auto"/>
              <w:jc w:val="center"/>
              <w:rPr>
                <w:rFonts w:hint="eastAsia" w:ascii="宋体" w:hAnsi="宋体" w:cs="宋体"/>
                <w:color w:val="auto"/>
                <w:szCs w:val="21"/>
              </w:rPr>
            </w:pPr>
          </w:p>
        </w:tc>
        <w:tc>
          <w:tcPr>
            <w:tcW w:w="2390" w:type="dxa"/>
            <w:vAlign w:val="center"/>
          </w:tcPr>
          <w:p w14:paraId="77335337">
            <w:pPr>
              <w:snapToGrid w:val="0"/>
              <w:spacing w:line="360" w:lineRule="auto"/>
              <w:jc w:val="center"/>
              <w:rPr>
                <w:rFonts w:hint="eastAsia" w:ascii="宋体" w:hAnsi="宋体" w:cs="宋体"/>
                <w:b/>
                <w:bCs/>
                <w:color w:val="auto"/>
                <w:szCs w:val="21"/>
              </w:rPr>
            </w:pPr>
            <w:r>
              <w:rPr>
                <w:rFonts w:hint="eastAsia" w:ascii="宋体" w:hAnsi="宋体" w:cs="宋体"/>
                <w:b/>
                <w:bCs/>
                <w:color w:val="auto"/>
                <w:szCs w:val="21"/>
              </w:rPr>
              <w:t>评审方法</w:t>
            </w:r>
          </w:p>
        </w:tc>
        <w:tc>
          <w:tcPr>
            <w:tcW w:w="6416" w:type="dxa"/>
            <w:vAlign w:val="center"/>
          </w:tcPr>
          <w:p w14:paraId="14ADEEFE">
            <w:pPr>
              <w:pStyle w:val="17"/>
              <w:spacing w:line="360" w:lineRule="auto"/>
              <w:rPr>
                <w:rFonts w:hint="eastAsia" w:ascii="宋体" w:hAnsi="宋体" w:cs="宋体"/>
                <w:color w:val="auto"/>
                <w:szCs w:val="21"/>
              </w:rPr>
            </w:pPr>
            <w:r>
              <w:rPr>
                <w:rFonts w:hint="eastAsia"/>
                <w:color w:val="auto"/>
              </w:rPr>
              <w:t>本项目采用综合评分法。综合评分法是指响应文件满足竞争性磋商文件全部实质性要求且按评审因素的量化指标评审得分最高的供应商为成交候选供应商的评审方法。</w:t>
            </w:r>
          </w:p>
        </w:tc>
      </w:tr>
      <w:tr w14:paraId="7B0E9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Merge w:val="continue"/>
            <w:vAlign w:val="center"/>
          </w:tcPr>
          <w:p w14:paraId="6AB02767">
            <w:pPr>
              <w:spacing w:line="360" w:lineRule="auto"/>
              <w:jc w:val="center"/>
              <w:rPr>
                <w:rFonts w:hint="eastAsia" w:ascii="宋体" w:hAnsi="宋体" w:cs="宋体"/>
                <w:color w:val="auto"/>
                <w:szCs w:val="21"/>
              </w:rPr>
            </w:pPr>
          </w:p>
        </w:tc>
        <w:tc>
          <w:tcPr>
            <w:tcW w:w="2390" w:type="dxa"/>
            <w:vAlign w:val="center"/>
          </w:tcPr>
          <w:p w14:paraId="67AE1D0B">
            <w:pPr>
              <w:snapToGrid w:val="0"/>
              <w:spacing w:line="360" w:lineRule="auto"/>
              <w:jc w:val="center"/>
              <w:rPr>
                <w:rFonts w:hint="eastAsia" w:ascii="宋体" w:hAnsi="宋体" w:cs="宋体"/>
                <w:b/>
                <w:bCs/>
                <w:color w:val="auto"/>
                <w:szCs w:val="21"/>
              </w:rPr>
            </w:pPr>
            <w:r>
              <w:rPr>
                <w:rFonts w:hint="eastAsia" w:ascii="宋体" w:hAnsi="宋体" w:cs="宋体"/>
                <w:b/>
                <w:bCs/>
                <w:color w:val="auto"/>
                <w:szCs w:val="21"/>
              </w:rPr>
              <w:t>磋商的顺序</w:t>
            </w:r>
          </w:p>
        </w:tc>
        <w:tc>
          <w:tcPr>
            <w:tcW w:w="6416" w:type="dxa"/>
            <w:vAlign w:val="center"/>
          </w:tcPr>
          <w:p w14:paraId="7B37F956">
            <w:pPr>
              <w:pStyle w:val="17"/>
              <w:spacing w:line="360" w:lineRule="auto"/>
              <w:rPr>
                <w:color w:val="auto"/>
              </w:rPr>
            </w:pPr>
            <w:r>
              <w:rPr>
                <w:rFonts w:hint="eastAsia"/>
                <w:color w:val="auto"/>
              </w:rPr>
              <w:t>□按照提交首次响应文件的顺序，通知磋商时，若某供应商不在通知现场时，该供应商排序到最后磋商，按照签到的顺序由其下一位供应商先参与磋商。</w:t>
            </w:r>
          </w:p>
          <w:p w14:paraId="25E29474">
            <w:pPr>
              <w:pStyle w:val="17"/>
              <w:spacing w:line="360" w:lineRule="auto"/>
              <w:rPr>
                <w:rFonts w:hint="eastAsia" w:ascii="宋体" w:hAnsi="宋体" w:cs="宋体"/>
                <w:b/>
                <w:color w:val="auto"/>
                <w:szCs w:val="21"/>
              </w:rPr>
            </w:pPr>
            <w:r>
              <w:rPr>
                <w:rFonts w:hint="eastAsia"/>
                <w:color w:val="auto"/>
              </w:rPr>
              <w:t>☑随机排序。</w:t>
            </w:r>
          </w:p>
        </w:tc>
      </w:tr>
      <w:tr w14:paraId="3243F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Align w:val="center"/>
          </w:tcPr>
          <w:p w14:paraId="200DC8C0">
            <w:pPr>
              <w:spacing w:line="360" w:lineRule="auto"/>
              <w:jc w:val="center"/>
              <w:rPr>
                <w:rFonts w:hint="eastAsia" w:ascii="宋体" w:hAnsi="宋体" w:cs="宋体"/>
                <w:color w:val="auto"/>
                <w:szCs w:val="21"/>
              </w:rPr>
            </w:pPr>
            <w:r>
              <w:rPr>
                <w:rFonts w:hint="eastAsia" w:ascii="宋体" w:hAnsi="宋体" w:cs="宋体"/>
                <w:color w:val="auto"/>
                <w:szCs w:val="21"/>
              </w:rPr>
              <w:t>28</w:t>
            </w:r>
          </w:p>
        </w:tc>
        <w:tc>
          <w:tcPr>
            <w:tcW w:w="2390" w:type="dxa"/>
            <w:vAlign w:val="center"/>
          </w:tcPr>
          <w:p w14:paraId="194F073C">
            <w:pPr>
              <w:spacing w:line="360" w:lineRule="auto"/>
              <w:jc w:val="center"/>
              <w:rPr>
                <w:rFonts w:hint="eastAsia" w:ascii="宋体" w:hAnsi="宋体" w:cs="宋体"/>
                <w:b/>
                <w:bCs/>
                <w:color w:val="auto"/>
                <w:szCs w:val="21"/>
              </w:rPr>
            </w:pPr>
            <w:r>
              <w:rPr>
                <w:rFonts w:hint="eastAsia" w:ascii="宋体" w:hAnsi="宋体" w:cs="宋体"/>
                <w:b/>
                <w:bCs/>
                <w:color w:val="auto"/>
                <w:szCs w:val="21"/>
              </w:rPr>
              <w:t>履约保证金</w:t>
            </w:r>
          </w:p>
        </w:tc>
        <w:tc>
          <w:tcPr>
            <w:tcW w:w="6416" w:type="dxa"/>
            <w:vAlign w:val="center"/>
          </w:tcPr>
          <w:p w14:paraId="30AFAD93">
            <w:pPr>
              <w:autoSpaceDE w:val="0"/>
              <w:autoSpaceDN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本项目不收取履约保证金。</w:t>
            </w:r>
          </w:p>
          <w:p w14:paraId="55B47E9C">
            <w:pPr>
              <w:autoSpaceDE w:val="0"/>
              <w:autoSpaceDN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本项目收取履约保证金，具体规定如下：</w:t>
            </w:r>
          </w:p>
          <w:p w14:paraId="17304E89">
            <w:pPr>
              <w:autoSpaceDE w:val="0"/>
              <w:autoSpaceDN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履约保证金金额：履约保证金按成交金额的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C4B041D">
            <w:pPr>
              <w:autoSpaceDE w:val="0"/>
              <w:autoSpaceDN w:val="0"/>
              <w:snapToGrid w:val="0"/>
              <w:spacing w:line="400" w:lineRule="exact"/>
              <w:textAlignment w:val="bottom"/>
              <w:rPr>
                <w:rFonts w:hint="eastAsia" w:ascii="宋体" w:hAnsi="宋体" w:cs="宋体"/>
                <w:color w:val="auto"/>
                <w:szCs w:val="21"/>
              </w:rPr>
            </w:pPr>
            <w:r>
              <w:rPr>
                <w:rFonts w:hint="eastAsia" w:ascii="宋体" w:hAnsi="宋体" w:cs="宋体"/>
                <w:color w:val="auto"/>
                <w:szCs w:val="21"/>
              </w:rPr>
              <w:t>履约保证金递交方式：银行转账、支票、汇票、本票或者银行、保险机构出具的保函等非现金方式</w:t>
            </w:r>
          </w:p>
          <w:p w14:paraId="0BA24AB9">
            <w:pPr>
              <w:autoSpaceDE w:val="0"/>
              <w:autoSpaceDN w:val="0"/>
              <w:snapToGrid w:val="0"/>
              <w:spacing w:line="400" w:lineRule="exact"/>
              <w:textAlignment w:val="bottom"/>
              <w:rPr>
                <w:rFonts w:hint="eastAsia" w:ascii="宋体" w:hAnsi="宋体" w:cs="宋体"/>
                <w:color w:val="auto"/>
                <w:szCs w:val="21"/>
              </w:rPr>
            </w:pPr>
            <w:r>
              <w:rPr>
                <w:rFonts w:hint="eastAsia" w:ascii="宋体" w:hAnsi="宋体" w:cs="宋体"/>
                <w:color w:val="auto"/>
                <w:szCs w:val="21"/>
              </w:rPr>
              <w:t>履约保证金退付方式、时间及条件：</w:t>
            </w:r>
          </w:p>
          <w:p w14:paraId="3EC2A68D">
            <w:pPr>
              <w:autoSpaceDE w:val="0"/>
              <w:autoSpaceDN w:val="0"/>
              <w:snapToGrid w:val="0"/>
              <w:spacing w:line="400" w:lineRule="exact"/>
              <w:textAlignment w:val="bottom"/>
              <w:rPr>
                <w:rFonts w:hint="eastAsia" w:ascii="宋体" w:hAnsi="宋体" w:cs="宋体"/>
                <w:color w:val="auto"/>
                <w:szCs w:val="21"/>
              </w:rPr>
            </w:pPr>
            <w:r>
              <w:rPr>
                <w:rFonts w:hint="eastAsia" w:ascii="宋体" w:hAnsi="宋体" w:cs="宋体"/>
                <w:color w:val="auto"/>
                <w:szCs w:val="21"/>
              </w:rPr>
              <w:t>（1）履约保证金在成交供应商按合同约定履行合同且验收合格后，由成交供应商凭《广西壮族自治区政府采购项目合同验收书》（详见附表）向采购人申请办理履约保证金退还手续，采购人在收到合格材料后5个工作日内以银行转账方式退还。如成交供应商不按双方签订的合同规定履约或验收不合格的，采购人有权扣除或没收其履约保证金，履约保证金不足以赔偿损失的，按实际损失赔偿。</w:t>
            </w:r>
          </w:p>
          <w:p w14:paraId="077971E4">
            <w:pPr>
              <w:autoSpaceDE w:val="0"/>
              <w:autoSpaceDN w:val="0"/>
              <w:snapToGrid w:val="0"/>
              <w:spacing w:line="400" w:lineRule="exact"/>
              <w:textAlignment w:val="bottom"/>
              <w:rPr>
                <w:rFonts w:hint="eastAsia" w:ascii="宋体" w:hAnsi="宋体" w:cs="宋体"/>
                <w:color w:val="auto"/>
                <w:szCs w:val="21"/>
              </w:rPr>
            </w:pPr>
            <w:r>
              <w:rPr>
                <w:rFonts w:hint="eastAsia" w:ascii="宋体" w:hAnsi="宋体" w:cs="宋体"/>
                <w:color w:val="auto"/>
                <w:szCs w:val="21"/>
              </w:rPr>
              <w:t>（2）在履约保证金退还日期前，若成交供应商的开户名称、开户银行、账号有变动的，请以书面形式通知履约保证金收取单位，否则由此产生的后果由成交供应商自负。</w:t>
            </w:r>
          </w:p>
          <w:p w14:paraId="72E348D0">
            <w:pPr>
              <w:autoSpaceDE w:val="0"/>
              <w:autoSpaceDN w:val="0"/>
              <w:snapToGrid w:val="0"/>
              <w:spacing w:line="400" w:lineRule="exact"/>
              <w:textAlignment w:val="bottom"/>
              <w:rPr>
                <w:rFonts w:hint="eastAsia" w:ascii="宋体" w:hAnsi="宋体" w:cs="宋体"/>
                <w:color w:val="auto"/>
                <w:szCs w:val="21"/>
              </w:rPr>
            </w:pPr>
            <w:r>
              <w:rPr>
                <w:rFonts w:hint="eastAsia" w:ascii="宋体" w:hAnsi="宋体" w:cs="宋体"/>
                <w:color w:val="auto"/>
                <w:szCs w:val="21"/>
              </w:rPr>
              <w:t>（3）成交供应商在签订合同后存在违约情形的，履约保证金不予退还。履约保证金不足以赔偿损失的，按实际损失赔偿。</w:t>
            </w:r>
          </w:p>
          <w:p w14:paraId="329CB553">
            <w:pPr>
              <w:autoSpaceDE w:val="0"/>
              <w:autoSpaceDN w:val="0"/>
              <w:snapToGrid w:val="0"/>
              <w:spacing w:line="400" w:lineRule="exact"/>
              <w:textAlignment w:val="bottom"/>
              <w:rPr>
                <w:rFonts w:hint="eastAsia" w:ascii="宋体" w:hAnsi="宋体" w:cs="宋体"/>
                <w:color w:val="auto"/>
                <w:szCs w:val="21"/>
              </w:rPr>
            </w:pPr>
            <w:r>
              <w:rPr>
                <w:rFonts w:hint="eastAsia" w:ascii="宋体" w:hAnsi="宋体" w:cs="宋体"/>
                <w:color w:val="auto"/>
                <w:szCs w:val="21"/>
              </w:rPr>
              <w:t>履约保证金指定账户：</w:t>
            </w:r>
          </w:p>
          <w:p w14:paraId="07EE8BE9">
            <w:pPr>
              <w:autoSpaceDE w:val="0"/>
              <w:autoSpaceDN w:val="0"/>
              <w:snapToGrid w:val="0"/>
              <w:spacing w:line="400" w:lineRule="exact"/>
              <w:textAlignment w:val="bottom"/>
              <w:rPr>
                <w:rFonts w:hint="eastAsia" w:ascii="宋体" w:hAnsi="宋体" w:cs="宋体"/>
                <w:color w:val="auto"/>
                <w:szCs w:val="21"/>
              </w:rPr>
            </w:pPr>
            <w:r>
              <w:rPr>
                <w:rFonts w:hint="eastAsia" w:ascii="宋体" w:hAnsi="宋体" w:cs="宋体"/>
                <w:color w:val="auto"/>
                <w:szCs w:val="21"/>
              </w:rPr>
              <w:t>开户名：</w:t>
            </w:r>
          </w:p>
          <w:p w14:paraId="6EA089D3">
            <w:pPr>
              <w:autoSpaceDE w:val="0"/>
              <w:autoSpaceDN w:val="0"/>
              <w:snapToGrid w:val="0"/>
              <w:spacing w:line="400" w:lineRule="exact"/>
              <w:textAlignment w:val="bottom"/>
              <w:rPr>
                <w:rFonts w:hint="eastAsia" w:ascii="宋体" w:hAnsi="宋体" w:cs="宋体"/>
                <w:color w:val="auto"/>
                <w:szCs w:val="21"/>
              </w:rPr>
            </w:pPr>
            <w:r>
              <w:rPr>
                <w:rFonts w:hint="eastAsia" w:ascii="宋体" w:hAnsi="宋体" w:cs="宋体"/>
                <w:color w:val="auto"/>
                <w:szCs w:val="21"/>
              </w:rPr>
              <w:t>开户行：</w:t>
            </w:r>
          </w:p>
          <w:p w14:paraId="3D3001DA">
            <w:pPr>
              <w:autoSpaceDE w:val="0"/>
              <w:autoSpaceDN w:val="0"/>
              <w:snapToGrid w:val="0"/>
              <w:spacing w:line="400" w:lineRule="exact"/>
              <w:textAlignment w:val="bottom"/>
              <w:rPr>
                <w:rFonts w:hint="eastAsia" w:ascii="宋体" w:hAnsi="宋体" w:cs="宋体"/>
                <w:color w:val="auto"/>
                <w:szCs w:val="21"/>
              </w:rPr>
            </w:pPr>
            <w:r>
              <w:rPr>
                <w:rFonts w:hint="eastAsia" w:ascii="宋体" w:hAnsi="宋体" w:cs="宋体"/>
                <w:color w:val="auto"/>
                <w:szCs w:val="21"/>
              </w:rPr>
              <w:t>账  号：</w:t>
            </w:r>
          </w:p>
          <w:p w14:paraId="50E92714">
            <w:pPr>
              <w:adjustRightInd w:val="0"/>
              <w:spacing w:line="400" w:lineRule="exact"/>
              <w:jc w:val="left"/>
              <w:rPr>
                <w:rFonts w:hint="eastAsia" w:ascii="宋体" w:hAnsi="宋体" w:cs="宋体"/>
                <w:color w:val="auto"/>
                <w:szCs w:val="21"/>
              </w:rPr>
            </w:pPr>
            <w:r>
              <w:rPr>
                <w:rFonts w:hint="eastAsia" w:ascii="宋体" w:hAnsi="宋体" w:cs="宋体"/>
                <w:color w:val="auto"/>
                <w:szCs w:val="21"/>
              </w:rPr>
              <w:t>备    注：</w:t>
            </w:r>
          </w:p>
          <w:p w14:paraId="07596924">
            <w:pPr>
              <w:snapToGrid w:val="0"/>
              <w:spacing w:line="400" w:lineRule="exact"/>
              <w:rPr>
                <w:rFonts w:hint="eastAsia" w:ascii="宋体" w:hAnsi="宋体" w:cs="宋体"/>
                <w:b/>
                <w:color w:val="auto"/>
                <w:szCs w:val="21"/>
              </w:rPr>
            </w:pPr>
            <w:r>
              <w:rPr>
                <w:rFonts w:hint="eastAsia" w:ascii="宋体" w:hAnsi="宋体" w:cs="宋体"/>
                <w:b/>
                <w:color w:val="auto"/>
                <w:szCs w:val="21"/>
              </w:rPr>
              <w:t>1.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69785C2B">
            <w:pPr>
              <w:spacing w:line="360" w:lineRule="auto"/>
              <w:rPr>
                <w:rFonts w:hint="eastAsia" w:ascii="宋体" w:hAnsi="宋体" w:cs="宋体"/>
                <w:color w:val="auto"/>
                <w:szCs w:val="21"/>
              </w:rPr>
            </w:pPr>
            <w:r>
              <w:rPr>
                <w:rFonts w:hint="eastAsia" w:ascii="宋体" w:hAnsi="宋体" w:cs="宋体"/>
                <w:b/>
                <w:color w:val="auto"/>
                <w:szCs w:val="21"/>
              </w:rPr>
              <w:t>2.采用银行、保险机构出具的保函的，必须为无条件保函，否则不予签订合同。</w:t>
            </w:r>
          </w:p>
        </w:tc>
      </w:tr>
      <w:tr w14:paraId="6F824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Align w:val="center"/>
          </w:tcPr>
          <w:p w14:paraId="19881682">
            <w:pPr>
              <w:spacing w:line="360" w:lineRule="auto"/>
              <w:jc w:val="center"/>
              <w:rPr>
                <w:rFonts w:hint="eastAsia" w:ascii="宋体" w:hAnsi="宋体" w:cs="宋体"/>
                <w:color w:val="auto"/>
                <w:szCs w:val="21"/>
              </w:rPr>
            </w:pPr>
            <w:r>
              <w:rPr>
                <w:rFonts w:hint="eastAsia" w:ascii="宋体" w:hAnsi="宋体" w:cs="宋体"/>
                <w:color w:val="auto"/>
                <w:szCs w:val="21"/>
              </w:rPr>
              <w:t>29.5</w:t>
            </w:r>
          </w:p>
        </w:tc>
        <w:tc>
          <w:tcPr>
            <w:tcW w:w="2390" w:type="dxa"/>
            <w:vAlign w:val="center"/>
          </w:tcPr>
          <w:p w14:paraId="402BABC5">
            <w:pPr>
              <w:spacing w:line="360" w:lineRule="auto"/>
              <w:jc w:val="center"/>
              <w:rPr>
                <w:rFonts w:hint="eastAsia" w:ascii="宋体" w:hAnsi="宋体" w:cs="宋体"/>
                <w:b/>
                <w:bCs/>
                <w:color w:val="auto"/>
                <w:szCs w:val="21"/>
              </w:rPr>
            </w:pPr>
            <w:r>
              <w:rPr>
                <w:rFonts w:hint="eastAsia" w:ascii="宋体" w:hAnsi="宋体" w:cs="宋体"/>
                <w:b/>
                <w:bCs/>
                <w:color w:val="auto"/>
                <w:szCs w:val="21"/>
              </w:rPr>
              <w:t>签订合同携带的材料</w:t>
            </w:r>
          </w:p>
        </w:tc>
        <w:tc>
          <w:tcPr>
            <w:tcW w:w="6416" w:type="dxa"/>
            <w:vAlign w:val="center"/>
          </w:tcPr>
          <w:p w14:paraId="5325B394">
            <w:pPr>
              <w:autoSpaceDE w:val="0"/>
              <w:autoSpaceDN w:val="0"/>
              <w:snapToGrid w:val="0"/>
              <w:spacing w:line="360" w:lineRule="auto"/>
              <w:textAlignment w:val="bottom"/>
              <w:rPr>
                <w:rFonts w:hint="eastAsia" w:ascii="宋体" w:hAnsi="宋体" w:cs="宋体"/>
                <w:color w:val="auto"/>
                <w:szCs w:val="21"/>
              </w:rPr>
            </w:pPr>
            <w:r>
              <w:rPr>
                <w:rFonts w:hint="eastAsia" w:ascii="宋体" w:hAnsi="宋体" w:cs="宋体"/>
                <w:color w:val="auto"/>
                <w:szCs w:val="21"/>
              </w:rPr>
              <w:t>委托代理人负责签订合同的，须携带有效的法定代表人授权委托书及其委托代理人身份证原件等其他资格证件。</w:t>
            </w:r>
          </w:p>
          <w:p w14:paraId="5A4DD1CA">
            <w:pPr>
              <w:snapToGrid w:val="0"/>
              <w:spacing w:line="360" w:lineRule="auto"/>
              <w:rPr>
                <w:rFonts w:hint="eastAsia" w:ascii="宋体" w:hAnsi="宋体" w:cs="宋体"/>
                <w:b/>
                <w:bCs/>
                <w:i/>
                <w:iCs/>
                <w:color w:val="auto"/>
                <w:szCs w:val="21"/>
              </w:rPr>
            </w:pPr>
            <w:r>
              <w:rPr>
                <w:rFonts w:hint="eastAsia" w:ascii="宋体" w:hAnsi="宋体" w:cs="宋体"/>
                <w:color w:val="auto"/>
                <w:szCs w:val="21"/>
              </w:rPr>
              <w:t>法定代表人负责签订合同的，须携带法定代表人身份证明原件及身份证原件等其他证明材料。</w:t>
            </w:r>
          </w:p>
        </w:tc>
      </w:tr>
      <w:tr w14:paraId="3FD95D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Merge w:val="restart"/>
            <w:vAlign w:val="center"/>
          </w:tcPr>
          <w:p w14:paraId="7A2D97A4">
            <w:pPr>
              <w:spacing w:line="360" w:lineRule="auto"/>
              <w:jc w:val="center"/>
              <w:rPr>
                <w:rFonts w:hint="eastAsia" w:ascii="宋体" w:hAnsi="宋体" w:cs="宋体"/>
                <w:color w:val="auto"/>
                <w:szCs w:val="21"/>
              </w:rPr>
            </w:pPr>
            <w:r>
              <w:rPr>
                <w:rFonts w:hint="eastAsia" w:ascii="宋体" w:hAnsi="宋体" w:cs="宋体"/>
                <w:color w:val="auto"/>
                <w:szCs w:val="21"/>
              </w:rPr>
              <w:t>31.2</w:t>
            </w:r>
          </w:p>
        </w:tc>
        <w:tc>
          <w:tcPr>
            <w:tcW w:w="2390" w:type="dxa"/>
            <w:vAlign w:val="center"/>
          </w:tcPr>
          <w:p w14:paraId="4B5A7502">
            <w:pPr>
              <w:spacing w:line="360" w:lineRule="auto"/>
              <w:jc w:val="center"/>
              <w:rPr>
                <w:rFonts w:hint="eastAsia" w:ascii="宋体" w:hAnsi="宋体" w:cs="宋体"/>
                <w:b/>
                <w:bCs/>
                <w:color w:val="auto"/>
                <w:szCs w:val="21"/>
              </w:rPr>
            </w:pPr>
            <w:r>
              <w:rPr>
                <w:rFonts w:hint="eastAsia" w:ascii="宋体" w:hAnsi="宋体" w:cs="宋体"/>
                <w:b/>
                <w:bCs/>
                <w:color w:val="auto"/>
                <w:szCs w:val="21"/>
              </w:rPr>
              <w:t>接收质疑函方式</w:t>
            </w:r>
          </w:p>
        </w:tc>
        <w:tc>
          <w:tcPr>
            <w:tcW w:w="6416" w:type="dxa"/>
            <w:vAlign w:val="center"/>
          </w:tcPr>
          <w:p w14:paraId="78A77A2D">
            <w:pPr>
              <w:snapToGrid w:val="0"/>
              <w:spacing w:line="360" w:lineRule="auto"/>
              <w:rPr>
                <w:rFonts w:hint="eastAsia" w:ascii="宋体" w:hAnsi="宋体" w:cs="宋体"/>
                <w:color w:val="auto"/>
                <w:szCs w:val="21"/>
              </w:rPr>
            </w:pPr>
            <w:r>
              <w:rPr>
                <w:rFonts w:hint="eastAsia" w:ascii="宋体" w:hAnsi="宋体" w:cs="宋体"/>
                <w:color w:val="auto"/>
                <w:szCs w:val="21"/>
              </w:rPr>
              <w:t>以书面形式</w:t>
            </w:r>
          </w:p>
        </w:tc>
      </w:tr>
      <w:tr w14:paraId="62669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Merge w:val="continue"/>
            <w:vAlign w:val="center"/>
          </w:tcPr>
          <w:p w14:paraId="525EC7B8">
            <w:pPr>
              <w:spacing w:line="360" w:lineRule="auto"/>
              <w:jc w:val="center"/>
              <w:rPr>
                <w:rFonts w:hint="eastAsia" w:ascii="宋体" w:hAnsi="宋体" w:cs="宋体"/>
                <w:color w:val="auto"/>
                <w:szCs w:val="21"/>
              </w:rPr>
            </w:pPr>
          </w:p>
        </w:tc>
        <w:tc>
          <w:tcPr>
            <w:tcW w:w="2390" w:type="dxa"/>
            <w:vAlign w:val="center"/>
          </w:tcPr>
          <w:p w14:paraId="43CD74FC">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质疑联系部门及联系</w:t>
            </w:r>
          </w:p>
          <w:p w14:paraId="4CC758B7">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方式</w:t>
            </w:r>
          </w:p>
        </w:tc>
        <w:tc>
          <w:tcPr>
            <w:tcW w:w="6416" w:type="dxa"/>
            <w:vAlign w:val="center"/>
          </w:tcPr>
          <w:p w14:paraId="154F68B7">
            <w:pPr>
              <w:numPr>
                <w:ilvl w:val="0"/>
                <w:numId w:val="3"/>
              </w:numPr>
              <w:snapToGrid w:val="0"/>
              <w:spacing w:line="360" w:lineRule="auto"/>
              <w:rPr>
                <w:rFonts w:hint="eastAsia" w:ascii="宋体" w:hAnsi="宋体" w:cs="宋体"/>
                <w:color w:val="auto"/>
                <w:szCs w:val="21"/>
                <w:highlight w:val="none"/>
              </w:rPr>
            </w:pPr>
            <w:bookmarkStart w:id="96" w:name="PO_3000001868_PM031_3"/>
            <w:r>
              <w:rPr>
                <w:rFonts w:hint="eastAsia" w:ascii="宋体" w:hAnsi="宋体" w:cs="宋体"/>
                <w:color w:val="auto"/>
                <w:szCs w:val="21"/>
                <w:highlight w:val="none"/>
              </w:rPr>
              <w:t>名称：</w:t>
            </w:r>
            <w:bookmarkEnd w:id="96"/>
            <w:r>
              <w:rPr>
                <w:rFonts w:hint="eastAsia" w:ascii="宋体" w:hAnsi="宋体" w:cs="宋体"/>
                <w:color w:val="auto"/>
                <w:szCs w:val="21"/>
                <w:highlight w:val="none"/>
              </w:rPr>
              <w:t>广西中启招标咨询有限公司</w:t>
            </w:r>
          </w:p>
          <w:p w14:paraId="724A8718">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联系电话：0771-3154419</w:t>
            </w:r>
          </w:p>
          <w:p w14:paraId="22E63A25">
            <w:pPr>
              <w:snapToGrid w:val="0"/>
              <w:spacing w:line="360" w:lineRule="auto"/>
              <w:rPr>
                <w:rFonts w:hint="eastAsia" w:ascii="宋体" w:hAnsi="宋体" w:cs="宋体"/>
                <w:snapToGrid w:val="0"/>
                <w:color w:val="auto"/>
                <w:highlight w:val="none"/>
              </w:rPr>
            </w:pPr>
            <w:r>
              <w:rPr>
                <w:rFonts w:hint="eastAsia" w:ascii="宋体" w:hAnsi="宋体" w:cs="宋体"/>
                <w:color w:val="auto"/>
                <w:szCs w:val="21"/>
                <w:highlight w:val="none"/>
              </w:rPr>
              <w:t>通讯地址：</w:t>
            </w:r>
            <w:r>
              <w:rPr>
                <w:rFonts w:hint="eastAsia" w:ascii="宋体" w:hAnsi="宋体" w:cs="宋体"/>
                <w:snapToGrid w:val="0"/>
                <w:color w:val="auto"/>
                <w:highlight w:val="none"/>
              </w:rPr>
              <w:t>南宁市那洪大道7号研祥智谷A1栋7楼</w:t>
            </w:r>
          </w:p>
          <w:p w14:paraId="6957456E">
            <w:pPr>
              <w:snapToGrid w:val="0"/>
              <w:spacing w:line="360" w:lineRule="auto"/>
              <w:rPr>
                <w:rFonts w:hint="eastAsia" w:ascii="宋体" w:hAnsi="宋体" w:eastAsia="宋体" w:cs="宋体"/>
                <w:bCs/>
                <w:color w:val="auto"/>
                <w:szCs w:val="21"/>
                <w:highlight w:val="none"/>
              </w:rPr>
            </w:pPr>
            <w:r>
              <w:rPr>
                <w:rFonts w:hint="eastAsia" w:ascii="宋体" w:hAnsi="宋体" w:cs="宋体"/>
                <w:color w:val="auto"/>
                <w:highlight w:val="none"/>
              </w:rPr>
              <w:t>（2）名称</w:t>
            </w:r>
            <w:r>
              <w:rPr>
                <w:rFonts w:hint="eastAsia" w:ascii="宋体" w:hAnsi="宋体" w:eastAsia="宋体" w:cs="宋体"/>
                <w:bCs/>
                <w:color w:val="auto"/>
                <w:szCs w:val="21"/>
                <w:highlight w:val="none"/>
              </w:rPr>
              <w:t>：广西壮族自治区野生动植物和自然保护区管理站</w:t>
            </w:r>
          </w:p>
          <w:p w14:paraId="26698341">
            <w:pPr>
              <w:snapToGrid w:val="0"/>
              <w:spacing w:line="360" w:lineRule="auto"/>
              <w:rPr>
                <w:rFonts w:hint="eastAsia" w:ascii="宋体" w:hAnsi="宋体" w:eastAsia="宋体" w:cs="宋体"/>
                <w:bCs/>
                <w:snapToGrid/>
                <w:color w:val="auto"/>
                <w:szCs w:val="21"/>
                <w:highlight w:val="none"/>
              </w:rPr>
            </w:pPr>
            <w:r>
              <w:rPr>
                <w:rFonts w:hint="eastAsia" w:ascii="宋体" w:hAnsi="宋体" w:eastAsia="宋体" w:cs="宋体"/>
                <w:bCs/>
                <w:color w:val="auto"/>
                <w:szCs w:val="21"/>
                <w:highlight w:val="none"/>
              </w:rPr>
              <w:t>联系地址：</w:t>
            </w:r>
            <w:r>
              <w:rPr>
                <w:rFonts w:hint="eastAsia" w:ascii="宋体" w:hAnsi="宋体" w:eastAsia="宋体" w:cs="宋体"/>
                <w:bCs/>
                <w:color w:val="auto"/>
                <w:sz w:val="21"/>
                <w:szCs w:val="21"/>
                <w:highlight w:val="none"/>
              </w:rPr>
              <w:t>南宁市青秀区</w:t>
            </w:r>
            <w:r>
              <w:rPr>
                <w:rFonts w:hint="eastAsia" w:ascii="宋体" w:hAnsi="宋体" w:eastAsia="宋体" w:cs="宋体"/>
                <w:bCs/>
                <w:color w:val="auto"/>
                <w:sz w:val="21"/>
                <w:szCs w:val="21"/>
                <w:highlight w:val="none"/>
                <w:lang w:eastAsia="zh-CN"/>
              </w:rPr>
              <w:t>云景路</w:t>
            </w:r>
            <w:r>
              <w:rPr>
                <w:rFonts w:hint="eastAsia" w:ascii="宋体" w:hAnsi="宋体" w:eastAsia="宋体" w:cs="宋体"/>
                <w:bCs/>
                <w:color w:val="auto"/>
                <w:sz w:val="21"/>
                <w:szCs w:val="21"/>
                <w:highlight w:val="none"/>
                <w:lang w:val="en-US" w:eastAsia="zh-CN"/>
              </w:rPr>
              <w:t>21</w:t>
            </w:r>
            <w:r>
              <w:rPr>
                <w:rFonts w:hint="eastAsia" w:ascii="宋体" w:hAnsi="宋体" w:eastAsia="宋体" w:cs="宋体"/>
                <w:bCs/>
                <w:color w:val="auto"/>
                <w:sz w:val="21"/>
                <w:szCs w:val="21"/>
                <w:highlight w:val="none"/>
              </w:rPr>
              <w:t>号</w:t>
            </w:r>
            <w:r>
              <w:rPr>
                <w:rFonts w:hint="eastAsia" w:ascii="宋体" w:hAnsi="宋体" w:eastAsia="宋体" w:cs="宋体"/>
                <w:bCs/>
                <w:color w:val="auto"/>
                <w:szCs w:val="21"/>
                <w:highlight w:val="none"/>
              </w:rPr>
              <w:t xml:space="preserve"> </w:t>
            </w:r>
          </w:p>
          <w:p w14:paraId="715C0933">
            <w:pPr>
              <w:snapToGrid w:val="0"/>
              <w:spacing w:line="360" w:lineRule="auto"/>
              <w:rPr>
                <w:rFonts w:hint="default" w:ascii="宋体" w:hAnsi="宋体" w:cs="宋体"/>
                <w:color w:val="auto"/>
                <w:szCs w:val="21"/>
                <w:highlight w:val="none"/>
                <w:u w:val="single"/>
                <w:lang w:val="en-US"/>
              </w:rPr>
            </w:pPr>
            <w:r>
              <w:rPr>
                <w:rFonts w:hint="eastAsia" w:ascii="宋体" w:hAnsi="宋体" w:cs="宋体"/>
                <w:snapToGrid w:val="0"/>
                <w:color w:val="auto"/>
                <w:highlight w:val="none"/>
              </w:rPr>
              <w:t>联系电话：</w:t>
            </w:r>
            <w:r>
              <w:rPr>
                <w:rFonts w:hint="eastAsia" w:ascii="宋体" w:hAnsi="宋体" w:cs="宋体"/>
                <w:bCs/>
                <w:color w:val="auto"/>
                <w:szCs w:val="21"/>
                <w:highlight w:val="none"/>
                <w:lang w:val="en-US" w:eastAsia="zh-CN"/>
              </w:rPr>
              <w:t>0771-6783811</w:t>
            </w:r>
          </w:p>
        </w:tc>
      </w:tr>
      <w:tr w14:paraId="268F3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Merge w:val="continue"/>
            <w:vAlign w:val="center"/>
          </w:tcPr>
          <w:p w14:paraId="1A200C4C">
            <w:pPr>
              <w:spacing w:line="360" w:lineRule="auto"/>
              <w:jc w:val="center"/>
              <w:rPr>
                <w:rFonts w:hint="eastAsia" w:ascii="宋体" w:hAnsi="宋体" w:cs="宋体"/>
                <w:color w:val="auto"/>
                <w:szCs w:val="21"/>
              </w:rPr>
            </w:pPr>
          </w:p>
        </w:tc>
        <w:tc>
          <w:tcPr>
            <w:tcW w:w="2390" w:type="dxa"/>
            <w:vAlign w:val="center"/>
          </w:tcPr>
          <w:p w14:paraId="7FFEC520">
            <w:pPr>
              <w:spacing w:line="360" w:lineRule="auto"/>
              <w:jc w:val="center"/>
              <w:rPr>
                <w:rFonts w:hint="eastAsia" w:ascii="宋体" w:hAnsi="宋体" w:cs="宋体"/>
                <w:b/>
                <w:bCs/>
                <w:color w:val="auto"/>
                <w:szCs w:val="21"/>
              </w:rPr>
            </w:pPr>
            <w:r>
              <w:rPr>
                <w:rFonts w:hint="eastAsia" w:ascii="宋体" w:hAnsi="宋体" w:cs="宋体"/>
                <w:b/>
                <w:bCs/>
                <w:color w:val="auto"/>
                <w:szCs w:val="21"/>
              </w:rPr>
              <w:t>现场提交质疑办理业务</w:t>
            </w:r>
          </w:p>
          <w:p w14:paraId="6CCDD85F">
            <w:pPr>
              <w:spacing w:line="360" w:lineRule="auto"/>
              <w:jc w:val="center"/>
              <w:rPr>
                <w:rFonts w:hint="eastAsia" w:ascii="宋体" w:hAnsi="宋体" w:cs="宋体"/>
                <w:b/>
                <w:bCs/>
                <w:color w:val="auto"/>
                <w:szCs w:val="21"/>
              </w:rPr>
            </w:pPr>
            <w:r>
              <w:rPr>
                <w:rFonts w:hint="eastAsia" w:ascii="宋体" w:hAnsi="宋体" w:cs="宋体"/>
                <w:b/>
                <w:bCs/>
                <w:color w:val="auto"/>
                <w:szCs w:val="21"/>
              </w:rPr>
              <w:t>时间</w:t>
            </w:r>
          </w:p>
        </w:tc>
        <w:tc>
          <w:tcPr>
            <w:tcW w:w="6416" w:type="dxa"/>
            <w:vAlign w:val="center"/>
          </w:tcPr>
          <w:p w14:paraId="79E534FF">
            <w:pPr>
              <w:snapToGrid w:val="0"/>
              <w:spacing w:line="360" w:lineRule="auto"/>
              <w:rPr>
                <w:rFonts w:hint="eastAsia" w:ascii="宋体" w:hAnsi="宋体" w:cs="宋体"/>
                <w:color w:val="auto"/>
                <w:szCs w:val="21"/>
              </w:rPr>
            </w:pPr>
            <w:r>
              <w:rPr>
                <w:rFonts w:hint="eastAsia" w:ascii="宋体" w:hAnsi="宋体" w:cs="宋体"/>
                <w:color w:val="auto"/>
              </w:rPr>
              <w:t>质疑期内每个工作日（北京时间）上午9时00分到12时00分，下午14时30分到18时00分。</w:t>
            </w:r>
          </w:p>
        </w:tc>
      </w:tr>
      <w:tr w14:paraId="0C1F7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Align w:val="center"/>
          </w:tcPr>
          <w:p w14:paraId="2B3A2896">
            <w:pPr>
              <w:spacing w:line="360" w:lineRule="auto"/>
              <w:jc w:val="center"/>
              <w:rPr>
                <w:rFonts w:hint="eastAsia" w:ascii="宋体" w:hAnsi="宋体" w:cs="宋体"/>
                <w:color w:val="auto"/>
                <w:szCs w:val="21"/>
              </w:rPr>
            </w:pPr>
            <w:r>
              <w:rPr>
                <w:rFonts w:hint="eastAsia" w:ascii="宋体" w:hAnsi="宋体" w:cs="宋体"/>
                <w:color w:val="auto"/>
                <w:szCs w:val="21"/>
              </w:rPr>
              <w:t>31.6</w:t>
            </w:r>
          </w:p>
        </w:tc>
        <w:tc>
          <w:tcPr>
            <w:tcW w:w="2390" w:type="dxa"/>
            <w:vAlign w:val="center"/>
          </w:tcPr>
          <w:p w14:paraId="1960589E">
            <w:pPr>
              <w:spacing w:line="360" w:lineRule="auto"/>
              <w:jc w:val="center"/>
              <w:rPr>
                <w:rFonts w:hint="eastAsia" w:ascii="宋体" w:hAnsi="宋体" w:cs="宋体"/>
                <w:b/>
                <w:bCs/>
                <w:color w:val="auto"/>
                <w:szCs w:val="21"/>
              </w:rPr>
            </w:pPr>
            <w:r>
              <w:rPr>
                <w:rFonts w:hint="eastAsia" w:ascii="宋体" w:hAnsi="宋体" w:cs="宋体"/>
                <w:b/>
                <w:bCs/>
                <w:color w:val="auto"/>
                <w:szCs w:val="21"/>
              </w:rPr>
              <w:t>受理投诉方式</w:t>
            </w:r>
          </w:p>
        </w:tc>
        <w:tc>
          <w:tcPr>
            <w:tcW w:w="6416" w:type="dxa"/>
            <w:vAlign w:val="center"/>
          </w:tcPr>
          <w:p w14:paraId="2B856718">
            <w:pPr>
              <w:snapToGrid w:val="0"/>
              <w:spacing w:line="360" w:lineRule="auto"/>
              <w:rPr>
                <w:rFonts w:hint="eastAsia" w:ascii="宋体" w:hAnsi="宋体" w:cs="宋体"/>
                <w:color w:val="auto"/>
              </w:rPr>
            </w:pPr>
            <w:r>
              <w:rPr>
                <w:rFonts w:hint="eastAsia" w:ascii="宋体" w:hAnsi="宋体" w:cs="宋体"/>
                <w:color w:val="auto"/>
              </w:rPr>
              <w:t>1、受理方式：纸质方式受理，投诉书正、副本（经过质疑的事项才可投诉）。</w:t>
            </w:r>
          </w:p>
          <w:p w14:paraId="6E7812C0">
            <w:pPr>
              <w:snapToGrid w:val="0"/>
              <w:spacing w:line="360" w:lineRule="auto"/>
              <w:rPr>
                <w:rFonts w:hint="eastAsia" w:ascii="宋体" w:hAnsi="宋体" w:cs="宋体"/>
                <w:color w:val="auto"/>
              </w:rPr>
            </w:pPr>
            <w:r>
              <w:rPr>
                <w:rFonts w:hint="eastAsia" w:ascii="宋体" w:hAnsi="宋体" w:cs="宋体"/>
                <w:color w:val="auto"/>
              </w:rPr>
              <w:t>2、通讯方式</w:t>
            </w:r>
          </w:p>
          <w:p w14:paraId="45732DDE">
            <w:pPr>
              <w:snapToGrid w:val="0"/>
              <w:spacing w:line="360" w:lineRule="auto"/>
              <w:rPr>
                <w:rFonts w:hint="eastAsia" w:ascii="宋体" w:hAnsi="宋体" w:cs="宋体"/>
                <w:color w:val="auto"/>
              </w:rPr>
            </w:pPr>
            <w:r>
              <w:rPr>
                <w:rFonts w:hint="eastAsia" w:ascii="宋体" w:hAnsi="宋体" w:cs="宋体"/>
                <w:color w:val="auto"/>
              </w:rPr>
              <w:t>名称：广西壮族自治区财政厅政府</w:t>
            </w:r>
            <w:r>
              <w:rPr>
                <w:rFonts w:hint="eastAsia" w:ascii="宋体" w:hAnsi="宋体" w:cs="宋体"/>
                <w:color w:val="auto"/>
                <w:szCs w:val="21"/>
              </w:rPr>
              <w:t>采购监督管理处</w:t>
            </w:r>
          </w:p>
          <w:p w14:paraId="36E564F6">
            <w:pPr>
              <w:snapToGrid w:val="0"/>
              <w:spacing w:line="360" w:lineRule="auto"/>
              <w:rPr>
                <w:rFonts w:hint="eastAsia" w:ascii="宋体" w:hAnsi="宋体" w:cs="宋体"/>
                <w:color w:val="auto"/>
              </w:rPr>
            </w:pPr>
            <w:r>
              <w:rPr>
                <w:rFonts w:hint="eastAsia" w:ascii="宋体" w:hAnsi="宋体" w:cs="宋体"/>
                <w:color w:val="auto"/>
              </w:rPr>
              <w:t xml:space="preserve">地址：南宁市青秀区桃源路69号 </w:t>
            </w:r>
          </w:p>
          <w:p w14:paraId="12855CE1">
            <w:pPr>
              <w:snapToGrid w:val="0"/>
              <w:spacing w:line="360" w:lineRule="auto"/>
              <w:rPr>
                <w:rFonts w:hint="eastAsia" w:ascii="宋体" w:hAnsi="宋体" w:cs="宋体"/>
                <w:color w:val="auto"/>
              </w:rPr>
            </w:pPr>
            <w:r>
              <w:rPr>
                <w:rFonts w:hint="eastAsia" w:ascii="宋体" w:hAnsi="宋体" w:cs="宋体"/>
                <w:color w:val="auto"/>
              </w:rPr>
              <w:t>联系电话：0771-5331544</w:t>
            </w:r>
          </w:p>
        </w:tc>
      </w:tr>
      <w:tr w14:paraId="0D525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Align w:val="center"/>
          </w:tcPr>
          <w:p w14:paraId="174C4450">
            <w:pPr>
              <w:spacing w:line="360" w:lineRule="auto"/>
              <w:jc w:val="center"/>
              <w:rPr>
                <w:rFonts w:hint="eastAsia" w:ascii="宋体" w:hAnsi="宋体" w:cs="宋体"/>
                <w:color w:val="auto"/>
                <w:szCs w:val="21"/>
              </w:rPr>
            </w:pPr>
            <w:r>
              <w:rPr>
                <w:rFonts w:hint="eastAsia" w:ascii="宋体" w:hAnsi="宋体" w:cs="宋体"/>
                <w:color w:val="auto"/>
                <w:szCs w:val="21"/>
              </w:rPr>
              <w:t>33</w:t>
            </w:r>
          </w:p>
        </w:tc>
        <w:tc>
          <w:tcPr>
            <w:tcW w:w="2390" w:type="dxa"/>
            <w:vAlign w:val="center"/>
          </w:tcPr>
          <w:p w14:paraId="2D8A92C7">
            <w:pPr>
              <w:spacing w:line="360" w:lineRule="auto"/>
              <w:jc w:val="center"/>
              <w:rPr>
                <w:rFonts w:hint="eastAsia" w:ascii="宋体" w:hAnsi="宋体" w:cs="宋体"/>
                <w:b/>
                <w:bCs/>
                <w:color w:val="auto"/>
                <w:szCs w:val="21"/>
              </w:rPr>
            </w:pPr>
            <w:r>
              <w:rPr>
                <w:rFonts w:hint="eastAsia" w:ascii="宋体" w:hAnsi="宋体" w:cs="宋体"/>
                <w:b/>
                <w:bCs/>
                <w:color w:val="auto"/>
                <w:szCs w:val="21"/>
              </w:rPr>
              <w:t>采购代理服务费</w:t>
            </w:r>
          </w:p>
        </w:tc>
        <w:tc>
          <w:tcPr>
            <w:tcW w:w="6416" w:type="dxa"/>
            <w:vAlign w:val="center"/>
          </w:tcPr>
          <w:p w14:paraId="1F063155">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1. 本项目收取采购代理服务费</w:t>
            </w:r>
          </w:p>
          <w:p w14:paraId="39081EC5">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2.采购代理服务费支付方式：</w:t>
            </w:r>
          </w:p>
          <w:p w14:paraId="2B1CE3B1">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本项目采购代理服务费由成交供应商在领取成交通知书前，</w:t>
            </w:r>
            <w:r>
              <w:rPr>
                <w:rFonts w:hint="eastAsia" w:ascii="宋体" w:hAnsi="宋体" w:cs="宋体"/>
                <w:color w:val="auto"/>
              </w:rPr>
              <w:t>以银行转账、电汇等方式</w:t>
            </w:r>
            <w:r>
              <w:rPr>
                <w:rFonts w:hint="eastAsia" w:ascii="宋体" w:hAnsi="宋体" w:cs="宋体"/>
                <w:color w:val="auto"/>
                <w:kern w:val="0"/>
                <w:szCs w:val="21"/>
              </w:rPr>
              <w:t>一次性向采购代理机构支付。</w:t>
            </w:r>
          </w:p>
          <w:p w14:paraId="723E2CE2">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3.采购代理服务费收取标准：</w:t>
            </w:r>
          </w:p>
          <w:p w14:paraId="611C16BD">
            <w:pPr>
              <w:snapToGrid w:val="0"/>
              <w:spacing w:line="360" w:lineRule="auto"/>
              <w:rPr>
                <w:rFonts w:hint="eastAsia" w:ascii="宋体" w:hAnsi="宋体" w:cs="宋体"/>
                <w:color w:val="auto"/>
                <w:kern w:val="0"/>
                <w:szCs w:val="21"/>
              </w:rPr>
            </w:pPr>
            <w:r>
              <w:rPr>
                <w:rFonts w:hint="eastAsia" w:hAnsi="宋体" w:cs="宋体"/>
                <w:color w:val="auto"/>
              </w:rPr>
              <w:t>参照桂价费</w:t>
            </w:r>
            <w:r>
              <w:rPr>
                <w:rFonts w:hint="eastAsia" w:hAnsi="宋体" w:cs="宋体"/>
                <w:color w:val="auto"/>
                <w:lang w:eastAsia="zh-CN"/>
              </w:rPr>
              <w:t>〔2011〕55号</w:t>
            </w:r>
            <w:r>
              <w:rPr>
                <w:rFonts w:hint="eastAsia" w:hAnsi="宋体" w:cs="宋体"/>
                <w:color w:val="auto"/>
              </w:rPr>
              <w:t>收费标准（服务招标类型）采用差额定率累进法计算</w:t>
            </w:r>
            <w:r>
              <w:rPr>
                <w:rFonts w:hint="eastAsia" w:ascii="宋体" w:hAnsi="宋体" w:cs="宋体"/>
                <w:color w:val="auto"/>
                <w:kern w:val="0"/>
                <w:szCs w:val="21"/>
              </w:rPr>
              <w:t>向成交供应商收取。</w:t>
            </w:r>
          </w:p>
          <w:p w14:paraId="0F1B9E80">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4.采购代理服务费收取银行账户的信息</w:t>
            </w:r>
          </w:p>
          <w:p w14:paraId="4E6B1CC0">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账户名称：广西中启招标咨询有限公司</w:t>
            </w:r>
          </w:p>
          <w:p w14:paraId="7DA9C04B">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开户银行：广西北部湾银行股份有限公司南宁市秀灵支行</w:t>
            </w:r>
          </w:p>
          <w:p w14:paraId="2E591BA2">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银行账号：8050 1770 2500 001</w:t>
            </w:r>
          </w:p>
        </w:tc>
      </w:tr>
      <w:tr w14:paraId="267B5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Align w:val="center"/>
          </w:tcPr>
          <w:p w14:paraId="3509C16C">
            <w:pPr>
              <w:spacing w:line="360" w:lineRule="auto"/>
              <w:jc w:val="center"/>
              <w:rPr>
                <w:rFonts w:hint="eastAsia" w:ascii="宋体" w:hAnsi="宋体" w:cs="宋体"/>
                <w:color w:val="auto"/>
                <w:szCs w:val="21"/>
              </w:rPr>
            </w:pPr>
            <w:r>
              <w:rPr>
                <w:rFonts w:hint="eastAsia" w:ascii="宋体" w:hAnsi="宋体" w:cs="宋体"/>
                <w:color w:val="auto"/>
                <w:szCs w:val="21"/>
              </w:rPr>
              <w:t>34.1</w:t>
            </w:r>
          </w:p>
        </w:tc>
        <w:tc>
          <w:tcPr>
            <w:tcW w:w="2390" w:type="dxa"/>
            <w:vAlign w:val="center"/>
          </w:tcPr>
          <w:p w14:paraId="510537F9">
            <w:pPr>
              <w:spacing w:line="360" w:lineRule="auto"/>
              <w:jc w:val="center"/>
              <w:rPr>
                <w:rFonts w:hint="eastAsia" w:ascii="宋体" w:hAnsi="宋体" w:cs="宋体"/>
                <w:b/>
                <w:bCs/>
                <w:color w:val="auto"/>
                <w:szCs w:val="21"/>
              </w:rPr>
            </w:pPr>
            <w:r>
              <w:rPr>
                <w:rFonts w:hint="eastAsia" w:ascii="宋体" w:hAnsi="宋体" w:cs="宋体"/>
                <w:b/>
                <w:bCs/>
                <w:color w:val="auto"/>
                <w:szCs w:val="21"/>
              </w:rPr>
              <w:t>解释</w:t>
            </w:r>
          </w:p>
        </w:tc>
        <w:tc>
          <w:tcPr>
            <w:tcW w:w="6416" w:type="dxa"/>
            <w:vAlign w:val="center"/>
          </w:tcPr>
          <w:p w14:paraId="301FC0AA">
            <w:pPr>
              <w:snapToGrid w:val="0"/>
              <w:spacing w:line="400" w:lineRule="exact"/>
              <w:rPr>
                <w:rFonts w:hint="eastAsia" w:ascii="宋体" w:hAnsi="宋体" w:cs="宋体"/>
                <w:b/>
                <w:color w:val="auto"/>
                <w:kern w:val="0"/>
                <w:szCs w:val="21"/>
              </w:rPr>
            </w:pPr>
            <w:r>
              <w:rPr>
                <w:rFonts w:hint="eastAsia" w:ascii="宋体" w:hAnsi="宋体" w:cs="宋体"/>
                <w:b/>
                <w:color w:val="auto"/>
                <w:kern w:val="0"/>
                <w:szCs w:val="21"/>
              </w:rPr>
              <w:t>解释：</w:t>
            </w:r>
            <w:r>
              <w:rPr>
                <w:rFonts w:hint="eastAsia" w:ascii="宋体" w:hAnsi="宋体" w:cs="宋体"/>
                <w:color w:val="auto"/>
                <w:kern w:val="0"/>
                <w:szCs w:val="21"/>
              </w:rPr>
              <w:t>构成本竞争性磋商文件的各个组成文件应互为解释，互为说明；除竞争性磋商文件中有特别规定外，仅适用于竞标阶段的规定，按更正公告（澄清公告）、竞争性磋商公告、采购需求、供应商须知、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cs="宋体"/>
                <w:b/>
                <w:color w:val="auto"/>
                <w:kern w:val="0"/>
                <w:szCs w:val="21"/>
              </w:rPr>
              <w:t>由采购人或者采购代理机构负责解释。</w:t>
            </w:r>
          </w:p>
          <w:p w14:paraId="4DBF9F15">
            <w:pPr>
              <w:snapToGrid w:val="0"/>
              <w:spacing w:line="400" w:lineRule="exact"/>
              <w:rPr>
                <w:rFonts w:hint="eastAsia" w:ascii="宋体" w:hAnsi="宋体" w:cs="宋体"/>
                <w:b/>
                <w:color w:val="auto"/>
                <w:kern w:val="0"/>
                <w:szCs w:val="21"/>
              </w:rPr>
            </w:pPr>
            <w:r>
              <w:rPr>
                <w:rFonts w:hint="eastAsia" w:ascii="宋体" w:hAnsi="宋体" w:cs="宋体"/>
                <w:b/>
                <w:color w:val="auto"/>
                <w:kern w:val="0"/>
                <w:szCs w:val="21"/>
              </w:rPr>
              <w:t>法律责任：</w:t>
            </w:r>
          </w:p>
          <w:p w14:paraId="32AC8F76">
            <w:pPr>
              <w:snapToGrid w:val="0"/>
              <w:spacing w:line="400" w:lineRule="exact"/>
              <w:rPr>
                <w:rFonts w:hint="eastAsia" w:ascii="宋体" w:hAnsi="宋体" w:cs="宋体"/>
                <w:color w:val="auto"/>
                <w:kern w:val="0"/>
                <w:szCs w:val="21"/>
              </w:rPr>
            </w:pPr>
            <w:r>
              <w:rPr>
                <w:rFonts w:hint="eastAsia" w:ascii="宋体" w:hAnsi="宋体" w:cs="宋体"/>
                <w:color w:val="auto"/>
                <w:kern w:val="0"/>
                <w:szCs w:val="21"/>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14:paraId="3953E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Align w:val="center"/>
          </w:tcPr>
          <w:p w14:paraId="19DCE99F">
            <w:pPr>
              <w:spacing w:line="360" w:lineRule="auto"/>
              <w:jc w:val="center"/>
              <w:rPr>
                <w:rFonts w:hint="eastAsia" w:ascii="宋体" w:hAnsi="宋体" w:cs="宋体"/>
                <w:color w:val="auto"/>
                <w:szCs w:val="21"/>
              </w:rPr>
            </w:pPr>
            <w:r>
              <w:rPr>
                <w:rFonts w:hint="eastAsia" w:ascii="宋体" w:hAnsi="宋体" w:cs="宋体"/>
                <w:color w:val="auto"/>
                <w:szCs w:val="21"/>
              </w:rPr>
              <w:t>34.2</w:t>
            </w:r>
          </w:p>
        </w:tc>
        <w:tc>
          <w:tcPr>
            <w:tcW w:w="2390" w:type="dxa"/>
            <w:vAlign w:val="center"/>
          </w:tcPr>
          <w:p w14:paraId="7591556C">
            <w:pPr>
              <w:spacing w:line="360" w:lineRule="auto"/>
              <w:jc w:val="center"/>
              <w:rPr>
                <w:rFonts w:hint="eastAsia" w:ascii="宋体" w:hAnsi="宋体" w:cs="宋体"/>
                <w:b/>
                <w:bCs/>
                <w:color w:val="auto"/>
                <w:szCs w:val="21"/>
              </w:rPr>
            </w:pPr>
            <w:r>
              <w:rPr>
                <w:rFonts w:hint="eastAsia" w:ascii="宋体" w:hAnsi="宋体" w:cs="宋体"/>
                <w:b/>
                <w:bCs/>
                <w:color w:val="auto"/>
                <w:szCs w:val="21"/>
              </w:rPr>
              <w:t>其他</w:t>
            </w:r>
          </w:p>
        </w:tc>
        <w:tc>
          <w:tcPr>
            <w:tcW w:w="6416" w:type="dxa"/>
            <w:vAlign w:val="center"/>
          </w:tcPr>
          <w:p w14:paraId="13640BEE">
            <w:pPr>
              <w:pStyle w:val="17"/>
              <w:spacing w:line="400" w:lineRule="exact"/>
              <w:ind w:firstLine="420" w:firstLineChars="200"/>
              <w:rPr>
                <w:rFonts w:hint="eastAsia" w:ascii="宋体" w:hAnsi="宋体" w:cs="宋体"/>
                <w:color w:val="auto"/>
                <w:szCs w:val="21"/>
              </w:rPr>
            </w:pPr>
            <w:r>
              <w:rPr>
                <w:rFonts w:hint="eastAsia" w:ascii="宋体" w:hAnsi="宋体" w:cs="宋体"/>
                <w:color w:val="auto"/>
                <w:szCs w:val="21"/>
              </w:rPr>
              <w:t>1.本竞争性磋商文件中描述供应商的“公章”是指根据我国对公章的管理规定，用供应商法定主体行为名称制作的实物印章或供应商通过指定电子化政府采购平台办理数字证书（CA认证）获得的以法定主体行为名称制作的电子印章。除本竞争性磋商文件有特殊规定外，供应商的财务章、部门章、工会章、合同章、投标专用章、业务专用章及银行的转账章、现金收讫章、现金付讫章等其他形式印章均不能代替公章。</w:t>
            </w:r>
          </w:p>
          <w:p w14:paraId="77E6A15A">
            <w:pPr>
              <w:pStyle w:val="17"/>
              <w:spacing w:line="400" w:lineRule="exact"/>
              <w:ind w:firstLine="420" w:firstLineChars="200"/>
              <w:rPr>
                <w:rFonts w:hint="eastAsia" w:ascii="宋体" w:hAnsi="宋体" w:cs="宋体"/>
                <w:color w:val="auto"/>
                <w:szCs w:val="21"/>
              </w:rPr>
            </w:pPr>
            <w:r>
              <w:rPr>
                <w:rFonts w:hint="eastAsia" w:ascii="宋体" w:hAnsi="宋体" w:cs="宋体"/>
                <w:color w:val="auto"/>
                <w:szCs w:val="21"/>
              </w:rPr>
              <w:t>2.本竞争性磋商文件中描述供应商的“签字”是指供应商通过指定电子化政府采购平台办理数字证书（CA认证）获得的以供应商法定代表人或者委托代理人姓名制作的电子印章或手写签字。</w:t>
            </w:r>
          </w:p>
          <w:p w14:paraId="1F20A766">
            <w:pPr>
              <w:pStyle w:val="17"/>
              <w:tabs>
                <w:tab w:val="center" w:pos="4153"/>
                <w:tab w:val="right" w:pos="8306"/>
              </w:tabs>
              <w:spacing w:line="400" w:lineRule="exact"/>
              <w:ind w:firstLine="420" w:firstLineChars="200"/>
              <w:rPr>
                <w:rFonts w:hint="eastAsia" w:ascii="宋体" w:hAnsi="宋体" w:cs="宋体"/>
                <w:color w:val="auto"/>
                <w:szCs w:val="21"/>
              </w:rPr>
            </w:pPr>
            <w:r>
              <w:rPr>
                <w:rFonts w:hint="eastAsia" w:ascii="宋体" w:hAnsi="宋体" w:cs="宋体"/>
                <w:color w:val="auto"/>
                <w:szCs w:val="21"/>
              </w:rPr>
              <w:t>3.本竞争性磋商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14:paraId="2FC03B92">
            <w:pPr>
              <w:pStyle w:val="17"/>
              <w:spacing w:line="400" w:lineRule="exact"/>
              <w:ind w:firstLine="420" w:firstLineChars="200"/>
              <w:rPr>
                <w:rFonts w:hint="eastAsia" w:ascii="宋体" w:hAnsi="宋体" w:cs="宋体"/>
                <w:color w:val="auto"/>
                <w:szCs w:val="21"/>
              </w:rPr>
            </w:pPr>
            <w:r>
              <w:rPr>
                <w:rFonts w:hint="eastAsia" w:ascii="宋体" w:hAnsi="宋体" w:cs="宋体"/>
                <w:color w:val="auto"/>
                <w:szCs w:val="21"/>
              </w:rPr>
              <w:t>4.供应商为其他组织、自然人时，本磋商文件规定的法定代表人指负责人或者自然人。本磋商文件所称负责人是指参加竞标的其他组织营业执照上的负责人，本磋商文件所称自然人指参与竞标的自然人本人。</w:t>
            </w:r>
          </w:p>
          <w:p w14:paraId="26343A5F">
            <w:pPr>
              <w:pStyle w:val="17"/>
              <w:spacing w:line="400" w:lineRule="exact"/>
              <w:ind w:firstLine="420" w:firstLineChars="200"/>
              <w:rPr>
                <w:rFonts w:hint="eastAsia" w:ascii="宋体" w:hAnsi="宋体" w:cs="宋体"/>
                <w:color w:val="auto"/>
                <w:szCs w:val="21"/>
              </w:rPr>
            </w:pPr>
            <w:r>
              <w:rPr>
                <w:rFonts w:hint="eastAsia" w:ascii="宋体" w:hAnsi="宋体" w:cs="宋体"/>
                <w:color w:val="auto"/>
                <w:szCs w:val="21"/>
              </w:rPr>
              <w:t>5.自然人竞标的，竞争性磋商文件规定盖公章处由自然人摁手指指印。</w:t>
            </w:r>
          </w:p>
          <w:p w14:paraId="78251409">
            <w:pPr>
              <w:snapToGrid w:val="0"/>
              <w:spacing w:line="400" w:lineRule="exact"/>
              <w:rPr>
                <w:rFonts w:hint="eastAsia" w:ascii="宋体" w:hAnsi="宋体" w:cs="宋体"/>
                <w:color w:val="auto"/>
                <w:kern w:val="0"/>
                <w:szCs w:val="21"/>
              </w:rPr>
            </w:pPr>
            <w:r>
              <w:rPr>
                <w:rFonts w:hint="eastAsia" w:ascii="宋体" w:hAnsi="宋体" w:cs="宋体"/>
                <w:color w:val="auto"/>
                <w:szCs w:val="21"/>
              </w:rPr>
              <w:t xml:space="preserve">    6.本竞争性磋商文件所称的“以上”“以下”“以内”“届满”，包括本数；所称的“不满”“超过”“以外”，不包括本数。</w:t>
            </w:r>
          </w:p>
        </w:tc>
      </w:tr>
      <w:tr w14:paraId="142A8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Align w:val="center"/>
          </w:tcPr>
          <w:p w14:paraId="286089AB">
            <w:pPr>
              <w:spacing w:line="360" w:lineRule="auto"/>
              <w:jc w:val="center"/>
              <w:rPr>
                <w:rFonts w:hint="eastAsia" w:ascii="宋体" w:hAnsi="宋体" w:cs="宋体"/>
                <w:color w:val="auto"/>
                <w:szCs w:val="21"/>
              </w:rPr>
            </w:pPr>
          </w:p>
        </w:tc>
        <w:tc>
          <w:tcPr>
            <w:tcW w:w="2390" w:type="dxa"/>
            <w:vAlign w:val="center"/>
          </w:tcPr>
          <w:p w14:paraId="3FEC9B0C">
            <w:pPr>
              <w:spacing w:line="400" w:lineRule="exact"/>
              <w:jc w:val="center"/>
              <w:rPr>
                <w:rFonts w:hint="eastAsia" w:ascii="宋体" w:hAnsi="宋体" w:cs="宋体"/>
                <w:b/>
                <w:bCs/>
                <w:color w:val="auto"/>
                <w:szCs w:val="21"/>
              </w:rPr>
            </w:pPr>
            <w:r>
              <w:rPr>
                <w:rFonts w:hint="eastAsia" w:ascii="宋体" w:hAnsi="宋体" w:cs="宋体"/>
                <w:b/>
                <w:bCs/>
                <w:color w:val="auto"/>
                <w:szCs w:val="21"/>
              </w:rPr>
              <w:t>特别说明</w:t>
            </w:r>
          </w:p>
        </w:tc>
        <w:tc>
          <w:tcPr>
            <w:tcW w:w="6416" w:type="dxa"/>
            <w:vAlign w:val="center"/>
          </w:tcPr>
          <w:p w14:paraId="10D7B7A4">
            <w:pPr>
              <w:pStyle w:val="22"/>
              <w:snapToGrid w:val="0"/>
              <w:spacing w:line="400" w:lineRule="exact"/>
              <w:rPr>
                <w:rFonts w:hint="eastAsia" w:hAnsi="宋体" w:cs="宋体"/>
                <w:color w:val="auto"/>
              </w:rPr>
            </w:pPr>
            <w:r>
              <w:rPr>
                <w:rFonts w:hint="eastAsia" w:hAnsi="宋体" w:cs="宋体"/>
                <w:b/>
                <w:bCs/>
                <w:color w:val="auto"/>
                <w:sz w:val="21"/>
              </w:rPr>
              <w:t>因项目存档需要，成交供应商须按以下要求提供纸质版响应文件：在成交通知书发出后5天内须提交2套纸质版响应文件(含资格证明文件、报价文件、商务技术文件)给采购代理机构。提交的纸质版响应文件必须与上传广西政府采购云平台的电子响应文件内容一致（为广西政府采购云平台下载的盖章版本），不允许有改动。如项目验收时因所提供的纸质响应文件与评标的响应文件不一致造成纠纷时，所有责任由成交人承担。</w:t>
            </w:r>
          </w:p>
        </w:tc>
      </w:tr>
    </w:tbl>
    <w:p w14:paraId="51CADB98">
      <w:pPr>
        <w:pStyle w:val="7"/>
        <w:spacing w:line="420" w:lineRule="exact"/>
        <w:jc w:val="center"/>
        <w:rPr>
          <w:rFonts w:hint="eastAsia" w:ascii="宋体" w:hAnsi="宋体"/>
          <w:b w:val="0"/>
          <w:color w:val="auto"/>
        </w:rPr>
      </w:pPr>
      <w:r>
        <w:rPr>
          <w:rFonts w:ascii="宋体" w:hAnsi="宋体"/>
          <w:b w:val="0"/>
          <w:color w:val="auto"/>
        </w:rPr>
        <w:br w:type="page"/>
      </w:r>
      <w:bookmarkStart w:id="97" w:name="_Toc30957"/>
      <w:bookmarkStart w:id="98" w:name="_Toc80886929"/>
      <w:bookmarkStart w:id="99" w:name="_Toc27094"/>
      <w:r>
        <w:rPr>
          <w:rFonts w:hint="eastAsia" w:ascii="宋体" w:hAnsi="宋体"/>
          <w:b w:val="0"/>
          <w:color w:val="auto"/>
        </w:rPr>
        <w:t>第二节 供应商须知正文</w:t>
      </w:r>
      <w:bookmarkEnd w:id="97"/>
      <w:bookmarkEnd w:id="98"/>
      <w:bookmarkEnd w:id="99"/>
    </w:p>
    <w:p w14:paraId="7C43FC68">
      <w:pPr>
        <w:pStyle w:val="8"/>
        <w:spacing w:before="0" w:after="0" w:line="360" w:lineRule="auto"/>
        <w:ind w:firstLine="640" w:firstLineChars="200"/>
        <w:rPr>
          <w:b w:val="0"/>
          <w:color w:val="auto"/>
        </w:rPr>
      </w:pPr>
      <w:bookmarkStart w:id="100" w:name="_Toc6457"/>
      <w:bookmarkStart w:id="101" w:name="_Toc26166"/>
      <w:bookmarkStart w:id="102" w:name="_Toc80886930"/>
      <w:r>
        <w:rPr>
          <w:rFonts w:hint="eastAsia"/>
          <w:b w:val="0"/>
          <w:color w:val="auto"/>
        </w:rPr>
        <w:t>一、总则</w:t>
      </w:r>
      <w:bookmarkEnd w:id="100"/>
      <w:bookmarkEnd w:id="101"/>
      <w:bookmarkEnd w:id="102"/>
    </w:p>
    <w:p w14:paraId="3EB1D8D0">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1.适用范围</w:t>
      </w:r>
    </w:p>
    <w:p w14:paraId="5465328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640B4DB3">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1.2</w:t>
      </w:r>
      <w:r>
        <w:rPr>
          <w:rFonts w:hint="eastAsia" w:ascii="宋体" w:hAnsi="宋体" w:cs="宋体"/>
          <w:color w:val="auto"/>
          <w:spacing w:val="-6"/>
          <w:szCs w:val="21"/>
        </w:rPr>
        <w:t>本竞争性磋商文件（以下简称磋商文件）适用于本项目的所有采购程序和环节（法律、法规另有规定的，从其规定）。</w:t>
      </w:r>
    </w:p>
    <w:p w14:paraId="7D99DA2A">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2.定义</w:t>
      </w:r>
    </w:p>
    <w:p w14:paraId="719D1C0E">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2.1“采购人”是指依法进行政府采购的国家机关、事业单位、团体组织。</w:t>
      </w:r>
    </w:p>
    <w:p w14:paraId="6F04161A">
      <w:pPr>
        <w:spacing w:line="360" w:lineRule="auto"/>
        <w:ind w:firstLine="420" w:firstLineChars="200"/>
        <w:rPr>
          <w:rFonts w:hint="eastAsia" w:ascii="宋体" w:hAnsi="宋体" w:cs="宋体"/>
          <w:color w:val="auto"/>
          <w:szCs w:val="21"/>
          <w:u w:val="single"/>
        </w:rPr>
      </w:pPr>
      <w:r>
        <w:rPr>
          <w:rFonts w:hint="eastAsia" w:ascii="宋体" w:hAnsi="宋体" w:cs="宋体"/>
          <w:color w:val="auto"/>
          <w:szCs w:val="21"/>
        </w:rPr>
        <w:t>2.2“采购代理机构”是指政府采购集中采购机构和集中采购机构以外的采购代理机构。</w:t>
      </w:r>
    </w:p>
    <w:p w14:paraId="22630FF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2.3“供应商”是指向采购人提供货物、工程或者服务的法人、其他组织或者自然人。</w:t>
      </w:r>
    </w:p>
    <w:p w14:paraId="25D96B6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2.4“服务”是指除货物和工程以外的其他政府采购对象。</w:t>
      </w:r>
    </w:p>
    <w:p w14:paraId="548C5F2E">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2.5“竞标”是指供应商按照本项目竞争性磋商公告规定的方式获取磋商文件、提交响应文件并希望获得标的的行为。</w:t>
      </w:r>
    </w:p>
    <w:p w14:paraId="3EA887B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2.6“响应文件”</w:t>
      </w:r>
      <w:r>
        <w:rPr>
          <w:rFonts w:hint="eastAsia" w:ascii="宋体" w:hAnsi="宋体" w:cs="宋体"/>
          <w:color w:val="auto"/>
          <w:spacing w:val="-6"/>
          <w:szCs w:val="21"/>
        </w:rPr>
        <w:t>是指：供应商根据本磋商文件要求，编制包含资格证明、</w:t>
      </w:r>
      <w:r>
        <w:rPr>
          <w:rFonts w:hint="eastAsia" w:ascii="宋体" w:hAnsi="宋体" w:cs="宋体"/>
          <w:color w:val="auto"/>
          <w:szCs w:val="21"/>
        </w:rPr>
        <w:t>报价文件、商务和技术文件</w:t>
      </w:r>
      <w:r>
        <w:rPr>
          <w:rFonts w:hint="eastAsia" w:ascii="宋体" w:hAnsi="宋体" w:cs="宋体"/>
          <w:color w:val="auto"/>
          <w:spacing w:val="-6"/>
          <w:szCs w:val="21"/>
        </w:rPr>
        <w:t>等所有内容的文件。</w:t>
      </w:r>
    </w:p>
    <w:p w14:paraId="29826A1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2.7“实质性要求”是指磋商文件中已经指明不满足则响应文件按无效响应处理的条款，或者不能负偏离的条款，或者采购需求中带“▲”的条款。</w:t>
      </w:r>
    </w:p>
    <w:p w14:paraId="7B445C7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2.8“正偏离”，是指响应文件对磋商文件“采购需求”中有关条款作出的响应优于条款要求并有利于采购人的情形。</w:t>
      </w:r>
    </w:p>
    <w:p w14:paraId="78AE55A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2.9“负偏离”，是指响应文件对磋商文件“采购需求”中有关条款作出的响应不满足条款要求，导致采购人要求不能得到满足的情形。</w:t>
      </w:r>
    </w:p>
    <w:p w14:paraId="6F75F1A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2.10“允许负偏离的条款”是指采购需求中的不属于“实质性要求”的条款。</w:t>
      </w:r>
    </w:p>
    <w:p w14:paraId="7126344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2.11“书面形式”是指合同书、信件和数据电文（包括电报、电传、传真、电子数据交换和电子邮件）等可以有形地表现所载内容的形式。</w:t>
      </w:r>
    </w:p>
    <w:p w14:paraId="51F64A8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2.12“首次报价”是指供应商提交的首次响应文件中的报价。</w:t>
      </w:r>
    </w:p>
    <w:p w14:paraId="1D27551A">
      <w:pPr>
        <w:spacing w:line="360" w:lineRule="auto"/>
        <w:ind w:firstLine="420" w:firstLineChars="200"/>
        <w:rPr>
          <w:rFonts w:cs="宋体"/>
          <w:color w:val="auto"/>
          <w:szCs w:val="21"/>
        </w:rPr>
      </w:pPr>
      <w:r>
        <w:rPr>
          <w:rFonts w:hint="eastAsia" w:ascii="宋体" w:hAnsi="宋体" w:cs="宋体"/>
          <w:color w:val="auto"/>
          <w:szCs w:val="21"/>
        </w:rPr>
        <w:t>2.13“评审报价”是指供应商提</w:t>
      </w:r>
      <w:r>
        <w:rPr>
          <w:rFonts w:hint="eastAsia" w:cs="宋体"/>
          <w:color w:val="auto"/>
          <w:szCs w:val="21"/>
        </w:rPr>
        <w:t>交的最后报价并经修正（如有）和政策功能价格扣除（如有）后的价格。</w:t>
      </w:r>
    </w:p>
    <w:p w14:paraId="408FA093">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3.供应商的资格条件</w:t>
      </w:r>
    </w:p>
    <w:p w14:paraId="5621423C">
      <w:pPr>
        <w:spacing w:line="360" w:lineRule="auto"/>
        <w:ind w:firstLine="420" w:firstLineChars="200"/>
        <w:rPr>
          <w:rFonts w:cs="宋体"/>
          <w:color w:val="auto"/>
          <w:szCs w:val="21"/>
        </w:rPr>
      </w:pPr>
      <w:r>
        <w:rPr>
          <w:rFonts w:hint="eastAsia" w:cs="宋体"/>
          <w:color w:val="auto"/>
          <w:szCs w:val="21"/>
        </w:rPr>
        <w:t>供应商的资格条件详见“供应商须知前附表”。</w:t>
      </w:r>
    </w:p>
    <w:p w14:paraId="68E49B84">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4.磋商费用</w:t>
      </w:r>
    </w:p>
    <w:p w14:paraId="17D131C4">
      <w:pPr>
        <w:spacing w:line="360" w:lineRule="auto"/>
        <w:ind w:firstLine="420" w:firstLineChars="200"/>
        <w:rPr>
          <w:rFonts w:cs="宋体"/>
          <w:color w:val="auto"/>
          <w:szCs w:val="21"/>
        </w:rPr>
      </w:pPr>
      <w:r>
        <w:rPr>
          <w:rFonts w:hint="eastAsia" w:cs="宋体"/>
          <w:color w:val="auto"/>
          <w:szCs w:val="21"/>
        </w:rPr>
        <w:t>供应商应承担参与本次采购活动有关的所有费用，包括但不限于勘查现场、编制和提交响应文件、参加磋商与应答、签订合同等，不论竞标结果如何，均应自行承担。</w:t>
      </w:r>
    </w:p>
    <w:p w14:paraId="002020D2">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5.联合体竞标</w:t>
      </w:r>
    </w:p>
    <w:p w14:paraId="26344BD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5.1本项目是否接受联合体竞标，详见“供应商须知前附表”。</w:t>
      </w:r>
    </w:p>
    <w:p w14:paraId="77B4A9E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5.2</w:t>
      </w:r>
      <w:r>
        <w:rPr>
          <w:rFonts w:hint="eastAsia" w:ascii="宋体" w:hAnsi="宋体" w:cs="宋体"/>
          <w:color w:val="auto"/>
        </w:rPr>
        <w:t>如接受联合体竞标，</w:t>
      </w:r>
      <w:r>
        <w:rPr>
          <w:rFonts w:hint="eastAsia" w:ascii="宋体" w:hAnsi="宋体" w:cs="宋体"/>
          <w:color w:val="auto"/>
          <w:szCs w:val="21"/>
        </w:rPr>
        <w:t>联合体竞标要求详见“供应商须知前附表”。</w:t>
      </w:r>
    </w:p>
    <w:p w14:paraId="2B5F28F8">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 xml:space="preserve">6.转包与分包             </w:t>
      </w:r>
    </w:p>
    <w:p w14:paraId="3E3B841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6.1本项目不允许转包。</w:t>
      </w:r>
    </w:p>
    <w:p w14:paraId="5B19929E">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6.2本项目是否允许分包详见“供应商须知前附表”，本项目不允许违法分包。</w:t>
      </w:r>
    </w:p>
    <w:p w14:paraId="1077E88D">
      <w:pPr>
        <w:spacing w:line="360" w:lineRule="auto"/>
        <w:ind w:firstLine="482" w:firstLineChars="200"/>
        <w:rPr>
          <w:rFonts w:hint="eastAsia" w:ascii="黑体" w:hAnsi="黑体" w:eastAsia="黑体" w:cs="宋体"/>
          <w:b/>
          <w:bCs/>
          <w:color w:val="auto"/>
          <w:sz w:val="24"/>
        </w:rPr>
      </w:pPr>
      <w:bookmarkStart w:id="103" w:name="_Toc254970673"/>
      <w:bookmarkStart w:id="104" w:name="_Toc254970532"/>
      <w:r>
        <w:rPr>
          <w:rFonts w:hint="eastAsia" w:ascii="黑体" w:hAnsi="黑体" w:eastAsia="黑体" w:cs="宋体"/>
          <w:b/>
          <w:bCs/>
          <w:color w:val="auto"/>
          <w:sz w:val="24"/>
        </w:rPr>
        <w:t>7.特别说明</w:t>
      </w:r>
      <w:bookmarkEnd w:id="103"/>
      <w:bookmarkEnd w:id="104"/>
    </w:p>
    <w:p w14:paraId="31E42D50">
      <w:pPr>
        <w:spacing w:line="360" w:lineRule="auto"/>
        <w:ind w:firstLine="420" w:firstLineChars="200"/>
        <w:rPr>
          <w:rFonts w:hint="eastAsia" w:ascii="宋体" w:hAnsi="宋体" w:cs="宋体"/>
          <w:color w:val="auto"/>
          <w:szCs w:val="21"/>
        </w:rPr>
      </w:pPr>
      <w:bookmarkStart w:id="105" w:name="_8.1提供相同品牌产品且通过资格审查、符合性审查的不同投标人参加同一合"/>
      <w:bookmarkEnd w:id="105"/>
      <w:r>
        <w:rPr>
          <w:rFonts w:hint="eastAsia" w:ascii="宋体" w:hAnsi="宋体" w:cs="宋体"/>
          <w:color w:val="auto"/>
          <w:szCs w:val="21"/>
        </w:rPr>
        <w:t>7.1</w:t>
      </w:r>
      <w:bookmarkStart w:id="106" w:name="_Hlk65832145"/>
      <w:r>
        <w:rPr>
          <w:rFonts w:hint="eastAsia" w:ascii="宋体" w:hAnsi="宋体" w:cs="宋体"/>
          <w:color w:val="auto"/>
          <w:szCs w:val="21"/>
        </w:rPr>
        <w:t>如果本磋商文件要求提供供应商或制造商的资格、信誉、荣誉、业绩与企业认证等材料的，资格、信誉、荣誉、业绩与企业认证等必须为供应商或者制造商所拥有或自身获得 。</w:t>
      </w:r>
    </w:p>
    <w:bookmarkEnd w:id="106"/>
    <w:p w14:paraId="19DBAA4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7.2供应商应仔细阅读磋商文件的所有内容，按照磋商文件的要求提交响应文件，并对所提供的全部资料的真实性承担法律责任。</w:t>
      </w:r>
    </w:p>
    <w:p w14:paraId="0143B1C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309BD637">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7.4在政府采购活动中，采购人员及相关人员与供应商有下列利害关系之一的，应当回避：</w:t>
      </w:r>
    </w:p>
    <w:p w14:paraId="76F007DF">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（1）参加采购活动前3年内与供应商存在劳动关系；</w:t>
      </w:r>
    </w:p>
    <w:p w14:paraId="785F2517">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（2）参加采购活动前3年内担任供应商的董事、监事；</w:t>
      </w:r>
    </w:p>
    <w:p w14:paraId="3DE99ED5">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（3）参加采购活动前3年内是供应商的控股股东或者实际控制人；</w:t>
      </w:r>
    </w:p>
    <w:p w14:paraId="3A21DE4D">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（4）与供应商的法定代表人或者负责人有夫妻、直系血亲、三代以内旁系血亲或者近姻亲关系；</w:t>
      </w:r>
    </w:p>
    <w:p w14:paraId="64AB2BA0">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（5）与供应商有其他可能影响政府采购活动公平、公正进行的关系。</w:t>
      </w:r>
    </w:p>
    <w:p w14:paraId="3E31518E">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616FF96">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7.5有下列情形之一的视为供应商相互串通竞标，响应文件将被视为无效：</w:t>
      </w:r>
    </w:p>
    <w:p w14:paraId="62016008">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 xml:space="preserve">（1）不同供应商的响应文件由同一单位或者个人编制；或不同供应商报名的IP地址一致的； </w:t>
      </w:r>
    </w:p>
    <w:p w14:paraId="2F8ABD00">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（2）不同供应商委托同一单位或者个人办理竞标事宜；</w:t>
      </w:r>
    </w:p>
    <w:p w14:paraId="70A5D493">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（3）不同的供应商的响应文件载明的项目管理员为同一个人；</w:t>
      </w:r>
    </w:p>
    <w:p w14:paraId="4B1E5799">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（4）不同供应商的响应文件异常一致或者报价呈规律性差异；</w:t>
      </w:r>
    </w:p>
    <w:p w14:paraId="36E4FA33">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（5）不同供应商的响应文件相互混装；</w:t>
      </w:r>
    </w:p>
    <w:p w14:paraId="0FAFB0A8">
      <w:pPr>
        <w:tabs>
          <w:tab w:val="left" w:pos="6931"/>
        </w:tabs>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（6）不同供应商的磋商保证金从同一单位或者个人账户转出。</w:t>
      </w:r>
      <w:r>
        <w:rPr>
          <w:rFonts w:hint="eastAsia" w:ascii="宋体" w:hAnsi="宋体" w:cs="宋体"/>
          <w:b/>
          <w:bCs/>
          <w:color w:val="auto"/>
          <w:szCs w:val="21"/>
        </w:rPr>
        <w:tab/>
      </w:r>
    </w:p>
    <w:p w14:paraId="4CD60673">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7.6供应商有下列情形之一的，属于恶意串通行为，将报同级监督管理部门：</w:t>
      </w:r>
    </w:p>
    <w:p w14:paraId="153A403B">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（1）供应商直接或者间接从采购人或者采购代理机构处获得其他供应商的相关信息并修改其响应文件；</w:t>
      </w:r>
    </w:p>
    <w:p w14:paraId="15C49A0B">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（2）供应商按照采购人或者采购代理机构的授意撤换、修改响应文件；</w:t>
      </w:r>
    </w:p>
    <w:p w14:paraId="4B4B292C">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（3）供应商之间协商报价、技术方案等响应文件的实质性内容；</w:t>
      </w:r>
    </w:p>
    <w:p w14:paraId="01D94670">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（4）属于同一集团、协会、商会等组织成员的供应商按照该组织要求协同参加政府采购活动；</w:t>
      </w:r>
    </w:p>
    <w:p w14:paraId="6E1065F4">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（5）供应商之间事先约定一致抬高或者压低报价，或者在政府采购活动中事先约定轮流以高价位或者低价位成交，或者事先约定由某一特定供应商成交，然后再参加竞标；</w:t>
      </w:r>
    </w:p>
    <w:p w14:paraId="7BEB696D">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（6）供应商之间商定部分供应商放弃参加政府采购活动或者放弃成交；</w:t>
      </w:r>
    </w:p>
    <w:p w14:paraId="2517D7C0">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（7）供应商与采购人或者采购代理机构之间、供应商相互之间，为谋求特定供应商成交或者排斥其他供应商的其他串通行为。</w:t>
      </w:r>
    </w:p>
    <w:p w14:paraId="31522B93">
      <w:pPr>
        <w:pStyle w:val="8"/>
        <w:spacing w:before="0" w:after="0" w:line="360" w:lineRule="auto"/>
        <w:ind w:firstLine="640" w:firstLineChars="200"/>
        <w:rPr>
          <w:b w:val="0"/>
          <w:bCs w:val="0"/>
          <w:color w:val="auto"/>
        </w:rPr>
      </w:pPr>
      <w:bookmarkStart w:id="107" w:name="_Toc254970534"/>
      <w:bookmarkStart w:id="108" w:name="_Toc254970675"/>
      <w:bookmarkStart w:id="109" w:name="_Toc12713"/>
      <w:bookmarkStart w:id="110" w:name="_Toc27583"/>
      <w:bookmarkStart w:id="111" w:name="_Toc80886931"/>
    </w:p>
    <w:p w14:paraId="61102813">
      <w:pPr>
        <w:pStyle w:val="8"/>
        <w:spacing w:before="0" w:after="0" w:line="360" w:lineRule="auto"/>
        <w:ind w:firstLine="640" w:firstLineChars="200"/>
        <w:rPr>
          <w:b w:val="0"/>
          <w:bCs w:val="0"/>
          <w:color w:val="auto"/>
        </w:rPr>
      </w:pPr>
      <w:r>
        <w:rPr>
          <w:rFonts w:hint="eastAsia"/>
          <w:b w:val="0"/>
          <w:bCs w:val="0"/>
          <w:color w:val="auto"/>
        </w:rPr>
        <w:t>二、磋商文件</w:t>
      </w:r>
      <w:bookmarkEnd w:id="107"/>
      <w:bookmarkEnd w:id="108"/>
      <w:bookmarkEnd w:id="109"/>
      <w:bookmarkEnd w:id="110"/>
      <w:bookmarkEnd w:id="111"/>
    </w:p>
    <w:p w14:paraId="200A9ADE">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8.磋商文件的构成</w:t>
      </w:r>
    </w:p>
    <w:p w14:paraId="5526E9DF">
      <w:pPr>
        <w:spacing w:line="360" w:lineRule="auto"/>
        <w:ind w:firstLine="420" w:firstLineChars="200"/>
        <w:jc w:val="left"/>
        <w:rPr>
          <w:color w:val="auto"/>
          <w:szCs w:val="21"/>
        </w:rPr>
      </w:pPr>
      <w:r>
        <w:rPr>
          <w:rFonts w:hint="eastAsia"/>
          <w:color w:val="auto"/>
          <w:szCs w:val="21"/>
        </w:rPr>
        <w:t>第一章 竞争性磋商公告；</w:t>
      </w:r>
    </w:p>
    <w:p w14:paraId="4647A438">
      <w:pPr>
        <w:spacing w:line="360" w:lineRule="auto"/>
        <w:ind w:firstLine="420" w:firstLineChars="200"/>
        <w:jc w:val="left"/>
        <w:rPr>
          <w:color w:val="auto"/>
          <w:szCs w:val="21"/>
        </w:rPr>
      </w:pPr>
      <w:r>
        <w:rPr>
          <w:rFonts w:hint="eastAsia"/>
          <w:color w:val="auto"/>
          <w:szCs w:val="21"/>
        </w:rPr>
        <w:t>第二章 采购需求；</w:t>
      </w:r>
    </w:p>
    <w:p w14:paraId="20003BF2">
      <w:pPr>
        <w:spacing w:line="360" w:lineRule="auto"/>
        <w:ind w:firstLine="420" w:firstLineChars="200"/>
        <w:jc w:val="left"/>
        <w:rPr>
          <w:color w:val="auto"/>
          <w:szCs w:val="21"/>
        </w:rPr>
      </w:pPr>
      <w:r>
        <w:rPr>
          <w:rFonts w:hint="eastAsia"/>
          <w:color w:val="auto"/>
          <w:szCs w:val="21"/>
        </w:rPr>
        <w:t xml:space="preserve">第三章 供应商须知； </w:t>
      </w:r>
    </w:p>
    <w:p w14:paraId="59356ECC">
      <w:pPr>
        <w:spacing w:line="360" w:lineRule="auto"/>
        <w:ind w:firstLine="420" w:firstLineChars="200"/>
        <w:jc w:val="left"/>
        <w:rPr>
          <w:color w:val="auto"/>
          <w:szCs w:val="21"/>
        </w:rPr>
      </w:pPr>
      <w:r>
        <w:rPr>
          <w:rFonts w:hint="eastAsia"/>
          <w:color w:val="auto"/>
          <w:szCs w:val="21"/>
        </w:rPr>
        <w:t>第四章 评审程序、评审方法和评审标准；</w:t>
      </w:r>
    </w:p>
    <w:p w14:paraId="0CE3D6B9">
      <w:pPr>
        <w:spacing w:line="360" w:lineRule="auto"/>
        <w:ind w:firstLine="420" w:firstLineChars="200"/>
        <w:jc w:val="left"/>
        <w:rPr>
          <w:color w:val="auto"/>
          <w:szCs w:val="21"/>
        </w:rPr>
      </w:pPr>
      <w:r>
        <w:rPr>
          <w:rFonts w:hint="eastAsia"/>
          <w:color w:val="auto"/>
          <w:szCs w:val="21"/>
        </w:rPr>
        <w:t>第五章 响应文件格式；</w:t>
      </w:r>
    </w:p>
    <w:p w14:paraId="72F638E6">
      <w:pPr>
        <w:spacing w:line="360" w:lineRule="auto"/>
        <w:ind w:firstLine="420" w:firstLineChars="200"/>
        <w:jc w:val="left"/>
        <w:rPr>
          <w:color w:val="auto"/>
          <w:szCs w:val="21"/>
        </w:rPr>
      </w:pPr>
      <w:r>
        <w:rPr>
          <w:rFonts w:hint="eastAsia"/>
          <w:color w:val="auto"/>
          <w:szCs w:val="21"/>
        </w:rPr>
        <w:t>第六章 合同文本；</w:t>
      </w:r>
    </w:p>
    <w:p w14:paraId="5F3BDFB7">
      <w:pPr>
        <w:spacing w:line="360" w:lineRule="auto"/>
        <w:ind w:firstLine="420" w:firstLineChars="200"/>
        <w:jc w:val="left"/>
        <w:rPr>
          <w:color w:val="auto"/>
          <w:szCs w:val="21"/>
        </w:rPr>
      </w:pPr>
      <w:r>
        <w:rPr>
          <w:rFonts w:hint="eastAsia"/>
          <w:color w:val="auto"/>
          <w:szCs w:val="21"/>
        </w:rPr>
        <w:t>第七章 质疑、投诉材料格式。</w:t>
      </w:r>
    </w:p>
    <w:p w14:paraId="4C7387D1">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9.供应商的询问</w:t>
      </w:r>
    </w:p>
    <w:p w14:paraId="334FA1C7">
      <w:pPr>
        <w:spacing w:line="360" w:lineRule="auto"/>
        <w:ind w:firstLine="420" w:firstLineChars="200"/>
        <w:rPr>
          <w:color w:val="auto"/>
          <w:szCs w:val="21"/>
        </w:rPr>
      </w:pPr>
      <w:r>
        <w:rPr>
          <w:rFonts w:hint="eastAsia"/>
          <w:color w:val="auto"/>
          <w:szCs w:val="21"/>
        </w:rPr>
        <w:t>供应商应认真阅读磋商文件的采购需求，如供应商对磋商文件有疑问的，如要求采购人作出澄清或者修改的，</w:t>
      </w:r>
      <w:r>
        <w:rPr>
          <w:rFonts w:hint="eastAsia"/>
          <w:color w:val="auto"/>
          <w:szCs w:val="21"/>
          <w:lang w:eastAsia="zh-CN"/>
        </w:rPr>
        <w:t>供应商</w:t>
      </w:r>
      <w:r>
        <w:rPr>
          <w:rFonts w:hint="eastAsia"/>
          <w:color w:val="auto"/>
          <w:szCs w:val="21"/>
        </w:rPr>
        <w:t>应在</w:t>
      </w:r>
      <w:r>
        <w:rPr>
          <w:color w:val="auto"/>
          <w:szCs w:val="21"/>
        </w:rPr>
        <w:t>提交首次响应文件截止之日前</w:t>
      </w:r>
      <w:r>
        <w:rPr>
          <w:rFonts w:hint="eastAsia"/>
          <w:color w:val="auto"/>
          <w:szCs w:val="21"/>
        </w:rPr>
        <w:t>，以书面形式向</w:t>
      </w:r>
      <w:r>
        <w:rPr>
          <w:color w:val="auto"/>
          <w:szCs w:val="21"/>
        </w:rPr>
        <w:t>采购人、采购代理机构</w:t>
      </w:r>
      <w:r>
        <w:rPr>
          <w:rFonts w:hint="eastAsia"/>
          <w:color w:val="auto"/>
          <w:szCs w:val="21"/>
        </w:rPr>
        <w:t>提出。</w:t>
      </w:r>
    </w:p>
    <w:p w14:paraId="073EDAD1">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10.磋商文件的澄清和修改</w:t>
      </w:r>
    </w:p>
    <w:p w14:paraId="4DE1E6A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10.1已获取磋商文件的潜在供应商，若有问题需要澄清，应于应标截止时间前，以书面形式向采购代理机构提出，采购代理机构与采购人研究后，对认为有必要回答的问题，按照本章10.3的内容处理。</w:t>
      </w:r>
    </w:p>
    <w:p w14:paraId="03524B09">
      <w:pPr>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67EFDA2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目前为网上公告和系统短信等形式）通知所有获取磋商文件的供应商，不足5日的，应当顺延提交首次响应文件截止时间。澄清或者更正公告在竞争性磋商公告发布媒体上发布，一经发布，视作已以书面形式通知所有获取竞争性磋商文件的潜在供应商，不再另行通知，所有潜在供应商应密切关注竞争性磋商公告发布媒体，因未能及时获知，由此产生的后果均应自行承担。</w:t>
      </w:r>
    </w:p>
    <w:p w14:paraId="78382233">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10.4</w:t>
      </w:r>
      <w:r>
        <w:rPr>
          <w:rFonts w:hint="eastAsia" w:ascii="宋体" w:hAnsi="宋体" w:cs="宋体"/>
          <w:color w:val="auto"/>
          <w:shd w:val="clear" w:color="auto" w:fill="FFFFFF"/>
        </w:rPr>
        <w:t>采购信息更正公告的内容应当包括采购人和采购代理机构名称、地址、联系方式，原公告的采购项目名称及首次公告日期，更正事项、内容及日期，采购项目联系人和电话。</w:t>
      </w:r>
    </w:p>
    <w:p w14:paraId="5A550235">
      <w:pPr>
        <w:spacing w:line="360" w:lineRule="auto"/>
        <w:ind w:firstLine="420" w:firstLineChars="200"/>
        <w:rPr>
          <w:rFonts w:hint="eastAsia" w:ascii="宋体" w:hAnsi="宋体" w:cs="宋体"/>
          <w:color w:val="auto"/>
        </w:rPr>
      </w:pPr>
      <w:r>
        <w:rPr>
          <w:rFonts w:hint="eastAsia" w:ascii="宋体" w:hAnsi="宋体" w:cs="宋体"/>
          <w:color w:val="auto"/>
        </w:rPr>
        <w:t>10.5  采购人和采购代理机构可以视采购具体情况，变更提交首次响应文件截止时间和竞谈时间，将变更时间将在“竞争性磋商公告”中“七、其他补充事宜2.网上查询地址”规定的政府采购信息发布媒体上发布更正公告。</w:t>
      </w:r>
    </w:p>
    <w:p w14:paraId="6992E6DB">
      <w:pPr>
        <w:spacing w:line="360" w:lineRule="auto"/>
        <w:ind w:firstLine="400" w:firstLineChars="200"/>
        <w:rPr>
          <w:rFonts w:hint="eastAsia" w:ascii="宋体" w:hAnsi="宋体" w:cs="宋体"/>
          <w:color w:val="auto"/>
          <w:kern w:val="0"/>
          <w:sz w:val="20"/>
          <w:szCs w:val="21"/>
        </w:rPr>
      </w:pPr>
      <w:r>
        <w:rPr>
          <w:rFonts w:hint="eastAsia" w:ascii="宋体" w:hAnsi="宋体" w:cs="宋体"/>
          <w:color w:val="auto"/>
          <w:kern w:val="0"/>
          <w:sz w:val="20"/>
          <w:szCs w:val="21"/>
        </w:rPr>
        <w:t>▲</w:t>
      </w:r>
      <w:r>
        <w:rPr>
          <w:rFonts w:hint="eastAsia" w:ascii="宋体" w:hAnsi="宋体" w:cs="宋体"/>
          <w:b/>
          <w:color w:val="auto"/>
          <w:kern w:val="0"/>
          <w:sz w:val="20"/>
          <w:szCs w:val="21"/>
        </w:rPr>
        <w:t>响应文件未按磋商文件的澄清、修改的内容编制，又不符合实质性要求的，其响应文件按无效处理。</w:t>
      </w:r>
    </w:p>
    <w:p w14:paraId="4DA43F9B">
      <w:pPr>
        <w:pStyle w:val="8"/>
        <w:spacing w:before="0" w:after="0" w:line="360" w:lineRule="auto"/>
        <w:ind w:firstLine="320" w:firstLineChars="100"/>
        <w:rPr>
          <w:b w:val="0"/>
          <w:bCs w:val="0"/>
          <w:color w:val="auto"/>
        </w:rPr>
      </w:pPr>
    </w:p>
    <w:p w14:paraId="25066B58">
      <w:pPr>
        <w:pStyle w:val="8"/>
        <w:spacing w:before="0" w:after="0" w:line="360" w:lineRule="auto"/>
        <w:ind w:firstLine="320" w:firstLineChars="100"/>
        <w:rPr>
          <w:b w:val="0"/>
          <w:bCs w:val="0"/>
          <w:color w:val="auto"/>
        </w:rPr>
      </w:pPr>
      <w:bookmarkStart w:id="112" w:name="_Toc21480"/>
      <w:bookmarkStart w:id="113" w:name="_Toc80886932"/>
      <w:bookmarkStart w:id="114" w:name="_Toc21690"/>
      <w:r>
        <w:rPr>
          <w:rFonts w:hint="eastAsia"/>
          <w:b w:val="0"/>
          <w:bCs w:val="0"/>
          <w:color w:val="auto"/>
        </w:rPr>
        <w:t>三、响应文件的编制</w:t>
      </w:r>
      <w:bookmarkEnd w:id="112"/>
      <w:bookmarkEnd w:id="113"/>
      <w:bookmarkEnd w:id="114"/>
    </w:p>
    <w:p w14:paraId="269DB3F2">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11.响应文件的编制原则</w:t>
      </w:r>
    </w:p>
    <w:p w14:paraId="22AD8469">
      <w:pPr>
        <w:spacing w:line="360" w:lineRule="auto"/>
        <w:ind w:firstLine="420" w:firstLineChars="200"/>
        <w:rPr>
          <w:rFonts w:cs="宋体"/>
          <w:color w:val="auto"/>
          <w:szCs w:val="21"/>
        </w:rPr>
      </w:pPr>
      <w:r>
        <w:rPr>
          <w:rFonts w:hint="eastAsia" w:cs="宋体"/>
          <w:color w:val="auto"/>
          <w:szCs w:val="21"/>
        </w:rPr>
        <w:t>供应商必须按照磋商文件的要求编制响应文件，并对其提交的响应文件的真实性、合法性承担法律责任。响应文件必须对磋商文件作出实质性响应。</w:t>
      </w:r>
    </w:p>
    <w:p w14:paraId="51E94176">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12.响应文件的组成</w:t>
      </w:r>
    </w:p>
    <w:p w14:paraId="12C9F4C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12.1响应文件由资格证明文件、报价文件、商务和技术文件三部分组成。</w:t>
      </w:r>
    </w:p>
    <w:p w14:paraId="3886C85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12.1.1资格证明文件：详见供应商须知前附表</w:t>
      </w:r>
    </w:p>
    <w:p w14:paraId="5D140FF8">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12.1.2商务技术文件：详见供应商须知前附表</w:t>
      </w:r>
    </w:p>
    <w:p w14:paraId="09672BF3">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12.1.3报价文件：详见供应商须知前附表</w:t>
      </w:r>
    </w:p>
    <w:p w14:paraId="00ED613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12.2响应文件电子版：详见供应商须知前附表</w:t>
      </w:r>
    </w:p>
    <w:p w14:paraId="200A9CFE">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13.计量单位</w:t>
      </w:r>
    </w:p>
    <w:p w14:paraId="565116D7">
      <w:pPr>
        <w:spacing w:line="360" w:lineRule="auto"/>
        <w:ind w:firstLine="420" w:firstLineChars="200"/>
        <w:rPr>
          <w:rFonts w:cs="宋体"/>
          <w:color w:val="auto"/>
          <w:szCs w:val="21"/>
        </w:rPr>
      </w:pPr>
      <w:r>
        <w:rPr>
          <w:rFonts w:hint="eastAsia" w:cs="宋体"/>
          <w:color w:val="auto"/>
          <w:szCs w:val="21"/>
        </w:rPr>
        <w:t>磋商文件已有明确规定的，使用磋商文件规定的计量单位；磋商文件没有规定的，应采用中华人民共和国法定计量单位，货币种类为人民币，否则视同未响应。</w:t>
      </w:r>
    </w:p>
    <w:p w14:paraId="23BEA764">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14.竞标的风险</w:t>
      </w:r>
    </w:p>
    <w:p w14:paraId="68AC13B1">
      <w:pPr>
        <w:spacing w:line="360" w:lineRule="auto"/>
        <w:ind w:firstLine="420" w:firstLineChars="200"/>
        <w:rPr>
          <w:rFonts w:cs="宋体"/>
          <w:color w:val="auto"/>
          <w:szCs w:val="21"/>
        </w:rPr>
      </w:pPr>
      <w:r>
        <w:rPr>
          <w:rFonts w:hint="eastAsia" w:cs="宋体"/>
          <w:color w:val="auto"/>
          <w:szCs w:val="21"/>
        </w:rPr>
        <w:t>供应商没有按照磋商文件要求提供全部资料，或者供应商没有对磋商文件在各方面作出实质性响应可能导致其响应无效，是供应商应当考虑的风险。</w:t>
      </w:r>
    </w:p>
    <w:p w14:paraId="2B9FE925">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15.响应报价要求和构成</w:t>
      </w:r>
    </w:p>
    <w:p w14:paraId="3ADD7832">
      <w:pPr>
        <w:tabs>
          <w:tab w:val="left" w:pos="2492"/>
        </w:tabs>
        <w:spacing w:line="360" w:lineRule="auto"/>
        <w:ind w:firstLine="420" w:firstLineChars="200"/>
        <w:rPr>
          <w:rFonts w:hint="eastAsia" w:ascii="宋体" w:hAnsi="宋体" w:cs="宋体"/>
          <w:color w:val="auto"/>
          <w:szCs w:val="21"/>
        </w:rPr>
      </w:pPr>
      <w:r>
        <w:rPr>
          <w:rFonts w:hint="eastAsia" w:ascii="宋体" w:hAnsi="宋体" w:cs="宋体"/>
          <w:color w:val="auto"/>
          <w:szCs w:val="21"/>
        </w:rPr>
        <w:t>15.1响应报价应按“第五章 响应文件格式”中“响应报价表”格式填写。</w:t>
      </w:r>
    </w:p>
    <w:p w14:paraId="67D5E36F">
      <w:pPr>
        <w:tabs>
          <w:tab w:val="left" w:pos="2492"/>
        </w:tabs>
        <w:spacing w:line="360" w:lineRule="auto"/>
        <w:ind w:firstLine="420" w:firstLineChars="200"/>
        <w:rPr>
          <w:rFonts w:hint="eastAsia" w:ascii="宋体" w:hAnsi="宋体" w:cs="宋体"/>
          <w:color w:val="auto"/>
          <w:szCs w:val="21"/>
        </w:rPr>
      </w:pPr>
      <w:r>
        <w:rPr>
          <w:rFonts w:hint="eastAsia" w:ascii="宋体" w:hAnsi="宋体" w:cs="宋体"/>
          <w:color w:val="auto"/>
          <w:szCs w:val="21"/>
        </w:rPr>
        <w:t>15.2响应报价的价格构成见“供应商须知前附表”。</w:t>
      </w:r>
    </w:p>
    <w:p w14:paraId="78257FE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15.3响应报价要求</w:t>
      </w:r>
    </w:p>
    <w:p w14:paraId="4D6F59D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15.3.1供应商的响应报价应符合以下要求，否则响应文件按无效响应处理：</w:t>
      </w:r>
    </w:p>
    <w:p w14:paraId="2184ECD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（1）供应商必须就“采购需求”中所竞标的项目/每个分标的全部内容分别作完整唯一总价报价，不得存在漏项报价；</w:t>
      </w:r>
    </w:p>
    <w:p w14:paraId="13E6C12C">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（2）供应商必须就所竞标的项目/分标的要求作唯一报价。</w:t>
      </w:r>
    </w:p>
    <w:p w14:paraId="151B970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15.3.2响应报价（包含首次报价、最后报价）超过所竞标项目/分标规定的采购预算金额或者最高限价的（如本项目公布了最高限价），其响应文件将按无效处理。</w:t>
      </w:r>
    </w:p>
    <w:p w14:paraId="4F16CDF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15.3.3</w:t>
      </w:r>
      <w:bookmarkStart w:id="115" w:name="_Hlk42592874"/>
      <w:r>
        <w:rPr>
          <w:rFonts w:hint="eastAsia" w:ascii="宋体" w:hAnsi="宋体" w:cs="宋体"/>
          <w:color w:val="auto"/>
          <w:szCs w:val="21"/>
        </w:rPr>
        <w:t>响应报价（包含首次报价、最后报价）超过分项采购预算金额或者最高限价的（如本项目公布了最高限价），其响应文件将按无效处理。</w:t>
      </w:r>
    </w:p>
    <w:bookmarkEnd w:id="115"/>
    <w:p w14:paraId="525669D3">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16.竞标有效期</w:t>
      </w:r>
    </w:p>
    <w:p w14:paraId="6255111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16.1竞标有效期是指为保证采购人有足够的时间在提交响应文件后完成评审、确定成交供应商、合同签订等工作而要求供应商提交的响应文件在一定时间内保持有效的期限。</w:t>
      </w:r>
    </w:p>
    <w:p w14:paraId="037AF168">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16.2 竞标有效期应由供应商按“供应商须知前附表”规定的期限作出响应。</w:t>
      </w:r>
    </w:p>
    <w:p w14:paraId="78AB15E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16.3供应商的响应文件在竞标有效期内均保持有效。</w:t>
      </w:r>
    </w:p>
    <w:p w14:paraId="33DE43AB">
      <w:pPr>
        <w:spacing w:line="360" w:lineRule="auto"/>
        <w:ind w:firstLine="482" w:firstLineChars="200"/>
        <w:rPr>
          <w:rFonts w:hint="eastAsia" w:ascii="黑体" w:hAnsi="黑体" w:eastAsia="黑体" w:cs="宋体"/>
          <w:b/>
          <w:bCs/>
          <w:i/>
          <w:iCs/>
          <w:color w:val="auto"/>
          <w:sz w:val="24"/>
        </w:rPr>
      </w:pPr>
      <w:r>
        <w:rPr>
          <w:rFonts w:hint="eastAsia" w:ascii="黑体" w:hAnsi="黑体" w:eastAsia="黑体" w:cs="宋体"/>
          <w:b/>
          <w:bCs/>
          <w:color w:val="auto"/>
          <w:sz w:val="24"/>
        </w:rPr>
        <w:t>17.磋商保证金</w:t>
      </w:r>
    </w:p>
    <w:p w14:paraId="1EE41380">
      <w:pPr>
        <w:spacing w:line="360" w:lineRule="auto"/>
        <w:ind w:left="420" w:leftChars="200"/>
        <w:rPr>
          <w:rFonts w:hint="eastAsia" w:ascii="宋体" w:hAnsi="宋体" w:cs="宋体"/>
          <w:color w:val="auto"/>
          <w:szCs w:val="21"/>
        </w:rPr>
      </w:pPr>
      <w:r>
        <w:rPr>
          <w:rFonts w:hint="eastAsia" w:ascii="宋体" w:hAnsi="宋体" w:cs="宋体"/>
          <w:color w:val="auto"/>
          <w:szCs w:val="21"/>
        </w:rPr>
        <w:t>17.1供应商须按“供应商须知前附表”的规定提交磋商保证金。</w:t>
      </w:r>
    </w:p>
    <w:p w14:paraId="43ABF85E">
      <w:pPr>
        <w:spacing w:line="360" w:lineRule="auto"/>
        <w:ind w:left="420" w:leftChars="200"/>
        <w:rPr>
          <w:rFonts w:hint="eastAsia" w:ascii="宋体" w:hAnsi="宋体" w:cs="宋体"/>
          <w:color w:val="auto"/>
          <w:szCs w:val="21"/>
        </w:rPr>
      </w:pPr>
      <w:r>
        <w:rPr>
          <w:rFonts w:hint="eastAsia" w:ascii="宋体" w:hAnsi="宋体" w:cs="宋体"/>
          <w:color w:val="auto"/>
          <w:szCs w:val="21"/>
        </w:rPr>
        <w:t>17.2磋商保证金的退还</w:t>
      </w:r>
    </w:p>
    <w:p w14:paraId="2AE53888">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17.2.1未</w:t>
      </w:r>
      <w:r>
        <w:rPr>
          <w:rFonts w:hint="eastAsia" w:ascii="宋体" w:hAnsi="宋体" w:cs="宋体"/>
          <w:color w:val="auto"/>
          <w:spacing w:val="-6"/>
          <w:szCs w:val="21"/>
        </w:rPr>
        <w:t>成交供应商的磋商保证金自成交通知书发出之日起5个工作日内退还，退还方式如下：</w:t>
      </w:r>
    </w:p>
    <w:p w14:paraId="15F8DDC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（1）采用银行转账方式的，以转账方式退回到供应商银行账户。</w:t>
      </w:r>
    </w:p>
    <w:p w14:paraId="6FD6A3BC">
      <w:pPr>
        <w:pStyle w:val="11"/>
        <w:spacing w:line="360" w:lineRule="auto"/>
        <w:ind w:firstLine="315" w:firstLineChars="150"/>
        <w:rPr>
          <w:rFonts w:hint="eastAsia" w:ascii="宋体" w:hAnsi="宋体"/>
          <w:color w:val="auto"/>
          <w:szCs w:val="21"/>
        </w:rPr>
      </w:pPr>
      <w:r>
        <w:rPr>
          <w:rFonts w:hint="eastAsia" w:ascii="宋体" w:hAnsi="宋体" w:cs="宋体"/>
          <w:color w:val="auto"/>
          <w:szCs w:val="21"/>
        </w:rPr>
        <w:t>（2）</w:t>
      </w:r>
      <w:r>
        <w:rPr>
          <w:rFonts w:hint="eastAsia" w:ascii="宋体" w:hAnsi="宋体"/>
          <w:color w:val="auto"/>
          <w:szCs w:val="21"/>
        </w:rPr>
        <w:t>采用支票、汇票、本票或者金融机构、担保机构出具的保函等方式的，由供应商代表持相关授权证明材料至采购代理机构办理支票、汇票、本票或者金融机构、担保机构出具的保函等原件退还手续。</w:t>
      </w:r>
    </w:p>
    <w:p w14:paraId="0DF8A5A7">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 xml:space="preserve">17.2.2成交供应商的磋商保证金自签订合同之日起5个工作日内退还，退还方式同未成交供应商的磋商保证金的退还方式。 </w:t>
      </w:r>
    </w:p>
    <w:p w14:paraId="2BD05281">
      <w:pPr>
        <w:spacing w:line="360" w:lineRule="auto"/>
        <w:ind w:left="420" w:leftChars="200"/>
        <w:rPr>
          <w:rFonts w:hint="eastAsia" w:ascii="宋体" w:hAnsi="宋体" w:cs="宋体"/>
          <w:color w:val="auto"/>
          <w:szCs w:val="21"/>
        </w:rPr>
      </w:pPr>
      <w:r>
        <w:rPr>
          <w:rFonts w:hint="eastAsia" w:ascii="宋体" w:hAnsi="宋体" w:cs="宋体"/>
          <w:color w:val="auto"/>
          <w:szCs w:val="21"/>
        </w:rPr>
        <w:t>17.3磋商保证金不计息。</w:t>
      </w:r>
    </w:p>
    <w:p w14:paraId="73345452">
      <w:pPr>
        <w:spacing w:line="360" w:lineRule="auto"/>
        <w:ind w:left="420" w:leftChars="200"/>
        <w:rPr>
          <w:rFonts w:hint="eastAsia" w:ascii="宋体" w:hAnsi="宋体" w:cs="宋体"/>
          <w:color w:val="auto"/>
          <w:szCs w:val="21"/>
        </w:rPr>
      </w:pPr>
      <w:r>
        <w:rPr>
          <w:rFonts w:hint="eastAsia" w:ascii="宋体" w:hAnsi="宋体" w:cs="宋体"/>
          <w:color w:val="auto"/>
          <w:szCs w:val="21"/>
        </w:rPr>
        <w:t xml:space="preserve">17.4供应商有下列情形之一的，磋商保证金将不予退还： </w:t>
      </w:r>
    </w:p>
    <w:p w14:paraId="2245DFD9">
      <w:pPr>
        <w:spacing w:line="360" w:lineRule="auto"/>
        <w:ind w:left="420" w:leftChars="200"/>
        <w:rPr>
          <w:rFonts w:hint="eastAsia" w:ascii="宋体" w:hAnsi="宋体" w:cs="宋体"/>
          <w:color w:val="auto"/>
          <w:szCs w:val="21"/>
        </w:rPr>
      </w:pPr>
      <w:r>
        <w:rPr>
          <w:rFonts w:hint="eastAsia" w:ascii="宋体" w:hAnsi="宋体" w:cs="宋体"/>
          <w:color w:val="auto"/>
          <w:szCs w:val="21"/>
        </w:rPr>
        <w:t>（1）供应商在提交响应文件截止时间后撤回响应文件的；</w:t>
      </w:r>
    </w:p>
    <w:p w14:paraId="5F7F690A">
      <w:pPr>
        <w:spacing w:line="360" w:lineRule="auto"/>
        <w:ind w:left="420" w:leftChars="200"/>
        <w:rPr>
          <w:rFonts w:hint="eastAsia" w:ascii="宋体" w:hAnsi="宋体" w:cs="宋体"/>
          <w:color w:val="auto"/>
          <w:szCs w:val="21"/>
        </w:rPr>
      </w:pPr>
      <w:r>
        <w:rPr>
          <w:rFonts w:hint="eastAsia" w:ascii="宋体" w:hAnsi="宋体" w:cs="宋体"/>
          <w:color w:val="auto"/>
          <w:szCs w:val="21"/>
        </w:rPr>
        <w:t>（2）供应商在响应文件中提供虚假材料的；</w:t>
      </w:r>
    </w:p>
    <w:p w14:paraId="744A2B8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（3）除因不可抗力或者磋商文件认可的情形以外，成交供应商不与采购人签订合同的；</w:t>
      </w:r>
    </w:p>
    <w:p w14:paraId="39CA6F3D">
      <w:pPr>
        <w:spacing w:line="360" w:lineRule="auto"/>
        <w:ind w:left="420" w:leftChars="200"/>
        <w:rPr>
          <w:rFonts w:hint="eastAsia" w:ascii="宋体" w:hAnsi="宋体" w:cs="宋体"/>
          <w:color w:val="auto"/>
          <w:szCs w:val="21"/>
        </w:rPr>
      </w:pPr>
      <w:r>
        <w:rPr>
          <w:rFonts w:hint="eastAsia" w:ascii="宋体" w:hAnsi="宋体" w:cs="宋体"/>
          <w:color w:val="auto"/>
          <w:szCs w:val="21"/>
        </w:rPr>
        <w:t>（4）供应商与采购人、其他供应商或者采购代理机构恶意串通的；</w:t>
      </w:r>
    </w:p>
    <w:p w14:paraId="2D8A561B">
      <w:pPr>
        <w:spacing w:line="360" w:lineRule="auto"/>
        <w:ind w:left="420" w:leftChars="200"/>
        <w:rPr>
          <w:rFonts w:cs="宋体"/>
          <w:color w:val="auto"/>
          <w:szCs w:val="21"/>
        </w:rPr>
      </w:pPr>
      <w:r>
        <w:rPr>
          <w:rFonts w:hint="eastAsia" w:ascii="宋体" w:hAnsi="宋体" w:cs="宋体"/>
          <w:color w:val="auto"/>
          <w:szCs w:val="21"/>
        </w:rPr>
        <w:t>（5）磋商文件规定的其他情形。</w:t>
      </w:r>
    </w:p>
    <w:p w14:paraId="78CE115A">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18.响应文件编制的要求</w:t>
      </w:r>
    </w:p>
    <w:p w14:paraId="1F51099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auto"/>
        </w:rPr>
        <w:t>由此引发的</w:t>
      </w:r>
      <w:r>
        <w:rPr>
          <w:rFonts w:hint="eastAsia" w:ascii="宋体" w:hAnsi="宋体" w:cs="宋体"/>
          <w:color w:val="auto"/>
          <w:szCs w:val="21"/>
        </w:rPr>
        <w:t>后果由供应商承担。</w:t>
      </w:r>
    </w:p>
    <w:p w14:paraId="6AC0DC0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18.2响应文件应按资格证明文件、报价文件分别编制，商务技术文件合并编制，本磋商只接受电子版响应文件，要求见本章“12.2响应文件电子版要求”。</w:t>
      </w:r>
    </w:p>
    <w:p w14:paraId="72F8F28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18.</w:t>
      </w:r>
      <w:bookmarkStart w:id="116" w:name="_Hlk65832699"/>
      <w:r>
        <w:rPr>
          <w:rFonts w:hint="eastAsia" w:ascii="宋体" w:hAnsi="宋体" w:cs="宋体"/>
          <w:color w:val="auto"/>
          <w:szCs w:val="21"/>
        </w:rPr>
        <w:t>3响应文件须由供应商按</w:t>
      </w:r>
      <w:r>
        <w:rPr>
          <w:rFonts w:hint="eastAsia" w:ascii="宋体" w:hAnsi="宋体" w:cs="宋体"/>
          <w:color w:val="auto"/>
          <w:kern w:val="0"/>
          <w:szCs w:val="21"/>
          <w:lang w:val="zh-CN"/>
        </w:rPr>
        <w:t>“</w:t>
      </w:r>
      <w:r>
        <w:rPr>
          <w:rFonts w:hint="eastAsia" w:ascii="宋体" w:hAnsi="宋体" w:cs="宋体"/>
          <w:color w:val="auto"/>
          <w:szCs w:val="21"/>
        </w:rPr>
        <w:t>第五章 响应文件格式</w:t>
      </w:r>
      <w:r>
        <w:rPr>
          <w:rFonts w:hint="eastAsia" w:ascii="宋体" w:hAnsi="宋体" w:cs="宋体"/>
          <w:color w:val="auto"/>
          <w:kern w:val="0"/>
          <w:szCs w:val="21"/>
          <w:lang w:val="zh-CN"/>
        </w:rPr>
        <w:t>”</w:t>
      </w:r>
      <w:r>
        <w:rPr>
          <w:rFonts w:hint="eastAsia" w:ascii="宋体" w:hAnsi="宋体" w:cs="宋体"/>
          <w:color w:val="auto"/>
          <w:szCs w:val="21"/>
        </w:rPr>
        <w:t>要求进行签署、盖章</w:t>
      </w:r>
      <w:bookmarkEnd w:id="116"/>
      <w:r>
        <w:rPr>
          <w:rFonts w:hint="eastAsia" w:ascii="宋体" w:hAnsi="宋体" w:cs="宋体"/>
          <w:color w:val="auto"/>
          <w:szCs w:val="21"/>
        </w:rPr>
        <w:t>，</w:t>
      </w:r>
      <w:r>
        <w:rPr>
          <w:rFonts w:hint="eastAsia" w:ascii="宋体" w:hAnsi="宋体" w:cs="宋体"/>
          <w:b/>
          <w:bCs/>
          <w:color w:val="auto"/>
          <w:szCs w:val="21"/>
        </w:rPr>
        <w:t>否则其响应文件按无效响应处理</w:t>
      </w:r>
      <w:r>
        <w:rPr>
          <w:rFonts w:hint="eastAsia" w:ascii="宋体" w:hAnsi="宋体" w:cs="宋体"/>
          <w:color w:val="auto"/>
          <w:szCs w:val="21"/>
        </w:rPr>
        <w:t>。</w:t>
      </w:r>
    </w:p>
    <w:p w14:paraId="6DDB712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18.4响应文件中标注的供应商名称应与营业执照（事业单位法人证书、执业许可证、自然人身份证）及供应商公章一致，</w:t>
      </w:r>
      <w:r>
        <w:rPr>
          <w:rFonts w:hint="eastAsia" w:ascii="宋体" w:hAnsi="宋体" w:cs="宋体"/>
          <w:b/>
          <w:bCs/>
          <w:color w:val="auto"/>
          <w:szCs w:val="21"/>
        </w:rPr>
        <w:t>否则其响应文件按无效响应处理。</w:t>
      </w:r>
    </w:p>
    <w:p w14:paraId="5726D77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18.5响应文件应避免涂改、行间插字或者删除。</w:t>
      </w:r>
    </w:p>
    <w:p w14:paraId="301557DC">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19.响应文件的密封和标记</w:t>
      </w:r>
    </w:p>
    <w:p w14:paraId="7A7A6225">
      <w:pPr>
        <w:spacing w:line="360" w:lineRule="auto"/>
        <w:ind w:firstLine="420" w:firstLineChars="200"/>
        <w:rPr>
          <w:rFonts w:hint="eastAsia" w:ascii="宋体" w:hAnsi="宋体" w:cs="宋体"/>
          <w:color w:val="auto"/>
          <w:kern w:val="0"/>
          <w:szCs w:val="21"/>
          <w:lang w:val="zh-CN"/>
        </w:rPr>
      </w:pPr>
      <w:r>
        <w:rPr>
          <w:rFonts w:hint="eastAsia" w:ascii="宋体" w:hAnsi="宋体" w:cs="宋体"/>
          <w:color w:val="auto"/>
          <w:kern w:val="0"/>
          <w:szCs w:val="21"/>
          <w:lang w:val="zh-CN"/>
        </w:rPr>
        <w:t>19.1供应商进行电子交易应安装客户端软件，并按照磋商文件和电子交易平台的要求编制并加密响应文件。供应商未按规定加密的响应文件，电子交易平台将拒收并提示。</w:t>
      </w:r>
    </w:p>
    <w:p w14:paraId="3164CD13">
      <w:pPr>
        <w:spacing w:line="360" w:lineRule="auto"/>
        <w:ind w:firstLine="420" w:firstLineChars="200"/>
        <w:rPr>
          <w:rFonts w:hint="eastAsia" w:ascii="宋体" w:hAnsi="宋体" w:cs="宋体"/>
          <w:color w:val="auto"/>
          <w:kern w:val="0"/>
          <w:szCs w:val="21"/>
          <w:lang w:val="zh-CN"/>
        </w:rPr>
      </w:pPr>
      <w:r>
        <w:rPr>
          <w:rFonts w:hint="eastAsia" w:ascii="宋体" w:hAnsi="宋体" w:cs="宋体"/>
          <w:color w:val="auto"/>
          <w:kern w:val="0"/>
          <w:szCs w:val="21"/>
          <w:lang w:val="zh-CN"/>
        </w:rPr>
        <w:t>19.2使用广西政府采购云平台电子交易客户端需要提前申领CA数字证书。</w:t>
      </w:r>
    </w:p>
    <w:p w14:paraId="5178F37C">
      <w:pPr>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19.3为确保网上操作合法、有效和安全，供应商应当在响应文件提交截止时间前完成在“广西政府采购云平台”的身份认证，确保在电子交易过程中能够对相关数据电文进行加密和使用电子签名。</w:t>
      </w:r>
    </w:p>
    <w:p w14:paraId="4AD11457">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20.响应文件的提交</w:t>
      </w:r>
    </w:p>
    <w:p w14:paraId="5B0D7F07">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20.1供应商必须在“供应商须知前附表”规定的时间和地点提交响应文件。</w:t>
      </w:r>
    </w:p>
    <w:p w14:paraId="1B004CC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20.2 在响应文件提交截止时间以后，不能补充、修改响应文件。</w:t>
      </w:r>
    </w:p>
    <w:p w14:paraId="1A0D74C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20.3 在提交“最后报价”后，供应商不能退出磋商。</w:t>
      </w:r>
    </w:p>
    <w:p w14:paraId="54410FB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20.4 电子交易平台收到响应文件，将妥善保存并即时向供应商发出确认回执通知。在响应文件提交截止时间前，除供应商补充、修改或者撤回响应文件外，任何单位和个人不得解密或提取响应文件。</w:t>
      </w:r>
    </w:p>
    <w:p w14:paraId="02E28E0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20.5 采购机构不可视情况延长提交响应文件的截止时间。</w:t>
      </w:r>
    </w:p>
    <w:p w14:paraId="6BDCCFC4">
      <w:pPr>
        <w:spacing w:line="360" w:lineRule="auto"/>
        <w:ind w:firstLine="420" w:firstLineChars="200"/>
        <w:rPr>
          <w:rFonts w:hint="eastAsia" w:ascii="宋体" w:hAnsi="宋体" w:cs="宋体"/>
          <w:color w:val="auto"/>
          <w:sz w:val="24"/>
        </w:rPr>
      </w:pPr>
      <w:r>
        <w:rPr>
          <w:rFonts w:hint="eastAsia" w:ascii="宋体" w:hAnsi="宋体" w:cs="宋体"/>
          <w:color w:val="auto"/>
          <w:szCs w:val="21"/>
        </w:rPr>
        <w:t>20.6备份响应文件。</w:t>
      </w:r>
      <w:r>
        <w:rPr>
          <w:rFonts w:hint="eastAsia" w:ascii="宋体" w:hAnsi="宋体" w:cs="宋体"/>
          <w:bCs/>
          <w:color w:val="auto"/>
          <w:szCs w:val="21"/>
        </w:rPr>
        <w:t>详见“供应商须知前附表”。</w:t>
      </w:r>
    </w:p>
    <w:p w14:paraId="09AB30C8">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21.首次响应文件的补充、修改与撤回</w:t>
      </w:r>
    </w:p>
    <w:p w14:paraId="41B307A2">
      <w:pPr>
        <w:spacing w:line="360" w:lineRule="auto"/>
        <w:ind w:firstLine="420" w:firstLineChars="200"/>
        <w:rPr>
          <w:rFonts w:cs="宋体"/>
          <w:color w:val="auto"/>
          <w:szCs w:val="21"/>
        </w:rPr>
      </w:pPr>
      <w:r>
        <w:rPr>
          <w:rFonts w:hint="eastAsia" w:cs="宋体"/>
          <w:color w:val="auto"/>
          <w:szCs w:val="21"/>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0142B7B3">
      <w:pPr>
        <w:spacing w:line="360" w:lineRule="auto"/>
        <w:ind w:firstLine="482" w:firstLineChars="200"/>
        <w:rPr>
          <w:rFonts w:hint="eastAsia" w:ascii="黑体" w:hAnsi="黑体" w:eastAsia="黑体" w:cs="宋体"/>
          <w:b/>
          <w:bCs/>
          <w:color w:val="auto"/>
          <w:sz w:val="24"/>
        </w:rPr>
      </w:pPr>
      <w:bookmarkStart w:id="117" w:name="_Hlk45702405"/>
      <w:r>
        <w:rPr>
          <w:rFonts w:hint="eastAsia" w:ascii="黑体" w:hAnsi="黑体" w:eastAsia="黑体" w:cs="宋体"/>
          <w:b/>
          <w:bCs/>
          <w:color w:val="auto"/>
          <w:sz w:val="24"/>
        </w:rPr>
        <w:t>22. 首次响应文件的退回</w:t>
      </w:r>
    </w:p>
    <w:p w14:paraId="1A38A3FA">
      <w:pPr>
        <w:spacing w:line="360" w:lineRule="auto"/>
        <w:ind w:firstLine="420" w:firstLineChars="200"/>
        <w:rPr>
          <w:rFonts w:cs="宋体"/>
          <w:color w:val="auto"/>
          <w:szCs w:val="21"/>
        </w:rPr>
      </w:pPr>
      <w:r>
        <w:rPr>
          <w:rFonts w:hint="eastAsia" w:cs="宋体"/>
          <w:color w:val="auto"/>
          <w:szCs w:val="21"/>
        </w:rPr>
        <w:t>在首次响应文件提交截止时间止提交响应文件的供应商不足3家时，电子响应文件的退回由广西政府采购云平台自动操作。</w:t>
      </w:r>
    </w:p>
    <w:p w14:paraId="6A681B9F">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23. 截止时间后的撤回</w:t>
      </w:r>
    </w:p>
    <w:bookmarkEnd w:id="117"/>
    <w:p w14:paraId="13FCEEDB">
      <w:pPr>
        <w:pStyle w:val="2"/>
        <w:spacing w:line="360" w:lineRule="auto"/>
        <w:ind w:firstLine="420" w:firstLineChars="200"/>
        <w:rPr>
          <w:rFonts w:cs="宋体"/>
          <w:i/>
          <w:iCs/>
          <w:color w:val="auto"/>
          <w:szCs w:val="21"/>
        </w:rPr>
      </w:pPr>
      <w:r>
        <w:rPr>
          <w:rFonts w:hint="eastAsia"/>
          <w:color w:val="auto"/>
        </w:rPr>
        <w:t>供应商在首次响应文件提交截止时间后向采购人、采购代理机构书面申请撤回电子响应文件的，将根据本须知正文17.4的规定不予退还其磋商保证金（如有）。</w:t>
      </w:r>
    </w:p>
    <w:p w14:paraId="0412C541">
      <w:pPr>
        <w:pStyle w:val="8"/>
        <w:spacing w:before="0" w:after="0" w:line="360" w:lineRule="auto"/>
        <w:ind w:firstLine="640" w:firstLineChars="200"/>
        <w:rPr>
          <w:b w:val="0"/>
          <w:bCs w:val="0"/>
          <w:color w:val="auto"/>
        </w:rPr>
      </w:pPr>
      <w:bookmarkStart w:id="118" w:name="_Toc80886933"/>
      <w:bookmarkStart w:id="119" w:name="_Toc20044"/>
      <w:bookmarkStart w:id="120" w:name="_Toc17876"/>
    </w:p>
    <w:p w14:paraId="0CE1FDC0">
      <w:pPr>
        <w:pStyle w:val="8"/>
        <w:spacing w:before="0" w:after="0" w:line="360" w:lineRule="auto"/>
        <w:ind w:firstLine="640" w:firstLineChars="200"/>
        <w:rPr>
          <w:b w:val="0"/>
          <w:bCs w:val="0"/>
          <w:color w:val="auto"/>
        </w:rPr>
      </w:pPr>
      <w:r>
        <w:rPr>
          <w:rFonts w:hint="eastAsia"/>
          <w:b w:val="0"/>
          <w:bCs w:val="0"/>
          <w:color w:val="auto"/>
        </w:rPr>
        <w:t>四、评审及磋商</w:t>
      </w:r>
      <w:bookmarkEnd w:id="118"/>
      <w:bookmarkEnd w:id="119"/>
      <w:bookmarkEnd w:id="120"/>
    </w:p>
    <w:p w14:paraId="5A0C1240">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24.磋商小组成立</w:t>
      </w:r>
    </w:p>
    <w:p w14:paraId="7875908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1BDEBE38">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w:t>
      </w:r>
    </w:p>
    <w:p w14:paraId="7FB695C2">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25.</w:t>
      </w:r>
      <w:r>
        <w:rPr>
          <w:rFonts w:hint="eastAsia" w:ascii="黑体" w:hAnsi="黑体" w:eastAsia="黑体" w:cs="宋体"/>
          <w:b/>
          <w:bCs/>
          <w:color w:val="auto"/>
          <w:sz w:val="24"/>
        </w:rPr>
        <w:t>首次响应文件的开启</w:t>
      </w:r>
    </w:p>
    <w:p w14:paraId="5FBAD3A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25.1首次响应文件由磋商小组或者采购代理机构在“供应商须知前附表”规定的时间开启。</w:t>
      </w:r>
    </w:p>
    <w:p w14:paraId="3A15311D">
      <w:pPr>
        <w:spacing w:line="360" w:lineRule="auto"/>
        <w:ind w:firstLine="420" w:firstLineChars="200"/>
        <w:rPr>
          <w:rFonts w:hint="eastAsia" w:ascii="宋体" w:hAnsi="宋体" w:cs="宋体"/>
          <w:bCs/>
          <w:color w:val="auto"/>
          <w:kern w:val="0"/>
          <w:szCs w:val="21"/>
        </w:rPr>
      </w:pPr>
      <w:r>
        <w:rPr>
          <w:rFonts w:hint="eastAsia" w:ascii="宋体" w:hAnsi="宋体" w:cs="宋体"/>
          <w:color w:val="auto"/>
          <w:kern w:val="0"/>
          <w:szCs w:val="21"/>
        </w:rPr>
        <w:t xml:space="preserve">25.2 </w:t>
      </w:r>
      <w:r>
        <w:rPr>
          <w:rFonts w:hint="eastAsia" w:ascii="宋体" w:hAnsi="宋体" w:cs="宋体"/>
          <w:bCs/>
          <w:color w:val="auto"/>
          <w:kern w:val="0"/>
          <w:szCs w:val="21"/>
        </w:rPr>
        <w:t>响应文件解密</w:t>
      </w:r>
    </w:p>
    <w:p w14:paraId="1A041C62">
      <w:pPr>
        <w:snapToGrid w:val="0"/>
        <w:spacing w:line="360" w:lineRule="auto"/>
        <w:ind w:firstLine="420" w:firstLineChars="200"/>
        <w:rPr>
          <w:rFonts w:hint="eastAsia" w:ascii="宋体" w:hAnsi="宋体" w:cs="宋体"/>
          <w:color w:val="auto"/>
          <w:kern w:val="0"/>
          <w:szCs w:val="21"/>
        </w:rPr>
      </w:pPr>
      <w:r>
        <w:rPr>
          <w:rFonts w:hint="eastAsia" w:ascii="宋体" w:hAnsi="宋体" w:cs="宋体"/>
          <w:bCs/>
          <w:color w:val="auto"/>
          <w:kern w:val="0"/>
          <w:szCs w:val="21"/>
        </w:rPr>
        <w:t>采购代理机构将在“供应商须知前附表”规定的时</w:t>
      </w:r>
      <w:r>
        <w:rPr>
          <w:rFonts w:hint="eastAsia" w:ascii="宋体" w:hAnsi="宋体" w:cs="宋体"/>
          <w:color w:val="auto"/>
          <w:kern w:val="0"/>
          <w:szCs w:val="21"/>
        </w:rPr>
        <w:t>间通过电子交易平台组织响应文件开启，采购机构依托电子交易平台发起开始解密指令，供应商的法定代表人或其委托代理人</w:t>
      </w:r>
      <w:r>
        <w:rPr>
          <w:rFonts w:hint="eastAsia" w:ascii="宋体" w:hAnsi="宋体" w:cs="宋体"/>
          <w:b/>
          <w:color w:val="auto"/>
          <w:kern w:val="0"/>
          <w:szCs w:val="21"/>
        </w:rPr>
        <w:t>须携带加密时所用的CA锁按平台提示和采购文件的规定登录到广西政府采购云平台电子开标大厅签到并在</w:t>
      </w:r>
      <w:r>
        <w:rPr>
          <w:rFonts w:hint="eastAsia" w:hAnsi="宋体"/>
          <w:b/>
          <w:color w:val="auto"/>
        </w:rPr>
        <w:t>发起解密指令之时起30分钟内完成对电子响应文件在线解密</w:t>
      </w:r>
      <w:r>
        <w:rPr>
          <w:rFonts w:hint="eastAsia" w:ascii="宋体" w:hAnsi="宋体" w:cs="宋体"/>
          <w:color w:val="auto"/>
          <w:kern w:val="0"/>
          <w:szCs w:val="21"/>
        </w:rPr>
        <w:t>。</w:t>
      </w:r>
      <w:r>
        <w:rPr>
          <w:rFonts w:hint="eastAsia" w:ascii="宋体" w:hAnsi="宋体" w:cs="宋体"/>
          <w:color w:val="auto"/>
          <w:kern w:val="1"/>
          <w:szCs w:val="21"/>
        </w:rPr>
        <w:t>响应文件未按时解密的</w:t>
      </w:r>
      <w:r>
        <w:rPr>
          <w:rFonts w:hint="eastAsia" w:ascii="宋体" w:hAnsi="宋体" w:cs="宋体"/>
          <w:color w:val="auto"/>
          <w:kern w:val="0"/>
          <w:szCs w:val="21"/>
        </w:rPr>
        <w:t>，</w:t>
      </w:r>
      <w:r>
        <w:rPr>
          <w:rFonts w:hint="eastAsia" w:ascii="宋体" w:hAnsi="宋体" w:cs="宋体"/>
          <w:b/>
          <w:color w:val="auto"/>
          <w:kern w:val="0"/>
          <w:szCs w:val="21"/>
        </w:rPr>
        <w:t>视为响应文件无效。</w:t>
      </w:r>
      <w:r>
        <w:rPr>
          <w:rFonts w:hint="eastAsia" w:ascii="宋体" w:hAnsi="宋体" w:cs="宋体"/>
          <w:color w:val="auto"/>
          <w:kern w:val="0"/>
          <w:szCs w:val="21"/>
        </w:rPr>
        <w:t>（解密</w:t>
      </w:r>
      <w:r>
        <w:rPr>
          <w:rFonts w:hint="eastAsia" w:ascii="宋体" w:hAnsi="宋体" w:cs="宋体"/>
          <w:bCs/>
          <w:color w:val="auto"/>
          <w:kern w:val="0"/>
          <w:szCs w:val="21"/>
        </w:rPr>
        <w:t>异常情况处理：详见本章</w:t>
      </w:r>
      <w:r>
        <w:rPr>
          <w:rFonts w:hint="eastAsia" w:ascii="宋体" w:hAnsi="宋体" w:cs="宋体"/>
          <w:color w:val="auto"/>
          <w:kern w:val="0"/>
          <w:szCs w:val="21"/>
        </w:rPr>
        <w:t>26.4电子交易活动的中止。）</w:t>
      </w:r>
    </w:p>
    <w:p w14:paraId="1C088F42">
      <w:pPr>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如</w:t>
      </w:r>
      <w:r>
        <w:rPr>
          <w:rFonts w:hint="eastAsia" w:ascii="宋体" w:hAnsi="宋体" w:cs="宋体"/>
          <w:bCs/>
          <w:color w:val="auto"/>
          <w:kern w:val="0"/>
          <w:szCs w:val="21"/>
        </w:rPr>
        <w:t>供应商成功解密响应文件，但未在广西政府采购云平台电子开标大厅参加磋商的，视同认可磋商过程和结果，</w:t>
      </w:r>
      <w:r>
        <w:rPr>
          <w:rFonts w:hint="eastAsia" w:ascii="宋体" w:hAnsi="宋体" w:cs="宋体"/>
          <w:color w:val="auto"/>
          <w:kern w:val="0"/>
          <w:szCs w:val="21"/>
        </w:rPr>
        <w:t>由此产生的后果由供应商自行负责。 参与磋商的供应商不足3家的，不得磋商。</w:t>
      </w:r>
    </w:p>
    <w:p w14:paraId="6B77D885">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26</w:t>
      </w:r>
      <w:r>
        <w:rPr>
          <w:rFonts w:hint="eastAsia" w:ascii="黑体" w:hAnsi="黑体" w:eastAsia="黑体" w:cs="宋体"/>
          <w:b/>
          <w:bCs/>
          <w:color w:val="auto"/>
          <w:sz w:val="24"/>
        </w:rPr>
        <w:t>.评审程序、评审方法和评审标准</w:t>
      </w:r>
    </w:p>
    <w:p w14:paraId="092F078B">
      <w:pPr>
        <w:spacing w:line="360" w:lineRule="auto"/>
        <w:ind w:firstLine="420" w:firstLineChars="200"/>
        <w:rPr>
          <w:rFonts w:hint="eastAsia" w:ascii="宋体" w:hAnsi="宋体" w:cs="宋体"/>
          <w:color w:val="auto"/>
        </w:rPr>
      </w:pPr>
      <w:r>
        <w:rPr>
          <w:rFonts w:hint="eastAsia" w:ascii="宋体" w:hAnsi="宋体" w:cs="宋体"/>
          <w:color w:val="auto"/>
        </w:rPr>
        <w:t>26.1本项目的评审方法详见“供应商须知前附表”。磋商小组按照“第四章 评审程序、评审方法和评审标准”规定的方法、评审因素、标准和程序对响应文件进行评审。</w:t>
      </w:r>
    </w:p>
    <w:p w14:paraId="724E0DAD">
      <w:pPr>
        <w:spacing w:line="360" w:lineRule="auto"/>
        <w:ind w:firstLine="420" w:firstLineChars="200"/>
        <w:rPr>
          <w:rFonts w:hint="eastAsia" w:ascii="宋体" w:hAnsi="宋体" w:cs="宋体"/>
          <w:color w:val="auto"/>
        </w:rPr>
      </w:pPr>
      <w:r>
        <w:rPr>
          <w:rFonts w:hint="eastAsia" w:ascii="宋体" w:hAnsi="宋体" w:cs="宋体"/>
          <w:color w:val="auto"/>
        </w:rPr>
        <w:t>26.2磋商文件内容违反国家有关强制性规定的，磋商小组应当停止评审并向采购人或者采购代理机构说明情况，并在评审报告中书面体现。</w:t>
      </w:r>
    </w:p>
    <w:p w14:paraId="25FB03D0">
      <w:pPr>
        <w:spacing w:line="360" w:lineRule="auto"/>
        <w:ind w:firstLine="420" w:firstLineChars="200"/>
        <w:rPr>
          <w:rFonts w:hint="eastAsia" w:ascii="宋体" w:hAnsi="宋体" w:cs="宋体"/>
          <w:color w:val="auto"/>
          <w:szCs w:val="21"/>
        </w:rPr>
      </w:pPr>
      <w:r>
        <w:rPr>
          <w:rFonts w:hint="eastAsia" w:ascii="宋体" w:hAnsi="宋体" w:cs="宋体"/>
          <w:color w:val="auto"/>
        </w:rPr>
        <w:t>26.3 采购需求负偏离要求及磋商顺序详见“供应商须知前附表</w:t>
      </w:r>
      <w:r>
        <w:rPr>
          <w:rFonts w:hint="eastAsia" w:ascii="宋体" w:hAnsi="宋体" w:cs="宋体"/>
          <w:color w:val="auto"/>
          <w:szCs w:val="21"/>
        </w:rPr>
        <w:t>”。</w:t>
      </w:r>
    </w:p>
    <w:p w14:paraId="52BCA10B">
      <w:pPr>
        <w:spacing w:line="360" w:lineRule="auto"/>
        <w:ind w:firstLine="420" w:firstLineChars="200"/>
        <w:rPr>
          <w:rFonts w:hint="eastAsia" w:ascii="宋体" w:hAnsi="宋体" w:cs="宋体"/>
          <w:color w:val="auto"/>
        </w:rPr>
      </w:pPr>
      <w:r>
        <w:rPr>
          <w:rFonts w:hint="eastAsia" w:ascii="宋体" w:hAnsi="宋体" w:cs="宋体"/>
          <w:color w:val="auto"/>
        </w:rPr>
        <w:t>26.4电子交易活动的中止。采购过程中出现以下情形，导致电子交易平台无法正常运行，或者无法保证电子交易的公平、公正和安全时，采购机构可中止电子交易活动：</w:t>
      </w:r>
    </w:p>
    <w:p w14:paraId="6E5B679B">
      <w:pPr>
        <w:spacing w:line="360" w:lineRule="auto"/>
        <w:ind w:firstLine="420" w:firstLineChars="200"/>
        <w:rPr>
          <w:rFonts w:hint="eastAsia" w:ascii="宋体" w:hAnsi="宋体" w:cs="宋体"/>
          <w:color w:val="auto"/>
        </w:rPr>
      </w:pPr>
      <w:r>
        <w:rPr>
          <w:rFonts w:hint="eastAsia" w:ascii="宋体" w:hAnsi="宋体" w:cs="宋体"/>
          <w:color w:val="auto"/>
        </w:rPr>
        <w:t xml:space="preserve">（1）电子交易平台发生故障而无法登录访问的； </w:t>
      </w:r>
    </w:p>
    <w:p w14:paraId="1484D115">
      <w:pPr>
        <w:spacing w:line="360" w:lineRule="auto"/>
        <w:ind w:firstLine="420" w:firstLineChars="200"/>
        <w:rPr>
          <w:rFonts w:hint="eastAsia" w:ascii="宋体" w:hAnsi="宋体" w:cs="宋体"/>
          <w:color w:val="auto"/>
        </w:rPr>
      </w:pPr>
      <w:r>
        <w:rPr>
          <w:rFonts w:hint="eastAsia" w:ascii="宋体" w:hAnsi="宋体" w:cs="宋体"/>
          <w:color w:val="auto"/>
        </w:rPr>
        <w:t>（2）电子交易平台应用或数据库出现错误，不能进行正常操作的；</w:t>
      </w:r>
    </w:p>
    <w:p w14:paraId="4F54AB9B">
      <w:pPr>
        <w:spacing w:line="360" w:lineRule="auto"/>
        <w:ind w:firstLine="420" w:firstLineChars="200"/>
        <w:rPr>
          <w:rFonts w:hint="eastAsia" w:ascii="宋体" w:hAnsi="宋体" w:cs="宋体"/>
          <w:color w:val="auto"/>
        </w:rPr>
      </w:pPr>
      <w:r>
        <w:rPr>
          <w:rFonts w:hint="eastAsia" w:ascii="宋体" w:hAnsi="宋体" w:cs="宋体"/>
          <w:color w:val="auto"/>
        </w:rPr>
        <w:t>（3）电子交易平台发现严重安全漏洞，有潜在泄密危险的；</w:t>
      </w:r>
    </w:p>
    <w:p w14:paraId="42228100">
      <w:pPr>
        <w:spacing w:line="360" w:lineRule="auto"/>
        <w:ind w:firstLine="420" w:firstLineChars="200"/>
        <w:rPr>
          <w:rFonts w:hint="eastAsia" w:ascii="宋体" w:hAnsi="宋体" w:cs="宋体"/>
          <w:color w:val="auto"/>
        </w:rPr>
      </w:pPr>
      <w:r>
        <w:rPr>
          <w:rFonts w:hint="eastAsia" w:ascii="宋体" w:hAnsi="宋体" w:cs="宋体"/>
          <w:color w:val="auto"/>
        </w:rPr>
        <w:t xml:space="preserve">（4）病毒发作导致不能进行正常操作的； </w:t>
      </w:r>
    </w:p>
    <w:p w14:paraId="07B32761">
      <w:pPr>
        <w:spacing w:line="360" w:lineRule="auto"/>
        <w:ind w:firstLine="420" w:firstLineChars="200"/>
        <w:rPr>
          <w:rFonts w:hint="eastAsia" w:ascii="宋体" w:hAnsi="宋体" w:cs="宋体"/>
          <w:color w:val="auto"/>
        </w:rPr>
      </w:pPr>
      <w:r>
        <w:rPr>
          <w:rFonts w:hint="eastAsia" w:ascii="宋体" w:hAnsi="宋体" w:cs="宋体"/>
          <w:color w:val="auto"/>
        </w:rPr>
        <w:t>（5）其他无法保证电子交易的公平、公正和安全的情况。</w:t>
      </w:r>
    </w:p>
    <w:p w14:paraId="41A7E686">
      <w:pPr>
        <w:spacing w:line="360" w:lineRule="auto"/>
        <w:ind w:firstLine="420" w:firstLineChars="200"/>
        <w:rPr>
          <w:rFonts w:hint="eastAsia" w:ascii="宋体" w:hAnsi="宋体" w:cs="宋体"/>
          <w:color w:val="auto"/>
        </w:rPr>
      </w:pPr>
      <w:r>
        <w:rPr>
          <w:rFonts w:hint="eastAsia" w:ascii="宋体" w:hAnsi="宋体" w:cs="宋体"/>
          <w:color w:val="auto"/>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427369C0">
      <w:pPr>
        <w:pStyle w:val="8"/>
        <w:spacing w:before="0" w:after="0" w:line="360" w:lineRule="auto"/>
        <w:ind w:firstLine="480" w:firstLineChars="150"/>
        <w:rPr>
          <w:b w:val="0"/>
          <w:bCs w:val="0"/>
          <w:color w:val="auto"/>
        </w:rPr>
      </w:pPr>
      <w:bookmarkStart w:id="121" w:name="_Toc12018"/>
      <w:bookmarkStart w:id="122" w:name="_Toc17745"/>
      <w:bookmarkStart w:id="123" w:name="_Toc80886934"/>
    </w:p>
    <w:p w14:paraId="30891714">
      <w:pPr>
        <w:pStyle w:val="8"/>
        <w:spacing w:before="0" w:after="0" w:line="360" w:lineRule="auto"/>
        <w:ind w:firstLine="480" w:firstLineChars="150"/>
        <w:rPr>
          <w:b w:val="0"/>
          <w:bCs w:val="0"/>
          <w:color w:val="auto"/>
        </w:rPr>
      </w:pPr>
      <w:r>
        <w:rPr>
          <w:rFonts w:hint="eastAsia"/>
          <w:b w:val="0"/>
          <w:bCs w:val="0"/>
          <w:color w:val="auto"/>
        </w:rPr>
        <w:t>五、成交及合同</w:t>
      </w:r>
      <w:bookmarkEnd w:id="121"/>
      <w:bookmarkEnd w:id="122"/>
      <w:bookmarkEnd w:id="123"/>
    </w:p>
    <w:p w14:paraId="3A3943AA">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27</w:t>
      </w:r>
      <w:r>
        <w:rPr>
          <w:rFonts w:hint="eastAsia" w:ascii="黑体" w:hAnsi="黑体" w:eastAsia="黑体" w:cs="宋体"/>
          <w:b/>
          <w:bCs/>
          <w:color w:val="auto"/>
          <w:sz w:val="24"/>
        </w:rPr>
        <w:t>.确定成交供应商及结果公告</w:t>
      </w:r>
    </w:p>
    <w:p w14:paraId="0F56B42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27.1确定成交供应商。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35ED8E0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27.2成交通知及成交结果公告。采购代理机构应当在</w:t>
      </w:r>
      <w:r>
        <w:rPr>
          <w:rFonts w:hint="eastAsia" w:ascii="宋体" w:hAnsi="宋体" w:cs="宋体"/>
          <w:color w:val="auto"/>
          <w:kern w:val="0"/>
          <w:szCs w:val="21"/>
        </w:rPr>
        <w:t>成交</w:t>
      </w:r>
      <w:r>
        <w:rPr>
          <w:rFonts w:hint="eastAsia" w:ascii="宋体" w:hAnsi="宋体" w:cs="宋体"/>
          <w:color w:val="auto"/>
          <w:szCs w:val="21"/>
        </w:rPr>
        <w:t>供应商确定后2个工作日内，在省级以上财政部门指定的媒体上公告成交结果，同时向成交供应商发出成交通知书。</w:t>
      </w:r>
    </w:p>
    <w:p w14:paraId="13948BA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27.3采购人或者采购代理机构发出成交通知书前，应当对成交供应商信用进行查询核实，对列入失信被执行人、重大税收违法失信主体名单、政府采购严重违法失信行为记录名单及其他不符合《中华人民共和国政府采购法》第二十二条规定条件的供应商，取消其成交资格，并依法确定排名第二的成交候选人为成交供应商。排名第二的成交候选人因上述规定的同样原因被取消成交资格的，采购人可以依法确定排名第三的成交候选人为成交供应商，以此类推。以上信息查询记录及相关证据与磋商文件一并保存。成交供应商享受《政府采购促进中小企业发展管理办法》（财库〔2020〕46号）规定的中小企业扶持政策的，采购人、采购代理机构应当随成交结果公开成交供应商的《中小企业声明函》。</w:t>
      </w:r>
    </w:p>
    <w:p w14:paraId="5E32DF1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519FC9D1">
      <w:pPr>
        <w:spacing w:line="360" w:lineRule="auto"/>
        <w:ind w:firstLine="420" w:firstLineChars="200"/>
        <w:rPr>
          <w:rFonts w:hint="eastAsia" w:ascii="宋体" w:hAnsi="宋体" w:cs="宋体"/>
          <w:color w:val="auto"/>
          <w:szCs w:val="21"/>
        </w:rPr>
      </w:pPr>
      <w:r>
        <w:rPr>
          <w:rFonts w:hint="eastAsia" w:ascii="宋体" w:hAnsi="宋体" w:cs="宋体"/>
          <w:bCs/>
          <w:color w:val="auto"/>
          <w:szCs w:val="21"/>
        </w:rPr>
        <w:t>27.5排名第一的成交候选人放弃成交，采购人可以按照评审报告推荐的成交候选人名单排序，依法确定下一候选人为成交</w:t>
      </w:r>
      <w:r>
        <w:rPr>
          <w:rFonts w:hint="eastAsia" w:ascii="宋体" w:hAnsi="宋体" w:cs="宋体"/>
          <w:color w:val="auto"/>
          <w:szCs w:val="21"/>
        </w:rPr>
        <w:t>供应商</w:t>
      </w:r>
      <w:r>
        <w:rPr>
          <w:rFonts w:hint="eastAsia" w:ascii="宋体" w:hAnsi="宋体" w:cs="宋体"/>
          <w:bCs/>
          <w:color w:val="auto"/>
          <w:szCs w:val="21"/>
        </w:rPr>
        <w:t>，也可以重新开展政府采购活动</w:t>
      </w:r>
      <w:r>
        <w:rPr>
          <w:rFonts w:hint="eastAsia" w:ascii="宋体" w:hAnsi="宋体" w:cs="宋体"/>
          <w:color w:val="auto"/>
          <w:szCs w:val="21"/>
        </w:rPr>
        <w:t>。</w:t>
      </w:r>
    </w:p>
    <w:p w14:paraId="7D95086E">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28</w:t>
      </w:r>
      <w:r>
        <w:rPr>
          <w:rFonts w:hint="eastAsia" w:ascii="黑体" w:hAnsi="黑体" w:eastAsia="黑体" w:cs="宋体"/>
          <w:b/>
          <w:bCs/>
          <w:color w:val="auto"/>
          <w:sz w:val="24"/>
        </w:rPr>
        <w:t>.履约保证金</w:t>
      </w:r>
    </w:p>
    <w:p w14:paraId="7DB13BCF">
      <w:pPr>
        <w:spacing w:line="360" w:lineRule="auto"/>
        <w:ind w:firstLine="424" w:firstLineChars="202"/>
        <w:rPr>
          <w:rFonts w:hint="eastAsia" w:ascii="宋体" w:hAnsi="宋体" w:cs="宋体"/>
          <w:color w:val="auto"/>
          <w:szCs w:val="21"/>
        </w:rPr>
      </w:pPr>
      <w:r>
        <w:rPr>
          <w:rFonts w:ascii="宋体" w:hAnsi="宋体" w:cs="宋体"/>
          <w:color w:val="auto"/>
          <w:szCs w:val="21"/>
        </w:rPr>
        <w:t>28</w:t>
      </w:r>
      <w:r>
        <w:rPr>
          <w:rFonts w:hint="eastAsia" w:ascii="宋体" w:hAnsi="宋体" w:cs="宋体"/>
          <w:color w:val="auto"/>
          <w:szCs w:val="21"/>
        </w:rPr>
        <w:t>.1履约保证金的金额、提交方式、退付的时间和条件详见 “供应商须知前附表”。成交供应商未按规定提交履约保证金的，视为拒绝</w:t>
      </w:r>
      <w:r>
        <w:rPr>
          <w:rFonts w:ascii="宋体" w:hAnsi="宋体"/>
          <w:color w:val="auto"/>
        </w:rPr>
        <w:t>与采购人</w:t>
      </w:r>
      <w:r>
        <w:rPr>
          <w:rFonts w:hint="eastAsia" w:ascii="宋体" w:hAnsi="宋体" w:cs="宋体"/>
          <w:color w:val="auto"/>
          <w:szCs w:val="21"/>
        </w:rPr>
        <w:t>签订合同，采购人可以按照评审报告推荐的成交候选人名单排序，依法确定下一候选人为成交供应商，也可以重新开展政府采购活动。</w:t>
      </w:r>
    </w:p>
    <w:p w14:paraId="212C57EB">
      <w:pPr>
        <w:spacing w:line="360" w:lineRule="auto"/>
        <w:ind w:firstLine="424" w:firstLineChars="202"/>
        <w:rPr>
          <w:rFonts w:hint="eastAsia" w:ascii="宋体" w:hAnsi="宋体" w:cs="宋体"/>
          <w:color w:val="auto"/>
          <w:szCs w:val="21"/>
        </w:rPr>
      </w:pPr>
      <w:r>
        <w:rPr>
          <w:rFonts w:ascii="宋体" w:hAnsi="宋体" w:cs="宋体"/>
          <w:color w:val="auto"/>
          <w:szCs w:val="21"/>
        </w:rPr>
        <w:t>28</w:t>
      </w:r>
      <w:r>
        <w:rPr>
          <w:rFonts w:hint="eastAsia" w:ascii="宋体" w:hAnsi="宋体" w:cs="宋体"/>
          <w:color w:val="auto"/>
          <w:szCs w:val="21"/>
        </w:rPr>
        <w:t>.2签订合同后，如成交供应商不按双方签订的合同规定履约，则没收其全部履约保证金，履约保证金不足以赔偿损失的，按实际损失赔偿。</w:t>
      </w:r>
    </w:p>
    <w:p w14:paraId="49B77C3A">
      <w:pPr>
        <w:spacing w:line="360" w:lineRule="auto"/>
        <w:ind w:firstLine="424" w:firstLineChars="202"/>
        <w:rPr>
          <w:rFonts w:hint="eastAsia" w:ascii="宋体" w:hAnsi="宋体" w:cs="宋体"/>
          <w:color w:val="auto"/>
          <w:szCs w:val="21"/>
        </w:rPr>
      </w:pPr>
      <w:r>
        <w:rPr>
          <w:rFonts w:ascii="宋体" w:hAnsi="宋体" w:cs="宋体"/>
          <w:color w:val="auto"/>
          <w:szCs w:val="21"/>
        </w:rPr>
        <w:t>28</w:t>
      </w: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在履约保证金退还日期前，若成交供应商的开户名称、开户银行、账号有变动的，请以书面形式通知履约保证金收取单位，否则由此产生的后果由成交供应商自行承担。</w:t>
      </w:r>
    </w:p>
    <w:p w14:paraId="1CD57D36">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29</w:t>
      </w:r>
      <w:r>
        <w:rPr>
          <w:rFonts w:hint="eastAsia" w:ascii="黑体" w:hAnsi="黑体" w:eastAsia="黑体" w:cs="宋体"/>
          <w:b/>
          <w:bCs/>
          <w:color w:val="auto"/>
          <w:sz w:val="24"/>
        </w:rPr>
        <w:t>.签订合同</w:t>
      </w:r>
    </w:p>
    <w:p w14:paraId="11119C4B">
      <w:pPr>
        <w:pStyle w:val="71"/>
        <w:snapToGrid w:val="0"/>
        <w:spacing w:before="0"/>
        <w:ind w:firstLine="420"/>
        <w:rPr>
          <w:rFonts w:hint="eastAsia" w:ascii="宋体" w:hAnsi="宋体" w:cs="宋体"/>
          <w:color w:val="auto"/>
          <w:sz w:val="21"/>
          <w:szCs w:val="21"/>
          <w:lang w:val="zh-CN"/>
        </w:rPr>
      </w:pPr>
      <w:r>
        <w:rPr>
          <w:rFonts w:hint="eastAsia" w:ascii="宋体" w:hAnsi="宋体" w:cs="宋体"/>
          <w:color w:val="auto"/>
          <w:sz w:val="21"/>
          <w:szCs w:val="21"/>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cs="宋体"/>
          <w:color w:val="auto"/>
          <w:sz w:val="21"/>
          <w:szCs w:val="21"/>
          <w:lang w:val="zh-CN"/>
        </w:rPr>
        <w:t>如成交供应商为联合体的，由联合体成员各方法定代表人或其授权代表与采购人代表签订合同。</w:t>
      </w:r>
    </w:p>
    <w:p w14:paraId="084F7E68">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7547576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29.3成交供应商拒绝签订政府采购合同的，采购人可以按照评审报告推荐的成交候选人名单排序，依法确定下一候选人为成交供应商，也可以重新开展采购活动。拒绝签订政府采购合同的成交供应商不得参加对该项目重新开展的采购活动。</w:t>
      </w:r>
    </w:p>
    <w:p w14:paraId="19917BF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29.4如签订合同并生效后，供应商无故拒绝或延期，除按照合同条款处理外，列入不良行为记录，并给予通报。</w:t>
      </w:r>
    </w:p>
    <w:p w14:paraId="094976DE">
      <w:pPr>
        <w:spacing w:line="360" w:lineRule="auto"/>
        <w:ind w:firstLine="420" w:firstLineChars="200"/>
        <w:rPr>
          <w:rFonts w:hint="eastAsia" w:ascii="宋体" w:hAnsi="宋体" w:cs="宋体"/>
          <w:b/>
          <w:bCs/>
          <w:i/>
          <w:iCs/>
          <w:color w:val="auto"/>
          <w:szCs w:val="21"/>
        </w:rPr>
      </w:pPr>
      <w:r>
        <w:rPr>
          <w:rFonts w:hint="eastAsia" w:ascii="宋体" w:hAnsi="宋体" w:cs="宋体"/>
          <w:color w:val="auto"/>
          <w:szCs w:val="21"/>
        </w:rPr>
        <w:t>29.5采购合同由采购人与成交供应商根据磋商文件、响应文件等内容签订，成交供应商应当在签订合同时向采购人出示相关证明材料，具体内容详见 “供应商须知前附表”，经采购人核验合格后方可签订合同。</w:t>
      </w:r>
    </w:p>
    <w:p w14:paraId="7F4EF1CB">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30</w:t>
      </w:r>
      <w:r>
        <w:rPr>
          <w:rFonts w:hint="eastAsia" w:ascii="黑体" w:hAnsi="黑体" w:eastAsia="黑体" w:cs="宋体"/>
          <w:b/>
          <w:bCs/>
          <w:color w:val="auto"/>
          <w:sz w:val="24"/>
        </w:rPr>
        <w:t>.政府采购合同公告</w:t>
      </w:r>
    </w:p>
    <w:p w14:paraId="4350AE47">
      <w:pPr>
        <w:spacing w:line="360" w:lineRule="auto"/>
        <w:ind w:firstLine="420" w:firstLineChars="200"/>
        <w:rPr>
          <w:rFonts w:ascii="Calibri"/>
          <w:color w:val="auto"/>
        </w:rPr>
      </w:pPr>
      <w:r>
        <w:rPr>
          <w:rFonts w:hint="eastAsia" w:ascii="宋体" w:hAnsi="宋体" w:cs="宋体"/>
          <w:color w:val="auto"/>
          <w:szCs w:val="21"/>
        </w:rPr>
        <w:t>采购人应当自政府采购合同签订之日起2个工作日内，将政府采购合同在省级以上人民政府财政部门指定的媒体上公告，但政府采购合同中涉及国家秘密、商业秘密的内容除外</w:t>
      </w:r>
      <w:r>
        <w:rPr>
          <w:rFonts w:ascii="Calibri"/>
          <w:color w:val="auto"/>
        </w:rPr>
        <w:t>。</w:t>
      </w:r>
    </w:p>
    <w:p w14:paraId="1A457C29">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31</w:t>
      </w:r>
      <w:r>
        <w:rPr>
          <w:rFonts w:hint="eastAsia" w:ascii="黑体" w:hAnsi="黑体" w:eastAsia="黑体" w:cs="宋体"/>
          <w:b/>
          <w:bCs/>
          <w:color w:val="auto"/>
          <w:sz w:val="24"/>
        </w:rPr>
        <w:t>. 询问、质疑和投诉</w:t>
      </w:r>
    </w:p>
    <w:p w14:paraId="53A4BB81">
      <w:pPr>
        <w:spacing w:line="360" w:lineRule="auto"/>
        <w:ind w:firstLine="420" w:firstLineChars="200"/>
        <w:rPr>
          <w:rFonts w:hint="eastAsia" w:ascii="宋体" w:hAnsi="宋体" w:cs="宋体"/>
          <w:color w:val="auto"/>
        </w:rPr>
      </w:pPr>
      <w:r>
        <w:rPr>
          <w:rFonts w:hint="eastAsia" w:ascii="宋体" w:hAnsi="宋体" w:cs="宋体"/>
          <w:color w:val="auto"/>
        </w:rPr>
        <w:t>31.1供应商对政府采购活动事项有疑问的，可以向采购人或者采购代理机构提出询问，采购人或者采购代理机构应当在3个工作日内对供应商依法提出的询问作出答复。</w:t>
      </w:r>
    </w:p>
    <w:p w14:paraId="2154207A">
      <w:pPr>
        <w:spacing w:line="360" w:lineRule="auto"/>
        <w:ind w:firstLine="420" w:firstLineChars="200"/>
        <w:rPr>
          <w:rFonts w:hint="eastAsia" w:ascii="宋体" w:hAnsi="宋体" w:cs="宋体"/>
          <w:b/>
          <w:color w:val="auto"/>
          <w:szCs w:val="21"/>
        </w:rPr>
      </w:pPr>
      <w:r>
        <w:rPr>
          <w:rFonts w:hint="eastAsia" w:ascii="宋体" w:hAnsi="宋体" w:cs="宋体"/>
          <w:color w:val="auto"/>
        </w:rPr>
        <w:t>31.2供应商认为磋商文件、采购过程或者成交结果使自己的合法权益受到损害的，应当在知道或者应知其权益受到损害之日起7个工作日内，以书面形式向采购人或者采购代理机构提出质疑，</w:t>
      </w:r>
      <w:r>
        <w:rPr>
          <w:rFonts w:hint="eastAsia" w:ascii="宋体" w:hAnsi="宋体" w:cs="宋体"/>
          <w:color w:val="auto"/>
          <w:shd w:val="clear" w:color="auto" w:fill="FFFFFF"/>
        </w:rPr>
        <w:t>接收质疑函的方式、联系部门、联系电话和通讯地址等信息详见</w:t>
      </w:r>
      <w:r>
        <w:rPr>
          <w:rFonts w:hint="eastAsia" w:ascii="宋体" w:hAnsi="宋体" w:cs="宋体"/>
          <w:color w:val="auto"/>
          <w:szCs w:val="21"/>
        </w:rPr>
        <w:t>“供应商须知前附表”</w:t>
      </w:r>
      <w:r>
        <w:rPr>
          <w:rFonts w:hint="eastAsia" w:ascii="宋体" w:hAnsi="宋体" w:cs="宋体"/>
          <w:color w:val="auto"/>
        </w:rPr>
        <w:t>。</w:t>
      </w:r>
      <w:r>
        <w:rPr>
          <w:rFonts w:hint="eastAsia" w:ascii="宋体" w:hAnsi="宋体" w:cs="宋体"/>
          <w:b/>
          <w:color w:val="auto"/>
          <w:szCs w:val="21"/>
        </w:rPr>
        <w:t xml:space="preserve">具体质疑起算时间及处理方式如下： </w:t>
      </w:r>
    </w:p>
    <w:p w14:paraId="6A7A57E9">
      <w:pPr>
        <w:spacing w:line="360" w:lineRule="auto"/>
        <w:ind w:firstLine="420" w:firstLineChars="200"/>
        <w:rPr>
          <w:rFonts w:hint="eastAsia" w:ascii="宋体" w:hAnsi="宋体" w:cs="宋体"/>
          <w:bCs/>
          <w:color w:val="auto"/>
        </w:rPr>
      </w:pPr>
      <w:r>
        <w:rPr>
          <w:rFonts w:hint="eastAsia" w:ascii="宋体" w:hAnsi="宋体" w:cs="宋体"/>
          <w:bCs/>
          <w:color w:val="auto"/>
        </w:rPr>
        <w:t>（1）潜在供应商依法获取采购文件后，认为采购文件使自己的权益受到损害的，应当在竞争性磋商文件公告期限届满之日起7个工作日内提出质疑。</w:t>
      </w:r>
      <w:r>
        <w:rPr>
          <w:rFonts w:hint="eastAsia" w:ascii="宋体" w:hAnsi="宋体" w:cs="宋体"/>
          <w:color w:val="auto"/>
        </w:rPr>
        <w:t>委托代理协议无特殊约定的，</w:t>
      </w:r>
      <w:r>
        <w:rPr>
          <w:rFonts w:hint="eastAsia" w:ascii="宋体" w:hAnsi="宋体" w:cs="宋体"/>
          <w:bCs/>
          <w:color w:val="auto"/>
        </w:rPr>
        <w:t>对竞争性磋商文件中采购需求（含资格要求、采购预算和评分办法）的质疑由采购人受理并负责答复；对竞争性磋商文件中的采购执行程序的质疑由采购代理机构受理并负责答复。</w:t>
      </w:r>
    </w:p>
    <w:p w14:paraId="69D88B9E">
      <w:pPr>
        <w:spacing w:line="360" w:lineRule="auto"/>
        <w:ind w:firstLine="420" w:firstLineChars="200"/>
        <w:rPr>
          <w:rFonts w:hint="eastAsia" w:ascii="宋体" w:hAnsi="宋体" w:cs="宋体"/>
          <w:bCs/>
          <w:color w:val="auto"/>
        </w:rPr>
      </w:pPr>
      <w:r>
        <w:rPr>
          <w:rFonts w:hint="eastAsia" w:ascii="宋体" w:hAnsi="宋体" w:cs="宋体"/>
          <w:bCs/>
          <w:color w:val="auto"/>
        </w:rPr>
        <w:t>（2）供应商认为采购过程使自己的权益受到损害的，应当在各采购程序环节结束之日起7个工作日内提出质疑。对采购过程中资格审查、符合性审查等具体评审情况的质疑应向采购人或者采购代理机构提出，由采购人或者采购代理机构受理并负责答复；对采购过程中采购执行程序的质疑由采购代理机构受理并负责答复。</w:t>
      </w:r>
    </w:p>
    <w:p w14:paraId="1C6DB466">
      <w:pPr>
        <w:spacing w:line="360" w:lineRule="auto"/>
        <w:ind w:firstLine="420" w:firstLineChars="200"/>
        <w:rPr>
          <w:rFonts w:hint="eastAsia" w:ascii="宋体" w:hAnsi="宋体" w:cs="宋体"/>
          <w:bCs/>
          <w:color w:val="auto"/>
        </w:rPr>
      </w:pPr>
      <w:r>
        <w:rPr>
          <w:rFonts w:hint="eastAsia" w:ascii="宋体" w:hAnsi="宋体" w:cs="宋体"/>
          <w:bCs/>
          <w:color w:val="auto"/>
        </w:rPr>
        <w:t>（3）供应商认为成交结果使自己的权益受到损害的，应当在成交结果公告期限届满之日起7个工作日内提出质疑，由采购人受理并负责答复。</w:t>
      </w:r>
    </w:p>
    <w:p w14:paraId="77FBA4E9">
      <w:pPr>
        <w:spacing w:line="360" w:lineRule="auto"/>
        <w:ind w:firstLine="420" w:firstLineChars="200"/>
        <w:rPr>
          <w:rFonts w:hint="eastAsia" w:ascii="宋体" w:hAnsi="宋体" w:cs="宋体"/>
          <w:color w:val="auto"/>
        </w:rPr>
      </w:pPr>
      <w:r>
        <w:rPr>
          <w:rFonts w:hint="eastAsia" w:ascii="宋体" w:hAnsi="宋体" w:cs="宋体"/>
          <w:color w:val="auto"/>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5E36614">
      <w:pPr>
        <w:spacing w:line="360" w:lineRule="auto"/>
        <w:ind w:firstLine="422" w:firstLineChars="200"/>
        <w:rPr>
          <w:rFonts w:hint="eastAsia" w:ascii="宋体" w:hAnsi="宋体" w:cs="宋体"/>
          <w:color w:val="auto"/>
        </w:rPr>
      </w:pPr>
      <w:r>
        <w:rPr>
          <w:rFonts w:hint="eastAsia" w:ascii="宋体" w:hAnsi="宋体" w:cs="宋体"/>
          <w:b/>
          <w:bCs/>
          <w:color w:val="auto"/>
        </w:rPr>
        <w:t>31.4 供应商提出质疑应当提交质疑函和必要的证明材料，针对同一采购程序环节的质疑必须在法定质疑期内一次性提出。质疑函应当包括下列内容（质疑函格式后附）：</w:t>
      </w:r>
    </w:p>
    <w:p w14:paraId="01AAF243">
      <w:pPr>
        <w:spacing w:line="360" w:lineRule="auto"/>
        <w:ind w:firstLine="420" w:firstLineChars="200"/>
        <w:rPr>
          <w:rFonts w:hint="eastAsia" w:ascii="宋体" w:hAnsi="宋体" w:cs="宋体"/>
          <w:color w:val="auto"/>
        </w:rPr>
      </w:pPr>
      <w:r>
        <w:rPr>
          <w:rFonts w:hint="eastAsia" w:ascii="宋体" w:hAnsi="宋体" w:cs="宋体"/>
          <w:color w:val="auto"/>
        </w:rPr>
        <w:t>（1）供应商的姓名或者名称、地址、邮编、联系人及联系电话；</w:t>
      </w:r>
    </w:p>
    <w:p w14:paraId="2005F6EE">
      <w:pPr>
        <w:spacing w:line="360" w:lineRule="auto"/>
        <w:ind w:firstLine="420" w:firstLineChars="200"/>
        <w:rPr>
          <w:rFonts w:hint="eastAsia" w:ascii="宋体" w:hAnsi="宋体" w:cs="宋体"/>
          <w:color w:val="auto"/>
        </w:rPr>
      </w:pPr>
      <w:r>
        <w:rPr>
          <w:rFonts w:hint="eastAsia" w:ascii="宋体" w:hAnsi="宋体" w:cs="宋体"/>
          <w:color w:val="auto"/>
        </w:rPr>
        <w:t>（2）质疑项目的名称、编号；</w:t>
      </w:r>
    </w:p>
    <w:p w14:paraId="51E19DA5">
      <w:pPr>
        <w:spacing w:line="360" w:lineRule="auto"/>
        <w:ind w:firstLine="420" w:firstLineChars="200"/>
        <w:rPr>
          <w:rFonts w:hint="eastAsia" w:ascii="宋体" w:hAnsi="宋体" w:cs="宋体"/>
          <w:color w:val="auto"/>
        </w:rPr>
      </w:pPr>
      <w:r>
        <w:rPr>
          <w:rFonts w:hint="eastAsia" w:ascii="宋体" w:hAnsi="宋体" w:cs="宋体"/>
          <w:color w:val="auto"/>
        </w:rPr>
        <w:t>（3）具体、明确的质疑事项和与质疑事项相关的请求；</w:t>
      </w:r>
    </w:p>
    <w:p w14:paraId="395AEFB6">
      <w:pPr>
        <w:spacing w:line="360" w:lineRule="auto"/>
        <w:ind w:firstLine="420" w:firstLineChars="200"/>
        <w:rPr>
          <w:rFonts w:hint="eastAsia" w:ascii="宋体" w:hAnsi="宋体" w:cs="宋体"/>
          <w:color w:val="auto"/>
        </w:rPr>
      </w:pPr>
      <w:r>
        <w:rPr>
          <w:rFonts w:hint="eastAsia" w:ascii="宋体" w:hAnsi="宋体" w:cs="宋体"/>
          <w:color w:val="auto"/>
        </w:rPr>
        <w:t>（4）事实依据；</w:t>
      </w:r>
    </w:p>
    <w:p w14:paraId="3C0BCE68">
      <w:pPr>
        <w:spacing w:line="360" w:lineRule="auto"/>
        <w:ind w:firstLine="420" w:firstLineChars="200"/>
        <w:rPr>
          <w:rFonts w:hint="eastAsia" w:ascii="宋体" w:hAnsi="宋体" w:cs="宋体"/>
          <w:color w:val="auto"/>
        </w:rPr>
      </w:pPr>
      <w:r>
        <w:rPr>
          <w:rFonts w:hint="eastAsia" w:ascii="宋体" w:hAnsi="宋体" w:cs="宋体"/>
          <w:color w:val="auto"/>
        </w:rPr>
        <w:t>（5）必要的法律依据；</w:t>
      </w:r>
    </w:p>
    <w:p w14:paraId="742610DB">
      <w:pPr>
        <w:spacing w:line="360" w:lineRule="auto"/>
        <w:ind w:firstLine="420" w:firstLineChars="200"/>
        <w:rPr>
          <w:rFonts w:hint="eastAsia" w:ascii="宋体" w:hAnsi="宋体" w:cs="宋体"/>
          <w:color w:val="auto"/>
        </w:rPr>
      </w:pPr>
      <w:r>
        <w:rPr>
          <w:rFonts w:hint="eastAsia" w:ascii="宋体" w:hAnsi="宋体" w:cs="宋体"/>
          <w:color w:val="auto"/>
        </w:rPr>
        <w:t>（6）提出质疑的日期。</w:t>
      </w:r>
    </w:p>
    <w:p w14:paraId="7942EE05">
      <w:pPr>
        <w:spacing w:line="360" w:lineRule="auto"/>
        <w:ind w:firstLine="420" w:firstLineChars="200"/>
        <w:rPr>
          <w:rFonts w:hint="eastAsia" w:ascii="宋体" w:hAnsi="宋体" w:cs="宋体"/>
          <w:color w:val="auto"/>
        </w:rPr>
      </w:pPr>
      <w:r>
        <w:rPr>
          <w:rFonts w:hint="eastAsia" w:ascii="宋体" w:hAnsi="宋体" w:cs="宋体"/>
          <w:color w:val="auto"/>
        </w:rPr>
        <w:t>供应商为自然人的，应当由本人签字；供应商为法人或者其他组织的，应当由法定代表人、主要负责人，或者其委托代理人签字或者盖章，并加盖公章。</w:t>
      </w:r>
    </w:p>
    <w:p w14:paraId="317B2372">
      <w:pPr>
        <w:spacing w:line="360" w:lineRule="auto"/>
        <w:ind w:firstLine="420" w:firstLineChars="200"/>
        <w:rPr>
          <w:rFonts w:hint="eastAsia" w:ascii="宋体" w:hAnsi="宋体" w:cs="宋体"/>
          <w:color w:val="auto"/>
        </w:rPr>
      </w:pPr>
      <w:r>
        <w:rPr>
          <w:rFonts w:hint="eastAsia" w:ascii="宋体" w:hAnsi="宋体" w:cs="宋体"/>
          <w:color w:val="auto"/>
        </w:rPr>
        <w:t>31.5采购人、采购代理机构认为供应商质疑不成立，或者成立但未对成交结果构成影响的，继续开展采购活动；认为供应商质疑成立且影响或者可能影响成交结果的，按照下列情况处理：</w:t>
      </w:r>
    </w:p>
    <w:p w14:paraId="63F6C4E5">
      <w:pPr>
        <w:spacing w:line="360" w:lineRule="auto"/>
        <w:ind w:firstLine="420" w:firstLineChars="200"/>
        <w:rPr>
          <w:rFonts w:hint="eastAsia" w:ascii="宋体" w:hAnsi="宋体" w:cs="宋体"/>
          <w:color w:val="auto"/>
        </w:rPr>
      </w:pPr>
      <w:r>
        <w:rPr>
          <w:rFonts w:hint="eastAsia" w:ascii="宋体" w:hAnsi="宋体" w:cs="宋体"/>
          <w:color w:val="auto"/>
        </w:rPr>
        <w:t>（一）对采购文件提出的质疑，依法通过澄清或者修改可以继续开展采购活动的，澄清或者修改采购文件后继续开展采购活动；否则应当修改采购文件后重新开展采购活动。</w:t>
      </w:r>
    </w:p>
    <w:p w14:paraId="7356BAA0">
      <w:pPr>
        <w:spacing w:line="360" w:lineRule="auto"/>
        <w:ind w:firstLine="420" w:firstLineChars="200"/>
        <w:rPr>
          <w:rFonts w:hint="eastAsia" w:ascii="宋体" w:hAnsi="宋体" w:cs="宋体"/>
          <w:color w:val="auto"/>
        </w:rPr>
      </w:pPr>
      <w:r>
        <w:rPr>
          <w:rFonts w:hint="eastAsia" w:ascii="宋体" w:hAnsi="宋体" w:cs="宋体"/>
          <w:color w:val="auto"/>
        </w:rPr>
        <w:t>（二）对采购过程或者成交结果提出的质疑，合格供应商符合法定数量时，可以从合格的成交候选人中另行确定成交供应商的，应当依法另行确定成交供应商；否则应当重新开展采购活动。</w:t>
      </w:r>
    </w:p>
    <w:p w14:paraId="6FB46D2D">
      <w:pPr>
        <w:spacing w:line="360" w:lineRule="auto"/>
        <w:ind w:firstLine="420" w:firstLineChars="200"/>
        <w:rPr>
          <w:rFonts w:hint="eastAsia" w:ascii="宋体" w:hAnsi="宋体" w:cs="宋体"/>
          <w:color w:val="auto"/>
        </w:rPr>
      </w:pPr>
      <w:r>
        <w:rPr>
          <w:rFonts w:hint="eastAsia" w:ascii="宋体" w:hAnsi="宋体" w:cs="宋体"/>
          <w:color w:val="auto"/>
        </w:rPr>
        <w:t>质疑答复导致成交结果改变的，采购人或者采购代理机构应当将有关情况书面报告本级财政部门。</w:t>
      </w:r>
    </w:p>
    <w:p w14:paraId="4A1E61CE">
      <w:pPr>
        <w:spacing w:line="360" w:lineRule="auto"/>
        <w:ind w:firstLine="422" w:firstLineChars="200"/>
        <w:rPr>
          <w:rFonts w:hint="eastAsia" w:ascii="宋体" w:hAnsi="宋体" w:cs="宋体"/>
          <w:color w:val="auto"/>
        </w:rPr>
      </w:pPr>
      <w:r>
        <w:rPr>
          <w:rFonts w:hint="eastAsia" w:ascii="宋体" w:hAnsi="宋体" w:cs="宋体"/>
          <w:b/>
          <w:bCs/>
          <w:color w:val="auto"/>
        </w:rPr>
        <w:t>31.6投诉的权利。质疑供应商对采购人或采购代理机构的答复不满意，或者采购人或采购代理机构未在规定时间内作出答复的，可以在答复期满后15个工作日内向《政府采购质疑和投诉办法》（财政部令第94号）第六条规定的财政部门提起投诉（投诉书格式后附）</w:t>
      </w:r>
      <w:r>
        <w:rPr>
          <w:rFonts w:hint="eastAsia" w:ascii="宋体" w:hAnsi="宋体" w:cs="宋体"/>
          <w:color w:val="auto"/>
        </w:rPr>
        <w:t>。</w:t>
      </w:r>
      <w:bookmarkStart w:id="124" w:name="_Toc80205930"/>
    </w:p>
    <w:p w14:paraId="6D04A980">
      <w:pPr>
        <w:pStyle w:val="8"/>
        <w:spacing w:before="0" w:after="0" w:line="360" w:lineRule="auto"/>
        <w:ind w:firstLine="315" w:firstLineChars="98"/>
        <w:rPr>
          <w:color w:val="auto"/>
        </w:rPr>
      </w:pPr>
      <w:bookmarkStart w:id="125" w:name="_Toc9275"/>
      <w:bookmarkStart w:id="126" w:name="_Toc26989"/>
      <w:bookmarkStart w:id="127" w:name="_Toc80886935"/>
    </w:p>
    <w:p w14:paraId="30141678">
      <w:pPr>
        <w:pStyle w:val="8"/>
        <w:spacing w:before="0" w:after="0" w:line="360" w:lineRule="auto"/>
        <w:ind w:firstLine="313" w:firstLineChars="98"/>
        <w:rPr>
          <w:b w:val="0"/>
          <w:color w:val="auto"/>
        </w:rPr>
      </w:pPr>
      <w:r>
        <w:rPr>
          <w:rFonts w:hint="eastAsia"/>
          <w:b w:val="0"/>
          <w:bCs w:val="0"/>
          <w:color w:val="auto"/>
        </w:rPr>
        <w:t>六</w:t>
      </w:r>
      <w:r>
        <w:rPr>
          <w:rFonts w:hint="eastAsia"/>
          <w:b w:val="0"/>
          <w:color w:val="auto"/>
        </w:rPr>
        <w:t>、验收</w:t>
      </w:r>
      <w:bookmarkEnd w:id="124"/>
      <w:bookmarkEnd w:id="125"/>
      <w:bookmarkEnd w:id="126"/>
      <w:bookmarkEnd w:id="127"/>
    </w:p>
    <w:p w14:paraId="27064FE7">
      <w:pPr>
        <w:tabs>
          <w:tab w:val="left" w:pos="0"/>
        </w:tabs>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32.验收</w:t>
      </w:r>
    </w:p>
    <w:p w14:paraId="2043AE9F">
      <w:pPr>
        <w:tabs>
          <w:tab w:val="left" w:pos="0"/>
        </w:tabs>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03842AAA">
      <w:pPr>
        <w:tabs>
          <w:tab w:val="left" w:pos="0"/>
        </w:tabs>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32.2采购人可以邀请参加本项目的其他供应商或者第三方机构参与验收。参与验收的供应商或者第三方机构的意见作为验收书的参考资料一并存档。</w:t>
      </w:r>
    </w:p>
    <w:p w14:paraId="69A31B08">
      <w:pPr>
        <w:tabs>
          <w:tab w:val="left" w:pos="0"/>
        </w:tabs>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w:t>
      </w:r>
      <w:r>
        <w:rPr>
          <w:rFonts w:hint="eastAsia"/>
          <w:color w:val="auto"/>
        </w:rPr>
        <w:t>（如有）</w:t>
      </w:r>
      <w:r>
        <w:rPr>
          <w:rFonts w:hint="eastAsia" w:ascii="宋体" w:hAnsi="宋体" w:cs="宋体"/>
          <w:color w:val="auto"/>
          <w:kern w:val="0"/>
          <w:szCs w:val="21"/>
        </w:rPr>
        <w:t>返还条件挂钩。履约验收的各项资料应当存档备查。</w:t>
      </w:r>
    </w:p>
    <w:p w14:paraId="76DBA148">
      <w:pPr>
        <w:tabs>
          <w:tab w:val="left" w:pos="0"/>
        </w:tabs>
        <w:spacing w:line="360" w:lineRule="auto"/>
        <w:ind w:firstLine="420" w:firstLineChars="200"/>
        <w:rPr>
          <w:rFonts w:hint="eastAsia" w:ascii="宋体" w:hAnsi="宋体" w:cs="宋体"/>
          <w:color w:val="auto"/>
          <w:szCs w:val="21"/>
        </w:rPr>
      </w:pPr>
      <w:r>
        <w:rPr>
          <w:rFonts w:hint="eastAsia" w:ascii="宋体" w:hAnsi="宋体" w:cs="宋体"/>
          <w:color w:val="auto"/>
          <w:kern w:val="0"/>
          <w:szCs w:val="21"/>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73657C7D">
      <w:pPr>
        <w:pStyle w:val="8"/>
        <w:spacing w:before="0" w:after="0" w:line="360" w:lineRule="auto"/>
        <w:ind w:firstLine="320" w:firstLineChars="100"/>
        <w:rPr>
          <w:b w:val="0"/>
          <w:bCs w:val="0"/>
          <w:color w:val="auto"/>
        </w:rPr>
      </w:pPr>
      <w:bookmarkStart w:id="128" w:name="_Toc1170"/>
      <w:bookmarkStart w:id="129" w:name="_Toc10913"/>
      <w:bookmarkStart w:id="130" w:name="_Toc80886936"/>
    </w:p>
    <w:p w14:paraId="4AD22D69">
      <w:pPr>
        <w:pStyle w:val="8"/>
        <w:spacing w:before="0" w:after="0" w:line="360" w:lineRule="auto"/>
        <w:ind w:firstLine="320" w:firstLineChars="100"/>
        <w:rPr>
          <w:b w:val="0"/>
          <w:bCs w:val="0"/>
          <w:color w:val="auto"/>
        </w:rPr>
      </w:pPr>
      <w:r>
        <w:rPr>
          <w:rFonts w:hint="eastAsia"/>
          <w:b w:val="0"/>
          <w:bCs w:val="0"/>
          <w:color w:val="auto"/>
        </w:rPr>
        <w:t>七、其他事项</w:t>
      </w:r>
      <w:bookmarkEnd w:id="128"/>
      <w:bookmarkEnd w:id="129"/>
      <w:bookmarkEnd w:id="130"/>
    </w:p>
    <w:p w14:paraId="29541A12">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3</w:t>
      </w:r>
      <w:r>
        <w:rPr>
          <w:rFonts w:hint="eastAsia" w:ascii="黑体" w:hAnsi="黑体" w:eastAsia="黑体" w:cs="宋体"/>
          <w:b/>
          <w:bCs/>
          <w:color w:val="auto"/>
          <w:sz w:val="24"/>
        </w:rPr>
        <w:t>3.采购代理服务费</w:t>
      </w:r>
    </w:p>
    <w:p w14:paraId="53DE3C3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33.1 采购代理服务费收费标准及缴费账户详见“供应商须知前附表”，供应商为联合体的，可以由联合体中的一方或者多方共同缴纳采购代理服务费。</w:t>
      </w:r>
    </w:p>
    <w:p w14:paraId="410A8E9E">
      <w:pPr>
        <w:pStyle w:val="2"/>
        <w:ind w:firstLine="420" w:firstLineChars="200"/>
        <w:rPr>
          <w:rFonts w:hint="eastAsia" w:ascii="宋体" w:hAnsi="宋体" w:cs="宋体"/>
          <w:color w:val="auto"/>
        </w:rPr>
      </w:pPr>
      <w:r>
        <w:rPr>
          <w:rFonts w:hint="eastAsia" w:ascii="宋体" w:hAnsi="宋体" w:cs="宋体"/>
          <w:color w:val="auto"/>
          <w:szCs w:val="21"/>
        </w:rPr>
        <w:t>33.2采购代理服务费收费计算标准：</w:t>
      </w:r>
    </w:p>
    <w:tbl>
      <w:tblPr>
        <w:tblStyle w:val="34"/>
        <w:tblW w:w="8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2B193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l2br w:val="single" w:color="auto" w:sz="4" w:space="0"/>
            </w:tcBorders>
          </w:tcPr>
          <w:p w14:paraId="238E7629">
            <w:pPr>
              <w:spacing w:line="360" w:lineRule="auto"/>
              <w:rPr>
                <w:rFonts w:hint="eastAsia" w:ascii="宋体" w:hAnsi="宋体" w:cs="宋体"/>
                <w:color w:val="auto"/>
                <w:szCs w:val="21"/>
              </w:rPr>
            </w:pPr>
            <w:r>
              <w:rPr>
                <w:rFonts w:hint="eastAsia" w:ascii="宋体" w:hAnsi="宋体" w:cs="宋体"/>
                <w:color w:val="auto"/>
                <w:szCs w:val="21"/>
              </w:rPr>
              <w:t xml:space="preserve">               费率</w:t>
            </w:r>
          </w:p>
          <w:p w14:paraId="5B599FFC">
            <w:pPr>
              <w:spacing w:line="360" w:lineRule="auto"/>
              <w:rPr>
                <w:rFonts w:hint="eastAsia" w:ascii="宋体" w:hAnsi="宋体" w:cs="宋体"/>
                <w:color w:val="auto"/>
                <w:szCs w:val="21"/>
              </w:rPr>
            </w:pPr>
            <w:r>
              <w:rPr>
                <w:rFonts w:hint="eastAsia" w:ascii="宋体" w:hAnsi="宋体" w:cs="宋体"/>
                <w:color w:val="auto"/>
                <w:szCs w:val="21"/>
              </w:rPr>
              <w:t>金额</w:t>
            </w:r>
          </w:p>
        </w:tc>
        <w:tc>
          <w:tcPr>
            <w:tcW w:w="1659" w:type="dxa"/>
            <w:vAlign w:val="center"/>
          </w:tcPr>
          <w:p w14:paraId="03929309">
            <w:pPr>
              <w:spacing w:line="360" w:lineRule="auto"/>
              <w:ind w:firstLine="105" w:firstLineChars="50"/>
              <w:jc w:val="center"/>
              <w:rPr>
                <w:rFonts w:hint="eastAsia" w:ascii="宋体" w:hAnsi="宋体" w:cs="宋体"/>
                <w:color w:val="auto"/>
                <w:szCs w:val="21"/>
              </w:rPr>
            </w:pPr>
            <w:r>
              <w:rPr>
                <w:rFonts w:hint="eastAsia" w:ascii="宋体" w:hAnsi="宋体" w:cs="宋体"/>
                <w:color w:val="auto"/>
                <w:szCs w:val="21"/>
              </w:rPr>
              <w:t>货物类</w:t>
            </w:r>
          </w:p>
        </w:tc>
        <w:tc>
          <w:tcPr>
            <w:tcW w:w="1532" w:type="dxa"/>
            <w:vAlign w:val="center"/>
          </w:tcPr>
          <w:p w14:paraId="6E13359C">
            <w:pPr>
              <w:spacing w:line="360" w:lineRule="auto"/>
              <w:jc w:val="center"/>
              <w:rPr>
                <w:rFonts w:hint="eastAsia" w:ascii="宋体" w:hAnsi="宋体" w:cs="宋体"/>
                <w:color w:val="auto"/>
                <w:szCs w:val="21"/>
              </w:rPr>
            </w:pPr>
            <w:r>
              <w:rPr>
                <w:rFonts w:hint="eastAsia" w:ascii="宋体" w:hAnsi="宋体" w:cs="宋体"/>
                <w:color w:val="auto"/>
                <w:szCs w:val="21"/>
              </w:rPr>
              <w:t>服务类</w:t>
            </w:r>
          </w:p>
        </w:tc>
        <w:tc>
          <w:tcPr>
            <w:tcW w:w="1546" w:type="dxa"/>
            <w:vAlign w:val="center"/>
          </w:tcPr>
          <w:p w14:paraId="0280A214">
            <w:pPr>
              <w:spacing w:line="360" w:lineRule="auto"/>
              <w:jc w:val="center"/>
              <w:rPr>
                <w:rFonts w:hint="eastAsia" w:ascii="宋体" w:hAnsi="宋体" w:cs="宋体"/>
                <w:color w:val="auto"/>
                <w:szCs w:val="21"/>
              </w:rPr>
            </w:pPr>
            <w:r>
              <w:rPr>
                <w:rFonts w:hint="eastAsia" w:ascii="宋体" w:hAnsi="宋体" w:cs="宋体"/>
                <w:color w:val="auto"/>
                <w:szCs w:val="21"/>
              </w:rPr>
              <w:t>工程类</w:t>
            </w:r>
          </w:p>
        </w:tc>
      </w:tr>
      <w:tr w14:paraId="1A8E7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34743C7B">
            <w:pPr>
              <w:spacing w:line="360" w:lineRule="auto"/>
              <w:rPr>
                <w:rFonts w:hint="eastAsia" w:ascii="宋体" w:hAnsi="宋体" w:cs="宋体"/>
                <w:color w:val="auto"/>
                <w:szCs w:val="21"/>
              </w:rPr>
            </w:pPr>
            <w:r>
              <w:rPr>
                <w:rFonts w:hint="eastAsia" w:ascii="宋体" w:hAnsi="宋体" w:cs="宋体"/>
                <w:color w:val="auto"/>
                <w:szCs w:val="21"/>
              </w:rPr>
              <w:t>100万元以下</w:t>
            </w:r>
          </w:p>
        </w:tc>
        <w:tc>
          <w:tcPr>
            <w:tcW w:w="1659" w:type="dxa"/>
          </w:tcPr>
          <w:p w14:paraId="6871B74D">
            <w:pPr>
              <w:spacing w:line="360" w:lineRule="auto"/>
              <w:rPr>
                <w:rFonts w:hint="eastAsia" w:ascii="宋体" w:hAnsi="宋体" w:cs="宋体"/>
                <w:color w:val="auto"/>
                <w:szCs w:val="21"/>
              </w:rPr>
            </w:pPr>
            <w:r>
              <w:rPr>
                <w:rFonts w:hint="eastAsia" w:ascii="宋体" w:hAnsi="宋体" w:cs="宋体"/>
                <w:color w:val="auto"/>
                <w:kern w:val="0"/>
                <w:szCs w:val="21"/>
              </w:rPr>
              <w:t xml:space="preserve">  1.5%                </w:t>
            </w:r>
          </w:p>
        </w:tc>
        <w:tc>
          <w:tcPr>
            <w:tcW w:w="1532" w:type="dxa"/>
          </w:tcPr>
          <w:p w14:paraId="1F488451">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1.5%</w:t>
            </w:r>
          </w:p>
        </w:tc>
        <w:tc>
          <w:tcPr>
            <w:tcW w:w="1546" w:type="dxa"/>
          </w:tcPr>
          <w:p w14:paraId="55CFB7D6">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 xml:space="preserve">1.0% </w:t>
            </w:r>
          </w:p>
        </w:tc>
      </w:tr>
      <w:tr w14:paraId="36BBA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2C5A19E0">
            <w:pPr>
              <w:spacing w:line="360" w:lineRule="auto"/>
              <w:rPr>
                <w:rFonts w:hint="eastAsia" w:ascii="宋体" w:hAnsi="宋体" w:cs="宋体"/>
                <w:color w:val="auto"/>
                <w:szCs w:val="21"/>
              </w:rPr>
            </w:pPr>
            <w:r>
              <w:rPr>
                <w:rFonts w:hint="eastAsia" w:ascii="宋体" w:hAnsi="宋体" w:cs="宋体"/>
                <w:color w:val="auto"/>
                <w:szCs w:val="21"/>
              </w:rPr>
              <w:t>100～500万元</w:t>
            </w:r>
          </w:p>
        </w:tc>
        <w:tc>
          <w:tcPr>
            <w:tcW w:w="1659" w:type="dxa"/>
          </w:tcPr>
          <w:p w14:paraId="19629B41">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 xml:space="preserve">1.1%                 </w:t>
            </w:r>
          </w:p>
        </w:tc>
        <w:tc>
          <w:tcPr>
            <w:tcW w:w="1532" w:type="dxa"/>
          </w:tcPr>
          <w:p w14:paraId="07F5BE36">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0.8%</w:t>
            </w:r>
          </w:p>
        </w:tc>
        <w:tc>
          <w:tcPr>
            <w:tcW w:w="1546" w:type="dxa"/>
          </w:tcPr>
          <w:p w14:paraId="7740B235">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 xml:space="preserve">0.7% </w:t>
            </w:r>
          </w:p>
        </w:tc>
      </w:tr>
      <w:tr w14:paraId="785A2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69F18106">
            <w:pPr>
              <w:spacing w:line="360" w:lineRule="auto"/>
              <w:rPr>
                <w:rFonts w:hint="eastAsia" w:ascii="宋体" w:hAnsi="宋体" w:cs="宋体"/>
                <w:color w:val="auto"/>
                <w:szCs w:val="21"/>
              </w:rPr>
            </w:pPr>
            <w:r>
              <w:rPr>
                <w:rFonts w:hint="eastAsia" w:ascii="宋体" w:hAnsi="宋体" w:cs="宋体"/>
                <w:color w:val="auto"/>
                <w:szCs w:val="21"/>
              </w:rPr>
              <w:t>500～1000万元</w:t>
            </w:r>
          </w:p>
        </w:tc>
        <w:tc>
          <w:tcPr>
            <w:tcW w:w="1659" w:type="dxa"/>
          </w:tcPr>
          <w:p w14:paraId="09CB4BAF">
            <w:pPr>
              <w:spacing w:line="360" w:lineRule="auto"/>
              <w:rPr>
                <w:rFonts w:hint="eastAsia" w:ascii="宋体" w:hAnsi="宋体" w:cs="宋体"/>
                <w:color w:val="auto"/>
                <w:szCs w:val="21"/>
              </w:rPr>
            </w:pPr>
            <w:r>
              <w:rPr>
                <w:rFonts w:hint="eastAsia" w:ascii="宋体" w:hAnsi="宋体" w:cs="宋体"/>
                <w:color w:val="auto"/>
                <w:kern w:val="0"/>
                <w:szCs w:val="21"/>
              </w:rPr>
              <w:t xml:space="preserve">  0.8%                </w:t>
            </w:r>
          </w:p>
        </w:tc>
        <w:tc>
          <w:tcPr>
            <w:tcW w:w="1532" w:type="dxa"/>
          </w:tcPr>
          <w:p w14:paraId="6145A9F1">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0.45%</w:t>
            </w:r>
          </w:p>
        </w:tc>
        <w:tc>
          <w:tcPr>
            <w:tcW w:w="1546" w:type="dxa"/>
          </w:tcPr>
          <w:p w14:paraId="39A33A5B">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0.55%</w:t>
            </w:r>
          </w:p>
        </w:tc>
      </w:tr>
      <w:tr w14:paraId="6DC60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42A5F8F1">
            <w:pPr>
              <w:spacing w:line="360" w:lineRule="auto"/>
              <w:rPr>
                <w:rFonts w:hint="eastAsia" w:ascii="宋体" w:hAnsi="宋体" w:cs="宋体"/>
                <w:color w:val="auto"/>
                <w:szCs w:val="21"/>
              </w:rPr>
            </w:pPr>
            <w:r>
              <w:rPr>
                <w:rFonts w:hint="eastAsia" w:ascii="宋体" w:hAnsi="宋体" w:cs="宋体"/>
                <w:color w:val="auto"/>
                <w:szCs w:val="21"/>
              </w:rPr>
              <w:t>1000～5000万元</w:t>
            </w:r>
          </w:p>
        </w:tc>
        <w:tc>
          <w:tcPr>
            <w:tcW w:w="1659" w:type="dxa"/>
          </w:tcPr>
          <w:p w14:paraId="5D5CB43D">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 xml:space="preserve">0.5%                </w:t>
            </w:r>
          </w:p>
        </w:tc>
        <w:tc>
          <w:tcPr>
            <w:tcW w:w="1532" w:type="dxa"/>
          </w:tcPr>
          <w:p w14:paraId="0F5DC3D2">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0.25%</w:t>
            </w:r>
          </w:p>
        </w:tc>
        <w:tc>
          <w:tcPr>
            <w:tcW w:w="1546" w:type="dxa"/>
          </w:tcPr>
          <w:p w14:paraId="18196D52">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 xml:space="preserve">0.35% </w:t>
            </w:r>
          </w:p>
        </w:tc>
      </w:tr>
      <w:tr w14:paraId="106A9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47DCB188">
            <w:pPr>
              <w:spacing w:line="360" w:lineRule="auto"/>
              <w:rPr>
                <w:rFonts w:hint="eastAsia" w:ascii="宋体" w:hAnsi="宋体" w:cs="宋体"/>
                <w:color w:val="auto"/>
                <w:szCs w:val="21"/>
              </w:rPr>
            </w:pPr>
            <w:r>
              <w:rPr>
                <w:rFonts w:hint="eastAsia" w:ascii="宋体" w:hAnsi="宋体" w:cs="宋体"/>
                <w:color w:val="auto"/>
                <w:szCs w:val="21"/>
              </w:rPr>
              <w:t>5000万元～1亿元</w:t>
            </w:r>
          </w:p>
        </w:tc>
        <w:tc>
          <w:tcPr>
            <w:tcW w:w="1659" w:type="dxa"/>
          </w:tcPr>
          <w:p w14:paraId="639B98D5">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 xml:space="preserve">0.25%                 </w:t>
            </w:r>
          </w:p>
        </w:tc>
        <w:tc>
          <w:tcPr>
            <w:tcW w:w="1532" w:type="dxa"/>
          </w:tcPr>
          <w:p w14:paraId="41FF903A">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0.1%</w:t>
            </w:r>
          </w:p>
        </w:tc>
        <w:tc>
          <w:tcPr>
            <w:tcW w:w="1546" w:type="dxa"/>
          </w:tcPr>
          <w:p w14:paraId="62ACAF07">
            <w:pPr>
              <w:spacing w:line="360" w:lineRule="auto"/>
              <w:ind w:firstLine="210" w:firstLineChars="100"/>
              <w:rPr>
                <w:rFonts w:hint="eastAsia" w:ascii="宋体" w:hAnsi="宋体" w:cs="宋体"/>
                <w:color w:val="auto"/>
                <w:szCs w:val="21"/>
              </w:rPr>
            </w:pPr>
            <w:r>
              <w:rPr>
                <w:rFonts w:hint="eastAsia" w:ascii="宋体" w:hAnsi="宋体" w:cs="宋体"/>
                <w:color w:val="auto"/>
                <w:kern w:val="0"/>
                <w:szCs w:val="21"/>
              </w:rPr>
              <w:t>0.2%</w:t>
            </w:r>
          </w:p>
        </w:tc>
      </w:tr>
      <w:tr w14:paraId="11E60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2008BA59">
            <w:pPr>
              <w:spacing w:line="360" w:lineRule="auto"/>
              <w:rPr>
                <w:rFonts w:hint="eastAsia" w:ascii="宋体" w:hAnsi="宋体" w:cs="宋体"/>
                <w:color w:val="auto"/>
                <w:szCs w:val="21"/>
              </w:rPr>
            </w:pPr>
            <w:r>
              <w:rPr>
                <w:rFonts w:hint="eastAsia" w:ascii="宋体" w:hAnsi="宋体" w:cs="宋体"/>
                <w:color w:val="auto"/>
                <w:szCs w:val="21"/>
              </w:rPr>
              <w:t>1～5亿元</w:t>
            </w:r>
          </w:p>
        </w:tc>
        <w:tc>
          <w:tcPr>
            <w:tcW w:w="1659" w:type="dxa"/>
          </w:tcPr>
          <w:p w14:paraId="636BFECE">
            <w:pPr>
              <w:spacing w:line="360" w:lineRule="auto"/>
              <w:ind w:firstLine="210" w:firstLineChars="100"/>
              <w:rPr>
                <w:rFonts w:hint="eastAsia" w:ascii="宋体" w:hAnsi="宋体" w:cs="宋体"/>
                <w:color w:val="auto"/>
                <w:szCs w:val="21"/>
              </w:rPr>
            </w:pPr>
            <w:r>
              <w:rPr>
                <w:rFonts w:hint="eastAsia" w:ascii="宋体" w:hAnsi="宋体" w:cs="宋体"/>
                <w:color w:val="auto"/>
                <w:szCs w:val="21"/>
              </w:rPr>
              <w:t>0.05%</w:t>
            </w:r>
          </w:p>
        </w:tc>
        <w:tc>
          <w:tcPr>
            <w:tcW w:w="1532" w:type="dxa"/>
          </w:tcPr>
          <w:p w14:paraId="2F041D8D">
            <w:pPr>
              <w:spacing w:line="360" w:lineRule="auto"/>
              <w:rPr>
                <w:rFonts w:hint="eastAsia" w:ascii="宋体" w:hAnsi="宋体" w:cs="宋体"/>
                <w:color w:val="auto"/>
                <w:szCs w:val="21"/>
              </w:rPr>
            </w:pPr>
            <w:r>
              <w:rPr>
                <w:rFonts w:hint="eastAsia" w:ascii="宋体" w:hAnsi="宋体" w:cs="宋体"/>
                <w:color w:val="auto"/>
                <w:szCs w:val="21"/>
              </w:rPr>
              <w:t xml:space="preserve">  0.05%</w:t>
            </w:r>
          </w:p>
        </w:tc>
        <w:tc>
          <w:tcPr>
            <w:tcW w:w="1546" w:type="dxa"/>
          </w:tcPr>
          <w:p w14:paraId="4C237842">
            <w:pPr>
              <w:spacing w:line="360" w:lineRule="auto"/>
              <w:rPr>
                <w:rFonts w:hint="eastAsia" w:ascii="宋体" w:hAnsi="宋体" w:cs="宋体"/>
                <w:color w:val="auto"/>
                <w:szCs w:val="21"/>
              </w:rPr>
            </w:pPr>
            <w:r>
              <w:rPr>
                <w:rFonts w:hint="eastAsia" w:ascii="宋体" w:hAnsi="宋体" w:cs="宋体"/>
                <w:color w:val="auto"/>
                <w:szCs w:val="21"/>
              </w:rPr>
              <w:t xml:space="preserve">  0.05%</w:t>
            </w:r>
          </w:p>
        </w:tc>
      </w:tr>
      <w:tr w14:paraId="50B9C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7D03E7B0">
            <w:pPr>
              <w:spacing w:line="360" w:lineRule="auto"/>
              <w:rPr>
                <w:rFonts w:hint="eastAsia" w:ascii="宋体" w:hAnsi="宋体" w:cs="宋体"/>
                <w:color w:val="auto"/>
                <w:szCs w:val="21"/>
              </w:rPr>
            </w:pPr>
            <w:r>
              <w:rPr>
                <w:rFonts w:hint="eastAsia" w:ascii="宋体" w:hAnsi="宋体" w:cs="宋体"/>
                <w:color w:val="auto"/>
                <w:szCs w:val="21"/>
              </w:rPr>
              <w:t>5～10亿元</w:t>
            </w:r>
          </w:p>
        </w:tc>
        <w:tc>
          <w:tcPr>
            <w:tcW w:w="1659" w:type="dxa"/>
          </w:tcPr>
          <w:p w14:paraId="447F612C">
            <w:pPr>
              <w:spacing w:line="360" w:lineRule="auto"/>
              <w:ind w:firstLine="105" w:firstLineChars="50"/>
              <w:rPr>
                <w:rFonts w:hint="eastAsia" w:ascii="宋体" w:hAnsi="宋体" w:cs="宋体"/>
                <w:color w:val="auto"/>
                <w:szCs w:val="21"/>
              </w:rPr>
            </w:pPr>
            <w:r>
              <w:rPr>
                <w:rFonts w:hint="eastAsia" w:ascii="宋体" w:hAnsi="宋体" w:cs="宋体"/>
                <w:color w:val="auto"/>
                <w:szCs w:val="21"/>
              </w:rPr>
              <w:t>0.035%</w:t>
            </w:r>
          </w:p>
        </w:tc>
        <w:tc>
          <w:tcPr>
            <w:tcW w:w="1532" w:type="dxa"/>
          </w:tcPr>
          <w:p w14:paraId="47D6B72D">
            <w:pPr>
              <w:spacing w:line="360" w:lineRule="auto"/>
              <w:rPr>
                <w:rFonts w:hint="eastAsia" w:ascii="宋体" w:hAnsi="宋体" w:cs="宋体"/>
                <w:color w:val="auto"/>
                <w:szCs w:val="21"/>
              </w:rPr>
            </w:pPr>
            <w:r>
              <w:rPr>
                <w:rFonts w:hint="eastAsia" w:ascii="宋体" w:hAnsi="宋体" w:cs="宋体"/>
                <w:color w:val="auto"/>
                <w:szCs w:val="21"/>
              </w:rPr>
              <w:t xml:space="preserve">  0.035%</w:t>
            </w:r>
          </w:p>
        </w:tc>
        <w:tc>
          <w:tcPr>
            <w:tcW w:w="1546" w:type="dxa"/>
          </w:tcPr>
          <w:p w14:paraId="0CBE822B">
            <w:pPr>
              <w:spacing w:line="360" w:lineRule="auto"/>
              <w:ind w:firstLine="105" w:firstLineChars="50"/>
              <w:rPr>
                <w:rFonts w:hint="eastAsia" w:ascii="宋体" w:hAnsi="宋体" w:cs="宋体"/>
                <w:color w:val="auto"/>
                <w:szCs w:val="21"/>
              </w:rPr>
            </w:pPr>
            <w:r>
              <w:rPr>
                <w:rFonts w:hint="eastAsia" w:ascii="宋体" w:hAnsi="宋体" w:cs="宋体"/>
                <w:color w:val="auto"/>
                <w:szCs w:val="21"/>
              </w:rPr>
              <w:t>0.035%</w:t>
            </w:r>
          </w:p>
        </w:tc>
      </w:tr>
      <w:tr w14:paraId="4E68E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1E93E999">
            <w:pPr>
              <w:spacing w:line="360" w:lineRule="auto"/>
              <w:rPr>
                <w:rFonts w:hint="eastAsia" w:ascii="宋体" w:hAnsi="宋体" w:cs="宋体"/>
                <w:color w:val="auto"/>
                <w:szCs w:val="21"/>
              </w:rPr>
            </w:pPr>
            <w:r>
              <w:rPr>
                <w:rFonts w:hint="eastAsia" w:ascii="宋体" w:hAnsi="宋体" w:cs="宋体"/>
                <w:color w:val="auto"/>
                <w:szCs w:val="21"/>
              </w:rPr>
              <w:t>10～50亿元</w:t>
            </w:r>
          </w:p>
        </w:tc>
        <w:tc>
          <w:tcPr>
            <w:tcW w:w="1659" w:type="dxa"/>
          </w:tcPr>
          <w:p w14:paraId="482ED6E3">
            <w:pPr>
              <w:spacing w:line="360" w:lineRule="auto"/>
              <w:ind w:firstLine="105" w:firstLineChars="50"/>
              <w:rPr>
                <w:rFonts w:hint="eastAsia" w:ascii="宋体" w:hAnsi="宋体" w:cs="宋体"/>
                <w:color w:val="auto"/>
                <w:szCs w:val="21"/>
              </w:rPr>
            </w:pPr>
            <w:r>
              <w:rPr>
                <w:rFonts w:hint="eastAsia" w:ascii="宋体" w:hAnsi="宋体" w:cs="宋体"/>
                <w:color w:val="auto"/>
                <w:szCs w:val="21"/>
              </w:rPr>
              <w:t>0.008%</w:t>
            </w:r>
          </w:p>
        </w:tc>
        <w:tc>
          <w:tcPr>
            <w:tcW w:w="1532" w:type="dxa"/>
          </w:tcPr>
          <w:p w14:paraId="72143BBF">
            <w:pPr>
              <w:spacing w:line="360" w:lineRule="auto"/>
              <w:ind w:firstLine="210" w:firstLineChars="100"/>
              <w:rPr>
                <w:rFonts w:hint="eastAsia" w:ascii="宋体" w:hAnsi="宋体" w:cs="宋体"/>
                <w:color w:val="auto"/>
                <w:szCs w:val="21"/>
              </w:rPr>
            </w:pPr>
            <w:r>
              <w:rPr>
                <w:rFonts w:hint="eastAsia" w:ascii="宋体" w:hAnsi="宋体" w:cs="宋体"/>
                <w:color w:val="auto"/>
                <w:szCs w:val="21"/>
              </w:rPr>
              <w:t>0.008%</w:t>
            </w:r>
          </w:p>
        </w:tc>
        <w:tc>
          <w:tcPr>
            <w:tcW w:w="1546" w:type="dxa"/>
          </w:tcPr>
          <w:p w14:paraId="0CFB9237">
            <w:pPr>
              <w:spacing w:line="360" w:lineRule="auto"/>
              <w:ind w:firstLine="105" w:firstLineChars="50"/>
              <w:rPr>
                <w:rFonts w:hint="eastAsia" w:ascii="宋体" w:hAnsi="宋体" w:cs="宋体"/>
                <w:color w:val="auto"/>
                <w:szCs w:val="21"/>
              </w:rPr>
            </w:pPr>
            <w:r>
              <w:rPr>
                <w:rFonts w:hint="eastAsia" w:ascii="宋体" w:hAnsi="宋体" w:cs="宋体"/>
                <w:color w:val="auto"/>
                <w:szCs w:val="21"/>
              </w:rPr>
              <w:t>0.008%</w:t>
            </w:r>
          </w:p>
        </w:tc>
      </w:tr>
      <w:tr w14:paraId="4F3D9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3B4F92D1">
            <w:pPr>
              <w:spacing w:line="360" w:lineRule="auto"/>
              <w:rPr>
                <w:rFonts w:hint="eastAsia" w:ascii="宋体" w:hAnsi="宋体" w:cs="宋体"/>
                <w:color w:val="auto"/>
                <w:szCs w:val="21"/>
              </w:rPr>
            </w:pPr>
            <w:r>
              <w:rPr>
                <w:rFonts w:hint="eastAsia" w:ascii="宋体" w:hAnsi="宋体" w:cs="宋体"/>
                <w:color w:val="auto"/>
                <w:szCs w:val="21"/>
              </w:rPr>
              <w:t>50～100亿元</w:t>
            </w:r>
          </w:p>
        </w:tc>
        <w:tc>
          <w:tcPr>
            <w:tcW w:w="1659" w:type="dxa"/>
          </w:tcPr>
          <w:p w14:paraId="1C8CFBB4">
            <w:pPr>
              <w:spacing w:line="360" w:lineRule="auto"/>
              <w:rPr>
                <w:rFonts w:hint="eastAsia" w:ascii="宋体" w:hAnsi="宋体" w:cs="宋体"/>
                <w:color w:val="auto"/>
                <w:szCs w:val="21"/>
              </w:rPr>
            </w:pPr>
            <w:r>
              <w:rPr>
                <w:rFonts w:hint="eastAsia" w:ascii="宋体" w:hAnsi="宋体" w:cs="宋体"/>
                <w:color w:val="auto"/>
                <w:szCs w:val="21"/>
              </w:rPr>
              <w:t xml:space="preserve"> 0.006%</w:t>
            </w:r>
          </w:p>
        </w:tc>
        <w:tc>
          <w:tcPr>
            <w:tcW w:w="1532" w:type="dxa"/>
          </w:tcPr>
          <w:p w14:paraId="358CCD3F">
            <w:pPr>
              <w:spacing w:line="360" w:lineRule="auto"/>
              <w:ind w:firstLine="210" w:firstLineChars="100"/>
              <w:rPr>
                <w:rFonts w:hint="eastAsia" w:ascii="宋体" w:hAnsi="宋体" w:cs="宋体"/>
                <w:color w:val="auto"/>
                <w:szCs w:val="21"/>
              </w:rPr>
            </w:pPr>
            <w:r>
              <w:rPr>
                <w:rFonts w:hint="eastAsia" w:ascii="宋体" w:hAnsi="宋体" w:cs="宋体"/>
                <w:color w:val="auto"/>
                <w:szCs w:val="21"/>
              </w:rPr>
              <w:t>0.006%</w:t>
            </w:r>
          </w:p>
        </w:tc>
        <w:tc>
          <w:tcPr>
            <w:tcW w:w="1546" w:type="dxa"/>
          </w:tcPr>
          <w:p w14:paraId="1D260A30">
            <w:pPr>
              <w:spacing w:line="360" w:lineRule="auto"/>
              <w:ind w:firstLine="105" w:firstLineChars="50"/>
              <w:rPr>
                <w:rFonts w:hint="eastAsia" w:ascii="宋体" w:hAnsi="宋体" w:cs="宋体"/>
                <w:color w:val="auto"/>
                <w:szCs w:val="21"/>
              </w:rPr>
            </w:pPr>
            <w:r>
              <w:rPr>
                <w:rFonts w:hint="eastAsia" w:ascii="宋体" w:hAnsi="宋体" w:cs="宋体"/>
                <w:color w:val="auto"/>
                <w:szCs w:val="21"/>
              </w:rPr>
              <w:t>0.006%</w:t>
            </w:r>
          </w:p>
        </w:tc>
      </w:tr>
      <w:tr w14:paraId="48197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10CF07B3">
            <w:pPr>
              <w:spacing w:line="360" w:lineRule="auto"/>
              <w:rPr>
                <w:rFonts w:hint="eastAsia" w:ascii="宋体" w:hAnsi="宋体" w:cs="宋体"/>
                <w:color w:val="auto"/>
                <w:szCs w:val="21"/>
              </w:rPr>
            </w:pPr>
            <w:r>
              <w:rPr>
                <w:rFonts w:hint="eastAsia" w:ascii="宋体" w:hAnsi="宋体" w:cs="宋体"/>
                <w:color w:val="auto"/>
                <w:szCs w:val="21"/>
              </w:rPr>
              <w:t>100亿元以上</w:t>
            </w:r>
          </w:p>
        </w:tc>
        <w:tc>
          <w:tcPr>
            <w:tcW w:w="1659" w:type="dxa"/>
          </w:tcPr>
          <w:p w14:paraId="28EE3B9E">
            <w:pPr>
              <w:spacing w:line="360" w:lineRule="auto"/>
              <w:rPr>
                <w:rFonts w:hint="eastAsia" w:ascii="宋体" w:hAnsi="宋体" w:cs="宋体"/>
                <w:color w:val="auto"/>
                <w:szCs w:val="21"/>
              </w:rPr>
            </w:pPr>
            <w:r>
              <w:rPr>
                <w:rFonts w:hint="eastAsia" w:ascii="宋体" w:hAnsi="宋体" w:cs="宋体"/>
                <w:color w:val="auto"/>
                <w:szCs w:val="21"/>
              </w:rPr>
              <w:t xml:space="preserve"> 0.004%</w:t>
            </w:r>
          </w:p>
        </w:tc>
        <w:tc>
          <w:tcPr>
            <w:tcW w:w="1532" w:type="dxa"/>
          </w:tcPr>
          <w:p w14:paraId="54436435">
            <w:pPr>
              <w:spacing w:line="360" w:lineRule="auto"/>
              <w:ind w:firstLine="210" w:firstLineChars="100"/>
              <w:rPr>
                <w:rFonts w:hint="eastAsia" w:ascii="宋体" w:hAnsi="宋体" w:cs="宋体"/>
                <w:color w:val="auto"/>
                <w:szCs w:val="21"/>
              </w:rPr>
            </w:pPr>
            <w:r>
              <w:rPr>
                <w:rFonts w:hint="eastAsia" w:ascii="宋体" w:hAnsi="宋体" w:cs="宋体"/>
                <w:color w:val="auto"/>
                <w:szCs w:val="21"/>
              </w:rPr>
              <w:t>0.004%</w:t>
            </w:r>
          </w:p>
        </w:tc>
        <w:tc>
          <w:tcPr>
            <w:tcW w:w="1546" w:type="dxa"/>
          </w:tcPr>
          <w:p w14:paraId="5E078EC3">
            <w:pPr>
              <w:spacing w:line="360" w:lineRule="auto"/>
              <w:ind w:firstLine="105" w:firstLineChars="50"/>
              <w:rPr>
                <w:rFonts w:hint="eastAsia" w:ascii="宋体" w:hAnsi="宋体" w:cs="宋体"/>
                <w:color w:val="auto"/>
                <w:szCs w:val="21"/>
              </w:rPr>
            </w:pPr>
            <w:r>
              <w:rPr>
                <w:rFonts w:hint="eastAsia" w:ascii="宋体" w:hAnsi="宋体" w:cs="宋体"/>
                <w:color w:val="auto"/>
                <w:szCs w:val="21"/>
              </w:rPr>
              <w:t>0.004%</w:t>
            </w:r>
          </w:p>
        </w:tc>
      </w:tr>
    </w:tbl>
    <w:p w14:paraId="30658E9E">
      <w:pPr>
        <w:spacing w:line="360" w:lineRule="auto"/>
        <w:ind w:firstLine="420" w:firstLineChars="200"/>
        <w:rPr>
          <w:rFonts w:hint="eastAsia" w:ascii="宋体" w:hAnsi="宋体" w:cs="宋体"/>
          <w:color w:val="auto"/>
        </w:rPr>
      </w:pPr>
      <w:r>
        <w:rPr>
          <w:rFonts w:hint="eastAsia" w:ascii="宋体" w:hAnsi="宋体" w:cs="宋体"/>
          <w:color w:val="auto"/>
        </w:rPr>
        <w:t>注：</w:t>
      </w:r>
    </w:p>
    <w:p w14:paraId="43D5B45D">
      <w:pPr>
        <w:spacing w:line="360" w:lineRule="auto"/>
        <w:ind w:firstLine="420" w:firstLineChars="200"/>
        <w:rPr>
          <w:rFonts w:hint="eastAsia" w:ascii="宋体" w:hAnsi="宋体" w:cs="宋体"/>
          <w:color w:val="auto"/>
        </w:rPr>
      </w:pPr>
      <w:r>
        <w:rPr>
          <w:rFonts w:hint="eastAsia" w:ascii="宋体" w:hAnsi="宋体" w:cs="宋体"/>
          <w:color w:val="auto"/>
        </w:rPr>
        <w:t>（1）按本表费率计算的收费为采购代理的收费基准价格；</w:t>
      </w:r>
    </w:p>
    <w:p w14:paraId="774EAAE8">
      <w:pPr>
        <w:spacing w:line="360" w:lineRule="auto"/>
        <w:ind w:firstLine="420" w:firstLineChars="200"/>
        <w:rPr>
          <w:rFonts w:hint="eastAsia" w:ascii="宋体" w:hAnsi="宋体" w:cs="宋体"/>
          <w:color w:val="auto"/>
        </w:rPr>
      </w:pPr>
      <w:r>
        <w:rPr>
          <w:rFonts w:hint="eastAsia" w:ascii="宋体" w:hAnsi="宋体" w:cs="宋体"/>
          <w:color w:val="auto"/>
        </w:rPr>
        <w:t>（2）采购代理收费按差额定率累进法计算。</w:t>
      </w:r>
    </w:p>
    <w:p w14:paraId="3B289F06">
      <w:pPr>
        <w:spacing w:line="360" w:lineRule="auto"/>
        <w:ind w:firstLine="420" w:firstLineChars="200"/>
        <w:rPr>
          <w:rFonts w:hint="eastAsia" w:ascii="宋体" w:hAnsi="宋体" w:cs="宋体"/>
          <w:color w:val="auto"/>
        </w:rPr>
      </w:pPr>
      <w:r>
        <w:rPr>
          <w:rFonts w:hint="eastAsia" w:ascii="宋体" w:hAnsi="宋体" w:cs="宋体"/>
          <w:color w:val="auto"/>
        </w:rPr>
        <w:t>例如：成交金额为198万元，计算采购代理收费额如下：</w:t>
      </w:r>
    </w:p>
    <w:p w14:paraId="4F7E4983">
      <w:pPr>
        <w:spacing w:line="360" w:lineRule="auto"/>
        <w:ind w:firstLine="420" w:firstLineChars="200"/>
        <w:rPr>
          <w:rFonts w:hint="eastAsia" w:ascii="宋体" w:hAnsi="宋体" w:cs="宋体"/>
          <w:color w:val="auto"/>
        </w:rPr>
      </w:pPr>
      <w:r>
        <w:rPr>
          <w:rFonts w:hint="eastAsia" w:ascii="宋体" w:hAnsi="宋体" w:cs="宋体"/>
          <w:color w:val="auto"/>
        </w:rPr>
        <w:t>100 万元 ×l.5 ％＝ 1.5 万元</w:t>
      </w:r>
    </w:p>
    <w:p w14:paraId="44BCB370">
      <w:pPr>
        <w:spacing w:line="360" w:lineRule="auto"/>
        <w:ind w:firstLine="420" w:firstLineChars="200"/>
        <w:rPr>
          <w:rFonts w:hint="eastAsia" w:ascii="宋体" w:hAnsi="宋体" w:cs="宋体"/>
          <w:color w:val="auto"/>
        </w:rPr>
      </w:pPr>
      <w:r>
        <w:rPr>
          <w:rFonts w:hint="eastAsia" w:ascii="宋体" w:hAnsi="宋体" w:cs="宋体"/>
          <w:color w:val="auto"/>
        </w:rPr>
        <w:t>（ 198 － 100 ）万元 ×0.8％＝ 0.784万元</w:t>
      </w:r>
    </w:p>
    <w:p w14:paraId="7CB1E37A">
      <w:pPr>
        <w:spacing w:line="360" w:lineRule="auto"/>
        <w:ind w:firstLine="420" w:firstLineChars="200"/>
        <w:rPr>
          <w:rFonts w:hint="eastAsia" w:ascii="宋体" w:hAnsi="宋体" w:cs="宋体"/>
          <w:color w:val="auto"/>
        </w:rPr>
      </w:pPr>
      <w:r>
        <w:rPr>
          <w:rFonts w:hint="eastAsia" w:ascii="宋体" w:hAnsi="宋体" w:cs="宋体"/>
          <w:color w:val="auto"/>
        </w:rPr>
        <w:t>合计收费＝ 1.5 ＋ 0.784＝ 2.284 万元</w:t>
      </w:r>
    </w:p>
    <w:p w14:paraId="71E8FA38">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34</w:t>
      </w:r>
      <w:r>
        <w:rPr>
          <w:rFonts w:ascii="黑体" w:hAnsi="黑体" w:eastAsia="黑体" w:cs="宋体"/>
          <w:b/>
          <w:bCs/>
          <w:color w:val="auto"/>
          <w:sz w:val="24"/>
        </w:rPr>
        <w:t>.需要补充的其他内容</w:t>
      </w:r>
    </w:p>
    <w:p w14:paraId="04B854C2">
      <w:pPr>
        <w:spacing w:line="360" w:lineRule="auto"/>
        <w:ind w:firstLine="420" w:firstLineChars="200"/>
        <w:textAlignment w:val="center"/>
        <w:rPr>
          <w:rFonts w:hint="eastAsia" w:ascii="宋体" w:hAnsi="宋体" w:cs="宋体"/>
          <w:color w:val="auto"/>
          <w:szCs w:val="21"/>
        </w:rPr>
      </w:pPr>
      <w:r>
        <w:rPr>
          <w:rFonts w:hint="eastAsia" w:ascii="宋体" w:hAnsi="宋体" w:cs="宋体"/>
          <w:color w:val="auto"/>
          <w:szCs w:val="21"/>
        </w:rPr>
        <w:t>34.1本磋商文件解释规则详见“供应商须知前附表”。</w:t>
      </w:r>
    </w:p>
    <w:p w14:paraId="6194003F">
      <w:pPr>
        <w:spacing w:line="360" w:lineRule="auto"/>
        <w:ind w:firstLine="420" w:firstLineChars="200"/>
        <w:textAlignment w:val="center"/>
        <w:rPr>
          <w:rFonts w:hint="eastAsia" w:ascii="宋体" w:hAnsi="宋体" w:cs="宋体"/>
          <w:color w:val="auto"/>
          <w:szCs w:val="21"/>
        </w:rPr>
      </w:pPr>
      <w:r>
        <w:rPr>
          <w:rFonts w:hint="eastAsia" w:ascii="宋体" w:hAnsi="宋体" w:cs="宋体"/>
          <w:color w:val="auto"/>
          <w:szCs w:val="21"/>
        </w:rPr>
        <w:t>34.2 其他事项详见“供应商须知前附表”。</w:t>
      </w:r>
    </w:p>
    <w:p w14:paraId="527C7810">
      <w:pPr>
        <w:spacing w:line="360" w:lineRule="auto"/>
        <w:ind w:firstLine="420" w:firstLineChars="200"/>
        <w:textAlignment w:val="center"/>
        <w:rPr>
          <w:rFonts w:hint="eastAsia" w:ascii="宋体" w:hAnsi="宋体" w:cs="宋体"/>
          <w:color w:val="auto"/>
          <w:szCs w:val="21"/>
        </w:rPr>
      </w:pPr>
      <w:r>
        <w:rPr>
          <w:rFonts w:hint="eastAsia" w:ascii="宋体" w:hAnsi="宋体" w:cs="宋体"/>
          <w:color w:val="auto"/>
          <w:szCs w:val="21"/>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cs="宋体"/>
          <w:color w:val="auto"/>
          <w:kern w:val="0"/>
          <w:szCs w:val="21"/>
        </w:rPr>
        <w:t>服务由中小企业承接，即提供服务的人员为中小企业依照《中华人民共和国劳动合同法》订立劳动合同的从业人员，不对其中涉及的货物的制造商和工程承建商作出要求的</w:t>
      </w:r>
      <w:r>
        <w:rPr>
          <w:rFonts w:hint="eastAsia" w:ascii="宋体" w:hAnsi="宋体" w:cs="宋体"/>
          <w:color w:val="auto"/>
          <w:szCs w:val="21"/>
        </w:rPr>
        <w:t>，享受本文件规定的中小企业扶持政策。</w:t>
      </w:r>
    </w:p>
    <w:p w14:paraId="072E12F3">
      <w:pPr>
        <w:spacing w:line="360" w:lineRule="auto"/>
        <w:ind w:firstLine="420" w:firstLineChars="200"/>
        <w:textAlignment w:val="center"/>
        <w:rPr>
          <w:rFonts w:hint="eastAsia" w:ascii="宋体" w:hAnsi="宋体" w:cs="宋体"/>
          <w:color w:val="auto"/>
          <w:szCs w:val="21"/>
        </w:rPr>
      </w:pPr>
      <w:r>
        <w:rPr>
          <w:rFonts w:hint="eastAsia" w:ascii="宋体" w:hAnsi="宋体" w:cs="宋体"/>
          <w:color w:val="auto"/>
          <w:szCs w:val="21"/>
        </w:rPr>
        <w:t>以联合体形式参加政府采购活动，联合体各方均为中小企业的，联合体视同中小企业。其中，联合体各方均为小微企业的，联合体视同小微企业。</w:t>
      </w:r>
    </w:p>
    <w:p w14:paraId="1A8730E9">
      <w:pPr>
        <w:spacing w:line="360" w:lineRule="auto"/>
        <w:ind w:firstLine="420" w:firstLineChars="200"/>
        <w:textAlignment w:val="center"/>
        <w:rPr>
          <w:rFonts w:hint="eastAsia" w:ascii="宋体" w:hAnsi="宋体" w:cs="宋体"/>
          <w:color w:val="auto"/>
          <w:szCs w:val="21"/>
        </w:rPr>
      </w:pPr>
      <w:r>
        <w:rPr>
          <w:rFonts w:hint="eastAsia" w:ascii="宋体" w:hAnsi="宋体" w:cs="宋体"/>
          <w:color w:val="auto"/>
          <w:szCs w:val="21"/>
        </w:rPr>
        <w:t>依据本文件规定享受扶持政策获得政府采购合同的，小微企业不得将合同分包给大中型企业，中型企业不得将合同分包给大型企业。</w:t>
      </w:r>
    </w:p>
    <w:p w14:paraId="05EBEE06">
      <w:pPr>
        <w:spacing w:line="360" w:lineRule="auto"/>
        <w:ind w:firstLine="480" w:firstLineChars="200"/>
        <w:rPr>
          <w:rFonts w:hint="eastAsia" w:ascii="宋体" w:hAnsi="宋体" w:cs="宋体"/>
          <w:color w:val="auto"/>
          <w:sz w:val="24"/>
        </w:rPr>
      </w:pPr>
      <w:r>
        <w:rPr>
          <w:rFonts w:hint="eastAsia" w:ascii="宋体" w:hAnsi="宋体" w:cs="宋体"/>
          <w:color w:val="auto"/>
          <w:sz w:val="24"/>
        </w:rPr>
        <w:t>35. 广西线上“政采贷”政策告知函</w:t>
      </w:r>
    </w:p>
    <w:p w14:paraId="547C3254">
      <w:pPr>
        <w:spacing w:line="580" w:lineRule="exact"/>
        <w:jc w:val="center"/>
        <w:rPr>
          <w:rFonts w:hint="eastAsia" w:ascii="宋体" w:hAnsi="宋体" w:cs="宋体"/>
          <w:color w:val="auto"/>
          <w:sz w:val="32"/>
          <w:szCs w:val="32"/>
        </w:rPr>
      </w:pPr>
      <w:r>
        <w:rPr>
          <w:rFonts w:hint="eastAsia" w:ascii="宋体" w:hAnsi="宋体" w:cs="宋体"/>
          <w:color w:val="auto"/>
          <w:sz w:val="32"/>
          <w:szCs w:val="32"/>
        </w:rPr>
        <w:t>广西线上“政采贷”政策告知函</w:t>
      </w:r>
    </w:p>
    <w:p w14:paraId="1B7FC4FA">
      <w:pPr>
        <w:spacing w:line="580" w:lineRule="exact"/>
        <w:ind w:firstLine="420" w:firstLineChars="200"/>
        <w:rPr>
          <w:rFonts w:hint="eastAsia" w:ascii="宋体" w:hAnsi="宋体" w:cs="宋体"/>
          <w:color w:val="auto"/>
          <w:szCs w:val="32"/>
        </w:rPr>
      </w:pPr>
    </w:p>
    <w:p w14:paraId="1E2B3245">
      <w:pPr>
        <w:spacing w:line="580" w:lineRule="exact"/>
        <w:rPr>
          <w:rFonts w:hint="eastAsia" w:ascii="宋体" w:hAnsi="宋体" w:cs="宋体"/>
          <w:color w:val="auto"/>
          <w:szCs w:val="21"/>
        </w:rPr>
      </w:pPr>
      <w:r>
        <w:rPr>
          <w:rFonts w:hint="eastAsia" w:ascii="宋体" w:hAnsi="宋体" w:cs="宋体"/>
          <w:color w:val="auto"/>
          <w:szCs w:val="21"/>
        </w:rPr>
        <w:t>各供应商：</w:t>
      </w:r>
    </w:p>
    <w:p w14:paraId="57F54CC2">
      <w:pPr>
        <w:spacing w:line="580" w:lineRule="exact"/>
        <w:ind w:firstLine="420" w:firstLineChars="200"/>
        <w:rPr>
          <w:rFonts w:hint="eastAsia" w:ascii="宋体" w:hAnsi="宋体" w:cs="宋体"/>
          <w:color w:val="auto"/>
          <w:szCs w:val="21"/>
        </w:rPr>
      </w:pPr>
      <w:r>
        <w:rPr>
          <w:rFonts w:hint="eastAsia" w:ascii="宋体" w:hAnsi="宋体" w:cs="宋体"/>
          <w:color w:val="auto"/>
          <w:szCs w:val="21"/>
        </w:rPr>
        <w:t>欢迎贵公司参与广西政府采购活动！</w:t>
      </w:r>
    </w:p>
    <w:p w14:paraId="6C6D64DD">
      <w:pPr>
        <w:spacing w:line="580" w:lineRule="exact"/>
        <w:ind w:firstLine="420" w:firstLineChars="200"/>
        <w:rPr>
          <w:rFonts w:hint="eastAsia" w:ascii="宋体" w:hAnsi="宋体" w:cs="宋体"/>
          <w:color w:val="auto"/>
          <w:szCs w:val="21"/>
        </w:rPr>
      </w:pPr>
      <w:r>
        <w:rPr>
          <w:rFonts w:hint="eastAsia" w:ascii="宋体" w:hAnsi="宋体" w:cs="宋体"/>
          <w:color w:val="auto"/>
          <w:szCs w:val="21"/>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07C3A9E1">
      <w:pPr>
        <w:spacing w:line="580" w:lineRule="exact"/>
        <w:ind w:firstLine="420" w:firstLineChars="200"/>
        <w:rPr>
          <w:rFonts w:hint="eastAsia" w:ascii="宋体" w:hAnsi="宋体" w:cs="宋体"/>
          <w:color w:val="auto"/>
          <w:szCs w:val="21"/>
        </w:rPr>
      </w:pPr>
      <w:r>
        <w:rPr>
          <w:rFonts w:hint="eastAsia" w:ascii="宋体" w:hAnsi="宋体" w:cs="宋体"/>
          <w:color w:val="auto"/>
          <w:szCs w:val="21"/>
        </w:rPr>
        <w:t>相关金融产品和银行业金融机构联系方式，可在中征应收账款融资服务平台查询（网址：</w:t>
      </w:r>
      <w:r>
        <w:rPr>
          <w:color w:val="auto"/>
        </w:rPr>
        <w:fldChar w:fldCharType="begin"/>
      </w:r>
      <w:r>
        <w:rPr>
          <w:color w:val="auto"/>
        </w:rPr>
        <w:instrText xml:space="preserve"> HYPERLINK "https://www.crcrfsp.com/" </w:instrText>
      </w:r>
      <w:r>
        <w:rPr>
          <w:color w:val="auto"/>
        </w:rPr>
        <w:fldChar w:fldCharType="separate"/>
      </w:r>
      <w:r>
        <w:rPr>
          <w:rStyle w:val="40"/>
          <w:rFonts w:hint="eastAsia" w:ascii="宋体" w:hAnsi="宋体" w:cs="宋体"/>
          <w:color w:val="auto"/>
          <w:szCs w:val="21"/>
        </w:rPr>
        <w:t>https://www.crcrfsp.com/</w:t>
      </w:r>
      <w:r>
        <w:rPr>
          <w:rStyle w:val="40"/>
          <w:rFonts w:hint="eastAsia" w:ascii="宋体" w:hAnsi="宋体" w:cs="宋体"/>
          <w:color w:val="auto"/>
          <w:szCs w:val="21"/>
        </w:rPr>
        <w:fldChar w:fldCharType="end"/>
      </w:r>
      <w:r>
        <w:rPr>
          <w:rFonts w:hint="eastAsia" w:ascii="宋体" w:hAnsi="宋体" w:cs="宋体"/>
          <w:color w:val="auto"/>
          <w:szCs w:val="21"/>
        </w:rPr>
        <w:t>，客服电话：400-009-0001）。</w:t>
      </w:r>
    </w:p>
    <w:p w14:paraId="22D4B6BC">
      <w:pPr>
        <w:pStyle w:val="25"/>
        <w:rPr>
          <w:rFonts w:hint="eastAsia" w:ascii="宋体" w:hAnsi="宋体" w:cs="宋体"/>
          <w:color w:val="auto"/>
          <w:szCs w:val="21"/>
        </w:rPr>
      </w:pPr>
      <w:r>
        <w:rPr>
          <w:rFonts w:hint="eastAsia" w:ascii="宋体" w:hAnsi="宋体" w:cs="宋体"/>
          <w:color w:val="auto"/>
          <w:szCs w:val="21"/>
        </w:rPr>
        <w:br w:type="page"/>
      </w:r>
    </w:p>
    <w:p w14:paraId="42BEB9F4">
      <w:pPr>
        <w:pStyle w:val="6"/>
        <w:spacing w:line="240" w:lineRule="auto"/>
        <w:jc w:val="center"/>
        <w:rPr>
          <w:rFonts w:ascii="Calibri" w:hAnsi="Calibri"/>
          <w:color w:val="auto"/>
        </w:rPr>
      </w:pPr>
      <w:bookmarkStart w:id="131" w:name="_Toc3879"/>
      <w:bookmarkStart w:id="132" w:name="_Toc17511"/>
      <w:bookmarkStart w:id="133" w:name="_Toc1088"/>
      <w:bookmarkStart w:id="134" w:name="_Toc8412"/>
      <w:bookmarkStart w:id="135" w:name="_Toc8593"/>
      <w:bookmarkStart w:id="136" w:name="_Toc3976"/>
      <w:bookmarkStart w:id="137" w:name="_Toc80886937"/>
      <w:bookmarkStart w:id="138" w:name="_Toc28979"/>
      <w:r>
        <w:rPr>
          <w:rFonts w:hint="eastAsia" w:ascii="Calibri" w:hAnsi="Calibri"/>
          <w:color w:val="auto"/>
        </w:rPr>
        <w:t>第四章  评审程序、评审方法和评审标准</w:t>
      </w:r>
      <w:bookmarkEnd w:id="131"/>
      <w:bookmarkEnd w:id="132"/>
      <w:bookmarkEnd w:id="133"/>
      <w:bookmarkEnd w:id="134"/>
      <w:bookmarkEnd w:id="135"/>
      <w:bookmarkEnd w:id="136"/>
      <w:bookmarkEnd w:id="137"/>
      <w:bookmarkEnd w:id="138"/>
    </w:p>
    <w:p w14:paraId="2BD40EF0">
      <w:pPr>
        <w:pStyle w:val="7"/>
        <w:jc w:val="center"/>
        <w:rPr>
          <w:rFonts w:hint="eastAsia" w:ascii="宋体" w:hAnsi="宋体"/>
          <w:b w:val="0"/>
          <w:color w:val="auto"/>
        </w:rPr>
      </w:pPr>
      <w:bookmarkStart w:id="139" w:name="_Toc80886938"/>
      <w:bookmarkStart w:id="140" w:name="_Toc11607"/>
      <w:bookmarkStart w:id="141" w:name="_Toc17424"/>
      <w:r>
        <w:rPr>
          <w:rFonts w:hint="eastAsia" w:ascii="宋体" w:hAnsi="宋体"/>
          <w:b w:val="0"/>
          <w:color w:val="auto"/>
        </w:rPr>
        <w:t>第一节 评审程序和评审方法</w:t>
      </w:r>
      <w:bookmarkEnd w:id="139"/>
      <w:bookmarkEnd w:id="140"/>
      <w:bookmarkEnd w:id="141"/>
    </w:p>
    <w:p w14:paraId="1ADC0621">
      <w:pPr>
        <w:spacing w:line="360" w:lineRule="auto"/>
        <w:ind w:firstLine="482" w:firstLineChars="200"/>
        <w:rPr>
          <w:rFonts w:hint="eastAsia" w:ascii="黑体" w:hAnsi="黑体" w:eastAsia="黑体" w:cs="宋体"/>
          <w:b/>
          <w:bCs/>
          <w:color w:val="auto"/>
          <w:sz w:val="24"/>
        </w:rPr>
      </w:pPr>
      <w:r>
        <w:rPr>
          <w:rFonts w:ascii="黑体" w:hAnsi="黑体" w:eastAsia="黑体" w:cs="宋体"/>
          <w:b/>
          <w:bCs/>
          <w:color w:val="auto"/>
          <w:sz w:val="24"/>
        </w:rPr>
        <w:t>1</w:t>
      </w:r>
      <w:r>
        <w:rPr>
          <w:rFonts w:hint="eastAsia" w:ascii="黑体" w:hAnsi="黑体" w:eastAsia="黑体" w:cs="宋体"/>
          <w:b/>
          <w:bCs/>
          <w:color w:val="auto"/>
          <w:sz w:val="24"/>
        </w:rPr>
        <w:t>.确认磋商文件</w:t>
      </w:r>
    </w:p>
    <w:p w14:paraId="022C0E0C">
      <w:pPr>
        <w:spacing w:line="360" w:lineRule="auto"/>
        <w:ind w:firstLine="420" w:firstLineChars="200"/>
        <w:rPr>
          <w:rFonts w:cs="宋体"/>
          <w:color w:val="auto"/>
          <w:szCs w:val="21"/>
        </w:rPr>
      </w:pPr>
      <w:r>
        <w:rPr>
          <w:rFonts w:hint="eastAsia" w:cs="宋体"/>
          <w:color w:val="auto"/>
          <w:szCs w:val="21"/>
        </w:rPr>
        <w:t>由磋商小组确认磋商文件。</w:t>
      </w:r>
    </w:p>
    <w:p w14:paraId="3FE87B48">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2.资格审查</w:t>
      </w:r>
    </w:p>
    <w:p w14:paraId="6B6395B1">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2.1响应文件开启后，磋商小组依法对供应商的资格证明文件进行审查。</w:t>
      </w:r>
    </w:p>
    <w:p w14:paraId="616A372F">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注：采购人代表或者采购代理机构在资格审查结束前，对供应商进行信用查询。</w:t>
      </w:r>
    </w:p>
    <w:p w14:paraId="1E7B927A">
      <w:pPr>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（1）查询渠道：广西政府采购云平台“信用中国”网站(</w:t>
      </w:r>
      <w:r>
        <w:rPr>
          <w:color w:val="auto"/>
        </w:rPr>
        <w:fldChar w:fldCharType="begin"/>
      </w:r>
      <w:r>
        <w:rPr>
          <w:color w:val="auto"/>
        </w:rPr>
        <w:instrText xml:space="preserve"> HYPERLINK "http://www.creditchina.gov.cn" </w:instrText>
      </w:r>
      <w:r>
        <w:rPr>
          <w:color w:val="auto"/>
        </w:rPr>
        <w:fldChar w:fldCharType="separate"/>
      </w:r>
      <w:r>
        <w:rPr>
          <w:rStyle w:val="42"/>
          <w:rFonts w:hint="eastAsia" w:ascii="宋体" w:hAnsi="宋体" w:cs="宋体"/>
          <w:color w:val="auto"/>
          <w:u w:val="none"/>
        </w:rPr>
        <w:t>www.creditchina.gov.cn</w:t>
      </w:r>
      <w:r>
        <w:rPr>
          <w:rStyle w:val="42"/>
          <w:rFonts w:hint="eastAsia" w:ascii="宋体" w:hAnsi="宋体" w:cs="宋体"/>
          <w:color w:val="auto"/>
          <w:u w:val="none"/>
        </w:rPr>
        <w:fldChar w:fldCharType="end"/>
      </w:r>
      <w:r>
        <w:rPr>
          <w:rFonts w:hint="eastAsia" w:ascii="宋体" w:hAnsi="宋体" w:cs="宋体"/>
          <w:color w:val="auto"/>
          <w:szCs w:val="21"/>
        </w:rPr>
        <w:t>)、中国政府采购网(</w:t>
      </w:r>
      <w:r>
        <w:rPr>
          <w:color w:val="auto"/>
        </w:rPr>
        <w:fldChar w:fldCharType="begin"/>
      </w:r>
      <w:r>
        <w:rPr>
          <w:color w:val="auto"/>
        </w:rPr>
        <w:instrText xml:space="preserve"> HYPERLINK "http://www.ccgp.gov.cn" </w:instrText>
      </w:r>
      <w:r>
        <w:rPr>
          <w:color w:val="auto"/>
        </w:rPr>
        <w:fldChar w:fldCharType="separate"/>
      </w:r>
      <w:r>
        <w:rPr>
          <w:rStyle w:val="42"/>
          <w:rFonts w:hint="eastAsia" w:ascii="宋体" w:hAnsi="宋体" w:cs="宋体"/>
          <w:color w:val="auto"/>
          <w:u w:val="none"/>
        </w:rPr>
        <w:t>www.ccgp.gov.cn</w:t>
      </w:r>
      <w:r>
        <w:rPr>
          <w:rStyle w:val="42"/>
          <w:rFonts w:hint="eastAsia" w:ascii="宋体" w:hAnsi="宋体" w:cs="宋体"/>
          <w:color w:val="auto"/>
          <w:u w:val="none"/>
        </w:rPr>
        <w:fldChar w:fldCharType="end"/>
      </w:r>
      <w:r>
        <w:rPr>
          <w:rFonts w:hint="eastAsia" w:ascii="宋体" w:hAnsi="宋体" w:cs="宋体"/>
          <w:color w:val="auto"/>
          <w:szCs w:val="21"/>
        </w:rPr>
        <w:t>)链接入口。</w:t>
      </w:r>
    </w:p>
    <w:p w14:paraId="67F9CE51">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（2）信用查询截止时点：资格审查结束前。</w:t>
      </w:r>
    </w:p>
    <w:p w14:paraId="0D12F940">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查询记录和证据留存方式：在查询网站中直接打印查询记录，截图另存为电子文档作为评审资料保存。</w:t>
      </w:r>
    </w:p>
    <w:p w14:paraId="6E8B2257">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（3）信用信息使用规则：对在“信用中国”网站(www.creditchina.gov.cn) 、中国政府采购网(www.ccgp.gov.cn)被列入失信被执行人、重大税收违法失信主体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51450C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2.2资格审查标准为本磋商文件中载明对供应商资格要求的条件。资格审查采用合格制，凡符合磋商文件规定的供应商资格要求的响应文件均通过资格审查。</w:t>
      </w:r>
    </w:p>
    <w:p w14:paraId="2CD9F589">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2.3供应商有下列情形之一的，资格审查不通过，其响应文件按无效响应处理：</w:t>
      </w:r>
    </w:p>
    <w:p w14:paraId="1A47660A">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（1）不具备磋商文件中规定的资格要求的；</w:t>
      </w:r>
    </w:p>
    <w:p w14:paraId="07EA8BF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（2）响应文件未提供任一项“供应商须知前附表”资格证明文件规定的“必须提供”的文件资料的；</w:t>
      </w:r>
    </w:p>
    <w:p w14:paraId="61F8236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（3）响应文件提供的资格证明文件出现任一项不符合“供应商须知前附表”资格证明文件规定的“必须提供”的文件资料要求或者无效的。</w:t>
      </w:r>
    </w:p>
    <w:p w14:paraId="7002D034">
      <w:pPr>
        <w:spacing w:line="360" w:lineRule="auto"/>
        <w:ind w:firstLine="420" w:firstLineChars="200"/>
        <w:rPr>
          <w:rFonts w:hint="eastAsia" w:ascii="宋体" w:hAnsi="宋体" w:cs="宋体"/>
          <w:color w:val="auto"/>
          <w:szCs w:val="21"/>
        </w:rPr>
      </w:pPr>
      <w:bookmarkStart w:id="142" w:name="_Hlk68601553"/>
      <w:r>
        <w:rPr>
          <w:rFonts w:hint="eastAsia" w:ascii="宋体" w:hAnsi="宋体" w:cs="宋体"/>
          <w:color w:val="auto"/>
          <w:szCs w:val="21"/>
        </w:rPr>
        <w:t>（4）同一合同项下的不同供应商，单位负责人为同一人或者存在直接控股、管理关系的；为本项目提供过整体设计、规范编制或者项目管理、监理、检测等服务的。</w:t>
      </w:r>
      <w:bookmarkEnd w:id="142"/>
    </w:p>
    <w:p w14:paraId="3C935C2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2.4通过资格审查的合格供应商不足3家的，不得进入符合性审查环节，采购人或者采购代理机构应当重新开展采购活动。</w:t>
      </w:r>
    </w:p>
    <w:p w14:paraId="6215BA0E">
      <w:pPr>
        <w:spacing w:line="360" w:lineRule="auto"/>
        <w:ind w:firstLine="482" w:firstLineChars="200"/>
        <w:rPr>
          <w:rFonts w:hint="eastAsia" w:ascii="黑体" w:hAnsi="黑体" w:eastAsia="黑体" w:cs="宋体"/>
          <w:b/>
          <w:bCs/>
          <w:color w:val="auto"/>
          <w:sz w:val="24"/>
        </w:rPr>
      </w:pPr>
      <w:r>
        <w:rPr>
          <w:rFonts w:hint="eastAsia" w:ascii="黑体" w:hAnsi="黑体" w:eastAsia="黑体" w:cs="宋体"/>
          <w:b/>
          <w:bCs/>
          <w:color w:val="auto"/>
          <w:sz w:val="24"/>
        </w:rPr>
        <w:t>3.符合性审查</w:t>
      </w:r>
    </w:p>
    <w:p w14:paraId="6D1561B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3.1由磋商小组对通过资格审查的合格供应商的响应文件的响应报价、商务、技术等实质性要求进行符合性审查，以确定其是否满足磋商文件的实质性要求。</w:t>
      </w:r>
    </w:p>
    <w:p w14:paraId="23A8161C">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7AA84E0">
      <w:pPr>
        <w:spacing w:line="360" w:lineRule="auto"/>
        <w:ind w:firstLine="420" w:firstLineChars="200"/>
        <w:rPr>
          <w:rFonts w:hint="eastAsia" w:ascii="宋体" w:hAnsi="宋体" w:cs="宋体"/>
          <w:color w:val="auto"/>
          <w:spacing w:val="-6"/>
          <w:szCs w:val="21"/>
        </w:rPr>
      </w:pPr>
      <w:r>
        <w:rPr>
          <w:rFonts w:hint="eastAsia" w:ascii="宋体" w:hAnsi="宋体" w:cs="宋体"/>
          <w:color w:val="auto"/>
          <w:szCs w:val="21"/>
        </w:rPr>
        <w:t>3.3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供应商公章</w:t>
      </w:r>
      <w:r>
        <w:rPr>
          <w:rFonts w:hint="eastAsia" w:ascii="宋体" w:hAnsi="宋体" w:cs="宋体"/>
          <w:color w:val="auto"/>
          <w:spacing w:val="-6"/>
          <w:szCs w:val="21"/>
        </w:rPr>
        <w:t>。供应商为自然人的，必须由本人签字并附身份证明。</w:t>
      </w:r>
    </w:p>
    <w:p w14:paraId="33285813">
      <w:pPr>
        <w:spacing w:line="360" w:lineRule="auto"/>
        <w:ind w:firstLine="396" w:firstLineChars="200"/>
        <w:rPr>
          <w:rFonts w:hint="eastAsia" w:ascii="宋体" w:hAnsi="宋体" w:cs="宋体"/>
          <w:color w:val="auto"/>
          <w:szCs w:val="21"/>
        </w:rPr>
      </w:pPr>
      <w:r>
        <w:rPr>
          <w:rFonts w:hint="eastAsia" w:ascii="宋体" w:hAnsi="宋体" w:cs="宋体"/>
          <w:color w:val="auto"/>
          <w:spacing w:val="-6"/>
          <w:szCs w:val="21"/>
        </w:rPr>
        <w:t>3.4</w:t>
      </w:r>
      <w:r>
        <w:rPr>
          <w:rFonts w:hint="eastAsia" w:ascii="宋体" w:hAnsi="宋体" w:cs="宋体"/>
          <w:color w:val="auto"/>
          <w:szCs w:val="21"/>
        </w:rPr>
        <w:t xml:space="preserve">首次响应文件报价出现前后不一致的，按照下列规定修正： </w:t>
      </w:r>
    </w:p>
    <w:p w14:paraId="788F947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（1）响应文件中响应报价表内容与响应文件中相应内容不一致的，以响应报价表为准；</w:t>
      </w:r>
    </w:p>
    <w:p w14:paraId="192B9C7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（2）大写金额和小写金额不一致的，以大写金额为准；</w:t>
      </w:r>
    </w:p>
    <w:p w14:paraId="43BB73D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（3）单价金额小数点或者百分比有明显错位的，以响应报价表的总价为准，并修改单价；</w:t>
      </w:r>
    </w:p>
    <w:p w14:paraId="2C4A189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（4）总价金额与按单价汇总金额不一致的，以单价金额计算结果为准。</w:t>
      </w:r>
    </w:p>
    <w:p w14:paraId="6A2CB26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同时出现两种以上不一致的，按照以上（1）-（4）规定的顺序逐条进行修正。修正后的报价经供应商确认后产生约束力，供应商不确认的，其响应文件按无效响应处理。</w:t>
      </w:r>
    </w:p>
    <w:p w14:paraId="4D9CDEA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3.5商务技术、报价评审</w:t>
      </w:r>
    </w:p>
    <w:p w14:paraId="278BCA3D">
      <w:pPr>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在评审时，如发现下列情形之一的，将被视为响应文件无效处理：</w:t>
      </w:r>
    </w:p>
    <w:p w14:paraId="520A817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（1）商务技术评审</w:t>
      </w:r>
    </w:p>
    <w:p w14:paraId="7BCA4928">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1）响应文件未按磋商文件要求签署、盖章；</w:t>
      </w:r>
    </w:p>
    <w:p w14:paraId="171F785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 xml:space="preserve">2）委托代理人未能出具有效身份证明或者出具的身份证明与授权委托书中的信息不符； </w:t>
      </w:r>
    </w:p>
    <w:p w14:paraId="6F11BEE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01D4E3F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4）商务条款中标“▲”的条款发生负偏离的或者允许负偏离的条款数超过“供应商须知前附表”规定项数的或者标明实质性的要求发生负偏离；</w:t>
      </w:r>
    </w:p>
    <w:p w14:paraId="01A63EE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5）未对竞标有效期作出响应或者响应文件承诺的竞标有效期不满足磋商文件要求；</w:t>
      </w:r>
    </w:p>
    <w:p w14:paraId="457CDCD7">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6）响应文件的实质性内容未使用中文表述、使用计量单位不符合磋商文件要求；</w:t>
      </w:r>
    </w:p>
    <w:p w14:paraId="65E747C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7）响应文件中的文件资料因填写不齐全或者内容虚假或者出现其他情形而导致被磋商小组认定无效；</w:t>
      </w:r>
    </w:p>
    <w:p w14:paraId="4BFF1D3E">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8）响应文件含有采购人不能接受的附加条件；</w:t>
      </w:r>
    </w:p>
    <w:p w14:paraId="0DA6611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9）属于“供应商须知正文”第7.5条情形；</w:t>
      </w:r>
    </w:p>
    <w:p w14:paraId="5D5E4D4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10）技术需求允许负偏离的条款数超过“供应商须知前附表”规定项数；</w:t>
      </w:r>
    </w:p>
    <w:p w14:paraId="3F66E56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11）虚假竞标，或者出现其他情形而导致被磋商小组认定无效；</w:t>
      </w:r>
    </w:p>
    <w:p w14:paraId="05391CA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12）竞标技术方案不明确，磋商文件未允许但响应文件中存在一个或者一个以上备选（替代）竞标方案；</w:t>
      </w:r>
    </w:p>
    <w:p w14:paraId="3F32DA1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13）响应文件标注的项目名称或者项目编号与竞争性磋商文件标注的项目名称或者项目编号不一致的；</w:t>
      </w:r>
    </w:p>
    <w:p w14:paraId="5E1536E3">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14）未响应磋商文件实质性要求；</w:t>
      </w:r>
    </w:p>
    <w:p w14:paraId="75341D88">
      <w:pPr>
        <w:pStyle w:val="2"/>
        <w:ind w:firstLine="420" w:firstLineChars="200"/>
        <w:rPr>
          <w:rFonts w:hint="eastAsia" w:ascii="宋体" w:hAnsi="宋体" w:cs="宋体"/>
          <w:color w:val="auto"/>
        </w:rPr>
      </w:pPr>
      <w:r>
        <w:rPr>
          <w:rFonts w:hint="eastAsia" w:ascii="宋体" w:hAnsi="宋体" w:cs="宋体"/>
          <w:color w:val="auto"/>
          <w:szCs w:val="21"/>
        </w:rPr>
        <w:t>15）提交的磋商保证金无效的或者未按照磋商文件的规定提交磋商保证金；</w:t>
      </w:r>
    </w:p>
    <w:p w14:paraId="2C1A20C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16）法律、法规和磋商文件规定的其他无效情形。</w:t>
      </w:r>
    </w:p>
    <w:p w14:paraId="6A5ABAC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（2）报价评审</w:t>
      </w:r>
    </w:p>
    <w:p w14:paraId="12F143B3">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 响应文件未提供“供应商须知前附表” 报价文件中规定的“响应报价表”；</w:t>
      </w:r>
    </w:p>
    <w:p w14:paraId="7566580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2）未采用人民币报价或者未按照磋商文件标明的币种报价；</w:t>
      </w:r>
    </w:p>
    <w:p w14:paraId="121635B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供应商未就所竞标项目/分标进行报价或者存在漏项报价；供应商未就所竞标项目/分标的单项内容作唯一报价；供应商未就所竞标项目/分标的全部内容作唯一总价报价；供应商响应文件中存在有选择、有条件报价的（磋商文件允许有备选方案或者其他约定的除外）；</w:t>
      </w:r>
    </w:p>
    <w:p w14:paraId="59C2178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响应报价（包含首次报价、最后报价）超过所竞标项目/分标规定的采购预算金额或者最高限价的（如本项目公布了最高限价）；响应报价（包含首次报价、最后报价）超过磋商文件分项采购预算金额或者最高限价的（如本项目公布了最高限价）；</w:t>
      </w:r>
    </w:p>
    <w:p w14:paraId="1759A47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修正后的报价，供应商不确认的；或者经供应商确认修正后的响应报价（包含首次报价、最后报价）超过所竞标项目/分标规定的采购预算金额或者最高限价（如本项目公布了最高限价）；或者经供应商确认修正后响应报价（包含首次报价、最后报价）超过磋商文件分项采购预算金额或者最高限价的（如本项目公布了最高限价）。</w:t>
      </w:r>
    </w:p>
    <w:p w14:paraId="5996EDB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6）响应文件响应的标的数量及单位与竞争性磋商文件要求实质性不一致的。</w:t>
      </w:r>
    </w:p>
    <w:p w14:paraId="059B176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4D2E8B1C">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76620368">
      <w:pPr>
        <w:ind w:firstLine="482" w:firstLineChars="200"/>
        <w:rPr>
          <w:rFonts w:hint="eastAsia" w:ascii="宋体" w:hAnsi="宋体" w:cs="宋体"/>
          <w:b/>
          <w:bCs/>
          <w:color w:val="auto"/>
          <w:sz w:val="24"/>
        </w:rPr>
      </w:pPr>
      <w:r>
        <w:rPr>
          <w:rFonts w:hint="eastAsia" w:ascii="宋体" w:hAnsi="宋体" w:cs="宋体"/>
          <w:b/>
          <w:bCs/>
          <w:color w:val="auto"/>
          <w:sz w:val="24"/>
        </w:rPr>
        <w:t>4.磋商程序</w:t>
      </w:r>
    </w:p>
    <w:p w14:paraId="1442416D">
      <w:pPr>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4.1磋商小组按照“供应商须知前附表”确定的</w:t>
      </w:r>
      <w:r>
        <w:rPr>
          <w:rFonts w:hint="eastAsia" w:ascii="宋体" w:hAnsi="宋体" w:cs="宋体"/>
          <w:color w:val="auto"/>
          <w:szCs w:val="21"/>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7EC6235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85B94A3">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4.3对磋商文件作出的实质性变动是磋商文件的有效组成部分，由磋商小组及时以电子澄清函形式同时通知所有参加磋商的供应商。</w:t>
      </w:r>
    </w:p>
    <w:p w14:paraId="253C1B4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4.4供应商必须按照磋商文件的变动情况和磋商小组的要求以回函的形式重新提交响应文件，并加盖供应商公章。供应商为自然人的，必须由本人签字并附身份证明。参加磋商的供应商未在规定时间内重新提交响应文件的，视同退出磋商。</w:t>
      </w:r>
    </w:p>
    <w:p w14:paraId="5451F01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4.5磋商中，</w:t>
      </w:r>
      <w:r>
        <w:rPr>
          <w:rFonts w:hint="eastAsia" w:ascii="宋体" w:hAnsi="宋体" w:cs="宋体"/>
          <w:color w:val="auto"/>
          <w:spacing w:val="-6"/>
          <w:szCs w:val="21"/>
        </w:rPr>
        <w:t>磋商的任何一方不得透露与磋商有关的其他供应商的技术资料、价格和其他信息。</w:t>
      </w:r>
    </w:p>
    <w:p w14:paraId="1FAD88F0">
      <w:pPr>
        <w:widowControl/>
        <w:tabs>
          <w:tab w:val="left" w:pos="540"/>
        </w:tabs>
        <w:spacing w:line="360" w:lineRule="auto"/>
        <w:ind w:firstLine="420" w:firstLineChars="200"/>
        <w:jc w:val="left"/>
        <w:rPr>
          <w:rFonts w:hint="eastAsia" w:ascii="宋体" w:hAnsi="宋体" w:cs="宋体"/>
          <w:b/>
          <w:color w:val="auto"/>
        </w:rPr>
      </w:pPr>
      <w:r>
        <w:rPr>
          <w:rFonts w:hint="eastAsia" w:ascii="宋体" w:hAnsi="宋体" w:cs="宋体"/>
          <w:color w:val="auto"/>
          <w:szCs w:val="21"/>
        </w:rPr>
        <w:t>4.6磋商小组应对磋商过程和重要磋商内容进行记录，作为评审报告一部分，磋商小组在记录上签字确认。</w:t>
      </w:r>
      <w:r>
        <w:rPr>
          <w:rFonts w:hint="eastAsia" w:ascii="宋体" w:hAnsi="宋体" w:cs="宋体"/>
          <w:b/>
          <w:color w:val="auto"/>
        </w:rPr>
        <w:t>主要内容包括：</w:t>
      </w:r>
    </w:p>
    <w:p w14:paraId="71136882">
      <w:pPr>
        <w:pStyle w:val="71"/>
        <w:spacing w:before="0"/>
        <w:ind w:firstLine="396"/>
        <w:rPr>
          <w:rFonts w:hint="eastAsia" w:ascii="宋体" w:hAnsi="宋体" w:cs="宋体"/>
          <w:color w:val="auto"/>
          <w:spacing w:val="-6"/>
          <w:kern w:val="2"/>
          <w:sz w:val="21"/>
          <w:szCs w:val="21"/>
        </w:rPr>
      </w:pPr>
      <w:r>
        <w:rPr>
          <w:rFonts w:hint="eastAsia" w:ascii="宋体" w:hAnsi="宋体" w:cs="宋体"/>
          <w:color w:val="auto"/>
          <w:spacing w:val="-6"/>
          <w:kern w:val="2"/>
          <w:sz w:val="21"/>
          <w:szCs w:val="21"/>
        </w:rPr>
        <w:t>（1）按照相关规定进行公示的，公示情况说明；</w:t>
      </w:r>
    </w:p>
    <w:p w14:paraId="62A76AA9">
      <w:pPr>
        <w:pStyle w:val="71"/>
        <w:spacing w:before="0"/>
        <w:ind w:firstLine="396"/>
        <w:rPr>
          <w:rFonts w:hint="eastAsia" w:ascii="宋体" w:hAnsi="宋体" w:cs="宋体"/>
          <w:color w:val="auto"/>
          <w:spacing w:val="-6"/>
          <w:kern w:val="2"/>
          <w:sz w:val="21"/>
          <w:szCs w:val="21"/>
        </w:rPr>
      </w:pPr>
      <w:r>
        <w:rPr>
          <w:rFonts w:hint="eastAsia" w:ascii="宋体" w:hAnsi="宋体" w:cs="宋体"/>
          <w:color w:val="auto"/>
          <w:spacing w:val="-6"/>
          <w:kern w:val="2"/>
          <w:sz w:val="21"/>
          <w:szCs w:val="21"/>
        </w:rPr>
        <w:t>（2）磋商日期和地点，磋商人员名单；</w:t>
      </w:r>
    </w:p>
    <w:p w14:paraId="6041E7D3">
      <w:pPr>
        <w:pStyle w:val="71"/>
        <w:spacing w:before="0"/>
        <w:ind w:firstLine="396"/>
        <w:rPr>
          <w:rFonts w:hint="eastAsia" w:ascii="宋体" w:hAnsi="宋体" w:cs="宋体"/>
          <w:color w:val="auto"/>
          <w:spacing w:val="-6"/>
          <w:kern w:val="2"/>
          <w:sz w:val="21"/>
          <w:szCs w:val="21"/>
        </w:rPr>
      </w:pPr>
      <w:r>
        <w:rPr>
          <w:rFonts w:hint="eastAsia" w:ascii="宋体" w:hAnsi="宋体" w:cs="宋体"/>
          <w:color w:val="auto"/>
          <w:spacing w:val="-6"/>
          <w:kern w:val="2"/>
          <w:sz w:val="21"/>
          <w:szCs w:val="21"/>
        </w:rPr>
        <w:t>（3）合同主要条款及价格商定情况。</w:t>
      </w:r>
    </w:p>
    <w:p w14:paraId="192EEA44">
      <w:pPr>
        <w:widowControl/>
        <w:tabs>
          <w:tab w:val="left" w:pos="540"/>
        </w:tabs>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4.7磋商过程中重新提交的响应文件，供应商可以在开启前补充、修改。</w:t>
      </w:r>
    </w:p>
    <w:p w14:paraId="6BA4E979">
      <w:pPr>
        <w:tabs>
          <w:tab w:val="left" w:pos="2835"/>
        </w:tabs>
        <w:spacing w:line="360" w:lineRule="auto"/>
        <w:ind w:firstLine="420" w:firstLineChars="200"/>
        <w:rPr>
          <w:rFonts w:hint="eastAsia" w:ascii="宋体" w:hAnsi="宋体" w:cs="宋体"/>
          <w:color w:val="auto"/>
          <w:szCs w:val="21"/>
        </w:rPr>
      </w:pPr>
      <w:r>
        <w:rPr>
          <w:rFonts w:hint="eastAsia" w:ascii="宋体" w:hAnsi="宋体" w:cs="宋体"/>
          <w:color w:val="auto"/>
          <w:szCs w:val="21"/>
        </w:rPr>
        <w:t>4.8对磋商过程提交的响应文件进行有效性、完整性和响应程度审查，通过审查的合格供应商不足3家的，采购人或者采购代理机构应当重新开展采购活动。</w:t>
      </w:r>
    </w:p>
    <w:p w14:paraId="0865FA65">
      <w:pPr>
        <w:ind w:firstLine="200"/>
        <w:rPr>
          <w:rFonts w:hint="eastAsia" w:ascii="宋体" w:hAnsi="宋体" w:cs="宋体"/>
          <w:color w:val="auto"/>
          <w:szCs w:val="21"/>
        </w:rPr>
      </w:pPr>
      <w:r>
        <w:rPr>
          <w:rFonts w:hint="eastAsia" w:ascii="宋体" w:hAnsi="宋体" w:cs="宋体"/>
          <w:b/>
          <w:bCs/>
          <w:color w:val="auto"/>
          <w:sz w:val="24"/>
        </w:rPr>
        <w:t>5. 最后报价</w:t>
      </w:r>
    </w:p>
    <w:p w14:paraId="61E43D9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56FED84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51B5C718">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30A1C52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5.4已经提交响应文件的供应商，在提交最后报价之前，可以根据磋商情况退出磋商，退出磋商的供应商的响应文件按无效响应处理。</w:t>
      </w:r>
    </w:p>
    <w:p w14:paraId="2F91DA8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5.5供应商未在规定时间内提交最后报价的，视同退出磋商，其响应文件按无效处理。</w:t>
      </w:r>
    </w:p>
    <w:p w14:paraId="28DD490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5.6磋商小组收齐本项目/某一分标最后报价后统一开启，磋商小组对最后报价进行有效性、完整性和响应程度的审查。</w:t>
      </w:r>
    </w:p>
    <w:p w14:paraId="592FBD1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 xml:space="preserve">5.7最终响应文件的报价出现前后不一致的，按照本章第3.4条的规定修正。 </w:t>
      </w:r>
    </w:p>
    <w:p w14:paraId="12B9107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5.8修正后的最后报价出现下列情形的，按无效响应处理：</w:t>
      </w:r>
    </w:p>
    <w:p w14:paraId="11A3675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（1）供应商不确认的（全流程电子化评标采取在线确认）；</w:t>
      </w:r>
    </w:p>
    <w:p w14:paraId="5075AE0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（2）经供应商确认修正后的响应报价（包含首次报价、最后报价）超过所竞标项目/分标规定的采购预算金额或者最高限价的（如本项目公布了最高限价）；</w:t>
      </w:r>
    </w:p>
    <w:p w14:paraId="12FAB81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（3）经供应商确认修正后的响应报价（包含首次报价、最后报价）超过分项采购预算金额或者最高限价的（如本项目公布了最高限价）。</w:t>
      </w:r>
    </w:p>
    <w:p w14:paraId="450A914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5.9经供应商确认修正后的最后报价作为评审及签订合同的依据。</w:t>
      </w:r>
    </w:p>
    <w:p w14:paraId="5D07D18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5.10供应商出现最后报价按无效响应处理或者响应文件按无效处理时</w:t>
      </w:r>
      <w:r>
        <w:rPr>
          <w:rFonts w:hint="eastAsia" w:ascii="宋体" w:hAnsi="宋体" w:cs="宋体"/>
          <w:color w:val="auto"/>
          <w:sz w:val="22"/>
          <w:szCs w:val="22"/>
        </w:rPr>
        <w:t>，磋商小组应当告知有关供应商</w:t>
      </w:r>
      <w:r>
        <w:rPr>
          <w:rFonts w:hint="eastAsia" w:ascii="宋体" w:hAnsi="宋体" w:cs="宋体"/>
          <w:color w:val="auto"/>
          <w:szCs w:val="21"/>
        </w:rPr>
        <w:t>。</w:t>
      </w:r>
    </w:p>
    <w:p w14:paraId="4D3901A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5.11最后报价结束后，磋商小组不得再与供应商进行任何形式的商谈。</w:t>
      </w:r>
    </w:p>
    <w:p w14:paraId="71C61495">
      <w:pPr>
        <w:pStyle w:val="25"/>
        <w:spacing w:line="360" w:lineRule="auto"/>
        <w:ind w:firstLine="422" w:firstLineChars="200"/>
        <w:rPr>
          <w:rFonts w:hint="eastAsia" w:ascii="宋体" w:hAnsi="宋体" w:cs="宋体"/>
          <w:b/>
          <w:bCs/>
          <w:color w:val="auto"/>
          <w:sz w:val="21"/>
          <w:szCs w:val="21"/>
          <w:lang w:val="zh-CN"/>
        </w:rPr>
      </w:pPr>
      <w:r>
        <w:rPr>
          <w:rFonts w:hint="eastAsia" w:ascii="宋体" w:hAnsi="宋体" w:cs="宋体"/>
          <w:b/>
          <w:bCs/>
          <w:color w:val="auto"/>
          <w:sz w:val="21"/>
          <w:szCs w:val="21"/>
        </w:rPr>
        <w:t>注：</w:t>
      </w:r>
      <w:r>
        <w:rPr>
          <w:rFonts w:hint="eastAsia"/>
          <w:b/>
          <w:bCs/>
          <w:color w:val="auto"/>
          <w:sz w:val="21"/>
          <w:szCs w:val="21"/>
        </w:rPr>
        <w:t>如磋商小组要求提供最后报价附件的，需按规定的时间提供。最后报价有时间限制，供应商可参照竞争性磋商文件“第五章 响应文件格式”报价表提前准备，以免耽误最后报价</w:t>
      </w:r>
      <w:r>
        <w:rPr>
          <w:rFonts w:hint="eastAsia" w:ascii="宋体" w:hAnsi="宋体" w:cs="宋体"/>
          <w:b/>
          <w:bCs/>
          <w:color w:val="auto"/>
          <w:sz w:val="21"/>
          <w:szCs w:val="21"/>
          <w:lang w:val="zh-CN"/>
        </w:rPr>
        <w:t>。</w:t>
      </w:r>
    </w:p>
    <w:p w14:paraId="09253C89">
      <w:pPr>
        <w:pStyle w:val="25"/>
        <w:spacing w:line="360" w:lineRule="auto"/>
        <w:ind w:firstLine="422" w:firstLineChars="200"/>
        <w:rPr>
          <w:rFonts w:hint="eastAsia"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6、</w:t>
      </w:r>
      <w:r>
        <w:rPr>
          <w:rFonts w:hint="eastAsia" w:ascii="黑体" w:hAnsi="黑体" w:eastAsia="黑体" w:cs="宋体"/>
          <w:b/>
          <w:bCs/>
          <w:color w:val="auto"/>
          <w:kern w:val="2"/>
          <w:sz w:val="24"/>
          <w:szCs w:val="24"/>
          <w:lang w:val="en-US" w:eastAsia="zh-CN" w:bidi="ar-SA"/>
        </w:rPr>
        <w:t>实施本国产品标准及相关政策：</w:t>
      </w:r>
    </w:p>
    <w:p w14:paraId="548BDFBD">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6.1</w:t>
      </w:r>
      <w:r>
        <w:rPr>
          <w:rFonts w:hint="eastAsia" w:ascii="宋体" w:hAnsi="宋体" w:eastAsia="宋体" w:cs="宋体"/>
          <w:bCs/>
          <w:color w:val="auto"/>
          <w:szCs w:val="21"/>
          <w:highlight w:val="none"/>
        </w:rPr>
        <w:t>本国产品标准</w:t>
      </w:r>
    </w:p>
    <w:p w14:paraId="3AD43715">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本国产品应当符合以下条件：</w:t>
      </w:r>
    </w:p>
    <w:p w14:paraId="7869D4DA">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在中国境内生产</w:t>
      </w:r>
    </w:p>
    <w:p w14:paraId="0698B862">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产品应当在中国境内生产，即在中华人民共和国关</w:t>
      </w:r>
      <w:r>
        <w:rPr>
          <w:rFonts w:hint="eastAsia" w:ascii="宋体" w:hAnsi="宋体" w:cs="宋体"/>
          <w:bCs/>
          <w:color w:val="auto"/>
          <w:szCs w:val="21"/>
          <w:highlight w:val="none"/>
          <w:lang w:val="en-US" w:eastAsia="zh-CN"/>
        </w:rPr>
        <w:t>7</w:t>
      </w:r>
      <w:r>
        <w:rPr>
          <w:rFonts w:hint="eastAsia" w:ascii="宋体" w:hAnsi="宋体" w:eastAsia="宋体" w:cs="宋体"/>
          <w:bCs/>
          <w:color w:val="auto"/>
          <w:szCs w:val="21"/>
          <w:highlight w:val="none"/>
        </w:rPr>
        <w:t>境内实现从原材料、组件到产品的属性改变。</w:t>
      </w:r>
    </w:p>
    <w:p w14:paraId="12D1860B">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属性改变是指经过制造、加工或者组装等工序，产生完全不同于原材料、组件的新产品，并具有新的名称和特征(用途)。属性改变不包括以下细微操作：</w:t>
      </w:r>
    </w:p>
    <w:p w14:paraId="64BD04D3">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①</w:t>
      </w:r>
      <w:r>
        <w:rPr>
          <w:rFonts w:hint="eastAsia" w:ascii="宋体" w:hAnsi="宋体" w:eastAsia="宋体" w:cs="宋体"/>
          <w:bCs/>
          <w:color w:val="auto"/>
          <w:szCs w:val="21"/>
          <w:highlight w:val="none"/>
        </w:rPr>
        <w:t>为确保产品在运输或者储存期间保持某种状态而进行的操作</w:t>
      </w:r>
      <w:r>
        <w:rPr>
          <w:rFonts w:hint="eastAsia" w:ascii="宋体" w:hAnsi="宋体" w:eastAsia="宋体" w:cs="宋体"/>
          <w:bCs/>
          <w:color w:val="auto"/>
          <w:szCs w:val="21"/>
          <w:highlight w:val="none"/>
          <w:lang w:eastAsia="zh-CN"/>
        </w:rPr>
        <w:t>；</w:t>
      </w:r>
    </w:p>
    <w:p w14:paraId="7AACECA1">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②</w:t>
      </w:r>
      <w:r>
        <w:rPr>
          <w:rFonts w:hint="eastAsia" w:ascii="宋体" w:hAnsi="宋体" w:eastAsia="宋体" w:cs="宋体"/>
          <w:bCs/>
          <w:color w:val="auto"/>
          <w:szCs w:val="21"/>
          <w:highlight w:val="none"/>
        </w:rPr>
        <w:t>为产品运输或者销售进行的包装或者展示</w:t>
      </w:r>
      <w:r>
        <w:rPr>
          <w:rFonts w:hint="eastAsia" w:ascii="宋体" w:hAnsi="宋体" w:eastAsia="宋体" w:cs="宋体"/>
          <w:bCs/>
          <w:color w:val="auto"/>
          <w:szCs w:val="21"/>
          <w:highlight w:val="none"/>
          <w:lang w:eastAsia="zh-CN"/>
        </w:rPr>
        <w:t>；</w:t>
      </w:r>
    </w:p>
    <w:p w14:paraId="797D6791">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③</w:t>
      </w:r>
      <w:r>
        <w:rPr>
          <w:rFonts w:hint="eastAsia" w:ascii="宋体" w:hAnsi="宋体" w:eastAsia="宋体" w:cs="宋体"/>
          <w:bCs/>
          <w:color w:val="auto"/>
          <w:szCs w:val="21"/>
          <w:highlight w:val="none"/>
        </w:rPr>
        <w:t>在产品或者其包装上粘贴或者印刷品牌、标志、标识以及其他用于区别的标记</w:t>
      </w:r>
      <w:r>
        <w:rPr>
          <w:rFonts w:hint="eastAsia" w:ascii="宋体" w:hAnsi="宋体" w:eastAsia="宋体" w:cs="宋体"/>
          <w:bCs/>
          <w:color w:val="auto"/>
          <w:szCs w:val="21"/>
          <w:highlight w:val="none"/>
          <w:lang w:eastAsia="zh-CN"/>
        </w:rPr>
        <w:t>；</w:t>
      </w:r>
    </w:p>
    <w:p w14:paraId="7AFBF0F2">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④</w:t>
      </w:r>
      <w:r>
        <w:rPr>
          <w:rFonts w:hint="eastAsia" w:ascii="宋体" w:hAnsi="宋体" w:eastAsia="宋体" w:cs="宋体"/>
          <w:bCs/>
          <w:color w:val="auto"/>
          <w:szCs w:val="21"/>
          <w:highlight w:val="none"/>
        </w:rPr>
        <w:t>简单的上漆、磨光和分装</w:t>
      </w:r>
      <w:r>
        <w:rPr>
          <w:rFonts w:hint="eastAsia" w:ascii="宋体" w:hAnsi="宋体" w:eastAsia="宋体" w:cs="宋体"/>
          <w:bCs/>
          <w:color w:val="auto"/>
          <w:szCs w:val="21"/>
          <w:highlight w:val="none"/>
          <w:lang w:eastAsia="zh-CN"/>
        </w:rPr>
        <w:t>；</w:t>
      </w:r>
    </w:p>
    <w:p w14:paraId="64E73678">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⑤</w:t>
      </w:r>
      <w:r>
        <w:rPr>
          <w:rFonts w:hint="eastAsia" w:ascii="宋体" w:hAnsi="宋体" w:eastAsia="宋体" w:cs="宋体"/>
          <w:bCs/>
          <w:color w:val="auto"/>
          <w:szCs w:val="21"/>
          <w:highlight w:val="none"/>
        </w:rPr>
        <w:t>其他不属于属性改变的情形。</w:t>
      </w:r>
    </w:p>
    <w:p w14:paraId="36FC00B6">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在中国境内生产的组件成本占比达到规定比例</w:t>
      </w:r>
    </w:p>
    <w:p w14:paraId="4D3FD29D">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产品在中国境内生产的组件成本占比应当达到规定比例，计算公式为：</w:t>
      </w:r>
    </w:p>
    <w:p w14:paraId="7E26F2DC">
      <w:pPr>
        <w:widowControl/>
        <w:shd w:val="clear" w:color="auto"/>
        <w:spacing w:line="360" w:lineRule="atLeast"/>
        <w:jc w:val="center"/>
        <w:textAlignment w:val="baseline"/>
        <w:rPr>
          <w:rFonts w:hint="eastAsia" w:ascii="微软雅黑" w:hAnsi="微软雅黑" w:eastAsia="微软雅黑" w:cs="宋体"/>
          <w:color w:val="auto"/>
          <w:kern w:val="0"/>
          <w:sz w:val="24"/>
          <w:szCs w:val="24"/>
          <w:highlight w:val="none"/>
        </w:rPr>
      </w:pPr>
      <w:r>
        <w:rPr>
          <w:rFonts w:ascii="微软雅黑" w:hAnsi="微软雅黑" w:eastAsia="微软雅黑" w:cs="宋体"/>
          <w:color w:val="auto"/>
          <w:kern w:val="0"/>
          <w:sz w:val="24"/>
          <w:szCs w:val="24"/>
          <w:highlight w:val="none"/>
        </w:rPr>
        <w:drawing>
          <wp:inline distT="0" distB="0" distL="114300" distR="114300">
            <wp:extent cx="4829175" cy="762000"/>
            <wp:effectExtent l="0" t="0" r="9525" b="0"/>
            <wp:docPr id="5" name="图片 5" descr="https://hainan.chinatax.gov.cn/u/cms/www/202510/090841112j4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https://hainan.chinatax.gov.cn/u/cms/www/202510/090841112j4q.jpg"/>
                    <pic:cNvPicPr>
                      <a:picLocks noChangeAspect="1"/>
                    </pic:cNvPicPr>
                  </pic:nvPicPr>
                  <pic:blipFill>
                    <a:blip r:embed="rId13"/>
                    <a:stretch>
                      <a:fillRect/>
                    </a:stretch>
                  </pic:blipFill>
                  <pic:spPr>
                    <a:xfrm>
                      <a:off x="0" y="0"/>
                      <a:ext cx="4829175" cy="762000"/>
                    </a:xfrm>
                    <a:prstGeom prst="rect">
                      <a:avLst/>
                    </a:prstGeom>
                    <a:noFill/>
                    <a:ln>
                      <a:noFill/>
                    </a:ln>
                  </pic:spPr>
                </pic:pic>
              </a:graphicData>
            </a:graphic>
          </wp:inline>
        </w:drawing>
      </w:r>
    </w:p>
    <w:p w14:paraId="4B0623FB">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14873B05">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特定产品的关键组件、关键工序符合相关要求</w:t>
      </w:r>
    </w:p>
    <w:p w14:paraId="60E48FB4">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对特定产品，在符合本通知第一条第(一)项和第(二)项条件的基础上，应当符合财政部会同有关行业主管部门确定的其关键组件、关键工序在中国境内生产、完成等要求。</w:t>
      </w:r>
    </w:p>
    <w:p w14:paraId="4980F205">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101C78C5">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6.2</w:t>
      </w:r>
      <w:r>
        <w:rPr>
          <w:rFonts w:hint="eastAsia" w:ascii="宋体" w:hAnsi="宋体" w:eastAsia="宋体" w:cs="宋体"/>
          <w:bCs/>
          <w:color w:val="auto"/>
          <w:szCs w:val="21"/>
          <w:highlight w:val="none"/>
        </w:rPr>
        <w:t>本国产品标准的适用范围</w:t>
      </w:r>
    </w:p>
    <w:p w14:paraId="05491BD2">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9920AF1">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6.3</w:t>
      </w:r>
      <w:r>
        <w:rPr>
          <w:rFonts w:hint="eastAsia" w:ascii="宋体" w:hAnsi="宋体" w:eastAsia="宋体" w:cs="宋体"/>
          <w:bCs/>
          <w:color w:val="auto"/>
          <w:szCs w:val="21"/>
          <w:highlight w:val="none"/>
        </w:rPr>
        <w:t>对本国产品的支持政策</w:t>
      </w:r>
    </w:p>
    <w:p w14:paraId="1C604043">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政府采购活动中既有本国产品又有非本国产品参与竞争的，依法对本国产品给予价格评审优惠，对本国产品的报价给予20%的价格扣除，用扣除后的价格参与评审。</w:t>
      </w:r>
    </w:p>
    <w:p w14:paraId="0E4AACC2">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527A362">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6.4</w:t>
      </w:r>
      <w:r>
        <w:rPr>
          <w:rFonts w:hint="eastAsia" w:ascii="宋体" w:hAnsi="宋体" w:eastAsia="宋体" w:cs="宋体"/>
          <w:bCs/>
          <w:color w:val="auto"/>
          <w:szCs w:val="21"/>
          <w:highlight w:val="none"/>
        </w:rPr>
        <w:t>政策执行要求</w:t>
      </w:r>
    </w:p>
    <w:p w14:paraId="032DB156">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产品在中国境内生产的组件成本核算规则。产品在中国境内生产的组件成本，按照《中国境内生产的组件成本核算基本规则》计算。</w:t>
      </w:r>
    </w:p>
    <w:p w14:paraId="1E43A946">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有关证明文件。采购人、采购代理机构应当在采购文件中明确要求供应商对其提供的产品出具《关于符合本国产品标准的声明函》(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3EF0CED3">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采购人、采购代理机构应当随中标、成交结果同时公告中标、成交供应商提供的《声明函》或有关证明文件。</w:t>
      </w:r>
    </w:p>
    <w:p w14:paraId="48D92767">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359CA731">
      <w:pPr>
        <w:shd w:val="clear"/>
        <w:spacing w:line="360" w:lineRule="auto"/>
        <w:ind w:firstLine="420" w:firstLineChars="200"/>
        <w:rPr>
          <w:rFonts w:hint="eastAsia" w:ascii="宋体" w:hAnsi="宋体" w:cs="宋体"/>
          <w:b/>
          <w:bCs/>
          <w:color w:val="auto"/>
          <w:sz w:val="21"/>
          <w:szCs w:val="21"/>
          <w:lang w:val="zh-CN"/>
        </w:rPr>
      </w:pP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中华人民共和国缔结或者共同参加的国际条约、协定对政府采购中本国产品政策另有规定的，按照有关条约、协定执行。</w:t>
      </w:r>
    </w:p>
    <w:p w14:paraId="4F5EE03D">
      <w:pPr>
        <w:ind w:firstLine="200"/>
        <w:rPr>
          <w:rFonts w:hint="eastAsia" w:ascii="黑体" w:hAnsi="黑体" w:eastAsia="黑体" w:cs="宋体"/>
          <w:b/>
          <w:bCs/>
          <w:color w:val="auto"/>
          <w:sz w:val="24"/>
        </w:rPr>
      </w:pPr>
      <w:r>
        <w:rPr>
          <w:rFonts w:hint="eastAsia" w:ascii="黑体" w:hAnsi="黑体" w:eastAsia="黑体" w:cs="宋体"/>
          <w:b/>
          <w:bCs/>
          <w:color w:val="auto"/>
          <w:sz w:val="24"/>
          <w:lang w:val="en-US" w:eastAsia="zh-CN"/>
        </w:rPr>
        <w:t>7</w:t>
      </w:r>
      <w:r>
        <w:rPr>
          <w:rFonts w:ascii="黑体" w:hAnsi="黑体" w:eastAsia="黑体" w:cs="宋体"/>
          <w:b/>
          <w:bCs/>
          <w:color w:val="auto"/>
          <w:sz w:val="24"/>
        </w:rPr>
        <w:t>.</w:t>
      </w:r>
      <w:r>
        <w:rPr>
          <w:rFonts w:hint="eastAsia" w:ascii="黑体" w:hAnsi="黑体" w:eastAsia="黑体" w:cs="宋体"/>
          <w:b/>
          <w:bCs/>
          <w:color w:val="auto"/>
          <w:sz w:val="24"/>
        </w:rPr>
        <w:t>比较与评价</w:t>
      </w:r>
    </w:p>
    <w:p w14:paraId="581A49A0">
      <w:pPr>
        <w:spacing w:line="360" w:lineRule="auto"/>
        <w:ind w:firstLine="420" w:firstLineChars="200"/>
        <w:rPr>
          <w:rFonts w:hint="eastAsia" w:ascii="宋体" w:hAnsi="宋体" w:cs="宋体"/>
          <w:color w:val="auto"/>
          <w:szCs w:val="21"/>
        </w:rPr>
      </w:pPr>
      <w:r>
        <w:rPr>
          <w:rFonts w:hint="eastAsia" w:ascii="宋体" w:hAnsi="宋体" w:cs="宋体"/>
          <w:color w:val="auto"/>
          <w:szCs w:val="21"/>
          <w:lang w:val="en-US" w:eastAsia="zh-CN"/>
        </w:rPr>
        <w:t>7</w:t>
      </w:r>
      <w:r>
        <w:rPr>
          <w:rFonts w:hint="eastAsia" w:ascii="宋体" w:hAnsi="宋体" w:cs="宋体"/>
          <w:color w:val="auto"/>
          <w:szCs w:val="21"/>
        </w:rPr>
        <w:t>.1评审方法：综合评分法。</w:t>
      </w:r>
    </w:p>
    <w:p w14:paraId="4B042498">
      <w:pPr>
        <w:spacing w:line="360" w:lineRule="auto"/>
        <w:ind w:firstLine="420" w:firstLineChars="200"/>
        <w:rPr>
          <w:rFonts w:hint="eastAsia" w:ascii="宋体" w:hAnsi="宋体" w:cs="宋体"/>
          <w:color w:val="auto"/>
          <w:szCs w:val="21"/>
        </w:rPr>
      </w:pPr>
      <w:r>
        <w:rPr>
          <w:rFonts w:hint="eastAsia" w:ascii="宋体" w:hAnsi="宋体" w:cs="宋体"/>
          <w:color w:val="auto"/>
          <w:szCs w:val="21"/>
          <w:lang w:val="en-US" w:eastAsia="zh-CN"/>
        </w:rPr>
        <w:t>7</w:t>
      </w:r>
      <w:r>
        <w:rPr>
          <w:rFonts w:hint="eastAsia" w:ascii="宋体" w:hAnsi="宋体" w:cs="宋体"/>
          <w:color w:val="auto"/>
          <w:szCs w:val="21"/>
        </w:rPr>
        <w:t>.2经磋商确定最终采购需求和提交最后报价的供应商后，由磋商小组采用综合评分法对提交最后报价的供应商的响应文件和最后报价进行综合评分。</w:t>
      </w:r>
    </w:p>
    <w:p w14:paraId="087632AB">
      <w:pPr>
        <w:spacing w:line="360" w:lineRule="auto"/>
        <w:ind w:firstLine="420" w:firstLineChars="200"/>
        <w:rPr>
          <w:rFonts w:hint="eastAsia" w:ascii="宋体" w:hAnsi="宋体" w:cs="宋体"/>
          <w:color w:val="auto"/>
          <w:szCs w:val="21"/>
        </w:rPr>
      </w:pPr>
      <w:r>
        <w:rPr>
          <w:rFonts w:hint="eastAsia" w:ascii="宋体" w:hAnsi="宋体" w:cs="宋体"/>
          <w:color w:val="auto"/>
          <w:szCs w:val="21"/>
          <w:lang w:val="en-US" w:eastAsia="zh-CN"/>
        </w:rPr>
        <w:t>7</w:t>
      </w:r>
      <w:r>
        <w:rPr>
          <w:rFonts w:hint="eastAsia" w:ascii="宋体" w:hAnsi="宋体" w:cs="宋体"/>
          <w:color w:val="auto"/>
          <w:szCs w:val="21"/>
        </w:rPr>
        <w:t>.3评审时，磋商小组各成员应当独立对每个有效响应的文件进行评价、打分，然后汇总每个供应商每项评分因素的得分。</w:t>
      </w:r>
    </w:p>
    <w:p w14:paraId="5EE0CE7F">
      <w:pPr>
        <w:pStyle w:val="2"/>
        <w:spacing w:line="360" w:lineRule="auto"/>
        <w:ind w:firstLine="420" w:firstLineChars="200"/>
        <w:rPr>
          <w:rFonts w:hint="eastAsia" w:ascii="宋体" w:hAnsi="宋体" w:cs="宋体"/>
          <w:color w:val="auto"/>
        </w:rPr>
      </w:pPr>
      <w:r>
        <w:rPr>
          <w:rFonts w:hint="eastAsia" w:ascii="宋体" w:hAnsi="宋体" w:cs="宋体"/>
          <w:color w:val="auto"/>
        </w:rPr>
        <w:t>（1）磋商小组成员要根据政府采购法律法规和采购文件所载明的评审方法、标准进行评审。对供应商的价格分等客观评分项的评分应当一致，对其他需要借助专业知识评判的主观评分项，应当严格按照评分细则公正评分。</w:t>
      </w:r>
    </w:p>
    <w:p w14:paraId="072719D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（2）磋商小组按照磋商文件中规定的评审标准计算各供应商的报价得分。项目评审过程中，不得去掉最后报价中的最高报价和最低报价。</w:t>
      </w:r>
    </w:p>
    <w:p w14:paraId="754FCCBB">
      <w:pPr>
        <w:spacing w:line="360" w:lineRule="auto"/>
        <w:ind w:firstLine="420" w:firstLineChars="200"/>
        <w:rPr>
          <w:rFonts w:hint="eastAsia" w:ascii="宋体" w:hAnsi="宋体" w:cs="宋体"/>
          <w:color w:val="auto"/>
        </w:rPr>
      </w:pPr>
      <w:r>
        <w:rPr>
          <w:rFonts w:hint="eastAsia" w:ascii="宋体" w:hAnsi="宋体" w:cs="宋体"/>
          <w:color w:val="auto"/>
          <w:szCs w:val="21"/>
        </w:rPr>
        <w:t>（3）各供应商的得分为磋商小组所有成员的有效评分的算术平均数。</w:t>
      </w:r>
    </w:p>
    <w:p w14:paraId="0E2784A3">
      <w:pPr>
        <w:spacing w:line="360" w:lineRule="auto"/>
        <w:ind w:firstLine="420" w:firstLineChars="200"/>
        <w:rPr>
          <w:rFonts w:hint="eastAsia" w:ascii="宋体" w:hAnsi="宋体" w:cs="宋体"/>
          <w:color w:val="auto"/>
          <w:szCs w:val="21"/>
        </w:rPr>
      </w:pPr>
      <w:r>
        <w:rPr>
          <w:rFonts w:hint="eastAsia" w:ascii="宋体" w:hAnsi="宋体" w:cs="宋体"/>
          <w:color w:val="auto"/>
          <w:szCs w:val="21"/>
          <w:lang w:val="en-US" w:eastAsia="zh-CN"/>
        </w:rPr>
        <w:t>7</w:t>
      </w:r>
      <w:r>
        <w:rPr>
          <w:rFonts w:hint="eastAsia" w:ascii="宋体" w:hAnsi="宋体" w:cs="宋体"/>
          <w:color w:val="auto"/>
          <w:szCs w:val="21"/>
        </w:rPr>
        <w:t>.4评审</w:t>
      </w:r>
      <w:r>
        <w:rPr>
          <w:rFonts w:hint="eastAsia" w:ascii="宋体" w:hAnsi="宋体" w:cs="宋体"/>
          <w:color w:val="auto"/>
        </w:rPr>
        <w:t>报价</w:t>
      </w:r>
      <w:r>
        <w:rPr>
          <w:rFonts w:hint="eastAsia" w:ascii="宋体" w:hAnsi="宋体" w:cs="宋体"/>
          <w:color w:val="auto"/>
          <w:szCs w:val="21"/>
        </w:rPr>
        <w:t>为供应商的最后报价进行政策性扣除后的价格，评审</w:t>
      </w:r>
      <w:r>
        <w:rPr>
          <w:rFonts w:hint="eastAsia" w:ascii="宋体" w:hAnsi="宋体" w:cs="宋体"/>
          <w:color w:val="auto"/>
        </w:rPr>
        <w:t>报价</w:t>
      </w:r>
      <w:r>
        <w:rPr>
          <w:rFonts w:hint="eastAsia" w:ascii="宋体" w:hAnsi="宋体" w:cs="宋体"/>
          <w:color w:val="auto"/>
          <w:szCs w:val="21"/>
        </w:rPr>
        <w:t>只是作为评审时使用。最终成交供应商的成交金额等于最后报价（如有修正，以确认修正后的最后报价为准）。</w:t>
      </w:r>
    </w:p>
    <w:p w14:paraId="6BB55EC2">
      <w:pPr>
        <w:spacing w:line="360" w:lineRule="auto"/>
        <w:ind w:firstLine="420" w:firstLineChars="200"/>
        <w:rPr>
          <w:rFonts w:hint="eastAsia" w:ascii="宋体" w:hAnsi="宋体" w:cs="宋体"/>
          <w:color w:val="auto"/>
          <w:kern w:val="0"/>
          <w:szCs w:val="21"/>
        </w:rPr>
      </w:pPr>
      <w:r>
        <w:rPr>
          <w:rFonts w:hint="eastAsia" w:ascii="宋体" w:hAnsi="宋体" w:cs="宋体"/>
          <w:color w:val="auto"/>
          <w:szCs w:val="21"/>
          <w:lang w:val="en-US" w:eastAsia="zh-CN"/>
        </w:rPr>
        <w:t>7</w:t>
      </w:r>
      <w:r>
        <w:rPr>
          <w:rFonts w:hint="eastAsia" w:ascii="宋体" w:hAnsi="宋体" w:cs="宋体"/>
          <w:color w:val="auto"/>
          <w:szCs w:val="21"/>
        </w:rPr>
        <w:t>.5由磋商小组根据综合评分情况，按照评审得分由高到低顺序推荐3名以上成交候选供应商，并编写评</w:t>
      </w:r>
      <w:r>
        <w:rPr>
          <w:rFonts w:hint="eastAsia" w:ascii="宋体" w:hAnsi="宋体" w:cs="宋体"/>
          <w:color w:val="auto"/>
          <w:kern w:val="0"/>
          <w:szCs w:val="21"/>
        </w:rPr>
        <w:t>审报告。符合本章第5.3条情形的，可以推荐2家成交候选供应商。评审得分相同的，</w:t>
      </w:r>
      <w:r>
        <w:rPr>
          <w:rFonts w:hint="eastAsia" w:ascii="宋体" w:hAnsi="宋体" w:cs="宋体"/>
          <w:bCs/>
          <w:color w:val="auto"/>
          <w:szCs w:val="21"/>
        </w:rPr>
        <w:t>按照最后报价（不计算价格折扣）由低到高的顺序推荐。评审得分且最后报价（不计算价格折扣）相同的，按照技术指标优劣顺序推荐（按技术分得分由高到低排序，技术分得分相同的按照商务分得分由高到低排序）。评审得分、最后报价（不计算价格折扣）、技术分得分、商务分得分均相同的，由磋商小组随机抽取推荐。</w:t>
      </w:r>
    </w:p>
    <w:p w14:paraId="4680C746">
      <w:pPr>
        <w:spacing w:line="360" w:lineRule="auto"/>
        <w:ind w:firstLine="420" w:firstLineChars="200"/>
        <w:rPr>
          <w:rFonts w:hint="eastAsia" w:ascii="宋体" w:hAnsi="宋体" w:cs="宋体"/>
          <w:color w:val="auto"/>
          <w:szCs w:val="21"/>
        </w:rPr>
      </w:pPr>
      <w:r>
        <w:rPr>
          <w:rFonts w:hint="eastAsia" w:ascii="宋体" w:hAnsi="宋体" w:cs="宋体"/>
          <w:color w:val="auto"/>
          <w:kern w:val="0"/>
          <w:szCs w:val="21"/>
          <w:lang w:val="en-US" w:eastAsia="zh-CN"/>
        </w:rPr>
        <w:t>7</w:t>
      </w:r>
      <w:r>
        <w:rPr>
          <w:rFonts w:hint="eastAsia" w:ascii="宋体" w:hAnsi="宋体" w:cs="宋体"/>
          <w:color w:val="auto"/>
          <w:kern w:val="0"/>
          <w:szCs w:val="21"/>
        </w:rPr>
        <w:t>.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7481742">
      <w:pPr>
        <w:ind w:firstLine="200"/>
        <w:rPr>
          <w:rFonts w:hint="eastAsia" w:ascii="黑体" w:hAnsi="黑体" w:eastAsia="黑体" w:cs="宋体"/>
          <w:b/>
          <w:bCs/>
          <w:color w:val="auto"/>
          <w:sz w:val="24"/>
        </w:rPr>
      </w:pPr>
      <w:r>
        <w:rPr>
          <w:rFonts w:hint="eastAsia" w:ascii="黑体" w:hAnsi="黑体" w:eastAsia="黑体" w:cs="宋体"/>
          <w:b/>
          <w:bCs/>
          <w:color w:val="auto"/>
          <w:sz w:val="24"/>
          <w:lang w:val="en-US" w:eastAsia="zh-CN"/>
        </w:rPr>
        <w:t>8</w:t>
      </w:r>
      <w:r>
        <w:rPr>
          <w:rFonts w:ascii="黑体" w:hAnsi="黑体" w:eastAsia="黑体" w:cs="宋体"/>
          <w:b/>
          <w:bCs/>
          <w:color w:val="auto"/>
          <w:sz w:val="24"/>
        </w:rPr>
        <w:t>.</w:t>
      </w:r>
      <w:r>
        <w:rPr>
          <w:rFonts w:hint="eastAsia" w:ascii="黑体" w:hAnsi="黑体" w:eastAsia="黑体" w:cs="宋体"/>
          <w:b/>
          <w:bCs/>
          <w:color w:val="auto"/>
          <w:sz w:val="24"/>
        </w:rPr>
        <w:t>评审标准</w:t>
      </w:r>
    </w:p>
    <w:p w14:paraId="4B153F8A">
      <w:pPr>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lang w:val="en-US" w:eastAsia="zh-CN"/>
        </w:rPr>
        <w:t>8</w:t>
      </w:r>
      <w:r>
        <w:rPr>
          <w:rFonts w:hint="eastAsia" w:ascii="宋体" w:hAnsi="宋体" w:cs="宋体"/>
          <w:color w:val="auto"/>
          <w:kern w:val="0"/>
          <w:szCs w:val="21"/>
        </w:rPr>
        <w:t>.1评审依据：磋商小组将以响应文件为评审依据，对供应商的报价、技术、商务等方面内容按百分制打分，总得分=报价分+技术分+商务分。（计分方法按四舍五入取至百分位）</w:t>
      </w:r>
    </w:p>
    <w:p w14:paraId="5F697995">
      <w:pPr>
        <w:spacing w:line="360" w:lineRule="auto"/>
        <w:ind w:firstLine="422" w:firstLineChars="200"/>
        <w:rPr>
          <w:rFonts w:hint="eastAsia" w:ascii="宋体" w:hAnsi="宋体" w:cs="宋体"/>
          <w:b/>
          <w:bCs/>
          <w:color w:val="auto"/>
          <w:kern w:val="0"/>
          <w:szCs w:val="21"/>
        </w:rPr>
      </w:pPr>
      <w:r>
        <w:rPr>
          <w:rFonts w:hint="eastAsia" w:ascii="宋体" w:hAnsi="宋体" w:cs="宋体"/>
          <w:b/>
          <w:bCs/>
          <w:color w:val="auto"/>
          <w:kern w:val="0"/>
          <w:szCs w:val="21"/>
        </w:rPr>
        <w:t>本项目采用综合评分法进行评审。</w:t>
      </w:r>
    </w:p>
    <w:tbl>
      <w:tblPr>
        <w:tblStyle w:val="34"/>
        <w:tblW w:w="9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361"/>
        <w:gridCol w:w="6667"/>
        <w:gridCol w:w="1264"/>
      </w:tblGrid>
      <w:tr w14:paraId="765B1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95" w:type="dxa"/>
            <w:vAlign w:val="center"/>
          </w:tcPr>
          <w:p w14:paraId="67B87663">
            <w:pPr>
              <w:wordWrap w:val="0"/>
              <w:spacing w:line="360" w:lineRule="auto"/>
              <w:jc w:val="center"/>
              <w:rPr>
                <w:rFonts w:hint="eastAsia" w:ascii="宋体" w:hAnsi="宋体" w:cs="宋体"/>
                <w:b/>
                <w:color w:val="auto"/>
                <w:kern w:val="0"/>
                <w:szCs w:val="21"/>
              </w:rPr>
            </w:pPr>
            <w:r>
              <w:rPr>
                <w:rFonts w:hint="eastAsia" w:ascii="宋体" w:hAnsi="宋体" w:cs="宋体"/>
                <w:b/>
                <w:color w:val="auto"/>
                <w:szCs w:val="21"/>
              </w:rPr>
              <w:t>序号</w:t>
            </w:r>
          </w:p>
        </w:tc>
        <w:tc>
          <w:tcPr>
            <w:tcW w:w="1361" w:type="dxa"/>
            <w:vAlign w:val="center"/>
          </w:tcPr>
          <w:p w14:paraId="0C0C50A6">
            <w:pPr>
              <w:wordWrap w:val="0"/>
              <w:spacing w:line="360" w:lineRule="auto"/>
              <w:jc w:val="center"/>
              <w:rPr>
                <w:rFonts w:hint="eastAsia" w:ascii="宋体" w:hAnsi="宋体" w:cs="宋体"/>
                <w:b/>
                <w:color w:val="auto"/>
                <w:kern w:val="0"/>
                <w:szCs w:val="21"/>
              </w:rPr>
            </w:pPr>
            <w:r>
              <w:rPr>
                <w:rFonts w:hint="eastAsia" w:ascii="宋体" w:hAnsi="宋体" w:cs="宋体"/>
                <w:b/>
                <w:color w:val="auto"/>
                <w:szCs w:val="21"/>
              </w:rPr>
              <w:t>评分类型</w:t>
            </w:r>
          </w:p>
        </w:tc>
        <w:tc>
          <w:tcPr>
            <w:tcW w:w="6667" w:type="dxa"/>
            <w:vAlign w:val="center"/>
          </w:tcPr>
          <w:p w14:paraId="3457E90D">
            <w:pPr>
              <w:wordWrap w:val="0"/>
              <w:spacing w:line="360" w:lineRule="auto"/>
              <w:jc w:val="center"/>
              <w:rPr>
                <w:rFonts w:hint="eastAsia" w:ascii="宋体" w:hAnsi="宋体" w:cs="宋体"/>
                <w:b/>
                <w:color w:val="auto"/>
                <w:kern w:val="0"/>
                <w:szCs w:val="21"/>
              </w:rPr>
            </w:pPr>
            <w:r>
              <w:rPr>
                <w:rFonts w:hint="eastAsia" w:ascii="宋体" w:hAnsi="宋体" w:cs="宋体"/>
                <w:b/>
                <w:color w:val="auto"/>
                <w:szCs w:val="21"/>
              </w:rPr>
              <w:t>评分标准</w:t>
            </w:r>
          </w:p>
        </w:tc>
        <w:tc>
          <w:tcPr>
            <w:tcW w:w="1264" w:type="dxa"/>
            <w:vAlign w:val="center"/>
          </w:tcPr>
          <w:p w14:paraId="0B867D34">
            <w:pPr>
              <w:widowControl/>
              <w:wordWrap w:val="0"/>
              <w:spacing w:line="360" w:lineRule="auto"/>
              <w:jc w:val="center"/>
              <w:rPr>
                <w:rFonts w:hint="eastAsia" w:ascii="宋体" w:hAnsi="宋体" w:cs="宋体"/>
                <w:b/>
                <w:bCs/>
                <w:color w:val="auto"/>
                <w:kern w:val="0"/>
                <w:szCs w:val="21"/>
              </w:rPr>
            </w:pPr>
            <w:r>
              <w:rPr>
                <w:rFonts w:hint="eastAsia" w:ascii="宋体" w:hAnsi="宋体" w:cs="宋体"/>
                <w:b/>
                <w:bCs/>
                <w:color w:val="auto"/>
                <w:kern w:val="0"/>
                <w:szCs w:val="21"/>
              </w:rPr>
              <w:t>分值</w:t>
            </w:r>
          </w:p>
        </w:tc>
      </w:tr>
      <w:tr w14:paraId="46168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695" w:type="dxa"/>
            <w:vAlign w:val="center"/>
          </w:tcPr>
          <w:p w14:paraId="6AEF8D43">
            <w:pPr>
              <w:wordWrap w:val="0"/>
              <w:spacing w:line="360" w:lineRule="auto"/>
              <w:jc w:val="center"/>
              <w:rPr>
                <w:rFonts w:hint="eastAsia" w:ascii="宋体" w:hAnsi="宋体" w:cs="宋体"/>
                <w:color w:val="auto"/>
                <w:kern w:val="0"/>
                <w:szCs w:val="21"/>
              </w:rPr>
            </w:pPr>
            <w:r>
              <w:rPr>
                <w:rFonts w:hint="eastAsia" w:ascii="宋体" w:hAnsi="宋体" w:cs="宋体"/>
                <w:color w:val="auto"/>
                <w:szCs w:val="21"/>
              </w:rPr>
              <w:t>1</w:t>
            </w:r>
          </w:p>
        </w:tc>
        <w:tc>
          <w:tcPr>
            <w:tcW w:w="1361" w:type="dxa"/>
            <w:vAlign w:val="center"/>
          </w:tcPr>
          <w:p w14:paraId="0D880090">
            <w:pPr>
              <w:wordWrap w:val="0"/>
              <w:spacing w:line="360" w:lineRule="auto"/>
              <w:rPr>
                <w:rFonts w:hint="eastAsia" w:ascii="宋体" w:hAnsi="宋体" w:cs="宋体"/>
                <w:color w:val="auto"/>
                <w:kern w:val="0"/>
                <w:szCs w:val="21"/>
              </w:rPr>
            </w:pPr>
            <w:r>
              <w:rPr>
                <w:rFonts w:hint="eastAsia" w:ascii="宋体" w:hAnsi="宋体" w:cs="宋体"/>
                <w:color w:val="auto"/>
                <w:szCs w:val="21"/>
              </w:rPr>
              <w:t>价格分</w:t>
            </w:r>
          </w:p>
        </w:tc>
        <w:tc>
          <w:tcPr>
            <w:tcW w:w="6667" w:type="dxa"/>
          </w:tcPr>
          <w:p w14:paraId="4A15FA36">
            <w:pPr>
              <w:numPr>
                <w:ilvl w:val="0"/>
                <w:numId w:val="4"/>
              </w:numPr>
              <w:snapToGrid w:val="0"/>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本项目为专门面向</w:t>
            </w:r>
            <w:r>
              <w:rPr>
                <w:rFonts w:hint="eastAsia" w:ascii="宋体" w:hAnsi="宋体" w:cs="宋体"/>
                <w:bCs/>
                <w:color w:val="auto"/>
                <w:szCs w:val="21"/>
                <w:highlight w:val="none"/>
                <w:lang w:val="en-US" w:eastAsia="zh-CN"/>
              </w:rPr>
              <w:t>中</w:t>
            </w:r>
            <w:r>
              <w:rPr>
                <w:rFonts w:hint="eastAsia" w:ascii="宋体" w:hAnsi="宋体" w:cs="宋体"/>
                <w:bCs/>
                <w:color w:val="auto"/>
                <w:szCs w:val="21"/>
                <w:highlight w:val="none"/>
              </w:rPr>
              <w:t>小企业采购的项目，供应商不重复享受政策价格扣除。最终成交供应商的成交金额等于最后报价（如有修正，以确认修正后的最后报价为准）。</w:t>
            </w:r>
          </w:p>
          <w:p w14:paraId="3BAA1374">
            <w:pPr>
              <w:snapToGrid w:val="0"/>
              <w:spacing w:line="360" w:lineRule="auto"/>
              <w:ind w:firstLine="428" w:firstLineChars="200"/>
              <w:rPr>
                <w:rFonts w:hint="eastAsia" w:ascii="宋体" w:hAnsi="宋体" w:cs="宋体"/>
                <w:color w:val="auto"/>
                <w:spacing w:val="2"/>
                <w:szCs w:val="21"/>
              </w:rPr>
            </w:pPr>
            <w:r>
              <w:rPr>
                <w:rFonts w:hint="eastAsia" w:ascii="宋体" w:hAnsi="宋体" w:cs="宋体"/>
                <w:color w:val="auto"/>
                <w:spacing w:val="2"/>
                <w:szCs w:val="21"/>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427FF89D">
            <w:pPr>
              <w:snapToGrid w:val="0"/>
              <w:spacing w:line="360" w:lineRule="auto"/>
              <w:ind w:firstLine="428" w:firstLineChars="200"/>
              <w:rPr>
                <w:rFonts w:hint="eastAsia" w:ascii="宋体" w:hAnsi="宋体" w:cs="宋体"/>
                <w:color w:val="auto"/>
                <w:spacing w:val="2"/>
                <w:szCs w:val="21"/>
              </w:rPr>
            </w:pPr>
            <w:r>
              <w:rPr>
                <w:rFonts w:hint="eastAsia" w:ascii="宋体" w:hAnsi="宋体" w:cs="宋体"/>
                <w:color w:val="auto"/>
                <w:spacing w:val="2"/>
                <w:szCs w:val="21"/>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09505EC">
            <w:pPr>
              <w:snapToGrid w:val="0"/>
              <w:spacing w:line="360" w:lineRule="auto"/>
              <w:ind w:firstLine="428" w:firstLineChars="200"/>
              <w:rPr>
                <w:rFonts w:hint="eastAsia" w:ascii="宋体" w:hAnsi="宋体" w:cs="宋体"/>
                <w:color w:val="auto"/>
                <w:spacing w:val="2"/>
                <w:szCs w:val="21"/>
              </w:rPr>
            </w:pPr>
            <w:r>
              <w:rPr>
                <w:rFonts w:hint="eastAsia" w:ascii="宋体" w:hAnsi="宋体" w:cs="宋体"/>
                <w:color w:val="auto"/>
                <w:spacing w:val="2"/>
                <w:szCs w:val="21"/>
              </w:rPr>
              <w:t>（4）满足采购文件要求且评标报价最低的为评标基准价，其价格分为满分（评标报价=最终报价）。</w:t>
            </w:r>
          </w:p>
          <w:p w14:paraId="5B4E81FE">
            <w:pPr>
              <w:snapToGrid w:val="0"/>
              <w:spacing w:line="360" w:lineRule="auto"/>
              <w:ind w:firstLine="428" w:firstLineChars="200"/>
              <w:rPr>
                <w:rFonts w:hint="eastAsia" w:ascii="宋体" w:hAnsi="宋体" w:cs="宋体"/>
                <w:color w:val="auto"/>
                <w:spacing w:val="2"/>
                <w:szCs w:val="21"/>
              </w:rPr>
            </w:pPr>
            <w:r>
              <w:rPr>
                <w:rFonts w:hint="eastAsia" w:ascii="宋体" w:hAnsi="宋体" w:cs="宋体"/>
                <w:color w:val="auto"/>
                <w:spacing w:val="2"/>
                <w:szCs w:val="21"/>
              </w:rPr>
              <w:t>（5）价格分计算公式：</w:t>
            </w:r>
          </w:p>
          <w:p w14:paraId="78B28179">
            <w:pPr>
              <w:wordWrap w:val="0"/>
              <w:spacing w:line="360" w:lineRule="auto"/>
              <w:ind w:firstLine="428" w:firstLineChars="200"/>
              <w:rPr>
                <w:rFonts w:hint="eastAsia" w:ascii="宋体" w:hAnsi="宋体" w:cs="宋体"/>
                <w:bCs/>
                <w:color w:val="auto"/>
                <w:szCs w:val="21"/>
              </w:rPr>
            </w:pPr>
            <w:r>
              <w:rPr>
                <w:rFonts w:hint="eastAsia" w:ascii="宋体" w:hAnsi="宋体" w:cs="宋体"/>
                <w:color w:val="auto"/>
                <w:spacing w:val="2"/>
                <w:szCs w:val="21"/>
              </w:rPr>
              <w:t>价格分=(评标基准价／评标报价)×10分</w:t>
            </w:r>
          </w:p>
        </w:tc>
        <w:tc>
          <w:tcPr>
            <w:tcW w:w="1264" w:type="dxa"/>
            <w:vAlign w:val="center"/>
          </w:tcPr>
          <w:p w14:paraId="551C0A35">
            <w:pPr>
              <w:wordWrap w:val="0"/>
              <w:spacing w:line="360" w:lineRule="auto"/>
              <w:jc w:val="center"/>
              <w:rPr>
                <w:rFonts w:hint="eastAsia" w:ascii="宋体" w:hAnsi="宋体" w:cs="宋体"/>
                <w:b/>
                <w:bCs/>
                <w:color w:val="auto"/>
                <w:kern w:val="0"/>
                <w:szCs w:val="21"/>
              </w:rPr>
            </w:pPr>
            <w:r>
              <w:rPr>
                <w:rFonts w:hint="eastAsia" w:ascii="宋体" w:hAnsi="宋体" w:cs="宋体"/>
                <w:b/>
                <w:bCs/>
                <w:color w:val="auto"/>
                <w:szCs w:val="21"/>
              </w:rPr>
              <w:t>10分</w:t>
            </w:r>
          </w:p>
        </w:tc>
      </w:tr>
      <w:tr w14:paraId="30B1B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95" w:type="dxa"/>
            <w:vAlign w:val="center"/>
          </w:tcPr>
          <w:p w14:paraId="5B3899EE">
            <w:pPr>
              <w:widowControl/>
              <w:wordWrap w:val="0"/>
              <w:spacing w:line="360" w:lineRule="auto"/>
              <w:jc w:val="center"/>
              <w:rPr>
                <w:rFonts w:hint="eastAsia" w:ascii="宋体" w:hAnsi="宋体" w:cs="宋体"/>
                <w:color w:val="auto"/>
                <w:kern w:val="0"/>
                <w:szCs w:val="21"/>
              </w:rPr>
            </w:pPr>
            <w:r>
              <w:rPr>
                <w:rFonts w:hint="eastAsia" w:ascii="宋体" w:hAnsi="宋体" w:cs="宋体"/>
                <w:bCs/>
                <w:color w:val="auto"/>
                <w:kern w:val="0"/>
                <w:szCs w:val="21"/>
              </w:rPr>
              <w:t>2</w:t>
            </w:r>
          </w:p>
        </w:tc>
        <w:tc>
          <w:tcPr>
            <w:tcW w:w="1361" w:type="dxa"/>
            <w:vAlign w:val="center"/>
          </w:tcPr>
          <w:p w14:paraId="32206E3B">
            <w:pPr>
              <w:widowControl/>
              <w:wordWrap w:val="0"/>
              <w:spacing w:line="360" w:lineRule="auto"/>
              <w:jc w:val="center"/>
              <w:rPr>
                <w:rFonts w:hint="eastAsia" w:ascii="宋体" w:hAnsi="宋体" w:cs="宋体"/>
                <w:color w:val="auto"/>
                <w:kern w:val="0"/>
                <w:szCs w:val="21"/>
              </w:rPr>
            </w:pPr>
            <w:r>
              <w:rPr>
                <w:rFonts w:hint="eastAsia" w:ascii="宋体" w:hAnsi="宋体" w:cs="宋体"/>
                <w:b/>
                <w:color w:val="auto"/>
                <w:kern w:val="0"/>
                <w:szCs w:val="21"/>
              </w:rPr>
              <w:t>技术分</w:t>
            </w:r>
          </w:p>
        </w:tc>
        <w:tc>
          <w:tcPr>
            <w:tcW w:w="6667" w:type="dxa"/>
            <w:vAlign w:val="center"/>
          </w:tcPr>
          <w:p w14:paraId="18D309E1">
            <w:pPr>
              <w:pStyle w:val="22"/>
              <w:wordWrap w:val="0"/>
              <w:spacing w:line="360" w:lineRule="auto"/>
              <w:jc w:val="center"/>
              <w:rPr>
                <w:rFonts w:hint="eastAsia" w:hAnsi="宋体" w:cs="宋体"/>
                <w:b/>
                <w:color w:val="auto"/>
                <w:sz w:val="21"/>
              </w:rPr>
            </w:pPr>
            <w:r>
              <w:rPr>
                <w:rFonts w:hint="eastAsia" w:hAnsi="宋体" w:cs="宋体"/>
                <w:b/>
                <w:color w:val="auto"/>
                <w:sz w:val="21"/>
              </w:rPr>
              <w:t>评审因素</w:t>
            </w:r>
          </w:p>
        </w:tc>
        <w:tc>
          <w:tcPr>
            <w:tcW w:w="1264" w:type="dxa"/>
            <w:vAlign w:val="center"/>
          </w:tcPr>
          <w:p w14:paraId="4EC154F1">
            <w:pPr>
              <w:widowControl/>
              <w:wordWrap w:val="0"/>
              <w:spacing w:line="360" w:lineRule="auto"/>
              <w:jc w:val="center"/>
              <w:rPr>
                <w:rFonts w:hint="eastAsia" w:ascii="宋体" w:hAnsi="宋体" w:cs="宋体"/>
                <w:b/>
                <w:bCs/>
                <w:color w:val="auto"/>
                <w:kern w:val="0"/>
                <w:szCs w:val="21"/>
              </w:rPr>
            </w:pPr>
            <w:r>
              <w:rPr>
                <w:rFonts w:hint="eastAsia" w:ascii="宋体" w:hAnsi="宋体" w:cs="宋体"/>
                <w:b/>
                <w:bCs/>
                <w:color w:val="auto"/>
                <w:kern w:val="0"/>
                <w:szCs w:val="21"/>
                <w:highlight w:val="none"/>
              </w:rPr>
              <w:t>分值</w:t>
            </w:r>
          </w:p>
        </w:tc>
      </w:tr>
      <w:tr w14:paraId="34112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95" w:type="dxa"/>
            <w:vAlign w:val="center"/>
          </w:tcPr>
          <w:p w14:paraId="584E6103">
            <w:pPr>
              <w:widowControl/>
              <w:wordWrap w:val="0"/>
              <w:spacing w:line="360"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2.1</w:t>
            </w:r>
          </w:p>
        </w:tc>
        <w:tc>
          <w:tcPr>
            <w:tcW w:w="1361" w:type="dxa"/>
            <w:vAlign w:val="center"/>
          </w:tcPr>
          <w:p w14:paraId="122585E4">
            <w:pPr>
              <w:snapToGrid w:val="0"/>
              <w:spacing w:line="360" w:lineRule="auto"/>
              <w:jc w:val="center"/>
              <w:rPr>
                <w:rFonts w:hint="eastAsia" w:ascii="宋体" w:hAnsi="宋体" w:cs="宋体"/>
                <w:color w:val="auto"/>
                <w:szCs w:val="21"/>
                <w:highlight w:val="none"/>
              </w:rPr>
            </w:pPr>
            <w:r>
              <w:rPr>
                <w:rFonts w:hint="eastAsia" w:ascii="宋体" w:hAnsi="宋体" w:eastAsia="宋体" w:cs="宋体"/>
                <w:color w:val="auto"/>
                <w:szCs w:val="21"/>
                <w:highlight w:val="none"/>
              </w:rPr>
              <w:t>项目理解</w:t>
            </w:r>
          </w:p>
        </w:tc>
        <w:tc>
          <w:tcPr>
            <w:tcW w:w="6667" w:type="dxa"/>
            <w:vAlign w:val="center"/>
          </w:tcPr>
          <w:p w14:paraId="6CFEE0BC">
            <w:pPr>
              <w:spacing w:line="360" w:lineRule="auto"/>
              <w:ind w:firstLine="420" w:firstLineChars="200"/>
              <w:rPr>
                <w:rFonts w:hint="eastAsia" w:ascii="宋体" w:hAnsi="宋体" w:eastAsia="宋体" w:cs="宋体"/>
                <w:bCs w:val="0"/>
                <w:color w:val="auto"/>
                <w:szCs w:val="21"/>
              </w:rPr>
            </w:pPr>
            <w:r>
              <w:rPr>
                <w:rFonts w:hint="eastAsia" w:ascii="宋体" w:hAnsi="宋体" w:eastAsia="宋体" w:cs="宋体"/>
                <w:bCs w:val="0"/>
                <w:color w:val="auto"/>
                <w:szCs w:val="21"/>
              </w:rPr>
              <w:t>一档（5分）：对</w:t>
            </w:r>
            <w:r>
              <w:rPr>
                <w:rFonts w:hint="eastAsia" w:ascii="宋体" w:hAnsi="宋体" w:eastAsia="宋体" w:cs="宋体"/>
                <w:bCs w:val="0"/>
                <w:color w:val="auto"/>
                <w:szCs w:val="21"/>
                <w:lang w:eastAsia="zh-CN"/>
              </w:rPr>
              <w:t>项目</w:t>
            </w:r>
            <w:r>
              <w:rPr>
                <w:rFonts w:hint="eastAsia" w:ascii="宋体" w:hAnsi="宋体" w:cs="宋体"/>
                <w:bCs w:val="0"/>
                <w:color w:val="auto"/>
                <w:szCs w:val="21"/>
                <w:lang w:val="en-US" w:eastAsia="zh-CN"/>
              </w:rPr>
              <w:t>的建设背景、</w:t>
            </w:r>
            <w:r>
              <w:rPr>
                <w:rFonts w:hint="eastAsia" w:ascii="宋体" w:hAnsi="宋体" w:eastAsia="宋体" w:cs="宋体"/>
                <w:bCs w:val="0"/>
                <w:color w:val="auto"/>
                <w:szCs w:val="21"/>
              </w:rPr>
              <w:t>工作内容、工作目标、政策依据有简单描述，基本满足项目需求</w:t>
            </w:r>
          </w:p>
          <w:p w14:paraId="4EB3A69F">
            <w:pPr>
              <w:spacing w:line="360" w:lineRule="auto"/>
              <w:ind w:firstLine="420" w:firstLineChars="200"/>
              <w:rPr>
                <w:rFonts w:hint="eastAsia" w:ascii="宋体" w:hAnsi="宋体" w:eastAsia="宋体" w:cs="宋体"/>
                <w:color w:val="auto"/>
                <w:szCs w:val="21"/>
              </w:rPr>
            </w:pPr>
            <w:r>
              <w:rPr>
                <w:rFonts w:hint="eastAsia" w:ascii="宋体" w:hAnsi="宋体" w:eastAsia="宋体" w:cs="宋体"/>
                <w:bCs w:val="0"/>
                <w:color w:val="auto"/>
                <w:szCs w:val="21"/>
              </w:rPr>
              <w:t>二档（10分）：对</w:t>
            </w:r>
            <w:r>
              <w:rPr>
                <w:rFonts w:hint="eastAsia" w:ascii="宋体" w:hAnsi="宋体" w:eastAsia="宋体" w:cs="宋体"/>
                <w:bCs w:val="0"/>
                <w:color w:val="auto"/>
                <w:szCs w:val="21"/>
                <w:lang w:eastAsia="zh-CN"/>
              </w:rPr>
              <w:t>项目</w:t>
            </w:r>
            <w:r>
              <w:rPr>
                <w:rFonts w:hint="eastAsia" w:ascii="宋体" w:hAnsi="宋体" w:cs="宋体"/>
                <w:bCs w:val="0"/>
                <w:color w:val="auto"/>
                <w:szCs w:val="21"/>
                <w:lang w:val="en-US" w:eastAsia="zh-CN"/>
              </w:rPr>
              <w:t>的建设背景、</w:t>
            </w:r>
            <w:r>
              <w:rPr>
                <w:rFonts w:hint="eastAsia" w:ascii="宋体" w:hAnsi="宋体" w:eastAsia="宋体" w:cs="宋体"/>
                <w:bCs w:val="0"/>
                <w:color w:val="auto"/>
                <w:szCs w:val="21"/>
              </w:rPr>
              <w:t>工作内容、工作目标、政策依据有较详细的描述，有工作思路以及工作方</w:t>
            </w:r>
            <w:r>
              <w:rPr>
                <w:rFonts w:hint="eastAsia" w:ascii="宋体" w:hAnsi="宋体" w:eastAsia="宋体" w:cs="宋体"/>
                <w:bCs w:val="0"/>
                <w:color w:val="auto"/>
                <w:szCs w:val="21"/>
                <w:u w:val="none"/>
              </w:rPr>
              <w:t>案</w:t>
            </w:r>
            <w:r>
              <w:rPr>
                <w:rFonts w:hint="eastAsia" w:ascii="宋体" w:hAnsi="宋体" w:cs="宋体"/>
                <w:bCs w:val="0"/>
                <w:color w:val="auto"/>
                <w:szCs w:val="21"/>
                <w:u w:val="none"/>
                <w:lang w:eastAsia="zh-CN"/>
              </w:rPr>
              <w:t>；</w:t>
            </w:r>
            <w:r>
              <w:rPr>
                <w:rFonts w:hint="eastAsia" w:ascii="宋体" w:hAnsi="宋体" w:cs="宋体"/>
                <w:bCs w:val="0"/>
                <w:color w:val="auto"/>
                <w:szCs w:val="21"/>
                <w:u w:val="none"/>
                <w:lang w:val="en-US" w:eastAsia="zh-CN"/>
              </w:rPr>
              <w:t>对</w:t>
            </w:r>
            <w:r>
              <w:rPr>
                <w:rFonts w:hint="eastAsia" w:ascii="宋体" w:hAnsi="宋体" w:cs="宋体"/>
                <w:bCs w:val="0"/>
                <w:color w:val="auto"/>
                <w:szCs w:val="21"/>
                <w:lang w:val="en-US" w:eastAsia="zh-CN"/>
              </w:rPr>
              <w:t>项目的重点、难点分析准确，能提供合理化建议，</w:t>
            </w:r>
            <w:r>
              <w:rPr>
                <w:rFonts w:hint="eastAsia" w:ascii="宋体" w:hAnsi="宋体" w:eastAsia="宋体" w:cs="宋体"/>
                <w:bCs w:val="0"/>
                <w:color w:val="auto"/>
                <w:szCs w:val="21"/>
              </w:rPr>
              <w:t>能满足项目要求</w:t>
            </w:r>
          </w:p>
          <w:p w14:paraId="3FA98DE3">
            <w:pPr>
              <w:widowControl/>
              <w:spacing w:line="360" w:lineRule="auto"/>
              <w:ind w:firstLine="420" w:firstLineChars="200"/>
              <w:jc w:val="left"/>
              <w:rPr>
                <w:rFonts w:hint="eastAsia" w:ascii="宋体" w:hAnsi="宋体" w:eastAsia="宋体" w:cs="宋体"/>
                <w:color w:val="auto"/>
                <w:szCs w:val="21"/>
                <w:lang w:val="en-US" w:eastAsia="zh-CN"/>
              </w:rPr>
            </w:pPr>
            <w:r>
              <w:rPr>
                <w:rFonts w:hint="eastAsia" w:ascii="宋体" w:hAnsi="宋体" w:eastAsia="宋体" w:cs="宋体"/>
                <w:bCs w:val="0"/>
                <w:color w:val="auto"/>
                <w:szCs w:val="21"/>
              </w:rPr>
              <w:t>三档（15分）：对</w:t>
            </w:r>
            <w:r>
              <w:rPr>
                <w:rFonts w:hint="eastAsia" w:ascii="宋体" w:hAnsi="宋体" w:eastAsia="宋体" w:cs="宋体"/>
                <w:bCs w:val="0"/>
                <w:color w:val="auto"/>
                <w:szCs w:val="21"/>
                <w:lang w:eastAsia="zh-CN"/>
              </w:rPr>
              <w:t>项目</w:t>
            </w:r>
            <w:r>
              <w:rPr>
                <w:rFonts w:hint="eastAsia" w:ascii="宋体" w:hAnsi="宋体" w:cs="宋体"/>
                <w:bCs w:val="0"/>
                <w:color w:val="auto"/>
                <w:szCs w:val="21"/>
                <w:lang w:val="en-US" w:eastAsia="zh-CN"/>
              </w:rPr>
              <w:t>的建设背景、</w:t>
            </w:r>
            <w:r>
              <w:rPr>
                <w:rFonts w:hint="eastAsia" w:ascii="宋体" w:hAnsi="宋体" w:eastAsia="宋体" w:cs="宋体"/>
                <w:bCs w:val="0"/>
                <w:color w:val="auto"/>
                <w:szCs w:val="21"/>
              </w:rPr>
              <w:t>工作内容、工作目标、政策依据有详细的描述</w:t>
            </w:r>
            <w:r>
              <w:rPr>
                <w:rFonts w:hint="eastAsia" w:ascii="宋体" w:hAnsi="宋体" w:cs="宋体"/>
                <w:bCs w:val="0"/>
                <w:color w:val="auto"/>
                <w:szCs w:val="21"/>
                <w:lang w:val="en-US" w:eastAsia="zh-CN"/>
              </w:rPr>
              <w:t>与理解</w:t>
            </w:r>
            <w:r>
              <w:rPr>
                <w:rFonts w:hint="eastAsia" w:ascii="宋体" w:hAnsi="宋体" w:eastAsia="宋体" w:cs="宋体"/>
                <w:bCs w:val="0"/>
                <w:color w:val="auto"/>
                <w:szCs w:val="21"/>
              </w:rPr>
              <w:t>，有详细的工作思路，工作方法、工作流程，工作方案详细具体，内容合理、可行性强</w:t>
            </w:r>
            <w:r>
              <w:rPr>
                <w:rFonts w:hint="eastAsia" w:ascii="宋体" w:hAnsi="宋体" w:cs="宋体"/>
                <w:color w:val="auto"/>
                <w:szCs w:val="21"/>
                <w:lang w:eastAsia="zh-CN"/>
              </w:rPr>
              <w:t>；</w:t>
            </w:r>
            <w:r>
              <w:rPr>
                <w:rFonts w:hint="eastAsia" w:ascii="宋体" w:hAnsi="宋体" w:cs="宋体"/>
                <w:bCs w:val="0"/>
                <w:color w:val="auto"/>
                <w:szCs w:val="21"/>
                <w:u w:val="none"/>
                <w:lang w:val="en-US" w:eastAsia="zh-CN"/>
              </w:rPr>
              <w:t>对</w:t>
            </w:r>
            <w:r>
              <w:rPr>
                <w:rFonts w:hint="eastAsia" w:ascii="宋体" w:hAnsi="宋体" w:cs="宋体"/>
                <w:bCs w:val="0"/>
                <w:color w:val="auto"/>
                <w:szCs w:val="21"/>
                <w:lang w:val="en-US" w:eastAsia="zh-CN"/>
              </w:rPr>
              <w:t>项目的重点、难点分析准确、清晰，</w:t>
            </w:r>
            <w:r>
              <w:rPr>
                <w:rFonts w:hint="eastAsia" w:ascii="宋体" w:hAnsi="宋体" w:eastAsia="宋体" w:cs="宋体"/>
                <w:color w:val="auto"/>
                <w:kern w:val="2"/>
                <w:sz w:val="21"/>
                <w:szCs w:val="21"/>
                <w:lang w:val="en-US" w:eastAsia="zh-CN" w:bidi="ar"/>
              </w:rPr>
              <w:t>提出了解决重点、难点、关键点的发展趋势及应对策略</w:t>
            </w:r>
            <w:r>
              <w:rPr>
                <w:rFonts w:hint="eastAsia" w:ascii="宋体" w:hAnsi="宋体" w:cs="宋体"/>
                <w:color w:val="auto"/>
                <w:kern w:val="2"/>
                <w:sz w:val="21"/>
                <w:szCs w:val="21"/>
                <w:lang w:val="en-US" w:eastAsia="zh-CN" w:bidi="ar"/>
              </w:rPr>
              <w:t>，</w:t>
            </w:r>
            <w:r>
              <w:rPr>
                <w:rFonts w:hint="eastAsia" w:ascii="宋体" w:hAnsi="宋体" w:cs="宋体"/>
                <w:bCs w:val="0"/>
                <w:color w:val="auto"/>
                <w:szCs w:val="21"/>
                <w:lang w:val="en-US" w:eastAsia="zh-CN"/>
              </w:rPr>
              <w:t>并能提供详细的合理化建议方案，完全满足或优于采购需求。</w:t>
            </w:r>
          </w:p>
          <w:p w14:paraId="34E8A872">
            <w:pPr>
              <w:spacing w:line="360" w:lineRule="auto"/>
              <w:ind w:firstLine="420" w:firstLineChars="200"/>
              <w:rPr>
                <w:rFonts w:hint="eastAsia" w:ascii="宋体" w:hAnsi="宋体" w:eastAsia="宋体" w:cs="宋体"/>
                <w:color w:val="auto"/>
                <w:szCs w:val="21"/>
                <w:lang w:eastAsia="zh-CN"/>
              </w:rPr>
            </w:pPr>
            <w:r>
              <w:rPr>
                <w:rFonts w:hint="eastAsia" w:ascii="宋体" w:hAnsi="宋体" w:cs="宋体"/>
                <w:bCs w:val="0"/>
                <w:color w:val="auto"/>
                <w:szCs w:val="21"/>
                <w:lang w:val="en-US" w:eastAsia="zh-CN"/>
              </w:rPr>
              <w:t>注：</w:t>
            </w:r>
            <w:r>
              <w:rPr>
                <w:rFonts w:hint="eastAsia" w:ascii="宋体" w:hAnsi="宋体" w:eastAsia="宋体" w:cs="宋体"/>
                <w:color w:val="auto"/>
                <w:szCs w:val="21"/>
                <w:lang w:val="en-US" w:eastAsia="zh-CN"/>
              </w:rPr>
              <w:t>未提</w:t>
            </w:r>
            <w:r>
              <w:rPr>
                <w:rFonts w:hint="eastAsia" w:ascii="宋体" w:hAnsi="宋体" w:cs="宋体"/>
                <w:color w:val="auto"/>
                <w:szCs w:val="21"/>
                <w:lang w:val="en-US" w:eastAsia="zh-CN"/>
              </w:rPr>
              <w:t>供方</w:t>
            </w:r>
            <w:r>
              <w:rPr>
                <w:rFonts w:hint="eastAsia" w:ascii="宋体" w:hAnsi="宋体" w:cs="宋体"/>
                <w:color w:val="auto"/>
                <w:szCs w:val="21"/>
              </w:rPr>
              <w:t>案</w:t>
            </w:r>
            <w:r>
              <w:rPr>
                <w:rFonts w:hint="eastAsia" w:ascii="宋体" w:hAnsi="宋体" w:eastAsia="宋体" w:cs="宋体"/>
                <w:color w:val="auto"/>
                <w:szCs w:val="21"/>
                <w:lang w:val="en-US" w:eastAsia="zh-CN"/>
              </w:rPr>
              <w:t>或提供的</w:t>
            </w:r>
            <w:r>
              <w:rPr>
                <w:rFonts w:hint="eastAsia" w:ascii="宋体" w:hAnsi="宋体" w:cs="宋体"/>
                <w:color w:val="auto"/>
                <w:szCs w:val="21"/>
              </w:rPr>
              <w:t>方案</w:t>
            </w:r>
            <w:r>
              <w:rPr>
                <w:rFonts w:hint="eastAsia" w:ascii="宋体" w:hAnsi="宋体" w:cs="宋体"/>
                <w:color w:val="auto"/>
                <w:szCs w:val="21"/>
                <w:lang w:val="en-US" w:eastAsia="zh-CN"/>
              </w:rPr>
              <w:t>不满足最低档次要求</w:t>
            </w:r>
            <w:r>
              <w:rPr>
                <w:rFonts w:hint="eastAsia" w:ascii="宋体" w:hAnsi="宋体" w:eastAsia="宋体" w:cs="宋体"/>
                <w:color w:val="auto"/>
                <w:szCs w:val="21"/>
                <w:lang w:val="en-US" w:eastAsia="zh-CN"/>
              </w:rPr>
              <w:t>的</w:t>
            </w:r>
            <w:r>
              <w:rPr>
                <w:rFonts w:hint="eastAsia" w:ascii="宋体" w:hAnsi="宋体" w:cs="宋体"/>
                <w:color w:val="auto"/>
                <w:szCs w:val="21"/>
                <w:lang w:val="en-US" w:eastAsia="zh-CN"/>
              </w:rPr>
              <w:t>得0分 。</w:t>
            </w:r>
          </w:p>
        </w:tc>
        <w:tc>
          <w:tcPr>
            <w:tcW w:w="1264" w:type="dxa"/>
            <w:vAlign w:val="center"/>
          </w:tcPr>
          <w:p w14:paraId="61656FC0">
            <w:pPr>
              <w:spacing w:line="400" w:lineRule="exact"/>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15分</w:t>
            </w:r>
          </w:p>
        </w:tc>
      </w:tr>
      <w:tr w14:paraId="58AE1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95" w:type="dxa"/>
            <w:vAlign w:val="center"/>
          </w:tcPr>
          <w:p w14:paraId="0A1CF2E9">
            <w:pPr>
              <w:widowControl/>
              <w:wordWrap w:val="0"/>
              <w:spacing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2.1</w:t>
            </w:r>
          </w:p>
        </w:tc>
        <w:tc>
          <w:tcPr>
            <w:tcW w:w="1361" w:type="dxa"/>
            <w:vAlign w:val="center"/>
          </w:tcPr>
          <w:p w14:paraId="357BADE0">
            <w:pPr>
              <w:snapToGrid w:val="0"/>
              <w:spacing w:line="360" w:lineRule="auto"/>
              <w:jc w:val="center"/>
              <w:rPr>
                <w:rFonts w:hint="eastAsia" w:ascii="宋体" w:hAnsi="宋体" w:cs="宋体"/>
                <w:bCs/>
                <w:color w:val="auto"/>
                <w:kern w:val="0"/>
                <w:szCs w:val="21"/>
                <w:highlight w:val="none"/>
              </w:rPr>
            </w:pPr>
            <w:r>
              <w:rPr>
                <w:rFonts w:hint="eastAsia" w:ascii="宋体" w:hAnsi="宋体" w:cs="宋体"/>
                <w:color w:val="auto"/>
                <w:szCs w:val="21"/>
                <w:highlight w:val="none"/>
              </w:rPr>
              <w:t>实施方案</w:t>
            </w:r>
          </w:p>
        </w:tc>
        <w:tc>
          <w:tcPr>
            <w:tcW w:w="6667" w:type="dxa"/>
          </w:tcPr>
          <w:p w14:paraId="127B9871">
            <w:pPr>
              <w:spacing w:line="40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一档</w:t>
            </w:r>
            <w:r>
              <w:rPr>
                <w:rFonts w:hint="eastAsia" w:ascii="宋体" w:hAnsi="宋体" w:cs="宋体"/>
                <w:color w:val="auto"/>
                <w:szCs w:val="21"/>
                <w:lang w:eastAsia="zh-CN"/>
              </w:rPr>
              <w:t>（</w:t>
            </w:r>
            <w:r>
              <w:rPr>
                <w:rFonts w:hint="eastAsia" w:ascii="宋体" w:hAnsi="宋体" w:cs="宋体"/>
                <w:color w:val="auto"/>
                <w:szCs w:val="21"/>
                <w:lang w:val="en-US" w:eastAsia="zh-CN"/>
              </w:rPr>
              <w:t>5</w:t>
            </w:r>
            <w:r>
              <w:rPr>
                <w:rFonts w:hint="eastAsia" w:ascii="宋体" w:hAnsi="宋体" w:eastAsia="宋体" w:cs="宋体"/>
                <w:color w:val="auto"/>
                <w:szCs w:val="21"/>
              </w:rPr>
              <w:t>分)：针对本项目的实施方案可行性低，项目建议书、可行性研究报告编制思路不清晰；有简单的项目控制措施，项目工期计划安排基本满足项目需求，但针对本项目的工作流程措施不够明晰；</w:t>
            </w:r>
          </w:p>
          <w:p w14:paraId="3441798F">
            <w:pPr>
              <w:spacing w:line="40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二档</w:t>
            </w:r>
            <w:r>
              <w:rPr>
                <w:rFonts w:hint="eastAsia" w:ascii="宋体" w:hAnsi="宋体" w:cs="宋体"/>
                <w:color w:val="auto"/>
                <w:szCs w:val="21"/>
                <w:lang w:eastAsia="zh-CN"/>
              </w:rPr>
              <w:t>（</w:t>
            </w:r>
            <w:r>
              <w:rPr>
                <w:rFonts w:hint="eastAsia" w:ascii="宋体" w:hAnsi="宋体" w:cs="宋体"/>
                <w:color w:val="auto"/>
                <w:szCs w:val="21"/>
                <w:lang w:val="en-US" w:eastAsia="zh-CN"/>
              </w:rPr>
              <w:t>10</w:t>
            </w:r>
            <w:r>
              <w:rPr>
                <w:rFonts w:hint="eastAsia" w:ascii="宋体" w:hAnsi="宋体" w:eastAsia="宋体" w:cs="宋体"/>
                <w:color w:val="auto"/>
                <w:szCs w:val="21"/>
              </w:rPr>
              <w:t>分)：提供较详细的项目实施方案，项目建议书、可行性研究报告编制思路较清晰，编写简单的工作提纲；项目进度控制措施较详细，针对本项目的工作流程措施基本可行；方案基本满足本项目的总体需求；</w:t>
            </w:r>
          </w:p>
          <w:p w14:paraId="3350FD60">
            <w:pPr>
              <w:spacing w:line="40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三档</w:t>
            </w:r>
            <w:r>
              <w:rPr>
                <w:rFonts w:hint="eastAsia" w:ascii="宋体" w:hAnsi="宋体" w:cs="宋体"/>
                <w:color w:val="auto"/>
                <w:szCs w:val="21"/>
                <w:lang w:eastAsia="zh-CN"/>
              </w:rPr>
              <w:t>（</w:t>
            </w:r>
            <w:r>
              <w:rPr>
                <w:rFonts w:hint="eastAsia" w:ascii="宋体" w:hAnsi="宋体" w:eastAsia="宋体" w:cs="宋体"/>
                <w:color w:val="auto"/>
                <w:szCs w:val="21"/>
              </w:rPr>
              <w:t>1</w:t>
            </w:r>
            <w:r>
              <w:rPr>
                <w:rFonts w:hint="eastAsia" w:ascii="宋体" w:hAnsi="宋体" w:cs="宋体"/>
                <w:color w:val="auto"/>
                <w:szCs w:val="21"/>
                <w:lang w:val="en-US" w:eastAsia="zh-CN"/>
              </w:rPr>
              <w:t>5</w:t>
            </w:r>
            <w:r>
              <w:rPr>
                <w:rFonts w:hint="eastAsia" w:ascii="宋体" w:hAnsi="宋体" w:eastAsia="宋体" w:cs="宋体"/>
                <w:color w:val="auto"/>
                <w:szCs w:val="21"/>
              </w:rPr>
              <w:t>分)：提供详细完善的项目实施方案，项目建议书、可行性研究报告编制思路清晰，能编写详细的工作提纲，有较合理的编制方法；有合理可行的项目进度控制措施；针对本项目的工作流程措施明晰、可行；工作节点控制比较合理，能保障项目的编制进度；并针对本项目制定人员管理办法，方案满足项目总体需求；</w:t>
            </w:r>
          </w:p>
          <w:p w14:paraId="3255C60C">
            <w:pPr>
              <w:spacing w:line="400" w:lineRule="exact"/>
              <w:ind w:firstLine="210" w:firstLineChars="100"/>
              <w:rPr>
                <w:color w:val="auto"/>
              </w:rPr>
            </w:pPr>
            <w:r>
              <w:rPr>
                <w:rFonts w:hint="eastAsia" w:ascii="宋体" w:hAnsi="宋体" w:eastAsia="宋体" w:cs="宋体"/>
                <w:color w:val="auto"/>
                <w:szCs w:val="21"/>
              </w:rPr>
              <w:t>四档</w:t>
            </w:r>
            <w:r>
              <w:rPr>
                <w:rFonts w:hint="eastAsia" w:ascii="宋体" w:hAnsi="宋体" w:cs="宋体"/>
                <w:color w:val="auto"/>
                <w:szCs w:val="21"/>
                <w:lang w:eastAsia="zh-CN"/>
              </w:rPr>
              <w:t>（</w:t>
            </w:r>
            <w:r>
              <w:rPr>
                <w:rFonts w:hint="eastAsia" w:ascii="宋体" w:hAnsi="宋体" w:cs="宋体"/>
                <w:color w:val="auto"/>
                <w:szCs w:val="21"/>
                <w:lang w:val="en-US" w:eastAsia="zh-CN"/>
              </w:rPr>
              <w:t>20</w:t>
            </w:r>
            <w:r>
              <w:rPr>
                <w:rFonts w:hint="eastAsia" w:ascii="宋体" w:hAnsi="宋体" w:eastAsia="宋体" w:cs="宋体"/>
                <w:color w:val="auto"/>
                <w:szCs w:val="21"/>
              </w:rPr>
              <w:t>分)：提供详细、完善、合理可行的项目实施方案，项目建议书、可行性研究报告编制思路清晰、条理分明，编写合理详细的工作提纲，有合理可行性强的编制方法；有合理可行、操作性强的项目进度控制措施；针对本项目的工作流程措施明晰、明确、可行性强，能保障项目的编制进度；工作节点控制科学、合理；并针对本项目制定人员管理办法；制定合理的应急措施，根据项目情况合理制定编制稿修改措施及实施步骤等；整体方案内容全面、具有合理性，可操作性强，完全满足项目总体需求。</w:t>
            </w:r>
          </w:p>
          <w:p w14:paraId="4D3FD760">
            <w:pPr>
              <w:spacing w:line="400" w:lineRule="exact"/>
              <w:ind w:firstLine="210" w:firstLineChars="100"/>
              <w:rPr>
                <w:rFonts w:hint="eastAsia"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注：</w:t>
            </w:r>
            <w:r>
              <w:rPr>
                <w:rFonts w:hint="eastAsia" w:ascii="宋体" w:hAnsi="宋体" w:eastAsia="宋体" w:cs="宋体"/>
                <w:color w:val="auto"/>
                <w:highlight w:val="none"/>
                <w:lang w:val="en-US" w:eastAsia="zh-CN"/>
              </w:rPr>
              <w:t>未提供</w:t>
            </w:r>
            <w:r>
              <w:rPr>
                <w:rFonts w:hint="eastAsia" w:ascii="宋体" w:hAnsi="宋体" w:cs="宋体"/>
                <w:color w:val="auto"/>
                <w:szCs w:val="21"/>
                <w:highlight w:val="none"/>
              </w:rPr>
              <w:t>实施方案</w:t>
            </w:r>
            <w:r>
              <w:rPr>
                <w:rFonts w:hint="eastAsia" w:ascii="宋体" w:hAnsi="宋体" w:eastAsia="宋体" w:cs="宋体"/>
                <w:color w:val="auto"/>
                <w:highlight w:val="none"/>
                <w:lang w:val="en-US" w:eastAsia="zh-CN"/>
              </w:rPr>
              <w:t>或提供的</w:t>
            </w:r>
            <w:r>
              <w:rPr>
                <w:rFonts w:hint="eastAsia" w:ascii="宋体" w:hAnsi="宋体" w:cs="宋体"/>
                <w:color w:val="auto"/>
                <w:szCs w:val="21"/>
                <w:highlight w:val="none"/>
              </w:rPr>
              <w:t>实施方案</w:t>
            </w:r>
            <w:r>
              <w:rPr>
                <w:rFonts w:hint="eastAsia" w:ascii="宋体" w:hAnsi="宋体" w:cs="宋体"/>
                <w:color w:val="auto"/>
                <w:highlight w:val="none"/>
                <w:lang w:val="en-US" w:eastAsia="zh-CN"/>
              </w:rPr>
              <w:t>不满足采购需求</w:t>
            </w:r>
            <w:r>
              <w:rPr>
                <w:rFonts w:hint="eastAsia" w:ascii="宋体" w:hAnsi="宋体" w:eastAsia="宋体" w:cs="宋体"/>
                <w:color w:val="auto"/>
                <w:highlight w:val="none"/>
                <w:lang w:val="en-US" w:eastAsia="zh-CN"/>
              </w:rPr>
              <w:t>的</w:t>
            </w:r>
            <w:r>
              <w:rPr>
                <w:rFonts w:hint="eastAsia" w:ascii="宋体" w:hAnsi="宋体" w:cs="宋体"/>
                <w:color w:val="auto"/>
                <w:highlight w:val="none"/>
                <w:lang w:val="en-US" w:eastAsia="zh-CN"/>
              </w:rPr>
              <w:t>得0分 。</w:t>
            </w:r>
          </w:p>
        </w:tc>
        <w:tc>
          <w:tcPr>
            <w:tcW w:w="1264" w:type="dxa"/>
            <w:vAlign w:val="center"/>
          </w:tcPr>
          <w:p w14:paraId="4CC339B2">
            <w:pPr>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20</w:t>
            </w:r>
            <w:r>
              <w:rPr>
                <w:rFonts w:hint="eastAsia" w:ascii="宋体" w:hAnsi="宋体" w:cs="宋体"/>
                <w:color w:val="auto"/>
                <w:kern w:val="0"/>
                <w:szCs w:val="21"/>
                <w:highlight w:val="none"/>
              </w:rPr>
              <w:t>分</w:t>
            </w:r>
          </w:p>
        </w:tc>
      </w:tr>
      <w:tr w14:paraId="54B0A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95" w:type="dxa"/>
            <w:vAlign w:val="center"/>
          </w:tcPr>
          <w:p w14:paraId="7D426886">
            <w:pPr>
              <w:widowControl/>
              <w:wordWrap w:val="0"/>
              <w:spacing w:line="360" w:lineRule="auto"/>
              <w:jc w:val="center"/>
              <w:rPr>
                <w:rFonts w:hint="eastAsia" w:ascii="宋体" w:hAnsi="宋体" w:cs="宋体"/>
                <w:color w:val="auto"/>
                <w:kern w:val="0"/>
                <w:szCs w:val="21"/>
              </w:rPr>
            </w:pPr>
            <w:r>
              <w:rPr>
                <w:rFonts w:hint="eastAsia" w:ascii="宋体" w:hAnsi="宋体" w:cs="宋体"/>
                <w:color w:val="auto"/>
                <w:kern w:val="0"/>
                <w:szCs w:val="21"/>
              </w:rPr>
              <w:t>2.2</w:t>
            </w:r>
          </w:p>
        </w:tc>
        <w:tc>
          <w:tcPr>
            <w:tcW w:w="1361" w:type="dxa"/>
            <w:vAlign w:val="center"/>
          </w:tcPr>
          <w:p w14:paraId="495EA1A2">
            <w:pPr>
              <w:pStyle w:val="22"/>
              <w:spacing w:line="360" w:lineRule="auto"/>
              <w:rPr>
                <w:rFonts w:hint="eastAsia" w:hAnsi="宋体" w:cs="宋体"/>
                <w:color w:val="auto"/>
                <w:sz w:val="21"/>
              </w:rPr>
            </w:pPr>
            <w:r>
              <w:rPr>
                <w:rFonts w:hint="eastAsia" w:hAnsi="宋体" w:cs="宋体"/>
                <w:bCs/>
                <w:color w:val="auto"/>
                <w:kern w:val="2"/>
                <w:sz w:val="21"/>
              </w:rPr>
              <w:t>质量</w:t>
            </w:r>
            <w:r>
              <w:rPr>
                <w:rFonts w:hint="eastAsia" w:hAnsi="宋体" w:cs="宋体"/>
                <w:bCs/>
                <w:color w:val="auto"/>
                <w:kern w:val="2"/>
                <w:sz w:val="21"/>
                <w:lang w:val="en-US" w:eastAsia="zh-CN"/>
              </w:rPr>
              <w:t>控制方案</w:t>
            </w:r>
            <w:r>
              <w:rPr>
                <w:rFonts w:hint="eastAsia" w:hAnsi="宋体" w:cs="宋体"/>
                <w:bCs/>
                <w:color w:val="auto"/>
                <w:kern w:val="2"/>
                <w:sz w:val="21"/>
              </w:rPr>
              <w:t>及承诺</w:t>
            </w:r>
          </w:p>
        </w:tc>
        <w:tc>
          <w:tcPr>
            <w:tcW w:w="6667" w:type="dxa"/>
          </w:tcPr>
          <w:p w14:paraId="5AD70DB7">
            <w:pPr>
              <w:spacing w:line="360" w:lineRule="auto"/>
              <w:ind w:firstLine="420" w:firstLineChars="200"/>
              <w:rPr>
                <w:rFonts w:hint="eastAsia" w:ascii="宋体" w:hAnsi="宋体" w:cs="宋体"/>
                <w:bCs/>
                <w:color w:val="auto"/>
                <w:szCs w:val="21"/>
              </w:rPr>
            </w:pPr>
            <w:r>
              <w:rPr>
                <w:rFonts w:hint="eastAsia" w:ascii="宋体" w:hAnsi="宋体" w:cs="宋体"/>
                <w:bCs/>
                <w:color w:val="auto"/>
                <w:szCs w:val="21"/>
                <w:lang w:val="en-US" w:eastAsia="zh-CN"/>
              </w:rPr>
              <w:t>一</w:t>
            </w:r>
            <w:r>
              <w:rPr>
                <w:rFonts w:hint="eastAsia" w:ascii="宋体" w:hAnsi="宋体" w:cs="宋体"/>
                <w:bCs/>
                <w:color w:val="auto"/>
                <w:szCs w:val="21"/>
              </w:rPr>
              <w:t>档（</w:t>
            </w:r>
            <w:r>
              <w:rPr>
                <w:rFonts w:hint="eastAsia" w:ascii="宋体" w:hAnsi="宋体" w:cs="宋体"/>
                <w:bCs/>
                <w:color w:val="auto"/>
                <w:szCs w:val="21"/>
                <w:lang w:val="en-US" w:eastAsia="zh-CN"/>
              </w:rPr>
              <w:t>5</w:t>
            </w:r>
            <w:r>
              <w:rPr>
                <w:rFonts w:hint="eastAsia" w:ascii="宋体" w:hAnsi="宋体" w:cs="宋体"/>
                <w:bCs/>
                <w:color w:val="auto"/>
                <w:szCs w:val="21"/>
              </w:rPr>
              <w:t>分）：具有项目质量控制措施、有违约责任承诺，质量保证及质量承诺基本符合项目需求。</w:t>
            </w:r>
          </w:p>
          <w:p w14:paraId="1D9E4342">
            <w:pPr>
              <w:spacing w:line="360" w:lineRule="auto"/>
              <w:ind w:firstLine="420" w:firstLineChars="200"/>
              <w:rPr>
                <w:rFonts w:hint="eastAsia" w:ascii="宋体" w:hAnsi="宋体" w:cs="宋体"/>
                <w:bCs/>
                <w:color w:val="auto"/>
                <w:szCs w:val="21"/>
              </w:rPr>
            </w:pPr>
            <w:r>
              <w:rPr>
                <w:rFonts w:hint="eastAsia" w:ascii="宋体" w:hAnsi="宋体" w:cs="宋体"/>
                <w:bCs/>
                <w:color w:val="auto"/>
                <w:szCs w:val="21"/>
                <w:lang w:val="en-US" w:eastAsia="zh-CN"/>
              </w:rPr>
              <w:t>二</w:t>
            </w:r>
            <w:r>
              <w:rPr>
                <w:rFonts w:hint="eastAsia" w:ascii="宋体" w:hAnsi="宋体" w:cs="宋体"/>
                <w:bCs/>
                <w:color w:val="auto"/>
                <w:szCs w:val="21"/>
              </w:rPr>
              <w:t>档（</w:t>
            </w:r>
            <w:r>
              <w:rPr>
                <w:rFonts w:hint="eastAsia" w:ascii="宋体" w:hAnsi="宋体" w:cs="宋体"/>
                <w:bCs/>
                <w:color w:val="auto"/>
                <w:szCs w:val="21"/>
                <w:lang w:val="en-US" w:eastAsia="zh-CN"/>
              </w:rPr>
              <w:t>10</w:t>
            </w:r>
            <w:r>
              <w:rPr>
                <w:rFonts w:hint="eastAsia" w:ascii="宋体" w:hAnsi="宋体" w:cs="宋体"/>
                <w:bCs/>
                <w:color w:val="auto"/>
                <w:szCs w:val="21"/>
              </w:rPr>
              <w:t>分）：具有合理的质量控制措施；及时的质量把控以及反馈纠错措施；有专门的质检</w:t>
            </w:r>
            <w:r>
              <w:rPr>
                <w:rFonts w:hint="eastAsia" w:ascii="宋体" w:hAnsi="宋体" w:cs="宋体"/>
                <w:bCs/>
                <w:color w:val="auto"/>
                <w:szCs w:val="21"/>
                <w:lang w:val="en-US" w:eastAsia="zh-CN"/>
              </w:rPr>
              <w:t>制度</w:t>
            </w:r>
            <w:r>
              <w:rPr>
                <w:rFonts w:hint="eastAsia" w:ascii="宋体" w:hAnsi="宋体" w:cs="宋体"/>
                <w:bCs/>
                <w:color w:val="auto"/>
                <w:szCs w:val="21"/>
              </w:rPr>
              <w:t>进行质量把关，有明确的内部质量管理奖罚措施；保证措施合理。</w:t>
            </w:r>
          </w:p>
          <w:p w14:paraId="6F4F2C0B">
            <w:pPr>
              <w:snapToGrid w:val="0"/>
              <w:spacing w:line="360" w:lineRule="auto"/>
              <w:ind w:firstLine="420" w:firstLineChars="200"/>
              <w:rPr>
                <w:rFonts w:hint="eastAsia" w:ascii="宋体" w:hAnsi="宋体" w:cs="宋体"/>
                <w:bCs/>
                <w:color w:val="auto"/>
                <w:szCs w:val="21"/>
              </w:rPr>
            </w:pPr>
            <w:r>
              <w:rPr>
                <w:rFonts w:hint="eastAsia" w:ascii="宋体" w:hAnsi="宋体" w:cs="宋体"/>
                <w:bCs/>
                <w:color w:val="auto"/>
                <w:szCs w:val="21"/>
                <w:lang w:val="en-US" w:eastAsia="zh-CN"/>
              </w:rPr>
              <w:t>三</w:t>
            </w:r>
            <w:r>
              <w:rPr>
                <w:rFonts w:hint="eastAsia" w:ascii="宋体" w:hAnsi="宋体" w:cs="宋体"/>
                <w:bCs/>
                <w:color w:val="auto"/>
                <w:szCs w:val="21"/>
              </w:rPr>
              <w:t>档（1</w:t>
            </w:r>
            <w:r>
              <w:rPr>
                <w:rFonts w:hint="eastAsia" w:ascii="宋体" w:hAnsi="宋体" w:cs="宋体"/>
                <w:bCs/>
                <w:color w:val="auto"/>
                <w:szCs w:val="21"/>
                <w:lang w:val="en-US" w:eastAsia="zh-CN"/>
              </w:rPr>
              <w:t>5</w:t>
            </w:r>
            <w:r>
              <w:rPr>
                <w:rFonts w:hint="eastAsia" w:ascii="宋体" w:hAnsi="宋体" w:cs="宋体"/>
                <w:bCs/>
                <w:color w:val="auto"/>
                <w:szCs w:val="21"/>
              </w:rPr>
              <w:t>分）：质量控制措施详细且科学合理，有专门的质检机构进行质量把关，有明确的内部质量管理奖罚措施；有具体的质量管理制度和措施，包括：建立过程检查制度和两级检查制度，制度完善，措施有效到位；具有及时的数据检查、质量控制以及反馈纠错措施；保证措施有针对性。</w:t>
            </w:r>
          </w:p>
          <w:p w14:paraId="0D417AA9">
            <w:pPr>
              <w:snapToGrid w:val="0"/>
              <w:spacing w:line="360" w:lineRule="auto"/>
              <w:ind w:firstLine="420" w:firstLineChars="200"/>
              <w:rPr>
                <w:rFonts w:hint="eastAsia" w:ascii="宋体" w:hAnsi="宋体" w:eastAsia="宋体" w:cs="宋体"/>
                <w:bCs/>
                <w:color w:val="auto"/>
                <w:szCs w:val="21"/>
                <w:lang w:val="en-US" w:eastAsia="zh-CN"/>
              </w:rPr>
            </w:pPr>
            <w:r>
              <w:rPr>
                <w:rFonts w:hint="eastAsia" w:ascii="宋体" w:hAnsi="宋体" w:cs="宋体"/>
                <w:bCs/>
                <w:color w:val="auto"/>
                <w:szCs w:val="21"/>
                <w:lang w:val="en-US" w:eastAsia="zh-CN"/>
              </w:rPr>
              <w:t>注：</w:t>
            </w:r>
            <w:r>
              <w:rPr>
                <w:rFonts w:hint="eastAsia" w:hAnsi="宋体" w:cs="宋体"/>
                <w:bCs/>
                <w:color w:val="auto"/>
                <w:kern w:val="2"/>
                <w:sz w:val="21"/>
              </w:rPr>
              <w:t>未提供质量控制方案或提供的质量控制方案不满足磋商采购文件相应要求的</w:t>
            </w:r>
            <w:r>
              <w:rPr>
                <w:rFonts w:hint="eastAsia" w:hAnsi="宋体" w:cs="宋体"/>
                <w:bCs/>
                <w:color w:val="auto"/>
                <w:kern w:val="2"/>
                <w:sz w:val="21"/>
                <w:lang w:val="en-US" w:eastAsia="zh-CN"/>
              </w:rPr>
              <w:t>0分</w:t>
            </w:r>
            <w:r>
              <w:rPr>
                <w:rFonts w:hint="eastAsia" w:hAnsi="宋体" w:cs="宋体"/>
                <w:bCs/>
                <w:color w:val="auto"/>
                <w:kern w:val="2"/>
                <w:sz w:val="21"/>
              </w:rPr>
              <w:t>。</w:t>
            </w:r>
          </w:p>
        </w:tc>
        <w:tc>
          <w:tcPr>
            <w:tcW w:w="1264" w:type="dxa"/>
            <w:vAlign w:val="center"/>
          </w:tcPr>
          <w:p w14:paraId="30BF411C">
            <w:pPr>
              <w:spacing w:line="400" w:lineRule="exact"/>
              <w:jc w:val="center"/>
              <w:rPr>
                <w:rFonts w:hint="eastAsia" w:ascii="宋体" w:hAnsi="宋体" w:cs="宋体"/>
                <w:color w:val="auto"/>
                <w:kern w:val="0"/>
                <w:szCs w:val="21"/>
              </w:rPr>
            </w:pPr>
            <w:r>
              <w:rPr>
                <w:rFonts w:hint="eastAsia" w:ascii="宋体" w:hAnsi="宋体" w:cs="宋体"/>
                <w:color w:val="auto"/>
                <w:kern w:val="0"/>
                <w:szCs w:val="21"/>
              </w:rPr>
              <w:t>1</w:t>
            </w:r>
            <w:r>
              <w:rPr>
                <w:rFonts w:hint="eastAsia" w:ascii="宋体" w:hAnsi="宋体" w:cs="宋体"/>
                <w:color w:val="auto"/>
                <w:kern w:val="0"/>
                <w:szCs w:val="21"/>
                <w:lang w:val="en-US" w:eastAsia="zh-CN"/>
              </w:rPr>
              <w:t>5</w:t>
            </w:r>
            <w:r>
              <w:rPr>
                <w:rFonts w:hint="eastAsia" w:ascii="宋体" w:hAnsi="宋体" w:cs="宋体"/>
                <w:color w:val="auto"/>
                <w:kern w:val="0"/>
                <w:szCs w:val="21"/>
              </w:rPr>
              <w:t>分</w:t>
            </w:r>
          </w:p>
        </w:tc>
      </w:tr>
      <w:tr w14:paraId="3E291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95" w:type="dxa"/>
            <w:vAlign w:val="center"/>
          </w:tcPr>
          <w:p w14:paraId="31B389DC">
            <w:pPr>
              <w:widowControl/>
              <w:wordWrap w:val="0"/>
              <w:spacing w:line="360" w:lineRule="auto"/>
              <w:jc w:val="center"/>
              <w:rPr>
                <w:rFonts w:hint="eastAsia" w:ascii="宋体" w:hAnsi="宋体" w:cs="宋体"/>
                <w:color w:val="auto"/>
                <w:kern w:val="0"/>
                <w:szCs w:val="21"/>
              </w:rPr>
            </w:pPr>
            <w:r>
              <w:rPr>
                <w:rFonts w:hint="eastAsia" w:ascii="宋体" w:hAnsi="宋体" w:cs="宋体"/>
                <w:color w:val="auto"/>
                <w:kern w:val="0"/>
                <w:szCs w:val="21"/>
              </w:rPr>
              <w:t>2.3</w:t>
            </w:r>
          </w:p>
        </w:tc>
        <w:tc>
          <w:tcPr>
            <w:tcW w:w="1361" w:type="dxa"/>
            <w:vAlign w:val="center"/>
          </w:tcPr>
          <w:p w14:paraId="10AA4AE8">
            <w:pPr>
              <w:pStyle w:val="22"/>
              <w:spacing w:line="360" w:lineRule="auto"/>
              <w:rPr>
                <w:rFonts w:hint="eastAsia" w:ascii="宋体" w:hAnsi="宋体" w:eastAsia="宋体" w:cs="宋体"/>
                <w:color w:val="auto"/>
                <w:szCs w:val="21"/>
                <w:lang w:eastAsia="zh-CN"/>
              </w:rPr>
            </w:pPr>
            <w:r>
              <w:rPr>
                <w:rFonts w:hint="eastAsia" w:ascii="宋体" w:hAnsi="宋体" w:eastAsia="宋体" w:cs="宋体"/>
                <w:bCs/>
                <w:color w:val="auto"/>
                <w:kern w:val="2"/>
                <w:sz w:val="21"/>
                <w:lang w:val="en-US" w:eastAsia="zh-CN"/>
              </w:rPr>
              <w:t>后续服务方案</w:t>
            </w:r>
          </w:p>
        </w:tc>
        <w:tc>
          <w:tcPr>
            <w:tcW w:w="6667" w:type="dxa"/>
          </w:tcPr>
          <w:p w14:paraId="61C9ABB3">
            <w:pPr>
              <w:keepLines w:val="0"/>
              <w:pageBreakBefore w:val="0"/>
              <w:kinsoku/>
              <w:wordWrap/>
              <w:overflowPunct/>
              <w:topLinePunct w:val="0"/>
              <w:autoSpaceDE/>
              <w:autoSpaceDN/>
              <w:bidi w:val="0"/>
              <w:adjustRightInd/>
              <w:spacing w:line="400" w:lineRule="exact"/>
              <w:ind w:firstLine="420"/>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一档（2分)：针对后续服务承诺内容不全面。</w:t>
            </w:r>
          </w:p>
          <w:p w14:paraId="265B5137">
            <w:pPr>
              <w:keepLines w:val="0"/>
              <w:pageBreakBefore w:val="0"/>
              <w:kinsoku/>
              <w:wordWrap/>
              <w:overflowPunct/>
              <w:topLinePunct w:val="0"/>
              <w:autoSpaceDE/>
              <w:autoSpaceDN/>
              <w:bidi w:val="0"/>
              <w:adjustRightInd/>
              <w:spacing w:line="400" w:lineRule="exact"/>
              <w:ind w:firstLine="420"/>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二档（4分)：服务承诺优于一档，服务响应时间较及时、有简单的服务流程等内容，内容基本合理。</w:t>
            </w:r>
          </w:p>
          <w:p w14:paraId="131897AE">
            <w:pPr>
              <w:keepLines w:val="0"/>
              <w:pageBreakBefore w:val="0"/>
              <w:kinsoku/>
              <w:wordWrap/>
              <w:overflowPunct/>
              <w:topLinePunct w:val="0"/>
              <w:autoSpaceDE/>
              <w:autoSpaceDN/>
              <w:bidi w:val="0"/>
              <w:adjustRightInd/>
              <w:spacing w:line="400" w:lineRule="exact"/>
              <w:ind w:firstLine="420"/>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三档（7分)：服务承诺优于二档，服务响应时间及时、有较为具体的服务流程、针对本项目保证技术服务的方案措施、协调好各部门关系的技术服务措施、能有效保证技术质量，达到承诺的质量标准等。</w:t>
            </w:r>
          </w:p>
          <w:p w14:paraId="6F066337">
            <w:pPr>
              <w:spacing w:line="400" w:lineRule="exact"/>
              <w:ind w:firstLine="210" w:firstLineChars="100"/>
              <w:rPr>
                <w:color w:val="auto"/>
              </w:rPr>
            </w:pPr>
            <w:r>
              <w:rPr>
                <w:rFonts w:hint="eastAsia" w:ascii="宋体" w:hAnsi="宋体" w:cs="宋体"/>
                <w:color w:val="auto"/>
                <w:highlight w:val="none"/>
                <w:lang w:val="en-US" w:eastAsia="zh-CN"/>
              </w:rPr>
              <w:t>四档（10分)：服务承诺优于三档，服务响应时间及时、有具体的服务流程、针对本项目保证技术服务的方案措施、协调好各部门关系的技术服务措施、在编写报告过程中的保密措施、能有效保证技术质量，达到承诺的质量标准等，服务及时，有优惠服务承诺；有人员服务承诺及拟派驻技术人员现场驻点服务措施。</w:t>
            </w:r>
          </w:p>
          <w:p w14:paraId="1E9A0CD0">
            <w:pPr>
              <w:keepLines w:val="0"/>
              <w:pageBreakBefore w:val="0"/>
              <w:kinsoku/>
              <w:wordWrap/>
              <w:overflowPunct/>
              <w:topLinePunct w:val="0"/>
              <w:autoSpaceDE/>
              <w:autoSpaceDN/>
              <w:bidi w:val="0"/>
              <w:adjustRightInd/>
              <w:spacing w:line="440" w:lineRule="exact"/>
              <w:ind w:firstLine="420"/>
              <w:textAlignment w:val="auto"/>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注：</w:t>
            </w:r>
            <w:r>
              <w:rPr>
                <w:rFonts w:hint="eastAsia" w:ascii="宋体" w:hAnsi="宋体" w:eastAsia="宋体" w:cs="宋体"/>
                <w:color w:val="auto"/>
                <w:highlight w:val="none"/>
                <w:lang w:val="en-US" w:eastAsia="zh-CN"/>
              </w:rPr>
              <w:t>未提供后续服务方案或提供的后续服务方案与本项目无关的</w:t>
            </w:r>
            <w:r>
              <w:rPr>
                <w:rFonts w:hint="eastAsia" w:ascii="宋体" w:hAnsi="宋体" w:cs="宋体"/>
                <w:color w:val="auto"/>
                <w:highlight w:val="none"/>
                <w:lang w:val="en-US" w:eastAsia="zh-CN"/>
              </w:rPr>
              <w:t>得0分 。</w:t>
            </w:r>
          </w:p>
        </w:tc>
        <w:tc>
          <w:tcPr>
            <w:tcW w:w="1264" w:type="dxa"/>
            <w:vAlign w:val="center"/>
          </w:tcPr>
          <w:p w14:paraId="7497CB6E">
            <w:pPr>
              <w:spacing w:line="400" w:lineRule="exact"/>
              <w:jc w:val="center"/>
              <w:rPr>
                <w:rFonts w:hint="eastAsia" w:ascii="宋体" w:hAnsi="宋体" w:cs="宋体"/>
                <w:color w:val="auto"/>
                <w:kern w:val="0"/>
                <w:szCs w:val="21"/>
              </w:rPr>
            </w:pPr>
            <w:r>
              <w:rPr>
                <w:rFonts w:hint="eastAsia" w:ascii="宋体" w:hAnsi="宋体" w:cs="宋体"/>
                <w:color w:val="auto"/>
                <w:kern w:val="0"/>
                <w:szCs w:val="21"/>
                <w:lang w:val="en-US" w:eastAsia="zh-CN"/>
              </w:rPr>
              <w:t>10</w:t>
            </w:r>
            <w:r>
              <w:rPr>
                <w:rFonts w:hint="eastAsia" w:ascii="宋体" w:hAnsi="宋体" w:cs="宋体"/>
                <w:color w:val="auto"/>
                <w:kern w:val="0"/>
                <w:szCs w:val="21"/>
              </w:rPr>
              <w:t>分</w:t>
            </w:r>
          </w:p>
        </w:tc>
      </w:tr>
      <w:tr w14:paraId="29FF8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7" w:hRule="atLeast"/>
          <w:jc w:val="center"/>
        </w:trPr>
        <w:tc>
          <w:tcPr>
            <w:tcW w:w="695" w:type="dxa"/>
            <w:vAlign w:val="center"/>
          </w:tcPr>
          <w:p w14:paraId="45D1FD74">
            <w:pPr>
              <w:widowControl/>
              <w:wordWrap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en-US" w:eastAsia="zh-CN"/>
              </w:rPr>
              <w:t>4</w:t>
            </w:r>
          </w:p>
        </w:tc>
        <w:tc>
          <w:tcPr>
            <w:tcW w:w="1361" w:type="dxa"/>
            <w:vAlign w:val="center"/>
          </w:tcPr>
          <w:p w14:paraId="53CC5ED6">
            <w:pPr>
              <w:spacing w:line="360" w:lineRule="auto"/>
              <w:rPr>
                <w:rFonts w:hint="eastAsia" w:ascii="宋体" w:hAnsi="宋体" w:cs="宋体"/>
                <w:color w:val="auto"/>
                <w:szCs w:val="21"/>
                <w:highlight w:val="none"/>
              </w:rPr>
            </w:pPr>
            <w:r>
              <w:rPr>
                <w:rFonts w:hint="eastAsia" w:ascii="宋体" w:hAnsi="宋体" w:cs="宋体"/>
                <w:bCs/>
                <w:color w:val="auto"/>
                <w:szCs w:val="21"/>
                <w:highlight w:val="none"/>
              </w:rPr>
              <w:t>拟投入本项目的人员配置</w:t>
            </w:r>
          </w:p>
        </w:tc>
        <w:tc>
          <w:tcPr>
            <w:tcW w:w="6667" w:type="dxa"/>
            <w:vAlign w:val="center"/>
          </w:tcPr>
          <w:p w14:paraId="6CBF4792">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1.项目负责人（满分8分）</w:t>
            </w:r>
          </w:p>
          <w:p w14:paraId="001FA8E2">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具备注册于本单位的有效咨询工程师（投资）执业资格证书，注册专业</w:t>
            </w:r>
            <w:r>
              <w:rPr>
                <w:rFonts w:hint="eastAsia" w:ascii="宋体" w:hAnsi="宋体" w:cs="宋体"/>
                <w:bCs/>
                <w:color w:val="auto"/>
                <w:kern w:val="2"/>
                <w:sz w:val="21"/>
                <w:szCs w:val="21"/>
                <w:highlight w:val="none"/>
                <w:lang w:val="en-US" w:eastAsia="zh-CN" w:bidi="ar-SA"/>
              </w:rPr>
              <w:t>为“</w:t>
            </w:r>
            <w:r>
              <w:rPr>
                <w:rFonts w:hint="eastAsia" w:ascii="宋体" w:hAnsi="宋体" w:eastAsia="宋体" w:cs="宋体"/>
                <w:bCs/>
                <w:color w:val="auto"/>
                <w:kern w:val="2"/>
                <w:sz w:val="21"/>
                <w:szCs w:val="21"/>
                <w:highlight w:val="none"/>
                <w:lang w:val="en-US" w:eastAsia="zh-CN" w:bidi="ar-SA"/>
              </w:rPr>
              <w:t>农业</w:t>
            </w:r>
            <w:r>
              <w:rPr>
                <w:rFonts w:hint="eastAsia" w:ascii="宋体" w:hAnsi="宋体" w:cs="宋体"/>
                <w:bCs/>
                <w:color w:val="auto"/>
                <w:kern w:val="2"/>
                <w:sz w:val="21"/>
                <w:szCs w:val="21"/>
                <w:highlight w:val="none"/>
                <w:lang w:val="en-US" w:eastAsia="zh-CN" w:bidi="ar-SA"/>
              </w:rPr>
              <w:t>、</w:t>
            </w:r>
            <w:r>
              <w:rPr>
                <w:rFonts w:hint="eastAsia" w:ascii="宋体" w:hAnsi="宋体" w:eastAsia="宋体" w:cs="宋体"/>
                <w:bCs/>
                <w:color w:val="auto"/>
                <w:kern w:val="2"/>
                <w:sz w:val="21"/>
                <w:szCs w:val="21"/>
                <w:highlight w:val="none"/>
                <w:lang w:val="en-US" w:eastAsia="zh-CN" w:bidi="ar-SA"/>
              </w:rPr>
              <w:t>林业</w:t>
            </w:r>
            <w:r>
              <w:rPr>
                <w:rFonts w:hint="eastAsia" w:ascii="宋体" w:hAnsi="宋体" w:cs="宋体"/>
                <w:bCs/>
                <w:color w:val="auto"/>
                <w:kern w:val="2"/>
                <w:sz w:val="21"/>
                <w:szCs w:val="21"/>
                <w:highlight w:val="none"/>
                <w:lang w:val="en-US" w:eastAsia="zh-CN" w:bidi="ar-SA"/>
              </w:rPr>
              <w:t>”或“</w:t>
            </w:r>
            <w:r>
              <w:rPr>
                <w:rFonts w:hint="eastAsia" w:ascii="宋体" w:hAnsi="宋体" w:eastAsia="宋体" w:cs="宋体"/>
                <w:bCs/>
                <w:color w:val="auto"/>
                <w:kern w:val="2"/>
                <w:sz w:val="21"/>
                <w:szCs w:val="21"/>
                <w:highlight w:val="none"/>
                <w:lang w:val="en-US" w:eastAsia="zh-CN" w:bidi="ar-SA"/>
              </w:rPr>
              <w:t>生态建设和环境工程</w:t>
            </w:r>
            <w:r>
              <w:rPr>
                <w:rFonts w:hint="eastAsia" w:ascii="宋体" w:hAnsi="宋体" w:cs="宋体"/>
                <w:bCs/>
                <w:color w:val="auto"/>
                <w:kern w:val="2"/>
                <w:sz w:val="21"/>
                <w:szCs w:val="21"/>
                <w:highlight w:val="none"/>
                <w:lang w:val="en-US" w:eastAsia="zh-CN" w:bidi="ar-SA"/>
              </w:rPr>
              <w:t>”的</w:t>
            </w:r>
            <w:r>
              <w:rPr>
                <w:rFonts w:hint="eastAsia" w:ascii="宋体" w:hAnsi="宋体" w:eastAsia="宋体" w:cs="宋体"/>
                <w:bCs/>
                <w:color w:val="auto"/>
                <w:kern w:val="2"/>
                <w:sz w:val="21"/>
                <w:szCs w:val="21"/>
                <w:highlight w:val="none"/>
                <w:lang w:val="en-US" w:eastAsia="zh-CN" w:bidi="ar-SA"/>
              </w:rPr>
              <w:t>，得4分；同时具备相关专业</w:t>
            </w:r>
            <w:r>
              <w:rPr>
                <w:rFonts w:hint="eastAsia" w:ascii="宋体" w:hAnsi="宋体" w:cs="宋体"/>
                <w:bCs/>
                <w:color w:val="auto"/>
                <w:kern w:val="2"/>
                <w:sz w:val="21"/>
                <w:szCs w:val="21"/>
                <w:highlight w:val="none"/>
                <w:lang w:val="en-US" w:eastAsia="zh-CN" w:bidi="ar-SA"/>
              </w:rPr>
              <w:t>（</w:t>
            </w:r>
            <w:r>
              <w:rPr>
                <w:rFonts w:hint="eastAsia" w:ascii="宋体" w:hAnsi="宋体" w:eastAsia="宋体" w:cs="宋体"/>
                <w:bCs/>
                <w:color w:val="auto"/>
                <w:kern w:val="2"/>
                <w:sz w:val="21"/>
                <w:szCs w:val="21"/>
                <w:highlight w:val="none"/>
                <w:lang w:val="en-US" w:eastAsia="zh-CN" w:bidi="ar-SA"/>
              </w:rPr>
              <w:t>农业</w:t>
            </w:r>
            <w:r>
              <w:rPr>
                <w:rFonts w:hint="eastAsia" w:ascii="宋体" w:hAnsi="宋体" w:cs="宋体"/>
                <w:bCs/>
                <w:color w:val="auto"/>
                <w:kern w:val="2"/>
                <w:sz w:val="21"/>
                <w:szCs w:val="21"/>
                <w:highlight w:val="none"/>
                <w:lang w:val="en-US" w:eastAsia="zh-CN" w:bidi="ar-SA"/>
              </w:rPr>
              <w:t>/</w:t>
            </w:r>
            <w:r>
              <w:rPr>
                <w:rFonts w:hint="eastAsia" w:ascii="宋体" w:hAnsi="宋体" w:eastAsia="宋体" w:cs="宋体"/>
                <w:bCs/>
                <w:color w:val="auto"/>
                <w:kern w:val="2"/>
                <w:sz w:val="21"/>
                <w:szCs w:val="21"/>
                <w:highlight w:val="none"/>
                <w:lang w:val="en-US" w:eastAsia="zh-CN" w:bidi="ar-SA"/>
              </w:rPr>
              <w:t>林业</w:t>
            </w:r>
            <w:r>
              <w:rPr>
                <w:rFonts w:hint="eastAsia" w:ascii="宋体" w:hAnsi="宋体" w:cs="宋体"/>
                <w:bCs/>
                <w:color w:val="auto"/>
                <w:kern w:val="2"/>
                <w:sz w:val="21"/>
                <w:szCs w:val="21"/>
                <w:highlight w:val="none"/>
                <w:lang w:val="en-US" w:eastAsia="zh-CN" w:bidi="ar-SA"/>
              </w:rPr>
              <w:t>/</w:t>
            </w:r>
            <w:r>
              <w:rPr>
                <w:rFonts w:hint="eastAsia" w:ascii="宋体" w:hAnsi="宋体" w:eastAsia="宋体" w:cs="宋体"/>
                <w:bCs/>
                <w:color w:val="auto"/>
                <w:kern w:val="2"/>
                <w:sz w:val="21"/>
                <w:szCs w:val="21"/>
                <w:highlight w:val="none"/>
                <w:lang w:val="en-US" w:eastAsia="zh-CN" w:bidi="ar-SA"/>
              </w:rPr>
              <w:t>生态环境</w:t>
            </w:r>
            <w:r>
              <w:rPr>
                <w:rFonts w:hint="eastAsia" w:ascii="宋体" w:hAnsi="宋体" w:cs="宋体"/>
                <w:bCs/>
                <w:color w:val="auto"/>
                <w:kern w:val="2"/>
                <w:sz w:val="21"/>
                <w:szCs w:val="21"/>
                <w:highlight w:val="none"/>
                <w:lang w:val="en-US" w:eastAsia="zh-CN" w:bidi="ar-SA"/>
              </w:rPr>
              <w:t>等）</w:t>
            </w:r>
            <w:r>
              <w:rPr>
                <w:rFonts w:hint="eastAsia" w:ascii="宋体" w:hAnsi="宋体" w:eastAsia="宋体" w:cs="宋体"/>
                <w:bCs/>
                <w:color w:val="auto"/>
                <w:kern w:val="2"/>
                <w:sz w:val="21"/>
                <w:szCs w:val="21"/>
                <w:highlight w:val="none"/>
                <w:lang w:val="en-US" w:eastAsia="zh-CN" w:bidi="ar-SA"/>
              </w:rPr>
              <w:t>高级工程师职称</w:t>
            </w:r>
            <w:bookmarkStart w:id="192" w:name="_GoBack"/>
            <w:bookmarkEnd w:id="192"/>
            <w:r>
              <w:rPr>
                <w:rFonts w:hint="eastAsia" w:ascii="宋体" w:hAnsi="宋体" w:eastAsia="宋体" w:cs="宋体"/>
                <w:bCs/>
                <w:color w:val="auto"/>
                <w:kern w:val="2"/>
                <w:sz w:val="21"/>
                <w:szCs w:val="21"/>
                <w:highlight w:val="none"/>
                <w:lang w:val="en-US" w:eastAsia="zh-CN" w:bidi="ar-SA"/>
              </w:rPr>
              <w:t>，再加4分，两项累计最高8分。</w:t>
            </w:r>
          </w:p>
          <w:p w14:paraId="4B9E3216">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2.专业技术团队（项目负责人除外，满分1</w:t>
            </w:r>
            <w:r>
              <w:rPr>
                <w:rFonts w:hint="eastAsia" w:ascii="宋体" w:hAnsi="宋体" w:cs="宋体"/>
                <w:bCs/>
                <w:color w:val="auto"/>
                <w:kern w:val="2"/>
                <w:sz w:val="21"/>
                <w:szCs w:val="21"/>
                <w:highlight w:val="none"/>
                <w:lang w:val="en-US" w:eastAsia="zh-CN" w:bidi="ar-SA"/>
              </w:rPr>
              <w:t>2</w:t>
            </w:r>
            <w:r>
              <w:rPr>
                <w:rFonts w:hint="eastAsia" w:ascii="宋体" w:hAnsi="宋体" w:eastAsia="宋体" w:cs="宋体"/>
                <w:bCs/>
                <w:color w:val="auto"/>
                <w:kern w:val="2"/>
                <w:sz w:val="21"/>
                <w:szCs w:val="21"/>
                <w:highlight w:val="none"/>
                <w:lang w:val="en-US" w:eastAsia="zh-CN" w:bidi="ar-SA"/>
              </w:rPr>
              <w:t>分）</w:t>
            </w:r>
          </w:p>
          <w:p w14:paraId="475DE90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（1）职称得分（满分6分）</w:t>
            </w:r>
          </w:p>
          <w:p w14:paraId="764FBF1C">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团队技术人员具备相关专业</w:t>
            </w:r>
            <w:r>
              <w:rPr>
                <w:rFonts w:hint="eastAsia" w:ascii="宋体" w:hAnsi="宋体" w:cs="宋体"/>
                <w:bCs/>
                <w:color w:val="auto"/>
                <w:kern w:val="2"/>
                <w:sz w:val="21"/>
                <w:szCs w:val="21"/>
                <w:highlight w:val="none"/>
                <w:lang w:val="en-US" w:eastAsia="zh-CN" w:bidi="ar-SA"/>
              </w:rPr>
              <w:t>（</w:t>
            </w:r>
            <w:r>
              <w:rPr>
                <w:rFonts w:hint="eastAsia" w:ascii="宋体" w:hAnsi="宋体" w:eastAsia="宋体" w:cs="宋体"/>
                <w:bCs/>
                <w:color w:val="auto"/>
                <w:kern w:val="2"/>
                <w:sz w:val="21"/>
                <w:szCs w:val="21"/>
                <w:highlight w:val="none"/>
                <w:lang w:val="en-US" w:eastAsia="zh-CN" w:bidi="ar-SA"/>
              </w:rPr>
              <w:t>农业</w:t>
            </w:r>
            <w:r>
              <w:rPr>
                <w:rFonts w:hint="eastAsia" w:ascii="宋体" w:hAnsi="宋体" w:cs="宋体"/>
                <w:bCs/>
                <w:color w:val="auto"/>
                <w:kern w:val="2"/>
                <w:sz w:val="21"/>
                <w:szCs w:val="21"/>
                <w:highlight w:val="none"/>
                <w:lang w:val="en-US" w:eastAsia="zh-CN" w:bidi="ar-SA"/>
              </w:rPr>
              <w:t>/</w:t>
            </w:r>
            <w:r>
              <w:rPr>
                <w:rFonts w:hint="eastAsia" w:ascii="宋体" w:hAnsi="宋体" w:eastAsia="宋体" w:cs="宋体"/>
                <w:bCs/>
                <w:color w:val="auto"/>
                <w:kern w:val="2"/>
                <w:sz w:val="21"/>
                <w:szCs w:val="21"/>
                <w:highlight w:val="none"/>
                <w:lang w:val="en-US" w:eastAsia="zh-CN" w:bidi="ar-SA"/>
              </w:rPr>
              <w:t>林业</w:t>
            </w:r>
            <w:r>
              <w:rPr>
                <w:rFonts w:hint="eastAsia" w:ascii="宋体" w:hAnsi="宋体" w:cs="宋体"/>
                <w:bCs/>
                <w:color w:val="auto"/>
                <w:kern w:val="2"/>
                <w:sz w:val="21"/>
                <w:szCs w:val="21"/>
                <w:highlight w:val="none"/>
                <w:lang w:val="en-US" w:eastAsia="zh-CN" w:bidi="ar-SA"/>
              </w:rPr>
              <w:t>/</w:t>
            </w:r>
            <w:r>
              <w:rPr>
                <w:rFonts w:hint="eastAsia" w:ascii="宋体" w:hAnsi="宋体" w:eastAsia="宋体" w:cs="宋体"/>
                <w:bCs/>
                <w:color w:val="auto"/>
                <w:kern w:val="2"/>
                <w:sz w:val="21"/>
                <w:szCs w:val="21"/>
                <w:highlight w:val="none"/>
                <w:lang w:val="en-US" w:eastAsia="zh-CN" w:bidi="ar-SA"/>
              </w:rPr>
              <w:t>生态环境</w:t>
            </w:r>
            <w:r>
              <w:rPr>
                <w:rFonts w:hint="eastAsia" w:ascii="宋体" w:hAnsi="宋体" w:cs="宋体"/>
                <w:bCs/>
                <w:color w:val="auto"/>
                <w:kern w:val="2"/>
                <w:sz w:val="21"/>
                <w:szCs w:val="21"/>
                <w:highlight w:val="none"/>
                <w:lang w:val="en-US" w:eastAsia="zh-CN" w:bidi="ar-SA"/>
              </w:rPr>
              <w:t>等）</w:t>
            </w:r>
            <w:r>
              <w:rPr>
                <w:rFonts w:hint="eastAsia" w:ascii="宋体" w:hAnsi="宋体" w:eastAsia="宋体" w:cs="宋体"/>
                <w:bCs/>
                <w:color w:val="auto"/>
                <w:kern w:val="2"/>
                <w:sz w:val="21"/>
                <w:szCs w:val="21"/>
                <w:highlight w:val="none"/>
                <w:lang w:val="en-US" w:eastAsia="zh-CN" w:bidi="ar-SA"/>
              </w:rPr>
              <w:t>高级工程师职称，每人2分；具备相关专业</w:t>
            </w:r>
            <w:r>
              <w:rPr>
                <w:rFonts w:hint="eastAsia" w:ascii="宋体" w:hAnsi="宋体" w:cs="宋体"/>
                <w:bCs/>
                <w:color w:val="auto"/>
                <w:kern w:val="2"/>
                <w:sz w:val="21"/>
                <w:szCs w:val="21"/>
                <w:highlight w:val="none"/>
                <w:lang w:val="en-US" w:eastAsia="zh-CN" w:bidi="ar-SA"/>
              </w:rPr>
              <w:t>（</w:t>
            </w:r>
            <w:r>
              <w:rPr>
                <w:rFonts w:hint="eastAsia" w:ascii="宋体" w:hAnsi="宋体" w:eastAsia="宋体" w:cs="宋体"/>
                <w:bCs/>
                <w:color w:val="auto"/>
                <w:kern w:val="2"/>
                <w:sz w:val="21"/>
                <w:szCs w:val="21"/>
                <w:highlight w:val="none"/>
                <w:lang w:val="en-US" w:eastAsia="zh-CN" w:bidi="ar-SA"/>
              </w:rPr>
              <w:t>农业</w:t>
            </w:r>
            <w:r>
              <w:rPr>
                <w:rFonts w:hint="eastAsia" w:ascii="宋体" w:hAnsi="宋体" w:cs="宋体"/>
                <w:bCs/>
                <w:color w:val="auto"/>
                <w:kern w:val="2"/>
                <w:sz w:val="21"/>
                <w:szCs w:val="21"/>
                <w:highlight w:val="none"/>
                <w:lang w:val="en-US" w:eastAsia="zh-CN" w:bidi="ar-SA"/>
              </w:rPr>
              <w:t>/</w:t>
            </w:r>
            <w:r>
              <w:rPr>
                <w:rFonts w:hint="eastAsia" w:ascii="宋体" w:hAnsi="宋体" w:eastAsia="宋体" w:cs="宋体"/>
                <w:bCs/>
                <w:color w:val="auto"/>
                <w:kern w:val="2"/>
                <w:sz w:val="21"/>
                <w:szCs w:val="21"/>
                <w:highlight w:val="none"/>
                <w:lang w:val="en-US" w:eastAsia="zh-CN" w:bidi="ar-SA"/>
              </w:rPr>
              <w:t>林业</w:t>
            </w:r>
            <w:r>
              <w:rPr>
                <w:rFonts w:hint="eastAsia" w:ascii="宋体" w:hAnsi="宋体" w:cs="宋体"/>
                <w:bCs/>
                <w:color w:val="auto"/>
                <w:kern w:val="2"/>
                <w:sz w:val="21"/>
                <w:szCs w:val="21"/>
                <w:highlight w:val="none"/>
                <w:lang w:val="en-US" w:eastAsia="zh-CN" w:bidi="ar-SA"/>
              </w:rPr>
              <w:t>/</w:t>
            </w:r>
            <w:r>
              <w:rPr>
                <w:rFonts w:hint="eastAsia" w:ascii="宋体" w:hAnsi="宋体" w:eastAsia="宋体" w:cs="宋体"/>
                <w:bCs/>
                <w:color w:val="auto"/>
                <w:kern w:val="2"/>
                <w:sz w:val="21"/>
                <w:szCs w:val="21"/>
                <w:highlight w:val="none"/>
                <w:lang w:val="en-US" w:eastAsia="zh-CN" w:bidi="ar-SA"/>
              </w:rPr>
              <w:t>生态环境</w:t>
            </w:r>
            <w:r>
              <w:rPr>
                <w:rFonts w:hint="eastAsia" w:ascii="宋体" w:hAnsi="宋体" w:cs="宋体"/>
                <w:bCs/>
                <w:color w:val="auto"/>
                <w:kern w:val="2"/>
                <w:sz w:val="21"/>
                <w:szCs w:val="21"/>
                <w:highlight w:val="none"/>
                <w:lang w:val="en-US" w:eastAsia="zh-CN" w:bidi="ar-SA"/>
              </w:rPr>
              <w:t>等）</w:t>
            </w:r>
            <w:r>
              <w:rPr>
                <w:rFonts w:hint="eastAsia" w:ascii="宋体" w:hAnsi="宋体" w:eastAsia="宋体" w:cs="宋体"/>
                <w:bCs/>
                <w:color w:val="auto"/>
                <w:kern w:val="2"/>
                <w:sz w:val="21"/>
                <w:szCs w:val="21"/>
                <w:highlight w:val="none"/>
                <w:lang w:val="en-US" w:eastAsia="zh-CN" w:bidi="ar-SA"/>
              </w:rPr>
              <w:t>中级工程师职称，每人1分；</w:t>
            </w:r>
          </w:p>
          <w:p w14:paraId="1E4DD5EB">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（2）咨询工程师得分（满分</w:t>
            </w:r>
            <w:r>
              <w:rPr>
                <w:rFonts w:hint="eastAsia" w:ascii="宋体" w:hAnsi="宋体" w:cs="宋体"/>
                <w:bCs/>
                <w:color w:val="auto"/>
                <w:kern w:val="2"/>
                <w:sz w:val="21"/>
                <w:szCs w:val="21"/>
                <w:highlight w:val="none"/>
                <w:lang w:val="en-US" w:eastAsia="zh-CN" w:bidi="ar-SA"/>
              </w:rPr>
              <w:t>6</w:t>
            </w:r>
            <w:r>
              <w:rPr>
                <w:rFonts w:hint="eastAsia" w:ascii="宋体" w:hAnsi="宋体" w:eastAsia="宋体" w:cs="宋体"/>
                <w:bCs/>
                <w:color w:val="auto"/>
                <w:kern w:val="2"/>
                <w:sz w:val="21"/>
                <w:szCs w:val="21"/>
                <w:highlight w:val="none"/>
                <w:lang w:val="en-US" w:eastAsia="zh-CN" w:bidi="ar-SA"/>
              </w:rPr>
              <w:t>分）</w:t>
            </w:r>
          </w:p>
          <w:p w14:paraId="467511AF">
            <w:pPr>
              <w:spacing w:line="400" w:lineRule="exact"/>
              <w:ind w:firstLine="420" w:firstLineChars="200"/>
              <w:jc w:val="left"/>
              <w:rPr>
                <w:rFonts w:hint="default" w:ascii="宋体" w:hAnsi="宋体" w:eastAsia="宋体" w:cs="宋体"/>
                <w:bCs/>
                <w:color w:val="auto"/>
                <w:szCs w:val="21"/>
                <w:highlight w:val="none"/>
                <w:lang w:val="en-US" w:eastAsia="zh-CN"/>
              </w:rPr>
            </w:pPr>
            <w:r>
              <w:rPr>
                <w:rFonts w:hint="eastAsia" w:ascii="宋体" w:hAnsi="宋体" w:eastAsia="宋体" w:cs="宋体"/>
                <w:bCs/>
                <w:color w:val="auto"/>
                <w:kern w:val="2"/>
                <w:sz w:val="21"/>
                <w:szCs w:val="21"/>
                <w:highlight w:val="none"/>
                <w:lang w:val="en-US" w:eastAsia="zh-CN" w:bidi="ar-SA"/>
              </w:rPr>
              <w:t>团队技术人员具备注册于本单位的有效咨询工程师（投资）执业资格证书，注册专业</w:t>
            </w:r>
            <w:r>
              <w:rPr>
                <w:rFonts w:hint="eastAsia" w:ascii="宋体" w:hAnsi="宋体" w:cs="宋体"/>
                <w:bCs/>
                <w:color w:val="auto"/>
                <w:kern w:val="2"/>
                <w:sz w:val="21"/>
                <w:szCs w:val="21"/>
                <w:highlight w:val="none"/>
                <w:lang w:val="en-US" w:eastAsia="zh-CN" w:bidi="ar-SA"/>
              </w:rPr>
              <w:t>为“</w:t>
            </w:r>
            <w:r>
              <w:rPr>
                <w:rFonts w:hint="eastAsia" w:ascii="宋体" w:hAnsi="宋体" w:eastAsia="宋体" w:cs="宋体"/>
                <w:bCs/>
                <w:color w:val="auto"/>
                <w:kern w:val="2"/>
                <w:sz w:val="21"/>
                <w:szCs w:val="21"/>
                <w:highlight w:val="none"/>
                <w:lang w:val="en-US" w:eastAsia="zh-CN" w:bidi="ar-SA"/>
              </w:rPr>
              <w:t>农业、林业</w:t>
            </w:r>
            <w:r>
              <w:rPr>
                <w:rFonts w:hint="eastAsia" w:ascii="宋体" w:hAnsi="宋体" w:cs="宋体"/>
                <w:bCs/>
                <w:color w:val="auto"/>
                <w:kern w:val="2"/>
                <w:sz w:val="21"/>
                <w:szCs w:val="21"/>
                <w:highlight w:val="none"/>
                <w:lang w:val="en-US" w:eastAsia="zh-CN" w:bidi="ar-SA"/>
              </w:rPr>
              <w:t>”或“</w:t>
            </w:r>
            <w:r>
              <w:rPr>
                <w:rFonts w:hint="eastAsia" w:ascii="宋体" w:hAnsi="宋体" w:eastAsia="宋体" w:cs="宋体"/>
                <w:bCs/>
                <w:color w:val="auto"/>
                <w:kern w:val="2"/>
                <w:sz w:val="21"/>
                <w:szCs w:val="21"/>
                <w:highlight w:val="none"/>
                <w:lang w:val="en-US" w:eastAsia="zh-CN" w:bidi="ar-SA"/>
              </w:rPr>
              <w:t>生态建设和环境工程</w:t>
            </w:r>
            <w:r>
              <w:rPr>
                <w:rFonts w:hint="eastAsia" w:ascii="宋体" w:hAnsi="宋体" w:cs="宋体"/>
                <w:bCs/>
                <w:color w:val="auto"/>
                <w:kern w:val="2"/>
                <w:sz w:val="21"/>
                <w:szCs w:val="21"/>
                <w:highlight w:val="none"/>
                <w:lang w:val="en-US" w:eastAsia="zh-CN" w:bidi="ar-SA"/>
              </w:rPr>
              <w:t>”</w:t>
            </w:r>
            <w:r>
              <w:rPr>
                <w:rFonts w:hint="eastAsia" w:ascii="宋体" w:hAnsi="宋体" w:eastAsia="宋体" w:cs="宋体"/>
                <w:bCs/>
                <w:color w:val="auto"/>
                <w:kern w:val="2"/>
                <w:sz w:val="21"/>
                <w:szCs w:val="21"/>
                <w:highlight w:val="none"/>
                <w:lang w:val="en-US" w:eastAsia="zh-CN" w:bidi="ar-SA"/>
              </w:rPr>
              <w:t>，每人</w:t>
            </w:r>
            <w:r>
              <w:rPr>
                <w:rFonts w:hint="eastAsia" w:ascii="宋体" w:hAnsi="宋体" w:cs="宋体"/>
                <w:bCs/>
                <w:color w:val="auto"/>
                <w:kern w:val="2"/>
                <w:sz w:val="21"/>
                <w:szCs w:val="21"/>
                <w:highlight w:val="none"/>
                <w:lang w:val="en-US" w:eastAsia="zh-CN" w:bidi="ar-SA"/>
              </w:rPr>
              <w:t>3</w:t>
            </w:r>
            <w:r>
              <w:rPr>
                <w:rFonts w:hint="eastAsia" w:ascii="宋体" w:hAnsi="宋体" w:eastAsia="宋体" w:cs="宋体"/>
                <w:bCs/>
                <w:color w:val="auto"/>
                <w:kern w:val="2"/>
                <w:sz w:val="21"/>
                <w:szCs w:val="21"/>
                <w:highlight w:val="none"/>
                <w:lang w:val="en-US" w:eastAsia="zh-CN" w:bidi="ar-SA"/>
              </w:rPr>
              <w:t>分</w:t>
            </w:r>
            <w:r>
              <w:rPr>
                <w:rFonts w:hint="eastAsia" w:ascii="宋体" w:hAnsi="宋体" w:cs="宋体"/>
                <w:bCs/>
                <w:color w:val="auto"/>
                <w:kern w:val="2"/>
                <w:sz w:val="21"/>
                <w:szCs w:val="21"/>
                <w:highlight w:val="none"/>
                <w:lang w:val="en-US" w:eastAsia="zh-CN" w:bidi="ar-SA"/>
              </w:rPr>
              <w:t>。</w:t>
            </w:r>
          </w:p>
          <w:p w14:paraId="1CA33AB2">
            <w:pPr>
              <w:spacing w:line="360" w:lineRule="auto"/>
              <w:ind w:firstLine="422" w:firstLineChars="200"/>
              <w:jc w:val="left"/>
              <w:rPr>
                <w:rFonts w:hint="eastAsia" w:ascii="宋体" w:hAnsi="宋体" w:cs="宋体"/>
                <w:color w:val="auto"/>
                <w:szCs w:val="21"/>
                <w:highlight w:val="none"/>
              </w:rPr>
            </w:pPr>
            <w:r>
              <w:rPr>
                <w:rFonts w:hint="eastAsia" w:ascii="宋体" w:hAnsi="宋体" w:cs="宋体"/>
                <w:b/>
                <w:color w:val="auto"/>
                <w:szCs w:val="21"/>
                <w:highlight w:val="none"/>
                <w:lang w:val="en-US" w:eastAsia="zh-CN"/>
              </w:rPr>
              <w:t>注：同一人员具有多个证书的，只按最高得分项计取一次分数，不重复计分。供应商需提供项目组人员有效的相关证书（按上述评分要求提供）、身份证（正反面）和供应商自2026年1月至今任意一个月为拟投入本项目的人员缴纳社保的证明材料</w:t>
            </w:r>
            <w:r>
              <w:rPr>
                <w:rFonts w:hint="eastAsia" w:ascii="宋体" w:hAnsi="宋体" w:eastAsia="宋体" w:cs="宋体"/>
                <w:b/>
                <w:bCs w:val="0"/>
                <w:color w:val="auto"/>
                <w:kern w:val="2"/>
                <w:sz w:val="21"/>
                <w:szCs w:val="21"/>
                <w:highlight w:val="none"/>
                <w:lang w:val="en-US" w:eastAsia="zh-CN" w:bidi="ar-SA"/>
              </w:rPr>
              <w:t>或截标时间前半年内任意一个月人员工资流水证明</w:t>
            </w:r>
            <w:r>
              <w:rPr>
                <w:rFonts w:hint="eastAsia" w:ascii="宋体" w:hAnsi="宋体" w:cs="宋体"/>
                <w:b/>
                <w:color w:val="auto"/>
                <w:szCs w:val="21"/>
                <w:highlight w:val="none"/>
                <w:lang w:val="en-US" w:eastAsia="zh-CN"/>
              </w:rPr>
              <w:t>或劳动合同扫描件方可计分。扫描件须清晰可辨，否则视为未提供。</w:t>
            </w:r>
          </w:p>
        </w:tc>
        <w:tc>
          <w:tcPr>
            <w:tcW w:w="1264" w:type="dxa"/>
            <w:vAlign w:val="center"/>
          </w:tcPr>
          <w:p w14:paraId="2A2FD0D3">
            <w:pPr>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20</w:t>
            </w:r>
            <w:r>
              <w:rPr>
                <w:rFonts w:hint="eastAsia" w:ascii="宋体" w:hAnsi="宋体" w:cs="宋体"/>
                <w:color w:val="auto"/>
                <w:kern w:val="0"/>
                <w:szCs w:val="21"/>
                <w:highlight w:val="none"/>
              </w:rPr>
              <w:t>分</w:t>
            </w:r>
          </w:p>
        </w:tc>
      </w:tr>
      <w:tr w14:paraId="0184C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5" w:type="dxa"/>
            <w:vAlign w:val="center"/>
          </w:tcPr>
          <w:p w14:paraId="06A3EB9B">
            <w:pPr>
              <w:widowControl/>
              <w:wordWrap w:val="0"/>
              <w:spacing w:line="360" w:lineRule="auto"/>
              <w:jc w:val="center"/>
              <w:rPr>
                <w:rFonts w:hint="eastAsia" w:ascii="宋体" w:hAnsi="宋体" w:cs="宋体"/>
                <w:b/>
                <w:bCs/>
                <w:color w:val="auto"/>
                <w:kern w:val="0"/>
                <w:szCs w:val="21"/>
              </w:rPr>
            </w:pPr>
            <w:r>
              <w:rPr>
                <w:rFonts w:hint="eastAsia" w:ascii="宋体" w:hAnsi="宋体" w:cs="宋体"/>
                <w:b/>
                <w:bCs/>
                <w:color w:val="auto"/>
                <w:kern w:val="0"/>
                <w:szCs w:val="21"/>
              </w:rPr>
              <w:t>3</w:t>
            </w:r>
          </w:p>
        </w:tc>
        <w:tc>
          <w:tcPr>
            <w:tcW w:w="1361" w:type="dxa"/>
            <w:vAlign w:val="center"/>
          </w:tcPr>
          <w:p w14:paraId="295F5949">
            <w:pPr>
              <w:widowControl/>
              <w:wordWrap w:val="0"/>
              <w:spacing w:line="360" w:lineRule="auto"/>
              <w:jc w:val="center"/>
              <w:rPr>
                <w:rFonts w:hint="eastAsia" w:ascii="宋体" w:hAnsi="宋体" w:cs="宋体"/>
                <w:b/>
                <w:bCs/>
                <w:color w:val="auto"/>
                <w:kern w:val="0"/>
                <w:szCs w:val="21"/>
              </w:rPr>
            </w:pPr>
            <w:r>
              <w:rPr>
                <w:rFonts w:hint="eastAsia" w:ascii="宋体" w:hAnsi="宋体" w:cs="宋体"/>
                <w:b/>
                <w:bCs/>
                <w:color w:val="auto"/>
                <w:kern w:val="0"/>
                <w:szCs w:val="21"/>
              </w:rPr>
              <w:t>商务分</w:t>
            </w:r>
          </w:p>
        </w:tc>
        <w:tc>
          <w:tcPr>
            <w:tcW w:w="6667" w:type="dxa"/>
            <w:vAlign w:val="center"/>
          </w:tcPr>
          <w:p w14:paraId="245A4FE9">
            <w:pPr>
              <w:widowControl/>
              <w:wordWrap w:val="0"/>
              <w:spacing w:line="360" w:lineRule="auto"/>
              <w:jc w:val="center"/>
              <w:rPr>
                <w:rFonts w:hint="eastAsia" w:ascii="宋体" w:hAnsi="宋体" w:cs="宋体"/>
                <w:b/>
                <w:bCs/>
                <w:color w:val="auto"/>
                <w:szCs w:val="21"/>
              </w:rPr>
            </w:pPr>
            <w:r>
              <w:rPr>
                <w:rFonts w:hint="eastAsia" w:ascii="宋体" w:hAnsi="宋体" w:cs="宋体"/>
                <w:b/>
                <w:bCs/>
                <w:color w:val="auto"/>
                <w:kern w:val="0"/>
                <w:szCs w:val="21"/>
              </w:rPr>
              <w:t>评审因素</w:t>
            </w:r>
          </w:p>
        </w:tc>
        <w:tc>
          <w:tcPr>
            <w:tcW w:w="1264" w:type="dxa"/>
            <w:vAlign w:val="center"/>
          </w:tcPr>
          <w:p w14:paraId="0DD37BE3">
            <w:pPr>
              <w:pStyle w:val="22"/>
              <w:wordWrap w:val="0"/>
              <w:spacing w:line="360" w:lineRule="auto"/>
              <w:jc w:val="center"/>
              <w:rPr>
                <w:rFonts w:hint="eastAsia" w:hAnsi="宋体" w:cs="宋体"/>
                <w:b/>
                <w:bCs/>
                <w:color w:val="auto"/>
                <w:sz w:val="21"/>
              </w:rPr>
            </w:pPr>
            <w:r>
              <w:rPr>
                <w:rFonts w:hint="eastAsia" w:hAnsi="宋体" w:cs="宋体"/>
                <w:b/>
                <w:bCs/>
                <w:color w:val="auto"/>
                <w:sz w:val="21"/>
              </w:rPr>
              <w:t>分值</w:t>
            </w:r>
          </w:p>
        </w:tc>
      </w:tr>
      <w:tr w14:paraId="63CA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5" w:type="dxa"/>
            <w:vAlign w:val="center"/>
          </w:tcPr>
          <w:p w14:paraId="49110DEE">
            <w:pPr>
              <w:snapToGrid w:val="0"/>
              <w:spacing w:line="360"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3.1</w:t>
            </w:r>
          </w:p>
        </w:tc>
        <w:tc>
          <w:tcPr>
            <w:tcW w:w="8028" w:type="dxa"/>
            <w:gridSpan w:val="2"/>
            <w:vAlign w:val="center"/>
          </w:tcPr>
          <w:p w14:paraId="00AC71BC">
            <w:pPr>
              <w:spacing w:line="400" w:lineRule="exact"/>
              <w:ind w:firstLine="420" w:firstLineChars="200"/>
              <w:rPr>
                <w:color w:val="auto"/>
              </w:rPr>
            </w:pP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.同类项目业绩（满分10分）：2023年1月1日以来供应商独立完成自然保护地、自然保护区勘界立标或林业/生态项目建议书、可研编制服务业绩，每个2.5分，累计最高10分</w:t>
            </w:r>
          </w:p>
          <w:p w14:paraId="7C380827">
            <w:pPr>
              <w:spacing w:line="40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（须在响应文件中提供有效的合同或中标（成交）通知书等相关证明材料复印件，并加盖公章作为证明材料，</w:t>
            </w:r>
            <w:r>
              <w:rPr>
                <w:rFonts w:hint="eastAsia" w:ascii="宋体" w:hAnsi="宋体" w:cs="宋体"/>
                <w:bCs/>
                <w:color w:val="auto"/>
                <w:szCs w:val="21"/>
                <w:highlight w:val="none"/>
                <w:lang w:val="en-US" w:eastAsia="zh-CN"/>
              </w:rPr>
              <w:t>否则</w:t>
            </w:r>
            <w:r>
              <w:rPr>
                <w:rFonts w:hint="eastAsia" w:ascii="宋体" w:hAnsi="宋体" w:cs="宋体"/>
                <w:bCs/>
                <w:color w:val="auto"/>
                <w:szCs w:val="21"/>
                <w:highlight w:val="none"/>
              </w:rPr>
              <w:t>不得分。）</w:t>
            </w:r>
          </w:p>
        </w:tc>
        <w:tc>
          <w:tcPr>
            <w:tcW w:w="1264" w:type="dxa"/>
            <w:vAlign w:val="center"/>
          </w:tcPr>
          <w:p w14:paraId="0E76F2A0">
            <w:pPr>
              <w:widowControl/>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10</w:t>
            </w:r>
            <w:r>
              <w:rPr>
                <w:rFonts w:hint="eastAsia" w:ascii="宋体" w:hAnsi="宋体" w:cs="宋体"/>
                <w:color w:val="auto"/>
                <w:kern w:val="0"/>
                <w:szCs w:val="21"/>
                <w:highlight w:val="none"/>
              </w:rPr>
              <w:t>分</w:t>
            </w:r>
          </w:p>
        </w:tc>
      </w:tr>
      <w:tr w14:paraId="0FCBC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9987" w:type="dxa"/>
            <w:gridSpan w:val="4"/>
            <w:vAlign w:val="center"/>
          </w:tcPr>
          <w:p w14:paraId="092CD94C">
            <w:pPr>
              <w:widowControl/>
              <w:wordWrap w:val="0"/>
              <w:spacing w:line="360" w:lineRule="auto"/>
              <w:jc w:val="left"/>
              <w:rPr>
                <w:rFonts w:hint="eastAsia" w:ascii="宋体" w:hAnsi="宋体" w:cs="宋体"/>
                <w:bCs/>
                <w:color w:val="auto"/>
                <w:kern w:val="0"/>
                <w:szCs w:val="21"/>
              </w:rPr>
            </w:pPr>
            <w:r>
              <w:rPr>
                <w:rFonts w:hint="eastAsia" w:ascii="宋体" w:hAnsi="宋体" w:cs="宋体"/>
                <w:color w:val="auto"/>
                <w:szCs w:val="21"/>
              </w:rPr>
              <w:t>总得分＝各项分值的总和</w:t>
            </w:r>
          </w:p>
        </w:tc>
      </w:tr>
    </w:tbl>
    <w:p w14:paraId="291DB2F6">
      <w:pPr>
        <w:pStyle w:val="2"/>
        <w:rPr>
          <w:color w:val="auto"/>
        </w:rPr>
      </w:pPr>
    </w:p>
    <w:p w14:paraId="370FC79E">
      <w:pPr>
        <w:spacing w:line="360" w:lineRule="auto"/>
        <w:ind w:firstLine="420" w:firstLineChars="200"/>
        <w:rPr>
          <w:rFonts w:hint="eastAsia" w:ascii="宋体" w:hAnsi="宋体" w:cs="宋体"/>
          <w:color w:val="auto"/>
        </w:rPr>
      </w:pPr>
      <w:bookmarkStart w:id="143" w:name="_Toc80205935"/>
      <w:r>
        <w:rPr>
          <w:rFonts w:hint="eastAsia" w:ascii="宋体" w:hAnsi="宋体" w:cs="宋体"/>
          <w:color w:val="auto"/>
          <w:lang w:val="en-US" w:eastAsia="zh-CN"/>
        </w:rPr>
        <w:t>8</w:t>
      </w:r>
      <w:r>
        <w:rPr>
          <w:rFonts w:hint="eastAsia" w:ascii="宋体" w:hAnsi="宋体" w:cs="宋体"/>
          <w:color w:val="auto"/>
        </w:rPr>
        <w:t>.2终止竞争性磋商采购活动</w:t>
      </w:r>
    </w:p>
    <w:p w14:paraId="2944851C">
      <w:pPr>
        <w:spacing w:line="360" w:lineRule="auto"/>
        <w:ind w:firstLine="420" w:firstLineChars="200"/>
        <w:rPr>
          <w:rFonts w:hint="eastAsia" w:ascii="宋体" w:hAnsi="宋体" w:cs="宋体"/>
          <w:color w:val="auto"/>
        </w:rPr>
      </w:pPr>
      <w:r>
        <w:rPr>
          <w:rFonts w:hint="eastAsia" w:ascii="宋体" w:hAnsi="宋体" w:cs="宋体"/>
          <w:color w:val="auto"/>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36440789">
      <w:pPr>
        <w:pStyle w:val="22"/>
        <w:spacing w:line="360" w:lineRule="auto"/>
        <w:ind w:left="472"/>
        <w:contextualSpacing/>
        <w:rPr>
          <w:rFonts w:hint="eastAsia" w:hAnsi="宋体" w:cs="宋体"/>
          <w:b/>
          <w:bCs/>
          <w:color w:val="auto"/>
          <w:sz w:val="21"/>
        </w:rPr>
      </w:pPr>
      <w:r>
        <w:rPr>
          <w:rFonts w:hint="eastAsia" w:hAnsi="宋体" w:cs="宋体"/>
          <w:b/>
          <w:bCs/>
          <w:color w:val="auto"/>
          <w:sz w:val="21"/>
          <w:lang w:val="en-US" w:eastAsia="zh-CN"/>
        </w:rPr>
        <w:t>8</w:t>
      </w:r>
      <w:r>
        <w:rPr>
          <w:rFonts w:hint="eastAsia" w:hAnsi="宋体" w:cs="宋体"/>
          <w:b/>
          <w:bCs/>
          <w:color w:val="auto"/>
          <w:sz w:val="21"/>
        </w:rPr>
        <w:t>.3政府采购异常低价审查</w:t>
      </w:r>
    </w:p>
    <w:p w14:paraId="71C51FE7">
      <w:pPr>
        <w:pStyle w:val="22"/>
        <w:widowControl/>
        <w:shd w:val="clear" w:color="auto" w:fill="FFFFFF"/>
        <w:spacing w:line="360" w:lineRule="auto"/>
        <w:ind w:firstLine="420" w:firstLineChars="200"/>
        <w:contextualSpacing/>
        <w:textAlignment w:val="baseline"/>
        <w:rPr>
          <w:rFonts w:hint="eastAsia" w:hAnsi="宋体" w:cs="宋体"/>
          <w:color w:val="auto"/>
          <w:sz w:val="21"/>
          <w:szCs w:val="20"/>
        </w:rPr>
      </w:pPr>
      <w:r>
        <w:rPr>
          <w:rFonts w:hint="eastAsia" w:hAnsi="宋体" w:cs="宋体"/>
          <w:color w:val="auto"/>
          <w:kern w:val="2"/>
          <w:sz w:val="21"/>
          <w:szCs w:val="20"/>
          <w:lang w:bidi="ar"/>
        </w:rPr>
        <w:t>（一）采购人应当在采购文件中明确，政府采购评审中出现下列情形之一的，评审委员会应当启动异常低价投标（响应）审查程序：</w:t>
      </w:r>
    </w:p>
    <w:p w14:paraId="5526CAC5">
      <w:pPr>
        <w:pStyle w:val="22"/>
        <w:widowControl/>
        <w:shd w:val="clear" w:color="auto" w:fill="FFFFFF"/>
        <w:spacing w:line="360" w:lineRule="auto"/>
        <w:ind w:firstLine="420" w:firstLineChars="200"/>
        <w:contextualSpacing/>
        <w:textAlignment w:val="baseline"/>
        <w:rPr>
          <w:rFonts w:hint="eastAsia" w:hAnsi="宋体" w:cs="宋体"/>
          <w:color w:val="auto"/>
          <w:sz w:val="21"/>
          <w:szCs w:val="20"/>
        </w:rPr>
      </w:pPr>
      <w:r>
        <w:rPr>
          <w:rFonts w:hint="eastAsia" w:hAnsi="宋体" w:cs="宋体"/>
          <w:color w:val="auto"/>
          <w:kern w:val="2"/>
          <w:sz w:val="21"/>
          <w:szCs w:val="20"/>
          <w:lang w:bidi="ar"/>
        </w:rPr>
        <w:t>1.投标（响应）报价低于全部通过符合性审查供应商投标（响应）报价平均值50%的，即投标（响应）报价&lt;全部通过符合性审查供应商投标（响应）报价平均值×50%；</w:t>
      </w:r>
    </w:p>
    <w:p w14:paraId="1D96D746">
      <w:pPr>
        <w:pStyle w:val="22"/>
        <w:widowControl/>
        <w:shd w:val="clear" w:color="auto" w:fill="FFFFFF"/>
        <w:spacing w:line="360" w:lineRule="auto"/>
        <w:ind w:firstLine="420" w:firstLineChars="200"/>
        <w:contextualSpacing/>
        <w:textAlignment w:val="baseline"/>
        <w:rPr>
          <w:rFonts w:hint="eastAsia" w:hAnsi="宋体" w:cs="宋体"/>
          <w:color w:val="auto"/>
          <w:sz w:val="21"/>
          <w:szCs w:val="20"/>
        </w:rPr>
      </w:pPr>
      <w:r>
        <w:rPr>
          <w:rFonts w:hint="eastAsia" w:hAnsi="宋体" w:cs="宋体"/>
          <w:color w:val="auto"/>
          <w:kern w:val="2"/>
          <w:sz w:val="21"/>
          <w:szCs w:val="20"/>
          <w:lang w:bidi="ar"/>
        </w:rPr>
        <w:t>2.投标（响应）报价低于通过符合性审查的次低报价供应商投标（响应）报价50%的，即投标（响应）报价&lt;通过符合性审查的次低报价供应商投标（响应）报价×50%；</w:t>
      </w:r>
    </w:p>
    <w:p w14:paraId="63C139F1">
      <w:pPr>
        <w:pStyle w:val="22"/>
        <w:widowControl/>
        <w:shd w:val="clear" w:color="auto" w:fill="FFFFFF"/>
        <w:spacing w:line="360" w:lineRule="auto"/>
        <w:ind w:firstLine="420" w:firstLineChars="200"/>
        <w:contextualSpacing/>
        <w:textAlignment w:val="baseline"/>
        <w:rPr>
          <w:rFonts w:hint="eastAsia" w:hAnsi="宋体" w:cs="宋体"/>
          <w:color w:val="auto"/>
          <w:sz w:val="21"/>
          <w:szCs w:val="20"/>
        </w:rPr>
      </w:pPr>
      <w:r>
        <w:rPr>
          <w:rFonts w:hint="eastAsia" w:hAnsi="宋体" w:cs="宋体"/>
          <w:color w:val="auto"/>
          <w:kern w:val="2"/>
          <w:sz w:val="21"/>
          <w:szCs w:val="20"/>
          <w:lang w:bidi="ar"/>
        </w:rPr>
        <w:t>3.投标（响应）报价低于采购项目最高限价45%的，即投标（响应）报价&lt;采购项目最高限价×45%；</w:t>
      </w:r>
    </w:p>
    <w:p w14:paraId="70DF7B37">
      <w:pPr>
        <w:pStyle w:val="22"/>
        <w:widowControl/>
        <w:shd w:val="clear" w:color="auto" w:fill="FFFFFF"/>
        <w:spacing w:line="360" w:lineRule="auto"/>
        <w:ind w:firstLine="420" w:firstLineChars="200"/>
        <w:contextualSpacing/>
        <w:textAlignment w:val="baseline"/>
        <w:rPr>
          <w:rFonts w:hint="eastAsia" w:hAnsi="宋体" w:cs="宋体"/>
          <w:color w:val="auto"/>
          <w:sz w:val="21"/>
          <w:szCs w:val="20"/>
        </w:rPr>
      </w:pPr>
      <w:r>
        <w:rPr>
          <w:rFonts w:hint="eastAsia" w:hAnsi="宋体" w:cs="宋体"/>
          <w:color w:val="auto"/>
          <w:kern w:val="2"/>
          <w:sz w:val="21"/>
          <w:szCs w:val="20"/>
          <w:lang w:bidi="ar"/>
        </w:rPr>
        <w:t>4.评审委员会基于专业判断，认为供应商报价过低，有可能影响产品质量或者不能诚信履约的其他情形。</w:t>
      </w:r>
    </w:p>
    <w:p w14:paraId="3E77A1ED">
      <w:pPr>
        <w:pStyle w:val="22"/>
        <w:widowControl/>
        <w:shd w:val="clear" w:color="auto" w:fill="FFFFFF"/>
        <w:spacing w:line="360" w:lineRule="auto"/>
        <w:ind w:firstLine="420" w:firstLineChars="200"/>
        <w:contextualSpacing/>
        <w:textAlignment w:val="baseline"/>
        <w:rPr>
          <w:rFonts w:hint="eastAsia" w:hAnsi="宋体" w:cs="宋体"/>
          <w:color w:val="auto"/>
          <w:sz w:val="21"/>
          <w:szCs w:val="20"/>
        </w:rPr>
      </w:pPr>
      <w:r>
        <w:rPr>
          <w:rFonts w:hint="eastAsia" w:hAnsi="宋体" w:cs="宋体"/>
          <w:color w:val="auto"/>
          <w:kern w:val="2"/>
          <w:sz w:val="21"/>
          <w:szCs w:val="20"/>
          <w:lang w:bidi="ar"/>
        </w:rPr>
        <w:t>采购人可以结合具体项目实际情况，提高上述第1项至第3项中启动异常低价投标（响应）审查的数值标准，但是最高不得超过65%。</w:t>
      </w:r>
    </w:p>
    <w:p w14:paraId="6A26625C">
      <w:pPr>
        <w:pStyle w:val="22"/>
        <w:widowControl/>
        <w:shd w:val="clear" w:color="auto" w:fill="FFFFFF"/>
        <w:spacing w:line="360" w:lineRule="auto"/>
        <w:ind w:firstLine="420" w:firstLineChars="200"/>
        <w:contextualSpacing/>
        <w:textAlignment w:val="baseline"/>
        <w:rPr>
          <w:rFonts w:hint="eastAsia" w:hAnsi="宋体" w:cs="宋体"/>
          <w:color w:val="auto"/>
          <w:sz w:val="21"/>
          <w:szCs w:val="20"/>
        </w:rPr>
      </w:pPr>
      <w:r>
        <w:rPr>
          <w:rFonts w:hint="eastAsia" w:hAnsi="宋体" w:cs="宋体"/>
          <w:color w:val="auto"/>
          <w:kern w:val="2"/>
          <w:sz w:val="21"/>
          <w:szCs w:val="20"/>
          <w:lang w:bidi="ar"/>
        </w:rPr>
        <w:t>相关法律法规对供应商报价有规定的，从其规定。</w:t>
      </w:r>
    </w:p>
    <w:p w14:paraId="69F314C1">
      <w:pPr>
        <w:pStyle w:val="22"/>
        <w:widowControl/>
        <w:shd w:val="clear" w:color="auto" w:fill="FFFFFF"/>
        <w:spacing w:line="360" w:lineRule="auto"/>
        <w:ind w:firstLine="420" w:firstLineChars="200"/>
        <w:contextualSpacing/>
        <w:textAlignment w:val="baseline"/>
        <w:rPr>
          <w:rFonts w:hint="eastAsia" w:hAnsi="宋体" w:cs="宋体"/>
          <w:color w:val="auto"/>
          <w:sz w:val="21"/>
          <w:szCs w:val="20"/>
        </w:rPr>
      </w:pPr>
      <w:r>
        <w:rPr>
          <w:rFonts w:hint="eastAsia" w:hAnsi="宋体" w:cs="宋体"/>
          <w:color w:val="auto"/>
          <w:kern w:val="2"/>
          <w:sz w:val="21"/>
          <w:szCs w:val="20"/>
          <w:lang w:bidi="ar"/>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0870920">
      <w:pPr>
        <w:pStyle w:val="22"/>
        <w:widowControl/>
        <w:shd w:val="clear" w:color="auto" w:fill="FFFFFF"/>
        <w:spacing w:line="360" w:lineRule="auto"/>
        <w:ind w:firstLine="420" w:firstLineChars="200"/>
        <w:contextualSpacing/>
        <w:textAlignment w:val="baseline"/>
        <w:rPr>
          <w:rFonts w:hint="eastAsia" w:hAnsi="宋体" w:cs="宋体"/>
          <w:color w:val="auto"/>
          <w:kern w:val="2"/>
          <w:sz w:val="21"/>
          <w:szCs w:val="20"/>
          <w:lang w:bidi="ar"/>
        </w:rPr>
      </w:pPr>
      <w:r>
        <w:rPr>
          <w:rFonts w:hint="eastAsia" w:hAnsi="宋体" w:cs="宋体"/>
          <w:color w:val="auto"/>
          <w:kern w:val="2"/>
          <w:sz w:val="21"/>
          <w:szCs w:val="20"/>
          <w:lang w:bidi="ar"/>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BE66C5E">
      <w:pPr>
        <w:spacing w:line="360" w:lineRule="auto"/>
        <w:ind w:firstLine="420" w:firstLineChars="200"/>
        <w:rPr>
          <w:rFonts w:hint="eastAsia" w:ascii="宋体" w:hAnsi="宋体" w:cs="宋体"/>
          <w:color w:val="auto"/>
        </w:rPr>
      </w:pPr>
    </w:p>
    <w:p w14:paraId="3E2F0BA7">
      <w:pPr>
        <w:pStyle w:val="7"/>
        <w:spacing w:before="0" w:after="0" w:line="360" w:lineRule="auto"/>
        <w:ind w:firstLine="640" w:firstLineChars="200"/>
        <w:jc w:val="center"/>
        <w:rPr>
          <w:rFonts w:hint="eastAsia" w:ascii="宋体" w:hAnsi="宋体"/>
          <w:b w:val="0"/>
          <w:color w:val="auto"/>
        </w:rPr>
      </w:pPr>
      <w:bookmarkStart w:id="144" w:name="_Toc80886939"/>
      <w:bookmarkStart w:id="145" w:name="_Toc22545"/>
      <w:bookmarkStart w:id="146" w:name="_Toc11595"/>
      <w:r>
        <w:rPr>
          <w:rFonts w:hint="eastAsia" w:ascii="宋体" w:hAnsi="宋体"/>
          <w:b w:val="0"/>
          <w:color w:val="auto"/>
        </w:rPr>
        <w:t>第二节 评审报告</w:t>
      </w:r>
      <w:bookmarkEnd w:id="143"/>
      <w:bookmarkEnd w:id="144"/>
      <w:bookmarkEnd w:id="145"/>
      <w:bookmarkEnd w:id="146"/>
    </w:p>
    <w:p w14:paraId="3C0BA2F7">
      <w:pPr>
        <w:spacing w:line="360" w:lineRule="auto"/>
        <w:ind w:firstLine="480" w:firstLineChars="200"/>
        <w:rPr>
          <w:rFonts w:hint="eastAsia" w:ascii="黑体" w:hAnsi="黑体" w:eastAsia="黑体" w:cs="宋体"/>
          <w:color w:val="auto"/>
          <w:sz w:val="24"/>
          <w:szCs w:val="32"/>
        </w:rPr>
      </w:pPr>
      <w:r>
        <w:rPr>
          <w:rFonts w:hint="eastAsia" w:ascii="黑体" w:hAnsi="黑体" w:eastAsia="黑体" w:cs="宋体"/>
          <w:color w:val="auto"/>
          <w:sz w:val="24"/>
          <w:szCs w:val="32"/>
        </w:rPr>
        <w:t>1.成交标准</w:t>
      </w:r>
    </w:p>
    <w:p w14:paraId="2E1FF7DF">
      <w:pPr>
        <w:spacing w:line="360" w:lineRule="auto"/>
        <w:ind w:firstLine="420" w:firstLineChars="200"/>
        <w:rPr>
          <w:rFonts w:hint="eastAsia" w:ascii="宋体" w:hAnsi="宋体" w:cs="宋体"/>
          <w:color w:val="auto"/>
          <w:sz w:val="24"/>
        </w:rPr>
      </w:pPr>
      <w:r>
        <w:rPr>
          <w:rFonts w:hint="eastAsia" w:ascii="宋体" w:hAnsi="宋体" w:cs="宋体"/>
          <w:bCs/>
          <w:color w:val="auto"/>
          <w:szCs w:val="21"/>
        </w:rPr>
        <w:t>由磋商小组根据综合评分情况，按照评审得分由高到低顺序推荐3名以上成交候选供应商</w:t>
      </w:r>
      <w:r>
        <w:rPr>
          <w:rFonts w:hint="eastAsia" w:ascii="宋体" w:hAnsi="宋体" w:cs="宋体"/>
          <w:color w:val="auto"/>
        </w:rPr>
        <w:t>,并在线编写电子评审报告</w:t>
      </w:r>
      <w:r>
        <w:rPr>
          <w:rFonts w:hint="eastAsia" w:ascii="宋体" w:hAnsi="宋体" w:cs="宋体"/>
          <w:bCs/>
          <w:color w:val="auto"/>
          <w:szCs w:val="21"/>
        </w:rPr>
        <w:t>。符合本章第一节第5.3条情形的，可以推荐2家成交候选供应商。评审得分相同的，按照最后报价（不计算价格折扣）由低到高的顺序推荐。评审得分且最后报价（不计算价格折扣）相同的，按照技术指标优劣顺序推荐（按技术分得分由高到低排序，技术分得分相同的按照商务分得分由高到低排序）。评审得分、最后报价（不计算价格折扣）、技术分得分、商务分得分均相同的，由磋商小组随机抽取推荐。</w:t>
      </w:r>
    </w:p>
    <w:p w14:paraId="68894049">
      <w:pPr>
        <w:spacing w:line="360" w:lineRule="auto"/>
        <w:ind w:firstLine="480" w:firstLineChars="200"/>
        <w:rPr>
          <w:rFonts w:hint="eastAsia" w:ascii="黑体" w:hAnsi="黑体" w:eastAsia="黑体" w:cs="宋体"/>
          <w:color w:val="auto"/>
          <w:sz w:val="24"/>
          <w:szCs w:val="32"/>
        </w:rPr>
      </w:pPr>
      <w:r>
        <w:rPr>
          <w:rFonts w:hint="eastAsia" w:ascii="黑体" w:hAnsi="黑体" w:eastAsia="黑体" w:cs="宋体"/>
          <w:color w:val="auto"/>
          <w:sz w:val="24"/>
          <w:szCs w:val="32"/>
        </w:rPr>
        <w:t>2.评标争议</w:t>
      </w:r>
      <w:r>
        <w:rPr>
          <w:rFonts w:ascii="黑体" w:hAnsi="黑体" w:eastAsia="黑体" w:cs="宋体"/>
          <w:color w:val="auto"/>
          <w:sz w:val="24"/>
          <w:szCs w:val="32"/>
        </w:rPr>
        <w:t>事项</w:t>
      </w:r>
      <w:r>
        <w:rPr>
          <w:rFonts w:hint="eastAsia" w:ascii="黑体" w:hAnsi="黑体" w:eastAsia="黑体" w:cs="宋体"/>
          <w:color w:val="auto"/>
          <w:sz w:val="24"/>
          <w:szCs w:val="32"/>
        </w:rPr>
        <w:t>处理</w:t>
      </w:r>
    </w:p>
    <w:p w14:paraId="4F4AE2F1">
      <w:pPr>
        <w:pStyle w:val="71"/>
        <w:spacing w:before="0"/>
        <w:ind w:firstLine="420"/>
        <w:rPr>
          <w:rFonts w:hint="eastAsia" w:ascii="宋体" w:hAnsi="宋体" w:cs="宋体"/>
          <w:color w:val="auto"/>
          <w:kern w:val="2"/>
          <w:sz w:val="21"/>
          <w:szCs w:val="24"/>
        </w:rPr>
      </w:pPr>
      <w:r>
        <w:rPr>
          <w:rFonts w:hint="eastAsia" w:ascii="宋体" w:hAnsi="宋体" w:cs="宋体"/>
          <w:color w:val="auto"/>
          <w:kern w:val="2"/>
          <w:sz w:val="21"/>
          <w:szCs w:val="24"/>
        </w:rPr>
        <w:t>磋商小组成员对需要共同认定的事项存在争议的，应当按照少数服从多数的原则作出结论。持不同意见的磋商小组成员应当在评审报告上签署不同意见及理由，否则视为同意评审报告。</w:t>
      </w:r>
    </w:p>
    <w:p w14:paraId="78F00F4E">
      <w:pPr>
        <w:pStyle w:val="71"/>
        <w:spacing w:before="0"/>
        <w:ind w:firstLine="420"/>
        <w:rPr>
          <w:rFonts w:cs="宋体"/>
          <w:color w:val="auto"/>
          <w:kern w:val="2"/>
          <w:sz w:val="21"/>
          <w:szCs w:val="24"/>
        </w:rPr>
      </w:pPr>
    </w:p>
    <w:p w14:paraId="0059E753">
      <w:pPr>
        <w:pStyle w:val="7"/>
        <w:spacing w:before="0" w:after="0" w:line="360" w:lineRule="auto"/>
        <w:ind w:firstLine="640" w:firstLineChars="200"/>
        <w:jc w:val="center"/>
        <w:rPr>
          <w:rFonts w:hint="eastAsia" w:ascii="宋体" w:hAnsi="宋体"/>
          <w:b w:val="0"/>
          <w:color w:val="auto"/>
        </w:rPr>
      </w:pPr>
      <w:bookmarkStart w:id="147" w:name="_Toc80205936"/>
      <w:bookmarkStart w:id="148" w:name="_Toc2025"/>
      <w:bookmarkStart w:id="149" w:name="_Toc80886940"/>
      <w:bookmarkStart w:id="150" w:name="_Toc20045"/>
      <w:r>
        <w:rPr>
          <w:rFonts w:hint="eastAsia" w:ascii="宋体" w:hAnsi="宋体"/>
          <w:b w:val="0"/>
          <w:color w:val="auto"/>
        </w:rPr>
        <w:t>第三节 评审过程的保密与录像</w:t>
      </w:r>
      <w:bookmarkEnd w:id="147"/>
      <w:bookmarkEnd w:id="148"/>
      <w:bookmarkEnd w:id="149"/>
      <w:bookmarkEnd w:id="150"/>
    </w:p>
    <w:p w14:paraId="72EFBE80">
      <w:pPr>
        <w:spacing w:line="360" w:lineRule="auto"/>
        <w:ind w:firstLine="480" w:firstLineChars="200"/>
        <w:rPr>
          <w:rFonts w:hint="eastAsia" w:ascii="黑体" w:hAnsi="黑体" w:eastAsia="黑体" w:cs="宋体"/>
          <w:color w:val="auto"/>
          <w:sz w:val="24"/>
          <w:szCs w:val="32"/>
        </w:rPr>
      </w:pPr>
      <w:r>
        <w:rPr>
          <w:rFonts w:hint="eastAsia" w:ascii="黑体" w:hAnsi="黑体" w:eastAsia="黑体" w:cs="宋体"/>
          <w:color w:val="auto"/>
          <w:sz w:val="24"/>
          <w:szCs w:val="32"/>
        </w:rPr>
        <w:t>1.保密。</w:t>
      </w:r>
    </w:p>
    <w:p w14:paraId="57D59CC8">
      <w:pPr>
        <w:widowControl/>
        <w:spacing w:line="360" w:lineRule="auto"/>
        <w:ind w:firstLine="420" w:firstLineChars="200"/>
        <w:rPr>
          <w:rFonts w:cs="宋体"/>
          <w:color w:val="auto"/>
        </w:rPr>
      </w:pPr>
      <w:r>
        <w:rPr>
          <w:rFonts w:cs="宋体"/>
          <w:color w:val="auto"/>
        </w:rPr>
        <w:t>评审活动在严格保密的情况下进行。评审过程中凡是与响应文件评审和比较、中标成交供应商推荐等评审有关的情况，以及涉及国家秘密和商业秘密等信息，</w:t>
      </w:r>
      <w:r>
        <w:rPr>
          <w:rFonts w:hint="eastAsia" w:cs="宋体"/>
          <w:color w:val="auto"/>
        </w:rPr>
        <w:t>磋商小组</w:t>
      </w:r>
      <w:r>
        <w:rPr>
          <w:rFonts w:cs="宋体"/>
          <w:color w:val="auto"/>
        </w:rPr>
        <w:t>成员、采购人和采购</w:t>
      </w:r>
      <w:r>
        <w:rPr>
          <w:rFonts w:hint="eastAsia" w:cs="宋体"/>
          <w:color w:val="auto"/>
        </w:rPr>
        <w:t>代理</w:t>
      </w:r>
      <w:r>
        <w:rPr>
          <w:rFonts w:cs="宋体"/>
          <w:color w:val="auto"/>
        </w:rPr>
        <w:t>机构工作人员、相关监督人员等与评审有关的人员应当予以保密。</w:t>
      </w:r>
    </w:p>
    <w:p w14:paraId="46201F4B">
      <w:pPr>
        <w:widowControl/>
        <w:spacing w:line="360" w:lineRule="auto"/>
        <w:ind w:firstLine="480" w:firstLineChars="200"/>
        <w:rPr>
          <w:rFonts w:hint="eastAsia" w:ascii="黑体" w:hAnsi="黑体" w:eastAsia="黑体" w:cs="宋体"/>
          <w:color w:val="auto"/>
          <w:sz w:val="24"/>
          <w:szCs w:val="32"/>
        </w:rPr>
      </w:pPr>
      <w:r>
        <w:rPr>
          <w:rFonts w:hint="eastAsia" w:ascii="黑体" w:hAnsi="黑体" w:eastAsia="黑体" w:cs="宋体"/>
          <w:color w:val="auto"/>
          <w:sz w:val="24"/>
          <w:szCs w:val="32"/>
        </w:rPr>
        <w:t>2.录音录像。</w:t>
      </w:r>
    </w:p>
    <w:p w14:paraId="1AB8C267">
      <w:pPr>
        <w:spacing w:line="360" w:lineRule="auto"/>
        <w:ind w:firstLine="420" w:firstLineChars="200"/>
        <w:rPr>
          <w:color w:val="auto"/>
        </w:rPr>
      </w:pPr>
      <w:r>
        <w:rPr>
          <w:rFonts w:hint="eastAsia" w:cs="宋体"/>
          <w:color w:val="auto"/>
        </w:rPr>
        <w:t>采购代理机构对评审工作现场及操作屏幕进行全过程录音录像，录音录像资料作为采购项目文件随其他文件一并存档。</w:t>
      </w:r>
    </w:p>
    <w:p w14:paraId="5719500D">
      <w:pPr>
        <w:pStyle w:val="7"/>
        <w:jc w:val="center"/>
        <w:rPr>
          <w:color w:val="auto"/>
        </w:rPr>
      </w:pPr>
      <w:r>
        <w:rPr>
          <w:color w:val="auto"/>
        </w:rPr>
        <w:br w:type="page"/>
      </w:r>
    </w:p>
    <w:p w14:paraId="44D0B0B1">
      <w:pPr>
        <w:rPr>
          <w:color w:val="auto"/>
        </w:rPr>
      </w:pPr>
    </w:p>
    <w:p w14:paraId="2BA4266C">
      <w:pPr>
        <w:pStyle w:val="6"/>
        <w:numPr>
          <w:ilvl w:val="0"/>
          <w:numId w:val="5"/>
        </w:numPr>
        <w:jc w:val="center"/>
        <w:rPr>
          <w:rFonts w:ascii="Calibri" w:hAnsi="Calibri"/>
          <w:color w:val="auto"/>
        </w:rPr>
      </w:pPr>
      <w:bookmarkStart w:id="151" w:name="_Toc80886941"/>
      <w:bookmarkStart w:id="152" w:name="_Toc26272"/>
      <w:bookmarkStart w:id="153" w:name="_Toc27282"/>
      <w:bookmarkStart w:id="154" w:name="_Toc7776"/>
      <w:bookmarkStart w:id="155" w:name="_Toc5005"/>
      <w:bookmarkStart w:id="156" w:name="_Toc22302"/>
      <w:bookmarkStart w:id="157" w:name="_Toc17404"/>
      <w:bookmarkStart w:id="158" w:name="_Toc12890"/>
      <w:r>
        <w:rPr>
          <w:rFonts w:hint="eastAsia" w:ascii="Calibri" w:hAnsi="Calibri"/>
          <w:color w:val="auto"/>
        </w:rPr>
        <w:t>响应文件格</w:t>
      </w:r>
      <w:bookmarkEnd w:id="151"/>
      <w:bookmarkEnd w:id="152"/>
      <w:bookmarkEnd w:id="153"/>
      <w:bookmarkEnd w:id="154"/>
      <w:bookmarkEnd w:id="155"/>
      <w:bookmarkEnd w:id="156"/>
      <w:bookmarkEnd w:id="157"/>
      <w:bookmarkEnd w:id="158"/>
      <w:bookmarkStart w:id="159" w:name="_Toc12994"/>
      <w:bookmarkStart w:id="160" w:name="_Toc80886943"/>
      <w:bookmarkStart w:id="161" w:name="_Toc22245"/>
      <w:bookmarkStart w:id="162" w:name="_Toc80205939"/>
    </w:p>
    <w:p w14:paraId="73F5A904">
      <w:pPr>
        <w:pStyle w:val="6"/>
        <w:ind w:firstLine="2891" w:firstLineChars="800"/>
        <w:rPr>
          <w:rFonts w:hint="eastAsia" w:ascii="宋体" w:hAnsi="宋体"/>
          <w:bCs w:val="0"/>
          <w:color w:val="auto"/>
          <w:sz w:val="36"/>
          <w:szCs w:val="36"/>
        </w:rPr>
      </w:pPr>
      <w:r>
        <w:rPr>
          <w:rFonts w:hint="eastAsia" w:ascii="宋体" w:hAnsi="宋体"/>
          <w:bCs w:val="0"/>
          <w:color w:val="auto"/>
          <w:sz w:val="36"/>
          <w:szCs w:val="36"/>
        </w:rPr>
        <w:t>第一节 资格证明文件格式</w:t>
      </w:r>
      <w:bookmarkEnd w:id="159"/>
      <w:bookmarkEnd w:id="160"/>
      <w:bookmarkEnd w:id="161"/>
      <w:bookmarkEnd w:id="162"/>
    </w:p>
    <w:p w14:paraId="1606CD03">
      <w:pPr>
        <w:snapToGrid w:val="0"/>
        <w:spacing w:before="120" w:beforeLines="50" w:after="50"/>
        <w:jc w:val="left"/>
        <w:rPr>
          <w:color w:val="auto"/>
          <w:sz w:val="24"/>
        </w:rPr>
      </w:pPr>
      <w:r>
        <w:rPr>
          <w:rFonts w:hint="eastAsia" w:hAnsi="宋体" w:cs="宋体"/>
          <w:b/>
          <w:bCs/>
          <w:color w:val="auto"/>
          <w:sz w:val="28"/>
          <w:szCs w:val="28"/>
        </w:rPr>
        <w:t>1.资格证明文件封面的格式</w:t>
      </w:r>
      <w:r>
        <w:rPr>
          <w:rFonts w:hint="eastAsia" w:ascii="宋体" w:hAnsi="宋体" w:cs="宋体"/>
          <w:b/>
          <w:color w:val="auto"/>
          <w:sz w:val="28"/>
          <w:szCs w:val="28"/>
        </w:rPr>
        <w:t>（参照此格式自拟）</w:t>
      </w:r>
      <w:r>
        <w:rPr>
          <w:rFonts w:hint="eastAsia" w:hAnsi="宋体" w:cs="宋体"/>
          <w:b/>
          <w:bCs/>
          <w:color w:val="auto"/>
          <w:sz w:val="28"/>
          <w:szCs w:val="28"/>
        </w:rPr>
        <w:t>：</w:t>
      </w:r>
    </w:p>
    <w:p w14:paraId="096D46A0">
      <w:pPr>
        <w:snapToGrid w:val="0"/>
        <w:spacing w:before="120" w:beforeLines="50" w:after="50"/>
        <w:ind w:firstLine="6930" w:firstLineChars="3300"/>
        <w:rPr>
          <w:bCs/>
          <w:color w:val="auto"/>
          <w:sz w:val="32"/>
          <w:szCs w:val="20"/>
        </w:rPr>
      </w:pPr>
      <w:r>
        <w:rPr>
          <w:rFonts w:hint="eastAsia"/>
          <w:bCs/>
          <w:color w:val="auto"/>
        </w:rPr>
        <w:t>全流程电子文件</w:t>
      </w:r>
    </w:p>
    <w:p w14:paraId="060279B5">
      <w:pPr>
        <w:snapToGrid w:val="0"/>
        <w:spacing w:before="120" w:beforeLines="50" w:after="50"/>
        <w:rPr>
          <w:color w:val="auto"/>
          <w:sz w:val="24"/>
          <w:szCs w:val="20"/>
        </w:rPr>
      </w:pPr>
    </w:p>
    <w:p w14:paraId="2E451FCB">
      <w:pPr>
        <w:snapToGrid w:val="0"/>
        <w:spacing w:before="120" w:beforeLines="50" w:after="50"/>
        <w:rPr>
          <w:color w:val="auto"/>
          <w:sz w:val="24"/>
          <w:szCs w:val="20"/>
        </w:rPr>
      </w:pPr>
    </w:p>
    <w:p w14:paraId="503B3E9F">
      <w:pPr>
        <w:snapToGrid w:val="0"/>
        <w:spacing w:before="120" w:beforeLines="50" w:after="50"/>
        <w:jc w:val="center"/>
        <w:rPr>
          <w:rFonts w:hint="eastAsia" w:ascii="仿宋" w:hAnsi="仿宋" w:eastAsia="仿宋" w:cs="仿宋"/>
          <w:bCs/>
          <w:color w:val="auto"/>
          <w:sz w:val="44"/>
          <w:szCs w:val="44"/>
        </w:rPr>
      </w:pPr>
      <w:r>
        <w:rPr>
          <w:rFonts w:hint="eastAsia" w:ascii="仿宋" w:hAnsi="仿宋" w:eastAsia="仿宋" w:cs="仿宋"/>
          <w:bCs/>
          <w:color w:val="auto"/>
          <w:sz w:val="44"/>
          <w:szCs w:val="44"/>
        </w:rPr>
        <w:t>资  格  证  明  文  件</w:t>
      </w:r>
    </w:p>
    <w:p w14:paraId="36117C1A">
      <w:pPr>
        <w:snapToGrid w:val="0"/>
        <w:spacing w:before="120" w:beforeLines="50" w:after="50"/>
        <w:rPr>
          <w:bCs/>
          <w:color w:val="auto"/>
          <w:sz w:val="24"/>
          <w:szCs w:val="20"/>
        </w:rPr>
      </w:pPr>
    </w:p>
    <w:p w14:paraId="0B5F652A">
      <w:pPr>
        <w:snapToGrid w:val="0"/>
        <w:spacing w:before="120" w:beforeLines="50" w:after="50"/>
        <w:rPr>
          <w:bCs/>
          <w:color w:val="auto"/>
          <w:sz w:val="24"/>
          <w:szCs w:val="20"/>
        </w:rPr>
      </w:pPr>
    </w:p>
    <w:p w14:paraId="66E340C3">
      <w:pPr>
        <w:snapToGrid w:val="0"/>
        <w:spacing w:before="120" w:beforeLines="50" w:after="50"/>
        <w:rPr>
          <w:bCs/>
          <w:color w:val="auto"/>
          <w:sz w:val="24"/>
          <w:szCs w:val="20"/>
        </w:rPr>
      </w:pPr>
    </w:p>
    <w:p w14:paraId="6C1667B2">
      <w:pPr>
        <w:snapToGrid w:val="0"/>
        <w:spacing w:before="120" w:beforeLines="50" w:after="50"/>
        <w:rPr>
          <w:bCs/>
          <w:color w:val="auto"/>
          <w:sz w:val="24"/>
          <w:szCs w:val="20"/>
        </w:rPr>
      </w:pPr>
    </w:p>
    <w:p w14:paraId="07A962D9">
      <w:pPr>
        <w:snapToGrid w:val="0"/>
        <w:spacing w:before="120" w:beforeLines="50" w:after="50"/>
        <w:rPr>
          <w:bCs/>
          <w:color w:val="auto"/>
          <w:sz w:val="24"/>
          <w:szCs w:val="20"/>
        </w:rPr>
      </w:pPr>
    </w:p>
    <w:p w14:paraId="25BE72D4">
      <w:pPr>
        <w:snapToGrid w:val="0"/>
        <w:spacing w:before="120" w:beforeLines="50" w:after="50"/>
        <w:ind w:firstLine="640" w:firstLineChars="200"/>
        <w:rPr>
          <w:rFonts w:cs="仿宋_GB2312"/>
          <w:bCs/>
          <w:color w:val="auto"/>
          <w:sz w:val="32"/>
          <w:szCs w:val="32"/>
        </w:rPr>
      </w:pPr>
      <w:r>
        <w:rPr>
          <w:rFonts w:hint="eastAsia" w:cs="仿宋_GB2312"/>
          <w:bCs/>
          <w:color w:val="auto"/>
          <w:sz w:val="32"/>
          <w:szCs w:val="32"/>
        </w:rPr>
        <w:t>项目名称：</w:t>
      </w:r>
    </w:p>
    <w:p w14:paraId="0038EDF3">
      <w:pPr>
        <w:snapToGrid w:val="0"/>
        <w:spacing w:before="120" w:beforeLines="50" w:after="50"/>
        <w:ind w:firstLine="720" w:firstLineChars="225"/>
        <w:rPr>
          <w:rFonts w:cs="仿宋_GB2312"/>
          <w:bCs/>
          <w:color w:val="auto"/>
          <w:sz w:val="32"/>
          <w:szCs w:val="32"/>
        </w:rPr>
      </w:pPr>
    </w:p>
    <w:p w14:paraId="3DF7F989">
      <w:pPr>
        <w:snapToGrid w:val="0"/>
        <w:spacing w:before="120" w:beforeLines="50" w:after="50"/>
        <w:ind w:firstLine="720" w:firstLineChars="225"/>
        <w:rPr>
          <w:rFonts w:cs="仿宋_GB2312"/>
          <w:bCs/>
          <w:color w:val="auto"/>
          <w:sz w:val="32"/>
          <w:szCs w:val="32"/>
        </w:rPr>
      </w:pPr>
      <w:r>
        <w:rPr>
          <w:rFonts w:hint="eastAsia" w:cs="仿宋_GB2312"/>
          <w:bCs/>
          <w:color w:val="auto"/>
          <w:sz w:val="32"/>
          <w:szCs w:val="32"/>
        </w:rPr>
        <w:t>项目编号：</w:t>
      </w:r>
    </w:p>
    <w:p w14:paraId="3877E304">
      <w:pPr>
        <w:snapToGrid w:val="0"/>
        <w:spacing w:before="120" w:beforeLines="50" w:after="50"/>
        <w:ind w:firstLine="720" w:firstLineChars="225"/>
        <w:rPr>
          <w:rFonts w:cs="仿宋_GB2312"/>
          <w:bCs/>
          <w:color w:val="auto"/>
          <w:sz w:val="32"/>
          <w:szCs w:val="32"/>
        </w:rPr>
      </w:pPr>
    </w:p>
    <w:p w14:paraId="2BD40E20">
      <w:pPr>
        <w:snapToGrid w:val="0"/>
        <w:spacing w:before="120" w:beforeLines="50" w:after="50"/>
        <w:ind w:firstLine="720" w:firstLineChars="225"/>
        <w:rPr>
          <w:rFonts w:cs="仿宋_GB2312"/>
          <w:bCs/>
          <w:color w:val="auto"/>
          <w:sz w:val="32"/>
          <w:szCs w:val="32"/>
        </w:rPr>
      </w:pPr>
      <w:r>
        <w:rPr>
          <w:rFonts w:hint="eastAsia" w:cs="仿宋_GB2312"/>
          <w:bCs/>
          <w:color w:val="auto"/>
          <w:sz w:val="32"/>
          <w:szCs w:val="32"/>
        </w:rPr>
        <w:t>所竞分标（如有则填写，无分标时填写“无”或者留空）：</w:t>
      </w:r>
    </w:p>
    <w:p w14:paraId="70D15A01">
      <w:pPr>
        <w:snapToGrid w:val="0"/>
        <w:spacing w:before="120" w:beforeLines="50" w:after="50"/>
        <w:ind w:firstLine="720" w:firstLineChars="225"/>
        <w:rPr>
          <w:rFonts w:cs="仿宋_GB2312"/>
          <w:bCs/>
          <w:color w:val="auto"/>
          <w:sz w:val="32"/>
          <w:szCs w:val="32"/>
        </w:rPr>
      </w:pPr>
    </w:p>
    <w:p w14:paraId="644744D7">
      <w:pPr>
        <w:pStyle w:val="11"/>
        <w:snapToGrid w:val="0"/>
        <w:spacing w:before="50" w:after="50"/>
        <w:ind w:firstLine="720" w:firstLineChars="225"/>
        <w:rPr>
          <w:rFonts w:cs="仿宋_GB2312"/>
          <w:bCs/>
          <w:color w:val="auto"/>
          <w:sz w:val="32"/>
          <w:szCs w:val="32"/>
        </w:rPr>
      </w:pPr>
      <w:r>
        <w:rPr>
          <w:rFonts w:hint="eastAsia" w:cs="仿宋_GB2312"/>
          <w:bCs/>
          <w:color w:val="auto"/>
          <w:sz w:val="32"/>
          <w:szCs w:val="32"/>
        </w:rPr>
        <w:t>供应商名称：</w:t>
      </w:r>
    </w:p>
    <w:p w14:paraId="24127A8F">
      <w:pPr>
        <w:pStyle w:val="11"/>
        <w:snapToGrid w:val="0"/>
        <w:spacing w:before="50" w:after="50"/>
        <w:ind w:firstLine="720" w:firstLineChars="225"/>
        <w:rPr>
          <w:rFonts w:cs="仿宋_GB2312"/>
          <w:bCs/>
          <w:color w:val="auto"/>
          <w:sz w:val="32"/>
          <w:szCs w:val="32"/>
        </w:rPr>
      </w:pPr>
    </w:p>
    <w:p w14:paraId="7A67324F">
      <w:pPr>
        <w:pStyle w:val="11"/>
        <w:snapToGrid w:val="0"/>
        <w:spacing w:before="50" w:after="50"/>
        <w:ind w:firstLine="720" w:firstLineChars="225"/>
        <w:rPr>
          <w:rFonts w:cs="仿宋_GB2312"/>
          <w:bCs/>
          <w:color w:val="auto"/>
          <w:sz w:val="32"/>
          <w:szCs w:val="32"/>
        </w:rPr>
      </w:pPr>
    </w:p>
    <w:p w14:paraId="4D466E7D">
      <w:pPr>
        <w:pStyle w:val="11"/>
        <w:snapToGrid w:val="0"/>
        <w:spacing w:before="50" w:after="50"/>
        <w:ind w:firstLine="720" w:firstLineChars="225"/>
        <w:rPr>
          <w:rFonts w:cs="仿宋_GB2312"/>
          <w:bCs/>
          <w:color w:val="auto"/>
          <w:sz w:val="32"/>
          <w:szCs w:val="32"/>
        </w:rPr>
      </w:pPr>
    </w:p>
    <w:p w14:paraId="6A84C6C3">
      <w:pPr>
        <w:pStyle w:val="11"/>
        <w:snapToGrid w:val="0"/>
        <w:spacing w:before="50" w:after="50"/>
        <w:ind w:firstLine="1280" w:firstLineChars="400"/>
        <w:rPr>
          <w:rFonts w:cs="仿宋_GB2312"/>
          <w:bCs/>
          <w:color w:val="auto"/>
          <w:sz w:val="32"/>
          <w:szCs w:val="32"/>
        </w:rPr>
      </w:pPr>
    </w:p>
    <w:p w14:paraId="6E39230C">
      <w:pPr>
        <w:snapToGrid w:val="0"/>
        <w:spacing w:before="120" w:beforeLines="50" w:after="50"/>
        <w:jc w:val="center"/>
        <w:rPr>
          <w:rFonts w:cs="仿宋_GB2312"/>
          <w:color w:val="auto"/>
          <w:sz w:val="32"/>
          <w:szCs w:val="32"/>
        </w:rPr>
      </w:pPr>
      <w:r>
        <w:rPr>
          <w:rFonts w:hint="eastAsia" w:cs="仿宋_GB2312"/>
          <w:color w:val="auto"/>
          <w:sz w:val="32"/>
          <w:szCs w:val="32"/>
        </w:rPr>
        <w:t>年    月    日</w:t>
      </w:r>
    </w:p>
    <w:p w14:paraId="065C83F6">
      <w:pPr>
        <w:snapToGrid w:val="0"/>
        <w:spacing w:before="120" w:beforeLines="50" w:after="50" w:line="360" w:lineRule="auto"/>
        <w:jc w:val="left"/>
        <w:rPr>
          <w:rFonts w:hint="eastAsia" w:ascii="宋体" w:hAnsi="宋体" w:cs="宋体"/>
          <w:b/>
          <w:bCs/>
          <w:color w:val="auto"/>
          <w:sz w:val="28"/>
          <w:szCs w:val="28"/>
        </w:rPr>
      </w:pPr>
      <w:r>
        <w:rPr>
          <w:color w:val="auto"/>
          <w:sz w:val="24"/>
        </w:rPr>
        <w:br w:type="page"/>
      </w:r>
      <w:r>
        <w:rPr>
          <w:rFonts w:hint="eastAsia" w:ascii="宋体" w:hAnsi="宋体" w:cs="宋体"/>
          <w:b/>
          <w:bCs/>
          <w:color w:val="auto"/>
          <w:sz w:val="28"/>
          <w:szCs w:val="28"/>
        </w:rPr>
        <w:t>2.资格证明文件目录</w:t>
      </w:r>
    </w:p>
    <w:p w14:paraId="35CE5C05">
      <w:pPr>
        <w:spacing w:line="360" w:lineRule="auto"/>
        <w:rPr>
          <w:rFonts w:hint="eastAsia" w:ascii="宋体" w:hAnsi="宋体" w:cs="宋体"/>
          <w:b/>
          <w:bCs/>
          <w:color w:val="auto"/>
          <w:sz w:val="28"/>
          <w:szCs w:val="28"/>
        </w:rPr>
      </w:pPr>
      <w:r>
        <w:rPr>
          <w:rFonts w:hint="eastAsia" w:ascii="宋体" w:hAnsi="宋体" w:cs="宋体"/>
          <w:color w:val="auto"/>
          <w:sz w:val="28"/>
          <w:szCs w:val="28"/>
        </w:rPr>
        <w:t xml:space="preserve">    根据竞争性磋商文件规定及供应商提供的材料自行编写目录（部分格式后附）。</w:t>
      </w:r>
    </w:p>
    <w:p w14:paraId="1143B28D">
      <w:pPr>
        <w:spacing w:line="320" w:lineRule="exact"/>
        <w:jc w:val="left"/>
        <w:rPr>
          <w:rFonts w:hint="eastAsia" w:ascii="宋体" w:hAnsi="宋体" w:cs="宋体"/>
          <w:b/>
          <w:bCs/>
          <w:color w:val="auto"/>
          <w:sz w:val="28"/>
          <w:szCs w:val="28"/>
        </w:rPr>
      </w:pPr>
      <w:r>
        <w:rPr>
          <w:rFonts w:hint="eastAsia"/>
          <w:color w:val="auto"/>
          <w:szCs w:val="21"/>
        </w:rPr>
        <w:br w:type="page"/>
      </w:r>
      <w:r>
        <w:rPr>
          <w:rFonts w:hint="eastAsia" w:ascii="宋体" w:hAnsi="宋体" w:cs="宋体"/>
          <w:b/>
          <w:bCs/>
          <w:color w:val="auto"/>
          <w:kern w:val="0"/>
          <w:sz w:val="28"/>
          <w:szCs w:val="28"/>
        </w:rPr>
        <w:t>3.声明函的格式：</w:t>
      </w:r>
    </w:p>
    <w:p w14:paraId="0D51BDC3">
      <w:pPr>
        <w:spacing w:line="320" w:lineRule="exact"/>
        <w:jc w:val="center"/>
        <w:rPr>
          <w:b/>
          <w:color w:val="auto"/>
          <w:sz w:val="32"/>
          <w:szCs w:val="32"/>
        </w:rPr>
      </w:pPr>
    </w:p>
    <w:p w14:paraId="3E785285">
      <w:pPr>
        <w:spacing w:line="320" w:lineRule="exact"/>
        <w:jc w:val="center"/>
        <w:rPr>
          <w:b/>
          <w:color w:val="auto"/>
          <w:sz w:val="32"/>
          <w:szCs w:val="32"/>
        </w:rPr>
      </w:pPr>
      <w:r>
        <w:rPr>
          <w:rFonts w:hint="eastAsia"/>
          <w:b/>
          <w:color w:val="auto"/>
          <w:sz w:val="32"/>
          <w:szCs w:val="32"/>
        </w:rPr>
        <w:t>竞标声明函</w:t>
      </w:r>
    </w:p>
    <w:p w14:paraId="12B8FA0D">
      <w:pPr>
        <w:spacing w:line="320" w:lineRule="exact"/>
        <w:jc w:val="center"/>
        <w:rPr>
          <w:color w:val="auto"/>
          <w:sz w:val="24"/>
          <w:szCs w:val="20"/>
        </w:rPr>
      </w:pPr>
    </w:p>
    <w:p w14:paraId="64AF688C">
      <w:pPr>
        <w:spacing w:line="440" w:lineRule="exact"/>
        <w:contextualSpacing/>
        <w:rPr>
          <w:rFonts w:hint="eastAsia" w:ascii="宋体" w:hAnsi="宋体" w:cs="宋体"/>
          <w:color w:val="auto"/>
          <w:szCs w:val="21"/>
        </w:rPr>
      </w:pPr>
      <w:r>
        <w:rPr>
          <w:rFonts w:hint="eastAsia" w:ascii="宋体" w:hAnsi="宋体" w:cs="宋体"/>
          <w:color w:val="auto"/>
          <w:szCs w:val="21"/>
        </w:rPr>
        <w:t>致：</w:t>
      </w:r>
      <w:r>
        <w:rPr>
          <w:rFonts w:hint="eastAsia" w:ascii="宋体" w:hAnsi="宋体" w:cs="宋体"/>
          <w:color w:val="auto"/>
          <w:szCs w:val="21"/>
          <w:u w:val="single"/>
        </w:rPr>
        <w:t>（采购代理机构或采购人名称）</w:t>
      </w:r>
      <w:r>
        <w:rPr>
          <w:rFonts w:hint="eastAsia" w:ascii="宋体" w:hAnsi="宋体" w:cs="宋体"/>
          <w:color w:val="auto"/>
          <w:szCs w:val="21"/>
        </w:rPr>
        <w:t>：</w:t>
      </w:r>
    </w:p>
    <w:p w14:paraId="2EFE152E">
      <w:pPr>
        <w:spacing w:line="440" w:lineRule="exact"/>
        <w:ind w:firstLine="420" w:firstLineChars="200"/>
        <w:contextualSpacing/>
        <w:rPr>
          <w:rFonts w:hint="eastAsia"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（供应商名称）系中华人民共和国合法供应商，经营地址：</w:t>
      </w:r>
      <w:r>
        <w:rPr>
          <w:rFonts w:hint="eastAsia" w:ascii="宋体" w:hAnsi="宋体" w:cs="宋体"/>
          <w:color w:val="auto"/>
          <w:szCs w:val="21"/>
          <w:u w:val="single"/>
        </w:rPr>
        <w:t xml:space="preserve">                    </w:t>
      </w:r>
      <w:r>
        <w:rPr>
          <w:rFonts w:hint="eastAsia" w:ascii="宋体" w:hAnsi="宋体" w:cs="宋体"/>
          <w:color w:val="auto"/>
          <w:szCs w:val="21"/>
        </w:rPr>
        <w:t>。</w:t>
      </w:r>
    </w:p>
    <w:p w14:paraId="7E3670EE">
      <w:pPr>
        <w:spacing w:line="440" w:lineRule="exact"/>
        <w:ind w:firstLine="420" w:firstLineChars="200"/>
        <w:contextualSpacing/>
        <w:rPr>
          <w:rFonts w:hint="eastAsia" w:ascii="宋体" w:hAnsi="宋体" w:cs="宋体"/>
          <w:color w:val="auto"/>
          <w:szCs w:val="21"/>
        </w:rPr>
      </w:pPr>
      <w:r>
        <w:rPr>
          <w:rFonts w:hint="eastAsia" w:ascii="宋体" w:hAnsi="宋体" w:cs="宋体"/>
          <w:color w:val="auto"/>
          <w:szCs w:val="21"/>
        </w:rPr>
        <w:t>我方愿意参加贵方组织的</w:t>
      </w:r>
      <w:r>
        <w:rPr>
          <w:rFonts w:hint="eastAsia" w:ascii="宋体" w:hAnsi="宋体" w:cs="宋体"/>
          <w:color w:val="auto"/>
          <w:szCs w:val="21"/>
          <w:u w:val="single"/>
        </w:rPr>
        <w:t xml:space="preserve">          （项目名称）项</w:t>
      </w:r>
      <w:r>
        <w:rPr>
          <w:rFonts w:hint="eastAsia" w:ascii="宋体" w:hAnsi="宋体" w:cs="宋体"/>
          <w:color w:val="auto"/>
          <w:szCs w:val="21"/>
        </w:rPr>
        <w:t>目的竞标，为便于贵方公正、择优地确定成交供应商及其竞标产品和服务，我方就本次竞标有关事项郑重声明如下：</w:t>
      </w:r>
    </w:p>
    <w:p w14:paraId="143AD18F">
      <w:pPr>
        <w:spacing w:line="440" w:lineRule="exact"/>
        <w:ind w:firstLine="420" w:firstLineChars="200"/>
        <w:contextualSpacing/>
        <w:rPr>
          <w:rFonts w:hint="eastAsia" w:ascii="宋体" w:hAnsi="宋体" w:cs="宋体"/>
          <w:color w:val="auto"/>
          <w:szCs w:val="21"/>
        </w:rPr>
      </w:pPr>
      <w:r>
        <w:rPr>
          <w:rFonts w:hint="eastAsia" w:ascii="宋体" w:hAnsi="宋体" w:cs="宋体"/>
          <w:color w:val="auto"/>
          <w:szCs w:val="21"/>
        </w:rPr>
        <w:t>1.我方向贵方提交的所有响应文件、资料都是准确的和真实的。</w:t>
      </w:r>
    </w:p>
    <w:p w14:paraId="1CCAD282">
      <w:pPr>
        <w:spacing w:line="440" w:lineRule="exact"/>
        <w:ind w:firstLine="420" w:firstLineChars="200"/>
        <w:contextualSpacing/>
        <w:rPr>
          <w:rFonts w:hint="eastAsia" w:ascii="宋体" w:hAnsi="宋体" w:cs="宋体"/>
          <w:color w:val="auto"/>
          <w:szCs w:val="21"/>
        </w:rPr>
      </w:pPr>
      <w:r>
        <w:rPr>
          <w:rFonts w:hint="eastAsia" w:ascii="宋体" w:hAnsi="宋体" w:cs="宋体"/>
          <w:color w:val="auto"/>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74201F02">
      <w:pPr>
        <w:spacing w:line="440" w:lineRule="exact"/>
        <w:ind w:firstLine="420" w:firstLineChars="200"/>
        <w:contextualSpacing/>
        <w:rPr>
          <w:rFonts w:hint="eastAsia" w:ascii="宋体" w:hAnsi="宋体" w:cs="宋体"/>
          <w:color w:val="auto"/>
          <w:szCs w:val="21"/>
        </w:rPr>
      </w:pPr>
      <w:r>
        <w:rPr>
          <w:rFonts w:hint="eastAsia" w:ascii="宋体" w:hAnsi="宋体" w:cs="宋体"/>
          <w:color w:val="auto"/>
          <w:szCs w:val="21"/>
        </w:rPr>
        <w:t>3.在此，我方宣布同意如下：</w:t>
      </w:r>
    </w:p>
    <w:p w14:paraId="6F927AD1">
      <w:pPr>
        <w:spacing w:line="440" w:lineRule="exact"/>
        <w:ind w:firstLine="420" w:firstLineChars="200"/>
        <w:contextualSpacing/>
        <w:rPr>
          <w:rFonts w:hint="eastAsia" w:ascii="宋体" w:hAnsi="宋体" w:cs="宋体"/>
          <w:color w:val="auto"/>
          <w:szCs w:val="21"/>
        </w:rPr>
      </w:pPr>
      <w:r>
        <w:rPr>
          <w:rFonts w:hint="eastAsia" w:ascii="宋体" w:hAnsi="宋体" w:cs="宋体"/>
          <w:color w:val="auto"/>
          <w:szCs w:val="21"/>
        </w:rPr>
        <w:t>（1）将按磋商文件的约定履行合同责任和义务；</w:t>
      </w:r>
    </w:p>
    <w:p w14:paraId="01D9F25F">
      <w:pPr>
        <w:spacing w:line="440" w:lineRule="exact"/>
        <w:ind w:firstLine="420" w:firstLineChars="200"/>
        <w:contextualSpacing/>
        <w:rPr>
          <w:rFonts w:hint="eastAsia" w:ascii="宋体" w:hAnsi="宋体" w:cs="宋体"/>
          <w:color w:val="auto"/>
          <w:szCs w:val="21"/>
        </w:rPr>
      </w:pPr>
      <w:r>
        <w:rPr>
          <w:rFonts w:hint="eastAsia" w:ascii="宋体" w:hAnsi="宋体" w:cs="宋体"/>
          <w:color w:val="auto"/>
          <w:szCs w:val="21"/>
        </w:rPr>
        <w:t>（2）已详细审查磋商文件的全部内容，包括澄清或者更正公告（如有）；</w:t>
      </w:r>
    </w:p>
    <w:p w14:paraId="617B888D">
      <w:pPr>
        <w:spacing w:line="440" w:lineRule="exact"/>
        <w:ind w:firstLine="420" w:firstLineChars="200"/>
        <w:contextualSpacing/>
        <w:rPr>
          <w:rFonts w:hint="eastAsia" w:ascii="宋体" w:hAnsi="宋体" w:cs="宋体"/>
          <w:color w:val="auto"/>
          <w:szCs w:val="21"/>
        </w:rPr>
      </w:pPr>
      <w:r>
        <w:rPr>
          <w:rFonts w:hint="eastAsia" w:ascii="宋体" w:hAnsi="宋体" w:cs="宋体"/>
          <w:color w:val="auto"/>
          <w:szCs w:val="21"/>
        </w:rPr>
        <w:t>（3）同意提供按照贵方可能要求的与磋商有关的一切数据或者资料。</w:t>
      </w:r>
    </w:p>
    <w:p w14:paraId="7AC19D9B">
      <w:pPr>
        <w:spacing w:line="440" w:lineRule="exact"/>
        <w:ind w:firstLine="420" w:firstLineChars="200"/>
        <w:contextualSpacing/>
        <w:rPr>
          <w:rFonts w:hint="eastAsia" w:ascii="宋体" w:hAnsi="宋体" w:cs="宋体"/>
          <w:color w:val="auto"/>
          <w:szCs w:val="21"/>
        </w:rPr>
      </w:pPr>
      <w:r>
        <w:rPr>
          <w:rFonts w:hint="eastAsia" w:ascii="宋体" w:hAnsi="宋体" w:cs="宋体"/>
          <w:color w:val="auto"/>
          <w:szCs w:val="21"/>
        </w:rPr>
        <w:t>（4）响应磋商文件规定的竞标有效期。</w:t>
      </w:r>
    </w:p>
    <w:p w14:paraId="688E0C96">
      <w:pPr>
        <w:spacing w:line="440" w:lineRule="exact"/>
        <w:ind w:firstLine="420" w:firstLineChars="200"/>
        <w:contextualSpacing/>
        <w:rPr>
          <w:rFonts w:hint="eastAsia" w:ascii="宋体" w:hAnsi="宋体" w:cs="宋体"/>
          <w:color w:val="auto"/>
          <w:szCs w:val="21"/>
        </w:rPr>
      </w:pPr>
      <w:r>
        <w:rPr>
          <w:rFonts w:hint="eastAsia" w:ascii="宋体" w:hAnsi="宋体" w:cs="宋体"/>
          <w:color w:val="auto"/>
          <w:szCs w:val="21"/>
        </w:rPr>
        <w:t>4.我方承诺已经具备《中华人民共和国政府采购法》第二十二条规定的参加政府采购活动的供应商应当具备的条件并按本项目采购文件《第三章》第二节供应商须知前附表中“资格证明文件组成”完整提供证明材料：</w:t>
      </w:r>
    </w:p>
    <w:p w14:paraId="15806CF0">
      <w:pPr>
        <w:spacing w:line="440" w:lineRule="exact"/>
        <w:ind w:firstLine="420" w:firstLineChars="200"/>
        <w:contextualSpacing/>
        <w:rPr>
          <w:rFonts w:hint="eastAsia" w:ascii="宋体" w:hAnsi="宋体" w:cs="宋体"/>
          <w:color w:val="auto"/>
          <w:szCs w:val="21"/>
        </w:rPr>
      </w:pPr>
      <w:r>
        <w:rPr>
          <w:rFonts w:hint="eastAsia" w:ascii="宋体" w:hAnsi="宋体" w:cs="宋体"/>
          <w:color w:val="auto"/>
          <w:szCs w:val="21"/>
        </w:rPr>
        <w:t>（1）具有独立承担民事责任的能力；</w:t>
      </w:r>
    </w:p>
    <w:p w14:paraId="275CC9EC">
      <w:pPr>
        <w:spacing w:line="440" w:lineRule="exact"/>
        <w:ind w:firstLine="420" w:firstLineChars="200"/>
        <w:contextualSpacing/>
        <w:rPr>
          <w:rFonts w:hint="eastAsia" w:ascii="宋体" w:hAnsi="宋体" w:cs="宋体"/>
          <w:color w:val="auto"/>
          <w:szCs w:val="21"/>
        </w:rPr>
      </w:pPr>
      <w:r>
        <w:rPr>
          <w:rFonts w:hint="eastAsia" w:ascii="宋体" w:hAnsi="宋体" w:cs="宋体"/>
          <w:color w:val="auto"/>
          <w:szCs w:val="21"/>
        </w:rPr>
        <w:t>（2）具有良好的商业信誉和健全的财务会计制度；</w:t>
      </w:r>
    </w:p>
    <w:p w14:paraId="777E172F">
      <w:pPr>
        <w:spacing w:line="440" w:lineRule="exact"/>
        <w:ind w:firstLine="420" w:firstLineChars="200"/>
        <w:contextualSpacing/>
        <w:rPr>
          <w:rFonts w:hint="eastAsia" w:ascii="宋体" w:hAnsi="宋体" w:cs="宋体"/>
          <w:color w:val="auto"/>
          <w:szCs w:val="21"/>
        </w:rPr>
      </w:pPr>
      <w:r>
        <w:rPr>
          <w:rFonts w:hint="eastAsia" w:ascii="宋体" w:hAnsi="宋体" w:cs="宋体"/>
          <w:color w:val="auto"/>
          <w:szCs w:val="21"/>
        </w:rPr>
        <w:t>（3）具有履行合同所必需的设备和专业技术能力；</w:t>
      </w:r>
    </w:p>
    <w:p w14:paraId="7EDED241">
      <w:pPr>
        <w:spacing w:line="440" w:lineRule="exact"/>
        <w:ind w:firstLine="420" w:firstLineChars="200"/>
        <w:contextualSpacing/>
        <w:rPr>
          <w:rFonts w:hint="eastAsia" w:ascii="宋体" w:hAnsi="宋体" w:cs="宋体"/>
          <w:color w:val="auto"/>
          <w:szCs w:val="21"/>
        </w:rPr>
      </w:pPr>
      <w:r>
        <w:rPr>
          <w:rFonts w:hint="eastAsia" w:ascii="宋体" w:hAnsi="宋体" w:cs="宋体"/>
          <w:color w:val="auto"/>
          <w:szCs w:val="21"/>
        </w:rPr>
        <w:t>（4）有依法缴纳税收和社会保障资金的良好记录；</w:t>
      </w:r>
    </w:p>
    <w:p w14:paraId="3B5C65A8">
      <w:pPr>
        <w:spacing w:line="440" w:lineRule="exact"/>
        <w:ind w:firstLine="420" w:firstLineChars="200"/>
        <w:contextualSpacing/>
        <w:rPr>
          <w:rFonts w:hint="eastAsia" w:ascii="宋体" w:hAnsi="宋体" w:cs="宋体"/>
          <w:color w:val="auto"/>
          <w:szCs w:val="21"/>
        </w:rPr>
      </w:pPr>
      <w:r>
        <w:rPr>
          <w:rFonts w:hint="eastAsia" w:ascii="宋体" w:hAnsi="宋体" w:cs="宋体"/>
          <w:color w:val="auto"/>
          <w:szCs w:val="21"/>
        </w:rPr>
        <w:t>（5）参加政府采购活动前三年内，在经营活动中没有重大违法记录；</w:t>
      </w:r>
    </w:p>
    <w:p w14:paraId="29AB9149">
      <w:pPr>
        <w:spacing w:line="440" w:lineRule="exact"/>
        <w:ind w:firstLine="420" w:firstLineChars="200"/>
        <w:contextualSpacing/>
        <w:rPr>
          <w:rFonts w:hint="eastAsia" w:ascii="宋体" w:hAnsi="宋体" w:cs="宋体"/>
          <w:color w:val="auto"/>
          <w:szCs w:val="21"/>
        </w:rPr>
      </w:pPr>
      <w:r>
        <w:rPr>
          <w:rFonts w:hint="eastAsia" w:ascii="宋体" w:hAnsi="宋体" w:cs="宋体"/>
          <w:color w:val="auto"/>
          <w:szCs w:val="21"/>
        </w:rPr>
        <w:t>（6）法律、行政法规规定的其他条件。</w:t>
      </w:r>
    </w:p>
    <w:p w14:paraId="025378D1">
      <w:pPr>
        <w:spacing w:line="440" w:lineRule="exact"/>
        <w:ind w:firstLine="420" w:firstLineChars="200"/>
        <w:contextualSpacing/>
        <w:rPr>
          <w:rFonts w:hint="eastAsia" w:ascii="宋体" w:hAnsi="宋体" w:cs="宋体"/>
          <w:color w:val="auto"/>
          <w:szCs w:val="21"/>
        </w:rPr>
      </w:pPr>
      <w:r>
        <w:rPr>
          <w:rFonts w:hint="eastAsia" w:ascii="宋体" w:hAnsi="宋体" w:cs="宋体"/>
          <w:color w:val="auto"/>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名单、政府采购严重违法失信行为记录名单，完全符合《中华人民共和国政府采购法》第二十二条规定的供应商资格条件，我方对此声明负全部法律责任。</w:t>
      </w:r>
    </w:p>
    <w:p w14:paraId="0162A136">
      <w:pPr>
        <w:spacing w:line="440" w:lineRule="exact"/>
        <w:ind w:firstLine="420" w:firstLineChars="200"/>
        <w:contextualSpacing/>
        <w:rPr>
          <w:rFonts w:hint="eastAsia" w:ascii="宋体" w:hAnsi="宋体" w:cs="宋体"/>
          <w:color w:val="auto"/>
          <w:szCs w:val="21"/>
        </w:rPr>
      </w:pPr>
      <w:r>
        <w:rPr>
          <w:rFonts w:hint="eastAsia" w:ascii="宋体" w:hAnsi="宋体" w:cs="宋体"/>
          <w:color w:val="auto"/>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4E3888D">
      <w:pPr>
        <w:spacing w:line="440" w:lineRule="exact"/>
        <w:ind w:firstLine="420" w:firstLineChars="200"/>
        <w:contextualSpacing/>
        <w:rPr>
          <w:rFonts w:hint="eastAsia" w:ascii="宋体" w:hAnsi="宋体" w:cs="宋体"/>
          <w:color w:val="auto"/>
          <w:szCs w:val="21"/>
        </w:rPr>
      </w:pPr>
      <w:r>
        <w:rPr>
          <w:rFonts w:hint="eastAsia" w:ascii="宋体" w:hAnsi="宋体" w:cs="宋体"/>
          <w:color w:val="auto"/>
          <w:szCs w:val="21"/>
        </w:rPr>
        <w:t>□我方本次响应文件内容中未涉及商业秘密；</w:t>
      </w:r>
    </w:p>
    <w:p w14:paraId="21248C46">
      <w:pPr>
        <w:spacing w:line="440" w:lineRule="exact"/>
        <w:ind w:firstLine="420" w:firstLineChars="200"/>
        <w:contextualSpacing/>
        <w:rPr>
          <w:rFonts w:hint="eastAsia" w:ascii="宋体" w:hAnsi="宋体" w:cs="宋体"/>
          <w:color w:val="auto"/>
          <w:szCs w:val="21"/>
        </w:rPr>
      </w:pPr>
      <w:r>
        <w:rPr>
          <w:rFonts w:hint="eastAsia" w:ascii="宋体" w:hAnsi="宋体" w:cs="宋体"/>
          <w:color w:val="auto"/>
          <w:szCs w:val="21"/>
        </w:rPr>
        <w:t xml:space="preserve">□我方本次响应文件涉及商业秘密的内容有：     </w:t>
      </w:r>
    </w:p>
    <w:p w14:paraId="27037775">
      <w:pPr>
        <w:pStyle w:val="19"/>
        <w:tabs>
          <w:tab w:val="left" w:pos="939"/>
        </w:tabs>
        <w:spacing w:line="440" w:lineRule="exact"/>
        <w:ind w:left="0" w:leftChars="0" w:firstLine="420" w:firstLineChars="200"/>
        <w:rPr>
          <w:rFonts w:hint="eastAsia" w:ascii="宋体" w:hAnsi="宋体" w:cs="宋体"/>
          <w:color w:val="auto"/>
          <w:szCs w:val="21"/>
        </w:rPr>
      </w:pPr>
      <w:r>
        <w:rPr>
          <w:rFonts w:hint="eastAsia" w:ascii="宋体" w:hAnsi="宋体" w:cs="宋体"/>
          <w:color w:val="auto"/>
          <w:kern w:val="0"/>
          <w:szCs w:val="21"/>
        </w:rPr>
        <w:t>7.</w:t>
      </w:r>
      <w:r>
        <w:rPr>
          <w:rFonts w:hint="eastAsia" w:ascii="宋体" w:hAnsi="宋体" w:cs="宋体"/>
          <w:color w:val="auto"/>
          <w:szCs w:val="21"/>
        </w:rPr>
        <w:t>以上事项如有虚假或者隐瞒，我方愿意承担一切后果，并不再寻求任何旨在减轻或者免除法律责任的辩解。</w:t>
      </w:r>
    </w:p>
    <w:p w14:paraId="1C236479">
      <w:pPr>
        <w:pStyle w:val="19"/>
        <w:tabs>
          <w:tab w:val="left" w:pos="939"/>
        </w:tabs>
        <w:spacing w:line="440" w:lineRule="exact"/>
        <w:ind w:left="141" w:leftChars="67" w:firstLine="315" w:firstLineChars="150"/>
        <w:rPr>
          <w:rFonts w:hint="eastAsia" w:ascii="宋体" w:hAnsi="宋体" w:cs="宋体"/>
          <w:color w:val="auto"/>
          <w:szCs w:val="21"/>
        </w:rPr>
      </w:pPr>
      <w:r>
        <w:rPr>
          <w:rFonts w:hint="eastAsia" w:ascii="宋体" w:hAnsi="宋体" w:cs="宋体"/>
          <w:color w:val="auto"/>
          <w:szCs w:val="21"/>
        </w:rPr>
        <w:t>特此承诺。</w:t>
      </w:r>
    </w:p>
    <w:p w14:paraId="3B405416">
      <w:pPr>
        <w:pStyle w:val="19"/>
        <w:tabs>
          <w:tab w:val="left" w:pos="939"/>
        </w:tabs>
        <w:spacing w:line="440" w:lineRule="exact"/>
        <w:ind w:left="0" w:leftChars="0" w:firstLine="420" w:firstLineChars="200"/>
        <w:rPr>
          <w:rFonts w:hint="eastAsia" w:ascii="宋体" w:hAnsi="宋体" w:cs="宋体"/>
          <w:color w:val="auto"/>
          <w:szCs w:val="21"/>
        </w:rPr>
      </w:pPr>
      <w:r>
        <w:rPr>
          <w:rFonts w:hint="eastAsia" w:ascii="宋体" w:hAnsi="宋体" w:cs="宋体"/>
          <w:color w:val="auto"/>
          <w:szCs w:val="21"/>
        </w:rPr>
        <w:t>注：如为联合体竞标，盖章处须加盖联合体各方公章，否则其响应文件按无效响应处理。</w:t>
      </w:r>
    </w:p>
    <w:p w14:paraId="2F5BF98D">
      <w:pPr>
        <w:autoSpaceDE w:val="0"/>
        <w:autoSpaceDN w:val="0"/>
        <w:spacing w:line="360" w:lineRule="auto"/>
        <w:ind w:left="4305" w:leftChars="1850" w:hanging="420" w:hangingChars="200"/>
        <w:rPr>
          <w:rFonts w:hint="eastAsia" w:ascii="宋体" w:hAnsi="宋体" w:cs="宋体"/>
          <w:color w:val="auto"/>
          <w:kern w:val="0"/>
          <w:szCs w:val="21"/>
        </w:rPr>
      </w:pPr>
    </w:p>
    <w:p w14:paraId="0CE77357">
      <w:pPr>
        <w:autoSpaceDE w:val="0"/>
        <w:autoSpaceDN w:val="0"/>
        <w:spacing w:line="360" w:lineRule="auto"/>
        <w:ind w:left="4305" w:leftChars="2050" w:firstLine="1470" w:firstLineChars="700"/>
        <w:rPr>
          <w:rFonts w:hint="eastAsia" w:ascii="宋体" w:hAnsi="宋体" w:cs="宋体"/>
          <w:color w:val="auto"/>
          <w:kern w:val="0"/>
          <w:szCs w:val="21"/>
        </w:rPr>
      </w:pPr>
      <w:r>
        <w:rPr>
          <w:rFonts w:hint="eastAsia" w:ascii="宋体" w:hAnsi="宋体" w:cs="宋体"/>
          <w:color w:val="auto"/>
          <w:kern w:val="0"/>
          <w:szCs w:val="21"/>
        </w:rPr>
        <w:t>供应商名称（电子签章）：</w:t>
      </w:r>
    </w:p>
    <w:p w14:paraId="702CE62E">
      <w:pPr>
        <w:snapToGrid w:val="0"/>
        <w:spacing w:line="360" w:lineRule="auto"/>
        <w:jc w:val="left"/>
        <w:rPr>
          <w:rFonts w:hint="eastAsia" w:ascii="宋体" w:hAnsi="宋体" w:cs="宋体"/>
          <w:color w:val="auto"/>
          <w:szCs w:val="21"/>
        </w:rPr>
      </w:pPr>
      <w:r>
        <w:rPr>
          <w:rFonts w:hint="eastAsia" w:ascii="宋体" w:hAnsi="宋体" w:cs="宋体"/>
          <w:color w:val="auto"/>
          <w:szCs w:val="21"/>
        </w:rPr>
        <w:t xml:space="preserve">                              法定代表人或者委托代理人（签字或者电子签名）：</w:t>
      </w:r>
    </w:p>
    <w:p w14:paraId="2920BAE0">
      <w:pPr>
        <w:autoSpaceDE w:val="0"/>
        <w:autoSpaceDN w:val="0"/>
        <w:spacing w:line="360" w:lineRule="auto"/>
        <w:ind w:firstLine="6195" w:firstLineChars="2950"/>
        <w:rPr>
          <w:rFonts w:hint="eastAsia" w:ascii="宋体" w:hAnsi="宋体" w:cs="宋体"/>
          <w:color w:val="auto"/>
          <w:kern w:val="0"/>
          <w:szCs w:val="21"/>
          <w:lang w:val="zh-CN"/>
        </w:rPr>
      </w:pPr>
      <w:r>
        <w:rPr>
          <w:rFonts w:hint="eastAsia" w:ascii="宋体" w:hAnsi="宋体" w:cs="宋体"/>
          <w:color w:val="auto"/>
          <w:kern w:val="0"/>
          <w:szCs w:val="21"/>
          <w:lang w:val="zh-CN"/>
        </w:rPr>
        <w:t>日期：  年  月   日</w:t>
      </w:r>
    </w:p>
    <w:p w14:paraId="2F818B9E">
      <w:pPr>
        <w:pStyle w:val="2"/>
        <w:rPr>
          <w:rFonts w:hint="eastAsia" w:ascii="宋体" w:hAnsi="宋体" w:cs="宋体"/>
          <w:color w:val="auto"/>
          <w:kern w:val="0"/>
          <w:szCs w:val="21"/>
          <w:lang w:val="zh-CN"/>
        </w:rPr>
      </w:pPr>
    </w:p>
    <w:p w14:paraId="1DF95ADC">
      <w:pPr>
        <w:pStyle w:val="2"/>
        <w:rPr>
          <w:rFonts w:hint="eastAsia" w:ascii="宋体" w:hAnsi="宋体" w:cs="宋体"/>
          <w:color w:val="auto"/>
          <w:kern w:val="0"/>
          <w:szCs w:val="21"/>
          <w:lang w:val="zh-CN"/>
        </w:rPr>
      </w:pPr>
    </w:p>
    <w:p w14:paraId="009D1085">
      <w:pPr>
        <w:pStyle w:val="2"/>
        <w:rPr>
          <w:rFonts w:hint="eastAsia" w:ascii="宋体" w:hAnsi="宋体" w:cs="宋体"/>
          <w:color w:val="auto"/>
          <w:kern w:val="0"/>
          <w:szCs w:val="21"/>
          <w:lang w:val="zh-CN"/>
        </w:rPr>
      </w:pPr>
    </w:p>
    <w:p w14:paraId="2F6DDFD2">
      <w:pPr>
        <w:pStyle w:val="2"/>
        <w:rPr>
          <w:rFonts w:hint="eastAsia" w:ascii="宋体" w:hAnsi="宋体" w:cs="宋体"/>
          <w:color w:val="auto"/>
          <w:kern w:val="0"/>
          <w:szCs w:val="21"/>
          <w:lang w:val="zh-CN"/>
        </w:rPr>
      </w:pPr>
    </w:p>
    <w:p w14:paraId="22C848A1">
      <w:pPr>
        <w:pStyle w:val="2"/>
        <w:rPr>
          <w:rFonts w:hint="eastAsia" w:ascii="宋体" w:hAnsi="宋体" w:cs="宋体"/>
          <w:color w:val="auto"/>
          <w:kern w:val="0"/>
          <w:szCs w:val="21"/>
          <w:lang w:val="zh-CN"/>
        </w:rPr>
      </w:pPr>
    </w:p>
    <w:p w14:paraId="341A5D7F">
      <w:pPr>
        <w:pStyle w:val="2"/>
        <w:rPr>
          <w:rFonts w:hint="eastAsia" w:ascii="宋体" w:hAnsi="宋体" w:cs="宋体"/>
          <w:color w:val="auto"/>
          <w:kern w:val="0"/>
          <w:szCs w:val="21"/>
          <w:lang w:val="zh-CN"/>
        </w:rPr>
      </w:pPr>
    </w:p>
    <w:p w14:paraId="675B8A29">
      <w:pPr>
        <w:pStyle w:val="2"/>
        <w:rPr>
          <w:rFonts w:hint="eastAsia" w:ascii="宋体" w:hAnsi="宋体" w:cs="宋体"/>
          <w:color w:val="auto"/>
          <w:kern w:val="0"/>
          <w:szCs w:val="21"/>
          <w:lang w:val="zh-CN"/>
        </w:rPr>
      </w:pPr>
    </w:p>
    <w:p w14:paraId="7E44DB00">
      <w:pPr>
        <w:pStyle w:val="2"/>
        <w:rPr>
          <w:rFonts w:hint="eastAsia" w:ascii="宋体" w:hAnsi="宋体" w:cs="宋体"/>
          <w:color w:val="auto"/>
          <w:kern w:val="0"/>
          <w:szCs w:val="21"/>
          <w:lang w:val="zh-CN"/>
        </w:rPr>
      </w:pPr>
    </w:p>
    <w:p w14:paraId="10F53F27">
      <w:pPr>
        <w:pStyle w:val="2"/>
        <w:rPr>
          <w:rFonts w:hint="eastAsia" w:ascii="宋体" w:hAnsi="宋体" w:cs="宋体"/>
          <w:color w:val="auto"/>
          <w:kern w:val="0"/>
          <w:szCs w:val="21"/>
          <w:lang w:val="zh-CN"/>
        </w:rPr>
      </w:pPr>
    </w:p>
    <w:p w14:paraId="7888EDF0">
      <w:pPr>
        <w:pStyle w:val="2"/>
        <w:rPr>
          <w:rFonts w:hint="eastAsia" w:ascii="宋体" w:hAnsi="宋体" w:cs="宋体"/>
          <w:color w:val="auto"/>
          <w:kern w:val="0"/>
          <w:szCs w:val="21"/>
          <w:lang w:val="zh-CN"/>
        </w:rPr>
      </w:pPr>
    </w:p>
    <w:p w14:paraId="73EF4A26">
      <w:pPr>
        <w:pStyle w:val="2"/>
        <w:rPr>
          <w:rFonts w:hint="eastAsia" w:ascii="宋体" w:hAnsi="宋体" w:cs="宋体"/>
          <w:color w:val="auto"/>
          <w:kern w:val="0"/>
          <w:szCs w:val="21"/>
          <w:lang w:val="zh-CN"/>
        </w:rPr>
      </w:pPr>
    </w:p>
    <w:p w14:paraId="06863D4C">
      <w:pPr>
        <w:pStyle w:val="2"/>
        <w:rPr>
          <w:rFonts w:hint="eastAsia" w:ascii="宋体" w:hAnsi="宋体" w:cs="宋体"/>
          <w:color w:val="auto"/>
          <w:kern w:val="0"/>
          <w:szCs w:val="21"/>
          <w:lang w:val="zh-CN"/>
        </w:rPr>
      </w:pPr>
    </w:p>
    <w:p w14:paraId="15919C56">
      <w:pPr>
        <w:pStyle w:val="2"/>
        <w:rPr>
          <w:rFonts w:hint="eastAsia" w:ascii="宋体" w:hAnsi="宋体" w:cs="宋体"/>
          <w:color w:val="auto"/>
          <w:kern w:val="0"/>
          <w:szCs w:val="21"/>
          <w:lang w:val="zh-CN"/>
        </w:rPr>
      </w:pPr>
    </w:p>
    <w:p w14:paraId="5534FD5E">
      <w:pPr>
        <w:pStyle w:val="2"/>
        <w:rPr>
          <w:rFonts w:hint="eastAsia" w:ascii="宋体" w:hAnsi="宋体" w:cs="宋体"/>
          <w:color w:val="auto"/>
          <w:kern w:val="0"/>
          <w:szCs w:val="21"/>
          <w:lang w:val="zh-CN"/>
        </w:rPr>
      </w:pPr>
    </w:p>
    <w:p w14:paraId="06896612">
      <w:pPr>
        <w:pStyle w:val="2"/>
        <w:rPr>
          <w:rFonts w:hint="eastAsia" w:ascii="宋体" w:hAnsi="宋体" w:cs="宋体"/>
          <w:color w:val="auto"/>
          <w:kern w:val="0"/>
          <w:szCs w:val="21"/>
          <w:lang w:val="zh-CN"/>
        </w:rPr>
      </w:pPr>
    </w:p>
    <w:p w14:paraId="0BF75F0F">
      <w:pPr>
        <w:pStyle w:val="2"/>
        <w:rPr>
          <w:rFonts w:hint="eastAsia" w:ascii="宋体" w:hAnsi="宋体" w:cs="宋体"/>
          <w:color w:val="auto"/>
          <w:kern w:val="0"/>
          <w:szCs w:val="21"/>
          <w:lang w:val="zh-CN"/>
        </w:rPr>
      </w:pPr>
    </w:p>
    <w:p w14:paraId="508A4823">
      <w:pPr>
        <w:pStyle w:val="2"/>
        <w:rPr>
          <w:rFonts w:hint="eastAsia" w:ascii="宋体" w:hAnsi="宋体" w:cs="宋体"/>
          <w:color w:val="auto"/>
          <w:kern w:val="0"/>
          <w:szCs w:val="21"/>
          <w:lang w:val="zh-CN"/>
        </w:rPr>
      </w:pPr>
    </w:p>
    <w:p w14:paraId="33EC8C2F">
      <w:pPr>
        <w:pStyle w:val="2"/>
        <w:rPr>
          <w:rFonts w:hint="eastAsia" w:ascii="宋体" w:hAnsi="宋体" w:cs="宋体"/>
          <w:color w:val="auto"/>
          <w:kern w:val="0"/>
          <w:szCs w:val="21"/>
          <w:lang w:val="zh-CN"/>
        </w:rPr>
      </w:pPr>
    </w:p>
    <w:p w14:paraId="2D9093C5">
      <w:pPr>
        <w:pStyle w:val="2"/>
        <w:rPr>
          <w:rFonts w:hint="eastAsia" w:ascii="宋体" w:hAnsi="宋体" w:cs="宋体"/>
          <w:color w:val="auto"/>
          <w:kern w:val="0"/>
          <w:szCs w:val="21"/>
          <w:lang w:val="zh-CN"/>
        </w:rPr>
      </w:pPr>
    </w:p>
    <w:p w14:paraId="6F748657">
      <w:pPr>
        <w:pStyle w:val="2"/>
        <w:rPr>
          <w:rFonts w:hint="eastAsia" w:ascii="宋体" w:hAnsi="宋体" w:cs="宋体"/>
          <w:color w:val="auto"/>
          <w:kern w:val="0"/>
          <w:szCs w:val="21"/>
          <w:lang w:val="zh-CN"/>
        </w:rPr>
      </w:pPr>
    </w:p>
    <w:p w14:paraId="1106BBF4">
      <w:pPr>
        <w:pStyle w:val="2"/>
        <w:rPr>
          <w:rFonts w:hint="eastAsia" w:ascii="宋体" w:hAnsi="宋体" w:cs="宋体"/>
          <w:color w:val="auto"/>
          <w:kern w:val="0"/>
          <w:szCs w:val="21"/>
          <w:lang w:val="zh-CN"/>
        </w:rPr>
      </w:pPr>
    </w:p>
    <w:p w14:paraId="2862E140">
      <w:pPr>
        <w:pStyle w:val="2"/>
        <w:rPr>
          <w:rFonts w:hint="eastAsia" w:ascii="宋体" w:hAnsi="宋体" w:cs="宋体"/>
          <w:color w:val="auto"/>
          <w:kern w:val="0"/>
          <w:szCs w:val="21"/>
          <w:lang w:val="zh-CN"/>
        </w:rPr>
      </w:pPr>
    </w:p>
    <w:p w14:paraId="05DB7ECD">
      <w:pPr>
        <w:pStyle w:val="2"/>
        <w:rPr>
          <w:rFonts w:hint="eastAsia" w:ascii="宋体" w:hAnsi="宋体" w:cs="宋体"/>
          <w:color w:val="auto"/>
          <w:kern w:val="0"/>
          <w:szCs w:val="21"/>
          <w:lang w:val="zh-CN"/>
        </w:rPr>
      </w:pPr>
    </w:p>
    <w:p w14:paraId="592408EE">
      <w:pPr>
        <w:pStyle w:val="2"/>
        <w:rPr>
          <w:rFonts w:hint="eastAsia" w:ascii="宋体" w:hAnsi="宋体" w:cs="宋体"/>
          <w:color w:val="auto"/>
          <w:kern w:val="0"/>
          <w:szCs w:val="21"/>
          <w:lang w:val="zh-CN"/>
        </w:rPr>
      </w:pPr>
    </w:p>
    <w:p w14:paraId="6F323119">
      <w:pPr>
        <w:pStyle w:val="2"/>
        <w:rPr>
          <w:rFonts w:hint="eastAsia" w:ascii="宋体" w:hAnsi="宋体" w:cs="宋体"/>
          <w:color w:val="auto"/>
          <w:kern w:val="0"/>
          <w:szCs w:val="21"/>
          <w:lang w:val="zh-CN"/>
        </w:rPr>
      </w:pPr>
    </w:p>
    <w:p w14:paraId="7146B299">
      <w:pPr>
        <w:rPr>
          <w:rFonts w:hint="eastAsia" w:ascii="宋体" w:hAnsi="宋体" w:cs="宋体"/>
          <w:color w:val="auto"/>
          <w:kern w:val="0"/>
          <w:sz w:val="24"/>
          <w:lang w:val="zh-CN"/>
        </w:rPr>
      </w:pPr>
    </w:p>
    <w:p w14:paraId="34004387">
      <w:pPr>
        <w:spacing w:line="500" w:lineRule="exact"/>
        <w:rPr>
          <w:rFonts w:hint="eastAsia" w:ascii="宋体" w:hAnsi="宋体" w:cs="宋体"/>
          <w:b/>
          <w:color w:val="auto"/>
          <w:sz w:val="30"/>
          <w:szCs w:val="30"/>
          <w:lang w:val="zh-CN"/>
        </w:rPr>
      </w:pPr>
      <w:r>
        <w:rPr>
          <w:rFonts w:hint="eastAsia" w:ascii="宋体" w:hAnsi="宋体" w:cs="宋体"/>
          <w:b/>
          <w:color w:val="auto"/>
          <w:kern w:val="0"/>
          <w:sz w:val="32"/>
          <w:szCs w:val="32"/>
        </w:rPr>
        <w:t>4.</w:t>
      </w:r>
      <w:r>
        <w:rPr>
          <w:rFonts w:hint="eastAsia" w:ascii="宋体" w:hAnsi="宋体" w:cs="宋体"/>
          <w:b/>
          <w:color w:val="auto"/>
          <w:sz w:val="30"/>
          <w:szCs w:val="30"/>
        </w:rPr>
        <w:t>1</w:t>
      </w:r>
      <w:r>
        <w:rPr>
          <w:rFonts w:hint="eastAsia" w:ascii="宋体" w:hAnsi="宋体" w:cs="宋体"/>
          <w:b/>
          <w:color w:val="auto"/>
          <w:sz w:val="30"/>
          <w:szCs w:val="30"/>
          <w:lang w:val="zh-CN"/>
        </w:rPr>
        <w:t>中小企业声明函的格式：</w:t>
      </w:r>
    </w:p>
    <w:p w14:paraId="1F7F55E5">
      <w:pPr>
        <w:pStyle w:val="25"/>
        <w:rPr>
          <w:rFonts w:hint="eastAsia" w:ascii="宋体" w:hAnsi="宋体" w:cs="宋体"/>
          <w:color w:val="auto"/>
        </w:rPr>
      </w:pPr>
    </w:p>
    <w:p w14:paraId="097DE073">
      <w:pPr>
        <w:spacing w:line="300" w:lineRule="auto"/>
        <w:ind w:firstLine="3520" w:firstLineChars="800"/>
        <w:rPr>
          <w:rFonts w:hint="eastAsia" w:ascii="宋体" w:hAnsi="宋体" w:cs="宋体"/>
          <w:color w:val="auto"/>
          <w:sz w:val="44"/>
          <w:szCs w:val="44"/>
        </w:rPr>
      </w:pPr>
      <w:r>
        <w:rPr>
          <w:rFonts w:hint="eastAsia" w:ascii="宋体" w:hAnsi="宋体" w:cs="宋体"/>
          <w:color w:val="auto"/>
          <w:sz w:val="44"/>
          <w:szCs w:val="44"/>
        </w:rPr>
        <w:t>中小企业声明函</w:t>
      </w:r>
    </w:p>
    <w:p w14:paraId="0CF59A94">
      <w:pPr>
        <w:pStyle w:val="2"/>
        <w:spacing w:after="0" w:line="360" w:lineRule="auto"/>
        <w:ind w:left="-426" w:right="142" w:firstLine="640"/>
        <w:contextualSpacing/>
        <w:rPr>
          <w:rFonts w:hint="eastAsia" w:ascii="宋体" w:hAnsi="宋体" w:cs="宋体"/>
          <w:color w:val="auto"/>
          <w:sz w:val="24"/>
        </w:rPr>
      </w:pPr>
    </w:p>
    <w:p w14:paraId="4EB7B65E">
      <w:pPr>
        <w:pStyle w:val="2"/>
        <w:spacing w:after="0" w:line="360" w:lineRule="auto"/>
        <w:ind w:left="-426" w:right="142" w:firstLine="640"/>
        <w:contextualSpacing/>
        <w:rPr>
          <w:rFonts w:hint="eastAsia" w:ascii="宋体" w:hAnsi="宋体" w:cs="宋体"/>
          <w:color w:val="auto"/>
          <w:sz w:val="24"/>
        </w:rPr>
      </w:pPr>
      <w:r>
        <w:rPr>
          <w:rFonts w:hint="eastAsia" w:ascii="宋体" w:hAnsi="宋体" w:cs="宋体"/>
          <w:color w:val="auto"/>
          <w:sz w:val="24"/>
        </w:rPr>
        <w:t>本公司（联合体）郑重声明，根据《政府采购促进中小企业发展管理办法》（财库﹝2020﹞46号）的规定，本公司（联合体）参加</w:t>
      </w:r>
      <w:r>
        <w:rPr>
          <w:rFonts w:hint="eastAsia" w:ascii="宋体" w:hAnsi="宋体" w:cs="宋体"/>
          <w:color w:val="auto"/>
          <w:sz w:val="24"/>
          <w:u w:val="single"/>
        </w:rPr>
        <w:t>（采购人名称）</w:t>
      </w:r>
      <w:r>
        <w:rPr>
          <w:rFonts w:hint="eastAsia" w:ascii="宋体" w:hAnsi="宋体" w:cs="宋体"/>
          <w:color w:val="auto"/>
          <w:sz w:val="24"/>
        </w:rPr>
        <w:t>的</w:t>
      </w:r>
      <w:r>
        <w:rPr>
          <w:rFonts w:hint="eastAsia" w:ascii="宋体" w:hAnsi="宋体" w:cs="宋体"/>
          <w:color w:val="auto"/>
          <w:sz w:val="24"/>
          <w:u w:val="single"/>
        </w:rPr>
        <w:t>（项目名称）</w:t>
      </w:r>
      <w:r>
        <w:rPr>
          <w:rFonts w:hint="eastAsia" w:ascii="宋体" w:hAnsi="宋体" w:cs="宋体"/>
          <w:color w:val="auto"/>
          <w:sz w:val="24"/>
        </w:rPr>
        <w:t>采购活动，</w:t>
      </w:r>
      <w:r>
        <w:rPr>
          <w:rFonts w:hint="eastAsia" w:ascii="宋体" w:hAnsi="宋体" w:cs="宋体"/>
          <w:color w:val="auto"/>
          <w:kern w:val="0"/>
          <w:sz w:val="24"/>
        </w:rPr>
        <w:t>服务全部由符合政策要求的中小企业承接</w:t>
      </w:r>
      <w:r>
        <w:rPr>
          <w:rFonts w:hint="eastAsia" w:ascii="宋体" w:hAnsi="宋体" w:cs="宋体"/>
          <w:color w:val="auto"/>
          <w:sz w:val="24"/>
        </w:rPr>
        <w:t>。相关企业（含联合体中的</w:t>
      </w:r>
      <w:r>
        <w:rPr>
          <w:rFonts w:hint="eastAsia" w:ascii="宋体" w:hAnsi="宋体" w:cs="宋体"/>
          <w:color w:val="auto"/>
          <w:kern w:val="0"/>
          <w:sz w:val="24"/>
        </w:rPr>
        <w:t>中小</w:t>
      </w:r>
      <w:r>
        <w:rPr>
          <w:rFonts w:hint="eastAsia" w:ascii="宋体" w:hAnsi="宋体" w:cs="宋体"/>
          <w:color w:val="auto"/>
          <w:sz w:val="24"/>
        </w:rPr>
        <w:t>企业、签订分包意向协议的中小企业）的具体情况如下：</w:t>
      </w:r>
    </w:p>
    <w:p w14:paraId="2630E5F0">
      <w:pPr>
        <w:tabs>
          <w:tab w:val="left" w:pos="1384"/>
          <w:tab w:val="left" w:pos="4562"/>
          <w:tab w:val="left" w:pos="6803"/>
        </w:tabs>
        <w:spacing w:line="360" w:lineRule="auto"/>
        <w:ind w:left="-426" w:right="-58" w:firstLine="655"/>
        <w:contextualSpacing/>
        <w:rPr>
          <w:rFonts w:hint="eastAsia" w:ascii="宋体" w:hAnsi="宋体" w:cs="宋体"/>
          <w:color w:val="auto"/>
          <w:sz w:val="24"/>
        </w:rPr>
      </w:pPr>
      <w:r>
        <w:rPr>
          <w:rFonts w:hint="eastAsia" w:ascii="宋体" w:hAnsi="宋体" w:cs="宋体"/>
          <w:color w:val="auto"/>
          <w:sz w:val="24"/>
        </w:rPr>
        <w:t>1.</w:t>
      </w:r>
      <w:r>
        <w:rPr>
          <w:rFonts w:hint="eastAsia" w:ascii="宋体" w:hAnsi="宋体" w:cs="宋体"/>
          <w:color w:val="auto"/>
          <w:sz w:val="24"/>
          <w:u w:val="single"/>
        </w:rPr>
        <w:t>（标的名称）</w:t>
      </w:r>
      <w:r>
        <w:rPr>
          <w:rFonts w:hint="eastAsia" w:ascii="宋体" w:hAnsi="宋体" w:cs="宋体"/>
          <w:color w:val="auto"/>
          <w:sz w:val="24"/>
        </w:rPr>
        <w:t>，属于</w:t>
      </w:r>
      <w:r>
        <w:rPr>
          <w:rFonts w:hint="eastAsia" w:ascii="宋体" w:hAnsi="宋体" w:cs="宋体"/>
          <w:color w:val="auto"/>
          <w:sz w:val="24"/>
          <w:u w:val="single"/>
        </w:rPr>
        <w:t>（采购文件中明确的所属行业）</w:t>
      </w:r>
      <w:r>
        <w:rPr>
          <w:rFonts w:hint="eastAsia" w:ascii="宋体" w:hAnsi="宋体" w:cs="宋体"/>
          <w:color w:val="auto"/>
          <w:sz w:val="24"/>
        </w:rPr>
        <w:t>；</w:t>
      </w:r>
      <w:r>
        <w:rPr>
          <w:rFonts w:hint="eastAsia" w:ascii="宋体" w:hAnsi="宋体" w:cs="宋体"/>
          <w:color w:val="auto"/>
          <w:kern w:val="0"/>
          <w:sz w:val="24"/>
        </w:rPr>
        <w:t>承接企业</w:t>
      </w:r>
      <w:r>
        <w:rPr>
          <w:rFonts w:hint="eastAsia" w:ascii="宋体" w:hAnsi="宋体" w:cs="宋体"/>
          <w:color w:val="auto"/>
          <w:sz w:val="24"/>
        </w:rPr>
        <w:t>为</w:t>
      </w:r>
      <w:r>
        <w:rPr>
          <w:rFonts w:hint="eastAsia" w:ascii="宋体" w:hAnsi="宋体" w:cs="宋体"/>
          <w:color w:val="auto"/>
          <w:sz w:val="24"/>
          <w:u w:val="single"/>
        </w:rPr>
        <w:t>（企业名称）</w:t>
      </w:r>
      <w:r>
        <w:rPr>
          <w:rFonts w:hint="eastAsia" w:ascii="宋体" w:hAnsi="宋体" w:cs="宋体"/>
          <w:color w:val="auto"/>
          <w:sz w:val="24"/>
        </w:rPr>
        <w:t>，从业人员人，营业收入为万元，资产总额为万元，属于</w:t>
      </w:r>
      <w:r>
        <w:rPr>
          <w:rFonts w:hint="eastAsia" w:ascii="宋体" w:hAnsi="宋体" w:cs="宋体"/>
          <w:color w:val="auto"/>
          <w:sz w:val="24"/>
          <w:u w:val="single"/>
        </w:rPr>
        <w:t>（中型企业、小型企业、微型企业）</w:t>
      </w:r>
      <w:r>
        <w:rPr>
          <w:rFonts w:hint="eastAsia" w:ascii="宋体" w:hAnsi="宋体" w:cs="宋体"/>
          <w:color w:val="auto"/>
          <w:sz w:val="24"/>
        </w:rPr>
        <w:t>；</w:t>
      </w:r>
    </w:p>
    <w:p w14:paraId="597D0641">
      <w:pPr>
        <w:tabs>
          <w:tab w:val="left" w:pos="1065"/>
          <w:tab w:val="left" w:pos="6477"/>
        </w:tabs>
        <w:spacing w:line="360" w:lineRule="auto"/>
        <w:ind w:left="-426" w:right="-58" w:firstLine="655"/>
        <w:contextualSpacing/>
        <w:rPr>
          <w:rFonts w:hint="eastAsia" w:ascii="宋体" w:hAnsi="宋体" w:cs="宋体"/>
          <w:color w:val="auto"/>
          <w:sz w:val="24"/>
        </w:rPr>
      </w:pPr>
      <w:r>
        <w:rPr>
          <w:rFonts w:hint="eastAsia" w:ascii="宋体" w:hAnsi="宋体" w:cs="宋体"/>
          <w:color w:val="auto"/>
          <w:sz w:val="24"/>
        </w:rPr>
        <w:t>2.</w:t>
      </w:r>
      <w:r>
        <w:rPr>
          <w:rFonts w:hint="eastAsia" w:ascii="宋体" w:hAnsi="宋体" w:cs="宋体"/>
          <w:color w:val="auto"/>
          <w:sz w:val="24"/>
          <w:u w:val="single"/>
        </w:rPr>
        <w:t>（标的名称）</w:t>
      </w:r>
      <w:r>
        <w:rPr>
          <w:rFonts w:hint="eastAsia" w:ascii="宋体" w:hAnsi="宋体" w:cs="宋体"/>
          <w:color w:val="auto"/>
          <w:sz w:val="24"/>
        </w:rPr>
        <w:t>，属于</w:t>
      </w:r>
      <w:r>
        <w:rPr>
          <w:rFonts w:hint="eastAsia" w:ascii="宋体" w:hAnsi="宋体" w:cs="宋体"/>
          <w:color w:val="auto"/>
          <w:sz w:val="24"/>
          <w:u w:val="single"/>
        </w:rPr>
        <w:t>（采购文件中明确的所属行业）</w:t>
      </w:r>
      <w:r>
        <w:rPr>
          <w:rFonts w:hint="eastAsia" w:ascii="宋体" w:hAnsi="宋体" w:cs="宋体"/>
          <w:color w:val="auto"/>
          <w:sz w:val="24"/>
        </w:rPr>
        <w:t>；</w:t>
      </w:r>
      <w:r>
        <w:rPr>
          <w:rFonts w:hint="eastAsia" w:ascii="宋体" w:hAnsi="宋体" w:cs="宋体"/>
          <w:color w:val="auto"/>
          <w:kern w:val="0"/>
          <w:sz w:val="24"/>
        </w:rPr>
        <w:t>承接企业</w:t>
      </w:r>
      <w:r>
        <w:rPr>
          <w:rFonts w:hint="eastAsia" w:ascii="宋体" w:hAnsi="宋体" w:cs="宋体"/>
          <w:color w:val="auto"/>
          <w:sz w:val="24"/>
        </w:rPr>
        <w:t>为</w:t>
      </w:r>
      <w:r>
        <w:rPr>
          <w:rFonts w:hint="eastAsia" w:ascii="宋体" w:hAnsi="宋体" w:cs="宋体"/>
          <w:color w:val="auto"/>
          <w:sz w:val="24"/>
          <w:u w:val="single"/>
        </w:rPr>
        <w:t>（企业名称）</w:t>
      </w:r>
      <w:r>
        <w:rPr>
          <w:rFonts w:hint="eastAsia" w:ascii="宋体" w:hAnsi="宋体" w:cs="宋体"/>
          <w:color w:val="auto"/>
          <w:sz w:val="24"/>
        </w:rPr>
        <w:t>，从业人员人，营业收入为万元，资产总额为万元，属于</w:t>
      </w:r>
      <w:r>
        <w:rPr>
          <w:rFonts w:hint="eastAsia" w:ascii="宋体" w:hAnsi="宋体" w:cs="宋体"/>
          <w:color w:val="auto"/>
          <w:sz w:val="24"/>
          <w:u w:val="single"/>
        </w:rPr>
        <w:t>（中型企业、小型企业、微型企业）</w:t>
      </w:r>
      <w:r>
        <w:rPr>
          <w:rFonts w:hint="eastAsia" w:ascii="宋体" w:hAnsi="宋体" w:cs="宋体"/>
          <w:color w:val="auto"/>
          <w:sz w:val="24"/>
        </w:rPr>
        <w:t>；</w:t>
      </w:r>
    </w:p>
    <w:p w14:paraId="7490CB6F">
      <w:pPr>
        <w:pStyle w:val="2"/>
        <w:spacing w:after="0" w:line="360" w:lineRule="auto"/>
        <w:ind w:left="142" w:right="142"/>
        <w:contextualSpacing/>
        <w:rPr>
          <w:rFonts w:hint="eastAsia" w:ascii="宋体" w:hAnsi="宋体" w:cs="宋体"/>
          <w:color w:val="auto"/>
          <w:sz w:val="24"/>
        </w:rPr>
      </w:pPr>
      <w:r>
        <w:rPr>
          <w:rFonts w:hint="eastAsia" w:ascii="宋体" w:hAnsi="宋体" w:cs="宋体"/>
          <w:color w:val="auto"/>
          <w:sz w:val="24"/>
        </w:rPr>
        <w:t xml:space="preserve">…… </w:t>
      </w:r>
    </w:p>
    <w:p w14:paraId="2CC6C70E">
      <w:pPr>
        <w:pStyle w:val="2"/>
        <w:spacing w:after="0" w:line="360" w:lineRule="auto"/>
        <w:ind w:left="-405" w:leftChars="-193" w:right="142" w:firstLine="453" w:firstLineChars="189"/>
        <w:contextualSpacing/>
        <w:rPr>
          <w:rFonts w:hint="eastAsia" w:ascii="宋体" w:hAnsi="宋体" w:cs="宋体"/>
          <w:color w:val="auto"/>
          <w:sz w:val="24"/>
        </w:rPr>
      </w:pPr>
      <w:r>
        <w:rPr>
          <w:rFonts w:hint="eastAsia" w:ascii="宋体" w:hAnsi="宋体" w:cs="宋体"/>
          <w:color w:val="auto"/>
          <w:sz w:val="24"/>
        </w:rPr>
        <w:t>以上企业，不属于大企业的分支机构，不存在控股股东为大企业的情形，也不存在与大企业的负责人为同一人的情形。</w:t>
      </w:r>
    </w:p>
    <w:p w14:paraId="2FF1B077">
      <w:pPr>
        <w:pStyle w:val="2"/>
        <w:spacing w:after="0" w:line="360" w:lineRule="auto"/>
        <w:ind w:left="-426" w:right="142" w:firstLine="567"/>
        <w:contextualSpacing/>
        <w:rPr>
          <w:rFonts w:hint="eastAsia" w:ascii="宋体" w:hAnsi="宋体" w:cs="宋体"/>
          <w:color w:val="auto"/>
          <w:sz w:val="24"/>
        </w:rPr>
      </w:pPr>
      <w:r>
        <w:rPr>
          <w:rFonts w:hint="eastAsia" w:ascii="宋体" w:hAnsi="宋体" w:cs="宋体"/>
          <w:color w:val="auto"/>
          <w:sz w:val="24"/>
        </w:rPr>
        <w:t>本企业对上述声明内容的真实性负责。如有虚假，将依法承担相应责任。</w:t>
      </w:r>
    </w:p>
    <w:p w14:paraId="2886DF00">
      <w:pPr>
        <w:pStyle w:val="2"/>
        <w:spacing w:after="0" w:line="360" w:lineRule="auto"/>
        <w:ind w:left="3960" w:right="1808"/>
        <w:contextualSpacing/>
        <w:rPr>
          <w:rFonts w:hint="eastAsia" w:ascii="宋体" w:hAnsi="宋体" w:cs="宋体"/>
          <w:color w:val="auto"/>
          <w:sz w:val="24"/>
        </w:rPr>
      </w:pPr>
    </w:p>
    <w:p w14:paraId="4E70ED9F">
      <w:pPr>
        <w:autoSpaceDE w:val="0"/>
        <w:autoSpaceDN w:val="0"/>
        <w:spacing w:line="360" w:lineRule="auto"/>
        <w:ind w:left="4335" w:leftChars="1950" w:hanging="240" w:hangingChars="100"/>
        <w:rPr>
          <w:rFonts w:hint="eastAsia" w:ascii="宋体" w:hAnsi="宋体" w:cs="宋体"/>
          <w:color w:val="auto"/>
          <w:kern w:val="0"/>
          <w:sz w:val="24"/>
        </w:rPr>
      </w:pPr>
      <w:r>
        <w:rPr>
          <w:rFonts w:hint="eastAsia" w:ascii="宋体" w:hAnsi="宋体" w:cs="宋体"/>
          <w:color w:val="auto"/>
          <w:kern w:val="0"/>
          <w:sz w:val="24"/>
        </w:rPr>
        <w:t>供应商名称（盖公章）：</w:t>
      </w:r>
    </w:p>
    <w:p w14:paraId="26289FD7">
      <w:pPr>
        <w:autoSpaceDE w:val="0"/>
        <w:autoSpaceDN w:val="0"/>
        <w:spacing w:line="360" w:lineRule="auto"/>
        <w:ind w:firstLine="6480" w:firstLineChars="2700"/>
        <w:rPr>
          <w:rFonts w:hint="eastAsia" w:ascii="宋体" w:hAnsi="宋体" w:cs="宋体"/>
          <w:color w:val="auto"/>
          <w:kern w:val="0"/>
          <w:sz w:val="24"/>
          <w:lang w:val="zh-CN"/>
        </w:rPr>
      </w:pPr>
      <w:r>
        <w:rPr>
          <w:rFonts w:hint="eastAsia" w:ascii="宋体" w:hAnsi="宋体" w:cs="宋体"/>
          <w:color w:val="auto"/>
          <w:kern w:val="0"/>
          <w:sz w:val="24"/>
          <w:lang w:val="zh-CN"/>
        </w:rPr>
        <w:t>日期：  年  月   日</w:t>
      </w:r>
    </w:p>
    <w:p w14:paraId="480D2191">
      <w:pPr>
        <w:pStyle w:val="2"/>
        <w:spacing w:after="0" w:line="360" w:lineRule="auto"/>
        <w:ind w:left="3960" w:right="1808"/>
        <w:contextualSpacing/>
        <w:rPr>
          <w:rFonts w:hint="eastAsia" w:ascii="宋体" w:hAnsi="宋体" w:cs="宋体"/>
          <w:color w:val="auto"/>
        </w:rPr>
      </w:pPr>
    </w:p>
    <w:p w14:paraId="6F058214">
      <w:pPr>
        <w:spacing w:line="360" w:lineRule="auto"/>
        <w:ind w:firstLine="480" w:firstLineChars="200"/>
        <w:contextualSpacing/>
        <w:jc w:val="left"/>
        <w:rPr>
          <w:rFonts w:hint="eastAsia" w:ascii="宋体" w:hAnsi="宋体" w:cs="宋体"/>
          <w:color w:val="auto"/>
          <w:kern w:val="0"/>
          <w:sz w:val="24"/>
        </w:rPr>
      </w:pPr>
      <w:r>
        <w:rPr>
          <w:rFonts w:hint="eastAsia" w:ascii="宋体" w:hAnsi="宋体" w:cs="宋体"/>
          <w:color w:val="auto"/>
          <w:sz w:val="24"/>
        </w:rPr>
        <w:t>注：享受《政府采购促进中小企业发展管理办法》（财库〔2020〕46号）规定的中小企业扶持政策的，采购人或者采购代理机构应当随成交结果公开成交供应商的《中小企业声明函》，接受社会监督。从业人员、营业收入、资产总额填报上一年度数据，无上一年度数据的新成立企业可不填报。</w:t>
      </w:r>
    </w:p>
    <w:p w14:paraId="467FF94D">
      <w:pPr>
        <w:snapToGrid w:val="0"/>
        <w:spacing w:before="120" w:beforeLines="50" w:after="50" w:line="360" w:lineRule="auto"/>
        <w:outlineLvl w:val="1"/>
        <w:rPr>
          <w:rFonts w:hint="eastAsia" w:ascii="宋体" w:hAnsi="宋体" w:cs="宋体"/>
          <w:b/>
          <w:bCs/>
          <w:color w:val="auto"/>
          <w:sz w:val="32"/>
          <w:szCs w:val="32"/>
        </w:rPr>
        <w:sectPr>
          <w:pgSz w:w="11911" w:h="16838"/>
          <w:pgMar w:top="1134" w:right="1417" w:bottom="1134" w:left="1417" w:header="720" w:footer="720" w:gutter="0"/>
          <w:cols w:space="720" w:num="1"/>
        </w:sectPr>
      </w:pPr>
    </w:p>
    <w:p w14:paraId="5FF54E9F">
      <w:pPr>
        <w:spacing w:line="520" w:lineRule="exact"/>
        <w:rPr>
          <w:rFonts w:hint="eastAsia" w:hAnsi="宋体" w:cs="宋体"/>
          <w:b/>
          <w:color w:val="auto"/>
          <w:sz w:val="28"/>
          <w:szCs w:val="28"/>
        </w:rPr>
      </w:pPr>
      <w:r>
        <w:rPr>
          <w:rFonts w:hint="eastAsia" w:ascii="宋体" w:hAnsi="宋体" w:cs="宋体"/>
          <w:b/>
          <w:color w:val="auto"/>
          <w:sz w:val="28"/>
          <w:szCs w:val="28"/>
        </w:rPr>
        <w:t>4.2.</w:t>
      </w:r>
      <w:r>
        <w:rPr>
          <w:rFonts w:hint="eastAsia" w:hAnsi="宋体" w:cs="宋体"/>
          <w:b/>
          <w:color w:val="auto"/>
          <w:sz w:val="28"/>
          <w:szCs w:val="28"/>
        </w:rPr>
        <w:t>残疾人福利性单位声明函的格式：</w:t>
      </w:r>
    </w:p>
    <w:p w14:paraId="14A43CFB">
      <w:pPr>
        <w:pStyle w:val="25"/>
        <w:rPr>
          <w:color w:val="auto"/>
        </w:rPr>
      </w:pPr>
    </w:p>
    <w:p w14:paraId="4F1978B2">
      <w:pPr>
        <w:spacing w:line="520" w:lineRule="exact"/>
        <w:jc w:val="center"/>
        <w:rPr>
          <w:rFonts w:hint="eastAsia" w:ascii="仿宋" w:hAnsi="仿宋" w:eastAsia="仿宋" w:cs="仿宋"/>
          <w:color w:val="auto"/>
          <w:sz w:val="44"/>
          <w:szCs w:val="44"/>
        </w:rPr>
      </w:pPr>
    </w:p>
    <w:p w14:paraId="71B82280">
      <w:pPr>
        <w:spacing w:line="520" w:lineRule="exact"/>
        <w:jc w:val="center"/>
        <w:rPr>
          <w:rFonts w:hint="eastAsia" w:ascii="仿宋" w:hAnsi="仿宋" w:eastAsia="仿宋" w:cs="仿宋"/>
          <w:color w:val="auto"/>
          <w:sz w:val="44"/>
          <w:szCs w:val="44"/>
        </w:rPr>
      </w:pPr>
    </w:p>
    <w:p w14:paraId="7AD36E18">
      <w:pPr>
        <w:spacing w:line="520" w:lineRule="exact"/>
        <w:jc w:val="center"/>
        <w:rPr>
          <w:rFonts w:hint="eastAsia" w:ascii="宋体" w:hAnsi="宋体" w:cs="宋体"/>
          <w:b/>
          <w:bCs/>
          <w:color w:val="auto"/>
          <w:sz w:val="36"/>
          <w:szCs w:val="36"/>
        </w:rPr>
      </w:pPr>
      <w:r>
        <w:rPr>
          <w:rFonts w:hint="eastAsia" w:ascii="宋体" w:hAnsi="宋体" w:cs="宋体"/>
          <w:b/>
          <w:bCs/>
          <w:color w:val="auto"/>
          <w:sz w:val="36"/>
          <w:szCs w:val="36"/>
        </w:rPr>
        <w:t>残疾人福利性单位声明函</w:t>
      </w:r>
    </w:p>
    <w:p w14:paraId="3EC52B85">
      <w:pPr>
        <w:spacing w:line="520" w:lineRule="exact"/>
        <w:rPr>
          <w:rFonts w:hint="eastAsia" w:ascii="宋体" w:hAnsi="宋体" w:cs="宋体"/>
          <w:color w:val="auto"/>
          <w:sz w:val="32"/>
          <w:szCs w:val="32"/>
        </w:rPr>
      </w:pPr>
    </w:p>
    <w:p w14:paraId="6338CAB3">
      <w:pPr>
        <w:spacing w:line="360" w:lineRule="auto"/>
        <w:ind w:firstLine="480" w:firstLineChars="200"/>
        <w:contextualSpacing/>
        <w:rPr>
          <w:rFonts w:hint="eastAsia" w:ascii="宋体" w:hAnsi="宋体" w:cs="宋体"/>
          <w:color w:val="auto"/>
          <w:sz w:val="24"/>
        </w:rPr>
      </w:pPr>
    </w:p>
    <w:p w14:paraId="522BDBEC">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u w:val="single"/>
        </w:rPr>
        <w:t xml:space="preserve">          （采购人名称） </w:t>
      </w:r>
      <w:r>
        <w:rPr>
          <w:rFonts w:hint="eastAsia" w:ascii="宋体" w:hAnsi="宋体" w:cs="宋体"/>
          <w:color w:val="auto"/>
          <w:sz w:val="24"/>
        </w:rPr>
        <w:t>单位的</w:t>
      </w:r>
      <w:r>
        <w:rPr>
          <w:rFonts w:hint="eastAsia" w:ascii="宋体" w:hAnsi="宋体" w:cs="宋体"/>
          <w:color w:val="auto"/>
          <w:sz w:val="24"/>
          <w:u w:val="single"/>
        </w:rPr>
        <w:t xml:space="preserve">        （项目名称） </w:t>
      </w:r>
      <w:r>
        <w:rPr>
          <w:rFonts w:hint="eastAsia" w:ascii="宋体" w:hAnsi="宋体" w:cs="宋体"/>
          <w:color w:val="auto"/>
          <w:sz w:val="24"/>
        </w:rPr>
        <w:t>采购活动提供本单位制造的货物（由本单位承担工程/提供服务），或者提供其他残疾人福利性单位制造的货物（不包括使用非残疾人福利性单位注册商标的货物）。</w:t>
      </w:r>
    </w:p>
    <w:p w14:paraId="71425762">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本单位对上述声明的真实性负责。如有虚假，将依法承担相应责任。</w:t>
      </w:r>
    </w:p>
    <w:p w14:paraId="521C2E49">
      <w:pPr>
        <w:spacing w:line="360" w:lineRule="auto"/>
        <w:contextualSpacing/>
        <w:rPr>
          <w:rFonts w:hint="eastAsia" w:ascii="宋体" w:hAnsi="宋体" w:cs="宋体"/>
          <w:color w:val="auto"/>
          <w:sz w:val="24"/>
        </w:rPr>
      </w:pPr>
    </w:p>
    <w:p w14:paraId="19A2F469">
      <w:pPr>
        <w:spacing w:line="360" w:lineRule="auto"/>
        <w:contextualSpacing/>
        <w:rPr>
          <w:rFonts w:hint="eastAsia" w:ascii="宋体" w:hAnsi="宋体" w:cs="宋体"/>
          <w:color w:val="auto"/>
          <w:sz w:val="24"/>
        </w:rPr>
      </w:pPr>
    </w:p>
    <w:p w14:paraId="72C39380">
      <w:pPr>
        <w:spacing w:line="360" w:lineRule="auto"/>
        <w:contextualSpacing/>
        <w:rPr>
          <w:rFonts w:hint="eastAsia" w:ascii="宋体" w:hAnsi="宋体" w:cs="宋体"/>
          <w:color w:val="auto"/>
          <w:sz w:val="24"/>
        </w:rPr>
      </w:pPr>
    </w:p>
    <w:p w14:paraId="780FEB3F">
      <w:pPr>
        <w:spacing w:line="360" w:lineRule="auto"/>
        <w:ind w:firstLine="2400" w:firstLineChars="1000"/>
        <w:contextualSpacing/>
        <w:rPr>
          <w:rFonts w:hint="eastAsia" w:ascii="宋体" w:hAnsi="宋体" w:cs="宋体"/>
          <w:color w:val="auto"/>
          <w:sz w:val="24"/>
        </w:rPr>
      </w:pPr>
      <w:r>
        <w:rPr>
          <w:rFonts w:hint="eastAsia" w:ascii="宋体" w:hAnsi="宋体" w:cs="宋体"/>
          <w:color w:val="auto"/>
          <w:sz w:val="24"/>
        </w:rPr>
        <w:t>供应商名称（盖公章）：</w:t>
      </w:r>
    </w:p>
    <w:p w14:paraId="0D3A799B">
      <w:pPr>
        <w:spacing w:line="360" w:lineRule="auto"/>
        <w:ind w:firstLine="4320" w:firstLineChars="1800"/>
        <w:contextualSpacing/>
        <w:rPr>
          <w:rFonts w:hint="eastAsia" w:ascii="宋体" w:hAnsi="宋体" w:cs="宋体"/>
          <w:color w:val="auto"/>
          <w:sz w:val="24"/>
        </w:rPr>
      </w:pPr>
      <w:r>
        <w:rPr>
          <w:rFonts w:hint="eastAsia" w:ascii="宋体" w:hAnsi="宋体" w:cs="宋体"/>
          <w:color w:val="auto"/>
          <w:sz w:val="24"/>
        </w:rPr>
        <w:t>日  期：     年   月   日</w:t>
      </w:r>
    </w:p>
    <w:p w14:paraId="1F19158A">
      <w:pPr>
        <w:spacing w:line="360" w:lineRule="auto"/>
        <w:contextualSpacing/>
        <w:rPr>
          <w:rFonts w:hint="eastAsia" w:ascii="宋体" w:hAnsi="宋体" w:cs="宋体"/>
          <w:color w:val="auto"/>
          <w:sz w:val="24"/>
        </w:rPr>
      </w:pPr>
    </w:p>
    <w:p w14:paraId="1C856CDB">
      <w:pPr>
        <w:spacing w:line="360" w:lineRule="auto"/>
        <w:contextualSpacing/>
        <w:rPr>
          <w:rFonts w:hint="eastAsia" w:ascii="宋体" w:hAnsi="宋体" w:cs="宋体"/>
          <w:color w:val="auto"/>
          <w:sz w:val="24"/>
        </w:rPr>
      </w:pPr>
    </w:p>
    <w:p w14:paraId="725E3C2F">
      <w:pPr>
        <w:spacing w:line="360" w:lineRule="auto"/>
        <w:contextualSpacing/>
        <w:rPr>
          <w:rFonts w:hint="eastAsia" w:ascii="宋体" w:hAnsi="宋体" w:cs="宋体"/>
          <w:color w:val="auto"/>
          <w:sz w:val="24"/>
        </w:rPr>
      </w:pPr>
    </w:p>
    <w:p w14:paraId="11DB8BFB">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注：请根据自己的真实情况出具《残疾人福利性单位声明函》。依法享受中小企业扶持政策的，采购人或者采购代理机构在公告成交结果时，同时公告其《残疾人福利性单位声明函》，接受社会监督。</w:t>
      </w:r>
    </w:p>
    <w:p w14:paraId="7E709061">
      <w:pPr>
        <w:rPr>
          <w:rFonts w:hint="eastAsia" w:ascii="宋体" w:hAnsi="宋体" w:cs="宋体"/>
          <w:b/>
          <w:color w:val="auto"/>
          <w:kern w:val="0"/>
          <w:sz w:val="32"/>
          <w:szCs w:val="32"/>
        </w:rPr>
      </w:pPr>
    </w:p>
    <w:p w14:paraId="761825F6">
      <w:pPr>
        <w:rPr>
          <w:rFonts w:hint="eastAsia" w:ascii="宋体" w:hAnsi="宋体" w:cs="宋体"/>
          <w:b/>
          <w:color w:val="auto"/>
          <w:kern w:val="0"/>
          <w:sz w:val="32"/>
          <w:szCs w:val="32"/>
        </w:rPr>
      </w:pPr>
    </w:p>
    <w:p w14:paraId="00503A59">
      <w:pPr>
        <w:rPr>
          <w:rFonts w:hint="eastAsia" w:ascii="宋体" w:hAnsi="宋体" w:cs="宋体"/>
          <w:b/>
          <w:color w:val="auto"/>
          <w:kern w:val="0"/>
          <w:sz w:val="32"/>
          <w:szCs w:val="32"/>
        </w:rPr>
      </w:pPr>
    </w:p>
    <w:p w14:paraId="19588421">
      <w:pPr>
        <w:rPr>
          <w:rFonts w:hint="eastAsia" w:ascii="宋体" w:hAnsi="宋体" w:cs="宋体"/>
          <w:b/>
          <w:color w:val="auto"/>
          <w:kern w:val="0"/>
          <w:sz w:val="32"/>
          <w:szCs w:val="32"/>
        </w:rPr>
      </w:pPr>
    </w:p>
    <w:p w14:paraId="20BEA2DB">
      <w:pPr>
        <w:rPr>
          <w:rFonts w:hint="eastAsia" w:ascii="宋体" w:hAnsi="宋体" w:cs="宋体"/>
          <w:b/>
          <w:color w:val="auto"/>
          <w:kern w:val="0"/>
          <w:sz w:val="32"/>
          <w:szCs w:val="32"/>
        </w:rPr>
      </w:pPr>
    </w:p>
    <w:p w14:paraId="309DE3CC">
      <w:pPr>
        <w:rPr>
          <w:rFonts w:hint="eastAsia" w:ascii="宋体" w:hAnsi="宋体" w:cs="宋体"/>
          <w:b/>
          <w:color w:val="auto"/>
          <w:kern w:val="0"/>
          <w:sz w:val="32"/>
          <w:szCs w:val="32"/>
        </w:rPr>
      </w:pPr>
    </w:p>
    <w:p w14:paraId="1DE40295">
      <w:pPr>
        <w:rPr>
          <w:rFonts w:hint="eastAsia" w:ascii="宋体" w:hAnsi="宋体" w:cs="宋体"/>
          <w:b/>
          <w:color w:val="auto"/>
          <w:kern w:val="0"/>
          <w:sz w:val="32"/>
          <w:szCs w:val="32"/>
        </w:rPr>
      </w:pPr>
    </w:p>
    <w:p w14:paraId="5D617D37">
      <w:pPr>
        <w:rPr>
          <w:rFonts w:hint="eastAsia" w:ascii="宋体" w:hAnsi="宋体" w:cs="宋体"/>
          <w:b/>
          <w:color w:val="auto"/>
          <w:kern w:val="0"/>
          <w:sz w:val="32"/>
          <w:szCs w:val="32"/>
        </w:rPr>
      </w:pPr>
    </w:p>
    <w:p w14:paraId="7BA4D359">
      <w:pPr>
        <w:rPr>
          <w:rFonts w:hint="eastAsia" w:ascii="宋体" w:hAnsi="宋体" w:cs="宋体"/>
          <w:b/>
          <w:color w:val="auto"/>
          <w:kern w:val="0"/>
          <w:sz w:val="32"/>
          <w:szCs w:val="32"/>
        </w:rPr>
      </w:pPr>
    </w:p>
    <w:p w14:paraId="3A04323D">
      <w:pPr>
        <w:autoSpaceDE w:val="0"/>
        <w:autoSpaceDN w:val="0"/>
        <w:spacing w:line="360" w:lineRule="auto"/>
        <w:ind w:firstLine="6120" w:firstLineChars="2550"/>
        <w:rPr>
          <w:rFonts w:hint="eastAsia" w:ascii="仿宋_GB2312" w:hAnsi="仿宋" w:eastAsia="仿宋_GB2312" w:cs="仿宋_GB2312"/>
          <w:color w:val="auto"/>
          <w:kern w:val="0"/>
          <w:sz w:val="24"/>
          <w:lang w:val="zh-CN"/>
        </w:rPr>
      </w:pPr>
    </w:p>
    <w:p w14:paraId="7D24B660">
      <w:pPr>
        <w:pStyle w:val="7"/>
        <w:jc w:val="center"/>
        <w:rPr>
          <w:rFonts w:hint="eastAsia" w:ascii="宋体" w:hAnsi="宋体"/>
          <w:b w:val="0"/>
          <w:color w:val="auto"/>
        </w:rPr>
      </w:pPr>
      <w:bookmarkStart w:id="163" w:name="_Toc80205940"/>
      <w:bookmarkStart w:id="164" w:name="_Toc80886944"/>
      <w:bookmarkStart w:id="165" w:name="_Toc20562"/>
      <w:bookmarkStart w:id="166" w:name="_Toc15951"/>
      <w:r>
        <w:rPr>
          <w:rFonts w:hint="eastAsia" w:ascii="宋体" w:hAnsi="宋体"/>
          <w:b w:val="0"/>
          <w:bCs w:val="0"/>
          <w:color w:val="auto"/>
        </w:rPr>
        <w:t xml:space="preserve">第二节 </w:t>
      </w:r>
      <w:r>
        <w:rPr>
          <w:rFonts w:hint="eastAsia" w:ascii="宋体" w:hAnsi="宋体"/>
          <w:b w:val="0"/>
          <w:color w:val="auto"/>
        </w:rPr>
        <w:t>商务技术文件格式</w:t>
      </w:r>
      <w:bookmarkEnd w:id="163"/>
      <w:bookmarkEnd w:id="164"/>
      <w:bookmarkEnd w:id="165"/>
      <w:bookmarkEnd w:id="166"/>
    </w:p>
    <w:p w14:paraId="0EB51384">
      <w:pPr>
        <w:snapToGrid w:val="0"/>
        <w:spacing w:before="120" w:beforeLines="50" w:after="50" w:line="360" w:lineRule="auto"/>
        <w:jc w:val="left"/>
        <w:rPr>
          <w:rFonts w:hint="eastAsia" w:ascii="宋体" w:hAnsi="宋体"/>
          <w:b/>
          <w:color w:val="auto"/>
          <w:sz w:val="32"/>
          <w:szCs w:val="32"/>
        </w:rPr>
      </w:pPr>
      <w:r>
        <w:rPr>
          <w:rFonts w:hint="eastAsia" w:ascii="宋体" w:hAnsi="宋体"/>
          <w:b/>
          <w:color w:val="auto"/>
          <w:sz w:val="28"/>
          <w:szCs w:val="28"/>
        </w:rPr>
        <w:t>1.商务技术文件封面的格式</w:t>
      </w:r>
      <w:r>
        <w:rPr>
          <w:rFonts w:hint="eastAsia" w:ascii="宋体" w:hAnsi="宋体" w:cs="宋体"/>
          <w:b/>
          <w:color w:val="auto"/>
          <w:sz w:val="28"/>
          <w:szCs w:val="28"/>
        </w:rPr>
        <w:t>（参照此格式自拟）</w:t>
      </w:r>
      <w:r>
        <w:rPr>
          <w:rFonts w:hint="eastAsia" w:ascii="宋体" w:hAnsi="宋体"/>
          <w:b/>
          <w:color w:val="auto"/>
          <w:sz w:val="28"/>
          <w:szCs w:val="28"/>
        </w:rPr>
        <w:t>：</w:t>
      </w:r>
    </w:p>
    <w:p w14:paraId="1395A812">
      <w:pPr>
        <w:snapToGrid w:val="0"/>
        <w:spacing w:before="120" w:beforeLines="50" w:after="50"/>
        <w:rPr>
          <w:color w:val="auto"/>
          <w:sz w:val="24"/>
        </w:rPr>
      </w:pPr>
    </w:p>
    <w:p w14:paraId="36A0EBFE">
      <w:pPr>
        <w:snapToGrid w:val="0"/>
        <w:spacing w:before="120" w:beforeLines="50" w:after="50"/>
        <w:ind w:firstLine="6720" w:firstLineChars="3200"/>
        <w:rPr>
          <w:bCs/>
          <w:color w:val="auto"/>
          <w:sz w:val="32"/>
          <w:szCs w:val="20"/>
        </w:rPr>
      </w:pPr>
      <w:r>
        <w:rPr>
          <w:rFonts w:hint="eastAsia"/>
          <w:bCs/>
          <w:color w:val="auto"/>
        </w:rPr>
        <w:t>全流程电子文件</w:t>
      </w:r>
    </w:p>
    <w:p w14:paraId="5F9C3D77">
      <w:pPr>
        <w:snapToGrid w:val="0"/>
        <w:spacing w:before="120" w:beforeLines="50" w:after="50"/>
        <w:rPr>
          <w:color w:val="auto"/>
          <w:sz w:val="24"/>
          <w:szCs w:val="20"/>
        </w:rPr>
      </w:pPr>
    </w:p>
    <w:p w14:paraId="1091A58F">
      <w:pPr>
        <w:snapToGrid w:val="0"/>
        <w:spacing w:before="120" w:beforeLines="50" w:after="50"/>
        <w:rPr>
          <w:color w:val="auto"/>
          <w:sz w:val="24"/>
          <w:szCs w:val="20"/>
        </w:rPr>
      </w:pPr>
    </w:p>
    <w:p w14:paraId="71453F56">
      <w:pPr>
        <w:snapToGrid w:val="0"/>
        <w:spacing w:before="120" w:beforeLines="50" w:after="50"/>
        <w:rPr>
          <w:color w:val="auto"/>
          <w:sz w:val="24"/>
          <w:szCs w:val="20"/>
        </w:rPr>
      </w:pPr>
    </w:p>
    <w:p w14:paraId="3AB01C6F">
      <w:pPr>
        <w:snapToGrid w:val="0"/>
        <w:spacing w:before="120" w:beforeLines="50" w:after="50"/>
        <w:jc w:val="center"/>
        <w:rPr>
          <w:rFonts w:hint="eastAsia" w:ascii="仿宋" w:hAnsi="仿宋" w:eastAsia="仿宋" w:cs="仿宋"/>
          <w:bCs/>
          <w:color w:val="auto"/>
          <w:sz w:val="44"/>
          <w:szCs w:val="44"/>
        </w:rPr>
      </w:pPr>
      <w:r>
        <w:rPr>
          <w:rFonts w:hint="eastAsia" w:ascii="仿宋" w:hAnsi="仿宋" w:eastAsia="仿宋" w:cs="仿宋"/>
          <w:bCs/>
          <w:color w:val="auto"/>
          <w:sz w:val="44"/>
          <w:szCs w:val="44"/>
        </w:rPr>
        <w:t>商  务  技  术  文  件</w:t>
      </w:r>
    </w:p>
    <w:p w14:paraId="03D85335">
      <w:pPr>
        <w:snapToGrid w:val="0"/>
        <w:spacing w:before="120" w:beforeLines="50" w:after="50"/>
        <w:rPr>
          <w:bCs/>
          <w:color w:val="auto"/>
          <w:sz w:val="24"/>
          <w:szCs w:val="20"/>
        </w:rPr>
      </w:pPr>
    </w:p>
    <w:p w14:paraId="6D43D0E4">
      <w:pPr>
        <w:snapToGrid w:val="0"/>
        <w:spacing w:before="120" w:beforeLines="50" w:after="50"/>
        <w:rPr>
          <w:bCs/>
          <w:color w:val="auto"/>
          <w:sz w:val="24"/>
          <w:szCs w:val="20"/>
        </w:rPr>
      </w:pPr>
    </w:p>
    <w:p w14:paraId="72BDA073">
      <w:pPr>
        <w:snapToGrid w:val="0"/>
        <w:spacing w:before="120" w:beforeLines="50" w:after="50"/>
        <w:rPr>
          <w:bCs/>
          <w:color w:val="auto"/>
          <w:sz w:val="24"/>
          <w:szCs w:val="20"/>
        </w:rPr>
      </w:pPr>
    </w:p>
    <w:p w14:paraId="14F6C0BF">
      <w:pPr>
        <w:snapToGrid w:val="0"/>
        <w:spacing w:before="120" w:beforeLines="50" w:after="50"/>
        <w:rPr>
          <w:bCs/>
          <w:color w:val="auto"/>
          <w:sz w:val="24"/>
          <w:szCs w:val="20"/>
        </w:rPr>
      </w:pPr>
    </w:p>
    <w:p w14:paraId="15AD2A9C">
      <w:pPr>
        <w:snapToGrid w:val="0"/>
        <w:spacing w:before="120" w:beforeLines="50" w:after="50"/>
        <w:rPr>
          <w:bCs/>
          <w:color w:val="auto"/>
          <w:sz w:val="24"/>
          <w:szCs w:val="20"/>
        </w:rPr>
      </w:pPr>
    </w:p>
    <w:p w14:paraId="5CF8ED83">
      <w:pPr>
        <w:snapToGrid w:val="0"/>
        <w:spacing w:before="120" w:beforeLines="50" w:after="50"/>
        <w:ind w:firstLine="640" w:firstLineChars="200"/>
        <w:rPr>
          <w:rFonts w:cs="仿宋_GB2312"/>
          <w:bCs/>
          <w:color w:val="auto"/>
          <w:sz w:val="32"/>
          <w:szCs w:val="32"/>
        </w:rPr>
      </w:pPr>
      <w:r>
        <w:rPr>
          <w:rFonts w:hint="eastAsia" w:cs="仿宋_GB2312"/>
          <w:bCs/>
          <w:color w:val="auto"/>
          <w:sz w:val="32"/>
          <w:szCs w:val="32"/>
        </w:rPr>
        <w:t>项目名称：</w:t>
      </w:r>
    </w:p>
    <w:p w14:paraId="1FD96805">
      <w:pPr>
        <w:snapToGrid w:val="0"/>
        <w:spacing w:before="120" w:beforeLines="50" w:after="50"/>
        <w:ind w:firstLine="720" w:firstLineChars="225"/>
        <w:rPr>
          <w:rFonts w:cs="仿宋_GB2312"/>
          <w:bCs/>
          <w:color w:val="auto"/>
          <w:sz w:val="32"/>
          <w:szCs w:val="32"/>
        </w:rPr>
      </w:pPr>
    </w:p>
    <w:p w14:paraId="4A6D4682">
      <w:pPr>
        <w:snapToGrid w:val="0"/>
        <w:spacing w:before="120" w:beforeLines="50" w:after="50"/>
        <w:ind w:firstLine="640" w:firstLineChars="200"/>
        <w:rPr>
          <w:rFonts w:cs="仿宋_GB2312"/>
          <w:bCs/>
          <w:color w:val="auto"/>
          <w:sz w:val="32"/>
          <w:szCs w:val="32"/>
        </w:rPr>
      </w:pPr>
      <w:r>
        <w:rPr>
          <w:rFonts w:hint="eastAsia" w:cs="仿宋_GB2312"/>
          <w:bCs/>
          <w:color w:val="auto"/>
          <w:sz w:val="32"/>
          <w:szCs w:val="32"/>
        </w:rPr>
        <w:t>项目编号：</w:t>
      </w:r>
    </w:p>
    <w:p w14:paraId="47B7B659">
      <w:pPr>
        <w:snapToGrid w:val="0"/>
        <w:spacing w:before="120" w:beforeLines="50" w:after="50"/>
        <w:ind w:firstLine="720" w:firstLineChars="225"/>
        <w:rPr>
          <w:rFonts w:cs="仿宋_GB2312"/>
          <w:bCs/>
          <w:color w:val="auto"/>
          <w:sz w:val="32"/>
          <w:szCs w:val="32"/>
        </w:rPr>
      </w:pPr>
    </w:p>
    <w:p w14:paraId="42FF7586">
      <w:pPr>
        <w:snapToGrid w:val="0"/>
        <w:spacing w:before="120" w:beforeLines="50" w:after="50"/>
        <w:ind w:firstLine="640" w:firstLineChars="200"/>
        <w:rPr>
          <w:rFonts w:cs="仿宋_GB2312"/>
          <w:bCs/>
          <w:color w:val="auto"/>
          <w:sz w:val="32"/>
          <w:szCs w:val="32"/>
        </w:rPr>
      </w:pPr>
      <w:r>
        <w:rPr>
          <w:rFonts w:hint="eastAsia" w:cs="仿宋_GB2312"/>
          <w:bCs/>
          <w:color w:val="auto"/>
          <w:sz w:val="32"/>
          <w:szCs w:val="32"/>
        </w:rPr>
        <w:t>所竞分标（如有则填写，无分标时填写“无”或者留空）：</w:t>
      </w:r>
    </w:p>
    <w:p w14:paraId="5F1C0F80">
      <w:pPr>
        <w:snapToGrid w:val="0"/>
        <w:spacing w:before="120" w:beforeLines="50" w:after="50"/>
        <w:ind w:firstLine="720" w:firstLineChars="225"/>
        <w:rPr>
          <w:rFonts w:cs="仿宋_GB2312"/>
          <w:bCs/>
          <w:color w:val="auto"/>
          <w:sz w:val="32"/>
          <w:szCs w:val="32"/>
        </w:rPr>
      </w:pPr>
    </w:p>
    <w:p w14:paraId="585A2F27">
      <w:pPr>
        <w:pStyle w:val="11"/>
        <w:snapToGrid w:val="0"/>
        <w:spacing w:before="50" w:after="50"/>
        <w:ind w:firstLine="640" w:firstLineChars="200"/>
        <w:rPr>
          <w:rFonts w:cs="仿宋_GB2312"/>
          <w:bCs/>
          <w:color w:val="auto"/>
          <w:sz w:val="32"/>
          <w:szCs w:val="32"/>
        </w:rPr>
      </w:pPr>
      <w:r>
        <w:rPr>
          <w:rFonts w:hint="eastAsia" w:cs="仿宋_GB2312"/>
          <w:bCs/>
          <w:color w:val="auto"/>
          <w:sz w:val="32"/>
          <w:szCs w:val="32"/>
        </w:rPr>
        <w:t>供应商名称：</w:t>
      </w:r>
    </w:p>
    <w:p w14:paraId="3A8A18CE">
      <w:pPr>
        <w:pStyle w:val="11"/>
        <w:snapToGrid w:val="0"/>
        <w:spacing w:before="50" w:after="50"/>
        <w:ind w:firstLine="720" w:firstLineChars="225"/>
        <w:rPr>
          <w:rFonts w:cs="仿宋_GB2312"/>
          <w:bCs/>
          <w:color w:val="auto"/>
          <w:sz w:val="32"/>
          <w:szCs w:val="32"/>
        </w:rPr>
      </w:pPr>
    </w:p>
    <w:p w14:paraId="0E23099C">
      <w:pPr>
        <w:pStyle w:val="11"/>
        <w:snapToGrid w:val="0"/>
        <w:spacing w:before="50" w:after="50"/>
        <w:ind w:firstLine="720" w:firstLineChars="225"/>
        <w:rPr>
          <w:rFonts w:cs="仿宋_GB2312"/>
          <w:bCs/>
          <w:color w:val="auto"/>
          <w:sz w:val="32"/>
          <w:szCs w:val="32"/>
        </w:rPr>
      </w:pPr>
    </w:p>
    <w:p w14:paraId="4442A694">
      <w:pPr>
        <w:pStyle w:val="11"/>
        <w:snapToGrid w:val="0"/>
        <w:spacing w:before="50" w:after="50"/>
        <w:ind w:firstLine="1280" w:firstLineChars="400"/>
        <w:rPr>
          <w:rFonts w:cs="仿宋_GB2312"/>
          <w:bCs/>
          <w:color w:val="auto"/>
          <w:sz w:val="32"/>
          <w:szCs w:val="32"/>
        </w:rPr>
      </w:pPr>
    </w:p>
    <w:p w14:paraId="29658170">
      <w:pPr>
        <w:snapToGrid w:val="0"/>
        <w:spacing w:before="120" w:beforeLines="50" w:after="50"/>
        <w:jc w:val="center"/>
        <w:rPr>
          <w:rFonts w:cs="仿宋_GB2312"/>
          <w:color w:val="auto"/>
          <w:sz w:val="32"/>
          <w:szCs w:val="32"/>
        </w:rPr>
      </w:pPr>
      <w:r>
        <w:rPr>
          <w:rFonts w:hint="eastAsia" w:cs="仿宋_GB2312"/>
          <w:color w:val="auto"/>
          <w:sz w:val="32"/>
          <w:szCs w:val="32"/>
        </w:rPr>
        <w:t>年    月    日</w:t>
      </w:r>
    </w:p>
    <w:p w14:paraId="7F0C937F">
      <w:pPr>
        <w:snapToGrid w:val="0"/>
        <w:spacing w:before="120" w:beforeLines="50" w:after="50" w:line="360" w:lineRule="auto"/>
        <w:ind w:left="142" w:firstLine="643" w:firstLineChars="200"/>
        <w:jc w:val="left"/>
        <w:rPr>
          <w:b/>
          <w:bCs/>
          <w:color w:val="auto"/>
          <w:sz w:val="32"/>
          <w:szCs w:val="32"/>
        </w:rPr>
        <w:sectPr>
          <w:headerReference r:id="rId7" w:type="default"/>
          <w:footerReference r:id="rId8" w:type="default"/>
          <w:pgSz w:w="11911" w:h="16838"/>
          <w:pgMar w:top="1134" w:right="1134" w:bottom="1134" w:left="1134" w:header="720" w:footer="720" w:gutter="0"/>
          <w:cols w:space="720" w:num="1"/>
        </w:sectPr>
      </w:pPr>
    </w:p>
    <w:p w14:paraId="2FF4DBF9">
      <w:pPr>
        <w:spacing w:line="360" w:lineRule="auto"/>
        <w:ind w:right="420"/>
        <w:rPr>
          <w:rFonts w:hint="eastAsia" w:ascii="宋体" w:hAnsi="宋体" w:cs="宋体"/>
          <w:color w:val="auto"/>
          <w:sz w:val="24"/>
          <w:szCs w:val="20"/>
        </w:rPr>
      </w:pPr>
      <w:r>
        <w:rPr>
          <w:rFonts w:hint="eastAsia" w:ascii="宋体" w:hAnsi="宋体" w:cs="宋体"/>
          <w:b/>
          <w:bCs/>
          <w:color w:val="auto"/>
          <w:sz w:val="28"/>
          <w:szCs w:val="28"/>
        </w:rPr>
        <w:t>2.商务技术文件目录</w:t>
      </w:r>
    </w:p>
    <w:p w14:paraId="154D99EF">
      <w:pPr>
        <w:spacing w:line="400" w:lineRule="exact"/>
        <w:rPr>
          <w:rFonts w:hint="eastAsia" w:ascii="仿宋_GB2312" w:hAnsi="仿宋_GB2312" w:eastAsia="仿宋_GB2312" w:cs="仿宋_GB2312"/>
          <w:color w:val="auto"/>
          <w:sz w:val="32"/>
          <w:szCs w:val="32"/>
        </w:rPr>
      </w:pPr>
      <w:r>
        <w:rPr>
          <w:rFonts w:hint="eastAsia" w:ascii="宋体" w:hAnsi="宋体" w:cs="宋体"/>
          <w:color w:val="auto"/>
          <w:kern w:val="0"/>
          <w:sz w:val="24"/>
        </w:rPr>
        <w:t xml:space="preserve">  根据竞争性磋商文件规定及供应商提供的材料自行编写目录（部分格式后附）。</w:t>
      </w:r>
    </w:p>
    <w:p w14:paraId="56FAD120">
      <w:pPr>
        <w:spacing w:line="520" w:lineRule="exact"/>
        <w:jc w:val="left"/>
        <w:rPr>
          <w:rFonts w:hint="eastAsia" w:ascii="宋体" w:hAnsi="宋体" w:cs="宋体"/>
          <w:color w:val="auto"/>
          <w:sz w:val="28"/>
          <w:szCs w:val="28"/>
        </w:rPr>
      </w:pPr>
      <w:r>
        <w:rPr>
          <w:rFonts w:hint="eastAsia" w:ascii="仿宋" w:hAnsi="仿宋" w:eastAsia="仿宋" w:cs="仿宋"/>
          <w:color w:val="auto"/>
          <w:sz w:val="44"/>
          <w:szCs w:val="44"/>
        </w:rPr>
        <w:br w:type="page"/>
      </w:r>
      <w:r>
        <w:rPr>
          <w:rFonts w:hint="eastAsia" w:ascii="宋体" w:hAnsi="宋体" w:cs="宋体"/>
          <w:b/>
          <w:color w:val="auto"/>
          <w:sz w:val="28"/>
          <w:szCs w:val="28"/>
        </w:rPr>
        <w:t>3.无串通竞标行为的承诺函的格式：</w:t>
      </w:r>
    </w:p>
    <w:p w14:paraId="1AF63DA4">
      <w:pPr>
        <w:spacing w:line="520" w:lineRule="exact"/>
        <w:jc w:val="center"/>
        <w:rPr>
          <w:rFonts w:hint="eastAsia" w:ascii="仿宋" w:hAnsi="仿宋" w:eastAsia="仿宋" w:cs="仿宋"/>
          <w:color w:val="auto"/>
          <w:sz w:val="44"/>
          <w:szCs w:val="44"/>
        </w:rPr>
      </w:pPr>
    </w:p>
    <w:p w14:paraId="441B855D">
      <w:pPr>
        <w:spacing w:line="520" w:lineRule="exact"/>
        <w:jc w:val="center"/>
        <w:rPr>
          <w:rFonts w:hint="eastAsia" w:ascii="宋体" w:hAnsi="宋体" w:cs="宋体"/>
          <w:b/>
          <w:bCs/>
          <w:color w:val="auto"/>
          <w:sz w:val="32"/>
          <w:szCs w:val="32"/>
        </w:rPr>
      </w:pPr>
      <w:r>
        <w:rPr>
          <w:rFonts w:hint="eastAsia" w:ascii="宋体" w:hAnsi="宋体" w:cs="宋体"/>
          <w:b/>
          <w:bCs/>
          <w:color w:val="auto"/>
          <w:sz w:val="32"/>
          <w:szCs w:val="32"/>
        </w:rPr>
        <w:t>无串通竞标行为的承诺函</w:t>
      </w:r>
    </w:p>
    <w:p w14:paraId="7B36C46A">
      <w:pPr>
        <w:spacing w:line="520" w:lineRule="exact"/>
        <w:ind w:firstLine="640" w:firstLineChars="200"/>
        <w:rPr>
          <w:rFonts w:hint="eastAsia" w:ascii="仿宋_GB2312" w:hAnsi="仿宋_GB2312" w:eastAsia="仿宋_GB2312" w:cs="仿宋_GB2312"/>
          <w:color w:val="auto"/>
          <w:sz w:val="32"/>
          <w:szCs w:val="32"/>
        </w:rPr>
      </w:pPr>
    </w:p>
    <w:p w14:paraId="71921193">
      <w:pPr>
        <w:spacing w:line="360" w:lineRule="auto"/>
        <w:ind w:firstLine="422" w:firstLineChars="200"/>
        <w:contextualSpacing/>
        <w:rPr>
          <w:rFonts w:hint="eastAsia" w:ascii="宋体" w:hAnsi="宋体" w:cs="宋体"/>
          <w:b/>
          <w:bCs/>
          <w:color w:val="auto"/>
          <w:szCs w:val="21"/>
        </w:rPr>
      </w:pPr>
      <w:r>
        <w:rPr>
          <w:rFonts w:hint="eastAsia" w:ascii="宋体" w:hAnsi="宋体" w:cs="宋体"/>
          <w:b/>
          <w:bCs/>
          <w:color w:val="auto"/>
          <w:szCs w:val="21"/>
        </w:rPr>
        <w:t>一、我方承诺无下列相互串通竞标的情形：</w:t>
      </w:r>
    </w:p>
    <w:p w14:paraId="65E02A36">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 xml:space="preserve">1.不同供应商的响应文件由同一单位或者个人编制；或不同供应商报名的IP地址一致的； </w:t>
      </w:r>
    </w:p>
    <w:p w14:paraId="2F87B105">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2.不同供应商委托同一单位或者个人办理竞标事宜；</w:t>
      </w:r>
    </w:p>
    <w:p w14:paraId="19B1B856">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3.不同供应商的响应文件载明的项目管理员为同一个人；</w:t>
      </w:r>
    </w:p>
    <w:p w14:paraId="7213A1F0">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4.不</w:t>
      </w:r>
      <w:r>
        <w:rPr>
          <w:rFonts w:hint="eastAsia" w:ascii="宋体" w:hAnsi="宋体" w:cs="宋体"/>
          <w:color w:val="auto"/>
          <w:spacing w:val="-6"/>
          <w:szCs w:val="21"/>
        </w:rPr>
        <w:t>同供应商的响应文件异常一致或者响应报价呈规律性差异；</w:t>
      </w:r>
    </w:p>
    <w:p w14:paraId="3A734E4C">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5.不同供应商的响应文件相互混装；</w:t>
      </w:r>
    </w:p>
    <w:p w14:paraId="0A262903">
      <w:pPr>
        <w:pStyle w:val="2"/>
        <w:ind w:firstLine="420" w:firstLineChars="200"/>
        <w:rPr>
          <w:rFonts w:hint="eastAsia" w:ascii="宋体" w:hAnsi="宋体" w:cs="宋体"/>
          <w:color w:val="auto"/>
          <w:szCs w:val="21"/>
        </w:rPr>
      </w:pPr>
      <w:r>
        <w:rPr>
          <w:rFonts w:hint="eastAsia" w:ascii="宋体" w:hAnsi="宋体" w:cs="宋体"/>
          <w:color w:val="auto"/>
          <w:szCs w:val="21"/>
        </w:rPr>
        <w:t>6.不同供应商的磋商保证金从同一单位或者个人账户转出。</w:t>
      </w:r>
    </w:p>
    <w:p w14:paraId="1A477B72">
      <w:pPr>
        <w:spacing w:line="360" w:lineRule="auto"/>
        <w:ind w:firstLine="422" w:firstLineChars="200"/>
        <w:contextualSpacing/>
        <w:rPr>
          <w:rFonts w:hint="eastAsia" w:ascii="宋体" w:hAnsi="宋体" w:cs="宋体"/>
          <w:b/>
          <w:bCs/>
          <w:color w:val="auto"/>
          <w:szCs w:val="21"/>
        </w:rPr>
      </w:pPr>
      <w:r>
        <w:rPr>
          <w:rFonts w:hint="eastAsia" w:ascii="宋体" w:hAnsi="宋体" w:cs="宋体"/>
          <w:b/>
          <w:bCs/>
          <w:color w:val="auto"/>
          <w:szCs w:val="21"/>
        </w:rPr>
        <w:t>二、我方承诺无下列恶意串通的情形：</w:t>
      </w:r>
    </w:p>
    <w:p w14:paraId="532A5784">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1.供应商直接或者间接从采购人或者采购代理机构处获得其他供应商的相关信息并修改其响应文件；</w:t>
      </w:r>
    </w:p>
    <w:p w14:paraId="79512637">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2.供应商按照采购人或者采购代理机构的授意撤换、修改响应文件；</w:t>
      </w:r>
    </w:p>
    <w:p w14:paraId="168CB530">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3.供</w:t>
      </w:r>
      <w:r>
        <w:rPr>
          <w:rFonts w:hint="eastAsia" w:ascii="宋体" w:hAnsi="宋体" w:cs="宋体"/>
          <w:color w:val="auto"/>
          <w:spacing w:val="-6"/>
          <w:szCs w:val="21"/>
        </w:rPr>
        <w:t>应商之间协商报价、技术方案等响应文件的实质性内容；</w:t>
      </w:r>
    </w:p>
    <w:p w14:paraId="4EAC7021">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4.属于同一集团、协会、商会等组织成员的供应商按照该组织要求协同参加政府采购活动；</w:t>
      </w:r>
    </w:p>
    <w:p w14:paraId="2D6AF289">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5.供应商之间事先约定一致抬高或者压低响应报价，或者在竞争性磋商项目中事先约定轮流以高价位或者低价位成交，或者事先约定由某一特定供应商成交，然后再参加竞标；</w:t>
      </w:r>
    </w:p>
    <w:p w14:paraId="14D416D3">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6.供应商之间商定部分供应商放弃参加政府采购活动或者放弃成交；</w:t>
      </w:r>
    </w:p>
    <w:p w14:paraId="5A288C53">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7.供应商与采购人或者采购代理机构之间、供应商相互之间，为</w:t>
      </w:r>
      <w:r>
        <w:rPr>
          <w:rFonts w:hint="eastAsia" w:ascii="宋体" w:hAnsi="宋体" w:cs="宋体"/>
          <w:color w:val="auto"/>
          <w:spacing w:val="-6"/>
          <w:szCs w:val="21"/>
        </w:rPr>
        <w:t>谋求特定供应商成交或者排斥其他供应商的其他串通行为。</w:t>
      </w:r>
    </w:p>
    <w:p w14:paraId="71FEFA64">
      <w:pPr>
        <w:spacing w:line="360" w:lineRule="auto"/>
        <w:ind w:firstLine="420" w:firstLineChars="200"/>
        <w:contextualSpacing/>
        <w:rPr>
          <w:rFonts w:hint="eastAsia" w:ascii="宋体" w:hAnsi="宋体" w:cs="宋体"/>
          <w:color w:val="auto"/>
          <w:szCs w:val="21"/>
        </w:rPr>
      </w:pPr>
    </w:p>
    <w:p w14:paraId="32C3F335">
      <w:pPr>
        <w:spacing w:line="360" w:lineRule="auto"/>
        <w:ind w:firstLine="422" w:firstLineChars="200"/>
        <w:contextualSpacing/>
        <w:rPr>
          <w:rFonts w:hint="eastAsia" w:ascii="宋体" w:hAnsi="宋体" w:cs="宋体"/>
          <w:b/>
          <w:bCs/>
          <w:color w:val="auto"/>
          <w:szCs w:val="21"/>
        </w:rPr>
      </w:pPr>
      <w:r>
        <w:rPr>
          <w:rFonts w:hint="eastAsia" w:ascii="宋体" w:hAnsi="宋体" w:cs="宋体"/>
          <w:b/>
          <w:bCs/>
          <w:color w:val="auto"/>
          <w:szCs w:val="21"/>
        </w:rPr>
        <w:t>以上情形一经核查属实，接受政府采购监管部门对我方认定存在围标串标行为，我方愿意承担一切后果，并不再寻求任何旨在减轻或者免除法律责任的辩解。</w:t>
      </w:r>
    </w:p>
    <w:p w14:paraId="4632DCE5">
      <w:pPr>
        <w:pStyle w:val="25"/>
        <w:rPr>
          <w:rFonts w:hint="eastAsia" w:ascii="宋体" w:hAnsi="宋体" w:cs="宋体"/>
          <w:b/>
          <w:bCs/>
          <w:color w:val="auto"/>
          <w:sz w:val="21"/>
          <w:szCs w:val="21"/>
        </w:rPr>
      </w:pPr>
    </w:p>
    <w:p w14:paraId="3A7745B3">
      <w:pPr>
        <w:autoSpaceDE w:val="0"/>
        <w:autoSpaceDN w:val="0"/>
        <w:spacing w:line="360" w:lineRule="auto"/>
        <w:ind w:left="4305" w:leftChars="2050" w:firstLine="1470" w:firstLineChars="700"/>
        <w:rPr>
          <w:rFonts w:hint="eastAsia" w:ascii="宋体" w:hAnsi="宋体" w:cs="宋体"/>
          <w:color w:val="auto"/>
          <w:kern w:val="0"/>
          <w:szCs w:val="21"/>
        </w:rPr>
      </w:pPr>
      <w:r>
        <w:rPr>
          <w:rFonts w:hint="eastAsia" w:ascii="宋体" w:hAnsi="宋体" w:cs="宋体"/>
          <w:color w:val="auto"/>
          <w:kern w:val="0"/>
          <w:szCs w:val="21"/>
        </w:rPr>
        <w:t>供应商名称（电子签章）：</w:t>
      </w:r>
    </w:p>
    <w:p w14:paraId="7AD94632">
      <w:pPr>
        <w:snapToGrid w:val="0"/>
        <w:spacing w:line="360" w:lineRule="auto"/>
        <w:jc w:val="left"/>
        <w:rPr>
          <w:rFonts w:hint="eastAsia" w:ascii="宋体" w:hAnsi="宋体" w:cs="宋体"/>
          <w:color w:val="auto"/>
          <w:szCs w:val="21"/>
        </w:rPr>
      </w:pPr>
      <w:r>
        <w:rPr>
          <w:rFonts w:hint="eastAsia" w:ascii="宋体" w:hAnsi="宋体" w:cs="宋体"/>
          <w:color w:val="auto"/>
          <w:szCs w:val="21"/>
        </w:rPr>
        <w:t xml:space="preserve">                                 法定代表人或者委托代理人（签字或者电子签名）：</w:t>
      </w:r>
    </w:p>
    <w:p w14:paraId="45073578">
      <w:pPr>
        <w:autoSpaceDE w:val="0"/>
        <w:autoSpaceDN w:val="0"/>
        <w:spacing w:line="360" w:lineRule="auto"/>
        <w:ind w:firstLine="6195" w:firstLineChars="2950"/>
        <w:rPr>
          <w:rFonts w:hint="eastAsia" w:ascii="宋体" w:hAnsi="宋体" w:cs="宋体"/>
          <w:color w:val="auto"/>
          <w:kern w:val="0"/>
          <w:szCs w:val="21"/>
          <w:lang w:val="zh-CN"/>
        </w:rPr>
      </w:pPr>
      <w:r>
        <w:rPr>
          <w:rFonts w:hint="eastAsia" w:ascii="宋体" w:hAnsi="宋体" w:cs="宋体"/>
          <w:color w:val="auto"/>
          <w:kern w:val="0"/>
          <w:szCs w:val="21"/>
          <w:lang w:val="zh-CN"/>
        </w:rPr>
        <w:t>日期：  年  月   日</w:t>
      </w:r>
    </w:p>
    <w:p w14:paraId="7BD431D1">
      <w:pPr>
        <w:spacing w:line="480" w:lineRule="auto"/>
        <w:jc w:val="left"/>
        <w:rPr>
          <w:rFonts w:hint="eastAsia" w:ascii="宋体" w:hAnsi="宋体" w:cs="宋体"/>
          <w:b/>
          <w:bCs/>
          <w:color w:val="auto"/>
          <w:sz w:val="28"/>
          <w:szCs w:val="28"/>
        </w:rPr>
      </w:pPr>
      <w:r>
        <w:rPr>
          <w:b/>
          <w:bCs/>
          <w:color w:val="auto"/>
          <w:sz w:val="32"/>
          <w:szCs w:val="32"/>
        </w:rPr>
        <w:br w:type="page"/>
      </w:r>
      <w:r>
        <w:rPr>
          <w:rFonts w:hint="eastAsia" w:ascii="宋体" w:hAnsi="宋体" w:cs="宋体"/>
          <w:b/>
          <w:bCs/>
          <w:color w:val="auto"/>
          <w:sz w:val="28"/>
          <w:szCs w:val="28"/>
        </w:rPr>
        <w:t>4.法定代表人身份证明的格式：</w:t>
      </w:r>
    </w:p>
    <w:p w14:paraId="2DF3867C">
      <w:pPr>
        <w:spacing w:line="520" w:lineRule="exact"/>
        <w:jc w:val="center"/>
        <w:rPr>
          <w:rFonts w:hint="eastAsia" w:ascii="仿宋_GB2312" w:hAnsi="仿宋_GB2312" w:eastAsia="仿宋_GB2312" w:cs="仿宋_GB2312"/>
          <w:color w:val="auto"/>
          <w:sz w:val="32"/>
          <w:szCs w:val="32"/>
        </w:rPr>
      </w:pPr>
      <w:r>
        <w:rPr>
          <w:rFonts w:hint="eastAsia" w:ascii="宋体" w:hAnsi="宋体" w:cs="宋体"/>
          <w:bCs/>
          <w:color w:val="auto"/>
          <w:sz w:val="32"/>
          <w:szCs w:val="32"/>
        </w:rPr>
        <w:t>法定代表人身份证明</w:t>
      </w:r>
    </w:p>
    <w:p w14:paraId="4A264D03">
      <w:pPr>
        <w:spacing w:line="360" w:lineRule="auto"/>
        <w:ind w:left="540"/>
        <w:contextualSpacing/>
        <w:rPr>
          <w:rFonts w:hint="eastAsia" w:ascii="仿宋_GB2312" w:hAnsi="仿宋_GB2312" w:eastAsia="仿宋_GB2312" w:cs="仿宋_GB2312"/>
          <w:color w:val="auto"/>
          <w:szCs w:val="21"/>
        </w:rPr>
      </w:pPr>
    </w:p>
    <w:p w14:paraId="0C9DEAF3">
      <w:pPr>
        <w:spacing w:line="360" w:lineRule="auto"/>
        <w:ind w:left="540"/>
        <w:contextualSpacing/>
        <w:rPr>
          <w:rFonts w:hint="eastAsia" w:ascii="宋体" w:hAnsi="宋体" w:cs="宋体"/>
          <w:color w:val="auto"/>
          <w:szCs w:val="21"/>
          <w:u w:val="single"/>
        </w:rPr>
      </w:pPr>
      <w:r>
        <w:rPr>
          <w:rFonts w:hint="eastAsia" w:ascii="宋体" w:hAnsi="宋体" w:cs="宋体"/>
          <w:color w:val="auto"/>
          <w:szCs w:val="21"/>
        </w:rPr>
        <w:t>供应商名称：</w:t>
      </w:r>
      <w:r>
        <w:rPr>
          <w:rFonts w:hint="eastAsia" w:ascii="宋体" w:hAnsi="宋体" w:cs="宋体"/>
          <w:color w:val="auto"/>
          <w:szCs w:val="21"/>
          <w:u w:val="single"/>
        </w:rPr>
        <w:t xml:space="preserve">              </w:t>
      </w:r>
    </w:p>
    <w:p w14:paraId="443C3988">
      <w:pPr>
        <w:spacing w:line="360" w:lineRule="auto"/>
        <w:ind w:left="540"/>
        <w:contextualSpacing/>
        <w:rPr>
          <w:rFonts w:hint="eastAsia" w:ascii="宋体" w:hAnsi="宋体" w:cs="宋体"/>
          <w:color w:val="auto"/>
          <w:szCs w:val="21"/>
          <w:u w:val="single"/>
        </w:rPr>
      </w:pPr>
      <w:r>
        <w:rPr>
          <w:rFonts w:hint="eastAsia" w:ascii="宋体" w:hAnsi="宋体" w:cs="宋体"/>
          <w:color w:val="auto"/>
          <w:szCs w:val="21"/>
        </w:rPr>
        <w:t>地    址：</w:t>
      </w:r>
      <w:r>
        <w:rPr>
          <w:rFonts w:hint="eastAsia" w:ascii="宋体" w:hAnsi="宋体" w:cs="宋体"/>
          <w:color w:val="auto"/>
          <w:szCs w:val="21"/>
          <w:u w:val="single"/>
        </w:rPr>
        <w:t xml:space="preserve">             </w:t>
      </w:r>
    </w:p>
    <w:p w14:paraId="39F61FC1">
      <w:pPr>
        <w:spacing w:line="360" w:lineRule="auto"/>
        <w:ind w:left="540"/>
        <w:contextualSpacing/>
        <w:rPr>
          <w:rFonts w:hint="eastAsia" w:ascii="宋体" w:hAnsi="宋体" w:cs="宋体"/>
          <w:color w:val="auto"/>
          <w:szCs w:val="21"/>
          <w:u w:val="single"/>
        </w:rPr>
      </w:pPr>
      <w:r>
        <w:rPr>
          <w:rFonts w:hint="eastAsia" w:ascii="宋体" w:hAnsi="宋体" w:cs="宋体"/>
          <w:color w:val="auto"/>
          <w:szCs w:val="21"/>
        </w:rPr>
        <w:t>姓    名：</w:t>
      </w:r>
      <w:r>
        <w:rPr>
          <w:rFonts w:hint="eastAsia" w:ascii="宋体" w:hAnsi="宋体" w:cs="宋体"/>
          <w:color w:val="auto"/>
          <w:szCs w:val="21"/>
          <w:u w:val="single"/>
        </w:rPr>
        <w:t xml:space="preserve">              </w:t>
      </w:r>
      <w:r>
        <w:rPr>
          <w:rFonts w:hint="eastAsia" w:ascii="宋体" w:hAnsi="宋体" w:cs="宋体"/>
          <w:color w:val="auto"/>
          <w:szCs w:val="21"/>
        </w:rPr>
        <w:t xml:space="preserve">           性     别：</w:t>
      </w:r>
      <w:r>
        <w:rPr>
          <w:rFonts w:hint="eastAsia" w:ascii="宋体" w:hAnsi="宋体" w:cs="宋体"/>
          <w:color w:val="auto"/>
          <w:szCs w:val="21"/>
          <w:u w:val="single"/>
        </w:rPr>
        <w:t xml:space="preserve">            </w:t>
      </w:r>
    </w:p>
    <w:p w14:paraId="378489BC">
      <w:pPr>
        <w:spacing w:line="360" w:lineRule="auto"/>
        <w:ind w:left="540"/>
        <w:contextualSpacing/>
        <w:rPr>
          <w:rFonts w:hint="eastAsia" w:ascii="宋体" w:hAnsi="宋体" w:cs="宋体"/>
          <w:color w:val="auto"/>
          <w:szCs w:val="21"/>
          <w:u w:val="single"/>
        </w:rPr>
      </w:pPr>
      <w:r>
        <w:rPr>
          <w:rFonts w:hint="eastAsia" w:ascii="宋体" w:hAnsi="宋体" w:cs="宋体"/>
          <w:color w:val="auto"/>
          <w:szCs w:val="21"/>
        </w:rPr>
        <w:t>年    龄：</w:t>
      </w:r>
      <w:r>
        <w:rPr>
          <w:rFonts w:hint="eastAsia" w:ascii="宋体" w:hAnsi="宋体" w:cs="宋体"/>
          <w:color w:val="auto"/>
          <w:szCs w:val="21"/>
          <w:u w:val="single"/>
        </w:rPr>
        <w:t xml:space="preserve">             </w:t>
      </w:r>
      <w:r>
        <w:rPr>
          <w:rFonts w:hint="eastAsia" w:ascii="宋体" w:hAnsi="宋体" w:cs="宋体"/>
          <w:color w:val="auto"/>
          <w:szCs w:val="21"/>
        </w:rPr>
        <w:t xml:space="preserve">            职     务：</w:t>
      </w:r>
      <w:r>
        <w:rPr>
          <w:rFonts w:hint="eastAsia" w:ascii="宋体" w:hAnsi="宋体" w:cs="宋体"/>
          <w:color w:val="auto"/>
          <w:szCs w:val="21"/>
          <w:u w:val="single"/>
        </w:rPr>
        <w:t xml:space="preserve">            </w:t>
      </w:r>
    </w:p>
    <w:p w14:paraId="48E7A9F2">
      <w:pPr>
        <w:spacing w:line="360" w:lineRule="auto"/>
        <w:ind w:left="540"/>
        <w:contextualSpacing/>
        <w:rPr>
          <w:rFonts w:hint="eastAsia" w:ascii="宋体" w:hAnsi="宋体" w:cs="宋体"/>
          <w:color w:val="auto"/>
          <w:szCs w:val="21"/>
          <w:u w:val="single"/>
        </w:rPr>
      </w:pPr>
      <w:r>
        <w:rPr>
          <w:rFonts w:hint="eastAsia" w:ascii="宋体" w:hAnsi="宋体" w:cs="宋体"/>
          <w:color w:val="auto"/>
          <w:szCs w:val="21"/>
        </w:rPr>
        <w:t>身份证号码：</w:t>
      </w:r>
      <w:r>
        <w:rPr>
          <w:rFonts w:hint="eastAsia" w:ascii="宋体" w:hAnsi="宋体" w:cs="宋体"/>
          <w:color w:val="auto"/>
          <w:szCs w:val="21"/>
          <w:u w:val="single"/>
        </w:rPr>
        <w:t xml:space="preserve">                </w:t>
      </w:r>
    </w:p>
    <w:p w14:paraId="45B99B2F">
      <w:pPr>
        <w:spacing w:line="360" w:lineRule="auto"/>
        <w:ind w:firstLine="420" w:firstLineChars="200"/>
        <w:contextualSpacing/>
        <w:rPr>
          <w:rFonts w:hint="eastAsia" w:ascii="宋体" w:hAnsi="宋体" w:cs="宋体"/>
          <w:color w:val="auto"/>
          <w:szCs w:val="21"/>
        </w:rPr>
      </w:pPr>
      <w:r>
        <w:rPr>
          <w:rFonts w:hint="eastAsia" w:ascii="宋体" w:hAnsi="宋体" w:cs="宋体"/>
          <w:color w:val="auto"/>
          <w:szCs w:val="21"/>
        </w:rPr>
        <w:t>系</w:t>
      </w:r>
      <w:r>
        <w:rPr>
          <w:rFonts w:hint="eastAsia" w:ascii="宋体" w:hAnsi="宋体" w:cs="宋体"/>
          <w:color w:val="auto"/>
          <w:szCs w:val="21"/>
          <w:u w:val="single"/>
        </w:rPr>
        <w:t>（供应商名称）</w:t>
      </w:r>
      <w:r>
        <w:rPr>
          <w:rFonts w:hint="eastAsia" w:ascii="宋体" w:hAnsi="宋体" w:cs="宋体"/>
          <w:color w:val="auto"/>
          <w:szCs w:val="21"/>
        </w:rPr>
        <w:t>的法定代表人。</w:t>
      </w:r>
    </w:p>
    <w:p w14:paraId="66856824">
      <w:pPr>
        <w:spacing w:line="360" w:lineRule="auto"/>
        <w:ind w:left="540"/>
        <w:contextualSpacing/>
        <w:rPr>
          <w:rFonts w:hint="eastAsia" w:ascii="宋体" w:hAnsi="宋体" w:cs="宋体"/>
          <w:color w:val="auto"/>
          <w:szCs w:val="21"/>
        </w:rPr>
      </w:pPr>
      <w:r>
        <w:rPr>
          <w:rFonts w:hint="eastAsia" w:ascii="宋体" w:hAnsi="宋体" w:cs="宋体"/>
          <w:color w:val="auto"/>
          <w:szCs w:val="21"/>
        </w:rPr>
        <w:t>特此证明。</w:t>
      </w:r>
    </w:p>
    <w:p w14:paraId="1687C545">
      <w:pPr>
        <w:spacing w:line="360" w:lineRule="auto"/>
        <w:ind w:left="540"/>
        <w:contextualSpacing/>
        <w:rPr>
          <w:rFonts w:hint="eastAsia" w:ascii="宋体" w:hAnsi="宋体" w:cs="宋体"/>
          <w:color w:val="auto"/>
          <w:szCs w:val="21"/>
        </w:rPr>
      </w:pPr>
    </w:p>
    <w:p w14:paraId="6803719B">
      <w:pPr>
        <w:spacing w:line="360" w:lineRule="auto"/>
        <w:ind w:left="540"/>
        <w:contextualSpacing/>
        <w:rPr>
          <w:rFonts w:hint="eastAsia" w:ascii="宋体" w:hAnsi="宋体" w:cs="宋体"/>
          <w:color w:val="auto"/>
          <w:szCs w:val="21"/>
        </w:rPr>
      </w:pPr>
    </w:p>
    <w:p w14:paraId="525D8BA4">
      <w:pPr>
        <w:spacing w:line="360" w:lineRule="auto"/>
        <w:ind w:left="540"/>
        <w:contextualSpacing/>
        <w:rPr>
          <w:rFonts w:hint="eastAsia" w:ascii="宋体" w:hAnsi="宋体" w:cs="宋体"/>
          <w:color w:val="auto"/>
          <w:szCs w:val="21"/>
        </w:rPr>
      </w:pPr>
    </w:p>
    <w:p w14:paraId="6564CF0F">
      <w:pPr>
        <w:spacing w:line="360" w:lineRule="auto"/>
        <w:ind w:left="540"/>
        <w:contextualSpacing/>
        <w:rPr>
          <w:rFonts w:hint="eastAsia" w:ascii="宋体" w:hAnsi="宋体" w:cs="宋体"/>
          <w:color w:val="auto"/>
          <w:szCs w:val="21"/>
        </w:rPr>
      </w:pPr>
      <w:r>
        <w:rPr>
          <w:rFonts w:hint="eastAsia" w:ascii="宋体" w:hAnsi="宋体" w:cs="宋体"/>
          <w:color w:val="auto"/>
          <w:szCs w:val="21"/>
        </w:rPr>
        <w:t>附件：法定代表人有效身份证正反面复印件</w:t>
      </w:r>
    </w:p>
    <w:p w14:paraId="1841E3D5">
      <w:pPr>
        <w:spacing w:line="360" w:lineRule="auto"/>
        <w:ind w:left="540"/>
        <w:contextualSpacing/>
        <w:rPr>
          <w:rFonts w:hint="eastAsia" w:ascii="宋体" w:hAnsi="宋体" w:cs="宋体"/>
          <w:color w:val="auto"/>
          <w:szCs w:val="21"/>
        </w:rPr>
      </w:pPr>
    </w:p>
    <w:p w14:paraId="04C405C9">
      <w:pPr>
        <w:autoSpaceDE w:val="0"/>
        <w:autoSpaceDN w:val="0"/>
        <w:spacing w:line="360" w:lineRule="auto"/>
        <w:ind w:left="4305" w:leftChars="1950" w:hanging="210" w:hangingChars="100"/>
        <w:rPr>
          <w:rFonts w:hint="eastAsia" w:ascii="宋体" w:hAnsi="宋体" w:cs="宋体"/>
          <w:color w:val="auto"/>
          <w:kern w:val="0"/>
          <w:szCs w:val="21"/>
        </w:rPr>
      </w:pPr>
      <w:r>
        <w:rPr>
          <w:rFonts w:hint="eastAsia" w:ascii="宋体" w:hAnsi="宋体" w:cs="宋体"/>
          <w:color w:val="auto"/>
          <w:kern w:val="0"/>
          <w:szCs w:val="21"/>
        </w:rPr>
        <w:t>供应商名称（电子签章）：</w:t>
      </w:r>
    </w:p>
    <w:p w14:paraId="60A4AFDB">
      <w:pPr>
        <w:spacing w:line="360" w:lineRule="auto"/>
        <w:contextualSpacing/>
        <w:jc w:val="center"/>
        <w:rPr>
          <w:rFonts w:hint="eastAsia" w:ascii="宋体" w:hAnsi="宋体" w:cs="宋体"/>
          <w:b/>
          <w:color w:val="auto"/>
          <w:szCs w:val="21"/>
        </w:rPr>
      </w:pPr>
      <w:r>
        <w:rPr>
          <w:rFonts w:hint="eastAsia" w:ascii="宋体" w:hAnsi="宋体" w:cs="宋体"/>
          <w:color w:val="auto"/>
          <w:kern w:val="0"/>
          <w:szCs w:val="21"/>
          <w:lang w:val="zh-CN"/>
        </w:rPr>
        <w:t xml:space="preserve">                                                   日期：  年  月   日</w:t>
      </w:r>
    </w:p>
    <w:p w14:paraId="6D5F961D">
      <w:pPr>
        <w:spacing w:line="360" w:lineRule="auto"/>
        <w:contextualSpacing/>
        <w:jc w:val="left"/>
        <w:rPr>
          <w:rFonts w:hint="eastAsia" w:ascii="宋体" w:hAnsi="宋体" w:cs="宋体"/>
          <w:color w:val="auto"/>
          <w:sz w:val="24"/>
        </w:rPr>
      </w:pPr>
    </w:p>
    <w:p w14:paraId="797F92E6">
      <w:pPr>
        <w:spacing w:line="360" w:lineRule="auto"/>
        <w:contextualSpacing/>
        <w:jc w:val="left"/>
        <w:rPr>
          <w:rFonts w:hint="eastAsia" w:ascii="宋体" w:hAnsi="宋体" w:cs="宋体"/>
          <w:color w:val="auto"/>
          <w:sz w:val="24"/>
        </w:rPr>
      </w:pPr>
    </w:p>
    <w:p w14:paraId="434A4063">
      <w:pPr>
        <w:spacing w:line="360" w:lineRule="auto"/>
        <w:ind w:firstLine="420" w:firstLineChars="200"/>
        <w:contextualSpacing/>
        <w:jc w:val="left"/>
        <w:rPr>
          <w:rFonts w:hint="eastAsia" w:ascii="宋体" w:hAnsi="宋体" w:cs="宋体"/>
          <w:color w:val="auto"/>
          <w:szCs w:val="21"/>
        </w:rPr>
      </w:pPr>
      <w:r>
        <w:rPr>
          <w:rFonts w:hint="eastAsia" w:ascii="宋体" w:hAnsi="宋体" w:cs="宋体"/>
          <w:color w:val="auto"/>
          <w:szCs w:val="21"/>
        </w:rPr>
        <w:t>注：</w:t>
      </w:r>
    </w:p>
    <w:p w14:paraId="7DF9C82A">
      <w:pPr>
        <w:spacing w:line="360" w:lineRule="auto"/>
        <w:ind w:firstLine="420" w:firstLineChars="200"/>
        <w:contextualSpacing/>
        <w:jc w:val="left"/>
        <w:rPr>
          <w:rFonts w:hint="eastAsia" w:ascii="宋体" w:hAnsi="宋体" w:cs="宋体"/>
          <w:color w:val="auto"/>
          <w:szCs w:val="21"/>
        </w:rPr>
      </w:pPr>
      <w:r>
        <w:rPr>
          <w:rFonts w:hint="eastAsia" w:ascii="宋体" w:hAnsi="宋体" w:cs="宋体"/>
          <w:color w:val="auto"/>
          <w:szCs w:val="21"/>
        </w:rPr>
        <w:t>1.自然人竞标的无需提供，联合体竞标的只需牵头人出具。</w:t>
      </w:r>
    </w:p>
    <w:p w14:paraId="2BFD55DF">
      <w:pPr>
        <w:spacing w:line="360" w:lineRule="auto"/>
        <w:ind w:firstLine="420" w:firstLineChars="200"/>
        <w:contextualSpacing/>
        <w:jc w:val="left"/>
        <w:rPr>
          <w:rFonts w:hint="eastAsia" w:ascii="宋体" w:hAnsi="宋体" w:cs="宋体"/>
          <w:color w:val="auto"/>
          <w:szCs w:val="21"/>
        </w:rPr>
        <w:sectPr>
          <w:pgSz w:w="11911" w:h="16838"/>
          <w:pgMar w:top="1134" w:right="1134" w:bottom="1134" w:left="1134" w:header="720" w:footer="720" w:gutter="0"/>
          <w:cols w:space="720" w:num="1"/>
        </w:sectPr>
      </w:pPr>
      <w:r>
        <w:rPr>
          <w:rFonts w:hint="eastAsia" w:ascii="宋体" w:hAnsi="宋体" w:cs="宋体"/>
          <w:color w:val="auto"/>
          <w:szCs w:val="21"/>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AEE590E">
      <w:pPr>
        <w:spacing w:line="360" w:lineRule="auto"/>
        <w:ind w:firstLine="482" w:firstLineChars="200"/>
        <w:contextualSpacing/>
        <w:jc w:val="left"/>
        <w:rPr>
          <w:rFonts w:hint="eastAsia" w:ascii="仿宋_GB2312" w:hAnsi="仿宋_GB2312" w:eastAsia="仿宋_GB2312" w:cs="仿宋_GB2312"/>
          <w:b/>
          <w:color w:val="auto"/>
          <w:sz w:val="32"/>
          <w:szCs w:val="32"/>
        </w:rPr>
      </w:pPr>
      <w:r>
        <w:rPr>
          <w:rFonts w:hint="eastAsia" w:ascii="Calibri"/>
          <w:b/>
          <w:color w:val="auto"/>
          <w:sz w:val="24"/>
        </w:rPr>
        <w:t>附件：</w:t>
      </w:r>
    </w:p>
    <w:tbl>
      <w:tblPr>
        <w:tblStyle w:val="34"/>
        <w:tblW w:w="8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5D6E4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2" w:hRule="atLeast"/>
          <w:jc w:val="center"/>
        </w:trPr>
        <w:tc>
          <w:tcPr>
            <w:tcW w:w="8461" w:type="dxa"/>
          </w:tcPr>
          <w:p w14:paraId="78188278">
            <w:pPr>
              <w:spacing w:line="360" w:lineRule="auto"/>
              <w:rPr>
                <w:rFonts w:hAnsi="Calibri"/>
                <w:b/>
                <w:color w:val="auto"/>
                <w:sz w:val="24"/>
              </w:rPr>
            </w:pPr>
          </w:p>
          <w:p w14:paraId="1C6AD49A">
            <w:pPr>
              <w:spacing w:line="360" w:lineRule="auto"/>
              <w:rPr>
                <w:rFonts w:hAnsi="Calibri"/>
                <w:b/>
                <w:color w:val="auto"/>
                <w:sz w:val="24"/>
              </w:rPr>
            </w:pPr>
            <w:r>
              <w:rPr>
                <w:rFonts w:hint="eastAsia" w:hAnsi="Calibri"/>
                <w:b/>
                <w:color w:val="auto"/>
                <w:sz w:val="24"/>
              </w:rPr>
              <w:t>法定代表人身份证复印件粘贴处（正、反面）</w:t>
            </w:r>
          </w:p>
        </w:tc>
      </w:tr>
    </w:tbl>
    <w:p w14:paraId="6BE7D452">
      <w:pPr>
        <w:adjustRightInd w:val="0"/>
        <w:snapToGrid w:val="0"/>
        <w:spacing w:line="300" w:lineRule="auto"/>
        <w:jc w:val="left"/>
        <w:rPr>
          <w:b/>
          <w:color w:val="auto"/>
          <w:szCs w:val="21"/>
        </w:rPr>
      </w:pPr>
    </w:p>
    <w:p w14:paraId="29314EE8">
      <w:pPr>
        <w:spacing w:line="520" w:lineRule="exact"/>
        <w:ind w:firstLine="880"/>
        <w:jc w:val="left"/>
        <w:rPr>
          <w:rFonts w:hint="eastAsia" w:ascii="宋体" w:hAnsi="宋体" w:cs="宋体"/>
          <w:color w:val="auto"/>
          <w:szCs w:val="21"/>
        </w:rPr>
      </w:pPr>
    </w:p>
    <w:p w14:paraId="411852D8">
      <w:pPr>
        <w:spacing w:line="520" w:lineRule="exact"/>
        <w:jc w:val="left"/>
        <w:rPr>
          <w:rFonts w:hint="eastAsia" w:ascii="仿宋" w:hAnsi="仿宋" w:eastAsia="仿宋" w:cs="仿宋"/>
          <w:bCs/>
          <w:color w:val="auto"/>
          <w:sz w:val="44"/>
          <w:szCs w:val="44"/>
        </w:rPr>
      </w:pPr>
      <w:r>
        <w:rPr>
          <w:rFonts w:hint="eastAsia" w:ascii="仿宋" w:hAnsi="仿宋" w:eastAsia="仿宋" w:cs="仿宋"/>
          <w:color w:val="auto"/>
          <w:sz w:val="44"/>
          <w:szCs w:val="44"/>
        </w:rPr>
        <w:br w:type="page"/>
      </w:r>
      <w:r>
        <w:rPr>
          <w:rFonts w:hint="eastAsia" w:ascii="宋体" w:hAnsi="宋体" w:cs="宋体"/>
          <w:b/>
          <w:bCs/>
          <w:color w:val="auto"/>
          <w:sz w:val="28"/>
          <w:szCs w:val="28"/>
        </w:rPr>
        <w:t>5.法定代表人授权委托书的格式：</w:t>
      </w:r>
    </w:p>
    <w:p w14:paraId="71CEA106">
      <w:pPr>
        <w:spacing w:line="500" w:lineRule="exact"/>
        <w:jc w:val="center"/>
        <w:rPr>
          <w:rFonts w:hint="eastAsia" w:ascii="仿宋" w:hAnsi="仿宋" w:eastAsia="仿宋" w:cs="仿宋"/>
          <w:color w:val="auto"/>
          <w:sz w:val="44"/>
          <w:szCs w:val="44"/>
        </w:rPr>
      </w:pPr>
    </w:p>
    <w:p w14:paraId="36883ACC">
      <w:pPr>
        <w:spacing w:line="520" w:lineRule="exact"/>
        <w:jc w:val="center"/>
        <w:rPr>
          <w:rFonts w:hint="eastAsia" w:ascii="宋体" w:hAnsi="宋体" w:cs="宋体"/>
          <w:color w:val="auto"/>
          <w:sz w:val="32"/>
          <w:szCs w:val="32"/>
        </w:rPr>
      </w:pPr>
      <w:r>
        <w:rPr>
          <w:rFonts w:hint="eastAsia" w:ascii="宋体" w:hAnsi="宋体" w:cs="宋体"/>
          <w:color w:val="auto"/>
          <w:sz w:val="32"/>
          <w:szCs w:val="32"/>
        </w:rPr>
        <w:t>授权委托书（非联合体竞标格式）</w:t>
      </w:r>
    </w:p>
    <w:p w14:paraId="1BDD3594">
      <w:pPr>
        <w:spacing w:line="520" w:lineRule="exact"/>
        <w:jc w:val="center"/>
        <w:rPr>
          <w:rFonts w:hint="eastAsia" w:ascii="宋体" w:hAnsi="宋体" w:cs="宋体"/>
          <w:color w:val="auto"/>
          <w:sz w:val="32"/>
          <w:szCs w:val="32"/>
        </w:rPr>
      </w:pPr>
      <w:r>
        <w:rPr>
          <w:rFonts w:hint="eastAsia" w:ascii="宋体" w:hAnsi="宋体" w:cs="宋体"/>
          <w:color w:val="auto"/>
          <w:sz w:val="32"/>
          <w:szCs w:val="32"/>
        </w:rPr>
        <w:t>（如有委托时）</w:t>
      </w:r>
    </w:p>
    <w:p w14:paraId="3DF74947">
      <w:pPr>
        <w:spacing w:line="520" w:lineRule="exact"/>
        <w:rPr>
          <w:rFonts w:hint="eastAsia" w:ascii="仿宋_GB2312" w:hAnsi="仿宋_GB2312" w:eastAsia="仿宋_GB2312" w:cs="仿宋_GB2312"/>
          <w:color w:val="auto"/>
          <w:sz w:val="32"/>
          <w:szCs w:val="32"/>
        </w:rPr>
      </w:pPr>
    </w:p>
    <w:p w14:paraId="2ACB6755">
      <w:pPr>
        <w:spacing w:line="360" w:lineRule="auto"/>
        <w:rPr>
          <w:rFonts w:hint="eastAsia" w:ascii="宋体" w:hAnsi="宋体" w:cs="宋体"/>
          <w:color w:val="auto"/>
          <w:szCs w:val="21"/>
        </w:rPr>
      </w:pPr>
      <w:r>
        <w:rPr>
          <w:rFonts w:hint="eastAsia" w:ascii="宋体" w:hAnsi="宋体" w:cs="宋体"/>
          <w:color w:val="auto"/>
          <w:szCs w:val="21"/>
        </w:rPr>
        <w:t>致：</w:t>
      </w:r>
      <w:r>
        <w:rPr>
          <w:rFonts w:hint="eastAsia" w:ascii="宋体" w:hAnsi="宋体" w:cs="宋体"/>
          <w:color w:val="auto"/>
          <w:szCs w:val="21"/>
          <w:u w:val="single"/>
        </w:rPr>
        <w:t>（采购代理机构或采购人名称）</w:t>
      </w:r>
      <w:r>
        <w:rPr>
          <w:rFonts w:hint="eastAsia" w:ascii="宋体" w:hAnsi="宋体" w:cs="宋体"/>
          <w:color w:val="auto"/>
          <w:szCs w:val="21"/>
        </w:rPr>
        <w:t>：</w:t>
      </w:r>
    </w:p>
    <w:p w14:paraId="2C9D3D4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我</w:t>
      </w:r>
      <w:r>
        <w:rPr>
          <w:rFonts w:hint="eastAsia" w:ascii="宋体" w:hAnsi="宋体" w:cs="宋体"/>
          <w:color w:val="auto"/>
          <w:szCs w:val="21"/>
          <w:u w:val="single"/>
        </w:rPr>
        <w:t>（姓名）</w:t>
      </w:r>
      <w:r>
        <w:rPr>
          <w:rFonts w:hint="eastAsia" w:ascii="宋体" w:hAnsi="宋体" w:cs="宋体"/>
          <w:color w:val="auto"/>
          <w:szCs w:val="21"/>
        </w:rPr>
        <w:t>系</w:t>
      </w:r>
      <w:r>
        <w:rPr>
          <w:rFonts w:hint="eastAsia" w:ascii="宋体" w:hAnsi="宋体" w:cs="宋体"/>
          <w:color w:val="auto"/>
          <w:szCs w:val="21"/>
          <w:u w:val="single"/>
        </w:rPr>
        <w:t>（供应商名称）</w:t>
      </w:r>
      <w:r>
        <w:rPr>
          <w:rFonts w:hint="eastAsia" w:ascii="宋体" w:hAnsi="宋体" w:cs="宋体"/>
          <w:color w:val="auto"/>
          <w:szCs w:val="21"/>
        </w:rPr>
        <w:t>的（</w:t>
      </w:r>
      <w:r>
        <w:rPr>
          <w:rFonts w:hint="eastAsia" w:ascii="宋体" w:hAnsi="宋体" w:cs="宋体"/>
          <w:color w:val="auto"/>
          <w:szCs w:val="21"/>
          <w:u w:val="single"/>
        </w:rPr>
        <w:t>□法定代表人/□负责人/□自然人本人</w:t>
      </w:r>
      <w:r>
        <w:rPr>
          <w:rFonts w:hint="eastAsia" w:ascii="宋体" w:hAnsi="宋体" w:cs="宋体"/>
          <w:color w:val="auto"/>
          <w:szCs w:val="21"/>
        </w:rPr>
        <w:t>），现授权</w:t>
      </w:r>
      <w:r>
        <w:rPr>
          <w:rFonts w:hint="eastAsia" w:ascii="宋体" w:hAnsi="宋体" w:cs="宋体"/>
          <w:color w:val="auto"/>
          <w:szCs w:val="21"/>
          <w:u w:val="single"/>
        </w:rPr>
        <w:t>（姓名）</w:t>
      </w:r>
      <w:r>
        <w:rPr>
          <w:rFonts w:hint="eastAsia" w:ascii="宋体" w:hAnsi="宋体" w:cs="宋体"/>
          <w:color w:val="auto"/>
          <w:szCs w:val="21"/>
        </w:rPr>
        <w:t>以我方的名义参加</w:t>
      </w:r>
      <w:r>
        <w:rPr>
          <w:rFonts w:hint="eastAsia" w:ascii="宋体" w:hAnsi="宋体" w:cs="宋体"/>
          <w:color w:val="auto"/>
          <w:szCs w:val="21"/>
          <w:u w:val="single"/>
        </w:rPr>
        <w:t>（项目名称）</w:t>
      </w:r>
      <w:r>
        <w:rPr>
          <w:rFonts w:hint="eastAsia" w:ascii="宋体" w:hAnsi="宋体" w:cs="宋体"/>
          <w:color w:val="auto"/>
          <w:szCs w:val="21"/>
        </w:rPr>
        <w:t>项目的竞标活动，并代表我方全权办理针对上述项目的所有采购程序和环节的具体事务和签署相关文件。</w:t>
      </w:r>
    </w:p>
    <w:p w14:paraId="327AA7F2">
      <w:pPr>
        <w:spacing w:line="360" w:lineRule="auto"/>
        <w:rPr>
          <w:rFonts w:hint="eastAsia" w:ascii="宋体" w:hAnsi="宋体" w:cs="宋体"/>
          <w:color w:val="auto"/>
          <w:szCs w:val="21"/>
        </w:rPr>
      </w:pPr>
      <w:r>
        <w:rPr>
          <w:rFonts w:hint="eastAsia" w:ascii="宋体" w:hAnsi="宋体" w:cs="宋体"/>
          <w:color w:val="auto"/>
          <w:szCs w:val="21"/>
        </w:rPr>
        <w:t xml:space="preserve">    我方对委托代理人的签字事项负全部责任。</w:t>
      </w:r>
    </w:p>
    <w:p w14:paraId="22DFF8F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本授权书自签署之日起生效，在撤销授权的书面通知以前，本授权书一直有效。委托代理人在授权书有效期内签署的所有文件不因授权的撤销而失效。</w:t>
      </w:r>
    </w:p>
    <w:p w14:paraId="55B93C1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委托代理人无转委托权，特此委托。</w:t>
      </w:r>
    </w:p>
    <w:p w14:paraId="208C338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附：法定代表人身份证明及委托代理人有效身份证正反面复印件</w:t>
      </w:r>
    </w:p>
    <w:p w14:paraId="2650C856">
      <w:pPr>
        <w:spacing w:line="360" w:lineRule="auto"/>
        <w:rPr>
          <w:rFonts w:hint="eastAsia" w:ascii="宋体" w:hAnsi="宋体" w:cs="宋体"/>
          <w:color w:val="auto"/>
          <w:szCs w:val="21"/>
        </w:rPr>
      </w:pPr>
    </w:p>
    <w:p w14:paraId="5A46BF29">
      <w:pPr>
        <w:spacing w:line="360" w:lineRule="auto"/>
        <w:rPr>
          <w:rFonts w:hint="eastAsia" w:ascii="宋体" w:hAnsi="宋体" w:cs="宋体"/>
          <w:color w:val="auto"/>
          <w:szCs w:val="21"/>
        </w:rPr>
      </w:pPr>
      <w:r>
        <w:rPr>
          <w:rFonts w:hint="eastAsia" w:ascii="宋体" w:hAnsi="宋体" w:cs="宋体"/>
          <w:color w:val="auto"/>
          <w:szCs w:val="21"/>
        </w:rPr>
        <w:t xml:space="preserve">委托代理人（签字）：         法定代表人（签字）：                    </w:t>
      </w:r>
    </w:p>
    <w:p w14:paraId="5492BC69">
      <w:pPr>
        <w:spacing w:line="360" w:lineRule="auto"/>
        <w:rPr>
          <w:rFonts w:hint="eastAsia" w:ascii="宋体" w:hAnsi="宋体" w:cs="宋体"/>
          <w:color w:val="auto"/>
          <w:szCs w:val="21"/>
        </w:rPr>
      </w:pPr>
      <w:r>
        <w:rPr>
          <w:rFonts w:hint="eastAsia" w:ascii="宋体" w:hAnsi="宋体" w:cs="宋体"/>
          <w:color w:val="auto"/>
          <w:szCs w:val="21"/>
        </w:rPr>
        <w:t xml:space="preserve">委托代理人身份证号码：                              </w:t>
      </w:r>
    </w:p>
    <w:p w14:paraId="2401005F">
      <w:pPr>
        <w:spacing w:line="360" w:lineRule="auto"/>
        <w:rPr>
          <w:rFonts w:hint="eastAsia" w:ascii="宋体" w:hAnsi="宋体" w:cs="宋体"/>
          <w:color w:val="auto"/>
          <w:szCs w:val="21"/>
        </w:rPr>
      </w:pPr>
    </w:p>
    <w:p w14:paraId="152EB2AD">
      <w:pPr>
        <w:spacing w:line="360" w:lineRule="auto"/>
        <w:ind w:firstLine="6090" w:firstLineChars="2900"/>
        <w:rPr>
          <w:rFonts w:hint="eastAsia" w:ascii="宋体" w:hAnsi="宋体" w:cs="宋体"/>
          <w:color w:val="auto"/>
          <w:kern w:val="0"/>
          <w:szCs w:val="21"/>
        </w:rPr>
      </w:pPr>
      <w:r>
        <w:rPr>
          <w:rFonts w:hint="eastAsia" w:ascii="宋体" w:hAnsi="宋体" w:cs="宋体"/>
          <w:color w:val="auto"/>
          <w:kern w:val="0"/>
          <w:szCs w:val="21"/>
        </w:rPr>
        <w:t>供应商名称（电子签章）：</w:t>
      </w:r>
    </w:p>
    <w:p w14:paraId="6D7A95D7">
      <w:pPr>
        <w:spacing w:line="360" w:lineRule="auto"/>
        <w:contextualSpacing/>
        <w:jc w:val="center"/>
        <w:rPr>
          <w:rFonts w:hint="eastAsia" w:ascii="宋体" w:hAnsi="宋体" w:cs="宋体"/>
          <w:b/>
          <w:color w:val="auto"/>
          <w:szCs w:val="21"/>
        </w:rPr>
      </w:pPr>
      <w:r>
        <w:rPr>
          <w:rFonts w:hint="eastAsia" w:ascii="宋体" w:hAnsi="宋体" w:cs="宋体"/>
          <w:color w:val="auto"/>
          <w:kern w:val="0"/>
          <w:szCs w:val="21"/>
          <w:lang w:val="zh-CN"/>
        </w:rPr>
        <w:t xml:space="preserve">                                                   日期：  年  月   日</w:t>
      </w:r>
    </w:p>
    <w:p w14:paraId="02A85031">
      <w:pPr>
        <w:spacing w:line="360" w:lineRule="auto"/>
        <w:rPr>
          <w:rFonts w:hint="eastAsia" w:ascii="宋体" w:hAnsi="宋体" w:cs="宋体"/>
          <w:color w:val="auto"/>
          <w:sz w:val="24"/>
        </w:rPr>
      </w:pPr>
    </w:p>
    <w:p w14:paraId="65DF8C2F">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注：</w:t>
      </w:r>
    </w:p>
    <w:p w14:paraId="41BBB12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 法定代表人和委托代理人必须在授权委托书上签字，</w:t>
      </w:r>
      <w:r>
        <w:rPr>
          <w:rFonts w:hint="eastAsia" w:ascii="宋体" w:hAnsi="宋体" w:cs="宋体"/>
          <w:b/>
          <w:color w:val="auto"/>
          <w:szCs w:val="21"/>
        </w:rPr>
        <w:t>否则其响应文件按无效响应处理。</w:t>
      </w:r>
    </w:p>
    <w:p w14:paraId="7E77CA7B">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47470D2">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 法人、其他组织竞标时“我方”是指“我单位”，自然人竞标时“我方”是指“本人”。</w:t>
      </w:r>
    </w:p>
    <w:p w14:paraId="14052F85">
      <w:pPr>
        <w:spacing w:line="360" w:lineRule="auto"/>
        <w:ind w:firstLine="420" w:firstLineChars="200"/>
        <w:jc w:val="left"/>
        <w:rPr>
          <w:rFonts w:hint="eastAsia" w:ascii="宋体" w:hAnsi="宋体" w:cs="宋体"/>
          <w:color w:val="auto"/>
          <w:sz w:val="24"/>
        </w:rPr>
      </w:pPr>
      <w:r>
        <w:rPr>
          <w:rFonts w:ascii="仿宋_GB2312" w:hAnsi="仿宋_GB2312" w:eastAsia="仿宋_GB2312" w:cs="仿宋_GB2312"/>
          <w:color w:val="auto"/>
          <w:szCs w:val="21"/>
        </w:rPr>
        <w:br w:type="page"/>
      </w:r>
    </w:p>
    <w:p w14:paraId="755922E6">
      <w:pPr>
        <w:spacing w:line="520" w:lineRule="exact"/>
        <w:jc w:val="left"/>
        <w:rPr>
          <w:rFonts w:hint="eastAsia" w:ascii="仿宋" w:hAnsi="仿宋" w:eastAsia="仿宋" w:cs="仿宋_GB2312"/>
          <w:b/>
          <w:color w:val="auto"/>
          <w:sz w:val="30"/>
          <w:szCs w:val="30"/>
        </w:rPr>
      </w:pPr>
      <w:r>
        <w:rPr>
          <w:rFonts w:hint="eastAsia" w:ascii="宋体" w:hAnsi="宋体" w:cs="宋体"/>
          <w:b/>
          <w:color w:val="auto"/>
          <w:sz w:val="28"/>
          <w:szCs w:val="28"/>
        </w:rPr>
        <w:t>6.商务条款偏离表的格式：</w:t>
      </w:r>
    </w:p>
    <w:p w14:paraId="739D8C32">
      <w:pPr>
        <w:pStyle w:val="25"/>
        <w:rPr>
          <w:color w:val="auto"/>
        </w:rPr>
      </w:pPr>
    </w:p>
    <w:p w14:paraId="46CC938F">
      <w:pPr>
        <w:spacing w:line="500" w:lineRule="exact"/>
        <w:jc w:val="center"/>
        <w:rPr>
          <w:rFonts w:hint="eastAsia" w:ascii="宋体" w:hAnsi="宋体" w:cs="宋体"/>
          <w:bCs/>
          <w:color w:val="auto"/>
          <w:sz w:val="44"/>
          <w:szCs w:val="44"/>
        </w:rPr>
      </w:pPr>
      <w:r>
        <w:rPr>
          <w:rFonts w:hint="eastAsia" w:ascii="宋体" w:hAnsi="宋体" w:cs="宋体"/>
          <w:bCs/>
          <w:color w:val="auto"/>
          <w:sz w:val="44"/>
          <w:szCs w:val="44"/>
        </w:rPr>
        <w:t>商务条款偏离表</w:t>
      </w:r>
    </w:p>
    <w:p w14:paraId="01264F7E">
      <w:pPr>
        <w:spacing w:line="520" w:lineRule="exact"/>
        <w:rPr>
          <w:rFonts w:hint="eastAsia" w:ascii="宋体" w:hAnsi="宋体" w:cs="宋体"/>
          <w:color w:val="auto"/>
          <w:sz w:val="32"/>
          <w:szCs w:val="32"/>
        </w:rPr>
      </w:pPr>
    </w:p>
    <w:p w14:paraId="067781BC">
      <w:pPr>
        <w:spacing w:line="360" w:lineRule="auto"/>
        <w:contextualSpacing/>
        <w:rPr>
          <w:rFonts w:hint="eastAsia" w:ascii="宋体" w:hAnsi="宋体" w:cs="宋体"/>
          <w:color w:val="auto"/>
          <w:szCs w:val="21"/>
          <w:u w:val="single"/>
        </w:rPr>
      </w:pPr>
      <w:r>
        <w:rPr>
          <w:rFonts w:hint="eastAsia" w:ascii="宋体" w:hAnsi="宋体" w:cs="宋体"/>
          <w:color w:val="auto"/>
          <w:szCs w:val="21"/>
        </w:rPr>
        <w:t>项目名称：</w:t>
      </w:r>
    </w:p>
    <w:p w14:paraId="0AECC572">
      <w:pPr>
        <w:spacing w:line="360" w:lineRule="auto"/>
        <w:contextualSpacing/>
        <w:rPr>
          <w:rFonts w:hint="eastAsia" w:ascii="宋体" w:hAnsi="宋体" w:cs="宋体"/>
          <w:color w:val="auto"/>
          <w:szCs w:val="21"/>
        </w:rPr>
      </w:pPr>
      <w:r>
        <w:rPr>
          <w:rFonts w:hint="eastAsia" w:ascii="宋体" w:hAnsi="宋体" w:cs="宋体"/>
          <w:color w:val="auto"/>
          <w:szCs w:val="21"/>
        </w:rPr>
        <w:t>项目编号：</w:t>
      </w:r>
    </w:p>
    <w:p w14:paraId="47B426F4">
      <w:pPr>
        <w:spacing w:line="360" w:lineRule="auto"/>
        <w:contextualSpacing/>
        <w:rPr>
          <w:rFonts w:hint="eastAsia" w:ascii="宋体" w:hAnsi="宋体" w:cs="宋体"/>
          <w:color w:val="auto"/>
          <w:szCs w:val="21"/>
          <w:u w:val="single"/>
        </w:rPr>
      </w:pPr>
      <w:r>
        <w:rPr>
          <w:rFonts w:hint="eastAsia" w:ascii="宋体" w:hAnsi="宋体" w:cs="宋体"/>
          <w:color w:val="auto"/>
          <w:szCs w:val="21"/>
        </w:rPr>
        <w:t>所竞分标（如有则填写，无分标时填写“无”或者留空）：</w:t>
      </w:r>
    </w:p>
    <w:tbl>
      <w:tblPr>
        <w:tblStyle w:val="34"/>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2C842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691" w:type="dxa"/>
            <w:tcBorders>
              <w:top w:val="single" w:color="auto" w:sz="4" w:space="0"/>
              <w:left w:val="single" w:color="auto" w:sz="4" w:space="0"/>
              <w:bottom w:val="single" w:color="auto" w:sz="4" w:space="0"/>
              <w:right w:val="single" w:color="auto" w:sz="4" w:space="0"/>
            </w:tcBorders>
            <w:vAlign w:val="center"/>
          </w:tcPr>
          <w:p w14:paraId="40315DF8">
            <w:pPr>
              <w:spacing w:line="340" w:lineRule="exact"/>
              <w:jc w:val="center"/>
              <w:rPr>
                <w:rFonts w:hint="eastAsia" w:ascii="宋体" w:hAnsi="宋体" w:cs="宋体"/>
                <w:color w:val="auto"/>
                <w:szCs w:val="21"/>
              </w:rPr>
            </w:pPr>
            <w:r>
              <w:rPr>
                <w:rFonts w:hint="eastAsia" w:ascii="宋体" w:hAnsi="宋体" w:cs="宋体"/>
                <w:color w:val="auto"/>
                <w:szCs w:val="21"/>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4E45D0EE">
            <w:pPr>
              <w:spacing w:line="340" w:lineRule="exact"/>
              <w:jc w:val="center"/>
              <w:rPr>
                <w:rFonts w:hint="eastAsia" w:ascii="宋体" w:hAnsi="宋体" w:cs="宋体"/>
                <w:color w:val="auto"/>
                <w:szCs w:val="21"/>
              </w:rPr>
            </w:pPr>
            <w:r>
              <w:rPr>
                <w:rFonts w:hint="eastAsia" w:ascii="宋体" w:hAnsi="宋体" w:cs="宋体"/>
                <w:color w:val="auto"/>
                <w:szCs w:val="21"/>
              </w:rPr>
              <w:t>竞争性磋商文件的商务条款</w:t>
            </w:r>
          </w:p>
        </w:tc>
        <w:tc>
          <w:tcPr>
            <w:tcW w:w="3589" w:type="dxa"/>
            <w:tcBorders>
              <w:top w:val="single" w:color="auto" w:sz="4" w:space="0"/>
              <w:left w:val="single" w:color="auto" w:sz="4" w:space="0"/>
              <w:bottom w:val="single" w:color="auto" w:sz="4" w:space="0"/>
              <w:right w:val="single" w:color="auto" w:sz="4" w:space="0"/>
            </w:tcBorders>
            <w:vAlign w:val="center"/>
          </w:tcPr>
          <w:p w14:paraId="44827599">
            <w:pPr>
              <w:spacing w:line="340" w:lineRule="exact"/>
              <w:jc w:val="center"/>
              <w:rPr>
                <w:rFonts w:hint="eastAsia" w:ascii="宋体" w:hAnsi="宋体" w:cs="宋体"/>
                <w:color w:val="auto"/>
                <w:szCs w:val="21"/>
              </w:rPr>
            </w:pPr>
            <w:r>
              <w:rPr>
                <w:rFonts w:hint="eastAsia" w:ascii="宋体" w:hAnsi="宋体" w:cs="宋体"/>
                <w:color w:val="auto"/>
                <w:szCs w:val="21"/>
              </w:rPr>
              <w:t>响应文件响应的商务条款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0172C8EA">
            <w:pPr>
              <w:spacing w:line="340" w:lineRule="exact"/>
              <w:jc w:val="center"/>
              <w:rPr>
                <w:rFonts w:hint="eastAsia" w:ascii="宋体" w:hAnsi="宋体" w:cs="宋体"/>
                <w:color w:val="auto"/>
                <w:szCs w:val="21"/>
              </w:rPr>
            </w:pPr>
            <w:r>
              <w:rPr>
                <w:rFonts w:hint="eastAsia" w:ascii="宋体" w:hAnsi="宋体" w:cs="宋体"/>
                <w:color w:val="auto"/>
                <w:szCs w:val="21"/>
              </w:rPr>
              <w:t>偏离说明</w:t>
            </w:r>
          </w:p>
        </w:tc>
      </w:tr>
      <w:tr w14:paraId="2FEF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742F2E5A">
            <w:pPr>
              <w:spacing w:line="340" w:lineRule="exact"/>
              <w:rPr>
                <w:rFonts w:hint="eastAsia" w:ascii="宋体" w:hAnsi="宋体" w:cs="宋体"/>
                <w:color w:val="auto"/>
                <w:szCs w:val="21"/>
              </w:rPr>
            </w:pPr>
            <w:r>
              <w:rPr>
                <w:rFonts w:hint="eastAsia" w:ascii="宋体" w:hAnsi="宋体" w:cs="宋体"/>
                <w:color w:val="auto"/>
                <w:szCs w:val="21"/>
              </w:rPr>
              <w:t>一</w:t>
            </w:r>
          </w:p>
        </w:tc>
        <w:tc>
          <w:tcPr>
            <w:tcW w:w="3926" w:type="dxa"/>
            <w:tcBorders>
              <w:top w:val="single" w:color="auto" w:sz="4" w:space="0"/>
              <w:left w:val="single" w:color="auto" w:sz="4" w:space="0"/>
              <w:bottom w:val="single" w:color="auto" w:sz="4" w:space="0"/>
              <w:right w:val="single" w:color="auto" w:sz="4" w:space="0"/>
            </w:tcBorders>
          </w:tcPr>
          <w:p w14:paraId="55C95746">
            <w:pPr>
              <w:spacing w:line="340" w:lineRule="exact"/>
              <w:rPr>
                <w:rFonts w:hint="eastAsia" w:ascii="宋体" w:hAnsi="宋体" w:cs="宋体"/>
                <w:color w:val="auto"/>
                <w:szCs w:val="21"/>
              </w:rPr>
            </w:pPr>
          </w:p>
        </w:tc>
        <w:tc>
          <w:tcPr>
            <w:tcW w:w="3589" w:type="dxa"/>
            <w:tcBorders>
              <w:top w:val="single" w:color="auto" w:sz="4" w:space="0"/>
              <w:left w:val="single" w:color="auto" w:sz="4" w:space="0"/>
              <w:bottom w:val="single" w:color="auto" w:sz="4" w:space="0"/>
              <w:right w:val="single" w:color="auto" w:sz="4" w:space="0"/>
            </w:tcBorders>
          </w:tcPr>
          <w:p w14:paraId="77058752">
            <w:pPr>
              <w:spacing w:line="340" w:lineRule="exact"/>
              <w:rPr>
                <w:rFonts w:hint="eastAsia" w:ascii="宋体" w:hAnsi="宋体" w:cs="宋体"/>
                <w:color w:val="auto"/>
                <w:szCs w:val="21"/>
              </w:rPr>
            </w:pPr>
          </w:p>
        </w:tc>
        <w:tc>
          <w:tcPr>
            <w:tcW w:w="1274" w:type="dxa"/>
            <w:tcBorders>
              <w:top w:val="single" w:color="auto" w:sz="4" w:space="0"/>
              <w:left w:val="single" w:color="auto" w:sz="4" w:space="0"/>
              <w:bottom w:val="single" w:color="auto" w:sz="4" w:space="0"/>
              <w:right w:val="single" w:color="auto" w:sz="4" w:space="0"/>
            </w:tcBorders>
          </w:tcPr>
          <w:p w14:paraId="4E499842">
            <w:pPr>
              <w:spacing w:line="300" w:lineRule="exact"/>
              <w:rPr>
                <w:rFonts w:hint="eastAsia" w:ascii="宋体" w:hAnsi="宋体" w:cs="宋体"/>
                <w:color w:val="auto"/>
                <w:szCs w:val="21"/>
              </w:rPr>
            </w:pPr>
          </w:p>
        </w:tc>
      </w:tr>
      <w:tr w14:paraId="0E36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35E73180">
            <w:pPr>
              <w:spacing w:line="340" w:lineRule="exact"/>
              <w:rPr>
                <w:rFonts w:hint="eastAsia" w:ascii="宋体" w:hAnsi="宋体" w:cs="宋体"/>
                <w:color w:val="auto"/>
                <w:szCs w:val="21"/>
              </w:rPr>
            </w:pPr>
            <w:r>
              <w:rPr>
                <w:rFonts w:hint="eastAsia" w:ascii="宋体" w:hAnsi="宋体" w:cs="宋体"/>
                <w:color w:val="auto"/>
                <w:szCs w:val="21"/>
              </w:rPr>
              <w:t>二</w:t>
            </w:r>
          </w:p>
        </w:tc>
        <w:tc>
          <w:tcPr>
            <w:tcW w:w="3926" w:type="dxa"/>
            <w:tcBorders>
              <w:top w:val="single" w:color="auto" w:sz="4" w:space="0"/>
              <w:left w:val="single" w:color="auto" w:sz="4" w:space="0"/>
              <w:bottom w:val="single" w:color="auto" w:sz="4" w:space="0"/>
              <w:right w:val="single" w:color="auto" w:sz="4" w:space="0"/>
            </w:tcBorders>
          </w:tcPr>
          <w:p w14:paraId="55D411F9">
            <w:pPr>
              <w:spacing w:line="340" w:lineRule="exact"/>
              <w:rPr>
                <w:rFonts w:hint="eastAsia" w:ascii="宋体" w:hAnsi="宋体" w:cs="宋体"/>
                <w:color w:val="auto"/>
                <w:szCs w:val="21"/>
              </w:rPr>
            </w:pPr>
          </w:p>
        </w:tc>
        <w:tc>
          <w:tcPr>
            <w:tcW w:w="3589" w:type="dxa"/>
            <w:tcBorders>
              <w:top w:val="single" w:color="auto" w:sz="4" w:space="0"/>
              <w:left w:val="single" w:color="auto" w:sz="4" w:space="0"/>
              <w:bottom w:val="single" w:color="auto" w:sz="4" w:space="0"/>
              <w:right w:val="single" w:color="auto" w:sz="4" w:space="0"/>
            </w:tcBorders>
          </w:tcPr>
          <w:p w14:paraId="50112851">
            <w:pPr>
              <w:spacing w:line="340" w:lineRule="exact"/>
              <w:rPr>
                <w:rFonts w:hint="eastAsia" w:ascii="宋体" w:hAnsi="宋体" w:cs="宋体"/>
                <w:color w:val="auto"/>
                <w:szCs w:val="21"/>
              </w:rPr>
            </w:pPr>
          </w:p>
        </w:tc>
        <w:tc>
          <w:tcPr>
            <w:tcW w:w="1274" w:type="dxa"/>
            <w:tcBorders>
              <w:top w:val="single" w:color="auto" w:sz="4" w:space="0"/>
              <w:left w:val="single" w:color="auto" w:sz="4" w:space="0"/>
              <w:bottom w:val="single" w:color="auto" w:sz="4" w:space="0"/>
              <w:right w:val="single" w:color="auto" w:sz="4" w:space="0"/>
            </w:tcBorders>
          </w:tcPr>
          <w:p w14:paraId="7720F0F3">
            <w:pPr>
              <w:spacing w:line="300" w:lineRule="exact"/>
              <w:rPr>
                <w:rFonts w:hint="eastAsia" w:ascii="宋体" w:hAnsi="宋体" w:cs="宋体"/>
                <w:color w:val="auto"/>
                <w:szCs w:val="21"/>
              </w:rPr>
            </w:pPr>
          </w:p>
        </w:tc>
      </w:tr>
      <w:tr w14:paraId="5CED7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44CA17B3">
            <w:pPr>
              <w:spacing w:line="340" w:lineRule="exact"/>
              <w:rPr>
                <w:rFonts w:hint="eastAsia" w:ascii="宋体" w:hAnsi="宋体" w:cs="宋体"/>
                <w:color w:val="auto"/>
                <w:szCs w:val="21"/>
              </w:rPr>
            </w:pPr>
            <w:r>
              <w:rPr>
                <w:rFonts w:hint="eastAsia" w:ascii="宋体" w:hAnsi="宋体" w:cs="宋体"/>
                <w:color w:val="auto"/>
                <w:szCs w:val="21"/>
              </w:rPr>
              <w:t>...</w:t>
            </w:r>
          </w:p>
        </w:tc>
        <w:tc>
          <w:tcPr>
            <w:tcW w:w="3926" w:type="dxa"/>
            <w:tcBorders>
              <w:top w:val="single" w:color="auto" w:sz="4" w:space="0"/>
              <w:left w:val="single" w:color="auto" w:sz="4" w:space="0"/>
              <w:bottom w:val="single" w:color="auto" w:sz="4" w:space="0"/>
              <w:right w:val="single" w:color="auto" w:sz="4" w:space="0"/>
            </w:tcBorders>
          </w:tcPr>
          <w:p w14:paraId="64387572">
            <w:pPr>
              <w:spacing w:line="340" w:lineRule="exact"/>
              <w:rPr>
                <w:rFonts w:hint="eastAsia" w:ascii="宋体" w:hAnsi="宋体" w:cs="宋体"/>
                <w:color w:val="auto"/>
                <w:szCs w:val="21"/>
              </w:rPr>
            </w:pPr>
          </w:p>
        </w:tc>
        <w:tc>
          <w:tcPr>
            <w:tcW w:w="3589" w:type="dxa"/>
            <w:tcBorders>
              <w:top w:val="single" w:color="auto" w:sz="4" w:space="0"/>
              <w:left w:val="single" w:color="auto" w:sz="4" w:space="0"/>
              <w:bottom w:val="single" w:color="auto" w:sz="4" w:space="0"/>
              <w:right w:val="single" w:color="auto" w:sz="4" w:space="0"/>
            </w:tcBorders>
          </w:tcPr>
          <w:p w14:paraId="371B1896">
            <w:pPr>
              <w:spacing w:line="340" w:lineRule="exact"/>
              <w:rPr>
                <w:rFonts w:hint="eastAsia" w:ascii="宋体" w:hAnsi="宋体" w:cs="宋体"/>
                <w:color w:val="auto"/>
                <w:szCs w:val="21"/>
              </w:rPr>
            </w:pPr>
          </w:p>
        </w:tc>
        <w:tc>
          <w:tcPr>
            <w:tcW w:w="1274" w:type="dxa"/>
            <w:tcBorders>
              <w:top w:val="single" w:color="auto" w:sz="4" w:space="0"/>
              <w:left w:val="single" w:color="auto" w:sz="4" w:space="0"/>
              <w:bottom w:val="single" w:color="auto" w:sz="4" w:space="0"/>
              <w:right w:val="single" w:color="auto" w:sz="4" w:space="0"/>
            </w:tcBorders>
          </w:tcPr>
          <w:p w14:paraId="7D901F15">
            <w:pPr>
              <w:spacing w:line="300" w:lineRule="exact"/>
              <w:rPr>
                <w:rFonts w:hint="eastAsia" w:ascii="宋体" w:hAnsi="宋体" w:cs="宋体"/>
                <w:color w:val="auto"/>
                <w:szCs w:val="21"/>
              </w:rPr>
            </w:pPr>
          </w:p>
        </w:tc>
      </w:tr>
    </w:tbl>
    <w:p w14:paraId="4D4976D2">
      <w:pPr>
        <w:pStyle w:val="4"/>
        <w:spacing w:line="400" w:lineRule="exact"/>
        <w:ind w:firstLine="0" w:firstLineChars="0"/>
        <w:contextualSpacing/>
        <w:rPr>
          <w:rFonts w:hint="eastAsia" w:ascii="宋体" w:hAnsi="宋体" w:eastAsia="宋体" w:cs="宋体"/>
          <w:color w:val="auto"/>
          <w:sz w:val="21"/>
          <w:szCs w:val="21"/>
        </w:rPr>
      </w:pPr>
      <w:r>
        <w:rPr>
          <w:rFonts w:hint="eastAsia" w:ascii="宋体" w:hAnsi="宋体" w:eastAsia="宋体" w:cs="宋体"/>
          <w:color w:val="auto"/>
          <w:sz w:val="21"/>
          <w:szCs w:val="21"/>
        </w:rPr>
        <w:t>注：</w:t>
      </w:r>
    </w:p>
    <w:p w14:paraId="796433EB">
      <w:pPr>
        <w:pStyle w:val="4"/>
        <w:spacing w:line="400" w:lineRule="exact"/>
        <w:ind w:firstLine="420" w:firstLineChars="200"/>
        <w:contextualSpacing/>
        <w:rPr>
          <w:rFonts w:hint="eastAsia" w:ascii="宋体" w:hAnsi="宋体" w:eastAsia="宋体" w:cs="宋体"/>
          <w:color w:val="auto"/>
          <w:sz w:val="21"/>
          <w:szCs w:val="21"/>
        </w:rPr>
      </w:pPr>
      <w:r>
        <w:rPr>
          <w:rFonts w:hint="eastAsia" w:ascii="宋体" w:hAnsi="宋体" w:eastAsia="宋体" w:cs="宋体"/>
          <w:color w:val="auto"/>
          <w:sz w:val="21"/>
          <w:szCs w:val="21"/>
        </w:rPr>
        <w:t>1.应对照磋商文件“第二章 采购需求”中的商务条款逐条作出明确响应，并作出偏离说明。</w:t>
      </w:r>
    </w:p>
    <w:p w14:paraId="70E929FD">
      <w:pPr>
        <w:pStyle w:val="4"/>
        <w:spacing w:line="400" w:lineRule="exact"/>
        <w:ind w:firstLine="420" w:firstLineChars="200"/>
        <w:contextualSpacing/>
        <w:rPr>
          <w:rFonts w:hint="eastAsia" w:ascii="宋体" w:hAnsi="宋体" w:eastAsia="宋体" w:cs="宋体"/>
          <w:color w:val="auto"/>
          <w:sz w:val="21"/>
          <w:szCs w:val="21"/>
        </w:rPr>
      </w:pPr>
      <w:r>
        <w:rPr>
          <w:rFonts w:hint="eastAsia" w:ascii="宋体" w:hAnsi="宋体" w:eastAsia="宋体" w:cs="宋体"/>
          <w:color w:val="auto"/>
          <w:sz w:val="21"/>
          <w:szCs w:val="21"/>
        </w:rPr>
        <w:t>2.供应商应根据自身的承诺，对照磋商文件要求，在“偏离说明”中注明“正偏离”或者“负偏离”或者“无偏离”。既不属于“正偏离”也不属于“负偏离”即为“无偏离”。 当响应文件的商务内容低于竞争性磋商文件要求时，供应商应当如实写明“负偏离”。</w:t>
      </w:r>
    </w:p>
    <w:p w14:paraId="39460DA7">
      <w:pPr>
        <w:spacing w:line="400" w:lineRule="exact"/>
        <w:ind w:firstLine="420" w:firstLineChars="200"/>
        <w:rPr>
          <w:rFonts w:hint="eastAsia" w:ascii="宋体" w:hAnsi="宋体" w:cs="宋体"/>
          <w:color w:val="auto"/>
          <w:kern w:val="0"/>
          <w:szCs w:val="21"/>
        </w:rPr>
      </w:pPr>
      <w:r>
        <w:rPr>
          <w:rFonts w:hint="eastAsia" w:ascii="宋体" w:hAnsi="宋体" w:cs="宋体"/>
          <w:color w:val="auto"/>
          <w:kern w:val="0"/>
          <w:szCs w:val="21"/>
        </w:rPr>
        <w:t>3.表格内容均需按要求填写，不得留空，</w:t>
      </w:r>
      <w:r>
        <w:rPr>
          <w:rFonts w:hint="eastAsia" w:ascii="宋体" w:hAnsi="宋体" w:cs="宋体"/>
          <w:b/>
          <w:bCs/>
          <w:color w:val="auto"/>
          <w:kern w:val="0"/>
          <w:szCs w:val="21"/>
        </w:rPr>
        <w:t>否则按竞标无效处理。</w:t>
      </w:r>
    </w:p>
    <w:p w14:paraId="4E591A79">
      <w:pPr>
        <w:spacing w:line="400" w:lineRule="exact"/>
        <w:ind w:firstLine="420" w:firstLineChars="200"/>
        <w:contextualSpacing/>
        <w:rPr>
          <w:rFonts w:hint="eastAsia" w:ascii="宋体" w:hAnsi="宋体" w:cs="宋体"/>
          <w:color w:val="auto"/>
          <w:kern w:val="0"/>
          <w:szCs w:val="21"/>
        </w:rPr>
      </w:pPr>
    </w:p>
    <w:p w14:paraId="6EEEE0A9">
      <w:pPr>
        <w:spacing w:line="360" w:lineRule="auto"/>
        <w:ind w:firstLine="4830" w:firstLineChars="2300"/>
        <w:rPr>
          <w:rFonts w:hint="eastAsia" w:ascii="宋体" w:hAnsi="宋体" w:cs="宋体"/>
          <w:color w:val="auto"/>
          <w:szCs w:val="21"/>
        </w:rPr>
      </w:pPr>
      <w:r>
        <w:rPr>
          <w:rFonts w:hint="eastAsia" w:ascii="宋体" w:hAnsi="宋体" w:cs="宋体"/>
          <w:color w:val="auto"/>
          <w:kern w:val="0"/>
          <w:szCs w:val="21"/>
        </w:rPr>
        <w:t>供应商名称（电子签章）：</w:t>
      </w:r>
    </w:p>
    <w:p w14:paraId="4F1213DB">
      <w:pPr>
        <w:spacing w:line="360" w:lineRule="auto"/>
        <w:contextualSpacing/>
        <w:jc w:val="center"/>
        <w:rPr>
          <w:rFonts w:hint="eastAsia" w:ascii="宋体" w:hAnsi="宋体" w:cs="宋体"/>
          <w:b/>
          <w:color w:val="auto"/>
          <w:szCs w:val="21"/>
        </w:rPr>
      </w:pPr>
      <w:r>
        <w:rPr>
          <w:rFonts w:hint="eastAsia" w:ascii="宋体" w:hAnsi="宋体" w:cs="宋体"/>
          <w:color w:val="auto"/>
          <w:kern w:val="0"/>
          <w:szCs w:val="21"/>
          <w:lang w:val="zh-CN"/>
        </w:rPr>
        <w:t xml:space="preserve">                                                   日期：  年  月   日</w:t>
      </w:r>
    </w:p>
    <w:p w14:paraId="6423D5D9">
      <w:pPr>
        <w:snapToGrid w:val="0"/>
        <w:spacing w:line="360" w:lineRule="auto"/>
        <w:ind w:firstLine="602" w:firstLineChars="200"/>
        <w:rPr>
          <w:rFonts w:hint="eastAsia" w:ascii="仿宋" w:hAnsi="仿宋" w:eastAsia="仿宋" w:cs="仿宋_GB2312"/>
          <w:b/>
          <w:color w:val="auto"/>
          <w:sz w:val="30"/>
          <w:szCs w:val="30"/>
        </w:rPr>
      </w:pPr>
    </w:p>
    <w:p w14:paraId="64FEDE46">
      <w:pPr>
        <w:snapToGrid w:val="0"/>
        <w:spacing w:line="360" w:lineRule="auto"/>
        <w:ind w:firstLine="602" w:firstLineChars="200"/>
        <w:rPr>
          <w:rFonts w:hint="eastAsia" w:ascii="仿宋" w:hAnsi="仿宋" w:eastAsia="仿宋" w:cs="仿宋_GB2312"/>
          <w:b/>
          <w:color w:val="auto"/>
          <w:sz w:val="30"/>
          <w:szCs w:val="30"/>
        </w:rPr>
      </w:pPr>
    </w:p>
    <w:p w14:paraId="5EAC5473">
      <w:pPr>
        <w:pStyle w:val="25"/>
        <w:rPr>
          <w:color w:val="auto"/>
        </w:rPr>
      </w:pPr>
    </w:p>
    <w:p w14:paraId="13221ECE">
      <w:pPr>
        <w:snapToGrid w:val="0"/>
        <w:spacing w:line="360" w:lineRule="auto"/>
        <w:ind w:firstLine="602" w:firstLineChars="200"/>
        <w:rPr>
          <w:rFonts w:hint="eastAsia" w:ascii="仿宋" w:hAnsi="仿宋" w:eastAsia="仿宋" w:cs="仿宋_GB2312"/>
          <w:b/>
          <w:color w:val="auto"/>
          <w:sz w:val="30"/>
          <w:szCs w:val="30"/>
        </w:rPr>
      </w:pPr>
    </w:p>
    <w:p w14:paraId="363397F5">
      <w:pPr>
        <w:snapToGrid w:val="0"/>
        <w:spacing w:line="360" w:lineRule="auto"/>
        <w:ind w:firstLine="602" w:firstLineChars="200"/>
        <w:rPr>
          <w:rFonts w:hint="eastAsia" w:ascii="仿宋" w:hAnsi="仿宋" w:eastAsia="仿宋" w:cs="仿宋_GB2312"/>
          <w:b/>
          <w:color w:val="auto"/>
          <w:sz w:val="30"/>
          <w:szCs w:val="30"/>
        </w:rPr>
      </w:pPr>
    </w:p>
    <w:p w14:paraId="3BB05884">
      <w:pPr>
        <w:pStyle w:val="29"/>
        <w:numPr>
          <w:ilvl w:val="0"/>
          <w:numId w:val="6"/>
        </w:numPr>
        <w:snapToGrid w:val="0"/>
        <w:ind w:left="562" w:hanging="562"/>
        <w:rPr>
          <w:rFonts w:hint="eastAsia" w:ascii="宋体" w:hAnsi="宋体" w:cs="宋体"/>
          <w:b/>
          <w:bCs/>
          <w:color w:val="auto"/>
          <w:sz w:val="30"/>
          <w:szCs w:val="30"/>
        </w:rPr>
      </w:pPr>
      <w:r>
        <w:rPr>
          <w:rFonts w:hint="eastAsia" w:ascii="宋体" w:hAnsi="宋体" w:cs="宋体"/>
          <w:b/>
          <w:color w:val="auto"/>
          <w:sz w:val="28"/>
          <w:szCs w:val="28"/>
        </w:rPr>
        <w:t>供应商类似的业绩证明文件</w:t>
      </w:r>
      <w:r>
        <w:rPr>
          <w:rFonts w:hint="eastAsia" w:ascii="宋体" w:hAnsi="宋体" w:cs="宋体"/>
          <w:b/>
          <w:bCs/>
          <w:color w:val="auto"/>
          <w:sz w:val="30"/>
          <w:szCs w:val="30"/>
        </w:rPr>
        <w:t>（如有要求）：</w:t>
      </w:r>
    </w:p>
    <w:p w14:paraId="6366074F">
      <w:pPr>
        <w:pStyle w:val="29"/>
        <w:snapToGrid w:val="0"/>
        <w:ind w:left="-420" w:leftChars="-200" w:firstLine="0" w:firstLineChars="0"/>
        <w:rPr>
          <w:rFonts w:hint="eastAsia" w:ascii="宋体" w:hAnsi="宋体" w:cs="宋体"/>
          <w:b/>
          <w:bCs/>
          <w:color w:val="auto"/>
          <w:sz w:val="30"/>
          <w:szCs w:val="30"/>
        </w:rPr>
      </w:pPr>
    </w:p>
    <w:p w14:paraId="79A319D3">
      <w:pPr>
        <w:pStyle w:val="29"/>
        <w:snapToGrid w:val="0"/>
        <w:ind w:left="-420" w:leftChars="-200" w:firstLine="0" w:firstLineChars="0"/>
        <w:rPr>
          <w:rFonts w:hint="eastAsia" w:ascii="宋体" w:hAnsi="宋体" w:cs="宋体"/>
          <w:b/>
          <w:bCs/>
          <w:color w:val="auto"/>
          <w:sz w:val="30"/>
          <w:szCs w:val="30"/>
        </w:rPr>
      </w:pPr>
      <w:r>
        <w:rPr>
          <w:rFonts w:hint="eastAsia" w:ascii="宋体" w:hAnsi="宋体" w:cs="宋体"/>
          <w:b/>
          <w:bCs/>
          <w:color w:val="auto"/>
          <w:sz w:val="30"/>
          <w:szCs w:val="30"/>
        </w:rPr>
        <w:t xml:space="preserve">                         类似业绩一览表</w:t>
      </w:r>
    </w:p>
    <w:p w14:paraId="2A445DFB">
      <w:pPr>
        <w:pStyle w:val="29"/>
        <w:snapToGrid w:val="0"/>
        <w:ind w:left="-420" w:leftChars="-200" w:firstLine="0" w:firstLineChars="0"/>
        <w:rPr>
          <w:rFonts w:hint="eastAsia" w:ascii="宋体" w:hAnsi="宋体" w:cs="宋体"/>
          <w:b/>
          <w:bCs/>
          <w:color w:val="auto"/>
          <w:sz w:val="30"/>
          <w:szCs w:val="30"/>
        </w:rPr>
      </w:pPr>
    </w:p>
    <w:tbl>
      <w:tblPr>
        <w:tblStyle w:val="34"/>
        <w:tblW w:w="902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1843"/>
        <w:gridCol w:w="1134"/>
        <w:gridCol w:w="2826"/>
        <w:gridCol w:w="1842"/>
      </w:tblGrid>
      <w:tr w14:paraId="38899B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9" w:hRule="atLeast"/>
          <w:jc w:val="center"/>
        </w:trPr>
        <w:tc>
          <w:tcPr>
            <w:tcW w:w="1384" w:type="dxa"/>
            <w:tcBorders>
              <w:top w:val="single" w:color="auto" w:sz="4" w:space="0"/>
              <w:left w:val="single" w:color="auto" w:sz="4" w:space="0"/>
              <w:bottom w:val="single" w:color="auto" w:sz="4" w:space="0"/>
              <w:right w:val="single" w:color="auto" w:sz="4" w:space="0"/>
            </w:tcBorders>
            <w:vAlign w:val="center"/>
          </w:tcPr>
          <w:p w14:paraId="51559F39">
            <w:pPr>
              <w:snapToGrid w:val="0"/>
              <w:spacing w:line="240" w:lineRule="exact"/>
              <w:jc w:val="center"/>
              <w:rPr>
                <w:rFonts w:hint="eastAsia" w:ascii="宋体" w:hAnsi="宋体" w:cs="宋体"/>
                <w:color w:val="auto"/>
                <w:szCs w:val="21"/>
              </w:rPr>
            </w:pPr>
            <w:r>
              <w:rPr>
                <w:rFonts w:hint="eastAsia" w:ascii="宋体" w:hAnsi="宋体" w:cs="宋体"/>
                <w:color w:val="auto"/>
                <w:szCs w:val="21"/>
              </w:rPr>
              <w:t>采购人名称</w:t>
            </w:r>
          </w:p>
        </w:tc>
        <w:tc>
          <w:tcPr>
            <w:tcW w:w="1843" w:type="dxa"/>
            <w:tcBorders>
              <w:top w:val="single" w:color="auto" w:sz="4" w:space="0"/>
              <w:left w:val="single" w:color="auto" w:sz="4" w:space="0"/>
              <w:bottom w:val="single" w:color="auto" w:sz="4" w:space="0"/>
              <w:right w:val="single" w:color="auto" w:sz="4" w:space="0"/>
            </w:tcBorders>
            <w:vAlign w:val="center"/>
          </w:tcPr>
          <w:p w14:paraId="06FDD056">
            <w:pPr>
              <w:snapToGrid w:val="0"/>
              <w:spacing w:line="240" w:lineRule="exact"/>
              <w:jc w:val="center"/>
              <w:rPr>
                <w:rFonts w:hint="eastAsia" w:ascii="宋体" w:hAnsi="宋体" w:cs="宋体"/>
                <w:color w:val="auto"/>
                <w:szCs w:val="21"/>
              </w:rPr>
            </w:pPr>
            <w:r>
              <w:rPr>
                <w:rFonts w:hint="eastAsia" w:ascii="宋体" w:hAnsi="宋体" w:cs="宋体"/>
                <w:color w:val="auto"/>
                <w:szCs w:val="21"/>
              </w:rPr>
              <w:t>项目名称</w:t>
            </w:r>
          </w:p>
        </w:tc>
        <w:tc>
          <w:tcPr>
            <w:tcW w:w="1134" w:type="dxa"/>
            <w:tcBorders>
              <w:top w:val="single" w:color="auto" w:sz="4" w:space="0"/>
              <w:left w:val="single" w:color="auto" w:sz="4" w:space="0"/>
              <w:bottom w:val="single" w:color="auto" w:sz="4" w:space="0"/>
              <w:right w:val="single" w:color="auto" w:sz="4" w:space="0"/>
            </w:tcBorders>
            <w:vAlign w:val="center"/>
          </w:tcPr>
          <w:p w14:paraId="7E708B7E">
            <w:pPr>
              <w:snapToGrid w:val="0"/>
              <w:spacing w:line="240" w:lineRule="exact"/>
              <w:jc w:val="center"/>
              <w:rPr>
                <w:rFonts w:hint="eastAsia" w:ascii="宋体" w:hAnsi="宋体" w:cs="宋体"/>
                <w:color w:val="auto"/>
                <w:szCs w:val="21"/>
              </w:rPr>
            </w:pPr>
            <w:r>
              <w:rPr>
                <w:rFonts w:hint="eastAsia" w:ascii="宋体" w:hAnsi="宋体" w:cs="宋体"/>
                <w:color w:val="auto"/>
                <w:szCs w:val="21"/>
              </w:rPr>
              <w:t>合同</w:t>
            </w:r>
          </w:p>
          <w:p w14:paraId="7BBB5A99">
            <w:pPr>
              <w:snapToGrid w:val="0"/>
              <w:spacing w:line="240" w:lineRule="exact"/>
              <w:jc w:val="center"/>
              <w:rPr>
                <w:rFonts w:hint="eastAsia" w:ascii="宋体" w:hAnsi="宋体" w:cs="宋体"/>
                <w:color w:val="auto"/>
                <w:szCs w:val="21"/>
              </w:rPr>
            </w:pPr>
            <w:r>
              <w:rPr>
                <w:rFonts w:hint="eastAsia" w:ascii="宋体" w:hAnsi="宋体" w:cs="宋体"/>
                <w:color w:val="auto"/>
                <w:szCs w:val="21"/>
              </w:rPr>
              <w:t>金额</w:t>
            </w:r>
          </w:p>
          <w:p w14:paraId="17930545">
            <w:pPr>
              <w:snapToGrid w:val="0"/>
              <w:spacing w:line="240" w:lineRule="exact"/>
              <w:jc w:val="center"/>
              <w:rPr>
                <w:rFonts w:hint="eastAsia" w:ascii="宋体" w:hAnsi="宋体" w:cs="宋体"/>
                <w:color w:val="auto"/>
                <w:szCs w:val="21"/>
              </w:rPr>
            </w:pPr>
            <w:r>
              <w:rPr>
                <w:rFonts w:hint="eastAsia" w:ascii="宋体" w:hAnsi="宋体" w:cs="宋体"/>
                <w:color w:val="auto"/>
                <w:szCs w:val="21"/>
              </w:rPr>
              <w:t>（万元）</w:t>
            </w:r>
          </w:p>
        </w:tc>
        <w:tc>
          <w:tcPr>
            <w:tcW w:w="2826" w:type="dxa"/>
            <w:tcBorders>
              <w:top w:val="single" w:color="auto" w:sz="4" w:space="0"/>
              <w:left w:val="single" w:color="auto" w:sz="4" w:space="0"/>
              <w:bottom w:val="single" w:color="auto" w:sz="4" w:space="0"/>
              <w:right w:val="single" w:color="auto" w:sz="4" w:space="0"/>
            </w:tcBorders>
            <w:vAlign w:val="center"/>
          </w:tcPr>
          <w:p w14:paraId="53F53400">
            <w:pPr>
              <w:snapToGrid w:val="0"/>
              <w:spacing w:line="240" w:lineRule="exact"/>
              <w:jc w:val="center"/>
              <w:rPr>
                <w:rFonts w:hint="eastAsia" w:ascii="宋体" w:hAnsi="宋体" w:cs="宋体"/>
                <w:color w:val="auto"/>
                <w:szCs w:val="21"/>
              </w:rPr>
            </w:pPr>
            <w:r>
              <w:rPr>
                <w:rFonts w:hint="eastAsia" w:ascii="宋体" w:hAnsi="宋体" w:cs="宋体"/>
                <w:color w:val="auto"/>
                <w:szCs w:val="21"/>
              </w:rPr>
              <w:t>附件在响应文件中页码</w:t>
            </w:r>
          </w:p>
          <w:p w14:paraId="2F175FBD">
            <w:pPr>
              <w:snapToGrid w:val="0"/>
              <w:spacing w:line="240" w:lineRule="exact"/>
              <w:jc w:val="center"/>
              <w:rPr>
                <w:rFonts w:hint="eastAsia" w:ascii="宋体" w:hAnsi="宋体" w:cs="宋体"/>
                <w:color w:val="auto"/>
                <w:szCs w:val="21"/>
              </w:rPr>
            </w:pPr>
          </w:p>
        </w:tc>
        <w:tc>
          <w:tcPr>
            <w:tcW w:w="1842" w:type="dxa"/>
            <w:tcBorders>
              <w:top w:val="single" w:color="auto" w:sz="4" w:space="0"/>
              <w:left w:val="single" w:color="auto" w:sz="4" w:space="0"/>
              <w:bottom w:val="single" w:color="auto" w:sz="4" w:space="0"/>
              <w:right w:val="single" w:color="auto" w:sz="4" w:space="0"/>
            </w:tcBorders>
            <w:vAlign w:val="center"/>
          </w:tcPr>
          <w:p w14:paraId="096FA664">
            <w:pPr>
              <w:snapToGrid w:val="0"/>
              <w:spacing w:line="240" w:lineRule="exact"/>
              <w:jc w:val="center"/>
              <w:rPr>
                <w:rFonts w:hint="eastAsia" w:ascii="宋体" w:hAnsi="宋体" w:cs="宋体"/>
                <w:color w:val="auto"/>
                <w:szCs w:val="21"/>
              </w:rPr>
            </w:pPr>
            <w:r>
              <w:rPr>
                <w:rFonts w:hint="eastAsia" w:ascii="宋体" w:hAnsi="宋体" w:cs="宋体"/>
                <w:color w:val="auto"/>
                <w:szCs w:val="21"/>
              </w:rPr>
              <w:t>采购人联系人及联系电话</w:t>
            </w:r>
          </w:p>
        </w:tc>
      </w:tr>
      <w:tr w14:paraId="3031D0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384" w:type="dxa"/>
            <w:tcBorders>
              <w:top w:val="single" w:color="auto" w:sz="4" w:space="0"/>
              <w:left w:val="single" w:color="auto" w:sz="4" w:space="0"/>
              <w:bottom w:val="single" w:color="auto" w:sz="4" w:space="0"/>
              <w:right w:val="single" w:color="auto" w:sz="4" w:space="0"/>
            </w:tcBorders>
          </w:tcPr>
          <w:p w14:paraId="6EFB93FD">
            <w:pPr>
              <w:snapToGrid w:val="0"/>
              <w:spacing w:line="240" w:lineRule="exact"/>
              <w:jc w:val="left"/>
              <w:rPr>
                <w:rFonts w:hint="eastAsia" w:ascii="宋体" w:hAnsi="宋体" w:cs="宋体"/>
                <w:color w:val="auto"/>
                <w:szCs w:val="21"/>
              </w:rPr>
            </w:pPr>
          </w:p>
        </w:tc>
        <w:tc>
          <w:tcPr>
            <w:tcW w:w="1843" w:type="dxa"/>
            <w:tcBorders>
              <w:top w:val="single" w:color="auto" w:sz="4" w:space="0"/>
              <w:left w:val="single" w:color="auto" w:sz="4" w:space="0"/>
              <w:bottom w:val="single" w:color="auto" w:sz="4" w:space="0"/>
              <w:right w:val="single" w:color="auto" w:sz="4" w:space="0"/>
            </w:tcBorders>
          </w:tcPr>
          <w:p w14:paraId="7321F221">
            <w:pPr>
              <w:snapToGrid w:val="0"/>
              <w:spacing w:line="240" w:lineRule="exact"/>
              <w:jc w:val="left"/>
              <w:rPr>
                <w:rFonts w:hint="eastAsia" w:ascii="宋体" w:hAnsi="宋体" w:cs="宋体"/>
                <w:color w:val="auto"/>
                <w:szCs w:val="21"/>
              </w:rPr>
            </w:pPr>
          </w:p>
        </w:tc>
        <w:tc>
          <w:tcPr>
            <w:tcW w:w="1134" w:type="dxa"/>
            <w:tcBorders>
              <w:top w:val="single" w:color="auto" w:sz="4" w:space="0"/>
              <w:left w:val="single" w:color="auto" w:sz="4" w:space="0"/>
              <w:bottom w:val="single" w:color="auto" w:sz="4" w:space="0"/>
              <w:right w:val="single" w:color="auto" w:sz="4" w:space="0"/>
            </w:tcBorders>
          </w:tcPr>
          <w:p w14:paraId="33161D7D">
            <w:pPr>
              <w:snapToGrid w:val="0"/>
              <w:spacing w:line="240" w:lineRule="exact"/>
              <w:jc w:val="left"/>
              <w:rPr>
                <w:rFonts w:hint="eastAsia" w:ascii="宋体" w:hAnsi="宋体" w:cs="宋体"/>
                <w:color w:val="auto"/>
                <w:szCs w:val="21"/>
              </w:rPr>
            </w:pPr>
          </w:p>
        </w:tc>
        <w:tc>
          <w:tcPr>
            <w:tcW w:w="2826" w:type="dxa"/>
            <w:tcBorders>
              <w:top w:val="single" w:color="auto" w:sz="4" w:space="0"/>
              <w:left w:val="single" w:color="auto" w:sz="4" w:space="0"/>
              <w:bottom w:val="single" w:color="auto" w:sz="4" w:space="0"/>
              <w:right w:val="single" w:color="auto" w:sz="4" w:space="0"/>
            </w:tcBorders>
          </w:tcPr>
          <w:p w14:paraId="7F3E428C">
            <w:pPr>
              <w:snapToGrid w:val="0"/>
              <w:spacing w:line="240" w:lineRule="exact"/>
              <w:jc w:val="left"/>
              <w:rPr>
                <w:rFonts w:hint="eastAsia" w:ascii="宋体" w:hAnsi="宋体" w:cs="宋体"/>
                <w:color w:val="auto"/>
                <w:szCs w:val="21"/>
              </w:rPr>
            </w:pPr>
          </w:p>
        </w:tc>
        <w:tc>
          <w:tcPr>
            <w:tcW w:w="1842" w:type="dxa"/>
            <w:tcBorders>
              <w:top w:val="single" w:color="auto" w:sz="4" w:space="0"/>
              <w:left w:val="single" w:color="auto" w:sz="4" w:space="0"/>
              <w:bottom w:val="single" w:color="auto" w:sz="4" w:space="0"/>
              <w:right w:val="single" w:color="auto" w:sz="4" w:space="0"/>
            </w:tcBorders>
          </w:tcPr>
          <w:p w14:paraId="36CD0B3D">
            <w:pPr>
              <w:snapToGrid w:val="0"/>
              <w:spacing w:line="240" w:lineRule="exact"/>
              <w:jc w:val="left"/>
              <w:rPr>
                <w:rFonts w:hint="eastAsia" w:ascii="宋体" w:hAnsi="宋体" w:cs="宋体"/>
                <w:color w:val="auto"/>
                <w:szCs w:val="21"/>
              </w:rPr>
            </w:pPr>
          </w:p>
        </w:tc>
      </w:tr>
      <w:tr w14:paraId="2E0BBD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tcPr>
          <w:p w14:paraId="40C6589C">
            <w:pPr>
              <w:snapToGrid w:val="0"/>
              <w:spacing w:before="50" w:after="120" w:afterLines="50" w:line="400" w:lineRule="exact"/>
              <w:jc w:val="left"/>
              <w:rPr>
                <w:rFonts w:hint="eastAsia" w:ascii="宋体" w:hAnsi="宋体" w:cs="宋体"/>
                <w:color w:val="auto"/>
                <w:szCs w:val="21"/>
              </w:rPr>
            </w:pPr>
          </w:p>
        </w:tc>
        <w:tc>
          <w:tcPr>
            <w:tcW w:w="1843" w:type="dxa"/>
            <w:tcBorders>
              <w:top w:val="single" w:color="auto" w:sz="4" w:space="0"/>
              <w:left w:val="single" w:color="auto" w:sz="4" w:space="0"/>
              <w:bottom w:val="single" w:color="auto" w:sz="4" w:space="0"/>
              <w:right w:val="single" w:color="auto" w:sz="4" w:space="0"/>
            </w:tcBorders>
          </w:tcPr>
          <w:p w14:paraId="2D06A97A">
            <w:pPr>
              <w:snapToGrid w:val="0"/>
              <w:spacing w:before="50" w:after="120" w:afterLines="50" w:line="400" w:lineRule="exact"/>
              <w:jc w:val="left"/>
              <w:rPr>
                <w:rFonts w:hint="eastAsia" w:ascii="宋体" w:hAnsi="宋体" w:cs="宋体"/>
                <w:color w:val="auto"/>
                <w:szCs w:val="21"/>
              </w:rPr>
            </w:pPr>
          </w:p>
        </w:tc>
        <w:tc>
          <w:tcPr>
            <w:tcW w:w="1134" w:type="dxa"/>
            <w:tcBorders>
              <w:top w:val="single" w:color="auto" w:sz="4" w:space="0"/>
              <w:left w:val="single" w:color="auto" w:sz="4" w:space="0"/>
              <w:bottom w:val="single" w:color="auto" w:sz="4" w:space="0"/>
              <w:right w:val="single" w:color="auto" w:sz="4" w:space="0"/>
            </w:tcBorders>
          </w:tcPr>
          <w:p w14:paraId="18EEB97A">
            <w:pPr>
              <w:snapToGrid w:val="0"/>
              <w:spacing w:before="50" w:after="120" w:afterLines="50" w:line="400" w:lineRule="exact"/>
              <w:jc w:val="left"/>
              <w:rPr>
                <w:rFonts w:hint="eastAsia" w:ascii="宋体" w:hAnsi="宋体" w:cs="宋体"/>
                <w:color w:val="auto"/>
                <w:szCs w:val="21"/>
              </w:rPr>
            </w:pPr>
          </w:p>
        </w:tc>
        <w:tc>
          <w:tcPr>
            <w:tcW w:w="2826" w:type="dxa"/>
            <w:tcBorders>
              <w:top w:val="single" w:color="auto" w:sz="4" w:space="0"/>
              <w:left w:val="single" w:color="auto" w:sz="4" w:space="0"/>
              <w:bottom w:val="single" w:color="auto" w:sz="4" w:space="0"/>
              <w:right w:val="single" w:color="auto" w:sz="4" w:space="0"/>
            </w:tcBorders>
          </w:tcPr>
          <w:p w14:paraId="280849C0">
            <w:pPr>
              <w:snapToGrid w:val="0"/>
              <w:spacing w:before="50" w:after="120" w:afterLines="50" w:line="400" w:lineRule="exact"/>
              <w:jc w:val="left"/>
              <w:rPr>
                <w:rFonts w:hint="eastAsia" w:ascii="宋体" w:hAnsi="宋体" w:cs="宋体"/>
                <w:b/>
                <w:bCs/>
                <w:color w:val="auto"/>
                <w:szCs w:val="21"/>
              </w:rPr>
            </w:pPr>
          </w:p>
        </w:tc>
        <w:tc>
          <w:tcPr>
            <w:tcW w:w="1842" w:type="dxa"/>
            <w:tcBorders>
              <w:top w:val="single" w:color="auto" w:sz="4" w:space="0"/>
              <w:left w:val="single" w:color="auto" w:sz="4" w:space="0"/>
              <w:bottom w:val="single" w:color="auto" w:sz="4" w:space="0"/>
              <w:right w:val="single" w:color="auto" w:sz="4" w:space="0"/>
            </w:tcBorders>
          </w:tcPr>
          <w:p w14:paraId="0EF90AC4">
            <w:pPr>
              <w:snapToGrid w:val="0"/>
              <w:spacing w:before="50" w:after="120" w:afterLines="50" w:line="400" w:lineRule="exact"/>
              <w:jc w:val="left"/>
              <w:rPr>
                <w:rFonts w:hint="eastAsia" w:ascii="宋体" w:hAnsi="宋体" w:cs="宋体"/>
                <w:b/>
                <w:bCs/>
                <w:color w:val="auto"/>
                <w:szCs w:val="21"/>
              </w:rPr>
            </w:pPr>
          </w:p>
        </w:tc>
      </w:tr>
      <w:tr w14:paraId="7C64E3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384" w:type="dxa"/>
            <w:tcBorders>
              <w:top w:val="single" w:color="auto" w:sz="4" w:space="0"/>
              <w:left w:val="single" w:color="auto" w:sz="4" w:space="0"/>
              <w:bottom w:val="single" w:color="auto" w:sz="4" w:space="0"/>
              <w:right w:val="single" w:color="auto" w:sz="4" w:space="0"/>
            </w:tcBorders>
          </w:tcPr>
          <w:p w14:paraId="4BB6D9F7">
            <w:pPr>
              <w:snapToGrid w:val="0"/>
              <w:spacing w:before="50" w:after="120" w:afterLines="50" w:line="400" w:lineRule="exact"/>
              <w:jc w:val="left"/>
              <w:rPr>
                <w:rFonts w:hint="eastAsia" w:ascii="宋体" w:hAnsi="宋体" w:cs="宋体"/>
                <w:color w:val="auto"/>
                <w:szCs w:val="21"/>
              </w:rPr>
            </w:pPr>
          </w:p>
        </w:tc>
        <w:tc>
          <w:tcPr>
            <w:tcW w:w="1843" w:type="dxa"/>
            <w:tcBorders>
              <w:top w:val="single" w:color="auto" w:sz="4" w:space="0"/>
              <w:left w:val="single" w:color="auto" w:sz="4" w:space="0"/>
              <w:bottom w:val="single" w:color="auto" w:sz="4" w:space="0"/>
              <w:right w:val="single" w:color="auto" w:sz="4" w:space="0"/>
            </w:tcBorders>
          </w:tcPr>
          <w:p w14:paraId="0655D227">
            <w:pPr>
              <w:snapToGrid w:val="0"/>
              <w:spacing w:before="50" w:after="120" w:afterLines="50" w:line="400" w:lineRule="exact"/>
              <w:jc w:val="left"/>
              <w:rPr>
                <w:rFonts w:hint="eastAsia" w:ascii="宋体" w:hAnsi="宋体" w:cs="宋体"/>
                <w:color w:val="auto"/>
                <w:szCs w:val="21"/>
              </w:rPr>
            </w:pPr>
          </w:p>
        </w:tc>
        <w:tc>
          <w:tcPr>
            <w:tcW w:w="1134" w:type="dxa"/>
            <w:tcBorders>
              <w:top w:val="single" w:color="auto" w:sz="4" w:space="0"/>
              <w:left w:val="single" w:color="auto" w:sz="4" w:space="0"/>
              <w:bottom w:val="single" w:color="auto" w:sz="4" w:space="0"/>
              <w:right w:val="single" w:color="auto" w:sz="4" w:space="0"/>
            </w:tcBorders>
          </w:tcPr>
          <w:p w14:paraId="68C47640">
            <w:pPr>
              <w:snapToGrid w:val="0"/>
              <w:spacing w:before="50" w:after="120" w:afterLines="50" w:line="400" w:lineRule="exact"/>
              <w:jc w:val="left"/>
              <w:rPr>
                <w:rFonts w:hint="eastAsia" w:ascii="宋体" w:hAnsi="宋体" w:cs="宋体"/>
                <w:color w:val="auto"/>
                <w:szCs w:val="21"/>
              </w:rPr>
            </w:pPr>
          </w:p>
        </w:tc>
        <w:tc>
          <w:tcPr>
            <w:tcW w:w="2826" w:type="dxa"/>
            <w:tcBorders>
              <w:top w:val="single" w:color="auto" w:sz="4" w:space="0"/>
              <w:left w:val="single" w:color="auto" w:sz="4" w:space="0"/>
              <w:bottom w:val="single" w:color="auto" w:sz="4" w:space="0"/>
              <w:right w:val="single" w:color="auto" w:sz="4" w:space="0"/>
            </w:tcBorders>
          </w:tcPr>
          <w:p w14:paraId="1F540CAD">
            <w:pPr>
              <w:snapToGrid w:val="0"/>
              <w:spacing w:before="50" w:after="120" w:afterLines="50" w:line="400" w:lineRule="exact"/>
              <w:jc w:val="left"/>
              <w:rPr>
                <w:rFonts w:hint="eastAsia" w:ascii="宋体" w:hAnsi="宋体" w:cs="宋体"/>
                <w:b/>
                <w:bCs/>
                <w:color w:val="auto"/>
                <w:szCs w:val="21"/>
              </w:rPr>
            </w:pPr>
          </w:p>
        </w:tc>
        <w:tc>
          <w:tcPr>
            <w:tcW w:w="1842" w:type="dxa"/>
            <w:tcBorders>
              <w:top w:val="single" w:color="auto" w:sz="4" w:space="0"/>
              <w:left w:val="single" w:color="auto" w:sz="4" w:space="0"/>
              <w:bottom w:val="single" w:color="auto" w:sz="4" w:space="0"/>
              <w:right w:val="single" w:color="auto" w:sz="4" w:space="0"/>
            </w:tcBorders>
          </w:tcPr>
          <w:p w14:paraId="5E19ABA8">
            <w:pPr>
              <w:snapToGrid w:val="0"/>
              <w:spacing w:before="50" w:after="120" w:afterLines="50" w:line="400" w:lineRule="exact"/>
              <w:jc w:val="left"/>
              <w:rPr>
                <w:rFonts w:hint="eastAsia" w:ascii="宋体" w:hAnsi="宋体" w:cs="宋体"/>
                <w:b/>
                <w:bCs/>
                <w:color w:val="auto"/>
                <w:szCs w:val="21"/>
              </w:rPr>
            </w:pPr>
          </w:p>
        </w:tc>
      </w:tr>
      <w:tr w14:paraId="6919FC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tcPr>
          <w:p w14:paraId="401C1341">
            <w:pPr>
              <w:snapToGrid w:val="0"/>
              <w:spacing w:before="50" w:after="120" w:afterLines="50" w:line="400" w:lineRule="exact"/>
              <w:jc w:val="left"/>
              <w:rPr>
                <w:rFonts w:hint="eastAsia" w:ascii="宋体" w:hAnsi="宋体" w:cs="宋体"/>
                <w:color w:val="auto"/>
                <w:szCs w:val="21"/>
              </w:rPr>
            </w:pPr>
          </w:p>
        </w:tc>
        <w:tc>
          <w:tcPr>
            <w:tcW w:w="1843" w:type="dxa"/>
            <w:tcBorders>
              <w:top w:val="single" w:color="auto" w:sz="4" w:space="0"/>
              <w:left w:val="single" w:color="auto" w:sz="4" w:space="0"/>
              <w:bottom w:val="single" w:color="auto" w:sz="4" w:space="0"/>
              <w:right w:val="single" w:color="auto" w:sz="4" w:space="0"/>
            </w:tcBorders>
          </w:tcPr>
          <w:p w14:paraId="3226B659">
            <w:pPr>
              <w:snapToGrid w:val="0"/>
              <w:spacing w:before="50" w:after="120" w:afterLines="50" w:line="400" w:lineRule="exact"/>
              <w:jc w:val="left"/>
              <w:rPr>
                <w:rFonts w:hint="eastAsia" w:ascii="宋体" w:hAnsi="宋体" w:cs="宋体"/>
                <w:color w:val="auto"/>
                <w:szCs w:val="21"/>
              </w:rPr>
            </w:pPr>
          </w:p>
        </w:tc>
        <w:tc>
          <w:tcPr>
            <w:tcW w:w="1134" w:type="dxa"/>
            <w:tcBorders>
              <w:top w:val="single" w:color="auto" w:sz="4" w:space="0"/>
              <w:left w:val="single" w:color="auto" w:sz="4" w:space="0"/>
              <w:bottom w:val="single" w:color="auto" w:sz="4" w:space="0"/>
              <w:right w:val="single" w:color="auto" w:sz="4" w:space="0"/>
            </w:tcBorders>
          </w:tcPr>
          <w:p w14:paraId="2BCC149B">
            <w:pPr>
              <w:snapToGrid w:val="0"/>
              <w:spacing w:before="50" w:after="120" w:afterLines="50" w:line="400" w:lineRule="exact"/>
              <w:jc w:val="left"/>
              <w:rPr>
                <w:rFonts w:hint="eastAsia" w:ascii="宋体" w:hAnsi="宋体" w:cs="宋体"/>
                <w:color w:val="auto"/>
                <w:szCs w:val="21"/>
              </w:rPr>
            </w:pPr>
          </w:p>
        </w:tc>
        <w:tc>
          <w:tcPr>
            <w:tcW w:w="2826" w:type="dxa"/>
            <w:tcBorders>
              <w:top w:val="single" w:color="auto" w:sz="4" w:space="0"/>
              <w:left w:val="single" w:color="auto" w:sz="4" w:space="0"/>
              <w:bottom w:val="single" w:color="auto" w:sz="4" w:space="0"/>
              <w:right w:val="single" w:color="auto" w:sz="4" w:space="0"/>
            </w:tcBorders>
          </w:tcPr>
          <w:p w14:paraId="6F7A0342">
            <w:pPr>
              <w:snapToGrid w:val="0"/>
              <w:spacing w:before="50" w:after="120" w:afterLines="50" w:line="400" w:lineRule="exact"/>
              <w:jc w:val="left"/>
              <w:rPr>
                <w:rFonts w:hint="eastAsia" w:ascii="宋体" w:hAnsi="宋体" w:cs="宋体"/>
                <w:b/>
                <w:bCs/>
                <w:color w:val="auto"/>
                <w:szCs w:val="21"/>
              </w:rPr>
            </w:pPr>
          </w:p>
        </w:tc>
        <w:tc>
          <w:tcPr>
            <w:tcW w:w="1842" w:type="dxa"/>
            <w:tcBorders>
              <w:top w:val="single" w:color="auto" w:sz="4" w:space="0"/>
              <w:left w:val="single" w:color="auto" w:sz="4" w:space="0"/>
              <w:bottom w:val="single" w:color="auto" w:sz="4" w:space="0"/>
              <w:right w:val="single" w:color="auto" w:sz="4" w:space="0"/>
            </w:tcBorders>
          </w:tcPr>
          <w:p w14:paraId="10D1BCD4">
            <w:pPr>
              <w:snapToGrid w:val="0"/>
              <w:spacing w:before="50" w:after="120" w:afterLines="50" w:line="400" w:lineRule="exact"/>
              <w:jc w:val="left"/>
              <w:rPr>
                <w:rFonts w:hint="eastAsia" w:ascii="宋体" w:hAnsi="宋体" w:cs="宋体"/>
                <w:b/>
                <w:bCs/>
                <w:color w:val="auto"/>
                <w:szCs w:val="21"/>
              </w:rPr>
            </w:pPr>
          </w:p>
        </w:tc>
      </w:tr>
      <w:tr w14:paraId="79681D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tcPr>
          <w:p w14:paraId="094F0EEC">
            <w:pPr>
              <w:snapToGrid w:val="0"/>
              <w:spacing w:before="50" w:after="120" w:afterLines="50" w:line="400" w:lineRule="exact"/>
              <w:jc w:val="left"/>
              <w:rPr>
                <w:rFonts w:hint="eastAsia" w:ascii="宋体" w:hAnsi="宋体" w:cs="宋体"/>
                <w:color w:val="auto"/>
                <w:szCs w:val="21"/>
              </w:rPr>
            </w:pPr>
          </w:p>
        </w:tc>
        <w:tc>
          <w:tcPr>
            <w:tcW w:w="1843" w:type="dxa"/>
            <w:tcBorders>
              <w:top w:val="single" w:color="auto" w:sz="4" w:space="0"/>
              <w:left w:val="single" w:color="auto" w:sz="4" w:space="0"/>
              <w:bottom w:val="single" w:color="auto" w:sz="4" w:space="0"/>
              <w:right w:val="single" w:color="auto" w:sz="4" w:space="0"/>
            </w:tcBorders>
          </w:tcPr>
          <w:p w14:paraId="6361A2EA">
            <w:pPr>
              <w:snapToGrid w:val="0"/>
              <w:spacing w:before="50" w:after="120" w:afterLines="50" w:line="400" w:lineRule="exact"/>
              <w:jc w:val="left"/>
              <w:rPr>
                <w:rFonts w:hint="eastAsia" w:ascii="宋体" w:hAnsi="宋体" w:cs="宋体"/>
                <w:color w:val="auto"/>
                <w:szCs w:val="21"/>
              </w:rPr>
            </w:pPr>
          </w:p>
        </w:tc>
        <w:tc>
          <w:tcPr>
            <w:tcW w:w="1134" w:type="dxa"/>
            <w:tcBorders>
              <w:top w:val="single" w:color="auto" w:sz="4" w:space="0"/>
              <w:left w:val="single" w:color="auto" w:sz="4" w:space="0"/>
              <w:bottom w:val="single" w:color="auto" w:sz="4" w:space="0"/>
              <w:right w:val="single" w:color="auto" w:sz="4" w:space="0"/>
            </w:tcBorders>
          </w:tcPr>
          <w:p w14:paraId="0695F01D">
            <w:pPr>
              <w:snapToGrid w:val="0"/>
              <w:spacing w:before="50" w:after="120" w:afterLines="50" w:line="400" w:lineRule="exact"/>
              <w:jc w:val="left"/>
              <w:rPr>
                <w:rFonts w:hint="eastAsia" w:ascii="宋体" w:hAnsi="宋体" w:cs="宋体"/>
                <w:color w:val="auto"/>
                <w:szCs w:val="21"/>
              </w:rPr>
            </w:pPr>
          </w:p>
        </w:tc>
        <w:tc>
          <w:tcPr>
            <w:tcW w:w="2826" w:type="dxa"/>
            <w:tcBorders>
              <w:top w:val="single" w:color="auto" w:sz="4" w:space="0"/>
              <w:left w:val="single" w:color="auto" w:sz="4" w:space="0"/>
              <w:bottom w:val="single" w:color="auto" w:sz="4" w:space="0"/>
              <w:right w:val="single" w:color="auto" w:sz="4" w:space="0"/>
            </w:tcBorders>
          </w:tcPr>
          <w:p w14:paraId="523CEF4D">
            <w:pPr>
              <w:snapToGrid w:val="0"/>
              <w:spacing w:before="50" w:after="120" w:afterLines="50" w:line="400" w:lineRule="exact"/>
              <w:jc w:val="left"/>
              <w:rPr>
                <w:rFonts w:hint="eastAsia" w:ascii="宋体" w:hAnsi="宋体" w:cs="宋体"/>
                <w:b/>
                <w:bCs/>
                <w:color w:val="auto"/>
                <w:szCs w:val="21"/>
              </w:rPr>
            </w:pPr>
          </w:p>
        </w:tc>
        <w:tc>
          <w:tcPr>
            <w:tcW w:w="1842" w:type="dxa"/>
            <w:tcBorders>
              <w:top w:val="single" w:color="auto" w:sz="4" w:space="0"/>
              <w:left w:val="single" w:color="auto" w:sz="4" w:space="0"/>
              <w:bottom w:val="single" w:color="auto" w:sz="4" w:space="0"/>
              <w:right w:val="single" w:color="auto" w:sz="4" w:space="0"/>
            </w:tcBorders>
          </w:tcPr>
          <w:p w14:paraId="5030C1B0">
            <w:pPr>
              <w:snapToGrid w:val="0"/>
              <w:spacing w:before="50" w:after="120" w:afterLines="50" w:line="400" w:lineRule="exact"/>
              <w:jc w:val="left"/>
              <w:rPr>
                <w:rFonts w:hint="eastAsia" w:ascii="宋体" w:hAnsi="宋体" w:cs="宋体"/>
                <w:b/>
                <w:bCs/>
                <w:color w:val="auto"/>
                <w:szCs w:val="21"/>
              </w:rPr>
            </w:pPr>
          </w:p>
        </w:tc>
      </w:tr>
    </w:tbl>
    <w:p w14:paraId="34DD896C">
      <w:pPr>
        <w:pStyle w:val="29"/>
        <w:snapToGrid w:val="0"/>
        <w:ind w:left="420" w:hanging="420"/>
        <w:rPr>
          <w:rFonts w:hint="eastAsia" w:ascii="宋体" w:hAnsi="宋体" w:cs="宋体"/>
          <w:color w:val="auto"/>
          <w:szCs w:val="21"/>
        </w:rPr>
      </w:pPr>
    </w:p>
    <w:p w14:paraId="4AE1E9C9">
      <w:pPr>
        <w:pStyle w:val="29"/>
        <w:snapToGrid w:val="0"/>
        <w:ind w:left="420" w:hanging="420"/>
        <w:rPr>
          <w:rFonts w:hint="eastAsia" w:ascii="宋体" w:hAnsi="宋体" w:cs="宋体"/>
          <w:color w:val="auto"/>
          <w:szCs w:val="21"/>
        </w:rPr>
      </w:pPr>
    </w:p>
    <w:p w14:paraId="5D61334A">
      <w:pPr>
        <w:autoSpaceDE w:val="0"/>
        <w:autoSpaceDN w:val="0"/>
        <w:spacing w:line="360" w:lineRule="auto"/>
        <w:ind w:firstLine="120"/>
        <w:rPr>
          <w:rFonts w:hint="eastAsia" w:ascii="宋体" w:hAnsi="宋体" w:cs="宋体"/>
          <w:color w:val="auto"/>
          <w:szCs w:val="21"/>
        </w:rPr>
      </w:pPr>
      <w:r>
        <w:rPr>
          <w:rFonts w:hint="eastAsia" w:ascii="宋体" w:hAnsi="宋体" w:cs="宋体"/>
          <w:b/>
          <w:color w:val="auto"/>
          <w:szCs w:val="21"/>
        </w:rPr>
        <w:t>附表 ：相关项目业绩一览表（根据评分办法提供项目合同复印件或中标（成交）通知书等相关材料扫描件，格式自拟）</w:t>
      </w:r>
    </w:p>
    <w:p w14:paraId="6663B075">
      <w:pPr>
        <w:pStyle w:val="22"/>
        <w:spacing w:line="360" w:lineRule="auto"/>
        <w:ind w:left="72"/>
        <w:rPr>
          <w:rFonts w:hint="eastAsia" w:hAnsi="宋体" w:cs="宋体"/>
          <w:color w:val="auto"/>
          <w:sz w:val="21"/>
        </w:rPr>
      </w:pPr>
      <w:r>
        <w:rPr>
          <w:rFonts w:hint="eastAsia" w:hAnsi="宋体" w:cs="宋体"/>
          <w:color w:val="auto"/>
          <w:sz w:val="21"/>
        </w:rPr>
        <w:t>注：供应商可按上述的格式自行编制，并注明所在供应商商务技术文件页码。</w:t>
      </w:r>
    </w:p>
    <w:p w14:paraId="02AD5B60">
      <w:pPr>
        <w:pStyle w:val="22"/>
        <w:spacing w:line="360" w:lineRule="auto"/>
        <w:ind w:left="72"/>
        <w:rPr>
          <w:rFonts w:hint="eastAsia" w:hAnsi="宋体" w:cs="宋体"/>
          <w:color w:val="auto"/>
          <w:sz w:val="21"/>
        </w:rPr>
      </w:pPr>
    </w:p>
    <w:p w14:paraId="40D1B748">
      <w:pPr>
        <w:pStyle w:val="22"/>
        <w:spacing w:line="360" w:lineRule="auto"/>
        <w:ind w:left="72"/>
        <w:rPr>
          <w:rFonts w:hint="eastAsia" w:hAnsi="宋体" w:cs="宋体"/>
          <w:color w:val="auto"/>
          <w:sz w:val="21"/>
        </w:rPr>
      </w:pPr>
    </w:p>
    <w:p w14:paraId="604DBE4B">
      <w:pPr>
        <w:snapToGrid w:val="0"/>
        <w:spacing w:line="360" w:lineRule="auto"/>
        <w:ind w:firstLine="4935" w:firstLineChars="2350"/>
        <w:rPr>
          <w:rFonts w:hint="eastAsia" w:ascii="宋体" w:hAnsi="宋体" w:cs="宋体"/>
          <w:color w:val="auto"/>
          <w:szCs w:val="21"/>
        </w:rPr>
      </w:pPr>
    </w:p>
    <w:p w14:paraId="4E89ACF2">
      <w:pPr>
        <w:snapToGrid w:val="0"/>
        <w:spacing w:line="360" w:lineRule="auto"/>
        <w:ind w:firstLine="4935" w:firstLineChars="2350"/>
        <w:rPr>
          <w:rFonts w:hint="eastAsia" w:ascii="宋体" w:hAnsi="宋体" w:cs="宋体"/>
          <w:color w:val="auto"/>
          <w:szCs w:val="21"/>
        </w:rPr>
      </w:pPr>
    </w:p>
    <w:p w14:paraId="44D7971E">
      <w:pPr>
        <w:snapToGrid w:val="0"/>
        <w:spacing w:line="360" w:lineRule="auto"/>
        <w:ind w:firstLine="5880" w:firstLineChars="2800"/>
        <w:rPr>
          <w:rFonts w:hint="eastAsia" w:ascii="宋体" w:hAnsi="宋体" w:cs="宋体"/>
          <w:color w:val="auto"/>
          <w:kern w:val="0"/>
          <w:szCs w:val="21"/>
        </w:rPr>
      </w:pPr>
      <w:r>
        <w:rPr>
          <w:rFonts w:hint="eastAsia" w:ascii="宋体" w:hAnsi="宋体" w:cs="宋体"/>
          <w:color w:val="auto"/>
          <w:kern w:val="0"/>
          <w:szCs w:val="21"/>
          <w:lang w:val="zh-CN"/>
        </w:rPr>
        <w:t>供应商名称（电子签章）：</w:t>
      </w:r>
    </w:p>
    <w:p w14:paraId="4F3ACFD9">
      <w:pPr>
        <w:spacing w:line="500" w:lineRule="exact"/>
        <w:jc w:val="center"/>
        <w:rPr>
          <w:rFonts w:hint="eastAsia" w:ascii="宋体" w:hAnsi="宋体" w:cs="宋体"/>
          <w:color w:val="auto"/>
          <w:szCs w:val="21"/>
        </w:rPr>
        <w:sectPr>
          <w:pgSz w:w="11910" w:h="16840"/>
          <w:pgMar w:top="1340" w:right="1417" w:bottom="1134" w:left="1417" w:header="720" w:footer="720" w:gutter="0"/>
          <w:cols w:space="720" w:num="1"/>
        </w:sectPr>
      </w:pPr>
      <w:r>
        <w:rPr>
          <w:rFonts w:hint="eastAsia" w:ascii="宋体" w:hAnsi="宋体" w:cs="宋体"/>
          <w:color w:val="auto"/>
          <w:kern w:val="0"/>
          <w:szCs w:val="21"/>
          <w:lang w:val="zh-CN"/>
        </w:rPr>
        <w:t xml:space="preserve">                                                     日期</w:t>
      </w:r>
      <w:r>
        <w:rPr>
          <w:rFonts w:hint="eastAsia" w:ascii="宋体" w:hAnsi="宋体" w:cs="宋体"/>
          <w:color w:val="auto"/>
          <w:kern w:val="0"/>
          <w:szCs w:val="21"/>
        </w:rPr>
        <w:t xml:space="preserve">：  年  </w:t>
      </w:r>
      <w:r>
        <w:rPr>
          <w:rFonts w:hint="eastAsia" w:ascii="宋体" w:hAnsi="宋体" w:cs="宋体"/>
          <w:color w:val="auto"/>
          <w:kern w:val="0"/>
          <w:szCs w:val="21"/>
          <w:lang w:val="zh-CN"/>
        </w:rPr>
        <w:t>月</w:t>
      </w:r>
      <w:r>
        <w:rPr>
          <w:rFonts w:hint="eastAsia" w:ascii="宋体" w:hAnsi="宋体" w:cs="宋体"/>
          <w:color w:val="auto"/>
          <w:kern w:val="0"/>
          <w:szCs w:val="21"/>
        </w:rPr>
        <w:t xml:space="preserve">   </w:t>
      </w:r>
      <w:r>
        <w:rPr>
          <w:rFonts w:hint="eastAsia" w:ascii="宋体" w:hAnsi="宋体" w:cs="宋体"/>
          <w:color w:val="auto"/>
          <w:kern w:val="0"/>
          <w:szCs w:val="21"/>
          <w:lang w:val="zh-CN"/>
        </w:rPr>
        <w:t>日</w:t>
      </w:r>
    </w:p>
    <w:p w14:paraId="2FE9DE6D">
      <w:pPr>
        <w:spacing w:line="360" w:lineRule="auto"/>
        <w:ind w:firstLine="2880" w:firstLineChars="900"/>
        <w:contextualSpacing/>
        <w:rPr>
          <w:rFonts w:hint="eastAsia" w:ascii="宋体" w:hAnsi="宋体" w:cs="宋体"/>
          <w:color w:val="auto"/>
          <w:sz w:val="32"/>
          <w:szCs w:val="32"/>
        </w:rPr>
      </w:pPr>
    </w:p>
    <w:p w14:paraId="714E7423">
      <w:pPr>
        <w:snapToGrid w:val="0"/>
        <w:spacing w:line="360" w:lineRule="auto"/>
        <w:rPr>
          <w:rFonts w:hint="eastAsia" w:ascii="宋体" w:hAnsi="宋体" w:cs="宋体"/>
          <w:color w:val="auto"/>
          <w:sz w:val="28"/>
          <w:szCs w:val="28"/>
        </w:rPr>
      </w:pPr>
      <w:r>
        <w:rPr>
          <w:rFonts w:hint="eastAsia" w:ascii="宋体" w:hAnsi="宋体" w:cs="宋体"/>
          <w:b/>
          <w:color w:val="auto"/>
          <w:sz w:val="28"/>
          <w:szCs w:val="28"/>
        </w:rPr>
        <w:t>7.服务需求偏离表的格式：</w:t>
      </w:r>
    </w:p>
    <w:p w14:paraId="1DC9BE2A">
      <w:pPr>
        <w:spacing w:line="500" w:lineRule="exact"/>
        <w:jc w:val="center"/>
        <w:rPr>
          <w:rFonts w:hint="eastAsia" w:ascii="宋体" w:hAnsi="宋体" w:cs="宋体"/>
          <w:b/>
          <w:color w:val="auto"/>
          <w:sz w:val="32"/>
          <w:szCs w:val="32"/>
        </w:rPr>
      </w:pPr>
      <w:r>
        <w:rPr>
          <w:rFonts w:hint="eastAsia" w:ascii="宋体" w:hAnsi="宋体" w:cs="宋体"/>
          <w:b/>
          <w:color w:val="auto"/>
          <w:sz w:val="32"/>
          <w:szCs w:val="32"/>
        </w:rPr>
        <w:t>服务需求偏离表</w:t>
      </w:r>
    </w:p>
    <w:p w14:paraId="387A7C32">
      <w:pPr>
        <w:spacing w:line="360" w:lineRule="auto"/>
        <w:contextualSpacing/>
        <w:jc w:val="left"/>
        <w:rPr>
          <w:rFonts w:hint="eastAsia" w:ascii="宋体" w:hAnsi="宋体" w:cs="宋体"/>
          <w:color w:val="auto"/>
          <w:sz w:val="24"/>
        </w:rPr>
      </w:pPr>
    </w:p>
    <w:p w14:paraId="6BDCAC01">
      <w:pPr>
        <w:spacing w:line="360" w:lineRule="auto"/>
        <w:ind w:firstLine="630" w:firstLineChars="300"/>
        <w:contextualSpacing/>
        <w:rPr>
          <w:rFonts w:hint="eastAsia" w:ascii="宋体" w:hAnsi="宋体" w:cs="宋体"/>
          <w:color w:val="auto"/>
          <w:szCs w:val="21"/>
          <w:u w:val="single"/>
        </w:rPr>
      </w:pPr>
      <w:r>
        <w:rPr>
          <w:rFonts w:hint="eastAsia" w:ascii="宋体" w:hAnsi="宋体" w:cs="宋体"/>
          <w:color w:val="auto"/>
          <w:szCs w:val="21"/>
        </w:rPr>
        <w:t>项目名称：</w:t>
      </w:r>
    </w:p>
    <w:p w14:paraId="1EE88956">
      <w:pPr>
        <w:spacing w:line="360" w:lineRule="auto"/>
        <w:ind w:firstLine="630" w:firstLineChars="300"/>
        <w:contextualSpacing/>
        <w:rPr>
          <w:rFonts w:hint="eastAsia" w:ascii="宋体" w:hAnsi="宋体" w:cs="宋体"/>
          <w:color w:val="auto"/>
          <w:szCs w:val="21"/>
        </w:rPr>
      </w:pPr>
      <w:r>
        <w:rPr>
          <w:rFonts w:hint="eastAsia" w:ascii="宋体" w:hAnsi="宋体" w:cs="宋体"/>
          <w:color w:val="auto"/>
          <w:szCs w:val="21"/>
        </w:rPr>
        <w:t>项目编号：</w:t>
      </w:r>
    </w:p>
    <w:p w14:paraId="21D1C8C1">
      <w:pPr>
        <w:spacing w:line="360" w:lineRule="auto"/>
        <w:ind w:firstLine="630" w:firstLineChars="300"/>
        <w:contextualSpacing/>
        <w:rPr>
          <w:rFonts w:hint="eastAsia" w:ascii="宋体" w:hAnsi="宋体" w:cs="宋体"/>
          <w:color w:val="auto"/>
          <w:szCs w:val="21"/>
          <w:u w:val="single"/>
        </w:rPr>
      </w:pPr>
      <w:r>
        <w:rPr>
          <w:rFonts w:hint="eastAsia" w:ascii="宋体" w:hAnsi="宋体" w:cs="宋体"/>
          <w:color w:val="auto"/>
          <w:szCs w:val="21"/>
        </w:rPr>
        <w:t>所竞分标（如有则填写，无分标时填写“无”或者留空）：</w:t>
      </w:r>
    </w:p>
    <w:tbl>
      <w:tblPr>
        <w:tblStyle w:val="34"/>
        <w:tblW w:w="91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1175"/>
        <w:gridCol w:w="3197"/>
        <w:gridCol w:w="2944"/>
        <w:gridCol w:w="1095"/>
      </w:tblGrid>
      <w:tr w14:paraId="1878E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2"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14:paraId="46781186">
            <w:pPr>
              <w:rPr>
                <w:rFonts w:hint="eastAsia" w:ascii="宋体" w:hAnsi="宋体" w:cs="宋体"/>
                <w:color w:val="auto"/>
                <w:szCs w:val="21"/>
              </w:rPr>
            </w:pPr>
            <w:r>
              <w:rPr>
                <w:rFonts w:hint="eastAsia" w:ascii="宋体" w:hAnsi="宋体" w:cs="宋体"/>
                <w:color w:val="auto"/>
                <w:szCs w:val="21"/>
              </w:rPr>
              <w:t>项号</w:t>
            </w:r>
          </w:p>
        </w:tc>
        <w:tc>
          <w:tcPr>
            <w:tcW w:w="1175" w:type="dxa"/>
            <w:tcBorders>
              <w:top w:val="single" w:color="auto" w:sz="4" w:space="0"/>
              <w:left w:val="single" w:color="auto" w:sz="4" w:space="0"/>
              <w:bottom w:val="single" w:color="auto" w:sz="4" w:space="0"/>
              <w:right w:val="single" w:color="auto" w:sz="4" w:space="0"/>
            </w:tcBorders>
            <w:vAlign w:val="center"/>
          </w:tcPr>
          <w:p w14:paraId="194A24C7">
            <w:pPr>
              <w:jc w:val="center"/>
              <w:rPr>
                <w:rFonts w:hint="eastAsia" w:ascii="宋体" w:hAnsi="宋体" w:cs="宋体"/>
                <w:color w:val="auto"/>
                <w:szCs w:val="21"/>
              </w:rPr>
            </w:pPr>
            <w:r>
              <w:rPr>
                <w:rFonts w:hint="eastAsia" w:ascii="宋体" w:hAnsi="宋体" w:cs="宋体"/>
                <w:color w:val="auto"/>
                <w:szCs w:val="21"/>
              </w:rPr>
              <w:t>标的名称</w:t>
            </w:r>
          </w:p>
        </w:tc>
        <w:tc>
          <w:tcPr>
            <w:tcW w:w="3197" w:type="dxa"/>
            <w:tcBorders>
              <w:top w:val="single" w:color="auto" w:sz="4" w:space="0"/>
              <w:left w:val="single" w:color="auto" w:sz="4" w:space="0"/>
              <w:bottom w:val="single" w:color="auto" w:sz="4" w:space="0"/>
              <w:right w:val="single" w:color="auto" w:sz="4" w:space="0"/>
            </w:tcBorders>
            <w:vAlign w:val="center"/>
          </w:tcPr>
          <w:p w14:paraId="36658270">
            <w:pPr>
              <w:jc w:val="center"/>
              <w:rPr>
                <w:rFonts w:hint="eastAsia" w:ascii="宋体" w:hAnsi="宋体" w:cs="宋体"/>
                <w:color w:val="auto"/>
                <w:szCs w:val="21"/>
              </w:rPr>
            </w:pPr>
            <w:r>
              <w:rPr>
                <w:rFonts w:hint="eastAsia" w:ascii="宋体" w:hAnsi="宋体" w:cs="宋体"/>
                <w:color w:val="auto"/>
                <w:szCs w:val="21"/>
              </w:rPr>
              <w:t>竞争性磋商文件</w:t>
            </w:r>
            <w:r>
              <w:rPr>
                <w:rFonts w:hint="eastAsia" w:ascii="宋体" w:hAnsi="宋体"/>
                <w:color w:val="auto"/>
                <w:szCs w:val="21"/>
              </w:rPr>
              <w:t>采购需求中的技术要求</w:t>
            </w:r>
          </w:p>
        </w:tc>
        <w:tc>
          <w:tcPr>
            <w:tcW w:w="2944" w:type="dxa"/>
            <w:tcBorders>
              <w:top w:val="single" w:color="auto" w:sz="4" w:space="0"/>
              <w:left w:val="single" w:color="auto" w:sz="4" w:space="0"/>
              <w:bottom w:val="single" w:color="auto" w:sz="4" w:space="0"/>
              <w:right w:val="single" w:color="auto" w:sz="4" w:space="0"/>
            </w:tcBorders>
            <w:vAlign w:val="center"/>
          </w:tcPr>
          <w:p w14:paraId="523793AE">
            <w:pPr>
              <w:jc w:val="center"/>
              <w:rPr>
                <w:rFonts w:hint="eastAsia" w:ascii="宋体" w:hAnsi="宋体" w:cs="宋体"/>
                <w:color w:val="auto"/>
                <w:szCs w:val="21"/>
              </w:rPr>
            </w:pPr>
            <w:r>
              <w:rPr>
                <w:rFonts w:hint="eastAsia" w:ascii="宋体" w:hAnsi="宋体" w:cs="宋体"/>
                <w:color w:val="auto"/>
                <w:szCs w:val="21"/>
              </w:rPr>
              <w:t>响应文件响应的</w:t>
            </w:r>
            <w:r>
              <w:rPr>
                <w:rFonts w:hint="eastAsia" w:ascii="宋体" w:hAnsi="宋体"/>
                <w:color w:val="auto"/>
                <w:szCs w:val="21"/>
              </w:rPr>
              <w:t>技术要求</w:t>
            </w:r>
          </w:p>
        </w:tc>
        <w:tc>
          <w:tcPr>
            <w:tcW w:w="1095" w:type="dxa"/>
            <w:tcBorders>
              <w:top w:val="single" w:color="auto" w:sz="4" w:space="0"/>
              <w:left w:val="single" w:color="auto" w:sz="4" w:space="0"/>
              <w:bottom w:val="single" w:color="auto" w:sz="4" w:space="0"/>
              <w:right w:val="single" w:color="auto" w:sz="4" w:space="0"/>
            </w:tcBorders>
            <w:vAlign w:val="center"/>
          </w:tcPr>
          <w:p w14:paraId="1FBB8916">
            <w:pPr>
              <w:rPr>
                <w:rFonts w:hint="eastAsia" w:ascii="宋体" w:hAnsi="宋体" w:cs="宋体"/>
                <w:color w:val="auto"/>
                <w:szCs w:val="21"/>
              </w:rPr>
            </w:pPr>
            <w:r>
              <w:rPr>
                <w:rFonts w:hint="eastAsia" w:ascii="宋体" w:hAnsi="宋体" w:cs="宋体"/>
                <w:color w:val="auto"/>
                <w:szCs w:val="21"/>
              </w:rPr>
              <w:t>偏离说明</w:t>
            </w:r>
          </w:p>
        </w:tc>
      </w:tr>
      <w:tr w14:paraId="18CAA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14:paraId="33F2A9CD">
            <w:pPr>
              <w:jc w:val="center"/>
              <w:rPr>
                <w:rFonts w:hint="eastAsia" w:ascii="宋体" w:hAnsi="宋体" w:cs="宋体"/>
                <w:color w:val="auto"/>
                <w:szCs w:val="21"/>
              </w:rPr>
            </w:pPr>
            <w:r>
              <w:rPr>
                <w:rFonts w:hint="eastAsia" w:ascii="宋体" w:hAnsi="宋体" w:cs="宋体"/>
                <w:color w:val="auto"/>
                <w:szCs w:val="21"/>
              </w:rPr>
              <w:t>1</w:t>
            </w:r>
          </w:p>
        </w:tc>
        <w:tc>
          <w:tcPr>
            <w:tcW w:w="1175" w:type="dxa"/>
            <w:tcBorders>
              <w:top w:val="single" w:color="auto" w:sz="4" w:space="0"/>
              <w:left w:val="single" w:color="auto" w:sz="4" w:space="0"/>
              <w:bottom w:val="single" w:color="auto" w:sz="4" w:space="0"/>
              <w:right w:val="single" w:color="auto" w:sz="4" w:space="0"/>
            </w:tcBorders>
            <w:vAlign w:val="center"/>
          </w:tcPr>
          <w:p w14:paraId="4FAB4C5D">
            <w:pPr>
              <w:rPr>
                <w:rFonts w:hint="eastAsia" w:ascii="宋体" w:hAnsi="宋体" w:cs="宋体"/>
                <w:color w:val="auto"/>
                <w:szCs w:val="21"/>
              </w:rPr>
            </w:pPr>
          </w:p>
        </w:tc>
        <w:tc>
          <w:tcPr>
            <w:tcW w:w="3197" w:type="dxa"/>
            <w:tcBorders>
              <w:top w:val="single" w:color="auto" w:sz="4" w:space="0"/>
              <w:left w:val="single" w:color="auto" w:sz="4" w:space="0"/>
              <w:bottom w:val="single" w:color="auto" w:sz="4" w:space="0"/>
              <w:right w:val="single" w:color="auto" w:sz="4" w:space="0"/>
            </w:tcBorders>
            <w:vAlign w:val="center"/>
          </w:tcPr>
          <w:p w14:paraId="5F8C6179">
            <w:pPr>
              <w:rPr>
                <w:rFonts w:hint="eastAsia" w:ascii="宋体" w:hAnsi="宋体" w:cs="宋体"/>
                <w:color w:val="auto"/>
                <w:szCs w:val="21"/>
              </w:rPr>
            </w:pPr>
          </w:p>
        </w:tc>
        <w:tc>
          <w:tcPr>
            <w:tcW w:w="2944" w:type="dxa"/>
            <w:tcBorders>
              <w:top w:val="single" w:color="auto" w:sz="4" w:space="0"/>
              <w:left w:val="single" w:color="auto" w:sz="4" w:space="0"/>
              <w:bottom w:val="single" w:color="auto" w:sz="4" w:space="0"/>
              <w:right w:val="single" w:color="auto" w:sz="4" w:space="0"/>
            </w:tcBorders>
            <w:vAlign w:val="center"/>
          </w:tcPr>
          <w:p w14:paraId="66E968B2">
            <w:pPr>
              <w:rPr>
                <w:rFonts w:hint="eastAsia" w:ascii="宋体" w:hAnsi="宋体" w:cs="宋体"/>
                <w:color w:val="auto"/>
                <w:szCs w:val="21"/>
              </w:rPr>
            </w:pPr>
          </w:p>
        </w:tc>
        <w:tc>
          <w:tcPr>
            <w:tcW w:w="1095" w:type="dxa"/>
            <w:tcBorders>
              <w:top w:val="single" w:color="auto" w:sz="4" w:space="0"/>
              <w:left w:val="single" w:color="auto" w:sz="4" w:space="0"/>
              <w:bottom w:val="single" w:color="auto" w:sz="4" w:space="0"/>
              <w:right w:val="single" w:color="auto" w:sz="4" w:space="0"/>
            </w:tcBorders>
            <w:vAlign w:val="center"/>
          </w:tcPr>
          <w:p w14:paraId="36E6ABB4">
            <w:pPr>
              <w:rPr>
                <w:rFonts w:hint="eastAsia" w:ascii="宋体" w:hAnsi="宋体" w:cs="宋体"/>
                <w:color w:val="auto"/>
                <w:szCs w:val="21"/>
              </w:rPr>
            </w:pPr>
          </w:p>
        </w:tc>
      </w:tr>
      <w:tr w14:paraId="67F88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14:paraId="43160FA8">
            <w:pPr>
              <w:jc w:val="center"/>
              <w:rPr>
                <w:rFonts w:hint="eastAsia" w:ascii="宋体" w:hAnsi="宋体" w:cs="宋体"/>
                <w:color w:val="auto"/>
                <w:szCs w:val="21"/>
              </w:rPr>
            </w:pPr>
            <w:r>
              <w:rPr>
                <w:rFonts w:hint="eastAsia" w:ascii="宋体" w:hAnsi="宋体" w:cs="宋体"/>
                <w:color w:val="auto"/>
                <w:szCs w:val="21"/>
              </w:rPr>
              <w:t>2</w:t>
            </w:r>
          </w:p>
        </w:tc>
        <w:tc>
          <w:tcPr>
            <w:tcW w:w="1175" w:type="dxa"/>
            <w:tcBorders>
              <w:top w:val="single" w:color="auto" w:sz="4" w:space="0"/>
              <w:left w:val="single" w:color="auto" w:sz="4" w:space="0"/>
              <w:bottom w:val="single" w:color="auto" w:sz="4" w:space="0"/>
              <w:right w:val="single" w:color="auto" w:sz="4" w:space="0"/>
            </w:tcBorders>
            <w:vAlign w:val="center"/>
          </w:tcPr>
          <w:p w14:paraId="0EE48660">
            <w:pPr>
              <w:rPr>
                <w:rFonts w:hint="eastAsia" w:ascii="宋体" w:hAnsi="宋体" w:cs="宋体"/>
                <w:color w:val="auto"/>
                <w:szCs w:val="21"/>
              </w:rPr>
            </w:pPr>
          </w:p>
        </w:tc>
        <w:tc>
          <w:tcPr>
            <w:tcW w:w="3197" w:type="dxa"/>
            <w:tcBorders>
              <w:top w:val="single" w:color="auto" w:sz="4" w:space="0"/>
              <w:left w:val="single" w:color="auto" w:sz="4" w:space="0"/>
              <w:bottom w:val="single" w:color="auto" w:sz="4" w:space="0"/>
              <w:right w:val="single" w:color="auto" w:sz="4" w:space="0"/>
            </w:tcBorders>
            <w:vAlign w:val="center"/>
          </w:tcPr>
          <w:p w14:paraId="733FD116">
            <w:pPr>
              <w:rPr>
                <w:rFonts w:hint="eastAsia" w:ascii="宋体" w:hAnsi="宋体" w:cs="宋体"/>
                <w:color w:val="auto"/>
                <w:szCs w:val="21"/>
              </w:rPr>
            </w:pPr>
          </w:p>
        </w:tc>
        <w:tc>
          <w:tcPr>
            <w:tcW w:w="2944" w:type="dxa"/>
            <w:tcBorders>
              <w:top w:val="single" w:color="auto" w:sz="4" w:space="0"/>
              <w:left w:val="single" w:color="auto" w:sz="4" w:space="0"/>
              <w:bottom w:val="single" w:color="auto" w:sz="4" w:space="0"/>
              <w:right w:val="single" w:color="auto" w:sz="4" w:space="0"/>
            </w:tcBorders>
            <w:vAlign w:val="center"/>
          </w:tcPr>
          <w:p w14:paraId="760D5D32">
            <w:pPr>
              <w:rPr>
                <w:rFonts w:hint="eastAsia" w:ascii="宋体" w:hAnsi="宋体" w:cs="宋体"/>
                <w:color w:val="auto"/>
                <w:szCs w:val="21"/>
              </w:rPr>
            </w:pPr>
          </w:p>
        </w:tc>
        <w:tc>
          <w:tcPr>
            <w:tcW w:w="1095" w:type="dxa"/>
            <w:tcBorders>
              <w:top w:val="single" w:color="auto" w:sz="4" w:space="0"/>
              <w:left w:val="single" w:color="auto" w:sz="4" w:space="0"/>
              <w:bottom w:val="single" w:color="auto" w:sz="4" w:space="0"/>
              <w:right w:val="single" w:color="auto" w:sz="4" w:space="0"/>
            </w:tcBorders>
            <w:vAlign w:val="center"/>
          </w:tcPr>
          <w:p w14:paraId="2A925C50">
            <w:pPr>
              <w:rPr>
                <w:rFonts w:hint="eastAsia" w:ascii="宋体" w:hAnsi="宋体" w:cs="宋体"/>
                <w:color w:val="auto"/>
                <w:szCs w:val="21"/>
              </w:rPr>
            </w:pPr>
          </w:p>
        </w:tc>
      </w:tr>
      <w:tr w14:paraId="5237C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54" w:type="dxa"/>
            <w:tcBorders>
              <w:top w:val="single" w:color="auto" w:sz="4" w:space="0"/>
              <w:left w:val="single" w:color="auto" w:sz="4" w:space="0"/>
              <w:bottom w:val="single" w:color="auto" w:sz="4" w:space="0"/>
              <w:right w:val="single" w:color="auto" w:sz="4" w:space="0"/>
            </w:tcBorders>
            <w:vAlign w:val="center"/>
          </w:tcPr>
          <w:p w14:paraId="3BBFFFEC">
            <w:pPr>
              <w:jc w:val="center"/>
              <w:rPr>
                <w:rFonts w:hint="eastAsia" w:ascii="宋体" w:hAnsi="宋体" w:cs="宋体"/>
                <w:color w:val="auto"/>
                <w:szCs w:val="21"/>
              </w:rPr>
            </w:pPr>
            <w:r>
              <w:rPr>
                <w:rFonts w:hint="eastAsia" w:ascii="宋体" w:hAnsi="宋体" w:cs="宋体"/>
                <w:color w:val="auto"/>
                <w:szCs w:val="21"/>
              </w:rPr>
              <w:t>...</w:t>
            </w:r>
          </w:p>
        </w:tc>
        <w:tc>
          <w:tcPr>
            <w:tcW w:w="1175" w:type="dxa"/>
            <w:tcBorders>
              <w:top w:val="single" w:color="auto" w:sz="4" w:space="0"/>
              <w:left w:val="single" w:color="auto" w:sz="4" w:space="0"/>
              <w:bottom w:val="single" w:color="auto" w:sz="4" w:space="0"/>
              <w:right w:val="single" w:color="auto" w:sz="4" w:space="0"/>
            </w:tcBorders>
            <w:vAlign w:val="center"/>
          </w:tcPr>
          <w:p w14:paraId="10064F4C">
            <w:pPr>
              <w:rPr>
                <w:rFonts w:hint="eastAsia" w:ascii="宋体" w:hAnsi="宋体" w:cs="宋体"/>
                <w:color w:val="auto"/>
                <w:szCs w:val="21"/>
              </w:rPr>
            </w:pPr>
          </w:p>
        </w:tc>
        <w:tc>
          <w:tcPr>
            <w:tcW w:w="3197" w:type="dxa"/>
            <w:tcBorders>
              <w:top w:val="single" w:color="auto" w:sz="4" w:space="0"/>
              <w:left w:val="single" w:color="auto" w:sz="4" w:space="0"/>
              <w:bottom w:val="single" w:color="auto" w:sz="4" w:space="0"/>
              <w:right w:val="single" w:color="auto" w:sz="4" w:space="0"/>
            </w:tcBorders>
            <w:vAlign w:val="center"/>
          </w:tcPr>
          <w:p w14:paraId="4D56B1C0">
            <w:pPr>
              <w:rPr>
                <w:rFonts w:hint="eastAsia" w:ascii="宋体" w:hAnsi="宋体" w:cs="宋体"/>
                <w:color w:val="auto"/>
                <w:szCs w:val="21"/>
              </w:rPr>
            </w:pPr>
          </w:p>
        </w:tc>
        <w:tc>
          <w:tcPr>
            <w:tcW w:w="2944" w:type="dxa"/>
            <w:tcBorders>
              <w:top w:val="single" w:color="auto" w:sz="4" w:space="0"/>
              <w:left w:val="single" w:color="auto" w:sz="4" w:space="0"/>
              <w:bottom w:val="single" w:color="auto" w:sz="4" w:space="0"/>
              <w:right w:val="single" w:color="auto" w:sz="4" w:space="0"/>
            </w:tcBorders>
            <w:vAlign w:val="center"/>
          </w:tcPr>
          <w:p w14:paraId="7CDCC1AF">
            <w:pPr>
              <w:rPr>
                <w:rFonts w:hint="eastAsia" w:ascii="宋体" w:hAnsi="宋体" w:cs="宋体"/>
                <w:color w:val="auto"/>
                <w:szCs w:val="21"/>
              </w:rPr>
            </w:pPr>
          </w:p>
        </w:tc>
        <w:tc>
          <w:tcPr>
            <w:tcW w:w="1095" w:type="dxa"/>
            <w:tcBorders>
              <w:top w:val="single" w:color="auto" w:sz="4" w:space="0"/>
              <w:left w:val="single" w:color="auto" w:sz="4" w:space="0"/>
              <w:bottom w:val="single" w:color="auto" w:sz="4" w:space="0"/>
              <w:right w:val="single" w:color="auto" w:sz="4" w:space="0"/>
            </w:tcBorders>
            <w:vAlign w:val="center"/>
          </w:tcPr>
          <w:p w14:paraId="51CC1C88">
            <w:pPr>
              <w:rPr>
                <w:rFonts w:hint="eastAsia" w:ascii="宋体" w:hAnsi="宋体" w:cs="宋体"/>
                <w:color w:val="auto"/>
                <w:szCs w:val="21"/>
              </w:rPr>
            </w:pPr>
          </w:p>
        </w:tc>
      </w:tr>
    </w:tbl>
    <w:p w14:paraId="5DE1E999">
      <w:pPr>
        <w:pStyle w:val="4"/>
        <w:ind w:firstLine="739"/>
        <w:rPr>
          <w:rFonts w:hint="eastAsia" w:ascii="宋体" w:hAnsi="宋体" w:cs="宋体"/>
          <w:color w:val="auto"/>
          <w:sz w:val="21"/>
          <w:szCs w:val="21"/>
          <w:u w:val="single"/>
        </w:rPr>
      </w:pPr>
    </w:p>
    <w:p w14:paraId="7507E4EC">
      <w:pPr>
        <w:pStyle w:val="18"/>
        <w:spacing w:after="0" w:line="360" w:lineRule="auto"/>
        <w:contextualSpacing/>
        <w:rPr>
          <w:rFonts w:hint="eastAsia" w:ascii="宋体" w:hAnsi="宋体" w:cs="宋体"/>
          <w:color w:val="auto"/>
          <w:kern w:val="0"/>
          <w:sz w:val="21"/>
          <w:szCs w:val="21"/>
        </w:rPr>
      </w:pPr>
    </w:p>
    <w:p w14:paraId="228FCE5F">
      <w:pPr>
        <w:pStyle w:val="18"/>
        <w:spacing w:after="0" w:line="480" w:lineRule="auto"/>
        <w:ind w:firstLine="420" w:firstLineChars="200"/>
        <w:contextualSpacing/>
        <w:rPr>
          <w:rFonts w:hint="eastAsia" w:ascii="宋体" w:hAnsi="宋体" w:cs="宋体"/>
          <w:color w:val="auto"/>
          <w:kern w:val="0"/>
          <w:sz w:val="21"/>
          <w:szCs w:val="21"/>
        </w:rPr>
      </w:pPr>
      <w:r>
        <w:rPr>
          <w:rFonts w:hint="eastAsia" w:ascii="宋体" w:hAnsi="宋体" w:cs="宋体"/>
          <w:color w:val="auto"/>
          <w:kern w:val="0"/>
          <w:sz w:val="21"/>
          <w:szCs w:val="21"/>
        </w:rPr>
        <w:t>注：</w:t>
      </w:r>
    </w:p>
    <w:p w14:paraId="4E6123CE">
      <w:pPr>
        <w:pStyle w:val="18"/>
        <w:spacing w:after="0" w:line="480" w:lineRule="auto"/>
        <w:ind w:firstLine="420" w:firstLineChars="200"/>
        <w:contextualSpacing/>
        <w:rPr>
          <w:rFonts w:hint="eastAsia" w:ascii="宋体" w:hAnsi="宋体" w:cs="宋体"/>
          <w:color w:val="auto"/>
          <w:kern w:val="0"/>
          <w:sz w:val="21"/>
          <w:szCs w:val="21"/>
        </w:rPr>
      </w:pPr>
      <w:r>
        <w:rPr>
          <w:rFonts w:hint="eastAsia" w:ascii="宋体" w:hAnsi="宋体" w:cs="宋体"/>
          <w:color w:val="auto"/>
          <w:kern w:val="0"/>
          <w:sz w:val="21"/>
          <w:szCs w:val="21"/>
        </w:rPr>
        <w:t xml:space="preserve">1.说明：应对照磋商文件“第二章  </w:t>
      </w:r>
      <w:r>
        <w:rPr>
          <w:rFonts w:hint="eastAsia" w:ascii="Cambria" w:hAnsi="Cambria"/>
          <w:bCs/>
          <w:color w:val="auto"/>
          <w:sz w:val="21"/>
          <w:szCs w:val="21"/>
        </w:rPr>
        <w:t>采购需求</w:t>
      </w:r>
      <w:r>
        <w:rPr>
          <w:rFonts w:hint="eastAsia" w:ascii="宋体" w:hAnsi="宋体" w:cs="宋体"/>
          <w:color w:val="auto"/>
          <w:kern w:val="0"/>
          <w:sz w:val="21"/>
          <w:szCs w:val="21"/>
        </w:rPr>
        <w:t>”中的技术要求条款逐条作出明确响应，并作出偏离说明。</w:t>
      </w:r>
    </w:p>
    <w:p w14:paraId="244C61A0">
      <w:pPr>
        <w:pStyle w:val="4"/>
        <w:spacing w:line="480" w:lineRule="auto"/>
        <w:ind w:firstLine="420" w:firstLineChars="200"/>
        <w:contextualSpacing/>
        <w:rPr>
          <w:rFonts w:hint="eastAsia" w:ascii="宋体" w:hAnsi="宋体" w:eastAsia="宋体" w:cs="宋体"/>
          <w:color w:val="auto"/>
          <w:sz w:val="21"/>
          <w:szCs w:val="21"/>
        </w:rPr>
      </w:pPr>
      <w:r>
        <w:rPr>
          <w:rFonts w:hint="eastAsia" w:ascii="宋体" w:hAnsi="宋体" w:eastAsia="宋体" w:cs="宋体"/>
          <w:color w:val="auto"/>
          <w:sz w:val="21"/>
          <w:szCs w:val="21"/>
        </w:rPr>
        <w:t>2.供应商应根据自身的承诺，对照磋商文件要求，在“偏离说明”中注明“正偏离”或者“负偏离”或者“无偏离”。既不属于“正偏离”也不属于“负偏离”即为“无偏离”。 当响应文件的技术要求内容低于竞争性磋商文件要求时，供应商应当如实写明“负偏离”。</w:t>
      </w:r>
    </w:p>
    <w:p w14:paraId="7626873E">
      <w:pPr>
        <w:spacing w:line="480" w:lineRule="auto"/>
        <w:ind w:firstLine="420" w:firstLineChars="200"/>
        <w:rPr>
          <w:rFonts w:hint="eastAsia" w:ascii="宋体" w:hAnsi="宋体" w:cs="宋体"/>
          <w:b/>
          <w:color w:val="auto"/>
          <w:sz w:val="30"/>
          <w:szCs w:val="30"/>
        </w:rPr>
      </w:pPr>
      <w:r>
        <w:rPr>
          <w:rFonts w:hint="eastAsia" w:ascii="宋体" w:hAnsi="宋体" w:cs="宋体"/>
          <w:color w:val="auto"/>
          <w:kern w:val="0"/>
          <w:szCs w:val="21"/>
        </w:rPr>
        <w:t>3.表格内容均需按要求填写</w:t>
      </w:r>
      <w:r>
        <w:rPr>
          <w:rFonts w:hint="eastAsia" w:ascii="宋体" w:hAnsi="宋体" w:cs="宋体"/>
          <w:color w:val="auto"/>
          <w:kern w:val="0"/>
          <w:szCs w:val="21"/>
          <w:lang w:eastAsia="zh-CN"/>
        </w:rPr>
        <w:t>并加</w:t>
      </w:r>
      <w:r>
        <w:rPr>
          <w:rFonts w:hint="eastAsia" w:ascii="宋体" w:hAnsi="宋体" w:cs="宋体"/>
          <w:color w:val="auto"/>
          <w:kern w:val="0"/>
          <w:szCs w:val="21"/>
        </w:rPr>
        <w:t>盖公章，不得留空，</w:t>
      </w:r>
      <w:r>
        <w:rPr>
          <w:rFonts w:hint="eastAsia" w:ascii="宋体" w:hAnsi="宋体" w:cs="宋体"/>
          <w:b/>
          <w:bCs/>
          <w:color w:val="auto"/>
          <w:kern w:val="0"/>
          <w:szCs w:val="21"/>
        </w:rPr>
        <w:t>否则按竞标无效处理。</w:t>
      </w:r>
    </w:p>
    <w:p w14:paraId="1B3E9EA6">
      <w:pPr>
        <w:autoSpaceDE w:val="0"/>
        <w:autoSpaceDN w:val="0"/>
        <w:spacing w:line="360" w:lineRule="auto"/>
        <w:ind w:left="4305" w:leftChars="1950" w:hanging="210" w:hangingChars="100"/>
        <w:rPr>
          <w:rFonts w:hint="eastAsia" w:ascii="宋体" w:hAnsi="宋体" w:cs="宋体"/>
          <w:color w:val="auto"/>
          <w:kern w:val="0"/>
          <w:szCs w:val="21"/>
        </w:rPr>
      </w:pPr>
    </w:p>
    <w:p w14:paraId="4CF1E714">
      <w:pPr>
        <w:autoSpaceDE w:val="0"/>
        <w:autoSpaceDN w:val="0"/>
        <w:spacing w:line="360" w:lineRule="auto"/>
        <w:ind w:left="4305" w:leftChars="1950" w:hanging="210" w:hangingChars="100"/>
        <w:rPr>
          <w:rFonts w:hint="eastAsia" w:ascii="宋体" w:hAnsi="宋体" w:cs="宋体"/>
          <w:color w:val="auto"/>
          <w:kern w:val="0"/>
          <w:szCs w:val="21"/>
        </w:rPr>
      </w:pPr>
      <w:r>
        <w:rPr>
          <w:rFonts w:hint="eastAsia" w:ascii="宋体" w:hAnsi="宋体" w:cs="宋体"/>
          <w:color w:val="auto"/>
          <w:kern w:val="0"/>
          <w:szCs w:val="21"/>
        </w:rPr>
        <w:t>供应商名称（盖公章）：</w:t>
      </w:r>
    </w:p>
    <w:p w14:paraId="59F1285F">
      <w:pPr>
        <w:autoSpaceDE w:val="0"/>
        <w:autoSpaceDN w:val="0"/>
        <w:spacing w:line="360" w:lineRule="auto"/>
        <w:ind w:firstLine="5670" w:firstLineChars="2700"/>
        <w:rPr>
          <w:rFonts w:hint="eastAsia" w:ascii="宋体" w:hAnsi="宋体" w:cs="宋体"/>
          <w:color w:val="auto"/>
          <w:kern w:val="0"/>
          <w:szCs w:val="21"/>
          <w:lang w:val="zh-CN"/>
        </w:rPr>
      </w:pPr>
      <w:r>
        <w:rPr>
          <w:rFonts w:hint="eastAsia" w:ascii="宋体" w:hAnsi="宋体" w:cs="宋体"/>
          <w:color w:val="auto"/>
          <w:kern w:val="0"/>
          <w:szCs w:val="21"/>
          <w:lang w:val="zh-CN"/>
        </w:rPr>
        <w:t>日期：  年  月   日</w:t>
      </w:r>
    </w:p>
    <w:p w14:paraId="61FE2725">
      <w:pPr>
        <w:snapToGrid w:val="0"/>
        <w:spacing w:line="360" w:lineRule="auto"/>
        <w:rPr>
          <w:rFonts w:hint="eastAsia" w:ascii="宋体" w:hAnsi="宋体" w:cs="宋体"/>
          <w:b/>
          <w:color w:val="auto"/>
          <w:sz w:val="28"/>
          <w:szCs w:val="28"/>
        </w:rPr>
      </w:pPr>
    </w:p>
    <w:p w14:paraId="362DB3A0">
      <w:pPr>
        <w:snapToGrid w:val="0"/>
        <w:spacing w:line="360" w:lineRule="auto"/>
        <w:rPr>
          <w:rFonts w:hint="eastAsia" w:ascii="宋体" w:hAnsi="宋体" w:cs="宋体"/>
          <w:b/>
          <w:color w:val="auto"/>
          <w:sz w:val="28"/>
          <w:szCs w:val="28"/>
        </w:rPr>
      </w:pPr>
    </w:p>
    <w:p w14:paraId="08E566AB">
      <w:pPr>
        <w:snapToGrid w:val="0"/>
        <w:spacing w:line="360" w:lineRule="auto"/>
        <w:rPr>
          <w:rFonts w:hint="eastAsia" w:ascii="宋体" w:hAnsi="宋体" w:cs="宋体"/>
          <w:b/>
          <w:color w:val="auto"/>
          <w:sz w:val="28"/>
          <w:szCs w:val="28"/>
        </w:rPr>
      </w:pPr>
    </w:p>
    <w:p w14:paraId="063AF33D">
      <w:pPr>
        <w:numPr>
          <w:ilvl w:val="0"/>
          <w:numId w:val="7"/>
        </w:numPr>
        <w:snapToGrid w:val="0"/>
        <w:spacing w:line="360" w:lineRule="auto"/>
        <w:rPr>
          <w:rFonts w:hint="eastAsia" w:ascii="仿宋" w:hAnsi="仿宋" w:eastAsia="仿宋" w:cs="仿宋_GB2312"/>
          <w:b/>
          <w:color w:val="auto"/>
          <w:sz w:val="30"/>
          <w:szCs w:val="30"/>
        </w:rPr>
      </w:pPr>
      <w:r>
        <w:rPr>
          <w:rFonts w:hint="eastAsia" w:ascii="仿宋" w:hAnsi="仿宋" w:eastAsia="仿宋" w:cs="仿宋_GB2312"/>
          <w:b/>
          <w:color w:val="auto"/>
          <w:sz w:val="30"/>
          <w:szCs w:val="30"/>
        </w:rPr>
        <w:t>项目实施人员一览表格式</w:t>
      </w:r>
    </w:p>
    <w:p w14:paraId="49BC324F">
      <w:pPr>
        <w:snapToGrid w:val="0"/>
        <w:spacing w:line="360" w:lineRule="auto"/>
        <w:ind w:firstLine="3313" w:firstLineChars="1100"/>
        <w:rPr>
          <w:rFonts w:hint="eastAsia" w:ascii="仿宋" w:hAnsi="仿宋" w:eastAsia="仿宋" w:cs="仿宋_GB2312"/>
          <w:b/>
          <w:color w:val="auto"/>
          <w:sz w:val="30"/>
          <w:szCs w:val="30"/>
        </w:rPr>
      </w:pPr>
      <w:r>
        <w:rPr>
          <w:rFonts w:hint="eastAsia" w:ascii="仿宋" w:hAnsi="仿宋" w:eastAsia="仿宋" w:cs="仿宋_GB2312"/>
          <w:b/>
          <w:color w:val="auto"/>
          <w:sz w:val="30"/>
          <w:szCs w:val="30"/>
        </w:rPr>
        <w:t>项目实施人员一览表</w:t>
      </w:r>
    </w:p>
    <w:p w14:paraId="6DC08F82">
      <w:pPr>
        <w:snapToGrid w:val="0"/>
        <w:spacing w:line="360" w:lineRule="auto"/>
        <w:ind w:firstLine="3313" w:firstLineChars="1100"/>
        <w:rPr>
          <w:rFonts w:hint="eastAsia" w:ascii="仿宋" w:hAnsi="仿宋" w:eastAsia="仿宋" w:cs="仿宋_GB2312"/>
          <w:b/>
          <w:color w:val="auto"/>
          <w:sz w:val="30"/>
          <w:szCs w:val="30"/>
        </w:rPr>
      </w:pPr>
    </w:p>
    <w:p w14:paraId="0A3F8AE6">
      <w:pPr>
        <w:snapToGrid w:val="0"/>
        <w:spacing w:line="360" w:lineRule="auto"/>
        <w:ind w:firstLine="3313" w:firstLineChars="1100"/>
        <w:rPr>
          <w:rFonts w:hint="eastAsia" w:ascii="仿宋" w:hAnsi="仿宋" w:eastAsia="仿宋" w:cs="仿宋_GB2312"/>
          <w:b/>
          <w:color w:val="auto"/>
          <w:sz w:val="30"/>
          <w:szCs w:val="30"/>
        </w:rPr>
      </w:pPr>
    </w:p>
    <w:p w14:paraId="3D15C890">
      <w:pPr>
        <w:snapToGrid w:val="0"/>
        <w:spacing w:line="360" w:lineRule="auto"/>
        <w:rPr>
          <w:rFonts w:hint="eastAsia" w:ascii="宋体" w:hAnsi="宋体" w:cs="宋体"/>
          <w:b/>
          <w:color w:val="auto"/>
          <w:szCs w:val="21"/>
        </w:rPr>
      </w:pPr>
    </w:p>
    <w:tbl>
      <w:tblPr>
        <w:tblStyle w:val="34"/>
        <w:tblW w:w="9196" w:type="dxa"/>
        <w:tblInd w:w="-8" w:type="dxa"/>
        <w:tblLayout w:type="fixed"/>
        <w:tblCellMar>
          <w:top w:w="0" w:type="dxa"/>
          <w:left w:w="108" w:type="dxa"/>
          <w:bottom w:w="0" w:type="dxa"/>
          <w:right w:w="108" w:type="dxa"/>
        </w:tblCellMar>
      </w:tblPr>
      <w:tblGrid>
        <w:gridCol w:w="500"/>
        <w:gridCol w:w="938"/>
        <w:gridCol w:w="491"/>
        <w:gridCol w:w="698"/>
        <w:gridCol w:w="1233"/>
        <w:gridCol w:w="1287"/>
        <w:gridCol w:w="1287"/>
        <w:gridCol w:w="1502"/>
        <w:gridCol w:w="1260"/>
      </w:tblGrid>
      <w:tr w14:paraId="34DD9FA9">
        <w:tblPrEx>
          <w:tblCellMar>
            <w:top w:w="0" w:type="dxa"/>
            <w:left w:w="108" w:type="dxa"/>
            <w:bottom w:w="0" w:type="dxa"/>
            <w:right w:w="108" w:type="dxa"/>
          </w:tblCellMar>
        </w:tblPrEx>
        <w:trPr>
          <w:trHeight w:val="1268" w:hRule="atLeast"/>
        </w:trPr>
        <w:tc>
          <w:tcPr>
            <w:tcW w:w="500" w:type="dxa"/>
            <w:tcBorders>
              <w:top w:val="single" w:color="auto" w:sz="6" w:space="0"/>
              <w:left w:val="single" w:color="auto" w:sz="6" w:space="0"/>
              <w:bottom w:val="single" w:color="auto" w:sz="6" w:space="0"/>
              <w:right w:val="single" w:color="auto" w:sz="6" w:space="0"/>
            </w:tcBorders>
            <w:vAlign w:val="center"/>
          </w:tcPr>
          <w:p w14:paraId="7E21F3CC">
            <w:pPr>
              <w:autoSpaceDE w:val="0"/>
              <w:autoSpaceDN w:val="0"/>
              <w:spacing w:line="360" w:lineRule="auto"/>
              <w:jc w:val="center"/>
              <w:rPr>
                <w:rFonts w:hint="eastAsia" w:ascii="宋体" w:hAnsi="宋体" w:cs="宋体"/>
                <w:color w:val="auto"/>
                <w:szCs w:val="21"/>
              </w:rPr>
            </w:pPr>
            <w:r>
              <w:rPr>
                <w:rFonts w:hint="eastAsia" w:ascii="宋体" w:hAnsi="宋体" w:cs="宋体"/>
                <w:color w:val="auto"/>
                <w:szCs w:val="21"/>
              </w:rPr>
              <w:t>序号</w:t>
            </w:r>
          </w:p>
        </w:tc>
        <w:tc>
          <w:tcPr>
            <w:tcW w:w="938" w:type="dxa"/>
            <w:tcBorders>
              <w:top w:val="single" w:color="auto" w:sz="6" w:space="0"/>
              <w:left w:val="single" w:color="auto" w:sz="6" w:space="0"/>
              <w:bottom w:val="single" w:color="auto" w:sz="6" w:space="0"/>
              <w:right w:val="single" w:color="auto" w:sz="6" w:space="0"/>
            </w:tcBorders>
            <w:vAlign w:val="center"/>
          </w:tcPr>
          <w:p w14:paraId="1D9F43A6">
            <w:pPr>
              <w:autoSpaceDE w:val="0"/>
              <w:autoSpaceDN w:val="0"/>
              <w:spacing w:line="360" w:lineRule="auto"/>
              <w:jc w:val="center"/>
              <w:rPr>
                <w:rFonts w:hint="eastAsia" w:ascii="宋体" w:hAnsi="宋体" w:cs="宋体"/>
                <w:color w:val="auto"/>
                <w:szCs w:val="21"/>
              </w:rPr>
            </w:pPr>
            <w:r>
              <w:rPr>
                <w:rFonts w:hint="eastAsia" w:ascii="宋体" w:hAnsi="宋体" w:cs="宋体"/>
                <w:color w:val="auto"/>
                <w:szCs w:val="21"/>
              </w:rPr>
              <w:t>姓名</w:t>
            </w:r>
          </w:p>
        </w:tc>
        <w:tc>
          <w:tcPr>
            <w:tcW w:w="491" w:type="dxa"/>
            <w:tcBorders>
              <w:top w:val="single" w:color="auto" w:sz="6" w:space="0"/>
              <w:left w:val="single" w:color="auto" w:sz="6" w:space="0"/>
              <w:bottom w:val="single" w:color="auto" w:sz="6" w:space="0"/>
              <w:right w:val="single" w:color="auto" w:sz="6" w:space="0"/>
            </w:tcBorders>
            <w:vAlign w:val="center"/>
          </w:tcPr>
          <w:p w14:paraId="111E6803">
            <w:pPr>
              <w:autoSpaceDE w:val="0"/>
              <w:autoSpaceDN w:val="0"/>
              <w:spacing w:line="360" w:lineRule="auto"/>
              <w:jc w:val="center"/>
              <w:rPr>
                <w:rFonts w:hint="eastAsia" w:ascii="宋体" w:hAnsi="宋体" w:cs="宋体"/>
                <w:color w:val="auto"/>
                <w:szCs w:val="21"/>
              </w:rPr>
            </w:pPr>
            <w:r>
              <w:rPr>
                <w:rFonts w:hint="eastAsia" w:ascii="宋体" w:hAnsi="宋体" w:cs="宋体"/>
                <w:color w:val="auto"/>
                <w:szCs w:val="21"/>
              </w:rPr>
              <w:t>性别</w:t>
            </w:r>
          </w:p>
        </w:tc>
        <w:tc>
          <w:tcPr>
            <w:tcW w:w="698" w:type="dxa"/>
            <w:tcBorders>
              <w:top w:val="single" w:color="auto" w:sz="6" w:space="0"/>
              <w:left w:val="single" w:color="auto" w:sz="6" w:space="0"/>
              <w:bottom w:val="single" w:color="auto" w:sz="6" w:space="0"/>
              <w:right w:val="single" w:color="auto" w:sz="6" w:space="0"/>
            </w:tcBorders>
            <w:vAlign w:val="center"/>
          </w:tcPr>
          <w:p w14:paraId="36A986B8">
            <w:pPr>
              <w:autoSpaceDE w:val="0"/>
              <w:autoSpaceDN w:val="0"/>
              <w:spacing w:line="360" w:lineRule="auto"/>
              <w:jc w:val="center"/>
              <w:rPr>
                <w:rFonts w:hint="eastAsia" w:ascii="宋体" w:hAnsi="宋体" w:cs="宋体"/>
                <w:color w:val="auto"/>
                <w:szCs w:val="21"/>
              </w:rPr>
            </w:pPr>
            <w:r>
              <w:rPr>
                <w:rFonts w:hint="eastAsia" w:ascii="宋体" w:hAnsi="宋体" w:cs="宋体"/>
                <w:color w:val="auto"/>
                <w:szCs w:val="21"/>
              </w:rPr>
              <w:t>年龄</w:t>
            </w:r>
          </w:p>
        </w:tc>
        <w:tc>
          <w:tcPr>
            <w:tcW w:w="1233" w:type="dxa"/>
            <w:tcBorders>
              <w:top w:val="single" w:color="auto" w:sz="6" w:space="0"/>
              <w:left w:val="single" w:color="auto" w:sz="6" w:space="0"/>
              <w:bottom w:val="single" w:color="auto" w:sz="6" w:space="0"/>
              <w:right w:val="single" w:color="auto" w:sz="6" w:space="0"/>
            </w:tcBorders>
            <w:vAlign w:val="center"/>
          </w:tcPr>
          <w:p w14:paraId="6C8F14A1">
            <w:pPr>
              <w:autoSpaceDE w:val="0"/>
              <w:autoSpaceDN w:val="0"/>
              <w:spacing w:line="360" w:lineRule="auto"/>
              <w:jc w:val="center"/>
              <w:rPr>
                <w:rFonts w:hint="eastAsia" w:ascii="宋体" w:hAnsi="宋体" w:cs="宋体"/>
                <w:color w:val="auto"/>
                <w:szCs w:val="21"/>
              </w:rPr>
            </w:pPr>
            <w:r>
              <w:rPr>
                <w:rFonts w:hint="eastAsia" w:ascii="宋体" w:hAnsi="宋体" w:cs="宋体"/>
                <w:color w:val="auto"/>
                <w:szCs w:val="21"/>
              </w:rPr>
              <w:t>学历</w:t>
            </w:r>
          </w:p>
          <w:p w14:paraId="3200F291">
            <w:pPr>
              <w:autoSpaceDE w:val="0"/>
              <w:autoSpaceDN w:val="0"/>
              <w:spacing w:line="360" w:lineRule="auto"/>
              <w:jc w:val="center"/>
              <w:rPr>
                <w:rFonts w:hint="eastAsia" w:ascii="宋体" w:hAnsi="宋体" w:cs="宋体"/>
                <w:color w:val="auto"/>
                <w:szCs w:val="21"/>
              </w:rPr>
            </w:pPr>
            <w:r>
              <w:rPr>
                <w:rFonts w:hint="eastAsia" w:ascii="宋体" w:hAnsi="宋体" w:cs="宋体"/>
                <w:color w:val="auto"/>
                <w:szCs w:val="21"/>
              </w:rPr>
              <w:t>（页码）</w:t>
            </w:r>
          </w:p>
        </w:tc>
        <w:tc>
          <w:tcPr>
            <w:tcW w:w="1287" w:type="dxa"/>
            <w:tcBorders>
              <w:top w:val="single" w:color="auto" w:sz="6" w:space="0"/>
              <w:left w:val="single" w:color="auto" w:sz="6" w:space="0"/>
              <w:bottom w:val="single" w:color="auto" w:sz="6" w:space="0"/>
              <w:right w:val="single" w:color="auto" w:sz="6" w:space="0"/>
            </w:tcBorders>
            <w:vAlign w:val="center"/>
          </w:tcPr>
          <w:p w14:paraId="07B03ABE">
            <w:pPr>
              <w:autoSpaceDE w:val="0"/>
              <w:autoSpaceDN w:val="0"/>
              <w:spacing w:line="360" w:lineRule="auto"/>
              <w:jc w:val="center"/>
              <w:rPr>
                <w:rFonts w:hint="eastAsia" w:ascii="宋体" w:hAnsi="宋体" w:cs="宋体"/>
                <w:color w:val="auto"/>
                <w:szCs w:val="21"/>
              </w:rPr>
            </w:pPr>
            <w:r>
              <w:rPr>
                <w:rFonts w:hint="eastAsia" w:ascii="宋体" w:hAnsi="宋体" w:cs="宋体"/>
                <w:color w:val="auto"/>
                <w:szCs w:val="21"/>
              </w:rPr>
              <w:t>专业</w:t>
            </w:r>
          </w:p>
          <w:p w14:paraId="138C0DE4">
            <w:pPr>
              <w:autoSpaceDE w:val="0"/>
              <w:autoSpaceDN w:val="0"/>
              <w:spacing w:line="360" w:lineRule="auto"/>
              <w:jc w:val="center"/>
              <w:rPr>
                <w:rFonts w:hint="eastAsia" w:ascii="宋体" w:hAnsi="宋体" w:cs="宋体"/>
                <w:color w:val="auto"/>
                <w:szCs w:val="21"/>
              </w:rPr>
            </w:pPr>
            <w:r>
              <w:rPr>
                <w:rFonts w:hint="eastAsia" w:ascii="宋体" w:hAnsi="宋体" w:cs="宋体"/>
                <w:color w:val="auto"/>
                <w:szCs w:val="21"/>
              </w:rPr>
              <w:t>（页码）</w:t>
            </w:r>
          </w:p>
        </w:tc>
        <w:tc>
          <w:tcPr>
            <w:tcW w:w="1287" w:type="dxa"/>
            <w:tcBorders>
              <w:top w:val="single" w:color="auto" w:sz="6" w:space="0"/>
              <w:left w:val="single" w:color="auto" w:sz="6" w:space="0"/>
              <w:bottom w:val="single" w:color="auto" w:sz="6" w:space="0"/>
              <w:right w:val="single" w:color="auto" w:sz="6" w:space="0"/>
            </w:tcBorders>
            <w:vAlign w:val="center"/>
          </w:tcPr>
          <w:p w14:paraId="5DA80983">
            <w:pPr>
              <w:autoSpaceDE w:val="0"/>
              <w:autoSpaceDN w:val="0"/>
              <w:spacing w:line="360" w:lineRule="auto"/>
              <w:jc w:val="center"/>
              <w:rPr>
                <w:rFonts w:hint="eastAsia" w:ascii="宋体" w:hAnsi="宋体" w:cs="宋体"/>
                <w:color w:val="auto"/>
                <w:szCs w:val="21"/>
              </w:rPr>
            </w:pPr>
            <w:r>
              <w:rPr>
                <w:rFonts w:hint="eastAsia" w:ascii="宋体" w:hAnsi="宋体" w:cs="宋体"/>
                <w:color w:val="auto"/>
                <w:szCs w:val="21"/>
              </w:rPr>
              <w:t>职称</w:t>
            </w:r>
          </w:p>
          <w:p w14:paraId="0DBDEA56">
            <w:pPr>
              <w:autoSpaceDE w:val="0"/>
              <w:autoSpaceDN w:val="0"/>
              <w:spacing w:line="360" w:lineRule="auto"/>
              <w:jc w:val="center"/>
              <w:rPr>
                <w:rFonts w:hint="eastAsia" w:ascii="宋体" w:hAnsi="宋体" w:cs="宋体"/>
                <w:color w:val="auto"/>
                <w:szCs w:val="21"/>
              </w:rPr>
            </w:pPr>
            <w:r>
              <w:rPr>
                <w:rFonts w:hint="eastAsia" w:ascii="宋体" w:hAnsi="宋体" w:cs="宋体"/>
                <w:color w:val="auto"/>
                <w:szCs w:val="21"/>
              </w:rPr>
              <w:t>（页码）</w:t>
            </w:r>
          </w:p>
        </w:tc>
        <w:tc>
          <w:tcPr>
            <w:tcW w:w="1502" w:type="dxa"/>
            <w:tcBorders>
              <w:top w:val="single" w:color="auto" w:sz="6" w:space="0"/>
              <w:left w:val="single" w:color="auto" w:sz="6" w:space="0"/>
              <w:bottom w:val="single" w:color="auto" w:sz="6" w:space="0"/>
              <w:right w:val="single" w:color="auto" w:sz="6" w:space="0"/>
            </w:tcBorders>
            <w:vAlign w:val="center"/>
          </w:tcPr>
          <w:p w14:paraId="36D5F9FB">
            <w:pPr>
              <w:autoSpaceDE w:val="0"/>
              <w:autoSpaceDN w:val="0"/>
              <w:spacing w:line="360" w:lineRule="auto"/>
              <w:jc w:val="center"/>
              <w:rPr>
                <w:rFonts w:hint="eastAsia" w:ascii="宋体" w:hAnsi="宋体" w:cs="宋体"/>
                <w:color w:val="auto"/>
                <w:szCs w:val="21"/>
              </w:rPr>
            </w:pPr>
            <w:r>
              <w:rPr>
                <w:rFonts w:hint="eastAsia" w:ascii="宋体" w:hAnsi="宋体" w:cs="宋体"/>
                <w:color w:val="auto"/>
                <w:szCs w:val="21"/>
              </w:rPr>
              <w:t>本项目中的职责</w:t>
            </w:r>
          </w:p>
        </w:tc>
        <w:tc>
          <w:tcPr>
            <w:tcW w:w="1260" w:type="dxa"/>
            <w:tcBorders>
              <w:top w:val="single" w:color="auto" w:sz="6" w:space="0"/>
              <w:left w:val="single" w:color="auto" w:sz="6" w:space="0"/>
              <w:bottom w:val="single" w:color="auto" w:sz="6" w:space="0"/>
              <w:right w:val="single" w:color="auto" w:sz="6" w:space="0"/>
            </w:tcBorders>
            <w:vAlign w:val="center"/>
          </w:tcPr>
          <w:p w14:paraId="3542959E">
            <w:pPr>
              <w:keepNext w:val="0"/>
              <w:keepLines w:val="0"/>
              <w:widowControl/>
              <w:suppressLineNumbers w:val="0"/>
              <w:jc w:val="center"/>
              <w:textAlignment w:val="center"/>
              <w:rPr>
                <w:rFonts w:hint="default" w:ascii="宋体" w:hAnsi="宋体" w:eastAsia="宋体" w:cs="宋体"/>
                <w:color w:val="auto"/>
                <w:szCs w:val="21"/>
                <w:highlight w:val="cyan"/>
                <w:lang w:val="en-US" w:eastAsia="zh-CN"/>
              </w:rPr>
            </w:pPr>
            <w:r>
              <w:rPr>
                <w:rFonts w:hint="eastAsia" w:ascii="Times New Roman" w:hAnsi="Times New Roman" w:eastAsia="仿宋_GB2312" w:cs="仿宋_GB2312"/>
                <w:b w:val="0"/>
                <w:bCs/>
                <w:i w:val="0"/>
                <w:iCs w:val="0"/>
                <w:smallCaps w:val="0"/>
                <w:color w:val="auto"/>
                <w:kern w:val="0"/>
                <w:sz w:val="24"/>
                <w:szCs w:val="20"/>
                <w:u w:val="none"/>
                <w:lang w:val="en-US" w:eastAsia="zh-CN" w:bidi="ar"/>
              </w:rPr>
              <w:t>参与本项目的到位情况</w:t>
            </w:r>
          </w:p>
        </w:tc>
      </w:tr>
      <w:tr w14:paraId="50F1D8A2">
        <w:tblPrEx>
          <w:tblCellMar>
            <w:top w:w="0" w:type="dxa"/>
            <w:left w:w="108" w:type="dxa"/>
            <w:bottom w:w="0" w:type="dxa"/>
            <w:right w:w="108" w:type="dxa"/>
          </w:tblCellMar>
        </w:tblPrEx>
        <w:trPr>
          <w:trHeight w:val="497" w:hRule="atLeast"/>
        </w:trPr>
        <w:tc>
          <w:tcPr>
            <w:tcW w:w="500" w:type="dxa"/>
            <w:tcBorders>
              <w:top w:val="single" w:color="auto" w:sz="6" w:space="0"/>
              <w:left w:val="single" w:color="auto" w:sz="6" w:space="0"/>
              <w:bottom w:val="single" w:color="auto" w:sz="6" w:space="0"/>
              <w:right w:val="single" w:color="auto" w:sz="6" w:space="0"/>
            </w:tcBorders>
          </w:tcPr>
          <w:p w14:paraId="6C4BDF14">
            <w:pPr>
              <w:autoSpaceDE w:val="0"/>
              <w:autoSpaceDN w:val="0"/>
              <w:spacing w:line="360" w:lineRule="auto"/>
              <w:jc w:val="center"/>
              <w:rPr>
                <w:rFonts w:hint="eastAsia" w:ascii="宋体" w:hAnsi="宋体" w:cs="宋体"/>
                <w:color w:val="auto"/>
                <w:szCs w:val="21"/>
              </w:rPr>
            </w:pPr>
          </w:p>
        </w:tc>
        <w:tc>
          <w:tcPr>
            <w:tcW w:w="938" w:type="dxa"/>
            <w:tcBorders>
              <w:top w:val="single" w:color="auto" w:sz="6" w:space="0"/>
              <w:left w:val="single" w:color="auto" w:sz="6" w:space="0"/>
              <w:bottom w:val="single" w:color="auto" w:sz="6" w:space="0"/>
              <w:right w:val="single" w:color="auto" w:sz="6" w:space="0"/>
            </w:tcBorders>
          </w:tcPr>
          <w:p w14:paraId="2B6B9DD2">
            <w:pPr>
              <w:autoSpaceDE w:val="0"/>
              <w:autoSpaceDN w:val="0"/>
              <w:spacing w:line="360" w:lineRule="auto"/>
              <w:rPr>
                <w:rFonts w:hint="eastAsia" w:ascii="宋体" w:hAnsi="宋体" w:cs="宋体"/>
                <w:color w:val="auto"/>
                <w:szCs w:val="21"/>
              </w:rPr>
            </w:pPr>
          </w:p>
        </w:tc>
        <w:tc>
          <w:tcPr>
            <w:tcW w:w="491" w:type="dxa"/>
            <w:tcBorders>
              <w:top w:val="single" w:color="auto" w:sz="6" w:space="0"/>
              <w:left w:val="single" w:color="auto" w:sz="6" w:space="0"/>
              <w:bottom w:val="single" w:color="auto" w:sz="6" w:space="0"/>
              <w:right w:val="single" w:color="auto" w:sz="6" w:space="0"/>
            </w:tcBorders>
          </w:tcPr>
          <w:p w14:paraId="36981940">
            <w:pPr>
              <w:autoSpaceDE w:val="0"/>
              <w:autoSpaceDN w:val="0"/>
              <w:spacing w:line="360" w:lineRule="auto"/>
              <w:rPr>
                <w:rFonts w:hint="eastAsia" w:ascii="宋体" w:hAnsi="宋体" w:cs="宋体"/>
                <w:color w:val="auto"/>
                <w:szCs w:val="21"/>
              </w:rPr>
            </w:pPr>
          </w:p>
        </w:tc>
        <w:tc>
          <w:tcPr>
            <w:tcW w:w="698" w:type="dxa"/>
            <w:tcBorders>
              <w:top w:val="single" w:color="auto" w:sz="6" w:space="0"/>
              <w:left w:val="single" w:color="auto" w:sz="6" w:space="0"/>
              <w:bottom w:val="single" w:color="auto" w:sz="6" w:space="0"/>
              <w:right w:val="single" w:color="auto" w:sz="6" w:space="0"/>
            </w:tcBorders>
          </w:tcPr>
          <w:p w14:paraId="7D55C39E">
            <w:pPr>
              <w:autoSpaceDE w:val="0"/>
              <w:autoSpaceDN w:val="0"/>
              <w:spacing w:line="360" w:lineRule="auto"/>
              <w:rPr>
                <w:rFonts w:hint="eastAsia" w:ascii="宋体" w:hAnsi="宋体" w:cs="宋体"/>
                <w:color w:val="auto"/>
                <w:szCs w:val="21"/>
              </w:rPr>
            </w:pPr>
          </w:p>
        </w:tc>
        <w:tc>
          <w:tcPr>
            <w:tcW w:w="1233" w:type="dxa"/>
            <w:tcBorders>
              <w:top w:val="single" w:color="auto" w:sz="6" w:space="0"/>
              <w:left w:val="single" w:color="auto" w:sz="6" w:space="0"/>
              <w:bottom w:val="single" w:color="auto" w:sz="6" w:space="0"/>
              <w:right w:val="single" w:color="auto" w:sz="6" w:space="0"/>
            </w:tcBorders>
          </w:tcPr>
          <w:p w14:paraId="6B6E1FB6">
            <w:pPr>
              <w:autoSpaceDE w:val="0"/>
              <w:autoSpaceDN w:val="0"/>
              <w:spacing w:line="360" w:lineRule="auto"/>
              <w:rPr>
                <w:rFonts w:hint="eastAsia" w:ascii="宋体" w:hAnsi="宋体" w:cs="宋体"/>
                <w:color w:val="auto"/>
                <w:szCs w:val="21"/>
              </w:rPr>
            </w:pPr>
          </w:p>
        </w:tc>
        <w:tc>
          <w:tcPr>
            <w:tcW w:w="1287" w:type="dxa"/>
            <w:tcBorders>
              <w:top w:val="single" w:color="auto" w:sz="6" w:space="0"/>
              <w:left w:val="single" w:color="auto" w:sz="6" w:space="0"/>
              <w:bottom w:val="single" w:color="auto" w:sz="6" w:space="0"/>
              <w:right w:val="single" w:color="auto" w:sz="6" w:space="0"/>
            </w:tcBorders>
          </w:tcPr>
          <w:p w14:paraId="16097E72">
            <w:pPr>
              <w:autoSpaceDE w:val="0"/>
              <w:autoSpaceDN w:val="0"/>
              <w:spacing w:line="360" w:lineRule="auto"/>
              <w:rPr>
                <w:rFonts w:hint="eastAsia" w:ascii="宋体" w:hAnsi="宋体" w:cs="宋体"/>
                <w:color w:val="auto"/>
                <w:szCs w:val="21"/>
              </w:rPr>
            </w:pPr>
          </w:p>
        </w:tc>
        <w:tc>
          <w:tcPr>
            <w:tcW w:w="1287" w:type="dxa"/>
            <w:tcBorders>
              <w:top w:val="single" w:color="auto" w:sz="6" w:space="0"/>
              <w:left w:val="single" w:color="auto" w:sz="6" w:space="0"/>
              <w:bottom w:val="single" w:color="auto" w:sz="6" w:space="0"/>
              <w:right w:val="single" w:color="auto" w:sz="6" w:space="0"/>
            </w:tcBorders>
          </w:tcPr>
          <w:p w14:paraId="6DB1D36D">
            <w:pPr>
              <w:autoSpaceDE w:val="0"/>
              <w:autoSpaceDN w:val="0"/>
              <w:spacing w:line="360" w:lineRule="auto"/>
              <w:rPr>
                <w:rFonts w:hint="eastAsia" w:ascii="宋体" w:hAnsi="宋体" w:cs="宋体"/>
                <w:color w:val="auto"/>
                <w:szCs w:val="21"/>
              </w:rPr>
            </w:pPr>
          </w:p>
        </w:tc>
        <w:tc>
          <w:tcPr>
            <w:tcW w:w="1502" w:type="dxa"/>
            <w:tcBorders>
              <w:top w:val="single" w:color="auto" w:sz="6" w:space="0"/>
              <w:left w:val="single" w:color="auto" w:sz="6" w:space="0"/>
              <w:bottom w:val="single" w:color="auto" w:sz="6" w:space="0"/>
              <w:right w:val="single" w:color="auto" w:sz="6" w:space="0"/>
            </w:tcBorders>
          </w:tcPr>
          <w:p w14:paraId="4F12CF50">
            <w:pPr>
              <w:autoSpaceDE w:val="0"/>
              <w:autoSpaceDN w:val="0"/>
              <w:spacing w:line="360" w:lineRule="auto"/>
              <w:rPr>
                <w:rFonts w:hint="eastAsia" w:ascii="宋体" w:hAnsi="宋体" w:cs="宋体"/>
                <w:color w:val="auto"/>
                <w:szCs w:val="21"/>
              </w:rPr>
            </w:pPr>
          </w:p>
        </w:tc>
        <w:tc>
          <w:tcPr>
            <w:tcW w:w="1260" w:type="dxa"/>
            <w:tcBorders>
              <w:top w:val="single" w:color="auto" w:sz="6" w:space="0"/>
              <w:left w:val="single" w:color="auto" w:sz="6" w:space="0"/>
              <w:bottom w:val="single" w:color="auto" w:sz="6" w:space="0"/>
              <w:right w:val="single" w:color="auto" w:sz="6" w:space="0"/>
            </w:tcBorders>
          </w:tcPr>
          <w:p w14:paraId="76F5BCD6">
            <w:pPr>
              <w:autoSpaceDE w:val="0"/>
              <w:autoSpaceDN w:val="0"/>
              <w:spacing w:line="360" w:lineRule="auto"/>
              <w:rPr>
                <w:rFonts w:hint="eastAsia" w:ascii="宋体" w:hAnsi="宋体" w:cs="宋体"/>
                <w:color w:val="auto"/>
                <w:szCs w:val="21"/>
              </w:rPr>
            </w:pPr>
          </w:p>
        </w:tc>
      </w:tr>
      <w:tr w14:paraId="60657969">
        <w:tblPrEx>
          <w:tblCellMar>
            <w:top w:w="0" w:type="dxa"/>
            <w:left w:w="108" w:type="dxa"/>
            <w:bottom w:w="0" w:type="dxa"/>
            <w:right w:w="108" w:type="dxa"/>
          </w:tblCellMar>
        </w:tblPrEx>
        <w:trPr>
          <w:trHeight w:val="498" w:hRule="atLeast"/>
        </w:trPr>
        <w:tc>
          <w:tcPr>
            <w:tcW w:w="500" w:type="dxa"/>
            <w:tcBorders>
              <w:top w:val="single" w:color="auto" w:sz="6" w:space="0"/>
              <w:left w:val="single" w:color="auto" w:sz="6" w:space="0"/>
              <w:bottom w:val="single" w:color="auto" w:sz="6" w:space="0"/>
              <w:right w:val="single" w:color="auto" w:sz="6" w:space="0"/>
            </w:tcBorders>
          </w:tcPr>
          <w:p w14:paraId="1947B7DB">
            <w:pPr>
              <w:autoSpaceDE w:val="0"/>
              <w:autoSpaceDN w:val="0"/>
              <w:spacing w:line="360" w:lineRule="auto"/>
              <w:jc w:val="center"/>
              <w:rPr>
                <w:rFonts w:hint="eastAsia" w:ascii="宋体" w:hAnsi="宋体" w:cs="宋体"/>
                <w:color w:val="auto"/>
                <w:szCs w:val="21"/>
              </w:rPr>
            </w:pPr>
          </w:p>
        </w:tc>
        <w:tc>
          <w:tcPr>
            <w:tcW w:w="938" w:type="dxa"/>
            <w:tcBorders>
              <w:top w:val="single" w:color="auto" w:sz="6" w:space="0"/>
              <w:left w:val="single" w:color="auto" w:sz="6" w:space="0"/>
              <w:bottom w:val="single" w:color="auto" w:sz="6" w:space="0"/>
              <w:right w:val="single" w:color="auto" w:sz="6" w:space="0"/>
            </w:tcBorders>
          </w:tcPr>
          <w:p w14:paraId="583D70AC">
            <w:pPr>
              <w:autoSpaceDE w:val="0"/>
              <w:autoSpaceDN w:val="0"/>
              <w:spacing w:line="360" w:lineRule="auto"/>
              <w:rPr>
                <w:rFonts w:hint="eastAsia" w:ascii="宋体" w:hAnsi="宋体" w:cs="宋体"/>
                <w:color w:val="auto"/>
                <w:szCs w:val="21"/>
              </w:rPr>
            </w:pPr>
          </w:p>
        </w:tc>
        <w:tc>
          <w:tcPr>
            <w:tcW w:w="491" w:type="dxa"/>
            <w:tcBorders>
              <w:top w:val="single" w:color="auto" w:sz="6" w:space="0"/>
              <w:left w:val="single" w:color="auto" w:sz="6" w:space="0"/>
              <w:bottom w:val="single" w:color="auto" w:sz="6" w:space="0"/>
              <w:right w:val="single" w:color="auto" w:sz="6" w:space="0"/>
            </w:tcBorders>
          </w:tcPr>
          <w:p w14:paraId="393F673E">
            <w:pPr>
              <w:autoSpaceDE w:val="0"/>
              <w:autoSpaceDN w:val="0"/>
              <w:spacing w:line="360" w:lineRule="auto"/>
              <w:rPr>
                <w:rFonts w:hint="eastAsia" w:ascii="宋体" w:hAnsi="宋体" w:cs="宋体"/>
                <w:color w:val="auto"/>
                <w:szCs w:val="21"/>
              </w:rPr>
            </w:pPr>
          </w:p>
        </w:tc>
        <w:tc>
          <w:tcPr>
            <w:tcW w:w="698" w:type="dxa"/>
            <w:tcBorders>
              <w:top w:val="single" w:color="auto" w:sz="6" w:space="0"/>
              <w:left w:val="single" w:color="auto" w:sz="6" w:space="0"/>
              <w:bottom w:val="single" w:color="auto" w:sz="6" w:space="0"/>
              <w:right w:val="single" w:color="auto" w:sz="6" w:space="0"/>
            </w:tcBorders>
          </w:tcPr>
          <w:p w14:paraId="57ADF2E3">
            <w:pPr>
              <w:autoSpaceDE w:val="0"/>
              <w:autoSpaceDN w:val="0"/>
              <w:spacing w:line="360" w:lineRule="auto"/>
              <w:rPr>
                <w:rFonts w:hint="eastAsia" w:ascii="宋体" w:hAnsi="宋体" w:cs="宋体"/>
                <w:color w:val="auto"/>
                <w:szCs w:val="21"/>
              </w:rPr>
            </w:pPr>
          </w:p>
        </w:tc>
        <w:tc>
          <w:tcPr>
            <w:tcW w:w="1233" w:type="dxa"/>
            <w:tcBorders>
              <w:top w:val="single" w:color="auto" w:sz="6" w:space="0"/>
              <w:left w:val="single" w:color="auto" w:sz="6" w:space="0"/>
              <w:bottom w:val="single" w:color="auto" w:sz="6" w:space="0"/>
              <w:right w:val="single" w:color="auto" w:sz="6" w:space="0"/>
            </w:tcBorders>
          </w:tcPr>
          <w:p w14:paraId="0ADE8002">
            <w:pPr>
              <w:autoSpaceDE w:val="0"/>
              <w:autoSpaceDN w:val="0"/>
              <w:spacing w:line="360" w:lineRule="auto"/>
              <w:rPr>
                <w:rFonts w:hint="eastAsia" w:ascii="宋体" w:hAnsi="宋体" w:cs="宋体"/>
                <w:color w:val="auto"/>
                <w:szCs w:val="21"/>
              </w:rPr>
            </w:pPr>
          </w:p>
        </w:tc>
        <w:tc>
          <w:tcPr>
            <w:tcW w:w="1287" w:type="dxa"/>
            <w:tcBorders>
              <w:top w:val="single" w:color="auto" w:sz="6" w:space="0"/>
              <w:left w:val="single" w:color="auto" w:sz="6" w:space="0"/>
              <w:bottom w:val="single" w:color="auto" w:sz="6" w:space="0"/>
              <w:right w:val="single" w:color="auto" w:sz="6" w:space="0"/>
            </w:tcBorders>
          </w:tcPr>
          <w:p w14:paraId="4A4EBAE5">
            <w:pPr>
              <w:autoSpaceDE w:val="0"/>
              <w:autoSpaceDN w:val="0"/>
              <w:spacing w:line="360" w:lineRule="auto"/>
              <w:rPr>
                <w:rFonts w:hint="eastAsia" w:ascii="宋体" w:hAnsi="宋体" w:cs="宋体"/>
                <w:color w:val="auto"/>
                <w:szCs w:val="21"/>
              </w:rPr>
            </w:pPr>
          </w:p>
        </w:tc>
        <w:tc>
          <w:tcPr>
            <w:tcW w:w="1287" w:type="dxa"/>
            <w:tcBorders>
              <w:top w:val="single" w:color="auto" w:sz="6" w:space="0"/>
              <w:left w:val="single" w:color="auto" w:sz="6" w:space="0"/>
              <w:bottom w:val="single" w:color="auto" w:sz="6" w:space="0"/>
              <w:right w:val="single" w:color="auto" w:sz="6" w:space="0"/>
            </w:tcBorders>
          </w:tcPr>
          <w:p w14:paraId="1D21EBAB">
            <w:pPr>
              <w:autoSpaceDE w:val="0"/>
              <w:autoSpaceDN w:val="0"/>
              <w:spacing w:line="360" w:lineRule="auto"/>
              <w:rPr>
                <w:rFonts w:hint="eastAsia" w:ascii="宋体" w:hAnsi="宋体" w:cs="宋体"/>
                <w:color w:val="auto"/>
                <w:szCs w:val="21"/>
              </w:rPr>
            </w:pPr>
          </w:p>
        </w:tc>
        <w:tc>
          <w:tcPr>
            <w:tcW w:w="1502" w:type="dxa"/>
            <w:tcBorders>
              <w:top w:val="single" w:color="auto" w:sz="6" w:space="0"/>
              <w:left w:val="single" w:color="auto" w:sz="6" w:space="0"/>
              <w:bottom w:val="single" w:color="auto" w:sz="6" w:space="0"/>
              <w:right w:val="single" w:color="auto" w:sz="6" w:space="0"/>
            </w:tcBorders>
          </w:tcPr>
          <w:p w14:paraId="3FB01F31">
            <w:pPr>
              <w:autoSpaceDE w:val="0"/>
              <w:autoSpaceDN w:val="0"/>
              <w:spacing w:line="360" w:lineRule="auto"/>
              <w:rPr>
                <w:rFonts w:hint="eastAsia" w:ascii="宋体" w:hAnsi="宋体" w:cs="宋体"/>
                <w:color w:val="auto"/>
                <w:szCs w:val="21"/>
              </w:rPr>
            </w:pPr>
          </w:p>
        </w:tc>
        <w:tc>
          <w:tcPr>
            <w:tcW w:w="1260" w:type="dxa"/>
            <w:tcBorders>
              <w:top w:val="single" w:color="auto" w:sz="6" w:space="0"/>
              <w:left w:val="single" w:color="auto" w:sz="6" w:space="0"/>
              <w:bottom w:val="single" w:color="auto" w:sz="6" w:space="0"/>
              <w:right w:val="single" w:color="auto" w:sz="6" w:space="0"/>
            </w:tcBorders>
          </w:tcPr>
          <w:p w14:paraId="3D7459E2">
            <w:pPr>
              <w:autoSpaceDE w:val="0"/>
              <w:autoSpaceDN w:val="0"/>
              <w:spacing w:line="360" w:lineRule="auto"/>
              <w:rPr>
                <w:rFonts w:hint="eastAsia" w:ascii="宋体" w:hAnsi="宋体" w:cs="宋体"/>
                <w:color w:val="auto"/>
                <w:szCs w:val="21"/>
              </w:rPr>
            </w:pPr>
          </w:p>
        </w:tc>
      </w:tr>
    </w:tbl>
    <w:p w14:paraId="3635E012">
      <w:pPr>
        <w:spacing w:line="360" w:lineRule="auto"/>
        <w:rPr>
          <w:rFonts w:hint="eastAsia" w:ascii="宋体" w:hAnsi="宋体" w:cs="宋体"/>
          <w:b/>
          <w:bCs/>
          <w:color w:val="auto"/>
          <w:szCs w:val="21"/>
        </w:rPr>
      </w:pPr>
      <w:r>
        <w:rPr>
          <w:rFonts w:hint="eastAsia" w:ascii="宋体" w:hAnsi="宋体" w:cs="宋体"/>
          <w:b/>
          <w:color w:val="auto"/>
          <w:szCs w:val="21"/>
        </w:rPr>
        <w:t>注：供应商可按上述的格式自行编制（根据评分办法提供）。</w:t>
      </w:r>
    </w:p>
    <w:p w14:paraId="5AF05ED9">
      <w:pPr>
        <w:snapToGrid w:val="0"/>
        <w:spacing w:line="360" w:lineRule="auto"/>
        <w:ind w:firstLine="422" w:firstLineChars="200"/>
        <w:rPr>
          <w:rFonts w:hint="eastAsia" w:ascii="宋体" w:hAnsi="宋体" w:cs="宋体"/>
          <w:b/>
          <w:color w:val="auto"/>
          <w:szCs w:val="21"/>
        </w:rPr>
      </w:pPr>
    </w:p>
    <w:p w14:paraId="52FCA781">
      <w:pPr>
        <w:autoSpaceDE w:val="0"/>
        <w:autoSpaceDN w:val="0"/>
        <w:spacing w:line="360" w:lineRule="auto"/>
        <w:ind w:firstLine="5692" w:firstLineChars="2700"/>
        <w:rPr>
          <w:rFonts w:hint="eastAsia" w:ascii="宋体" w:hAnsi="宋体" w:cs="宋体"/>
          <w:b/>
          <w:bCs/>
          <w:color w:val="auto"/>
          <w:szCs w:val="21"/>
        </w:rPr>
      </w:pPr>
    </w:p>
    <w:p w14:paraId="00ABBF19">
      <w:pPr>
        <w:autoSpaceDE w:val="0"/>
        <w:autoSpaceDN w:val="0"/>
        <w:spacing w:line="360" w:lineRule="auto"/>
        <w:ind w:left="4305" w:leftChars="1950" w:hanging="210" w:hangingChars="100"/>
        <w:rPr>
          <w:rFonts w:hint="eastAsia" w:ascii="宋体" w:hAnsi="宋体" w:cs="宋体"/>
          <w:color w:val="auto"/>
          <w:kern w:val="0"/>
          <w:szCs w:val="21"/>
        </w:rPr>
      </w:pPr>
      <w:r>
        <w:rPr>
          <w:rFonts w:hint="eastAsia" w:ascii="宋体" w:hAnsi="宋体" w:cs="宋体"/>
          <w:color w:val="auto"/>
          <w:kern w:val="0"/>
          <w:szCs w:val="21"/>
        </w:rPr>
        <w:t>供应商名称（电子签章）：</w:t>
      </w:r>
    </w:p>
    <w:p w14:paraId="4E04D0A6">
      <w:pPr>
        <w:autoSpaceDE w:val="0"/>
        <w:autoSpaceDN w:val="0"/>
        <w:spacing w:line="360" w:lineRule="auto"/>
        <w:ind w:firstLine="5670" w:firstLineChars="2700"/>
        <w:rPr>
          <w:rFonts w:hint="eastAsia" w:ascii="宋体" w:hAnsi="宋体" w:cs="宋体"/>
          <w:color w:val="auto"/>
          <w:kern w:val="0"/>
          <w:szCs w:val="21"/>
          <w:lang w:val="zh-CN"/>
        </w:rPr>
      </w:pPr>
      <w:r>
        <w:rPr>
          <w:rFonts w:hint="eastAsia" w:ascii="宋体" w:hAnsi="宋体" w:cs="宋体"/>
          <w:color w:val="auto"/>
          <w:kern w:val="0"/>
          <w:szCs w:val="21"/>
          <w:lang w:val="zh-CN"/>
        </w:rPr>
        <w:t>日期：  年  月   日</w:t>
      </w:r>
    </w:p>
    <w:p w14:paraId="48BA49EC">
      <w:pPr>
        <w:snapToGrid w:val="0"/>
        <w:spacing w:line="360" w:lineRule="auto"/>
        <w:rPr>
          <w:rFonts w:hint="eastAsia" w:ascii="宋体" w:hAnsi="宋体" w:cs="宋体"/>
          <w:b/>
          <w:color w:val="auto"/>
          <w:sz w:val="28"/>
          <w:szCs w:val="28"/>
        </w:rPr>
      </w:pPr>
    </w:p>
    <w:p w14:paraId="2516FA6E">
      <w:pPr>
        <w:autoSpaceDE w:val="0"/>
        <w:autoSpaceDN w:val="0"/>
        <w:spacing w:line="360" w:lineRule="auto"/>
        <w:ind w:firstLine="6505" w:firstLineChars="2700"/>
        <w:rPr>
          <w:rFonts w:hint="eastAsia" w:ascii="仿宋_GB2312" w:hAnsi="仿宋" w:eastAsia="仿宋_GB2312" w:cs="仿宋_GB2312"/>
          <w:b/>
          <w:bCs/>
          <w:color w:val="auto"/>
          <w:sz w:val="24"/>
        </w:rPr>
      </w:pPr>
    </w:p>
    <w:p w14:paraId="6E6CA03F">
      <w:pPr>
        <w:autoSpaceDE w:val="0"/>
        <w:autoSpaceDN w:val="0"/>
        <w:spacing w:line="360" w:lineRule="auto"/>
        <w:ind w:firstLine="6505" w:firstLineChars="2700"/>
        <w:rPr>
          <w:rFonts w:hint="eastAsia" w:ascii="仿宋_GB2312" w:hAnsi="仿宋" w:eastAsia="仿宋_GB2312" w:cs="仿宋_GB2312"/>
          <w:b/>
          <w:bCs/>
          <w:color w:val="auto"/>
          <w:sz w:val="24"/>
        </w:rPr>
      </w:pPr>
    </w:p>
    <w:p w14:paraId="141B85C3">
      <w:pPr>
        <w:autoSpaceDE w:val="0"/>
        <w:autoSpaceDN w:val="0"/>
        <w:spacing w:line="360" w:lineRule="auto"/>
        <w:ind w:firstLine="6505" w:firstLineChars="2700"/>
        <w:rPr>
          <w:rFonts w:hint="eastAsia" w:ascii="仿宋_GB2312" w:hAnsi="仿宋" w:eastAsia="仿宋_GB2312" w:cs="仿宋_GB2312"/>
          <w:b/>
          <w:bCs/>
          <w:color w:val="auto"/>
          <w:sz w:val="24"/>
        </w:rPr>
      </w:pPr>
    </w:p>
    <w:p w14:paraId="77D777FC">
      <w:pPr>
        <w:autoSpaceDE w:val="0"/>
        <w:autoSpaceDN w:val="0"/>
        <w:spacing w:line="360" w:lineRule="auto"/>
        <w:ind w:firstLine="6505" w:firstLineChars="2700"/>
        <w:rPr>
          <w:rFonts w:hint="eastAsia" w:ascii="仿宋_GB2312" w:hAnsi="仿宋" w:eastAsia="仿宋_GB2312" w:cs="仿宋_GB2312"/>
          <w:b/>
          <w:bCs/>
          <w:color w:val="auto"/>
          <w:sz w:val="24"/>
        </w:rPr>
      </w:pPr>
    </w:p>
    <w:p w14:paraId="5B2AB272">
      <w:pPr>
        <w:autoSpaceDE w:val="0"/>
        <w:autoSpaceDN w:val="0"/>
        <w:spacing w:line="360" w:lineRule="auto"/>
        <w:ind w:firstLine="6505" w:firstLineChars="2700"/>
        <w:rPr>
          <w:rFonts w:hint="eastAsia" w:ascii="仿宋_GB2312" w:hAnsi="仿宋" w:eastAsia="仿宋_GB2312" w:cs="仿宋_GB2312"/>
          <w:b/>
          <w:bCs/>
          <w:color w:val="auto"/>
          <w:sz w:val="24"/>
        </w:rPr>
      </w:pPr>
    </w:p>
    <w:p w14:paraId="6F55CA08">
      <w:pPr>
        <w:autoSpaceDE w:val="0"/>
        <w:autoSpaceDN w:val="0"/>
        <w:spacing w:line="360" w:lineRule="auto"/>
        <w:ind w:firstLine="6505" w:firstLineChars="2700"/>
        <w:rPr>
          <w:rFonts w:hint="eastAsia" w:ascii="仿宋_GB2312" w:hAnsi="仿宋" w:eastAsia="仿宋_GB2312" w:cs="仿宋_GB2312"/>
          <w:b/>
          <w:bCs/>
          <w:color w:val="auto"/>
          <w:sz w:val="24"/>
        </w:rPr>
      </w:pPr>
    </w:p>
    <w:p w14:paraId="241752F0">
      <w:pPr>
        <w:autoSpaceDE w:val="0"/>
        <w:autoSpaceDN w:val="0"/>
        <w:spacing w:line="360" w:lineRule="auto"/>
        <w:ind w:firstLine="6505" w:firstLineChars="2700"/>
        <w:rPr>
          <w:rFonts w:hint="eastAsia" w:ascii="仿宋_GB2312" w:hAnsi="仿宋" w:eastAsia="仿宋_GB2312" w:cs="仿宋_GB2312"/>
          <w:b/>
          <w:bCs/>
          <w:color w:val="auto"/>
          <w:sz w:val="24"/>
        </w:rPr>
      </w:pPr>
    </w:p>
    <w:p w14:paraId="4C2448B2">
      <w:pPr>
        <w:autoSpaceDE w:val="0"/>
        <w:autoSpaceDN w:val="0"/>
        <w:spacing w:line="360" w:lineRule="auto"/>
        <w:ind w:firstLine="6505" w:firstLineChars="2700"/>
        <w:rPr>
          <w:rFonts w:hint="eastAsia" w:ascii="仿宋_GB2312" w:hAnsi="仿宋" w:eastAsia="仿宋_GB2312" w:cs="仿宋_GB2312"/>
          <w:b/>
          <w:bCs/>
          <w:color w:val="auto"/>
          <w:sz w:val="24"/>
        </w:rPr>
      </w:pPr>
    </w:p>
    <w:p w14:paraId="67BC48CF">
      <w:pPr>
        <w:autoSpaceDE w:val="0"/>
        <w:autoSpaceDN w:val="0"/>
        <w:spacing w:line="360" w:lineRule="auto"/>
        <w:ind w:firstLine="6505" w:firstLineChars="2700"/>
        <w:rPr>
          <w:rFonts w:hint="eastAsia" w:ascii="仿宋_GB2312" w:hAnsi="仿宋" w:eastAsia="仿宋_GB2312" w:cs="仿宋_GB2312"/>
          <w:b/>
          <w:bCs/>
          <w:color w:val="auto"/>
          <w:sz w:val="24"/>
        </w:rPr>
      </w:pPr>
    </w:p>
    <w:p w14:paraId="0BD227B2">
      <w:pPr>
        <w:autoSpaceDE w:val="0"/>
        <w:autoSpaceDN w:val="0"/>
        <w:spacing w:line="360" w:lineRule="auto"/>
        <w:ind w:firstLine="6505" w:firstLineChars="2700"/>
        <w:rPr>
          <w:rFonts w:hint="eastAsia" w:ascii="仿宋_GB2312" w:hAnsi="仿宋" w:eastAsia="仿宋_GB2312" w:cs="仿宋_GB2312"/>
          <w:b/>
          <w:bCs/>
          <w:color w:val="auto"/>
          <w:sz w:val="24"/>
        </w:rPr>
      </w:pPr>
    </w:p>
    <w:p w14:paraId="459E7C5D">
      <w:pPr>
        <w:autoSpaceDE w:val="0"/>
        <w:autoSpaceDN w:val="0"/>
        <w:spacing w:line="360" w:lineRule="auto"/>
        <w:ind w:firstLine="6505" w:firstLineChars="2700"/>
        <w:rPr>
          <w:rFonts w:hint="eastAsia" w:ascii="仿宋_GB2312" w:hAnsi="仿宋" w:eastAsia="仿宋_GB2312" w:cs="仿宋_GB2312"/>
          <w:b/>
          <w:bCs/>
          <w:color w:val="auto"/>
          <w:sz w:val="24"/>
        </w:rPr>
      </w:pPr>
    </w:p>
    <w:p w14:paraId="0B5F067F">
      <w:pPr>
        <w:autoSpaceDE w:val="0"/>
        <w:autoSpaceDN w:val="0"/>
        <w:spacing w:line="360" w:lineRule="auto"/>
        <w:ind w:firstLine="6505" w:firstLineChars="2700"/>
        <w:rPr>
          <w:rFonts w:hint="eastAsia" w:ascii="仿宋_GB2312" w:hAnsi="仿宋" w:eastAsia="仿宋_GB2312" w:cs="仿宋_GB2312"/>
          <w:b/>
          <w:bCs/>
          <w:color w:val="auto"/>
          <w:sz w:val="24"/>
        </w:rPr>
      </w:pPr>
    </w:p>
    <w:p w14:paraId="1CF9721E">
      <w:pPr>
        <w:autoSpaceDE w:val="0"/>
        <w:autoSpaceDN w:val="0"/>
        <w:spacing w:line="360" w:lineRule="auto"/>
        <w:ind w:firstLine="6505" w:firstLineChars="2700"/>
        <w:rPr>
          <w:rFonts w:hint="eastAsia" w:ascii="仿宋_GB2312" w:hAnsi="仿宋" w:eastAsia="仿宋_GB2312" w:cs="仿宋_GB2312"/>
          <w:b/>
          <w:bCs/>
          <w:color w:val="auto"/>
          <w:sz w:val="24"/>
        </w:rPr>
      </w:pPr>
    </w:p>
    <w:p w14:paraId="636112A5">
      <w:pPr>
        <w:autoSpaceDE w:val="0"/>
        <w:autoSpaceDN w:val="0"/>
        <w:spacing w:line="360" w:lineRule="auto"/>
        <w:ind w:firstLine="6505" w:firstLineChars="2700"/>
        <w:rPr>
          <w:rFonts w:hint="eastAsia" w:ascii="仿宋_GB2312" w:hAnsi="仿宋" w:eastAsia="仿宋_GB2312" w:cs="仿宋_GB2312"/>
          <w:b/>
          <w:bCs/>
          <w:color w:val="auto"/>
          <w:sz w:val="24"/>
        </w:rPr>
      </w:pPr>
    </w:p>
    <w:p w14:paraId="7EAC8B0F">
      <w:pPr>
        <w:autoSpaceDE w:val="0"/>
        <w:autoSpaceDN w:val="0"/>
        <w:spacing w:line="360" w:lineRule="auto"/>
        <w:ind w:firstLine="6505" w:firstLineChars="2700"/>
        <w:rPr>
          <w:rFonts w:hint="eastAsia" w:ascii="仿宋_GB2312" w:hAnsi="仿宋" w:eastAsia="仿宋_GB2312" w:cs="仿宋_GB2312"/>
          <w:b/>
          <w:bCs/>
          <w:color w:val="auto"/>
          <w:sz w:val="24"/>
        </w:rPr>
      </w:pPr>
    </w:p>
    <w:p w14:paraId="73D8114E">
      <w:pPr>
        <w:pStyle w:val="7"/>
        <w:jc w:val="center"/>
        <w:rPr>
          <w:rFonts w:hint="eastAsia" w:ascii="宋体" w:hAnsi="宋体"/>
          <w:color w:val="auto"/>
        </w:rPr>
      </w:pPr>
      <w:bookmarkStart w:id="167" w:name="_Toc12611"/>
      <w:bookmarkStart w:id="168" w:name="_Toc80886945"/>
      <w:bookmarkStart w:id="169" w:name="_Toc31035"/>
      <w:bookmarkStart w:id="170" w:name="_Toc80205941"/>
      <w:r>
        <w:rPr>
          <w:rFonts w:hint="eastAsia" w:ascii="宋体" w:hAnsi="宋体"/>
          <w:color w:val="auto"/>
        </w:rPr>
        <w:t>第三节 报价文件格式</w:t>
      </w:r>
      <w:bookmarkEnd w:id="167"/>
      <w:bookmarkEnd w:id="168"/>
      <w:bookmarkEnd w:id="169"/>
      <w:bookmarkEnd w:id="170"/>
    </w:p>
    <w:p w14:paraId="4F8B008C">
      <w:pPr>
        <w:pStyle w:val="25"/>
        <w:rPr>
          <w:color w:val="auto"/>
          <w:lang w:val="zh-CN"/>
        </w:rPr>
      </w:pPr>
      <w:r>
        <w:rPr>
          <w:rFonts w:hint="eastAsia" w:ascii="宋体" w:hAnsi="宋体" w:cs="宋体"/>
          <w:b/>
          <w:bCs/>
          <w:color w:val="auto"/>
          <w:sz w:val="28"/>
          <w:szCs w:val="28"/>
        </w:rPr>
        <w:t>1.报价文件封面的格式</w:t>
      </w:r>
      <w:r>
        <w:rPr>
          <w:rFonts w:hint="eastAsia" w:ascii="宋体" w:hAnsi="宋体" w:cs="宋体"/>
          <w:b/>
          <w:color w:val="auto"/>
          <w:sz w:val="28"/>
          <w:szCs w:val="28"/>
        </w:rPr>
        <w:t>（参照此格式自拟）</w:t>
      </w:r>
      <w:r>
        <w:rPr>
          <w:rFonts w:hint="eastAsia" w:ascii="宋体" w:hAnsi="宋体" w:cs="宋体"/>
          <w:b/>
          <w:bCs/>
          <w:color w:val="auto"/>
          <w:sz w:val="28"/>
          <w:szCs w:val="28"/>
        </w:rPr>
        <w:t>：</w:t>
      </w:r>
    </w:p>
    <w:p w14:paraId="1B65EEC3">
      <w:pPr>
        <w:snapToGrid w:val="0"/>
        <w:spacing w:before="120" w:beforeLines="50" w:after="50"/>
        <w:rPr>
          <w:color w:val="auto"/>
          <w:sz w:val="24"/>
        </w:rPr>
      </w:pPr>
    </w:p>
    <w:p w14:paraId="1CE57AE1">
      <w:pPr>
        <w:snapToGrid w:val="0"/>
        <w:spacing w:before="120" w:beforeLines="50" w:after="50"/>
        <w:ind w:firstLine="6720" w:firstLineChars="3200"/>
        <w:rPr>
          <w:bCs/>
          <w:color w:val="auto"/>
          <w:sz w:val="32"/>
          <w:szCs w:val="20"/>
        </w:rPr>
      </w:pPr>
      <w:r>
        <w:rPr>
          <w:rFonts w:hint="eastAsia"/>
          <w:bCs/>
          <w:color w:val="auto"/>
        </w:rPr>
        <w:t>全流程电子文件</w:t>
      </w:r>
    </w:p>
    <w:p w14:paraId="70475335">
      <w:pPr>
        <w:snapToGrid w:val="0"/>
        <w:spacing w:before="120" w:beforeLines="50" w:after="50"/>
        <w:rPr>
          <w:color w:val="auto"/>
          <w:sz w:val="24"/>
          <w:szCs w:val="20"/>
        </w:rPr>
      </w:pPr>
    </w:p>
    <w:p w14:paraId="67D398EB">
      <w:pPr>
        <w:snapToGrid w:val="0"/>
        <w:spacing w:before="120" w:beforeLines="50" w:after="50"/>
        <w:rPr>
          <w:color w:val="auto"/>
          <w:sz w:val="24"/>
          <w:szCs w:val="20"/>
        </w:rPr>
      </w:pPr>
    </w:p>
    <w:p w14:paraId="7E0E0723">
      <w:pPr>
        <w:snapToGrid w:val="0"/>
        <w:spacing w:before="120" w:beforeLines="50" w:after="50"/>
        <w:rPr>
          <w:color w:val="auto"/>
          <w:sz w:val="24"/>
          <w:szCs w:val="20"/>
        </w:rPr>
      </w:pPr>
    </w:p>
    <w:p w14:paraId="650ACF44">
      <w:pPr>
        <w:snapToGrid w:val="0"/>
        <w:spacing w:before="120" w:beforeLines="50" w:after="50"/>
        <w:jc w:val="center"/>
        <w:rPr>
          <w:rFonts w:hint="eastAsia" w:ascii="仿宋" w:hAnsi="仿宋" w:eastAsia="仿宋" w:cs="仿宋"/>
          <w:bCs/>
          <w:color w:val="auto"/>
          <w:sz w:val="44"/>
          <w:szCs w:val="44"/>
        </w:rPr>
      </w:pPr>
      <w:r>
        <w:rPr>
          <w:rFonts w:hint="eastAsia" w:ascii="仿宋" w:hAnsi="仿宋" w:eastAsia="仿宋" w:cs="仿宋"/>
          <w:bCs/>
          <w:color w:val="auto"/>
          <w:sz w:val="44"/>
          <w:szCs w:val="44"/>
        </w:rPr>
        <w:t>报 价  文  件</w:t>
      </w:r>
    </w:p>
    <w:p w14:paraId="03BE65EF">
      <w:pPr>
        <w:snapToGrid w:val="0"/>
        <w:spacing w:before="120" w:beforeLines="50" w:after="50"/>
        <w:rPr>
          <w:bCs/>
          <w:color w:val="auto"/>
          <w:sz w:val="24"/>
          <w:szCs w:val="20"/>
        </w:rPr>
      </w:pPr>
    </w:p>
    <w:p w14:paraId="5806887D">
      <w:pPr>
        <w:snapToGrid w:val="0"/>
        <w:spacing w:before="120" w:beforeLines="50" w:after="50"/>
        <w:rPr>
          <w:bCs/>
          <w:color w:val="auto"/>
          <w:sz w:val="24"/>
          <w:szCs w:val="20"/>
        </w:rPr>
      </w:pPr>
    </w:p>
    <w:p w14:paraId="535AEC8D">
      <w:pPr>
        <w:snapToGrid w:val="0"/>
        <w:spacing w:before="120" w:beforeLines="50" w:after="50"/>
        <w:rPr>
          <w:bCs/>
          <w:color w:val="auto"/>
          <w:sz w:val="24"/>
          <w:szCs w:val="20"/>
        </w:rPr>
      </w:pPr>
    </w:p>
    <w:p w14:paraId="05646130">
      <w:pPr>
        <w:snapToGrid w:val="0"/>
        <w:spacing w:before="120" w:beforeLines="50" w:after="50"/>
        <w:rPr>
          <w:bCs/>
          <w:color w:val="auto"/>
          <w:sz w:val="24"/>
          <w:szCs w:val="20"/>
        </w:rPr>
      </w:pPr>
    </w:p>
    <w:p w14:paraId="1A53FB69">
      <w:pPr>
        <w:snapToGrid w:val="0"/>
        <w:spacing w:before="120" w:beforeLines="50" w:after="50"/>
        <w:rPr>
          <w:bCs/>
          <w:color w:val="auto"/>
          <w:sz w:val="24"/>
          <w:szCs w:val="20"/>
        </w:rPr>
      </w:pPr>
    </w:p>
    <w:p w14:paraId="71863CCE">
      <w:pPr>
        <w:snapToGrid w:val="0"/>
        <w:spacing w:before="120" w:beforeLines="50" w:after="50"/>
        <w:ind w:firstLine="640" w:firstLineChars="200"/>
        <w:rPr>
          <w:rFonts w:cs="仿宋_GB2312"/>
          <w:bCs/>
          <w:color w:val="auto"/>
          <w:sz w:val="32"/>
          <w:szCs w:val="32"/>
        </w:rPr>
      </w:pPr>
      <w:r>
        <w:rPr>
          <w:rFonts w:hint="eastAsia" w:cs="仿宋_GB2312"/>
          <w:bCs/>
          <w:color w:val="auto"/>
          <w:sz w:val="32"/>
          <w:szCs w:val="32"/>
        </w:rPr>
        <w:t>项目名称：</w:t>
      </w:r>
    </w:p>
    <w:p w14:paraId="28CFBA8C">
      <w:pPr>
        <w:snapToGrid w:val="0"/>
        <w:spacing w:before="120" w:beforeLines="50" w:after="50"/>
        <w:ind w:firstLine="720" w:firstLineChars="225"/>
        <w:rPr>
          <w:rFonts w:cs="仿宋_GB2312"/>
          <w:bCs/>
          <w:color w:val="auto"/>
          <w:sz w:val="32"/>
          <w:szCs w:val="32"/>
        </w:rPr>
      </w:pPr>
    </w:p>
    <w:p w14:paraId="266D1E01">
      <w:pPr>
        <w:snapToGrid w:val="0"/>
        <w:spacing w:before="120" w:beforeLines="50" w:after="50"/>
        <w:ind w:firstLine="640" w:firstLineChars="200"/>
        <w:rPr>
          <w:rFonts w:cs="仿宋_GB2312"/>
          <w:bCs/>
          <w:color w:val="auto"/>
          <w:sz w:val="32"/>
          <w:szCs w:val="32"/>
        </w:rPr>
      </w:pPr>
      <w:r>
        <w:rPr>
          <w:rFonts w:hint="eastAsia" w:cs="仿宋_GB2312"/>
          <w:bCs/>
          <w:color w:val="auto"/>
          <w:sz w:val="32"/>
          <w:szCs w:val="32"/>
        </w:rPr>
        <w:t>项目编号：</w:t>
      </w:r>
    </w:p>
    <w:p w14:paraId="1AF6515D">
      <w:pPr>
        <w:snapToGrid w:val="0"/>
        <w:spacing w:before="120" w:beforeLines="50" w:after="50"/>
        <w:ind w:firstLine="720" w:firstLineChars="225"/>
        <w:rPr>
          <w:rFonts w:cs="仿宋_GB2312"/>
          <w:bCs/>
          <w:color w:val="auto"/>
          <w:sz w:val="32"/>
          <w:szCs w:val="32"/>
        </w:rPr>
      </w:pPr>
    </w:p>
    <w:p w14:paraId="5161B484">
      <w:pPr>
        <w:snapToGrid w:val="0"/>
        <w:spacing w:before="120" w:beforeLines="50" w:after="50"/>
        <w:ind w:firstLine="640" w:firstLineChars="200"/>
        <w:rPr>
          <w:rFonts w:cs="仿宋_GB2312"/>
          <w:bCs/>
          <w:color w:val="auto"/>
          <w:sz w:val="32"/>
          <w:szCs w:val="32"/>
        </w:rPr>
      </w:pPr>
      <w:r>
        <w:rPr>
          <w:rFonts w:hint="eastAsia" w:cs="仿宋_GB2312"/>
          <w:bCs/>
          <w:color w:val="auto"/>
          <w:sz w:val="32"/>
          <w:szCs w:val="32"/>
        </w:rPr>
        <w:t>所竞分标（如有则填写，无分标时填写“无”或者留空）：</w:t>
      </w:r>
    </w:p>
    <w:p w14:paraId="74BFBF26">
      <w:pPr>
        <w:snapToGrid w:val="0"/>
        <w:spacing w:before="120" w:beforeLines="50" w:after="50"/>
        <w:ind w:firstLine="720" w:firstLineChars="225"/>
        <w:rPr>
          <w:rFonts w:cs="仿宋_GB2312"/>
          <w:bCs/>
          <w:color w:val="auto"/>
          <w:sz w:val="32"/>
          <w:szCs w:val="32"/>
        </w:rPr>
      </w:pPr>
    </w:p>
    <w:p w14:paraId="66615EAC">
      <w:pPr>
        <w:pStyle w:val="11"/>
        <w:snapToGrid w:val="0"/>
        <w:spacing w:before="50" w:after="50"/>
        <w:ind w:firstLine="640" w:firstLineChars="200"/>
        <w:rPr>
          <w:rFonts w:cs="仿宋_GB2312"/>
          <w:bCs/>
          <w:color w:val="auto"/>
          <w:sz w:val="32"/>
          <w:szCs w:val="32"/>
        </w:rPr>
      </w:pPr>
      <w:r>
        <w:rPr>
          <w:rFonts w:hint="eastAsia" w:cs="仿宋_GB2312"/>
          <w:bCs/>
          <w:color w:val="auto"/>
          <w:sz w:val="32"/>
          <w:szCs w:val="32"/>
        </w:rPr>
        <w:t>供应商名称：</w:t>
      </w:r>
    </w:p>
    <w:p w14:paraId="097063A7">
      <w:pPr>
        <w:pStyle w:val="11"/>
        <w:snapToGrid w:val="0"/>
        <w:spacing w:before="50" w:after="50"/>
        <w:ind w:firstLine="720" w:firstLineChars="225"/>
        <w:rPr>
          <w:rFonts w:cs="仿宋_GB2312"/>
          <w:bCs/>
          <w:color w:val="auto"/>
          <w:sz w:val="32"/>
          <w:szCs w:val="32"/>
        </w:rPr>
      </w:pPr>
    </w:p>
    <w:p w14:paraId="4346DC73">
      <w:pPr>
        <w:pStyle w:val="11"/>
        <w:snapToGrid w:val="0"/>
        <w:spacing w:before="50" w:after="50"/>
        <w:ind w:firstLine="720" w:firstLineChars="225"/>
        <w:rPr>
          <w:rFonts w:cs="仿宋_GB2312"/>
          <w:bCs/>
          <w:color w:val="auto"/>
          <w:sz w:val="32"/>
          <w:szCs w:val="32"/>
        </w:rPr>
      </w:pPr>
    </w:p>
    <w:p w14:paraId="6D4F472F">
      <w:pPr>
        <w:pStyle w:val="11"/>
        <w:snapToGrid w:val="0"/>
        <w:spacing w:before="50" w:after="50"/>
        <w:ind w:firstLine="1280" w:firstLineChars="400"/>
        <w:rPr>
          <w:rFonts w:cs="仿宋_GB2312"/>
          <w:bCs/>
          <w:color w:val="auto"/>
          <w:sz w:val="32"/>
          <w:szCs w:val="32"/>
        </w:rPr>
      </w:pPr>
    </w:p>
    <w:p w14:paraId="44AA638E">
      <w:pPr>
        <w:snapToGrid w:val="0"/>
        <w:spacing w:before="120" w:beforeLines="50" w:after="50"/>
        <w:jc w:val="center"/>
        <w:rPr>
          <w:rFonts w:cs="仿宋_GB2312"/>
          <w:color w:val="auto"/>
          <w:sz w:val="32"/>
          <w:szCs w:val="32"/>
        </w:rPr>
      </w:pPr>
      <w:r>
        <w:rPr>
          <w:rFonts w:hint="eastAsia" w:cs="仿宋_GB2312"/>
          <w:color w:val="auto"/>
          <w:sz w:val="32"/>
          <w:szCs w:val="32"/>
        </w:rPr>
        <w:t>年    月    日</w:t>
      </w:r>
    </w:p>
    <w:p w14:paraId="371D6317">
      <w:pPr>
        <w:snapToGrid w:val="0"/>
        <w:spacing w:before="120" w:beforeLines="50" w:after="50" w:line="360" w:lineRule="auto"/>
        <w:jc w:val="left"/>
        <w:rPr>
          <w:rFonts w:hint="eastAsia" w:ascii="宋体" w:hAnsi="宋体" w:cs="宋体"/>
          <w:color w:val="auto"/>
          <w:sz w:val="28"/>
          <w:szCs w:val="28"/>
        </w:rPr>
      </w:pPr>
      <w:r>
        <w:rPr>
          <w:color w:val="auto"/>
          <w:sz w:val="24"/>
        </w:rPr>
        <w:br w:type="page"/>
      </w:r>
      <w:r>
        <w:rPr>
          <w:rFonts w:hint="eastAsia" w:ascii="宋体" w:hAnsi="宋体" w:cs="宋体"/>
          <w:b/>
          <w:color w:val="auto"/>
          <w:sz w:val="28"/>
          <w:szCs w:val="28"/>
        </w:rPr>
        <w:t>2.</w:t>
      </w:r>
      <w:r>
        <w:rPr>
          <w:rFonts w:hint="eastAsia" w:ascii="宋体" w:hAnsi="宋体" w:cs="宋体"/>
          <w:b/>
          <w:bCs/>
          <w:color w:val="auto"/>
          <w:sz w:val="28"/>
          <w:szCs w:val="28"/>
        </w:rPr>
        <w:t>报价文件目录</w:t>
      </w:r>
    </w:p>
    <w:p w14:paraId="2198D907">
      <w:pPr>
        <w:snapToGrid w:val="0"/>
        <w:spacing w:before="50" w:after="120" w:afterLines="50" w:line="360" w:lineRule="auto"/>
        <w:jc w:val="left"/>
        <w:rPr>
          <w:rFonts w:hint="eastAsia" w:ascii="宋体" w:hAnsi="宋体" w:cs="宋体"/>
          <w:b/>
          <w:color w:val="auto"/>
          <w:sz w:val="28"/>
          <w:szCs w:val="28"/>
        </w:rPr>
      </w:pPr>
      <w:r>
        <w:rPr>
          <w:rFonts w:hint="eastAsia" w:ascii="宋体" w:hAnsi="宋体" w:cs="宋体"/>
          <w:color w:val="auto"/>
          <w:sz w:val="28"/>
          <w:szCs w:val="28"/>
        </w:rPr>
        <w:t>根据竞争性磋商文件规定及供应商提供的材料自行编写目录</w:t>
      </w:r>
      <w:r>
        <w:rPr>
          <w:rFonts w:hint="eastAsia" w:ascii="宋体" w:hAnsi="宋体" w:cs="宋体"/>
          <w:color w:val="auto"/>
          <w:kern w:val="0"/>
          <w:sz w:val="28"/>
          <w:szCs w:val="28"/>
        </w:rPr>
        <w:t>（部分格式后附）</w:t>
      </w:r>
      <w:r>
        <w:rPr>
          <w:rFonts w:hint="eastAsia" w:ascii="宋体" w:hAnsi="宋体" w:cs="宋体"/>
          <w:color w:val="auto"/>
          <w:sz w:val="28"/>
          <w:szCs w:val="28"/>
        </w:rPr>
        <w:t>。</w:t>
      </w:r>
    </w:p>
    <w:p w14:paraId="78EC2F9E">
      <w:pPr>
        <w:spacing w:line="360" w:lineRule="auto"/>
        <w:rPr>
          <w:rFonts w:hint="eastAsia" w:ascii="仿宋_GB2312" w:hAnsi="仿宋" w:eastAsia="仿宋_GB2312" w:cs="仿宋_GB2312"/>
          <w:color w:val="auto"/>
          <w:sz w:val="24"/>
        </w:rPr>
      </w:pPr>
    </w:p>
    <w:p w14:paraId="6425BC2D">
      <w:pPr>
        <w:snapToGrid w:val="0"/>
        <w:spacing w:before="120" w:beforeLines="50" w:after="50" w:line="360" w:lineRule="auto"/>
        <w:ind w:left="142" w:firstLine="640" w:firstLineChars="200"/>
        <w:jc w:val="left"/>
        <w:rPr>
          <w:rFonts w:hint="eastAsia" w:ascii="仿宋_GB2312" w:hAnsi="仿宋_GB2312" w:eastAsia="仿宋_GB2312" w:cs="仿宋_GB2312"/>
          <w:color w:val="auto"/>
          <w:sz w:val="32"/>
          <w:szCs w:val="32"/>
        </w:rPr>
      </w:pPr>
    </w:p>
    <w:p w14:paraId="797B742C">
      <w:pPr>
        <w:snapToGrid w:val="0"/>
        <w:spacing w:before="120" w:beforeLines="50" w:after="50" w:line="360" w:lineRule="auto"/>
        <w:jc w:val="left"/>
        <w:rPr>
          <w:rFonts w:ascii="Calibri" w:cs="仿宋_GB2312"/>
          <w:color w:val="auto"/>
          <w:sz w:val="24"/>
        </w:rPr>
      </w:pPr>
      <w:r>
        <w:rPr>
          <w:rFonts w:ascii="Calibri" w:cs="仿宋_GB2312"/>
          <w:color w:val="auto"/>
          <w:sz w:val="24"/>
        </w:rPr>
        <w:br w:type="page"/>
      </w:r>
      <w:r>
        <w:rPr>
          <w:rFonts w:hint="eastAsia" w:ascii="宋体" w:hAnsi="宋体" w:cs="宋体"/>
          <w:b/>
          <w:color w:val="auto"/>
          <w:sz w:val="28"/>
          <w:szCs w:val="28"/>
        </w:rPr>
        <w:t>3.</w:t>
      </w:r>
      <w:r>
        <w:rPr>
          <w:rFonts w:hint="eastAsia" w:ascii="宋体" w:hAnsi="宋体" w:cs="宋体"/>
          <w:b/>
          <w:color w:val="auto"/>
          <w:sz w:val="28"/>
          <w:szCs w:val="28"/>
          <w:lang w:val="zh-CN"/>
        </w:rPr>
        <w:t>响应函的格式：</w:t>
      </w:r>
    </w:p>
    <w:p w14:paraId="0D1820D5">
      <w:pPr>
        <w:pStyle w:val="22"/>
        <w:spacing w:line="500" w:lineRule="exact"/>
        <w:ind w:firstLine="602"/>
        <w:jc w:val="center"/>
        <w:rPr>
          <w:rFonts w:hint="eastAsia" w:hAnsi="宋体" w:cs="宋体"/>
          <w:b/>
          <w:bCs/>
          <w:color w:val="auto"/>
          <w:sz w:val="30"/>
          <w:szCs w:val="30"/>
        </w:rPr>
      </w:pPr>
      <w:r>
        <w:rPr>
          <w:rFonts w:hint="eastAsia" w:hAnsi="宋体" w:cs="宋体"/>
          <w:b/>
          <w:bCs/>
          <w:color w:val="auto"/>
          <w:sz w:val="30"/>
          <w:szCs w:val="30"/>
        </w:rPr>
        <w:t>响应函</w:t>
      </w:r>
    </w:p>
    <w:p w14:paraId="55F55AC0">
      <w:pPr>
        <w:pStyle w:val="22"/>
        <w:spacing w:line="360" w:lineRule="auto"/>
        <w:rPr>
          <w:rFonts w:hint="eastAsia" w:hAnsi="宋体" w:cs="宋体"/>
          <w:color w:val="auto"/>
          <w:sz w:val="24"/>
          <w:szCs w:val="24"/>
        </w:rPr>
      </w:pPr>
    </w:p>
    <w:p w14:paraId="4EE88665">
      <w:pPr>
        <w:pStyle w:val="22"/>
        <w:spacing w:line="360" w:lineRule="auto"/>
        <w:rPr>
          <w:rFonts w:hint="eastAsia" w:hAnsi="宋体" w:cs="宋体"/>
          <w:color w:val="auto"/>
          <w:sz w:val="21"/>
        </w:rPr>
      </w:pPr>
      <w:r>
        <w:rPr>
          <w:rFonts w:hint="eastAsia" w:hAnsi="宋体" w:cs="宋体"/>
          <w:color w:val="auto"/>
          <w:sz w:val="21"/>
        </w:rPr>
        <w:t>致：</w:t>
      </w:r>
      <w:r>
        <w:rPr>
          <w:rFonts w:hint="eastAsia" w:hAnsi="宋体" w:cs="宋体"/>
          <w:color w:val="auto"/>
          <w:sz w:val="21"/>
          <w:u w:val="single"/>
        </w:rPr>
        <w:t xml:space="preserve">    （采购代理机构或采购人名称）</w:t>
      </w:r>
    </w:p>
    <w:p w14:paraId="1B240E44">
      <w:pPr>
        <w:pStyle w:val="22"/>
        <w:spacing w:line="360" w:lineRule="auto"/>
        <w:ind w:left="899" w:leftChars="228" w:hanging="420" w:hangingChars="200"/>
        <w:rPr>
          <w:rFonts w:hint="eastAsia" w:hAnsi="宋体" w:cs="宋体"/>
          <w:color w:val="auto"/>
          <w:sz w:val="21"/>
        </w:rPr>
      </w:pPr>
      <w:r>
        <w:rPr>
          <w:rFonts w:hint="eastAsia" w:hAnsi="宋体" w:cs="宋体"/>
          <w:color w:val="auto"/>
          <w:sz w:val="21"/>
        </w:rPr>
        <w:t>我方已仔细阅读了贵方组织的</w:t>
      </w:r>
      <w:r>
        <w:rPr>
          <w:rFonts w:hint="eastAsia" w:hAnsi="宋体" w:cs="宋体"/>
          <w:color w:val="auto"/>
          <w:sz w:val="21"/>
          <w:u w:val="single"/>
        </w:rPr>
        <w:t xml:space="preserve">            </w:t>
      </w:r>
      <w:r>
        <w:rPr>
          <w:rFonts w:hint="eastAsia" w:hAnsi="宋体" w:cs="宋体"/>
          <w:color w:val="auto"/>
          <w:sz w:val="21"/>
        </w:rPr>
        <w:t>项目（项目编号：</w:t>
      </w:r>
      <w:bookmarkStart w:id="171" w:name="PO_3000001871_PM001_11"/>
      <w:r>
        <w:rPr>
          <w:rFonts w:hint="eastAsia" w:hAnsi="宋体" w:cs="宋体"/>
          <w:color w:val="auto"/>
          <w:sz w:val="21"/>
          <w:u w:val="single"/>
        </w:rPr>
        <w:t xml:space="preserve">    </w:t>
      </w:r>
      <w:bookmarkEnd w:id="171"/>
      <w:r>
        <w:rPr>
          <w:rFonts w:hint="eastAsia" w:hAnsi="宋体" w:cs="宋体"/>
          <w:color w:val="auto"/>
          <w:sz w:val="21"/>
        </w:rPr>
        <w:t>）的竞争性磋商采购文</w:t>
      </w:r>
    </w:p>
    <w:p w14:paraId="720B84F3">
      <w:pPr>
        <w:pStyle w:val="22"/>
        <w:spacing w:line="360" w:lineRule="auto"/>
        <w:rPr>
          <w:rFonts w:hint="eastAsia" w:hAnsi="宋体" w:cs="宋体"/>
          <w:color w:val="auto"/>
          <w:sz w:val="21"/>
        </w:rPr>
      </w:pPr>
      <w:r>
        <w:rPr>
          <w:rFonts w:hint="eastAsia" w:hAnsi="宋体" w:cs="宋体"/>
          <w:color w:val="auto"/>
          <w:sz w:val="21"/>
        </w:rPr>
        <w:t xml:space="preserve">件的全部内容，现正式递交下述文件参加贵方组织的本次政府采购活动： </w:t>
      </w:r>
    </w:p>
    <w:p w14:paraId="469743F2">
      <w:pPr>
        <w:pStyle w:val="22"/>
        <w:spacing w:line="360" w:lineRule="auto"/>
        <w:ind w:firstLine="420" w:firstLineChars="200"/>
        <w:rPr>
          <w:rFonts w:hint="eastAsia" w:hAnsi="宋体" w:cs="宋体"/>
          <w:color w:val="auto"/>
          <w:sz w:val="21"/>
        </w:rPr>
      </w:pPr>
      <w:r>
        <w:rPr>
          <w:rFonts w:hint="eastAsia" w:hAnsi="宋体" w:cs="宋体"/>
          <w:color w:val="auto"/>
          <w:sz w:val="21"/>
        </w:rPr>
        <w:t>一、首次报价文件电子版</w:t>
      </w:r>
      <w:r>
        <w:rPr>
          <w:rFonts w:hint="eastAsia" w:hAnsi="宋体" w:cs="宋体"/>
          <w:color w:val="auto"/>
          <w:sz w:val="21"/>
          <w:u w:val="single"/>
        </w:rPr>
        <w:t xml:space="preserve">   </w:t>
      </w:r>
      <w:r>
        <w:rPr>
          <w:rFonts w:hint="eastAsia" w:hAnsi="宋体" w:cs="宋体"/>
          <w:color w:val="auto"/>
          <w:sz w:val="21"/>
        </w:rPr>
        <w:t>份（包含按“第三章 供应商须知”提交的全部文件）；</w:t>
      </w:r>
    </w:p>
    <w:p w14:paraId="4A549F3C">
      <w:pPr>
        <w:pStyle w:val="22"/>
        <w:spacing w:line="360" w:lineRule="auto"/>
        <w:ind w:firstLine="420" w:firstLineChars="200"/>
        <w:rPr>
          <w:rFonts w:hint="eastAsia" w:hAnsi="宋体" w:cs="宋体"/>
          <w:color w:val="auto"/>
          <w:sz w:val="21"/>
        </w:rPr>
      </w:pPr>
      <w:r>
        <w:rPr>
          <w:rFonts w:hint="eastAsia" w:hAnsi="宋体" w:cs="宋体"/>
          <w:color w:val="auto"/>
          <w:sz w:val="21"/>
        </w:rPr>
        <w:t>二、商务技术文件电子版</w:t>
      </w:r>
      <w:r>
        <w:rPr>
          <w:rFonts w:hint="eastAsia" w:hAnsi="宋体" w:cs="宋体"/>
          <w:color w:val="auto"/>
          <w:sz w:val="21"/>
          <w:u w:val="single"/>
        </w:rPr>
        <w:t xml:space="preserve">   </w:t>
      </w:r>
      <w:r>
        <w:rPr>
          <w:rFonts w:hint="eastAsia" w:hAnsi="宋体" w:cs="宋体"/>
          <w:color w:val="auto"/>
          <w:sz w:val="21"/>
        </w:rPr>
        <w:t>份（包含按“第三章 供应商须知”提交的全部文件）（商务技术文件已合并装订成册）</w:t>
      </w:r>
    </w:p>
    <w:p w14:paraId="186CCD1B">
      <w:pPr>
        <w:pStyle w:val="22"/>
        <w:spacing w:line="360" w:lineRule="auto"/>
        <w:ind w:firstLine="420" w:firstLineChars="200"/>
        <w:rPr>
          <w:rFonts w:hint="eastAsia" w:hAnsi="宋体" w:cs="宋体"/>
          <w:color w:val="auto"/>
          <w:sz w:val="21"/>
        </w:rPr>
      </w:pPr>
      <w:r>
        <w:rPr>
          <w:rFonts w:hint="eastAsia" w:hAnsi="宋体" w:cs="宋体"/>
          <w:color w:val="auto"/>
          <w:sz w:val="21"/>
        </w:rPr>
        <w:t>三、资格证明文件电子版</w:t>
      </w:r>
      <w:r>
        <w:rPr>
          <w:rFonts w:hint="eastAsia" w:hAnsi="宋体" w:cs="宋体"/>
          <w:color w:val="auto"/>
          <w:sz w:val="21"/>
          <w:u w:val="single"/>
        </w:rPr>
        <w:t xml:space="preserve">    份</w:t>
      </w:r>
      <w:r>
        <w:rPr>
          <w:rFonts w:hint="eastAsia" w:hAnsi="宋体" w:cs="宋体"/>
          <w:color w:val="auto"/>
          <w:sz w:val="21"/>
        </w:rPr>
        <w:t xml:space="preserve"> （包含按“第三章供应商须知”提交的全部文件）；</w:t>
      </w:r>
    </w:p>
    <w:p w14:paraId="68A3B9DF">
      <w:pPr>
        <w:pStyle w:val="22"/>
        <w:spacing w:line="360" w:lineRule="auto"/>
        <w:ind w:firstLine="420" w:firstLineChars="200"/>
        <w:rPr>
          <w:rFonts w:hint="eastAsia" w:hAnsi="宋体" w:cs="宋体"/>
          <w:color w:val="auto"/>
          <w:sz w:val="21"/>
        </w:rPr>
      </w:pPr>
      <w:r>
        <w:rPr>
          <w:rFonts w:hint="eastAsia" w:hAnsi="宋体" w:cs="宋体"/>
          <w:color w:val="auto"/>
          <w:sz w:val="21"/>
        </w:rPr>
        <w:t>据此函，签字人兹宣布：</w:t>
      </w:r>
    </w:p>
    <w:p w14:paraId="0C476B81">
      <w:pPr>
        <w:pStyle w:val="22"/>
        <w:numPr>
          <w:ilvl w:val="0"/>
          <w:numId w:val="8"/>
        </w:numPr>
        <w:spacing w:line="360" w:lineRule="auto"/>
        <w:ind w:firstLine="420"/>
        <w:rPr>
          <w:rFonts w:hint="eastAsia" w:hAnsi="宋体" w:cs="宋体"/>
          <w:color w:val="auto"/>
          <w:sz w:val="21"/>
        </w:rPr>
      </w:pPr>
      <w:r>
        <w:rPr>
          <w:rFonts w:hint="eastAsia" w:hAnsi="宋体" w:cs="宋体"/>
          <w:color w:val="auto"/>
          <w:sz w:val="21"/>
        </w:rPr>
        <w:t>我方愿意以（大写）人民币</w:t>
      </w:r>
      <w:r>
        <w:rPr>
          <w:rFonts w:hint="eastAsia" w:hAnsi="宋体" w:cs="宋体"/>
          <w:color w:val="auto"/>
          <w:sz w:val="21"/>
          <w:u w:val="single"/>
        </w:rPr>
        <w:t xml:space="preserve">        （¥       元)</w:t>
      </w:r>
      <w:r>
        <w:rPr>
          <w:rFonts w:hint="eastAsia" w:hAnsi="宋体" w:cs="宋体"/>
          <w:color w:val="auto"/>
          <w:sz w:val="21"/>
        </w:rPr>
        <w:t>的竞标总报价</w:t>
      </w:r>
      <w:r>
        <w:rPr>
          <w:rFonts w:hint="eastAsia" w:ascii="宋体" w:hAnsi="宋体" w:eastAsia="宋体" w:cs="宋体"/>
          <w:color w:val="auto"/>
          <w:sz w:val="21"/>
        </w:rPr>
        <w:t>，</w:t>
      </w:r>
      <w:r>
        <w:rPr>
          <w:rFonts w:hint="default" w:ascii="宋体" w:hAnsi="宋体" w:eastAsia="宋体" w:cs="宋体"/>
          <w:color w:val="auto"/>
          <w:sz w:val="21"/>
          <w:lang w:val="en-US" w:eastAsia="zh-CN"/>
        </w:rPr>
        <w:t>合同履行期限</w:t>
      </w:r>
      <w:r>
        <w:rPr>
          <w:rFonts w:hint="eastAsia" w:ascii="宋体" w:hAnsi="宋体" w:eastAsia="宋体" w:cs="宋体"/>
          <w:color w:val="auto"/>
          <w:sz w:val="21"/>
        </w:rPr>
        <w:t>：</w:t>
      </w:r>
      <w:r>
        <w:rPr>
          <w:rFonts w:hint="eastAsia" w:ascii="宋体" w:hAnsi="宋体" w:eastAsia="宋体" w:cs="宋体"/>
          <w:color w:val="auto"/>
          <w:sz w:val="21"/>
          <w:u w:val="single"/>
        </w:rPr>
        <w:t xml:space="preserve">            </w:t>
      </w:r>
      <w:r>
        <w:rPr>
          <w:rFonts w:hint="eastAsia" w:ascii="宋体" w:hAnsi="宋体" w:eastAsia="宋体" w:cs="宋体"/>
          <w:color w:val="auto"/>
          <w:sz w:val="21"/>
        </w:rPr>
        <w:t>，提供本项目竞争磋商采购文件第二章“服务需求”中相应的采购内</w:t>
      </w:r>
      <w:r>
        <w:rPr>
          <w:rFonts w:hint="eastAsia" w:hAnsi="宋体" w:cs="宋体"/>
          <w:color w:val="auto"/>
          <w:sz w:val="21"/>
        </w:rPr>
        <w:t>容。</w:t>
      </w:r>
    </w:p>
    <w:p w14:paraId="22E908B8">
      <w:pPr>
        <w:pStyle w:val="14"/>
        <w:ind w:left="0"/>
        <w:rPr>
          <w:color w:val="auto"/>
        </w:rPr>
      </w:pPr>
    </w:p>
    <w:p w14:paraId="6C338C83">
      <w:pPr>
        <w:pStyle w:val="22"/>
        <w:spacing w:line="360" w:lineRule="auto"/>
        <w:ind w:firstLine="420"/>
        <w:rPr>
          <w:rFonts w:hint="eastAsia" w:hAnsi="宋体" w:cs="宋体"/>
          <w:color w:val="auto"/>
          <w:sz w:val="21"/>
        </w:rPr>
      </w:pPr>
      <w:r>
        <w:rPr>
          <w:rFonts w:hint="eastAsia" w:hAnsi="宋体" w:cs="宋体"/>
          <w:color w:val="auto"/>
          <w:sz w:val="21"/>
        </w:rPr>
        <w:t>2、我方同意自本项目竞争性磋商采购文件采购公告规定的递交响应文件截止时间起遵循本响应函，并承诺在“第三章 供应商须知”规定的响应有效期内不修改、撤销响应文件。</w:t>
      </w:r>
    </w:p>
    <w:p w14:paraId="732E3435">
      <w:pPr>
        <w:pStyle w:val="22"/>
        <w:spacing w:line="360" w:lineRule="auto"/>
        <w:ind w:firstLine="420"/>
        <w:rPr>
          <w:rFonts w:hint="eastAsia" w:hAnsi="宋体" w:cs="宋体"/>
          <w:color w:val="auto"/>
          <w:sz w:val="21"/>
        </w:rPr>
      </w:pPr>
      <w:r>
        <w:rPr>
          <w:rFonts w:hint="eastAsia" w:hAnsi="宋体" w:cs="宋体"/>
          <w:color w:val="auto"/>
          <w:sz w:val="21"/>
        </w:rPr>
        <w:t>3、我方在此声明，所递交的响应文件及有关资料内容完整、真实和准确。</w:t>
      </w:r>
    </w:p>
    <w:p w14:paraId="0A960F81">
      <w:pPr>
        <w:pStyle w:val="22"/>
        <w:spacing w:line="360" w:lineRule="auto"/>
        <w:ind w:firstLine="420"/>
        <w:rPr>
          <w:rFonts w:hint="eastAsia" w:hAnsi="宋体" w:cs="宋体"/>
          <w:color w:val="auto"/>
          <w:sz w:val="21"/>
        </w:rPr>
      </w:pPr>
      <w:r>
        <w:rPr>
          <w:rFonts w:hint="eastAsia" w:hAnsi="宋体" w:cs="宋体"/>
          <w:color w:val="auto"/>
          <w:sz w:val="21"/>
        </w:rPr>
        <w:t>4、如本项目采购内容涉及须符合国家强制规定的，我方承诺我方本次竞标均符合国家有关强制规定。</w:t>
      </w:r>
    </w:p>
    <w:p w14:paraId="331373FB">
      <w:pPr>
        <w:pStyle w:val="22"/>
        <w:spacing w:line="360" w:lineRule="auto"/>
        <w:ind w:firstLine="420"/>
        <w:rPr>
          <w:rFonts w:hint="eastAsia" w:hAnsi="宋体" w:cs="宋体"/>
          <w:color w:val="auto"/>
          <w:sz w:val="21"/>
        </w:rPr>
      </w:pPr>
      <w:r>
        <w:rPr>
          <w:rFonts w:hint="eastAsia" w:hAnsi="宋体" w:cs="宋体"/>
          <w:color w:val="auto"/>
          <w:sz w:val="21"/>
        </w:rPr>
        <w:t>5、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68D8CEC0">
      <w:pPr>
        <w:pStyle w:val="22"/>
        <w:spacing w:line="360" w:lineRule="auto"/>
        <w:ind w:firstLine="420"/>
        <w:rPr>
          <w:rFonts w:hint="eastAsia" w:hAnsi="宋体" w:cs="宋体"/>
          <w:color w:val="auto"/>
          <w:sz w:val="21"/>
        </w:rPr>
      </w:pPr>
      <w:r>
        <w:rPr>
          <w:rFonts w:hint="eastAsia" w:hAnsi="宋体" w:cs="宋体"/>
          <w:color w:val="auto"/>
          <w:sz w:val="21"/>
        </w:rPr>
        <w:t>6、我方已详细审核竞争性磋商采购文件，我方知道必须放弃提出含糊不清或误解问题的权利。</w:t>
      </w:r>
    </w:p>
    <w:p w14:paraId="15F62F41">
      <w:pPr>
        <w:pStyle w:val="22"/>
        <w:spacing w:line="360" w:lineRule="auto"/>
        <w:ind w:firstLine="420"/>
        <w:rPr>
          <w:rFonts w:hint="eastAsia" w:hAnsi="宋体" w:cs="宋体"/>
          <w:color w:val="auto"/>
          <w:sz w:val="21"/>
        </w:rPr>
      </w:pPr>
      <w:r>
        <w:rPr>
          <w:rFonts w:hint="eastAsia" w:hAnsi="宋体" w:cs="宋体"/>
          <w:color w:val="auto"/>
          <w:sz w:val="21"/>
        </w:rPr>
        <w:t>7、我方承诺满足竞争性磋商采购文件第六章“合同文本”的条款，承担完成合同的责任和义务。</w:t>
      </w:r>
    </w:p>
    <w:p w14:paraId="183841A3">
      <w:pPr>
        <w:pStyle w:val="22"/>
        <w:spacing w:line="360" w:lineRule="auto"/>
        <w:ind w:firstLine="420"/>
        <w:rPr>
          <w:rFonts w:hint="eastAsia" w:hAnsi="宋体" w:cs="宋体"/>
          <w:color w:val="auto"/>
          <w:sz w:val="21"/>
        </w:rPr>
      </w:pPr>
      <w:r>
        <w:rPr>
          <w:rFonts w:hint="eastAsia" w:hAnsi="宋体" w:cs="宋体"/>
          <w:color w:val="auto"/>
          <w:sz w:val="21"/>
        </w:rPr>
        <w:t>8、我方同意应贵方要求提供与</w:t>
      </w:r>
      <w:r>
        <w:rPr>
          <w:rFonts w:hint="eastAsia" w:hAnsi="宋体" w:cs="宋体"/>
          <w:color w:val="auto"/>
          <w:sz w:val="21"/>
          <w:lang w:eastAsia="zh-CN"/>
        </w:rPr>
        <w:t>本次</w:t>
      </w:r>
      <w:r>
        <w:rPr>
          <w:rFonts w:hint="eastAsia" w:hAnsi="宋体" w:cs="宋体"/>
          <w:color w:val="auto"/>
          <w:sz w:val="21"/>
        </w:rPr>
        <w:t>竞标有关的任何数据或资料。若贵方需要，我方愿意提供我方作出的一切承诺的证明材料。</w:t>
      </w:r>
    </w:p>
    <w:p w14:paraId="2816C68E">
      <w:pPr>
        <w:pStyle w:val="22"/>
        <w:spacing w:line="360" w:lineRule="auto"/>
        <w:ind w:firstLine="420"/>
        <w:rPr>
          <w:rFonts w:hint="eastAsia" w:hAnsi="宋体" w:cs="宋体"/>
          <w:color w:val="auto"/>
          <w:sz w:val="21"/>
        </w:rPr>
      </w:pPr>
      <w:r>
        <w:rPr>
          <w:rFonts w:hint="eastAsia" w:hAnsi="宋体" w:cs="宋体"/>
          <w:color w:val="auto"/>
          <w:sz w:val="21"/>
        </w:rPr>
        <w:t>9、我方完全理解贵方不一定接受响应报价最低的竞标人为成交供应商的行为。</w:t>
      </w:r>
    </w:p>
    <w:p w14:paraId="21CC2249">
      <w:pPr>
        <w:pStyle w:val="22"/>
        <w:spacing w:line="360" w:lineRule="auto"/>
        <w:ind w:firstLine="420"/>
        <w:rPr>
          <w:rFonts w:hint="eastAsia" w:hAnsi="宋体" w:cs="宋体"/>
          <w:color w:val="auto"/>
          <w:sz w:val="21"/>
        </w:rPr>
      </w:pPr>
      <w:r>
        <w:rPr>
          <w:rFonts w:hint="eastAsia" w:hAnsi="宋体" w:cs="宋体"/>
          <w:color w:val="auto"/>
          <w:sz w:val="21"/>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41BDEC5">
      <w:pPr>
        <w:pStyle w:val="22"/>
        <w:tabs>
          <w:tab w:val="left" w:pos="945"/>
        </w:tabs>
        <w:spacing w:line="360" w:lineRule="auto"/>
        <w:ind w:firstLine="420" w:firstLineChars="200"/>
        <w:rPr>
          <w:rFonts w:hint="eastAsia" w:hAnsi="宋体" w:cs="宋体"/>
          <w:color w:val="auto"/>
          <w:sz w:val="21"/>
        </w:rPr>
      </w:pPr>
      <w:r>
        <w:rPr>
          <w:rFonts w:hint="eastAsia" w:hAnsi="宋体" w:cs="宋体"/>
          <w:color w:val="auto"/>
          <w:sz w:val="21"/>
        </w:rPr>
        <w:t>（1）提供虚假材料谋取中标、成交的；</w:t>
      </w:r>
    </w:p>
    <w:p w14:paraId="6CB2C284">
      <w:pPr>
        <w:pStyle w:val="22"/>
        <w:tabs>
          <w:tab w:val="left" w:pos="945"/>
        </w:tabs>
        <w:spacing w:line="360" w:lineRule="auto"/>
        <w:ind w:firstLine="420" w:firstLineChars="200"/>
        <w:rPr>
          <w:rFonts w:hint="eastAsia" w:hAnsi="宋体" w:cs="宋体"/>
          <w:color w:val="auto"/>
          <w:sz w:val="21"/>
        </w:rPr>
      </w:pPr>
      <w:r>
        <w:rPr>
          <w:rFonts w:hint="eastAsia" w:hAnsi="宋体" w:cs="宋体"/>
          <w:color w:val="auto"/>
          <w:sz w:val="21"/>
        </w:rPr>
        <w:t>（2）采取不正当手段诋毁、排挤其他供应商的；</w:t>
      </w:r>
    </w:p>
    <w:p w14:paraId="401FE68C">
      <w:pPr>
        <w:pStyle w:val="22"/>
        <w:tabs>
          <w:tab w:val="left" w:pos="945"/>
        </w:tabs>
        <w:spacing w:line="360" w:lineRule="auto"/>
        <w:ind w:firstLine="420" w:firstLineChars="200"/>
        <w:rPr>
          <w:rFonts w:hint="eastAsia" w:hAnsi="宋体" w:cs="宋体"/>
          <w:color w:val="auto"/>
          <w:sz w:val="21"/>
        </w:rPr>
      </w:pPr>
      <w:r>
        <w:rPr>
          <w:rFonts w:hint="eastAsia" w:hAnsi="宋体" w:cs="宋体"/>
          <w:color w:val="auto"/>
          <w:sz w:val="21"/>
        </w:rPr>
        <w:t>（3）与采购人、其他供应商或者采购代理机构恶意串通的；</w:t>
      </w:r>
    </w:p>
    <w:p w14:paraId="45DA7DB1">
      <w:pPr>
        <w:pStyle w:val="22"/>
        <w:tabs>
          <w:tab w:val="left" w:pos="945"/>
        </w:tabs>
        <w:spacing w:line="360" w:lineRule="auto"/>
        <w:ind w:firstLine="420" w:firstLineChars="200"/>
        <w:rPr>
          <w:rFonts w:hint="eastAsia" w:hAnsi="宋体" w:cs="宋体"/>
          <w:color w:val="auto"/>
          <w:sz w:val="21"/>
        </w:rPr>
      </w:pPr>
      <w:r>
        <w:rPr>
          <w:rFonts w:hint="eastAsia" w:hAnsi="宋体" w:cs="宋体"/>
          <w:color w:val="auto"/>
          <w:sz w:val="21"/>
        </w:rPr>
        <w:t>（4）向采购人、采购代理机构行贿或者提供其他不正当利益的；</w:t>
      </w:r>
    </w:p>
    <w:p w14:paraId="3CFFE6C6">
      <w:pPr>
        <w:pStyle w:val="22"/>
        <w:tabs>
          <w:tab w:val="left" w:pos="945"/>
        </w:tabs>
        <w:spacing w:line="360" w:lineRule="auto"/>
        <w:ind w:firstLine="420" w:firstLineChars="200"/>
        <w:rPr>
          <w:rFonts w:hint="eastAsia" w:hAnsi="宋体" w:cs="宋体"/>
          <w:color w:val="auto"/>
          <w:sz w:val="21"/>
        </w:rPr>
      </w:pPr>
      <w:r>
        <w:rPr>
          <w:rFonts w:hint="eastAsia" w:hAnsi="宋体" w:cs="宋体"/>
          <w:color w:val="auto"/>
          <w:sz w:val="21"/>
        </w:rPr>
        <w:t>（5）在采购过程中与采购人进行协商谈判的；</w:t>
      </w:r>
    </w:p>
    <w:p w14:paraId="053723B7">
      <w:pPr>
        <w:pStyle w:val="22"/>
        <w:tabs>
          <w:tab w:val="left" w:pos="945"/>
        </w:tabs>
        <w:spacing w:line="360" w:lineRule="auto"/>
        <w:ind w:firstLine="420" w:firstLineChars="200"/>
        <w:rPr>
          <w:rFonts w:hint="eastAsia" w:hAnsi="宋体" w:cs="宋体"/>
          <w:color w:val="auto"/>
          <w:sz w:val="21"/>
        </w:rPr>
      </w:pPr>
      <w:r>
        <w:rPr>
          <w:rFonts w:hint="eastAsia" w:hAnsi="宋体" w:cs="宋体"/>
          <w:color w:val="auto"/>
          <w:sz w:val="21"/>
        </w:rPr>
        <w:t>（6）拒绝有关部门监督检查或提供虚假情况的。</w:t>
      </w:r>
    </w:p>
    <w:p w14:paraId="34FC8C01">
      <w:pPr>
        <w:pStyle w:val="22"/>
        <w:spacing w:line="360" w:lineRule="auto"/>
        <w:ind w:firstLine="420"/>
        <w:rPr>
          <w:rFonts w:hint="eastAsia" w:hAnsi="宋体" w:cs="宋体"/>
          <w:color w:val="auto"/>
          <w:sz w:val="21"/>
        </w:rPr>
      </w:pPr>
      <w:r>
        <w:rPr>
          <w:rFonts w:hint="eastAsia" w:hAnsi="宋体" w:cs="宋体"/>
          <w:color w:val="auto"/>
          <w:sz w:val="21"/>
        </w:rPr>
        <w:t>11.与本磋商有关的一切正式往来信函请寄：</w:t>
      </w:r>
    </w:p>
    <w:p w14:paraId="04FEC69C">
      <w:pPr>
        <w:pStyle w:val="22"/>
        <w:spacing w:line="360" w:lineRule="auto"/>
        <w:ind w:firstLine="420"/>
        <w:rPr>
          <w:rFonts w:hint="eastAsia" w:hAnsi="宋体" w:cs="宋体"/>
          <w:color w:val="auto"/>
          <w:sz w:val="21"/>
        </w:rPr>
      </w:pPr>
      <w:r>
        <w:rPr>
          <w:rFonts w:hint="eastAsia" w:hAnsi="宋体" w:cs="宋体"/>
          <w:color w:val="auto"/>
          <w:sz w:val="21"/>
        </w:rPr>
        <w:t>地址：</w:t>
      </w:r>
      <w:r>
        <w:rPr>
          <w:rFonts w:hint="eastAsia" w:hAnsi="宋体" w:cs="宋体"/>
          <w:color w:val="auto"/>
          <w:sz w:val="21"/>
          <w:u w:val="single"/>
        </w:rPr>
        <w:t xml:space="preserve">                                                        </w:t>
      </w:r>
      <w:r>
        <w:rPr>
          <w:rFonts w:hint="eastAsia" w:hAnsi="宋体" w:cs="宋体"/>
          <w:color w:val="auto"/>
          <w:sz w:val="21"/>
        </w:rPr>
        <w:t xml:space="preserve"> </w:t>
      </w:r>
    </w:p>
    <w:p w14:paraId="1A9DF3FD">
      <w:pPr>
        <w:pStyle w:val="22"/>
        <w:spacing w:line="360" w:lineRule="auto"/>
        <w:ind w:firstLine="420"/>
        <w:rPr>
          <w:rFonts w:hint="eastAsia" w:hAnsi="宋体" w:cs="宋体"/>
          <w:color w:val="auto"/>
          <w:sz w:val="21"/>
          <w:u w:val="single"/>
        </w:rPr>
      </w:pPr>
      <w:r>
        <w:rPr>
          <w:rFonts w:hint="eastAsia" w:hAnsi="宋体" w:cs="宋体"/>
          <w:color w:val="auto"/>
          <w:sz w:val="21"/>
        </w:rPr>
        <w:t>电话：</w:t>
      </w:r>
      <w:r>
        <w:rPr>
          <w:rFonts w:hint="eastAsia" w:hAnsi="宋体" w:cs="宋体"/>
          <w:color w:val="auto"/>
          <w:sz w:val="21"/>
          <w:u w:val="single"/>
        </w:rPr>
        <w:t xml:space="preserve">                                      　　　　　　　　　</w:t>
      </w:r>
    </w:p>
    <w:p w14:paraId="774FC356">
      <w:pPr>
        <w:pStyle w:val="22"/>
        <w:spacing w:line="360" w:lineRule="auto"/>
        <w:ind w:firstLine="420"/>
        <w:rPr>
          <w:rFonts w:hint="eastAsia" w:hAnsi="宋体" w:cs="宋体"/>
          <w:color w:val="auto"/>
          <w:sz w:val="21"/>
        </w:rPr>
      </w:pPr>
      <w:r>
        <w:rPr>
          <w:rFonts w:hint="eastAsia" w:hAnsi="宋体" w:cs="宋体"/>
          <w:color w:val="auto"/>
          <w:sz w:val="21"/>
        </w:rPr>
        <w:t>传真：</w:t>
      </w:r>
      <w:r>
        <w:rPr>
          <w:rFonts w:hint="eastAsia" w:hAnsi="宋体" w:cs="宋体"/>
          <w:color w:val="auto"/>
          <w:sz w:val="21"/>
          <w:u w:val="single"/>
        </w:rPr>
        <w:t>　　　　　　　　　　　　　　　　　　　　　　　　　　　　</w:t>
      </w:r>
    </w:p>
    <w:p w14:paraId="1169C8A4">
      <w:pPr>
        <w:pStyle w:val="22"/>
        <w:spacing w:line="360" w:lineRule="auto"/>
        <w:ind w:firstLine="420"/>
        <w:rPr>
          <w:rFonts w:hint="eastAsia" w:hAnsi="宋体" w:cs="宋体"/>
          <w:color w:val="auto"/>
          <w:sz w:val="21"/>
          <w:u w:val="single"/>
        </w:rPr>
      </w:pPr>
      <w:r>
        <w:rPr>
          <w:rFonts w:hint="eastAsia" w:hAnsi="宋体" w:cs="宋体"/>
          <w:color w:val="auto"/>
          <w:sz w:val="21"/>
        </w:rPr>
        <w:t>邮政编码：</w:t>
      </w:r>
      <w:r>
        <w:rPr>
          <w:rFonts w:hint="eastAsia" w:hAnsi="宋体" w:cs="宋体"/>
          <w:color w:val="auto"/>
          <w:sz w:val="21"/>
          <w:u w:val="single"/>
        </w:rPr>
        <w:t xml:space="preserve">                                                    </w:t>
      </w:r>
    </w:p>
    <w:p w14:paraId="5A8D0A3F">
      <w:pPr>
        <w:pStyle w:val="22"/>
        <w:spacing w:line="360" w:lineRule="auto"/>
        <w:ind w:firstLine="420"/>
        <w:rPr>
          <w:rFonts w:hint="eastAsia" w:hAnsi="宋体" w:cs="宋体"/>
          <w:color w:val="auto"/>
          <w:sz w:val="21"/>
          <w:u w:val="single"/>
        </w:rPr>
      </w:pPr>
      <w:r>
        <w:rPr>
          <w:rFonts w:hint="eastAsia" w:hAnsi="宋体" w:cs="宋体"/>
          <w:color w:val="auto"/>
          <w:sz w:val="21"/>
        </w:rPr>
        <w:t>开户名称：</w:t>
      </w:r>
      <w:r>
        <w:rPr>
          <w:rFonts w:hint="eastAsia" w:hAnsi="宋体" w:cs="宋体"/>
          <w:color w:val="auto"/>
          <w:sz w:val="21"/>
          <w:u w:val="single"/>
        </w:rPr>
        <w:t xml:space="preserve">                                                    </w:t>
      </w:r>
    </w:p>
    <w:p w14:paraId="37AE2CA6">
      <w:pPr>
        <w:pStyle w:val="22"/>
        <w:spacing w:line="360" w:lineRule="auto"/>
        <w:ind w:firstLine="420"/>
        <w:rPr>
          <w:rFonts w:hint="eastAsia" w:hAnsi="宋体" w:cs="宋体"/>
          <w:color w:val="auto"/>
          <w:sz w:val="21"/>
          <w:u w:val="single"/>
        </w:rPr>
      </w:pPr>
      <w:r>
        <w:rPr>
          <w:rFonts w:hint="eastAsia" w:hAnsi="宋体" w:cs="宋体"/>
          <w:color w:val="auto"/>
          <w:sz w:val="21"/>
        </w:rPr>
        <w:t>开户银行：</w:t>
      </w:r>
      <w:r>
        <w:rPr>
          <w:rFonts w:hint="eastAsia" w:hAnsi="宋体" w:cs="宋体"/>
          <w:color w:val="auto"/>
          <w:sz w:val="21"/>
          <w:u w:val="single"/>
        </w:rPr>
        <w:t xml:space="preserve">                                                    </w:t>
      </w:r>
    </w:p>
    <w:p w14:paraId="7F2BFB7A">
      <w:pPr>
        <w:pStyle w:val="22"/>
        <w:spacing w:line="360" w:lineRule="auto"/>
        <w:ind w:firstLine="420"/>
        <w:rPr>
          <w:rFonts w:hint="eastAsia" w:hAnsi="宋体" w:cs="宋体"/>
          <w:color w:val="auto"/>
          <w:sz w:val="21"/>
          <w:u w:val="single"/>
        </w:rPr>
      </w:pPr>
      <w:r>
        <w:rPr>
          <w:rFonts w:hint="eastAsia" w:hAnsi="宋体" w:cs="宋体"/>
          <w:color w:val="auto"/>
          <w:sz w:val="21"/>
        </w:rPr>
        <w:t>银行账号：</w:t>
      </w:r>
      <w:r>
        <w:rPr>
          <w:rFonts w:hint="eastAsia" w:hAnsi="宋体" w:cs="宋体"/>
          <w:color w:val="auto"/>
          <w:sz w:val="21"/>
          <w:u w:val="single"/>
        </w:rPr>
        <w:t xml:space="preserve">                                                    </w:t>
      </w:r>
    </w:p>
    <w:p w14:paraId="7F2411BE">
      <w:pPr>
        <w:pStyle w:val="19"/>
        <w:tabs>
          <w:tab w:val="left" w:pos="939"/>
        </w:tabs>
        <w:spacing w:line="360" w:lineRule="auto"/>
        <w:ind w:left="141" w:leftChars="67" w:firstLine="315" w:firstLineChars="150"/>
        <w:rPr>
          <w:rFonts w:hint="eastAsia" w:ascii="宋体" w:hAnsi="宋体" w:cs="宋体"/>
          <w:color w:val="auto"/>
          <w:szCs w:val="21"/>
        </w:rPr>
      </w:pPr>
      <w:r>
        <w:rPr>
          <w:rFonts w:hint="eastAsia" w:ascii="宋体" w:hAnsi="宋体" w:cs="宋体"/>
          <w:color w:val="auto"/>
          <w:szCs w:val="21"/>
        </w:rPr>
        <w:t>特此承诺。</w:t>
      </w:r>
    </w:p>
    <w:p w14:paraId="20D20608">
      <w:pPr>
        <w:spacing w:line="360" w:lineRule="auto"/>
        <w:ind w:firstLine="3990" w:firstLineChars="1900"/>
        <w:contextualSpacing/>
        <w:rPr>
          <w:rFonts w:hint="eastAsia" w:ascii="宋体" w:hAnsi="宋体" w:cs="宋体"/>
          <w:color w:val="auto"/>
          <w:szCs w:val="21"/>
        </w:rPr>
      </w:pPr>
      <w:r>
        <w:rPr>
          <w:rFonts w:hint="eastAsia" w:ascii="宋体" w:hAnsi="宋体" w:cs="宋体"/>
          <w:color w:val="auto"/>
          <w:szCs w:val="21"/>
        </w:rPr>
        <w:t>供应商名称（电子签章）：</w:t>
      </w:r>
    </w:p>
    <w:p w14:paraId="096B5C2E">
      <w:pPr>
        <w:spacing w:line="360" w:lineRule="auto"/>
        <w:ind w:right="-817" w:rightChars="-389"/>
        <w:contextualSpacing/>
        <w:jc w:val="center"/>
        <w:rPr>
          <w:rFonts w:hint="eastAsia" w:ascii="宋体" w:hAnsi="宋体" w:cs="宋体"/>
          <w:color w:val="auto"/>
          <w:szCs w:val="21"/>
        </w:rPr>
      </w:pPr>
      <w:r>
        <w:rPr>
          <w:rFonts w:hint="eastAsia" w:ascii="宋体" w:hAnsi="宋体" w:cs="宋体"/>
          <w:color w:val="auto"/>
          <w:szCs w:val="21"/>
        </w:rPr>
        <w:t xml:space="preserve">     法定代表人或者委托代理人（签字或者电子签名）：</w:t>
      </w:r>
    </w:p>
    <w:p w14:paraId="0CBDD566">
      <w:pPr>
        <w:spacing w:line="360" w:lineRule="auto"/>
        <w:ind w:right="420"/>
        <w:contextualSpacing/>
        <w:jc w:val="left"/>
        <w:rPr>
          <w:rFonts w:hint="eastAsia" w:ascii="宋体" w:hAnsi="宋体" w:cs="宋体"/>
          <w:color w:val="auto"/>
          <w:szCs w:val="21"/>
        </w:rPr>
      </w:pPr>
      <w:r>
        <w:rPr>
          <w:rFonts w:hint="eastAsia" w:ascii="宋体" w:hAnsi="宋体" w:cs="宋体"/>
          <w:color w:val="auto"/>
          <w:szCs w:val="21"/>
        </w:rPr>
        <w:t xml:space="preserve">                                             年   月   日</w:t>
      </w:r>
    </w:p>
    <w:p w14:paraId="068015C2">
      <w:pPr>
        <w:spacing w:line="500" w:lineRule="exact"/>
        <w:rPr>
          <w:rFonts w:hint="eastAsia" w:ascii="宋体" w:hAnsi="宋体" w:cs="宋体"/>
          <w:b/>
          <w:color w:val="auto"/>
          <w:sz w:val="28"/>
          <w:szCs w:val="28"/>
        </w:rPr>
      </w:pPr>
    </w:p>
    <w:p w14:paraId="502D224D">
      <w:pPr>
        <w:spacing w:line="500" w:lineRule="exact"/>
        <w:rPr>
          <w:rFonts w:hint="eastAsia" w:ascii="仿宋" w:hAnsi="仿宋" w:eastAsia="仿宋" w:cs="仿宋_GB2312"/>
          <w:b/>
          <w:color w:val="auto"/>
          <w:sz w:val="30"/>
          <w:szCs w:val="30"/>
          <w:lang w:val="zh-CN"/>
        </w:rPr>
      </w:pPr>
      <w:r>
        <w:rPr>
          <w:rFonts w:hint="eastAsia" w:ascii="宋体" w:hAnsi="宋体" w:cs="宋体"/>
          <w:b/>
          <w:color w:val="auto"/>
          <w:sz w:val="28"/>
          <w:szCs w:val="28"/>
        </w:rPr>
        <w:br w:type="page"/>
      </w:r>
      <w:r>
        <w:rPr>
          <w:rFonts w:hint="eastAsia" w:ascii="宋体" w:hAnsi="宋体" w:cs="宋体"/>
          <w:b/>
          <w:color w:val="auto"/>
          <w:sz w:val="28"/>
          <w:szCs w:val="28"/>
        </w:rPr>
        <w:t>4.</w:t>
      </w:r>
      <w:r>
        <w:rPr>
          <w:rFonts w:hint="eastAsia" w:ascii="宋体" w:hAnsi="宋体" w:cs="宋体"/>
          <w:b/>
          <w:color w:val="auto"/>
          <w:sz w:val="28"/>
          <w:szCs w:val="28"/>
          <w:lang w:val="zh-CN"/>
        </w:rPr>
        <w:t>响应报价表的格式：</w:t>
      </w:r>
    </w:p>
    <w:p w14:paraId="3A7FE22D">
      <w:pPr>
        <w:spacing w:line="520" w:lineRule="exact"/>
        <w:jc w:val="center"/>
        <w:rPr>
          <w:b/>
          <w:bCs/>
          <w:color w:val="auto"/>
          <w:sz w:val="32"/>
          <w:szCs w:val="32"/>
        </w:rPr>
      </w:pPr>
      <w:r>
        <w:rPr>
          <w:rFonts w:hint="eastAsia"/>
          <w:b/>
          <w:bCs/>
          <w:color w:val="auto"/>
          <w:sz w:val="32"/>
          <w:szCs w:val="32"/>
        </w:rPr>
        <w:t>响应报价表</w:t>
      </w:r>
    </w:p>
    <w:p w14:paraId="13EBF5BF">
      <w:pPr>
        <w:snapToGrid w:val="0"/>
        <w:spacing w:before="50" w:after="50" w:line="360" w:lineRule="auto"/>
        <w:rPr>
          <w:rFonts w:hint="eastAsia" w:ascii="宋体" w:hAnsi="宋体" w:cs="宋体"/>
          <w:color w:val="auto"/>
          <w:szCs w:val="21"/>
        </w:rPr>
      </w:pPr>
      <w:r>
        <w:rPr>
          <w:rFonts w:hint="eastAsia" w:ascii="宋体" w:hAnsi="宋体" w:cs="宋体"/>
          <w:color w:val="auto"/>
          <w:szCs w:val="21"/>
        </w:rPr>
        <w:t>项目名称：</w:t>
      </w:r>
    </w:p>
    <w:p w14:paraId="4C30437F">
      <w:pPr>
        <w:snapToGrid w:val="0"/>
        <w:spacing w:before="50" w:after="50" w:line="360" w:lineRule="auto"/>
        <w:rPr>
          <w:rFonts w:hint="eastAsia" w:ascii="宋体" w:hAnsi="宋体" w:cs="宋体"/>
          <w:color w:val="auto"/>
          <w:szCs w:val="21"/>
        </w:rPr>
      </w:pPr>
      <w:r>
        <w:rPr>
          <w:rFonts w:hint="eastAsia" w:ascii="宋体" w:hAnsi="宋体" w:cs="宋体"/>
          <w:color w:val="auto"/>
          <w:szCs w:val="21"/>
        </w:rPr>
        <w:t>项目编号：</w:t>
      </w:r>
    </w:p>
    <w:p w14:paraId="4D7CF099">
      <w:pPr>
        <w:spacing w:line="360" w:lineRule="auto"/>
        <w:contextualSpacing/>
        <w:rPr>
          <w:rFonts w:hint="eastAsia" w:ascii="宋体" w:hAnsi="宋体" w:cs="宋体"/>
          <w:color w:val="auto"/>
          <w:szCs w:val="21"/>
        </w:rPr>
      </w:pPr>
      <w:r>
        <w:rPr>
          <w:rFonts w:hint="eastAsia" w:ascii="宋体" w:hAnsi="宋体" w:cs="宋体"/>
          <w:color w:val="auto"/>
          <w:szCs w:val="21"/>
        </w:rPr>
        <w:t>所竞分标（如有则填写，无分标时填写“无”或者留空）：</w:t>
      </w:r>
    </w:p>
    <w:tbl>
      <w:tblPr>
        <w:tblStyle w:val="34"/>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1149"/>
        <w:gridCol w:w="1882"/>
        <w:gridCol w:w="984"/>
        <w:gridCol w:w="1149"/>
        <w:gridCol w:w="2254"/>
        <w:gridCol w:w="873"/>
      </w:tblGrid>
      <w:tr w14:paraId="3A195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655" w:type="dxa"/>
            <w:tcBorders>
              <w:top w:val="single" w:color="auto" w:sz="4" w:space="0"/>
              <w:left w:val="single" w:color="auto" w:sz="4" w:space="0"/>
              <w:bottom w:val="single" w:color="auto" w:sz="4" w:space="0"/>
              <w:right w:val="single" w:color="auto" w:sz="4" w:space="0"/>
            </w:tcBorders>
            <w:vAlign w:val="center"/>
          </w:tcPr>
          <w:p w14:paraId="04E846B5">
            <w:pPr>
              <w:rPr>
                <w:rFonts w:hint="eastAsia" w:ascii="宋体" w:hAnsi="宋体"/>
                <w:color w:val="auto"/>
                <w:szCs w:val="21"/>
              </w:rPr>
            </w:pPr>
            <w:r>
              <w:rPr>
                <w:rFonts w:hint="eastAsia" w:ascii="宋体" w:hAnsi="宋体"/>
                <w:color w:val="auto"/>
                <w:szCs w:val="21"/>
              </w:rPr>
              <w:t>序号</w:t>
            </w:r>
          </w:p>
        </w:tc>
        <w:tc>
          <w:tcPr>
            <w:tcW w:w="1149" w:type="dxa"/>
            <w:tcBorders>
              <w:top w:val="single" w:color="auto" w:sz="4" w:space="0"/>
              <w:left w:val="single" w:color="auto" w:sz="4" w:space="0"/>
              <w:bottom w:val="single" w:color="auto" w:sz="4" w:space="0"/>
              <w:right w:val="single" w:color="auto" w:sz="4" w:space="0"/>
            </w:tcBorders>
            <w:vAlign w:val="center"/>
          </w:tcPr>
          <w:p w14:paraId="624FD815">
            <w:pPr>
              <w:rPr>
                <w:rFonts w:hint="eastAsia" w:ascii="宋体" w:hAnsi="宋体"/>
                <w:color w:val="auto"/>
                <w:szCs w:val="21"/>
              </w:rPr>
            </w:pPr>
            <w:r>
              <w:rPr>
                <w:rFonts w:hint="eastAsia" w:ascii="宋体" w:hAnsi="宋体"/>
                <w:color w:val="auto"/>
                <w:szCs w:val="21"/>
              </w:rPr>
              <w:t>标的名称</w:t>
            </w:r>
          </w:p>
        </w:tc>
        <w:tc>
          <w:tcPr>
            <w:tcW w:w="1882" w:type="dxa"/>
            <w:tcBorders>
              <w:top w:val="single" w:color="auto" w:sz="4" w:space="0"/>
              <w:left w:val="single" w:color="auto" w:sz="4" w:space="0"/>
              <w:bottom w:val="single" w:color="auto" w:sz="4" w:space="0"/>
              <w:right w:val="single" w:color="auto" w:sz="4" w:space="0"/>
            </w:tcBorders>
            <w:vAlign w:val="center"/>
          </w:tcPr>
          <w:p w14:paraId="1495A052">
            <w:pPr>
              <w:jc w:val="center"/>
              <w:rPr>
                <w:rFonts w:hint="eastAsia" w:ascii="宋体" w:hAnsi="宋体"/>
                <w:color w:val="auto"/>
                <w:szCs w:val="21"/>
              </w:rPr>
            </w:pPr>
            <w:r>
              <w:rPr>
                <w:rFonts w:hint="eastAsia" w:ascii="宋体" w:hAnsi="宋体"/>
                <w:color w:val="auto"/>
                <w:szCs w:val="21"/>
              </w:rPr>
              <w:t>具体服务内容</w:t>
            </w:r>
          </w:p>
        </w:tc>
        <w:tc>
          <w:tcPr>
            <w:tcW w:w="984" w:type="dxa"/>
            <w:tcBorders>
              <w:top w:val="single" w:color="auto" w:sz="4" w:space="0"/>
              <w:left w:val="single" w:color="auto" w:sz="4" w:space="0"/>
              <w:bottom w:val="single" w:color="auto" w:sz="4" w:space="0"/>
              <w:right w:val="single" w:color="auto" w:sz="4" w:space="0"/>
            </w:tcBorders>
            <w:vAlign w:val="center"/>
          </w:tcPr>
          <w:p w14:paraId="384F8DDE">
            <w:pPr>
              <w:jc w:val="center"/>
              <w:rPr>
                <w:rFonts w:hint="eastAsia" w:ascii="宋体" w:hAnsi="宋体"/>
                <w:color w:val="auto"/>
                <w:szCs w:val="21"/>
              </w:rPr>
            </w:pPr>
            <w:r>
              <w:rPr>
                <w:rFonts w:hint="eastAsia" w:ascii="宋体" w:hAnsi="宋体"/>
                <w:color w:val="auto"/>
                <w:szCs w:val="21"/>
              </w:rPr>
              <w:t>数量</w:t>
            </w:r>
            <w:r>
              <w:rPr>
                <w:rFonts w:ascii="宋体" w:hAnsi="宋体"/>
                <w:color w:val="auto"/>
                <w:szCs w:val="21"/>
              </w:rPr>
              <w:t>①</w:t>
            </w:r>
          </w:p>
        </w:tc>
        <w:tc>
          <w:tcPr>
            <w:tcW w:w="1149" w:type="dxa"/>
            <w:tcBorders>
              <w:top w:val="single" w:color="auto" w:sz="4" w:space="0"/>
              <w:left w:val="single" w:color="auto" w:sz="4" w:space="0"/>
              <w:bottom w:val="single" w:color="auto" w:sz="4" w:space="0"/>
              <w:right w:val="single" w:color="auto" w:sz="4" w:space="0"/>
            </w:tcBorders>
            <w:vAlign w:val="center"/>
          </w:tcPr>
          <w:p w14:paraId="324F1A73">
            <w:pPr>
              <w:rPr>
                <w:rFonts w:hint="eastAsia" w:ascii="宋体" w:hAnsi="宋体"/>
                <w:color w:val="auto"/>
                <w:szCs w:val="21"/>
              </w:rPr>
            </w:pPr>
            <w:r>
              <w:rPr>
                <w:rFonts w:hint="eastAsia" w:ascii="宋体" w:hAnsi="宋体"/>
                <w:color w:val="auto"/>
                <w:szCs w:val="21"/>
              </w:rPr>
              <w:t>单价</w:t>
            </w:r>
            <w:r>
              <w:rPr>
                <w:rFonts w:ascii="宋体" w:hAnsi="宋体"/>
                <w:color w:val="auto"/>
                <w:szCs w:val="21"/>
              </w:rPr>
              <w:t>(</w:t>
            </w:r>
            <w:r>
              <w:rPr>
                <w:rFonts w:hint="eastAsia" w:ascii="宋体" w:hAnsi="宋体"/>
                <w:color w:val="auto"/>
                <w:szCs w:val="21"/>
              </w:rPr>
              <w:t>元</w:t>
            </w:r>
            <w:r>
              <w:rPr>
                <w:rFonts w:ascii="宋体" w:hAnsi="宋体"/>
                <w:color w:val="auto"/>
                <w:szCs w:val="21"/>
              </w:rPr>
              <w:t>)②</w:t>
            </w:r>
          </w:p>
        </w:tc>
        <w:tc>
          <w:tcPr>
            <w:tcW w:w="2254" w:type="dxa"/>
            <w:tcBorders>
              <w:top w:val="single" w:color="auto" w:sz="4" w:space="0"/>
              <w:left w:val="single" w:color="auto" w:sz="4" w:space="0"/>
              <w:bottom w:val="single" w:color="auto" w:sz="4" w:space="0"/>
              <w:right w:val="single" w:color="auto" w:sz="4" w:space="0"/>
            </w:tcBorders>
            <w:vAlign w:val="center"/>
          </w:tcPr>
          <w:p w14:paraId="7FB9F8CC">
            <w:pPr>
              <w:ind w:firstLine="420" w:firstLineChars="200"/>
              <w:rPr>
                <w:rFonts w:hint="eastAsia" w:ascii="宋体" w:hAnsi="宋体"/>
                <w:color w:val="auto"/>
                <w:szCs w:val="21"/>
              </w:rPr>
            </w:pPr>
            <w:r>
              <w:rPr>
                <w:rFonts w:hint="eastAsia" w:ascii="宋体" w:hAnsi="宋体"/>
                <w:color w:val="auto"/>
                <w:szCs w:val="21"/>
              </w:rPr>
              <w:t>单项合价（元）</w:t>
            </w:r>
          </w:p>
          <w:p w14:paraId="668E238C">
            <w:pPr>
              <w:spacing w:line="360" w:lineRule="auto"/>
              <w:jc w:val="center"/>
              <w:rPr>
                <w:rFonts w:hint="eastAsia" w:ascii="宋体" w:hAnsi="宋体"/>
                <w:color w:val="auto"/>
                <w:szCs w:val="21"/>
              </w:rPr>
            </w:pPr>
            <w:r>
              <w:rPr>
                <w:rFonts w:ascii="宋体" w:hAnsi="宋体"/>
                <w:color w:val="auto"/>
                <w:szCs w:val="21"/>
              </w:rPr>
              <w:t>③</w:t>
            </w:r>
            <w:r>
              <w:rPr>
                <w:rFonts w:hint="eastAsia" w:ascii="宋体" w:hAnsi="宋体"/>
                <w:color w:val="auto"/>
                <w:szCs w:val="21"/>
              </w:rPr>
              <w:t>＝</w:t>
            </w:r>
            <w:r>
              <w:rPr>
                <w:rFonts w:ascii="宋体" w:hAnsi="宋体"/>
                <w:color w:val="auto"/>
                <w:szCs w:val="21"/>
              </w:rPr>
              <w:t>①×②</w:t>
            </w:r>
          </w:p>
        </w:tc>
        <w:tc>
          <w:tcPr>
            <w:tcW w:w="873" w:type="dxa"/>
            <w:tcBorders>
              <w:top w:val="single" w:color="auto" w:sz="4" w:space="0"/>
              <w:left w:val="single" w:color="auto" w:sz="4" w:space="0"/>
              <w:bottom w:val="single" w:color="auto" w:sz="4" w:space="0"/>
              <w:right w:val="single" w:color="auto" w:sz="4" w:space="0"/>
            </w:tcBorders>
            <w:vAlign w:val="center"/>
          </w:tcPr>
          <w:p w14:paraId="0B2968AA">
            <w:pPr>
              <w:rPr>
                <w:rFonts w:hint="eastAsia" w:ascii="宋体" w:hAnsi="宋体"/>
                <w:color w:val="auto"/>
                <w:szCs w:val="21"/>
              </w:rPr>
            </w:pPr>
            <w:r>
              <w:rPr>
                <w:rFonts w:hint="eastAsia" w:ascii="宋体" w:hAnsi="宋体"/>
                <w:color w:val="auto"/>
                <w:szCs w:val="21"/>
              </w:rPr>
              <w:t>备注</w:t>
            </w:r>
          </w:p>
        </w:tc>
      </w:tr>
      <w:tr w14:paraId="63DA6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655" w:type="dxa"/>
            <w:tcBorders>
              <w:top w:val="single" w:color="auto" w:sz="4" w:space="0"/>
              <w:left w:val="single" w:color="auto" w:sz="4" w:space="0"/>
              <w:bottom w:val="single" w:color="auto" w:sz="4" w:space="0"/>
              <w:right w:val="single" w:color="auto" w:sz="4" w:space="0"/>
            </w:tcBorders>
            <w:vAlign w:val="center"/>
          </w:tcPr>
          <w:p w14:paraId="5491AF0A">
            <w:pPr>
              <w:rPr>
                <w:rFonts w:hint="eastAsia" w:ascii="宋体" w:hAnsi="宋体"/>
                <w:color w:val="auto"/>
                <w:szCs w:val="21"/>
              </w:rPr>
            </w:pPr>
            <w:r>
              <w:rPr>
                <w:rFonts w:ascii="宋体" w:hAnsi="宋体"/>
                <w:color w:val="auto"/>
                <w:szCs w:val="21"/>
              </w:rPr>
              <w:t>1</w:t>
            </w:r>
          </w:p>
        </w:tc>
        <w:tc>
          <w:tcPr>
            <w:tcW w:w="1149" w:type="dxa"/>
            <w:tcBorders>
              <w:top w:val="single" w:color="auto" w:sz="4" w:space="0"/>
              <w:left w:val="single" w:color="auto" w:sz="4" w:space="0"/>
              <w:bottom w:val="single" w:color="auto" w:sz="4" w:space="0"/>
              <w:right w:val="single" w:color="auto" w:sz="4" w:space="0"/>
            </w:tcBorders>
            <w:vAlign w:val="center"/>
          </w:tcPr>
          <w:p w14:paraId="7B083FEF">
            <w:pPr>
              <w:rPr>
                <w:rFonts w:hint="eastAsia" w:ascii="宋体" w:hAnsi="宋体"/>
                <w:color w:val="auto"/>
                <w:szCs w:val="21"/>
              </w:rPr>
            </w:pPr>
          </w:p>
        </w:tc>
        <w:tc>
          <w:tcPr>
            <w:tcW w:w="1882" w:type="dxa"/>
            <w:tcBorders>
              <w:top w:val="single" w:color="auto" w:sz="4" w:space="0"/>
              <w:left w:val="single" w:color="auto" w:sz="4" w:space="0"/>
              <w:bottom w:val="single" w:color="auto" w:sz="4" w:space="0"/>
              <w:right w:val="single" w:color="auto" w:sz="4" w:space="0"/>
            </w:tcBorders>
            <w:vAlign w:val="center"/>
          </w:tcPr>
          <w:p w14:paraId="02FC4030">
            <w:pPr>
              <w:rPr>
                <w:rFonts w:hint="eastAsia" w:ascii="宋体" w:hAnsi="宋体"/>
                <w:color w:val="auto"/>
                <w:szCs w:val="21"/>
              </w:rPr>
            </w:pPr>
          </w:p>
        </w:tc>
        <w:tc>
          <w:tcPr>
            <w:tcW w:w="984" w:type="dxa"/>
            <w:tcBorders>
              <w:top w:val="single" w:color="auto" w:sz="4" w:space="0"/>
              <w:left w:val="single" w:color="auto" w:sz="4" w:space="0"/>
              <w:bottom w:val="single" w:color="auto" w:sz="4" w:space="0"/>
              <w:right w:val="single" w:color="auto" w:sz="4" w:space="0"/>
            </w:tcBorders>
            <w:vAlign w:val="center"/>
          </w:tcPr>
          <w:p w14:paraId="0C4F2845">
            <w:pPr>
              <w:rPr>
                <w:rFonts w:hint="eastAsia" w:ascii="宋体" w:hAnsi="宋体"/>
                <w:color w:val="auto"/>
                <w:szCs w:val="21"/>
              </w:rPr>
            </w:pPr>
          </w:p>
        </w:tc>
        <w:tc>
          <w:tcPr>
            <w:tcW w:w="1149" w:type="dxa"/>
            <w:tcBorders>
              <w:top w:val="single" w:color="auto" w:sz="4" w:space="0"/>
              <w:left w:val="single" w:color="auto" w:sz="4" w:space="0"/>
              <w:bottom w:val="single" w:color="auto" w:sz="4" w:space="0"/>
              <w:right w:val="single" w:color="auto" w:sz="4" w:space="0"/>
            </w:tcBorders>
            <w:vAlign w:val="center"/>
          </w:tcPr>
          <w:p w14:paraId="03221C20">
            <w:pPr>
              <w:rPr>
                <w:rFonts w:hint="eastAsia" w:ascii="宋体" w:hAnsi="宋体"/>
                <w:color w:val="auto"/>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2C5C7C83">
            <w:pPr>
              <w:rPr>
                <w:rFonts w:hint="eastAsia" w:ascii="宋体" w:hAnsi="宋体"/>
                <w:color w:val="auto"/>
                <w:szCs w:val="21"/>
              </w:rPr>
            </w:pPr>
          </w:p>
        </w:tc>
        <w:tc>
          <w:tcPr>
            <w:tcW w:w="873" w:type="dxa"/>
            <w:tcBorders>
              <w:top w:val="single" w:color="auto" w:sz="4" w:space="0"/>
              <w:left w:val="single" w:color="auto" w:sz="4" w:space="0"/>
              <w:bottom w:val="single" w:color="auto" w:sz="4" w:space="0"/>
              <w:right w:val="single" w:color="auto" w:sz="4" w:space="0"/>
            </w:tcBorders>
            <w:vAlign w:val="center"/>
          </w:tcPr>
          <w:p w14:paraId="35E6BF98">
            <w:pPr>
              <w:rPr>
                <w:rFonts w:hint="eastAsia" w:ascii="宋体" w:hAnsi="宋体"/>
                <w:color w:val="auto"/>
                <w:szCs w:val="21"/>
              </w:rPr>
            </w:pPr>
          </w:p>
        </w:tc>
      </w:tr>
      <w:tr w14:paraId="1404E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655" w:type="dxa"/>
            <w:tcBorders>
              <w:top w:val="single" w:color="auto" w:sz="4" w:space="0"/>
              <w:left w:val="single" w:color="auto" w:sz="4" w:space="0"/>
              <w:bottom w:val="single" w:color="auto" w:sz="4" w:space="0"/>
              <w:right w:val="single" w:color="auto" w:sz="4" w:space="0"/>
            </w:tcBorders>
            <w:vAlign w:val="center"/>
          </w:tcPr>
          <w:p w14:paraId="3C99EE11">
            <w:pPr>
              <w:rPr>
                <w:rFonts w:hint="eastAsia" w:ascii="宋体" w:hAnsi="宋体"/>
                <w:color w:val="auto"/>
                <w:szCs w:val="21"/>
              </w:rPr>
            </w:pPr>
            <w:r>
              <w:rPr>
                <w:rFonts w:ascii="宋体" w:hAnsi="宋体"/>
                <w:color w:val="auto"/>
                <w:szCs w:val="21"/>
              </w:rPr>
              <w:t>2</w:t>
            </w:r>
          </w:p>
        </w:tc>
        <w:tc>
          <w:tcPr>
            <w:tcW w:w="1149" w:type="dxa"/>
            <w:tcBorders>
              <w:top w:val="single" w:color="auto" w:sz="4" w:space="0"/>
              <w:left w:val="single" w:color="auto" w:sz="4" w:space="0"/>
              <w:bottom w:val="single" w:color="auto" w:sz="4" w:space="0"/>
              <w:right w:val="single" w:color="auto" w:sz="4" w:space="0"/>
            </w:tcBorders>
            <w:vAlign w:val="center"/>
          </w:tcPr>
          <w:p w14:paraId="0BF5B454">
            <w:pPr>
              <w:rPr>
                <w:rFonts w:hint="eastAsia" w:ascii="宋体" w:hAnsi="宋体"/>
                <w:color w:val="auto"/>
                <w:szCs w:val="21"/>
              </w:rPr>
            </w:pPr>
          </w:p>
        </w:tc>
        <w:tc>
          <w:tcPr>
            <w:tcW w:w="1882" w:type="dxa"/>
            <w:tcBorders>
              <w:top w:val="single" w:color="auto" w:sz="4" w:space="0"/>
              <w:left w:val="single" w:color="auto" w:sz="4" w:space="0"/>
              <w:bottom w:val="single" w:color="auto" w:sz="4" w:space="0"/>
              <w:right w:val="single" w:color="auto" w:sz="4" w:space="0"/>
            </w:tcBorders>
            <w:vAlign w:val="center"/>
          </w:tcPr>
          <w:p w14:paraId="349D9F72">
            <w:pPr>
              <w:rPr>
                <w:rFonts w:hint="eastAsia" w:ascii="宋体" w:hAnsi="宋体"/>
                <w:color w:val="auto"/>
                <w:szCs w:val="21"/>
              </w:rPr>
            </w:pPr>
          </w:p>
        </w:tc>
        <w:tc>
          <w:tcPr>
            <w:tcW w:w="984" w:type="dxa"/>
            <w:tcBorders>
              <w:top w:val="single" w:color="auto" w:sz="4" w:space="0"/>
              <w:left w:val="single" w:color="auto" w:sz="4" w:space="0"/>
              <w:bottom w:val="single" w:color="auto" w:sz="4" w:space="0"/>
              <w:right w:val="single" w:color="auto" w:sz="4" w:space="0"/>
            </w:tcBorders>
            <w:vAlign w:val="center"/>
          </w:tcPr>
          <w:p w14:paraId="3260F3C2">
            <w:pPr>
              <w:rPr>
                <w:rFonts w:hint="eastAsia" w:ascii="宋体" w:hAnsi="宋体"/>
                <w:color w:val="auto"/>
                <w:szCs w:val="21"/>
              </w:rPr>
            </w:pPr>
          </w:p>
        </w:tc>
        <w:tc>
          <w:tcPr>
            <w:tcW w:w="1149" w:type="dxa"/>
            <w:tcBorders>
              <w:top w:val="single" w:color="auto" w:sz="4" w:space="0"/>
              <w:left w:val="single" w:color="auto" w:sz="4" w:space="0"/>
              <w:bottom w:val="single" w:color="auto" w:sz="4" w:space="0"/>
              <w:right w:val="single" w:color="auto" w:sz="4" w:space="0"/>
            </w:tcBorders>
            <w:vAlign w:val="center"/>
          </w:tcPr>
          <w:p w14:paraId="481C966B">
            <w:pPr>
              <w:rPr>
                <w:rFonts w:hint="eastAsia" w:ascii="宋体" w:hAnsi="宋体"/>
                <w:color w:val="auto"/>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5B1B1B9D">
            <w:pPr>
              <w:rPr>
                <w:rFonts w:hint="eastAsia" w:ascii="宋体" w:hAnsi="宋体"/>
                <w:color w:val="auto"/>
                <w:szCs w:val="21"/>
              </w:rPr>
            </w:pPr>
          </w:p>
        </w:tc>
        <w:tc>
          <w:tcPr>
            <w:tcW w:w="873" w:type="dxa"/>
            <w:tcBorders>
              <w:top w:val="single" w:color="auto" w:sz="4" w:space="0"/>
              <w:left w:val="single" w:color="auto" w:sz="4" w:space="0"/>
              <w:bottom w:val="single" w:color="auto" w:sz="4" w:space="0"/>
              <w:right w:val="single" w:color="auto" w:sz="4" w:space="0"/>
            </w:tcBorders>
            <w:vAlign w:val="center"/>
          </w:tcPr>
          <w:p w14:paraId="19DE386D">
            <w:pPr>
              <w:rPr>
                <w:rFonts w:hint="eastAsia" w:ascii="宋体" w:hAnsi="宋体"/>
                <w:color w:val="auto"/>
                <w:szCs w:val="21"/>
              </w:rPr>
            </w:pPr>
          </w:p>
        </w:tc>
      </w:tr>
      <w:tr w14:paraId="30EED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655" w:type="dxa"/>
            <w:tcBorders>
              <w:top w:val="single" w:color="auto" w:sz="4" w:space="0"/>
              <w:left w:val="single" w:color="auto" w:sz="4" w:space="0"/>
              <w:bottom w:val="single" w:color="auto" w:sz="4" w:space="0"/>
              <w:right w:val="single" w:color="auto" w:sz="4" w:space="0"/>
            </w:tcBorders>
            <w:vAlign w:val="center"/>
          </w:tcPr>
          <w:p w14:paraId="65D5B74D">
            <w:pPr>
              <w:rPr>
                <w:rFonts w:hint="eastAsia" w:ascii="宋体" w:hAnsi="宋体"/>
                <w:color w:val="auto"/>
                <w:szCs w:val="21"/>
              </w:rPr>
            </w:pPr>
            <w:r>
              <w:rPr>
                <w:rFonts w:ascii="宋体" w:hAnsi="宋体"/>
                <w:color w:val="auto"/>
                <w:szCs w:val="21"/>
              </w:rPr>
              <w:t>...</w:t>
            </w:r>
          </w:p>
        </w:tc>
        <w:tc>
          <w:tcPr>
            <w:tcW w:w="1149" w:type="dxa"/>
            <w:tcBorders>
              <w:top w:val="single" w:color="auto" w:sz="4" w:space="0"/>
              <w:left w:val="single" w:color="auto" w:sz="4" w:space="0"/>
              <w:bottom w:val="single" w:color="auto" w:sz="4" w:space="0"/>
              <w:right w:val="single" w:color="auto" w:sz="4" w:space="0"/>
            </w:tcBorders>
            <w:vAlign w:val="center"/>
          </w:tcPr>
          <w:p w14:paraId="22B38025">
            <w:pPr>
              <w:rPr>
                <w:rFonts w:hint="eastAsia" w:ascii="宋体" w:hAnsi="宋体"/>
                <w:color w:val="auto"/>
                <w:szCs w:val="21"/>
              </w:rPr>
            </w:pPr>
          </w:p>
        </w:tc>
        <w:tc>
          <w:tcPr>
            <w:tcW w:w="1882" w:type="dxa"/>
            <w:tcBorders>
              <w:top w:val="single" w:color="auto" w:sz="4" w:space="0"/>
              <w:left w:val="single" w:color="auto" w:sz="4" w:space="0"/>
              <w:bottom w:val="single" w:color="auto" w:sz="4" w:space="0"/>
              <w:right w:val="single" w:color="auto" w:sz="4" w:space="0"/>
            </w:tcBorders>
            <w:vAlign w:val="center"/>
          </w:tcPr>
          <w:p w14:paraId="17D2D81F">
            <w:pPr>
              <w:rPr>
                <w:rFonts w:hint="eastAsia" w:ascii="宋体" w:hAnsi="宋体"/>
                <w:color w:val="auto"/>
                <w:szCs w:val="21"/>
              </w:rPr>
            </w:pPr>
          </w:p>
        </w:tc>
        <w:tc>
          <w:tcPr>
            <w:tcW w:w="984" w:type="dxa"/>
            <w:tcBorders>
              <w:top w:val="single" w:color="auto" w:sz="4" w:space="0"/>
              <w:left w:val="single" w:color="auto" w:sz="4" w:space="0"/>
              <w:bottom w:val="single" w:color="auto" w:sz="4" w:space="0"/>
              <w:right w:val="single" w:color="auto" w:sz="4" w:space="0"/>
            </w:tcBorders>
            <w:vAlign w:val="center"/>
          </w:tcPr>
          <w:p w14:paraId="09148974">
            <w:pPr>
              <w:rPr>
                <w:rFonts w:hint="eastAsia" w:ascii="宋体" w:hAnsi="宋体"/>
                <w:color w:val="auto"/>
                <w:szCs w:val="21"/>
              </w:rPr>
            </w:pPr>
          </w:p>
        </w:tc>
        <w:tc>
          <w:tcPr>
            <w:tcW w:w="1149" w:type="dxa"/>
            <w:tcBorders>
              <w:top w:val="single" w:color="auto" w:sz="4" w:space="0"/>
              <w:left w:val="single" w:color="auto" w:sz="4" w:space="0"/>
              <w:bottom w:val="single" w:color="auto" w:sz="4" w:space="0"/>
              <w:right w:val="single" w:color="auto" w:sz="4" w:space="0"/>
            </w:tcBorders>
            <w:vAlign w:val="center"/>
          </w:tcPr>
          <w:p w14:paraId="12FB3288">
            <w:pPr>
              <w:rPr>
                <w:rFonts w:hint="eastAsia" w:ascii="宋体" w:hAnsi="宋体"/>
                <w:color w:val="auto"/>
                <w:szCs w:val="21"/>
              </w:rPr>
            </w:pPr>
          </w:p>
        </w:tc>
        <w:tc>
          <w:tcPr>
            <w:tcW w:w="2254" w:type="dxa"/>
            <w:tcBorders>
              <w:top w:val="single" w:color="auto" w:sz="4" w:space="0"/>
              <w:left w:val="single" w:color="auto" w:sz="4" w:space="0"/>
              <w:bottom w:val="single" w:color="auto" w:sz="4" w:space="0"/>
              <w:right w:val="single" w:color="auto" w:sz="4" w:space="0"/>
            </w:tcBorders>
            <w:vAlign w:val="center"/>
          </w:tcPr>
          <w:p w14:paraId="3F2503FF">
            <w:pPr>
              <w:rPr>
                <w:rFonts w:hint="eastAsia" w:ascii="宋体" w:hAnsi="宋体"/>
                <w:color w:val="auto"/>
                <w:szCs w:val="21"/>
              </w:rPr>
            </w:pPr>
          </w:p>
        </w:tc>
        <w:tc>
          <w:tcPr>
            <w:tcW w:w="873" w:type="dxa"/>
            <w:tcBorders>
              <w:top w:val="single" w:color="auto" w:sz="4" w:space="0"/>
              <w:left w:val="single" w:color="auto" w:sz="4" w:space="0"/>
              <w:bottom w:val="single" w:color="auto" w:sz="4" w:space="0"/>
              <w:right w:val="single" w:color="auto" w:sz="4" w:space="0"/>
            </w:tcBorders>
            <w:vAlign w:val="center"/>
          </w:tcPr>
          <w:p w14:paraId="7D4CDD02">
            <w:pPr>
              <w:rPr>
                <w:rFonts w:hint="eastAsia" w:ascii="宋体" w:hAnsi="宋体"/>
                <w:color w:val="auto"/>
                <w:szCs w:val="21"/>
              </w:rPr>
            </w:pPr>
          </w:p>
        </w:tc>
      </w:tr>
      <w:tr w14:paraId="7A9BF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8946" w:type="dxa"/>
            <w:gridSpan w:val="7"/>
            <w:tcBorders>
              <w:top w:val="single" w:color="auto" w:sz="4" w:space="0"/>
              <w:left w:val="single" w:color="auto" w:sz="4" w:space="0"/>
              <w:bottom w:val="single" w:color="auto" w:sz="4" w:space="0"/>
              <w:right w:val="single" w:color="auto" w:sz="4" w:space="0"/>
            </w:tcBorders>
            <w:vAlign w:val="center"/>
          </w:tcPr>
          <w:p w14:paraId="6B3B3FDF">
            <w:pPr>
              <w:wordWrap w:val="0"/>
              <w:rPr>
                <w:rFonts w:hint="eastAsia" w:ascii="宋体" w:hAnsi="宋体"/>
                <w:color w:val="auto"/>
                <w:szCs w:val="21"/>
              </w:rPr>
            </w:pPr>
            <w:r>
              <w:rPr>
                <w:rFonts w:hint="eastAsia" w:ascii="宋体" w:hAnsi="宋体"/>
                <w:color w:val="auto"/>
                <w:szCs w:val="21"/>
              </w:rPr>
              <w:t>报价合计（包含税费等所有费用）：（大写）</w:t>
            </w:r>
            <w:r>
              <w:rPr>
                <w:rFonts w:hint="eastAsia" w:ascii="宋体" w:hAnsi="宋体"/>
                <w:color w:val="auto"/>
                <w:szCs w:val="21"/>
                <w:u w:val="single"/>
              </w:rPr>
              <w:t>人民币              （¥      ）</w:t>
            </w:r>
          </w:p>
        </w:tc>
      </w:tr>
      <w:tr w14:paraId="68E92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946" w:type="dxa"/>
            <w:gridSpan w:val="7"/>
            <w:tcBorders>
              <w:top w:val="single" w:color="auto" w:sz="4" w:space="0"/>
              <w:left w:val="single" w:color="auto" w:sz="4" w:space="0"/>
              <w:bottom w:val="single" w:color="auto" w:sz="4" w:space="0"/>
              <w:right w:val="single" w:color="auto" w:sz="4" w:space="0"/>
            </w:tcBorders>
            <w:vAlign w:val="center"/>
          </w:tcPr>
          <w:p w14:paraId="0222B203">
            <w:pPr>
              <w:rPr>
                <w:rFonts w:hint="eastAsia" w:ascii="宋体" w:hAnsi="宋体"/>
                <w:color w:val="auto"/>
                <w:szCs w:val="21"/>
              </w:rPr>
            </w:pPr>
            <w:r>
              <w:rPr>
                <w:rFonts w:hint="eastAsia" w:ascii="宋体"/>
                <w:color w:val="auto"/>
                <w:szCs w:val="21"/>
              </w:rPr>
              <w:t>服务时间：</w:t>
            </w:r>
          </w:p>
        </w:tc>
      </w:tr>
    </w:tbl>
    <w:p w14:paraId="185936D5">
      <w:pPr>
        <w:snapToGrid w:val="0"/>
        <w:spacing w:before="50" w:after="50"/>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lang w:val="zh-CN"/>
        </w:rPr>
        <w:t xml:space="preserve">注： </w:t>
      </w:r>
    </w:p>
    <w:p w14:paraId="0DBFCF26">
      <w:pPr>
        <w:snapToGrid w:val="0"/>
        <w:spacing w:before="50" w:after="50"/>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lang w:val="zh-CN"/>
        </w:rPr>
        <w:t>1.供应商需按本表格式填写，不得自行更改，也不得留空， 如有多分标，按分标分别提供响应报价表</w:t>
      </w:r>
      <w:r>
        <w:rPr>
          <w:rFonts w:hint="eastAsia" w:ascii="宋体" w:hAnsi="宋体" w:cs="宋体"/>
          <w:b/>
          <w:color w:val="auto"/>
          <w:kern w:val="0"/>
          <w:szCs w:val="21"/>
          <w:lang w:val="zh-CN"/>
        </w:rPr>
        <w:t>。</w:t>
      </w:r>
    </w:p>
    <w:p w14:paraId="4CEBFD5C">
      <w:pPr>
        <w:snapToGrid w:val="0"/>
        <w:spacing w:before="50" w:after="50"/>
        <w:ind w:firstLine="420" w:firstLineChars="200"/>
        <w:jc w:val="left"/>
        <w:rPr>
          <w:rFonts w:hint="eastAsia" w:ascii="宋体" w:hAnsi="宋体" w:cs="宋体"/>
          <w:b/>
          <w:color w:val="auto"/>
          <w:kern w:val="0"/>
          <w:szCs w:val="21"/>
          <w:lang w:val="zh-CN"/>
        </w:rPr>
      </w:pPr>
      <w:r>
        <w:rPr>
          <w:rFonts w:hint="eastAsia" w:ascii="宋体" w:hAnsi="宋体" w:cs="宋体"/>
          <w:color w:val="auto"/>
          <w:kern w:val="0"/>
          <w:szCs w:val="21"/>
        </w:rPr>
        <w:t>2</w:t>
      </w:r>
      <w:r>
        <w:rPr>
          <w:rFonts w:hint="eastAsia" w:ascii="宋体" w:hAnsi="宋体" w:cs="宋体"/>
          <w:color w:val="auto"/>
          <w:kern w:val="0"/>
          <w:szCs w:val="21"/>
          <w:lang w:val="zh-CN"/>
        </w:rPr>
        <w:t>.以上表格要求细分项目及报价，在“具体服务内容”一栏中，填写具体服务范围、服务时间、服务标准，</w:t>
      </w:r>
      <w:r>
        <w:rPr>
          <w:rFonts w:hint="eastAsia" w:ascii="宋体" w:hAnsi="宋体" w:cs="宋体"/>
          <w:b/>
          <w:color w:val="auto"/>
          <w:kern w:val="0"/>
          <w:szCs w:val="21"/>
          <w:lang w:val="zh-CN"/>
        </w:rPr>
        <w:t>否则其响应作无效响应处理。</w:t>
      </w:r>
    </w:p>
    <w:p w14:paraId="36933D0E">
      <w:pPr>
        <w:snapToGrid w:val="0"/>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rPr>
        <w:t>3</w:t>
      </w:r>
      <w:r>
        <w:rPr>
          <w:rFonts w:hint="eastAsia" w:ascii="宋体" w:hAnsi="宋体" w:cs="宋体"/>
          <w:color w:val="auto"/>
          <w:kern w:val="0"/>
          <w:szCs w:val="21"/>
          <w:lang w:val="zh-CN"/>
        </w:rPr>
        <w:t>.特别提示：采购机构将对项目名称和项目编号，成交供应商名称、地址和成交金额，主要成交标的的名称、服务要求、具体服务范围、服务时间、服务标准等予以公示。</w:t>
      </w:r>
    </w:p>
    <w:p w14:paraId="15C1BB3F">
      <w:pPr>
        <w:snapToGrid w:val="0"/>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rPr>
        <w:t>4</w:t>
      </w:r>
      <w:r>
        <w:rPr>
          <w:rFonts w:hint="eastAsia" w:ascii="宋体" w:hAnsi="宋体" w:cs="宋体"/>
          <w:color w:val="auto"/>
          <w:kern w:val="0"/>
          <w:szCs w:val="21"/>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706B3F82">
      <w:pPr>
        <w:snapToGrid w:val="0"/>
        <w:spacing w:before="50" w:after="50"/>
        <w:ind w:firstLine="420" w:firstLineChars="200"/>
        <w:jc w:val="left"/>
        <w:rPr>
          <w:rFonts w:hint="eastAsia" w:ascii="宋体" w:hAnsi="宋体" w:cs="宋体"/>
          <w:color w:val="auto"/>
          <w:kern w:val="0"/>
          <w:szCs w:val="21"/>
          <w:lang w:val="zh-CN"/>
        </w:rPr>
      </w:pPr>
    </w:p>
    <w:p w14:paraId="52DD3044">
      <w:pPr>
        <w:snapToGrid w:val="0"/>
        <w:spacing w:before="50" w:after="50"/>
        <w:ind w:firstLine="420" w:firstLineChars="200"/>
        <w:jc w:val="left"/>
        <w:rPr>
          <w:rFonts w:hint="eastAsia" w:ascii="宋体" w:hAnsi="宋体" w:cs="宋体"/>
          <w:color w:val="auto"/>
          <w:kern w:val="0"/>
          <w:szCs w:val="21"/>
          <w:lang w:val="zh-CN"/>
        </w:rPr>
      </w:pPr>
    </w:p>
    <w:p w14:paraId="08247C63">
      <w:pPr>
        <w:snapToGrid w:val="0"/>
        <w:spacing w:before="50" w:after="50"/>
        <w:ind w:firstLine="5250" w:firstLineChars="2500"/>
        <w:jc w:val="left"/>
        <w:rPr>
          <w:rFonts w:hint="eastAsia" w:ascii="宋体" w:hAnsi="宋体" w:cs="宋体"/>
          <w:color w:val="auto"/>
          <w:kern w:val="0"/>
          <w:szCs w:val="21"/>
          <w:lang w:val="zh-CN"/>
        </w:rPr>
      </w:pPr>
      <w:r>
        <w:rPr>
          <w:rFonts w:hint="eastAsia" w:ascii="宋体" w:hAnsi="宋体" w:cs="宋体"/>
          <w:color w:val="auto"/>
          <w:kern w:val="0"/>
          <w:szCs w:val="21"/>
          <w:lang w:val="zh-CN"/>
        </w:rPr>
        <w:t>供应商名称（电子签章）：</w:t>
      </w:r>
    </w:p>
    <w:p w14:paraId="23B76DB4">
      <w:pPr>
        <w:snapToGrid w:val="0"/>
        <w:spacing w:before="50" w:after="50"/>
        <w:ind w:firstLine="5670" w:firstLineChars="2700"/>
        <w:jc w:val="left"/>
        <w:rPr>
          <w:rFonts w:hint="eastAsia" w:ascii="宋体" w:hAnsi="宋体" w:cs="宋体"/>
          <w:color w:val="auto"/>
          <w:kern w:val="0"/>
          <w:szCs w:val="21"/>
          <w:lang w:val="zh-CN"/>
        </w:rPr>
        <w:sectPr>
          <w:pgSz w:w="11910" w:h="16840"/>
          <w:pgMar w:top="1340" w:right="1417" w:bottom="280" w:left="1417" w:header="720" w:footer="720" w:gutter="0"/>
          <w:cols w:space="720" w:num="1"/>
        </w:sectPr>
      </w:pPr>
      <w:r>
        <w:rPr>
          <w:rFonts w:hint="eastAsia" w:ascii="宋体" w:hAnsi="宋体" w:cs="宋体"/>
          <w:color w:val="auto"/>
          <w:kern w:val="0"/>
          <w:szCs w:val="21"/>
          <w:lang w:val="zh-CN"/>
        </w:rPr>
        <w:t>日期：  年  月   日</w:t>
      </w:r>
    </w:p>
    <w:p w14:paraId="7E4C4131">
      <w:pPr>
        <w:pStyle w:val="7"/>
        <w:jc w:val="center"/>
        <w:rPr>
          <w:rFonts w:hint="eastAsia" w:ascii="宋体" w:hAnsi="宋体"/>
          <w:b w:val="0"/>
          <w:color w:val="auto"/>
        </w:rPr>
      </w:pPr>
      <w:bookmarkStart w:id="172" w:name="_Toc80205942"/>
      <w:bookmarkStart w:id="173" w:name="_Toc13936"/>
      <w:bookmarkStart w:id="174" w:name="_Toc18482"/>
      <w:bookmarkStart w:id="175" w:name="_Toc80886946"/>
      <w:r>
        <w:rPr>
          <w:rFonts w:hint="eastAsia" w:ascii="宋体" w:hAnsi="宋体"/>
          <w:color w:val="auto"/>
        </w:rPr>
        <w:t>第四节 其他文书、文件格式</w:t>
      </w:r>
      <w:bookmarkEnd w:id="172"/>
      <w:bookmarkEnd w:id="173"/>
      <w:bookmarkEnd w:id="174"/>
      <w:bookmarkEnd w:id="175"/>
    </w:p>
    <w:p w14:paraId="26836DD1">
      <w:pPr>
        <w:pStyle w:val="6"/>
        <w:jc w:val="center"/>
        <w:rPr>
          <w:b w:val="0"/>
          <w:bCs w:val="0"/>
          <w:color w:val="auto"/>
          <w:sz w:val="28"/>
          <w:szCs w:val="28"/>
        </w:rPr>
      </w:pPr>
      <w:bookmarkStart w:id="176" w:name="_Toc18676"/>
      <w:bookmarkStart w:id="177" w:name="_Toc80886947"/>
      <w:bookmarkStart w:id="178" w:name="_Toc15154"/>
      <w:bookmarkStart w:id="179" w:name="_Toc24786"/>
      <w:bookmarkStart w:id="180" w:name="_Toc9343"/>
      <w:bookmarkStart w:id="181" w:name="_Toc4005"/>
      <w:bookmarkStart w:id="182" w:name="_Toc15161"/>
      <w:bookmarkStart w:id="183" w:name="_Toc12748"/>
      <w:r>
        <w:rPr>
          <w:rFonts w:hint="eastAsia" w:ascii="宋体" w:hAnsi="宋体" w:cs="宋体"/>
          <w:b w:val="0"/>
          <w:bCs w:val="0"/>
          <w:color w:val="auto"/>
          <w:sz w:val="28"/>
          <w:szCs w:val="28"/>
        </w:rPr>
        <w:t>未提供格式的，供应商自行拟定。</w:t>
      </w:r>
    </w:p>
    <w:p w14:paraId="2F6D7194">
      <w:pPr>
        <w:pStyle w:val="6"/>
        <w:jc w:val="center"/>
        <w:rPr>
          <w:b w:val="0"/>
          <w:bCs w:val="0"/>
          <w:color w:val="auto"/>
        </w:rPr>
      </w:pPr>
    </w:p>
    <w:p w14:paraId="25A33039">
      <w:pPr>
        <w:rPr>
          <w:color w:val="auto"/>
        </w:rPr>
      </w:pPr>
    </w:p>
    <w:p w14:paraId="28A99BE1">
      <w:pPr>
        <w:rPr>
          <w:color w:val="auto"/>
        </w:rPr>
      </w:pPr>
    </w:p>
    <w:p w14:paraId="74172EE6">
      <w:pPr>
        <w:rPr>
          <w:color w:val="auto"/>
        </w:rPr>
      </w:pPr>
    </w:p>
    <w:p w14:paraId="1AA94D9D">
      <w:pPr>
        <w:rPr>
          <w:color w:val="auto"/>
        </w:rPr>
      </w:pPr>
    </w:p>
    <w:p w14:paraId="39CB5C47">
      <w:pPr>
        <w:rPr>
          <w:color w:val="auto"/>
        </w:rPr>
      </w:pPr>
    </w:p>
    <w:p w14:paraId="523C55E9">
      <w:pPr>
        <w:rPr>
          <w:color w:val="auto"/>
        </w:rPr>
      </w:pPr>
    </w:p>
    <w:p w14:paraId="21A5F621">
      <w:pPr>
        <w:rPr>
          <w:color w:val="auto"/>
        </w:rPr>
      </w:pPr>
    </w:p>
    <w:p w14:paraId="43C0D34B">
      <w:pPr>
        <w:rPr>
          <w:color w:val="auto"/>
        </w:rPr>
      </w:pPr>
    </w:p>
    <w:p w14:paraId="64660A33">
      <w:pPr>
        <w:rPr>
          <w:color w:val="auto"/>
        </w:rPr>
      </w:pPr>
    </w:p>
    <w:p w14:paraId="122B7BB9">
      <w:pPr>
        <w:rPr>
          <w:color w:val="auto"/>
        </w:rPr>
      </w:pPr>
    </w:p>
    <w:p w14:paraId="67DA5805">
      <w:pPr>
        <w:rPr>
          <w:color w:val="auto"/>
        </w:rPr>
      </w:pPr>
    </w:p>
    <w:p w14:paraId="69B37D65">
      <w:pPr>
        <w:rPr>
          <w:color w:val="auto"/>
        </w:rPr>
      </w:pPr>
    </w:p>
    <w:p w14:paraId="245799F2">
      <w:pPr>
        <w:rPr>
          <w:color w:val="auto"/>
        </w:rPr>
      </w:pPr>
    </w:p>
    <w:p w14:paraId="12992F52">
      <w:pPr>
        <w:rPr>
          <w:color w:val="auto"/>
        </w:rPr>
      </w:pPr>
    </w:p>
    <w:p w14:paraId="17044D1A">
      <w:pPr>
        <w:rPr>
          <w:color w:val="auto"/>
        </w:rPr>
      </w:pPr>
    </w:p>
    <w:p w14:paraId="6A0AA4DB">
      <w:pPr>
        <w:rPr>
          <w:color w:val="auto"/>
        </w:rPr>
      </w:pPr>
    </w:p>
    <w:p w14:paraId="09C629A0">
      <w:pPr>
        <w:rPr>
          <w:color w:val="auto"/>
        </w:rPr>
      </w:pPr>
    </w:p>
    <w:p w14:paraId="6CE2181F">
      <w:pPr>
        <w:rPr>
          <w:color w:val="auto"/>
        </w:rPr>
      </w:pPr>
    </w:p>
    <w:p w14:paraId="1F3993F0">
      <w:pPr>
        <w:rPr>
          <w:color w:val="auto"/>
        </w:rPr>
      </w:pPr>
    </w:p>
    <w:p w14:paraId="24083434">
      <w:pPr>
        <w:rPr>
          <w:color w:val="auto"/>
        </w:rPr>
      </w:pPr>
    </w:p>
    <w:p w14:paraId="3AC61BF8">
      <w:pPr>
        <w:rPr>
          <w:color w:val="auto"/>
        </w:rPr>
      </w:pPr>
    </w:p>
    <w:p w14:paraId="2C4FB106">
      <w:pPr>
        <w:rPr>
          <w:color w:val="auto"/>
        </w:rPr>
      </w:pPr>
    </w:p>
    <w:p w14:paraId="23753625">
      <w:pPr>
        <w:rPr>
          <w:color w:val="auto"/>
        </w:rPr>
      </w:pPr>
    </w:p>
    <w:p w14:paraId="3EAEB601">
      <w:pPr>
        <w:rPr>
          <w:color w:val="auto"/>
        </w:rPr>
      </w:pPr>
    </w:p>
    <w:p w14:paraId="06046DF8">
      <w:pPr>
        <w:rPr>
          <w:color w:val="auto"/>
        </w:rPr>
      </w:pPr>
    </w:p>
    <w:p w14:paraId="3E481933">
      <w:pPr>
        <w:rPr>
          <w:color w:val="auto"/>
        </w:rPr>
      </w:pPr>
    </w:p>
    <w:p w14:paraId="7897CD3E">
      <w:pPr>
        <w:pStyle w:val="6"/>
        <w:jc w:val="center"/>
        <w:rPr>
          <w:b w:val="0"/>
          <w:bCs w:val="0"/>
          <w:color w:val="auto"/>
        </w:rPr>
      </w:pPr>
    </w:p>
    <w:p w14:paraId="3C94E117">
      <w:pPr>
        <w:rPr>
          <w:color w:val="auto"/>
        </w:rPr>
      </w:pPr>
    </w:p>
    <w:p w14:paraId="023D88AD">
      <w:pPr>
        <w:rPr>
          <w:color w:val="auto"/>
        </w:rPr>
      </w:pPr>
    </w:p>
    <w:p w14:paraId="68528B76">
      <w:pPr>
        <w:rPr>
          <w:color w:val="auto"/>
        </w:rPr>
      </w:pPr>
    </w:p>
    <w:p w14:paraId="0AD66971">
      <w:pPr>
        <w:rPr>
          <w:color w:val="auto"/>
        </w:rPr>
      </w:pPr>
    </w:p>
    <w:p w14:paraId="6038ED9D">
      <w:pPr>
        <w:rPr>
          <w:color w:val="auto"/>
        </w:rPr>
      </w:pPr>
    </w:p>
    <w:p w14:paraId="0AB6C921">
      <w:pPr>
        <w:pStyle w:val="6"/>
        <w:jc w:val="center"/>
        <w:rPr>
          <w:b w:val="0"/>
          <w:bCs w:val="0"/>
          <w:color w:val="auto"/>
        </w:rPr>
      </w:pPr>
      <w:r>
        <w:rPr>
          <w:rFonts w:hint="eastAsia"/>
          <w:b w:val="0"/>
          <w:bCs w:val="0"/>
          <w:color w:val="auto"/>
        </w:rPr>
        <w:t>第六章 合同文本</w:t>
      </w:r>
      <w:bookmarkEnd w:id="176"/>
      <w:bookmarkEnd w:id="177"/>
      <w:bookmarkEnd w:id="178"/>
      <w:bookmarkEnd w:id="179"/>
      <w:bookmarkEnd w:id="180"/>
      <w:bookmarkEnd w:id="181"/>
      <w:bookmarkEnd w:id="182"/>
    </w:p>
    <w:bookmarkEnd w:id="183"/>
    <w:p w14:paraId="22FE358D">
      <w:pPr>
        <w:snapToGrid w:val="0"/>
        <w:ind w:firstLine="1044" w:firstLineChars="200"/>
        <w:rPr>
          <w:rFonts w:hint="eastAsia" w:ascii="宋体" w:hAnsi="宋体" w:cs="宋体"/>
          <w:b/>
          <w:bCs/>
          <w:color w:val="auto"/>
          <w:sz w:val="52"/>
        </w:rPr>
      </w:pPr>
      <w:r>
        <w:rPr>
          <w:rFonts w:hint="eastAsia" w:ascii="宋体" w:hAnsi="宋体" w:cs="宋体"/>
          <w:b/>
          <w:bCs/>
          <w:color w:val="auto"/>
          <w:sz w:val="52"/>
        </w:rPr>
        <w:t>广西壮族自治区政府采购合同</w:t>
      </w:r>
    </w:p>
    <w:p w14:paraId="65280F0A">
      <w:pPr>
        <w:spacing w:line="360" w:lineRule="auto"/>
        <w:jc w:val="left"/>
        <w:rPr>
          <w:rFonts w:hint="eastAsia" w:ascii="宋体" w:hAnsi="宋体" w:cs="宋体"/>
          <w:color w:val="auto"/>
        </w:rPr>
      </w:pPr>
    </w:p>
    <w:p w14:paraId="305B4FA4">
      <w:pPr>
        <w:spacing w:line="360" w:lineRule="auto"/>
        <w:jc w:val="left"/>
        <w:rPr>
          <w:rFonts w:hint="eastAsia" w:ascii="宋体" w:hAnsi="宋体" w:cs="宋体"/>
          <w:color w:val="auto"/>
        </w:rPr>
      </w:pPr>
    </w:p>
    <w:p w14:paraId="01B35058">
      <w:pPr>
        <w:spacing w:line="360" w:lineRule="auto"/>
        <w:jc w:val="left"/>
        <w:rPr>
          <w:rFonts w:hint="eastAsia" w:ascii="宋体" w:hAnsi="宋体" w:cs="宋体"/>
          <w:color w:val="auto"/>
        </w:rPr>
      </w:pPr>
    </w:p>
    <w:p w14:paraId="7C048518">
      <w:pPr>
        <w:tabs>
          <w:tab w:val="center" w:pos="4153"/>
          <w:tab w:val="right" w:pos="8306"/>
        </w:tabs>
        <w:snapToGrid w:val="0"/>
        <w:jc w:val="center"/>
        <w:rPr>
          <w:rFonts w:hint="eastAsia" w:ascii="宋体" w:hAnsi="宋体" w:cs="宋体"/>
          <w:b/>
          <w:bCs/>
          <w:color w:val="auto"/>
          <w:sz w:val="52"/>
          <w:szCs w:val="52"/>
        </w:rPr>
      </w:pPr>
      <w:r>
        <w:rPr>
          <w:rFonts w:hint="eastAsia" w:ascii="宋体" w:hAnsi="宋体" w:cs="宋体"/>
          <w:b/>
          <w:bCs/>
          <w:color w:val="auto"/>
          <w:sz w:val="52"/>
          <w:szCs w:val="52"/>
          <w:u w:val="single"/>
        </w:rPr>
        <w:t xml:space="preserve">               </w:t>
      </w:r>
      <w:r>
        <w:rPr>
          <w:rFonts w:hint="eastAsia" w:ascii="宋体" w:hAnsi="宋体" w:cs="宋体"/>
          <w:b/>
          <w:bCs/>
          <w:color w:val="auto"/>
          <w:sz w:val="52"/>
          <w:szCs w:val="52"/>
        </w:rPr>
        <w:t>项目</w:t>
      </w:r>
    </w:p>
    <w:p w14:paraId="570C2607">
      <w:pPr>
        <w:tabs>
          <w:tab w:val="center" w:pos="4153"/>
          <w:tab w:val="right" w:pos="8306"/>
        </w:tabs>
        <w:snapToGrid w:val="0"/>
        <w:jc w:val="left"/>
        <w:rPr>
          <w:rFonts w:hint="eastAsia" w:ascii="宋体" w:hAnsi="宋体" w:cs="宋体"/>
          <w:b/>
          <w:bCs/>
          <w:color w:val="auto"/>
          <w:sz w:val="44"/>
          <w:szCs w:val="18"/>
        </w:rPr>
      </w:pPr>
    </w:p>
    <w:p w14:paraId="5CB5CCB7">
      <w:pPr>
        <w:tabs>
          <w:tab w:val="center" w:pos="4153"/>
          <w:tab w:val="right" w:pos="8306"/>
        </w:tabs>
        <w:snapToGrid w:val="0"/>
        <w:jc w:val="left"/>
        <w:rPr>
          <w:rFonts w:hint="eastAsia" w:ascii="宋体" w:hAnsi="宋体" w:cs="宋体"/>
          <w:b/>
          <w:bCs/>
          <w:color w:val="auto"/>
          <w:sz w:val="44"/>
          <w:szCs w:val="18"/>
        </w:rPr>
      </w:pPr>
    </w:p>
    <w:p w14:paraId="24A0E79F">
      <w:pPr>
        <w:spacing w:line="360" w:lineRule="auto"/>
        <w:ind w:firstLine="2168" w:firstLineChars="600"/>
        <w:rPr>
          <w:rFonts w:hint="eastAsia" w:ascii="宋体" w:hAnsi="宋体" w:cs="宋体"/>
          <w:b/>
          <w:color w:val="auto"/>
          <w:sz w:val="36"/>
          <w:szCs w:val="36"/>
          <w:u w:val="single"/>
        </w:rPr>
      </w:pPr>
      <w:r>
        <w:rPr>
          <w:rFonts w:hint="eastAsia" w:ascii="宋体" w:hAnsi="宋体" w:cs="宋体"/>
          <w:b/>
          <w:color w:val="auto"/>
          <w:sz w:val="36"/>
          <w:szCs w:val="36"/>
        </w:rPr>
        <w:t>合同编号：</w:t>
      </w:r>
      <w:r>
        <w:rPr>
          <w:rFonts w:hint="eastAsia" w:ascii="宋体" w:hAnsi="宋体" w:cs="宋体"/>
          <w:b/>
          <w:color w:val="auto"/>
          <w:sz w:val="36"/>
          <w:szCs w:val="36"/>
          <w:u w:val="single"/>
        </w:rPr>
        <w:t xml:space="preserve">            </w:t>
      </w:r>
    </w:p>
    <w:p w14:paraId="2FF89DDB">
      <w:pPr>
        <w:spacing w:line="360" w:lineRule="auto"/>
        <w:ind w:firstLine="2168" w:firstLineChars="600"/>
        <w:rPr>
          <w:rFonts w:hint="eastAsia" w:ascii="宋体" w:hAnsi="宋体" w:cs="宋体"/>
          <w:b/>
          <w:color w:val="auto"/>
          <w:sz w:val="36"/>
          <w:szCs w:val="36"/>
          <w:u w:val="single"/>
        </w:rPr>
      </w:pPr>
      <w:r>
        <w:rPr>
          <w:rFonts w:hint="eastAsia" w:ascii="宋体" w:hAnsi="宋体" w:cs="宋体"/>
          <w:b/>
          <w:color w:val="auto"/>
          <w:sz w:val="36"/>
          <w:szCs w:val="36"/>
        </w:rPr>
        <w:t>计划编号：</w:t>
      </w:r>
      <w:r>
        <w:rPr>
          <w:rFonts w:hint="eastAsia" w:ascii="宋体" w:hAnsi="宋体" w:cs="宋体"/>
          <w:b/>
          <w:color w:val="auto"/>
          <w:sz w:val="36"/>
          <w:szCs w:val="36"/>
          <w:u w:val="single"/>
        </w:rPr>
        <w:t xml:space="preserve">            </w:t>
      </w:r>
    </w:p>
    <w:p w14:paraId="259FC262">
      <w:pPr>
        <w:tabs>
          <w:tab w:val="center" w:pos="4153"/>
          <w:tab w:val="right" w:pos="8306"/>
        </w:tabs>
        <w:snapToGrid w:val="0"/>
        <w:jc w:val="left"/>
        <w:rPr>
          <w:rFonts w:hint="eastAsia" w:ascii="宋体" w:hAnsi="宋体" w:cs="宋体"/>
          <w:color w:val="auto"/>
          <w:sz w:val="18"/>
          <w:szCs w:val="18"/>
        </w:rPr>
      </w:pPr>
    </w:p>
    <w:p w14:paraId="217740D9">
      <w:pPr>
        <w:tabs>
          <w:tab w:val="center" w:pos="4153"/>
          <w:tab w:val="right" w:pos="8306"/>
        </w:tabs>
        <w:snapToGrid w:val="0"/>
        <w:jc w:val="left"/>
        <w:rPr>
          <w:rFonts w:hint="eastAsia" w:ascii="宋体" w:hAnsi="宋体" w:cs="宋体"/>
          <w:color w:val="auto"/>
          <w:sz w:val="18"/>
          <w:szCs w:val="18"/>
        </w:rPr>
      </w:pPr>
    </w:p>
    <w:p w14:paraId="13D3C670">
      <w:pPr>
        <w:jc w:val="center"/>
        <w:rPr>
          <w:rFonts w:hint="eastAsia" w:ascii="宋体" w:hAnsi="宋体" w:cs="宋体"/>
          <w:b/>
          <w:color w:val="auto"/>
          <w:sz w:val="36"/>
          <w:szCs w:val="36"/>
        </w:rPr>
      </w:pPr>
    </w:p>
    <w:p w14:paraId="087E5338">
      <w:pPr>
        <w:tabs>
          <w:tab w:val="center" w:pos="4153"/>
          <w:tab w:val="right" w:pos="8306"/>
        </w:tabs>
        <w:snapToGrid w:val="0"/>
        <w:jc w:val="left"/>
        <w:rPr>
          <w:rFonts w:hint="eastAsia" w:ascii="宋体" w:hAnsi="宋体" w:cs="宋体"/>
          <w:b/>
          <w:color w:val="auto"/>
          <w:sz w:val="36"/>
          <w:szCs w:val="36"/>
        </w:rPr>
      </w:pPr>
    </w:p>
    <w:p w14:paraId="3B0702FB">
      <w:pPr>
        <w:tabs>
          <w:tab w:val="center" w:pos="4153"/>
          <w:tab w:val="right" w:pos="8306"/>
        </w:tabs>
        <w:snapToGrid w:val="0"/>
        <w:jc w:val="left"/>
        <w:rPr>
          <w:rFonts w:hint="eastAsia" w:ascii="宋体" w:hAnsi="宋体" w:cs="宋体"/>
          <w:b/>
          <w:color w:val="auto"/>
          <w:sz w:val="36"/>
          <w:szCs w:val="36"/>
        </w:rPr>
      </w:pPr>
    </w:p>
    <w:p w14:paraId="24F960C6">
      <w:pPr>
        <w:tabs>
          <w:tab w:val="center" w:pos="4153"/>
          <w:tab w:val="right" w:pos="8306"/>
        </w:tabs>
        <w:snapToGrid w:val="0"/>
        <w:jc w:val="left"/>
        <w:rPr>
          <w:rFonts w:hint="eastAsia" w:ascii="宋体" w:hAnsi="宋体" w:cs="宋体"/>
          <w:b/>
          <w:color w:val="auto"/>
          <w:sz w:val="36"/>
          <w:szCs w:val="36"/>
        </w:rPr>
      </w:pPr>
    </w:p>
    <w:p w14:paraId="58CBE183">
      <w:pPr>
        <w:tabs>
          <w:tab w:val="left" w:pos="7200"/>
        </w:tabs>
        <w:spacing w:line="360" w:lineRule="auto"/>
        <w:ind w:firstLine="2168" w:firstLineChars="600"/>
        <w:rPr>
          <w:rFonts w:hint="eastAsia" w:ascii="宋体" w:hAnsi="宋体" w:cs="宋体"/>
          <w:b/>
          <w:color w:val="auto"/>
          <w:sz w:val="36"/>
          <w:szCs w:val="36"/>
          <w:u w:val="single"/>
        </w:rPr>
      </w:pPr>
      <w:r>
        <w:rPr>
          <w:rFonts w:hint="eastAsia" w:ascii="宋体" w:hAnsi="宋体" w:cs="宋体"/>
          <w:b/>
          <w:color w:val="auto"/>
          <w:sz w:val="36"/>
          <w:szCs w:val="36"/>
        </w:rPr>
        <w:t>采购人（甲方）：</w:t>
      </w:r>
      <w:r>
        <w:rPr>
          <w:rFonts w:hint="eastAsia" w:ascii="宋体" w:hAnsi="宋体" w:cs="宋体"/>
          <w:b/>
          <w:color w:val="auto"/>
          <w:sz w:val="36"/>
          <w:szCs w:val="36"/>
          <w:u w:val="single"/>
        </w:rPr>
        <w:t xml:space="preserve">               </w:t>
      </w:r>
    </w:p>
    <w:p w14:paraId="38B2C532">
      <w:pPr>
        <w:tabs>
          <w:tab w:val="left" w:pos="7380"/>
        </w:tabs>
        <w:spacing w:line="360" w:lineRule="auto"/>
        <w:ind w:firstLine="2168" w:firstLineChars="600"/>
        <w:rPr>
          <w:rFonts w:hint="eastAsia" w:ascii="宋体" w:hAnsi="宋体" w:cs="宋体"/>
          <w:b/>
          <w:bCs/>
          <w:color w:val="auto"/>
          <w:sz w:val="44"/>
          <w:u w:val="single"/>
        </w:rPr>
      </w:pPr>
      <w:r>
        <w:rPr>
          <w:rFonts w:hint="eastAsia" w:ascii="宋体" w:hAnsi="宋体" w:cs="宋体"/>
          <w:b/>
          <w:color w:val="auto"/>
          <w:sz w:val="36"/>
          <w:szCs w:val="36"/>
        </w:rPr>
        <w:t>成交供应商（乙方）：</w:t>
      </w:r>
      <w:r>
        <w:rPr>
          <w:rFonts w:hint="eastAsia" w:ascii="宋体" w:hAnsi="宋体" w:cs="宋体"/>
          <w:b/>
          <w:color w:val="auto"/>
          <w:sz w:val="36"/>
          <w:szCs w:val="36"/>
          <w:u w:val="single"/>
        </w:rPr>
        <w:t xml:space="preserve">           </w:t>
      </w:r>
    </w:p>
    <w:p w14:paraId="2DDA017E">
      <w:pPr>
        <w:snapToGrid w:val="0"/>
        <w:spacing w:line="360" w:lineRule="auto"/>
        <w:jc w:val="center"/>
        <w:rPr>
          <w:rFonts w:hint="eastAsia" w:ascii="宋体" w:hAnsi="宋体" w:cs="宋体"/>
          <w:b/>
          <w:color w:val="auto"/>
          <w:sz w:val="28"/>
          <w:szCs w:val="28"/>
        </w:rPr>
      </w:pPr>
    </w:p>
    <w:p w14:paraId="6EEC8079">
      <w:pPr>
        <w:jc w:val="center"/>
        <w:rPr>
          <w:rFonts w:hint="eastAsia" w:ascii="宋体" w:hAnsi="宋体"/>
          <w:color w:val="auto"/>
        </w:rPr>
      </w:pPr>
      <w:r>
        <w:rPr>
          <w:rFonts w:hint="eastAsia" w:ascii="宋体" w:hAnsi="宋体" w:cs="宋体"/>
          <w:b/>
          <w:color w:val="auto"/>
          <w:sz w:val="28"/>
          <w:szCs w:val="28"/>
        </w:rPr>
        <w:t>签订日期：  年    月   日</w:t>
      </w:r>
      <w:r>
        <w:rPr>
          <w:rFonts w:hint="eastAsia" w:ascii="宋体" w:hAnsi="Courier New"/>
          <w:color w:val="auto"/>
        </w:rPr>
        <w:br w:type="page"/>
      </w:r>
    </w:p>
    <w:p w14:paraId="21DC5118">
      <w:pPr>
        <w:spacing w:line="300" w:lineRule="auto"/>
        <w:jc w:val="center"/>
        <w:rPr>
          <w:rFonts w:ascii="宋体" w:hAnsi="Courier New"/>
          <w:color w:val="auto"/>
        </w:rPr>
      </w:pPr>
    </w:p>
    <w:p w14:paraId="2F8FED29">
      <w:pPr>
        <w:snapToGrid w:val="0"/>
        <w:spacing w:line="360" w:lineRule="exact"/>
        <w:jc w:val="center"/>
        <w:rPr>
          <w:rFonts w:hint="eastAsia" w:ascii="宋体" w:hAnsi="宋体"/>
          <w:b/>
          <w:bCs/>
          <w:color w:val="auto"/>
          <w:sz w:val="32"/>
          <w:szCs w:val="32"/>
        </w:rPr>
      </w:pPr>
      <w:r>
        <w:rPr>
          <w:rFonts w:hint="eastAsia" w:ascii="宋体" w:hAnsi="宋体"/>
          <w:b/>
          <w:bCs/>
          <w:color w:val="auto"/>
          <w:sz w:val="32"/>
          <w:szCs w:val="32"/>
        </w:rPr>
        <w:t>广西壮族自治区政府采购合同</w:t>
      </w:r>
    </w:p>
    <w:p w14:paraId="4A121502">
      <w:pPr>
        <w:wordWrap w:val="0"/>
        <w:adjustRightInd w:val="0"/>
        <w:snapToGrid w:val="0"/>
        <w:spacing w:line="360" w:lineRule="auto"/>
        <w:jc w:val="right"/>
        <w:rPr>
          <w:rFonts w:hint="eastAsia" w:ascii="宋体" w:hAnsi="宋体" w:cs="宋体"/>
          <w:bCs/>
          <w:color w:val="auto"/>
          <w:szCs w:val="21"/>
        </w:rPr>
      </w:pPr>
    </w:p>
    <w:p w14:paraId="03C6D41B">
      <w:pPr>
        <w:adjustRightInd w:val="0"/>
        <w:spacing w:line="360" w:lineRule="auto"/>
        <w:rPr>
          <w:rFonts w:hint="eastAsia" w:ascii="宋体" w:hAnsi="宋体" w:cs="宋体"/>
          <w:color w:val="auto"/>
          <w:szCs w:val="21"/>
          <w:u w:val="single"/>
        </w:rPr>
      </w:pPr>
      <w:r>
        <w:rPr>
          <w:rFonts w:hint="eastAsia" w:ascii="宋体" w:hAnsi="宋体" w:cs="宋体"/>
          <w:color w:val="auto"/>
          <w:szCs w:val="21"/>
        </w:rPr>
        <w:t>项目名称：</w:t>
      </w:r>
      <w:r>
        <w:rPr>
          <w:rFonts w:hint="eastAsia" w:ascii="宋体" w:hAnsi="宋体" w:cs="宋体"/>
          <w:color w:val="auto"/>
          <w:szCs w:val="21"/>
          <w:u w:val="single"/>
        </w:rPr>
        <w:t xml:space="preserve">                </w:t>
      </w:r>
    </w:p>
    <w:p w14:paraId="17C7451D">
      <w:pPr>
        <w:adjustRightInd w:val="0"/>
        <w:snapToGrid w:val="0"/>
        <w:spacing w:line="360" w:lineRule="auto"/>
        <w:rPr>
          <w:rFonts w:hint="eastAsia" w:ascii="宋体" w:hAnsi="宋体" w:cs="宋体"/>
          <w:bCs/>
          <w:color w:val="auto"/>
          <w:szCs w:val="21"/>
          <w:u w:val="single"/>
        </w:rPr>
      </w:pPr>
      <w:r>
        <w:rPr>
          <w:rFonts w:hint="eastAsia" w:ascii="宋体" w:hAnsi="宋体" w:cs="宋体"/>
          <w:color w:val="auto"/>
          <w:szCs w:val="21"/>
        </w:rPr>
        <w:t>项目</w:t>
      </w:r>
      <w:r>
        <w:rPr>
          <w:rFonts w:hint="eastAsia" w:ascii="宋体" w:hAnsi="宋体" w:cs="宋体"/>
          <w:color w:val="auto"/>
          <w:spacing w:val="-20"/>
          <w:szCs w:val="21"/>
        </w:rPr>
        <w:t>编 号：</w:t>
      </w:r>
      <w:r>
        <w:rPr>
          <w:rFonts w:hint="eastAsia" w:ascii="宋体" w:hAnsi="宋体" w:cs="宋体"/>
          <w:color w:val="auto"/>
          <w:spacing w:val="-20"/>
          <w:szCs w:val="21"/>
          <w:u w:val="single"/>
        </w:rPr>
        <w:t xml:space="preserve">                          </w:t>
      </w:r>
    </w:p>
    <w:p w14:paraId="13E116D0">
      <w:pPr>
        <w:adjustRightInd w:val="0"/>
        <w:snapToGrid w:val="0"/>
        <w:spacing w:line="360" w:lineRule="auto"/>
        <w:rPr>
          <w:rFonts w:hint="eastAsia" w:ascii="宋体" w:hAnsi="宋体" w:cs="宋体"/>
          <w:color w:val="auto"/>
          <w:szCs w:val="21"/>
        </w:rPr>
      </w:pPr>
    </w:p>
    <w:p w14:paraId="79DED4BA">
      <w:pPr>
        <w:adjustRightInd w:val="0"/>
        <w:snapToGrid w:val="0"/>
        <w:spacing w:line="360" w:lineRule="auto"/>
        <w:rPr>
          <w:rFonts w:hint="eastAsia" w:ascii="宋体" w:hAnsi="宋体" w:cs="宋体"/>
          <w:color w:val="auto"/>
          <w:szCs w:val="21"/>
          <w:u w:val="single"/>
        </w:rPr>
      </w:pPr>
      <w:r>
        <w:rPr>
          <w:rFonts w:hint="eastAsia" w:ascii="宋体" w:hAnsi="宋体" w:cs="宋体"/>
          <w:color w:val="auto"/>
          <w:szCs w:val="21"/>
        </w:rPr>
        <w:t>采购人（甲方）：</w:t>
      </w:r>
      <w:r>
        <w:rPr>
          <w:rFonts w:hint="eastAsia" w:ascii="宋体" w:hAnsi="宋体" w:cs="宋体"/>
          <w:color w:val="auto"/>
          <w:szCs w:val="21"/>
          <w:u w:val="single"/>
        </w:rPr>
        <w:t xml:space="preserve">                 </w:t>
      </w:r>
    </w:p>
    <w:p w14:paraId="7B423E25">
      <w:pPr>
        <w:adjustRightInd w:val="0"/>
        <w:snapToGrid w:val="0"/>
        <w:spacing w:line="360" w:lineRule="auto"/>
        <w:rPr>
          <w:rFonts w:hint="eastAsia" w:ascii="宋体" w:hAnsi="宋体" w:cs="宋体"/>
          <w:color w:val="auto"/>
          <w:szCs w:val="21"/>
          <w:u w:val="single"/>
        </w:rPr>
      </w:pPr>
      <w:r>
        <w:rPr>
          <w:rFonts w:hint="eastAsia" w:ascii="宋体" w:hAnsi="宋体" w:cs="宋体"/>
          <w:color w:val="auto"/>
          <w:szCs w:val="21"/>
        </w:rPr>
        <w:t>成交供应商（乙方）：</w:t>
      </w:r>
      <w:r>
        <w:rPr>
          <w:rFonts w:hint="eastAsia" w:ascii="宋体" w:hAnsi="宋体" w:cs="宋体"/>
          <w:color w:val="auto"/>
          <w:szCs w:val="21"/>
          <w:u w:val="single"/>
        </w:rPr>
        <w:t xml:space="preserve">             </w:t>
      </w:r>
    </w:p>
    <w:p w14:paraId="00ADE415">
      <w:pPr>
        <w:adjustRightInd w:val="0"/>
        <w:snapToGrid w:val="0"/>
        <w:spacing w:line="360" w:lineRule="auto"/>
        <w:rPr>
          <w:rFonts w:hint="eastAsia" w:ascii="宋体" w:hAnsi="宋体" w:cs="宋体"/>
          <w:color w:val="auto"/>
          <w:szCs w:val="21"/>
          <w:u w:val="single"/>
        </w:rPr>
      </w:pPr>
      <w:r>
        <w:rPr>
          <w:rFonts w:hint="eastAsia" w:ascii="宋体" w:hAnsi="宋体" w:cs="宋体"/>
          <w:color w:val="auto"/>
          <w:szCs w:val="21"/>
        </w:rPr>
        <w:t>签订地点：</w:t>
      </w:r>
      <w:r>
        <w:rPr>
          <w:rFonts w:hint="eastAsia" w:ascii="宋体" w:hAnsi="宋体" w:cs="宋体"/>
          <w:color w:val="auto"/>
          <w:szCs w:val="21"/>
          <w:u w:val="single"/>
        </w:rPr>
        <w:t xml:space="preserve">               </w:t>
      </w:r>
    </w:p>
    <w:p w14:paraId="23D57860">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根据《中华人民共和国政府采购法》《中华人民共和国民法典》等法律、法规规定，按照采购文件规定条款和乙方响应文件及其承诺，甲乙双方签订本合同。</w:t>
      </w:r>
    </w:p>
    <w:p w14:paraId="60F7DF53">
      <w:pPr>
        <w:snapToGrid w:val="0"/>
        <w:spacing w:line="360" w:lineRule="auto"/>
        <w:rPr>
          <w:rFonts w:hint="eastAsia" w:ascii="宋体" w:hAnsi="宋体" w:cs="宋体"/>
          <w:b/>
          <w:color w:val="auto"/>
          <w:szCs w:val="21"/>
        </w:rPr>
      </w:pPr>
      <w:r>
        <w:rPr>
          <w:rFonts w:hint="eastAsia" w:ascii="宋体" w:hAnsi="宋体" w:cs="宋体"/>
          <w:color w:val="auto"/>
          <w:szCs w:val="21"/>
        </w:rPr>
        <w:t xml:space="preserve">    </w:t>
      </w:r>
      <w:r>
        <w:rPr>
          <w:rFonts w:hint="eastAsia" w:ascii="宋体" w:hAnsi="宋体" w:cs="宋体"/>
          <w:b/>
          <w:color w:val="auto"/>
          <w:szCs w:val="21"/>
        </w:rPr>
        <w:t>第一条　合同标的</w:t>
      </w:r>
    </w:p>
    <w:p w14:paraId="7DE81C8F">
      <w:pPr>
        <w:numPr>
          <w:ilvl w:val="0"/>
          <w:numId w:val="9"/>
        </w:numPr>
        <w:snapToGrid w:val="0"/>
        <w:spacing w:line="360" w:lineRule="auto"/>
        <w:rPr>
          <w:rFonts w:hint="eastAsia" w:ascii="宋体" w:hAnsi="宋体" w:cs="宋体"/>
          <w:color w:val="auto"/>
          <w:szCs w:val="21"/>
        </w:rPr>
      </w:pPr>
      <w:r>
        <w:rPr>
          <w:rFonts w:hint="eastAsia" w:ascii="宋体" w:hAnsi="宋体" w:cs="宋体"/>
          <w:color w:val="auto"/>
          <w:szCs w:val="21"/>
        </w:rPr>
        <w:t>服务一览表</w:t>
      </w:r>
    </w:p>
    <w:tbl>
      <w:tblPr>
        <w:tblStyle w:val="34"/>
        <w:tblW w:w="8478" w:type="dxa"/>
        <w:tblInd w:w="3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1"/>
        <w:gridCol w:w="2646"/>
        <w:gridCol w:w="2204"/>
        <w:gridCol w:w="1584"/>
        <w:gridCol w:w="1463"/>
      </w:tblGrid>
      <w:tr w14:paraId="3708D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581" w:type="dxa"/>
            <w:vAlign w:val="center"/>
          </w:tcPr>
          <w:p w14:paraId="10DB3953">
            <w:pPr>
              <w:pStyle w:val="87"/>
              <w:spacing w:before="233"/>
              <w:ind w:left="4" w:right="-15"/>
              <w:jc w:val="center"/>
              <w:rPr>
                <w:color w:val="auto"/>
                <w:sz w:val="21"/>
                <w:szCs w:val="21"/>
              </w:rPr>
            </w:pPr>
            <w:r>
              <w:rPr>
                <w:color w:val="auto"/>
                <w:spacing w:val="-5"/>
                <w:sz w:val="21"/>
                <w:szCs w:val="21"/>
              </w:rPr>
              <w:t>序号</w:t>
            </w:r>
          </w:p>
        </w:tc>
        <w:tc>
          <w:tcPr>
            <w:tcW w:w="2646" w:type="dxa"/>
            <w:vAlign w:val="center"/>
          </w:tcPr>
          <w:p w14:paraId="61EE612F">
            <w:pPr>
              <w:pStyle w:val="87"/>
              <w:spacing w:before="233"/>
              <w:ind w:left="319"/>
              <w:jc w:val="center"/>
              <w:rPr>
                <w:color w:val="auto"/>
                <w:spacing w:val="-3"/>
                <w:sz w:val="21"/>
                <w:szCs w:val="21"/>
                <w:lang w:eastAsia="zh-CN"/>
              </w:rPr>
            </w:pPr>
            <w:r>
              <w:rPr>
                <w:rFonts w:hint="eastAsia"/>
                <w:color w:val="auto"/>
                <w:spacing w:val="-3"/>
                <w:sz w:val="21"/>
                <w:szCs w:val="21"/>
                <w:lang w:eastAsia="zh-CN"/>
              </w:rPr>
              <w:t>服务名称</w:t>
            </w:r>
          </w:p>
        </w:tc>
        <w:tc>
          <w:tcPr>
            <w:tcW w:w="2204" w:type="dxa"/>
            <w:vAlign w:val="center"/>
          </w:tcPr>
          <w:p w14:paraId="074AC42C">
            <w:pPr>
              <w:pStyle w:val="87"/>
              <w:spacing w:before="233"/>
              <w:ind w:left="319"/>
              <w:jc w:val="center"/>
              <w:rPr>
                <w:color w:val="auto"/>
                <w:sz w:val="21"/>
                <w:szCs w:val="21"/>
              </w:rPr>
            </w:pPr>
            <w:r>
              <w:rPr>
                <w:color w:val="auto"/>
                <w:spacing w:val="-3"/>
                <w:sz w:val="21"/>
                <w:szCs w:val="21"/>
              </w:rPr>
              <w:t>服务内容</w:t>
            </w:r>
          </w:p>
        </w:tc>
        <w:tc>
          <w:tcPr>
            <w:tcW w:w="1584" w:type="dxa"/>
            <w:vAlign w:val="center"/>
          </w:tcPr>
          <w:p w14:paraId="47E67DF7">
            <w:pPr>
              <w:pStyle w:val="87"/>
              <w:spacing w:before="233"/>
              <w:ind w:left="9"/>
              <w:jc w:val="center"/>
              <w:rPr>
                <w:color w:val="auto"/>
                <w:sz w:val="21"/>
                <w:szCs w:val="21"/>
              </w:rPr>
            </w:pPr>
            <w:r>
              <w:rPr>
                <w:color w:val="auto"/>
                <w:spacing w:val="-2"/>
                <w:sz w:val="21"/>
                <w:szCs w:val="21"/>
              </w:rPr>
              <w:t>数量及单位</w:t>
            </w:r>
          </w:p>
        </w:tc>
        <w:tc>
          <w:tcPr>
            <w:tcW w:w="1463" w:type="dxa"/>
            <w:vAlign w:val="center"/>
          </w:tcPr>
          <w:p w14:paraId="1FFCD457">
            <w:pPr>
              <w:pStyle w:val="87"/>
              <w:tabs>
                <w:tab w:val="left" w:pos="487"/>
              </w:tabs>
              <w:spacing w:before="1" w:line="240" w:lineRule="exact"/>
              <w:ind w:left="6"/>
              <w:jc w:val="center"/>
              <w:rPr>
                <w:color w:val="auto"/>
                <w:sz w:val="21"/>
                <w:szCs w:val="21"/>
              </w:rPr>
            </w:pPr>
            <w:r>
              <w:rPr>
                <w:color w:val="auto"/>
                <w:spacing w:val="-10"/>
                <w:sz w:val="21"/>
                <w:szCs w:val="21"/>
              </w:rPr>
              <w:t>金</w:t>
            </w:r>
            <w:r>
              <w:rPr>
                <w:color w:val="auto"/>
                <w:sz w:val="21"/>
                <w:szCs w:val="21"/>
              </w:rPr>
              <w:tab/>
            </w:r>
            <w:r>
              <w:rPr>
                <w:color w:val="auto"/>
                <w:spacing w:val="-10"/>
                <w:sz w:val="21"/>
                <w:szCs w:val="21"/>
              </w:rPr>
              <w:t>额</w:t>
            </w:r>
          </w:p>
          <w:p w14:paraId="61E79059">
            <w:pPr>
              <w:pStyle w:val="87"/>
              <w:spacing w:before="158" w:line="240" w:lineRule="exact"/>
              <w:ind w:left="6"/>
              <w:jc w:val="center"/>
              <w:rPr>
                <w:color w:val="auto"/>
                <w:sz w:val="21"/>
                <w:szCs w:val="21"/>
              </w:rPr>
            </w:pPr>
            <w:r>
              <w:rPr>
                <w:color w:val="auto"/>
                <w:spacing w:val="-2"/>
                <w:sz w:val="21"/>
                <w:szCs w:val="21"/>
              </w:rPr>
              <w:t>（元</w:t>
            </w:r>
            <w:r>
              <w:rPr>
                <w:color w:val="auto"/>
                <w:spacing w:val="-10"/>
                <w:sz w:val="21"/>
                <w:szCs w:val="21"/>
              </w:rPr>
              <w:t>）</w:t>
            </w:r>
          </w:p>
        </w:tc>
      </w:tr>
      <w:tr w14:paraId="3669E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581" w:type="dxa"/>
            <w:vAlign w:val="center"/>
          </w:tcPr>
          <w:p w14:paraId="5FC8B515">
            <w:pPr>
              <w:pStyle w:val="87"/>
              <w:spacing w:before="64"/>
              <w:ind w:left="9"/>
              <w:jc w:val="center"/>
              <w:rPr>
                <w:color w:val="auto"/>
                <w:sz w:val="21"/>
                <w:szCs w:val="21"/>
              </w:rPr>
            </w:pPr>
            <w:r>
              <w:rPr>
                <w:color w:val="auto"/>
                <w:spacing w:val="-10"/>
                <w:sz w:val="21"/>
                <w:szCs w:val="21"/>
              </w:rPr>
              <w:t>1</w:t>
            </w:r>
          </w:p>
        </w:tc>
        <w:tc>
          <w:tcPr>
            <w:tcW w:w="2646" w:type="dxa"/>
            <w:vAlign w:val="center"/>
          </w:tcPr>
          <w:p w14:paraId="59F4B3D2">
            <w:pPr>
              <w:pStyle w:val="87"/>
              <w:jc w:val="center"/>
              <w:rPr>
                <w:rFonts w:ascii="Times New Roman"/>
                <w:color w:val="auto"/>
                <w:sz w:val="21"/>
                <w:szCs w:val="21"/>
                <w:lang w:eastAsia="zh-CN"/>
              </w:rPr>
            </w:pPr>
          </w:p>
        </w:tc>
        <w:tc>
          <w:tcPr>
            <w:tcW w:w="2204" w:type="dxa"/>
            <w:vAlign w:val="center"/>
          </w:tcPr>
          <w:p w14:paraId="3F973A31">
            <w:pPr>
              <w:pStyle w:val="87"/>
              <w:jc w:val="center"/>
              <w:rPr>
                <w:rFonts w:ascii="Times New Roman"/>
                <w:color w:val="auto"/>
                <w:sz w:val="21"/>
                <w:szCs w:val="21"/>
                <w:lang w:eastAsia="zh-CN"/>
              </w:rPr>
            </w:pPr>
          </w:p>
        </w:tc>
        <w:tc>
          <w:tcPr>
            <w:tcW w:w="1584" w:type="dxa"/>
            <w:vAlign w:val="center"/>
          </w:tcPr>
          <w:p w14:paraId="3E6097AC">
            <w:pPr>
              <w:pStyle w:val="87"/>
              <w:jc w:val="center"/>
              <w:rPr>
                <w:rFonts w:ascii="Times New Roman"/>
                <w:color w:val="auto"/>
                <w:sz w:val="21"/>
                <w:szCs w:val="21"/>
                <w:lang w:eastAsia="zh-CN"/>
              </w:rPr>
            </w:pPr>
          </w:p>
        </w:tc>
        <w:tc>
          <w:tcPr>
            <w:tcW w:w="1463" w:type="dxa"/>
            <w:vAlign w:val="center"/>
          </w:tcPr>
          <w:p w14:paraId="2F4DB75E">
            <w:pPr>
              <w:pStyle w:val="87"/>
              <w:jc w:val="center"/>
              <w:rPr>
                <w:rFonts w:ascii="Times New Roman"/>
                <w:color w:val="auto"/>
                <w:sz w:val="21"/>
                <w:szCs w:val="21"/>
              </w:rPr>
            </w:pPr>
          </w:p>
        </w:tc>
      </w:tr>
    </w:tbl>
    <w:p w14:paraId="12EF41EE">
      <w:pPr>
        <w:numPr>
          <w:ilvl w:val="0"/>
          <w:numId w:val="9"/>
        </w:numPr>
        <w:spacing w:line="360" w:lineRule="auto"/>
        <w:ind w:left="795" w:leftChars="0" w:hanging="360" w:firstLineChars="0"/>
        <w:jc w:val="left"/>
        <w:rPr>
          <w:rFonts w:hint="eastAsia" w:ascii="宋体" w:hAnsi="宋体" w:cs="宋体"/>
          <w:color w:val="auto"/>
          <w:szCs w:val="21"/>
        </w:rPr>
      </w:pPr>
      <w:r>
        <w:rPr>
          <w:rFonts w:hint="eastAsia" w:ascii="宋体" w:hAnsi="宋体" w:cs="宋体"/>
          <w:color w:val="auto"/>
          <w:szCs w:val="21"/>
        </w:rPr>
        <w:t>合同合计金额包括完成委托工作内容、按时提交合格的服务成果所需的资料收集费、服务</w:t>
      </w:r>
    </w:p>
    <w:p w14:paraId="48CD93E4">
      <w:pPr>
        <w:numPr>
          <w:ilvl w:val="0"/>
          <w:numId w:val="0"/>
        </w:numPr>
        <w:spacing w:line="360" w:lineRule="auto"/>
        <w:jc w:val="left"/>
        <w:rPr>
          <w:rFonts w:hint="eastAsia" w:ascii="宋体" w:hAnsi="宋体" w:cs="宋体"/>
          <w:color w:val="auto"/>
          <w:szCs w:val="21"/>
        </w:rPr>
      </w:pPr>
      <w:r>
        <w:rPr>
          <w:rFonts w:hint="eastAsia" w:ascii="宋体" w:hAnsi="宋体" w:cs="宋体"/>
          <w:color w:val="auto"/>
          <w:szCs w:val="21"/>
        </w:rPr>
        <w:t>费、工作经费、</w:t>
      </w:r>
      <w:r>
        <w:rPr>
          <w:rFonts w:hint="eastAsia" w:ascii="宋体" w:hAnsi="宋体" w:cs="宋体"/>
          <w:color w:val="auto"/>
          <w:szCs w:val="21"/>
          <w:lang w:val="en-US" w:eastAsia="zh-CN"/>
        </w:rPr>
        <w:t>验收费、</w:t>
      </w:r>
      <w:r>
        <w:rPr>
          <w:rFonts w:hint="eastAsia" w:ascii="宋体" w:hAnsi="宋体" w:cs="宋体"/>
          <w:color w:val="auto"/>
          <w:szCs w:val="21"/>
        </w:rPr>
        <w:t>必要的保险费用和各项税金等。如招标文件、响应文件对其另有规定的，从其规定。</w:t>
      </w:r>
    </w:p>
    <w:p w14:paraId="498E9CA6">
      <w:pPr>
        <w:spacing w:line="360" w:lineRule="auto"/>
        <w:rPr>
          <w:rFonts w:hint="eastAsia" w:ascii="宋体" w:hAnsi="宋体" w:cs="宋体"/>
          <w:b/>
          <w:color w:val="auto"/>
          <w:szCs w:val="21"/>
        </w:rPr>
      </w:pPr>
      <w:r>
        <w:rPr>
          <w:rFonts w:hint="eastAsia" w:ascii="宋体" w:hAnsi="宋体" w:cs="宋体"/>
          <w:color w:val="auto"/>
        </w:rPr>
        <w:t xml:space="preserve">    </w:t>
      </w:r>
      <w:r>
        <w:rPr>
          <w:rFonts w:hint="eastAsia" w:ascii="宋体" w:hAnsi="宋体" w:cs="宋体"/>
          <w:b/>
          <w:color w:val="auto"/>
          <w:szCs w:val="21"/>
        </w:rPr>
        <w:t>第二条　质量保证</w:t>
      </w:r>
    </w:p>
    <w:p w14:paraId="170B344B">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1、乙方应建立和完善履行合同的内部质量保证体系，并提供相关内部规章制度给甲方，以便甲方进行监督检查。</w:t>
      </w:r>
    </w:p>
    <w:p w14:paraId="23350B3C">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2、乙方应保证履行合同的人员数量和素质、软件和硬件设备的配置、场地、环境和设施等满足全面履行合同的要求，并应接受甲方的监督检查。</w:t>
      </w:r>
    </w:p>
    <w:p w14:paraId="351D5678">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3、乙方应确保项目技术人员的数量和水平与响应文件一致。未经甲方书面同意，乙方不得擅自更换响应文件中注明的项目负责人。否则甲方有权放弃或终止合同。</w:t>
      </w:r>
    </w:p>
    <w:p w14:paraId="50532F01">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4、乙方所提供的服务必须符合国家和自治区相关行业标准，并通过采购人组织的验收。</w:t>
      </w:r>
    </w:p>
    <w:p w14:paraId="425FA31B">
      <w:pPr>
        <w:spacing w:line="360" w:lineRule="auto"/>
        <w:rPr>
          <w:rFonts w:hint="eastAsia" w:ascii="宋体" w:hAnsi="宋体" w:cs="宋体"/>
          <w:b/>
          <w:color w:val="auto"/>
          <w:szCs w:val="21"/>
        </w:rPr>
      </w:pPr>
      <w:r>
        <w:rPr>
          <w:rFonts w:hint="eastAsia" w:ascii="宋体" w:hAnsi="宋体" w:cs="宋体"/>
          <w:color w:val="auto"/>
          <w:szCs w:val="21"/>
        </w:rPr>
        <w:t xml:space="preserve">    </w:t>
      </w:r>
      <w:r>
        <w:rPr>
          <w:rFonts w:hint="eastAsia" w:ascii="宋体" w:hAnsi="宋体" w:cs="宋体"/>
          <w:b/>
          <w:color w:val="auto"/>
          <w:szCs w:val="21"/>
        </w:rPr>
        <w:t>第三条　权利保证</w:t>
      </w:r>
    </w:p>
    <w:p w14:paraId="65AFBA6F">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 xml:space="preserve"> 1、乙方应保证所提供货物/服务在使用时不会侵犯任何第三方的专利权、商标权、工业设计权或其他权利。</w:t>
      </w:r>
    </w:p>
    <w:p w14:paraId="51AB8F9F">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2、乙方应按招标文件规定的时间向甲方提供使用货物、服务的有关技术资料。</w:t>
      </w:r>
    </w:p>
    <w:p w14:paraId="17BD97FC">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35078923">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4、乙方保证所交付服务的所有权完全属于乙方且无任何抵押、质押、查封等产权瑕疵。</w:t>
      </w:r>
    </w:p>
    <w:p w14:paraId="045D0A40">
      <w:pPr>
        <w:spacing w:line="360" w:lineRule="auto"/>
        <w:rPr>
          <w:rFonts w:hint="eastAsia" w:ascii="宋体" w:hAnsi="宋体" w:cs="宋体"/>
          <w:b/>
          <w:color w:val="auto"/>
          <w:szCs w:val="21"/>
        </w:rPr>
      </w:pPr>
      <w:r>
        <w:rPr>
          <w:rFonts w:hint="eastAsia" w:ascii="宋体" w:hAnsi="宋体" w:cs="宋体"/>
          <w:color w:val="auto"/>
          <w:szCs w:val="21"/>
        </w:rPr>
        <w:t xml:space="preserve">    </w:t>
      </w:r>
      <w:r>
        <w:rPr>
          <w:rFonts w:hint="eastAsia" w:ascii="宋体" w:hAnsi="宋体" w:cs="宋体"/>
          <w:b/>
          <w:color w:val="auto"/>
          <w:szCs w:val="21"/>
        </w:rPr>
        <w:t>第四条　保密要求</w:t>
      </w:r>
    </w:p>
    <w:p w14:paraId="2C5461B8">
      <w:pPr>
        <w:spacing w:line="360" w:lineRule="auto"/>
        <w:ind w:firstLine="420" w:firstLineChars="200"/>
        <w:jc w:val="left"/>
        <w:rPr>
          <w:rFonts w:hint="eastAsia" w:ascii="宋体" w:hAnsi="宋体" w:cs="宋体"/>
          <w:b/>
          <w:color w:val="auto"/>
          <w:szCs w:val="21"/>
        </w:rPr>
      </w:pPr>
      <w:r>
        <w:rPr>
          <w:rFonts w:hint="eastAsia" w:ascii="宋体" w:hAnsi="宋体" w:cs="宋体"/>
          <w:color w:val="auto"/>
          <w:szCs w:val="21"/>
        </w:rPr>
        <w:t>工作过程中所使用到的甲方的相关数据、图表等资料或工作完成后提交主管单位的成果涉及保密要求的，均要按照《中华人民共和国保守国家秘密法》及主管部门相关的保密规定进行使用。具体的保密要求另签保密协议。</w:t>
      </w:r>
    </w:p>
    <w:p w14:paraId="68AEB091">
      <w:pPr>
        <w:spacing w:line="360" w:lineRule="auto"/>
        <w:ind w:firstLine="420"/>
        <w:rPr>
          <w:rFonts w:hint="eastAsia" w:ascii="宋体" w:hAnsi="宋体" w:cs="宋体"/>
          <w:b/>
          <w:color w:val="auto"/>
          <w:szCs w:val="21"/>
        </w:rPr>
      </w:pPr>
      <w:r>
        <w:rPr>
          <w:rFonts w:hint="eastAsia" w:ascii="宋体" w:hAnsi="宋体" w:cs="宋体"/>
          <w:b/>
          <w:color w:val="auto"/>
          <w:szCs w:val="21"/>
        </w:rPr>
        <w:t>第五条　双方责任与义务</w:t>
      </w:r>
    </w:p>
    <w:p w14:paraId="478FBB7A">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1、甲方职责</w:t>
      </w:r>
    </w:p>
    <w:p w14:paraId="54F0FCA5">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（1）甲方配合乙方开展相关工作，保证项目参加人员按照计划参加与本项目相关的活动，并在项目实施的各阶段按合同及时为乙方办理支付与本合同相关款项的手续。</w:t>
      </w:r>
    </w:p>
    <w:p w14:paraId="6209DE74">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 xml:space="preserve">(2)甲方负责成果的质量检查和验收，并出具成果验收证明。 </w:t>
      </w:r>
    </w:p>
    <w:p w14:paraId="5850FB65">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2、乙方的职责</w:t>
      </w:r>
    </w:p>
    <w:p w14:paraId="2AF37145">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 按照甲方要求提供采购服务，并确保服务承诺书的要求。</w:t>
      </w:r>
    </w:p>
    <w:p w14:paraId="4A21029A">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 乙方必须确保在甲方要求交付时间前完成本合同项目。</w:t>
      </w:r>
    </w:p>
    <w:p w14:paraId="2B58DA27">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 乙方必须接受甲方对合同执行的监督检查，并应严格按质量管理方案实施项目管理。对检查发现的问题，乙方必须按甲方下达的书面意见进行整改，否则视为违约，按合同相关条款承担违约责任， 情节严重者，甲方有权解除合同。乙方必须做到安全生产。</w:t>
      </w:r>
    </w:p>
    <w:p w14:paraId="54BA5C46">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 乙方应自己负责合同执行期间</w:t>
      </w:r>
      <w:r>
        <w:rPr>
          <w:rFonts w:hint="eastAsia" w:ascii="宋体" w:hAnsi="宋体" w:cs="宋体"/>
          <w:color w:val="auto"/>
          <w:szCs w:val="21"/>
          <w:lang w:val="en-US" w:eastAsia="zh-CN"/>
        </w:rPr>
        <w:t>人员</w:t>
      </w:r>
      <w:r>
        <w:rPr>
          <w:rFonts w:hint="eastAsia" w:ascii="宋体" w:hAnsi="宋体" w:cs="宋体"/>
          <w:color w:val="auto"/>
          <w:szCs w:val="21"/>
        </w:rPr>
        <w:t>人身安全、设备安全责任。</w:t>
      </w:r>
    </w:p>
    <w:p w14:paraId="595EB314">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(5) 乙方必须按后续服务承诺对本项目提供后续服务。</w:t>
      </w:r>
    </w:p>
    <w:p w14:paraId="4490EF64">
      <w:pPr>
        <w:spacing w:line="360" w:lineRule="auto"/>
        <w:rPr>
          <w:rFonts w:hint="eastAsia" w:ascii="宋体" w:hAnsi="宋体" w:cs="宋体"/>
          <w:b/>
          <w:color w:val="auto"/>
          <w:szCs w:val="21"/>
        </w:rPr>
      </w:pPr>
      <w:r>
        <w:rPr>
          <w:rFonts w:hint="eastAsia" w:ascii="宋体" w:hAnsi="宋体" w:cs="宋体"/>
          <w:color w:val="auto"/>
          <w:szCs w:val="21"/>
        </w:rPr>
        <w:t xml:space="preserve">  </w:t>
      </w:r>
      <w:r>
        <w:rPr>
          <w:rFonts w:hint="eastAsia" w:ascii="宋体" w:hAnsi="宋体" w:cs="宋体"/>
          <w:b/>
          <w:color w:val="auto"/>
          <w:szCs w:val="21"/>
        </w:rPr>
        <w:t>第六条　交付和验收</w:t>
      </w:r>
    </w:p>
    <w:p w14:paraId="6D867A2F">
      <w:pPr>
        <w:numPr>
          <w:ilvl w:val="0"/>
          <w:numId w:val="0"/>
        </w:numPr>
        <w:wordWrap w:val="0"/>
        <w:adjustRightIn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1、服务</w:t>
      </w:r>
      <w:r>
        <w:rPr>
          <w:rFonts w:hint="eastAsia" w:ascii="宋体" w:hAnsi="宋体" w:cs="宋体"/>
          <w:color w:val="auto"/>
          <w:szCs w:val="21"/>
          <w:lang w:val="en-US" w:eastAsia="zh-CN"/>
        </w:rPr>
        <w:t>期限</w:t>
      </w:r>
      <w:r>
        <w:rPr>
          <w:rFonts w:hint="eastAsia" w:ascii="宋体" w:hAnsi="宋体" w:cs="宋体"/>
          <w:color w:val="auto"/>
          <w:szCs w:val="21"/>
        </w:rPr>
        <w:t>：</w:t>
      </w:r>
      <w:r>
        <w:rPr>
          <w:rFonts w:hint="eastAsia" w:ascii="宋体" w:hAnsi="宋体" w:cs="宋体"/>
          <w:color w:val="auto"/>
          <w:szCs w:val="21"/>
          <w:u w:val="single"/>
        </w:rPr>
        <w:t xml:space="preserve"> </w:t>
      </w:r>
      <w:r>
        <w:rPr>
          <w:rFonts w:hint="default" w:ascii="宋体" w:hAnsi="宋体" w:eastAsia="宋体" w:cs="宋体"/>
          <w:color w:val="auto"/>
          <w:szCs w:val="21"/>
          <w:u w:val="single"/>
          <w:lang w:val="en-US" w:eastAsia="zh-CN"/>
        </w:rPr>
        <w:t>自合同签订之日起至2026年</w:t>
      </w:r>
      <w:r>
        <w:rPr>
          <w:rFonts w:hint="eastAsia" w:ascii="宋体" w:hAnsi="宋体" w:cs="宋体"/>
          <w:color w:val="auto"/>
          <w:szCs w:val="21"/>
          <w:u w:val="single"/>
          <w:lang w:val="en-US" w:eastAsia="zh-CN"/>
        </w:rPr>
        <w:t>9</w:t>
      </w:r>
      <w:r>
        <w:rPr>
          <w:rFonts w:hint="default" w:ascii="宋体" w:hAnsi="宋体" w:eastAsia="宋体" w:cs="宋体"/>
          <w:color w:val="auto"/>
          <w:szCs w:val="21"/>
          <w:u w:val="single"/>
          <w:lang w:val="en-US" w:eastAsia="zh-CN"/>
        </w:rPr>
        <w:t>月30日，提交成果并通过</w:t>
      </w:r>
      <w:r>
        <w:rPr>
          <w:rFonts w:hint="eastAsia" w:ascii="宋体" w:hAnsi="宋体" w:cs="宋体"/>
          <w:color w:val="auto"/>
          <w:szCs w:val="21"/>
          <w:u w:val="single"/>
          <w:lang w:val="en-US" w:eastAsia="zh-CN"/>
        </w:rPr>
        <w:t>采购人</w:t>
      </w:r>
      <w:r>
        <w:rPr>
          <w:rFonts w:hint="default" w:ascii="宋体" w:hAnsi="宋体" w:eastAsia="宋体" w:cs="宋体"/>
          <w:color w:val="auto"/>
          <w:szCs w:val="21"/>
          <w:u w:val="single"/>
          <w:lang w:val="en-US" w:eastAsia="zh-CN"/>
        </w:rPr>
        <w:t>内部验</w:t>
      </w:r>
      <w:r>
        <w:rPr>
          <w:rFonts w:hint="eastAsia" w:ascii="宋体" w:hAnsi="宋体" w:eastAsia="宋体" w:cs="宋体"/>
          <w:color w:val="auto"/>
          <w:szCs w:val="21"/>
          <w:u w:val="single"/>
          <w:lang w:val="en-US" w:eastAsia="zh-CN"/>
        </w:rPr>
        <w:t>收</w:t>
      </w:r>
      <w:r>
        <w:rPr>
          <w:rFonts w:hint="eastAsia" w:ascii="宋体" w:hAnsi="宋体" w:eastAsia="宋体" w:cs="宋体"/>
          <w:color w:val="auto"/>
          <w:szCs w:val="21"/>
          <w:u w:val="single"/>
        </w:rPr>
        <w:t>，</w:t>
      </w:r>
      <w:r>
        <w:rPr>
          <w:rFonts w:hint="eastAsia" w:ascii="宋体" w:hAnsi="宋体" w:eastAsia="宋体" w:cs="宋体"/>
          <w:color w:val="auto"/>
          <w:szCs w:val="21"/>
          <w:lang w:val="en-US" w:eastAsia="zh-CN"/>
        </w:rPr>
        <w:t>服务成果提交</w:t>
      </w:r>
      <w:r>
        <w:rPr>
          <w:rFonts w:hint="eastAsia" w:ascii="宋体" w:hAnsi="宋体" w:eastAsia="宋体" w:cs="宋体"/>
          <w:color w:val="auto"/>
          <w:szCs w:val="21"/>
        </w:rPr>
        <w:t>地点</w:t>
      </w:r>
      <w:r>
        <w:rPr>
          <w:rFonts w:hint="eastAsia" w:ascii="宋体" w:hAnsi="宋体" w:eastAsia="宋体" w:cs="宋体"/>
          <w:color w:val="auto"/>
          <w:szCs w:val="21"/>
          <w:lang w:val="en-US" w:eastAsia="zh-CN"/>
        </w:rPr>
        <w:t>：</w:t>
      </w:r>
      <w:r>
        <w:rPr>
          <w:rFonts w:hint="eastAsia" w:ascii="宋体" w:hAnsi="宋体" w:eastAsia="宋体" w:cs="宋体"/>
          <w:bCs/>
          <w:color w:val="auto"/>
          <w:kern w:val="0"/>
          <w:szCs w:val="21"/>
          <w:u w:val="single"/>
          <w:lang w:val="en-US" w:eastAsia="zh-CN"/>
        </w:rPr>
        <w:t>广西壮族自治区林业局</w:t>
      </w:r>
      <w:r>
        <w:rPr>
          <w:rFonts w:hint="eastAsia" w:ascii="宋体" w:hAnsi="宋体" w:eastAsia="宋体" w:cs="宋体"/>
          <w:color w:val="auto"/>
          <w:szCs w:val="21"/>
          <w:u w:val="single"/>
          <w:lang w:val="en-US" w:eastAsia="zh-CN"/>
        </w:rPr>
        <w:t>（南宁市青秀区云景路21号）</w:t>
      </w:r>
      <w:r>
        <w:rPr>
          <w:rFonts w:hint="eastAsia" w:ascii="宋体" w:hAnsi="宋体" w:eastAsia="宋体" w:cs="宋体"/>
          <w:color w:val="auto"/>
          <w:szCs w:val="21"/>
          <w:lang w:val="en-US" w:eastAsia="zh-CN"/>
        </w:rPr>
        <w:t>。</w:t>
      </w:r>
    </w:p>
    <w:p w14:paraId="64C2D09E">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2、乙方应按响应文件的承诺向甲方提供相应的服务，并提供所服务内容的相关技术资料。</w:t>
      </w:r>
    </w:p>
    <w:p w14:paraId="583817B9">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3、乙方提供不符合响应文件和本合同规定的服务成果，甲方有权拒绝接受。</w:t>
      </w:r>
    </w:p>
    <w:p w14:paraId="22324816">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乙方完成服务后应及时书面通知甲方进行验收，甲方应在收到通知后七个工作日内进行验收，逾期不开始验收的，乙方可视同验收合格。验收合格后由甲乙双方签署验收单并加盖采购人公章，甲乙双方各执一份。</w:t>
      </w:r>
    </w:p>
    <w:p w14:paraId="09A8FBC7">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5、甲乙双方应按照《广西壮族自治区项目履约验收管理办法》、双方合同、响应文件要求进行验收。</w:t>
      </w:r>
    </w:p>
    <w:p w14:paraId="1EC45D02">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6、甲方在初步验收或者最终验收过程中如发现乙方提供的服务成果不满足响应文件及本合同规定的，可暂缓向乙方付款，直到乙方及时完善并提交相应的服务成果 且经甲方验收合格后，方可办理付款。</w:t>
      </w:r>
    </w:p>
    <w:p w14:paraId="415BBFFA">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7、甲方验收时以书面形式提出异议的，乙方应自收到甲方书面异议后五个工作日内及时予以解决，否则甲方有权不出具服务验收合格单。</w:t>
      </w:r>
    </w:p>
    <w:p w14:paraId="18B640E9">
      <w:pPr>
        <w:spacing w:line="360" w:lineRule="auto"/>
        <w:rPr>
          <w:rFonts w:hint="eastAsia" w:ascii="宋体" w:hAnsi="宋体" w:cs="宋体"/>
          <w:color w:val="auto"/>
        </w:rPr>
      </w:pPr>
      <w:r>
        <w:rPr>
          <w:rFonts w:hint="eastAsia" w:ascii="宋体" w:hAnsi="宋体" w:cs="宋体"/>
          <w:color w:val="auto"/>
          <w:szCs w:val="21"/>
        </w:rPr>
        <w:t xml:space="preserve">    </w:t>
      </w:r>
      <w:r>
        <w:rPr>
          <w:rFonts w:hint="eastAsia" w:ascii="宋体" w:hAnsi="宋体" w:cs="宋体"/>
          <w:b/>
          <w:color w:val="auto"/>
          <w:szCs w:val="21"/>
        </w:rPr>
        <w:t>第七条　付款方式</w:t>
      </w:r>
    </w:p>
    <w:p w14:paraId="652E0E1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highlight w:val="none"/>
          <w:u w:val="singl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、付款方式：</w:t>
      </w:r>
      <w:r>
        <w:rPr>
          <w:rFonts w:hint="default" w:ascii="宋体" w:hAnsi="宋体" w:eastAsia="宋体" w:cs="宋体"/>
          <w:color w:val="auto"/>
          <w:szCs w:val="21"/>
          <w:highlight w:val="none"/>
          <w:lang w:val="en-US" w:eastAsia="zh-CN"/>
        </w:rPr>
        <w:t>为保证项目顺利实施，</w:t>
      </w:r>
      <w:r>
        <w:rPr>
          <w:rFonts w:hint="eastAsia" w:ascii="宋体" w:hAnsi="宋体" w:cs="宋体"/>
          <w:color w:val="auto"/>
          <w:szCs w:val="21"/>
          <w:highlight w:val="none"/>
          <w:lang w:val="en-US" w:eastAsia="zh-CN"/>
        </w:rPr>
        <w:t>自</w:t>
      </w:r>
      <w:r>
        <w:rPr>
          <w:rFonts w:hint="default" w:ascii="宋体" w:hAnsi="宋体" w:eastAsia="宋体" w:cs="宋体"/>
          <w:color w:val="auto"/>
          <w:szCs w:val="21"/>
          <w:highlight w:val="none"/>
          <w:lang w:val="en-US" w:eastAsia="zh-CN"/>
        </w:rPr>
        <w:t>合同签订</w:t>
      </w:r>
      <w:r>
        <w:rPr>
          <w:rFonts w:hint="eastAsia" w:ascii="宋体" w:hAnsi="宋体" w:cs="宋体"/>
          <w:color w:val="auto"/>
          <w:szCs w:val="21"/>
          <w:highlight w:val="none"/>
          <w:lang w:val="en-US" w:eastAsia="zh-CN"/>
        </w:rPr>
        <w:t>之日起十</w:t>
      </w:r>
      <w:r>
        <w:rPr>
          <w:rFonts w:hint="default" w:ascii="宋体" w:hAnsi="宋体" w:eastAsia="宋体" w:cs="宋体"/>
          <w:color w:val="auto"/>
          <w:szCs w:val="21"/>
          <w:highlight w:val="none"/>
          <w:lang w:val="en-US" w:eastAsia="zh-CN"/>
        </w:rPr>
        <w:t>个工作日内</w:t>
      </w:r>
      <w:r>
        <w:rPr>
          <w:rFonts w:hint="eastAsia" w:ascii="宋体" w:hAnsi="宋体" w:cs="宋体"/>
          <w:color w:val="auto"/>
          <w:szCs w:val="21"/>
          <w:highlight w:val="none"/>
          <w:lang w:val="en-US" w:eastAsia="zh-CN"/>
        </w:rPr>
        <w:t>由采购人</w:t>
      </w:r>
      <w:r>
        <w:rPr>
          <w:rFonts w:hint="default" w:ascii="宋体" w:hAnsi="宋体" w:eastAsia="宋体" w:cs="宋体"/>
          <w:color w:val="auto"/>
          <w:szCs w:val="21"/>
          <w:highlight w:val="none"/>
          <w:lang w:val="en-US" w:eastAsia="zh-CN"/>
        </w:rPr>
        <w:t>向</w:t>
      </w:r>
      <w:r>
        <w:rPr>
          <w:rFonts w:hint="eastAsia" w:ascii="宋体" w:hAnsi="宋体" w:cs="宋体"/>
          <w:color w:val="auto"/>
          <w:szCs w:val="21"/>
          <w:highlight w:val="none"/>
          <w:lang w:val="en-US" w:eastAsia="zh-CN"/>
        </w:rPr>
        <w:t>成交供应商</w:t>
      </w:r>
      <w:r>
        <w:rPr>
          <w:rFonts w:hint="default" w:ascii="宋体" w:hAnsi="宋体" w:eastAsia="宋体" w:cs="宋体"/>
          <w:color w:val="auto"/>
          <w:szCs w:val="21"/>
          <w:highlight w:val="none"/>
          <w:lang w:val="en-US" w:eastAsia="zh-CN"/>
        </w:rPr>
        <w:t>支付合同总价的50%；提交全部成果文件并验收合格后</w:t>
      </w:r>
      <w:r>
        <w:rPr>
          <w:rFonts w:hint="eastAsia" w:ascii="宋体" w:hAnsi="宋体" w:cs="宋体"/>
          <w:color w:val="auto"/>
          <w:szCs w:val="21"/>
          <w:highlight w:val="none"/>
          <w:lang w:val="en-US" w:eastAsia="zh-CN"/>
        </w:rPr>
        <w:t>十</w:t>
      </w:r>
      <w:r>
        <w:rPr>
          <w:rFonts w:hint="default" w:ascii="宋体" w:hAnsi="宋体" w:eastAsia="宋体" w:cs="宋体"/>
          <w:color w:val="auto"/>
          <w:szCs w:val="21"/>
          <w:highlight w:val="none"/>
          <w:lang w:val="en-US" w:eastAsia="zh-CN"/>
        </w:rPr>
        <w:t>个工作日内一次性结清结余款50%。</w:t>
      </w:r>
      <w:r>
        <w:rPr>
          <w:rFonts w:hint="eastAsia" w:ascii="宋体" w:hAnsi="宋体" w:cs="宋体"/>
          <w:color w:val="auto"/>
          <w:szCs w:val="21"/>
          <w:highlight w:val="none"/>
          <w:lang w:val="en-US" w:eastAsia="zh-CN"/>
        </w:rPr>
        <w:t>采购人</w:t>
      </w:r>
      <w:r>
        <w:rPr>
          <w:rFonts w:hint="default" w:ascii="宋体" w:hAnsi="宋体" w:eastAsia="宋体" w:cs="宋体"/>
          <w:color w:val="auto"/>
          <w:szCs w:val="21"/>
          <w:highlight w:val="none"/>
          <w:lang w:val="en-US" w:eastAsia="zh-CN"/>
        </w:rPr>
        <w:t>向</w:t>
      </w:r>
      <w:r>
        <w:rPr>
          <w:rFonts w:hint="eastAsia" w:ascii="宋体" w:hAnsi="宋体" w:cs="宋体"/>
          <w:color w:val="auto"/>
          <w:szCs w:val="21"/>
          <w:highlight w:val="none"/>
          <w:lang w:val="en-US" w:eastAsia="zh-CN"/>
        </w:rPr>
        <w:t>供应商</w:t>
      </w:r>
      <w:r>
        <w:rPr>
          <w:rFonts w:hint="default" w:ascii="宋体" w:hAnsi="宋体" w:eastAsia="宋体" w:cs="宋体"/>
          <w:color w:val="auto"/>
          <w:szCs w:val="21"/>
          <w:highlight w:val="none"/>
          <w:lang w:val="en-US" w:eastAsia="zh-CN"/>
        </w:rPr>
        <w:t>支付</w:t>
      </w:r>
      <w:r>
        <w:rPr>
          <w:rFonts w:hint="eastAsia" w:ascii="宋体" w:hAnsi="宋体" w:cs="宋体"/>
          <w:color w:val="auto"/>
          <w:szCs w:val="21"/>
          <w:highlight w:val="none"/>
          <w:lang w:val="en-US" w:eastAsia="zh-CN"/>
        </w:rPr>
        <w:t>款项</w:t>
      </w:r>
      <w:r>
        <w:rPr>
          <w:rFonts w:hint="default" w:ascii="宋体" w:hAnsi="宋体" w:eastAsia="宋体" w:cs="宋体"/>
          <w:color w:val="auto"/>
          <w:szCs w:val="21"/>
          <w:highlight w:val="none"/>
          <w:lang w:val="en-US" w:eastAsia="zh-CN"/>
        </w:rPr>
        <w:t>前由</w:t>
      </w:r>
      <w:r>
        <w:rPr>
          <w:rFonts w:hint="eastAsia" w:ascii="宋体" w:hAnsi="宋体" w:cs="宋体"/>
          <w:color w:val="auto"/>
          <w:szCs w:val="21"/>
          <w:highlight w:val="none"/>
          <w:lang w:val="en-US" w:eastAsia="zh-CN"/>
        </w:rPr>
        <w:t>供应商</w:t>
      </w:r>
      <w:r>
        <w:rPr>
          <w:rFonts w:hint="default" w:ascii="宋体" w:hAnsi="宋体" w:eastAsia="宋体" w:cs="宋体"/>
          <w:color w:val="auto"/>
          <w:szCs w:val="21"/>
          <w:highlight w:val="none"/>
          <w:lang w:val="en-US" w:eastAsia="zh-CN"/>
        </w:rPr>
        <w:t>开具等额有效发票及请款文件。</w:t>
      </w:r>
    </w:p>
    <w:p w14:paraId="687E58FD">
      <w:pPr>
        <w:spacing w:line="360" w:lineRule="auto"/>
        <w:rPr>
          <w:rFonts w:hint="eastAsia" w:ascii="宋体" w:hAnsi="宋体" w:cs="宋体"/>
          <w:b/>
          <w:color w:val="auto"/>
          <w:szCs w:val="21"/>
        </w:rPr>
      </w:pPr>
      <w:r>
        <w:rPr>
          <w:rFonts w:hint="eastAsia" w:ascii="宋体" w:hAnsi="宋体" w:cs="宋体"/>
          <w:color w:val="auto"/>
        </w:rPr>
        <w:t xml:space="preserve">    </w:t>
      </w:r>
      <w:r>
        <w:rPr>
          <w:rFonts w:hint="eastAsia" w:ascii="宋体" w:hAnsi="宋体" w:cs="宋体"/>
          <w:b/>
          <w:color w:val="auto"/>
          <w:szCs w:val="21"/>
        </w:rPr>
        <w:t>第九条  税费</w:t>
      </w:r>
    </w:p>
    <w:p w14:paraId="07A9D2D5">
      <w:pPr>
        <w:spacing w:line="360" w:lineRule="auto"/>
        <w:rPr>
          <w:rFonts w:hint="eastAsia" w:ascii="宋体" w:hAnsi="宋体" w:cs="宋体"/>
          <w:color w:val="auto"/>
          <w:szCs w:val="21"/>
          <w:highlight w:val="none"/>
        </w:rPr>
      </w:pPr>
      <w:r>
        <w:rPr>
          <w:rFonts w:hint="eastAsia" w:ascii="宋体" w:hAnsi="宋体" w:cs="宋体"/>
          <w:b/>
          <w:color w:val="auto"/>
          <w:szCs w:val="21"/>
        </w:rPr>
        <w:t xml:space="preserve">    </w:t>
      </w:r>
      <w:r>
        <w:rPr>
          <w:rFonts w:hint="eastAsia" w:ascii="宋体" w:hAnsi="宋体" w:cs="宋体"/>
          <w:color w:val="auto"/>
          <w:szCs w:val="21"/>
        </w:rPr>
        <w:t>本合同执</w:t>
      </w:r>
      <w:r>
        <w:rPr>
          <w:rFonts w:hint="eastAsia" w:ascii="宋体" w:hAnsi="宋体" w:cs="宋体"/>
          <w:color w:val="auto"/>
          <w:szCs w:val="21"/>
          <w:highlight w:val="none"/>
        </w:rPr>
        <w:t>行中相关的一切税费均由乙方负担。</w:t>
      </w:r>
    </w:p>
    <w:p w14:paraId="58F2A4D3">
      <w:pPr>
        <w:numPr>
          <w:ilvl w:val="255"/>
          <w:numId w:val="0"/>
        </w:numPr>
        <w:spacing w:line="360" w:lineRule="auto"/>
        <w:ind w:left="420"/>
        <w:rPr>
          <w:rFonts w:hint="eastAsia" w:ascii="宋体" w:hAnsi="宋体" w:cs="宋体"/>
          <w:b/>
          <w:color w:val="auto"/>
          <w:szCs w:val="21"/>
          <w:highlight w:val="none"/>
        </w:rPr>
      </w:pPr>
      <w:r>
        <w:rPr>
          <w:rFonts w:hint="eastAsia" w:ascii="宋体" w:hAnsi="宋体" w:cs="宋体"/>
          <w:b/>
          <w:color w:val="auto"/>
          <w:szCs w:val="21"/>
          <w:highlight w:val="none"/>
        </w:rPr>
        <w:t>第十条  违约责任</w:t>
      </w:r>
    </w:p>
    <w:p w14:paraId="24FEA153">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1、合同</w:t>
      </w:r>
      <w:r>
        <w:rPr>
          <w:rFonts w:hint="eastAsia" w:ascii="宋体" w:hAnsi="宋体" w:cs="宋体"/>
          <w:color w:val="auto"/>
          <w:szCs w:val="21"/>
          <w:highlight w:val="none"/>
          <w:lang w:val="en-US" w:eastAsia="zh-CN"/>
        </w:rPr>
        <w:t>任何</w:t>
      </w:r>
      <w:r>
        <w:rPr>
          <w:rFonts w:hint="eastAsia" w:ascii="宋体" w:hAnsi="宋体" w:cs="宋体"/>
          <w:color w:val="auto"/>
          <w:szCs w:val="21"/>
          <w:highlight w:val="none"/>
        </w:rPr>
        <w:t>一方违约，违约方向</w:t>
      </w:r>
      <w:r>
        <w:rPr>
          <w:rFonts w:hint="eastAsia" w:ascii="宋体" w:hAnsi="宋体" w:cs="宋体"/>
          <w:color w:val="auto"/>
          <w:szCs w:val="21"/>
          <w:highlight w:val="none"/>
          <w:lang w:val="en-US" w:eastAsia="zh-CN"/>
        </w:rPr>
        <w:t>守约</w:t>
      </w:r>
      <w:r>
        <w:rPr>
          <w:rFonts w:hint="eastAsia" w:ascii="宋体" w:hAnsi="宋体" w:cs="宋体"/>
          <w:color w:val="auto"/>
          <w:szCs w:val="21"/>
          <w:highlight w:val="none"/>
        </w:rPr>
        <w:t>方支付违约金，违约金额为中标金额的 3‰。</w:t>
      </w:r>
    </w:p>
    <w:p w14:paraId="658ED6A1">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2、乙方给甲方造成的损失超过违约金额的，乙方应</w:t>
      </w:r>
      <w:r>
        <w:rPr>
          <w:rFonts w:hint="eastAsia" w:ascii="宋体" w:hAnsi="宋体" w:cs="宋体"/>
          <w:color w:val="auto"/>
          <w:szCs w:val="21"/>
          <w:highlight w:val="none"/>
          <w:lang w:val="en-US" w:eastAsia="zh-CN"/>
        </w:rPr>
        <w:t>对</w:t>
      </w:r>
      <w:r>
        <w:rPr>
          <w:rFonts w:hint="eastAsia" w:ascii="宋体" w:hAnsi="宋体" w:cs="宋体"/>
          <w:color w:val="auto"/>
          <w:szCs w:val="21"/>
          <w:highlight w:val="none"/>
        </w:rPr>
        <w:t>甲方高出违约金的部分予以赔偿。</w:t>
      </w:r>
    </w:p>
    <w:p w14:paraId="5E6246BD">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乙方延迟履约、不完全履约或提供的服务不符合招标文件和响应文件要求的，每逾期一日或每发生一次，应向甲方支付暂定合同总金额万分之五的违约金。除支付违约金外，仍需继续履行合同或重新提供符合要求的服务。如逾期超过 60 日或存在经甲方责令限期改正而不能改正的情况，则甲方有权解除合同</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并要求乙方退回全部款项</w:t>
      </w:r>
      <w:r>
        <w:rPr>
          <w:rFonts w:hint="eastAsia" w:ascii="宋体" w:hAnsi="宋体" w:cs="宋体"/>
          <w:color w:val="auto"/>
          <w:szCs w:val="21"/>
          <w:highlight w:val="none"/>
        </w:rPr>
        <w:t>。</w:t>
      </w:r>
    </w:p>
    <w:p w14:paraId="1BC51225">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highlight w:val="none"/>
        </w:rPr>
        <w:t>4、乙方提供的服务如侵犯了第三方合法权益而引发的任何纠纷或诉讼，均由乙方负责交涉并承担全部责任。如一方违约，则另一方维权所导致的维权费用（含诉讼费、差旅费、</w:t>
      </w:r>
      <w:r>
        <w:rPr>
          <w:rFonts w:hint="eastAsia" w:ascii="宋体" w:hAnsi="宋体" w:cs="宋体"/>
          <w:color w:val="auto"/>
          <w:szCs w:val="21"/>
        </w:rPr>
        <w:t>律师费等），均由违约</w:t>
      </w:r>
      <w:r>
        <w:rPr>
          <w:rFonts w:hint="eastAsia" w:ascii="宋体" w:hAnsi="宋体" w:cs="宋体"/>
          <w:color w:val="auto"/>
        </w:rPr>
        <w:t>方承担。</w:t>
      </w:r>
    </w:p>
    <w:p w14:paraId="51986E4E">
      <w:pPr>
        <w:spacing w:line="360" w:lineRule="auto"/>
        <w:rPr>
          <w:rFonts w:hint="eastAsia" w:ascii="宋体" w:hAnsi="宋体" w:cs="宋体"/>
          <w:b/>
          <w:color w:val="auto"/>
        </w:rPr>
      </w:pPr>
      <w:r>
        <w:rPr>
          <w:rFonts w:hint="eastAsia" w:ascii="宋体" w:hAnsi="宋体" w:cs="宋体"/>
          <w:color w:val="auto"/>
          <w:szCs w:val="21"/>
        </w:rPr>
        <w:t xml:space="preserve">    </w:t>
      </w:r>
      <w:r>
        <w:rPr>
          <w:rFonts w:hint="eastAsia" w:ascii="宋体" w:hAnsi="宋体" w:cs="宋体"/>
          <w:b/>
          <w:color w:val="auto"/>
        </w:rPr>
        <w:t>第十一条  不可抗力事件处理</w:t>
      </w:r>
    </w:p>
    <w:p w14:paraId="2F17912B">
      <w:pPr>
        <w:spacing w:line="360" w:lineRule="auto"/>
        <w:rPr>
          <w:rFonts w:hint="eastAsia" w:ascii="宋体" w:hAnsi="宋体" w:cs="宋体"/>
          <w:color w:val="auto"/>
        </w:rPr>
      </w:pPr>
      <w:r>
        <w:rPr>
          <w:rFonts w:hint="eastAsia" w:ascii="宋体" w:hAnsi="宋体" w:cs="宋体"/>
          <w:color w:val="auto"/>
        </w:rPr>
        <w:t xml:space="preserve">    1、在合同有效期内，任何一方因不可抗力事件导致不能履行合同，则合同履行期可延长，其延长期与不可抗力影响期相同。</w:t>
      </w:r>
    </w:p>
    <w:p w14:paraId="7A4C63B2">
      <w:pPr>
        <w:spacing w:line="360" w:lineRule="auto"/>
        <w:rPr>
          <w:rFonts w:hint="eastAsia" w:ascii="宋体" w:hAnsi="宋体" w:cs="宋体"/>
          <w:color w:val="auto"/>
        </w:rPr>
      </w:pPr>
      <w:r>
        <w:rPr>
          <w:rFonts w:hint="eastAsia" w:ascii="宋体" w:hAnsi="宋体" w:cs="宋体"/>
          <w:color w:val="auto"/>
        </w:rPr>
        <w:t xml:space="preserve">    2、不可抗力事件发生后，应立即通知对方，并寄送有关权威机构出具的证明。</w:t>
      </w:r>
    </w:p>
    <w:p w14:paraId="1CE6F8B0">
      <w:pPr>
        <w:spacing w:line="360" w:lineRule="auto"/>
        <w:rPr>
          <w:rFonts w:hint="eastAsia" w:ascii="宋体" w:hAnsi="宋体" w:cs="宋体"/>
          <w:color w:val="auto"/>
        </w:rPr>
      </w:pPr>
      <w:r>
        <w:rPr>
          <w:rFonts w:hint="eastAsia" w:ascii="宋体" w:hAnsi="宋体" w:cs="宋体"/>
          <w:color w:val="auto"/>
        </w:rPr>
        <w:t xml:space="preserve">    3、不可抗力事件延续一百二十天以上，双方应通过友好协商，确定是否继续履行合同。</w:t>
      </w:r>
    </w:p>
    <w:p w14:paraId="2ED9EE60">
      <w:pPr>
        <w:spacing w:line="360" w:lineRule="auto"/>
        <w:rPr>
          <w:rFonts w:hint="eastAsia" w:ascii="宋体" w:hAnsi="宋体" w:cs="宋体"/>
          <w:b/>
          <w:color w:val="auto"/>
          <w:szCs w:val="21"/>
        </w:rPr>
      </w:pPr>
      <w:r>
        <w:rPr>
          <w:rFonts w:hint="eastAsia" w:ascii="宋体" w:hAnsi="宋体" w:cs="宋体"/>
          <w:color w:val="auto"/>
        </w:rPr>
        <w:t xml:space="preserve">    </w:t>
      </w:r>
      <w:r>
        <w:rPr>
          <w:rFonts w:hint="eastAsia" w:ascii="宋体" w:hAnsi="宋体" w:cs="宋体"/>
          <w:b/>
          <w:color w:val="auto"/>
          <w:szCs w:val="21"/>
        </w:rPr>
        <w:t>第十二条  合同争议解决</w:t>
      </w:r>
    </w:p>
    <w:p w14:paraId="0F803B25">
      <w:pPr>
        <w:spacing w:line="360" w:lineRule="auto"/>
        <w:rPr>
          <w:rFonts w:hint="eastAsia" w:ascii="宋体" w:hAnsi="宋体" w:cs="宋体"/>
          <w:color w:val="auto"/>
          <w:szCs w:val="21"/>
        </w:rPr>
      </w:pPr>
      <w:r>
        <w:rPr>
          <w:rFonts w:hint="eastAsia" w:ascii="宋体" w:hAnsi="宋体" w:cs="宋体"/>
          <w:b/>
          <w:color w:val="auto"/>
          <w:szCs w:val="21"/>
        </w:rPr>
        <w:t xml:space="preserve">    </w:t>
      </w:r>
      <w:r>
        <w:rPr>
          <w:rFonts w:hint="eastAsia" w:ascii="宋体" w:hAnsi="宋体" w:cs="宋体"/>
          <w:color w:val="auto"/>
          <w:szCs w:val="21"/>
        </w:rPr>
        <w:t xml:space="preserve">1、因服务质量问题发生争议的，应邀请国家认可的质量检测机构对服务质量进行鉴定。服务符合标准或要求的，鉴定费由甲方承担；服务不符合标准或要求的，鉴定费由乙方承担 </w:t>
      </w:r>
    </w:p>
    <w:p w14:paraId="64233960">
      <w:pPr>
        <w:spacing w:line="360" w:lineRule="auto"/>
        <w:rPr>
          <w:rFonts w:hint="eastAsia" w:ascii="宋体" w:hAnsi="宋体" w:cs="宋体"/>
          <w:color w:val="auto"/>
          <w:szCs w:val="21"/>
        </w:rPr>
      </w:pPr>
      <w:r>
        <w:rPr>
          <w:rFonts w:hint="eastAsia" w:ascii="宋体" w:hAnsi="宋体" w:cs="宋体"/>
          <w:color w:val="auto"/>
          <w:szCs w:val="21"/>
        </w:rPr>
        <w:t xml:space="preserve">    2、因履行本合同引起的或与本合同有关的争议，甲乙双方应首先通过友好协商解决，如果协商不能解决，可向甲方所在地人民法院提起诉讼。</w:t>
      </w:r>
    </w:p>
    <w:p w14:paraId="41907081">
      <w:pPr>
        <w:spacing w:line="360" w:lineRule="auto"/>
        <w:ind w:firstLine="420"/>
        <w:rPr>
          <w:rFonts w:hint="eastAsia" w:ascii="宋体" w:hAnsi="宋体" w:cs="宋体"/>
          <w:color w:val="auto"/>
          <w:szCs w:val="21"/>
        </w:rPr>
      </w:pPr>
      <w:r>
        <w:rPr>
          <w:rFonts w:hint="eastAsia" w:ascii="宋体" w:hAnsi="宋体" w:cs="宋体"/>
          <w:color w:val="auto"/>
          <w:szCs w:val="21"/>
        </w:rPr>
        <w:t>3、仲裁或诉讼期间，本合同继续履行。</w:t>
      </w:r>
    </w:p>
    <w:p w14:paraId="5347D6B6">
      <w:pPr>
        <w:spacing w:line="360" w:lineRule="auto"/>
        <w:rPr>
          <w:rFonts w:hint="eastAsia" w:ascii="宋体" w:hAnsi="宋体" w:cs="宋体"/>
          <w:b/>
          <w:color w:val="auto"/>
          <w:szCs w:val="21"/>
        </w:rPr>
      </w:pPr>
      <w:r>
        <w:rPr>
          <w:rFonts w:hint="eastAsia" w:ascii="宋体" w:hAnsi="宋体" w:cs="宋体"/>
          <w:color w:val="auto"/>
        </w:rPr>
        <w:t xml:space="preserve">    </w:t>
      </w:r>
      <w:r>
        <w:rPr>
          <w:rFonts w:hint="eastAsia" w:ascii="宋体" w:hAnsi="宋体" w:cs="宋体"/>
          <w:b/>
          <w:color w:val="auto"/>
          <w:szCs w:val="21"/>
        </w:rPr>
        <w:t>第十三条  诉讼</w:t>
      </w:r>
    </w:p>
    <w:p w14:paraId="7C3474E9">
      <w:pPr>
        <w:spacing w:line="360" w:lineRule="auto"/>
        <w:jc w:val="left"/>
        <w:rPr>
          <w:rFonts w:hint="eastAsia" w:ascii="宋体" w:hAnsi="宋体" w:cs="宋体"/>
          <w:color w:val="auto"/>
          <w:szCs w:val="21"/>
        </w:rPr>
      </w:pPr>
      <w:r>
        <w:rPr>
          <w:rFonts w:hint="eastAsia" w:ascii="宋体" w:hAnsi="宋体" w:cs="宋体"/>
          <w:color w:val="auto"/>
          <w:szCs w:val="21"/>
        </w:rPr>
        <w:t xml:space="preserve">    因双方在执行合同中所发生的一切争议，应通过协商解决。如果协商不能解决，可向仲裁委员会申请仲裁或向人民法院提起诉讼。</w:t>
      </w:r>
    </w:p>
    <w:p w14:paraId="008C121A">
      <w:pPr>
        <w:spacing w:line="360" w:lineRule="auto"/>
        <w:rPr>
          <w:rFonts w:hint="eastAsia" w:ascii="宋体" w:hAnsi="宋体" w:cs="宋体"/>
          <w:b/>
          <w:color w:val="auto"/>
        </w:rPr>
      </w:pPr>
      <w:r>
        <w:rPr>
          <w:rFonts w:hint="eastAsia" w:ascii="宋体" w:hAnsi="宋体" w:cs="宋体"/>
          <w:color w:val="auto"/>
          <w:szCs w:val="21"/>
        </w:rPr>
        <w:t xml:space="preserve"> </w:t>
      </w:r>
      <w:r>
        <w:rPr>
          <w:rFonts w:hint="eastAsia" w:ascii="宋体" w:hAnsi="宋体" w:cs="宋体"/>
          <w:color w:val="auto"/>
        </w:rPr>
        <w:t xml:space="preserve">   </w:t>
      </w:r>
      <w:r>
        <w:rPr>
          <w:rFonts w:hint="eastAsia" w:ascii="宋体" w:hAnsi="宋体" w:cs="宋体"/>
          <w:b/>
          <w:color w:val="auto"/>
        </w:rPr>
        <w:t>第十四条  合同生效及其它</w:t>
      </w:r>
    </w:p>
    <w:p w14:paraId="74F2228B">
      <w:pPr>
        <w:spacing w:line="360" w:lineRule="auto"/>
        <w:rPr>
          <w:rFonts w:hint="eastAsia" w:ascii="宋体" w:hAnsi="宋体" w:cs="宋体"/>
          <w:color w:val="auto"/>
          <w:szCs w:val="21"/>
        </w:rPr>
      </w:pPr>
      <w:r>
        <w:rPr>
          <w:rFonts w:hint="eastAsia" w:ascii="宋体" w:hAnsi="宋体" w:cs="宋体"/>
          <w:b/>
          <w:color w:val="auto"/>
        </w:rPr>
        <w:t xml:space="preserve">   </w:t>
      </w:r>
      <w:r>
        <w:rPr>
          <w:rFonts w:hint="eastAsia" w:ascii="宋体" w:hAnsi="宋体" w:cs="宋体"/>
          <w:color w:val="auto"/>
          <w:szCs w:val="21"/>
        </w:rPr>
        <w:t xml:space="preserve"> 1、合同经双方法定代表人(负责人)或授权代表（委托代理人）签字并加盖单位公章后生效。</w:t>
      </w:r>
    </w:p>
    <w:p w14:paraId="062A4940">
      <w:pPr>
        <w:spacing w:line="360" w:lineRule="auto"/>
        <w:rPr>
          <w:rFonts w:hint="eastAsia" w:ascii="宋体" w:hAnsi="宋体" w:cs="宋体"/>
          <w:color w:val="auto"/>
          <w:szCs w:val="21"/>
        </w:rPr>
      </w:pPr>
      <w:r>
        <w:rPr>
          <w:rFonts w:hint="eastAsia" w:ascii="宋体" w:hAnsi="宋体" w:cs="宋体"/>
          <w:color w:val="auto"/>
          <w:szCs w:val="21"/>
        </w:rPr>
        <w:t xml:space="preserve">    2、合同执行中涉及采购资金和采购内容修改或补充的，须</w:t>
      </w:r>
      <w:r>
        <w:rPr>
          <w:rFonts w:hint="eastAsia" w:ascii="宋体" w:hAnsi="宋体" w:cs="宋体"/>
          <w:color w:val="auto"/>
          <w:szCs w:val="21"/>
          <w:lang w:eastAsia="zh-CN"/>
        </w:rPr>
        <w:t>签订</w:t>
      </w:r>
      <w:r>
        <w:rPr>
          <w:rFonts w:hint="eastAsia" w:ascii="宋体" w:hAnsi="宋体" w:cs="宋体"/>
          <w:color w:val="auto"/>
          <w:szCs w:val="21"/>
        </w:rPr>
        <w:t>书面补充协议报广西壮族自治区财政厅政府采购监督管理处备案，方可作为主合同不可分割的一部分。</w:t>
      </w:r>
    </w:p>
    <w:p w14:paraId="398C149F">
      <w:pPr>
        <w:spacing w:line="360" w:lineRule="auto"/>
        <w:rPr>
          <w:rFonts w:hint="eastAsia" w:ascii="宋体" w:hAnsi="宋体" w:cs="宋体"/>
          <w:color w:val="auto"/>
          <w:szCs w:val="21"/>
        </w:rPr>
      </w:pPr>
      <w:r>
        <w:rPr>
          <w:rFonts w:hint="eastAsia" w:ascii="宋体" w:hAnsi="宋体" w:cs="宋体"/>
          <w:color w:val="auto"/>
          <w:szCs w:val="21"/>
        </w:rPr>
        <w:t xml:space="preserve">    3、本合同未尽事宜，遵照《中华人民共和国民法典》有关条文执行。</w:t>
      </w:r>
    </w:p>
    <w:p w14:paraId="4BE1780F">
      <w:pPr>
        <w:spacing w:line="360" w:lineRule="auto"/>
        <w:rPr>
          <w:rFonts w:hint="eastAsia" w:ascii="宋体" w:hAnsi="宋体" w:cs="宋体"/>
          <w:b/>
          <w:color w:val="auto"/>
          <w:szCs w:val="21"/>
        </w:rPr>
      </w:pPr>
      <w:r>
        <w:rPr>
          <w:rFonts w:hint="eastAsia" w:ascii="宋体" w:hAnsi="宋体" w:cs="宋体"/>
          <w:b/>
          <w:color w:val="auto"/>
        </w:rPr>
        <w:t xml:space="preserve">    </w:t>
      </w:r>
      <w:r>
        <w:rPr>
          <w:rFonts w:hint="eastAsia" w:ascii="宋体" w:hAnsi="宋体" w:cs="宋体"/>
          <w:b/>
          <w:color w:val="auto"/>
          <w:szCs w:val="21"/>
        </w:rPr>
        <w:t>第十五条　 合同的变更、终止与转让</w:t>
      </w:r>
    </w:p>
    <w:p w14:paraId="11A767E1">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1、除《中华人民共和国政府采购法》第五十条规定的情形外，本合同一经签订，甲乙双方不得擅自变更、中止或终止。</w:t>
      </w:r>
    </w:p>
    <w:p w14:paraId="331EC776">
      <w:pPr>
        <w:snapToGrid w:val="0"/>
        <w:spacing w:line="360" w:lineRule="auto"/>
        <w:ind w:firstLine="420" w:firstLineChars="200"/>
        <w:rPr>
          <w:rFonts w:hint="eastAsia" w:ascii="宋体" w:hAnsi="宋体" w:cs="宋体"/>
          <w:color w:val="auto"/>
        </w:rPr>
      </w:pPr>
      <w:r>
        <w:rPr>
          <w:rFonts w:hint="eastAsia" w:ascii="宋体" w:hAnsi="宋体" w:cs="宋体"/>
          <w:color w:val="auto"/>
        </w:rPr>
        <w:t>2、乙方不得擅自转让其应履行的合同义务。</w:t>
      </w:r>
    </w:p>
    <w:p w14:paraId="5ED7FE10">
      <w:pPr>
        <w:snapToGrid w:val="0"/>
        <w:spacing w:line="360" w:lineRule="auto"/>
        <w:ind w:firstLine="422" w:firstLineChars="200"/>
        <w:rPr>
          <w:rFonts w:hint="eastAsia" w:ascii="宋体" w:hAnsi="宋体" w:cs="宋体"/>
          <w:b/>
          <w:color w:val="auto"/>
          <w:szCs w:val="21"/>
        </w:rPr>
      </w:pPr>
      <w:r>
        <w:rPr>
          <w:rFonts w:hint="eastAsia" w:ascii="宋体" w:hAnsi="宋体" w:cs="宋体"/>
          <w:b/>
          <w:color w:val="auto"/>
          <w:szCs w:val="21"/>
        </w:rPr>
        <w:t>第十六条　 签订本合同依据</w:t>
      </w:r>
    </w:p>
    <w:p w14:paraId="11BD547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下述合同附件为本合同不可分割的部分并与本合同具有同等效力：</w:t>
      </w:r>
    </w:p>
    <w:p w14:paraId="3722CBB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（1）成交通知书；</w:t>
      </w:r>
    </w:p>
    <w:p w14:paraId="5938961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（2）采购文件采购需求；</w:t>
      </w:r>
    </w:p>
    <w:p w14:paraId="42A7CD8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（3）采购文件的澄清和修改；</w:t>
      </w:r>
    </w:p>
    <w:p w14:paraId="0A6B35D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（4）响应文件报价表；</w:t>
      </w:r>
    </w:p>
    <w:p w14:paraId="16E7F8D3">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（5）响应文件服务承诺书；</w:t>
      </w:r>
    </w:p>
    <w:p w14:paraId="6E74517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（6）成交供应商澄清函。</w:t>
      </w:r>
    </w:p>
    <w:p w14:paraId="5E61D11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（7）采购文件规定需要提供的资料</w:t>
      </w:r>
    </w:p>
    <w:p w14:paraId="396C3FA3">
      <w:pPr>
        <w:snapToGrid w:val="0"/>
        <w:spacing w:line="360" w:lineRule="auto"/>
        <w:ind w:firstLine="422" w:firstLineChars="200"/>
        <w:jc w:val="left"/>
        <w:rPr>
          <w:color w:val="auto"/>
          <w:sz w:val="24"/>
        </w:rPr>
      </w:pPr>
      <w:r>
        <w:rPr>
          <w:rFonts w:hint="eastAsia" w:ascii="宋体" w:hAnsi="宋体" w:cs="宋体"/>
          <w:b/>
          <w:color w:val="auto"/>
          <w:szCs w:val="21"/>
        </w:rPr>
        <w:t>第十七条　本合同未尽事宜，遵照《中华人民共和国民法典》有关条文执行。</w:t>
      </w:r>
    </w:p>
    <w:p w14:paraId="23A40D2A">
      <w:pPr>
        <w:spacing w:before="158" w:line="364" w:lineRule="auto"/>
        <w:ind w:right="850" w:firstLine="422" w:firstLineChars="200"/>
        <w:jc w:val="left"/>
        <w:rPr>
          <w:color w:val="auto"/>
          <w:sz w:val="24"/>
        </w:rPr>
      </w:pPr>
      <w:r>
        <w:rPr>
          <w:rFonts w:hint="eastAsia" w:ascii="宋体" w:hAnsi="宋体" w:cs="宋体"/>
          <w:b/>
          <w:color w:val="auto"/>
          <w:szCs w:val="21"/>
        </w:rPr>
        <w:t>第十八条　本合同一式</w:t>
      </w:r>
      <w:r>
        <w:rPr>
          <w:rFonts w:hint="eastAsia" w:ascii="宋体" w:hAnsi="宋体" w:cs="宋体"/>
          <w:b/>
          <w:color w:val="auto"/>
          <w:szCs w:val="21"/>
          <w:lang w:eastAsia="zh-CN"/>
        </w:rPr>
        <w:t>柒</w:t>
      </w:r>
      <w:r>
        <w:rPr>
          <w:rFonts w:hint="eastAsia" w:ascii="宋体" w:hAnsi="宋体" w:cs="宋体"/>
          <w:b/>
          <w:color w:val="auto"/>
          <w:szCs w:val="21"/>
        </w:rPr>
        <w:t>份，具有同等法律效力，甲乙双方各执</w:t>
      </w:r>
      <w:r>
        <w:rPr>
          <w:rFonts w:hint="eastAsia" w:ascii="宋体" w:hAnsi="宋体" w:cs="宋体"/>
          <w:b/>
          <w:color w:val="auto"/>
          <w:szCs w:val="21"/>
          <w:lang w:eastAsia="zh-CN"/>
        </w:rPr>
        <w:t>叁</w:t>
      </w:r>
      <w:r>
        <w:rPr>
          <w:rFonts w:hint="eastAsia" w:ascii="宋体" w:hAnsi="宋体" w:cs="宋体"/>
          <w:b/>
          <w:color w:val="auto"/>
          <w:szCs w:val="21"/>
        </w:rPr>
        <w:t>份、采购代理机构一份（可根据需要另行增加）。</w:t>
      </w:r>
    </w:p>
    <w:p w14:paraId="73944C7A">
      <w:pPr>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本合同甲乙双方签字盖章后生效，自签订之日起2个工作日内，采购人或采购代理机构应当将合同在广西政府采购网进行公示。</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2"/>
        <w:gridCol w:w="4767"/>
      </w:tblGrid>
      <w:tr w14:paraId="77D75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6" w:hRule="atLeast"/>
          <w:jc w:val="center"/>
        </w:trPr>
        <w:tc>
          <w:tcPr>
            <w:tcW w:w="4512" w:type="dxa"/>
          </w:tcPr>
          <w:p w14:paraId="00BCBB91">
            <w:pPr>
              <w:snapToGrid w:val="0"/>
              <w:spacing w:line="360" w:lineRule="auto"/>
              <w:rPr>
                <w:rFonts w:hint="eastAsia" w:ascii="宋体" w:hAnsi="宋体" w:cs="宋体"/>
                <w:color w:val="auto"/>
                <w:szCs w:val="21"/>
              </w:rPr>
            </w:pPr>
            <w:r>
              <w:rPr>
                <w:rFonts w:hint="eastAsia" w:ascii="宋体" w:hAnsi="宋体" w:cs="宋体"/>
                <w:color w:val="auto"/>
                <w:szCs w:val="21"/>
              </w:rPr>
              <w:t xml:space="preserve">甲方（章）           </w:t>
            </w:r>
          </w:p>
          <w:p w14:paraId="46E76ADC">
            <w:pPr>
              <w:snapToGrid w:val="0"/>
              <w:spacing w:line="360" w:lineRule="auto"/>
              <w:rPr>
                <w:rFonts w:hint="eastAsia" w:ascii="宋体" w:hAnsi="宋体" w:cs="宋体"/>
                <w:color w:val="auto"/>
                <w:szCs w:val="21"/>
              </w:rPr>
            </w:pPr>
          </w:p>
          <w:p w14:paraId="78952940">
            <w:pPr>
              <w:snapToGrid w:val="0"/>
              <w:spacing w:line="360" w:lineRule="auto"/>
              <w:ind w:firstLine="945" w:firstLineChars="450"/>
              <w:rPr>
                <w:rFonts w:hint="eastAsia" w:ascii="宋体" w:hAnsi="宋体" w:cs="宋体"/>
                <w:color w:val="auto"/>
                <w:szCs w:val="21"/>
              </w:rPr>
            </w:pPr>
            <w:r>
              <w:rPr>
                <w:rFonts w:hint="eastAsia" w:ascii="宋体" w:hAnsi="宋体" w:cs="宋体"/>
                <w:color w:val="auto"/>
                <w:szCs w:val="21"/>
              </w:rPr>
              <w:t xml:space="preserve">                 年   月   日</w:t>
            </w:r>
          </w:p>
        </w:tc>
        <w:tc>
          <w:tcPr>
            <w:tcW w:w="4767" w:type="dxa"/>
          </w:tcPr>
          <w:p w14:paraId="26C3E315">
            <w:pPr>
              <w:snapToGrid w:val="0"/>
              <w:spacing w:line="360" w:lineRule="auto"/>
              <w:rPr>
                <w:rFonts w:hint="eastAsia" w:ascii="宋体" w:hAnsi="宋体" w:cs="宋体"/>
                <w:color w:val="auto"/>
                <w:szCs w:val="21"/>
              </w:rPr>
            </w:pPr>
            <w:r>
              <w:rPr>
                <w:rFonts w:hint="eastAsia" w:ascii="宋体" w:hAnsi="宋体" w:cs="宋体"/>
                <w:color w:val="auto"/>
                <w:szCs w:val="21"/>
              </w:rPr>
              <w:t xml:space="preserve">乙方（章）              </w:t>
            </w:r>
          </w:p>
          <w:p w14:paraId="116F848D">
            <w:pPr>
              <w:snapToGrid w:val="0"/>
              <w:spacing w:line="360" w:lineRule="auto"/>
              <w:rPr>
                <w:rFonts w:hint="eastAsia" w:ascii="宋体" w:hAnsi="宋体" w:cs="宋体"/>
                <w:color w:val="auto"/>
                <w:szCs w:val="21"/>
              </w:rPr>
            </w:pPr>
          </w:p>
          <w:p w14:paraId="52524127">
            <w:pPr>
              <w:snapToGrid w:val="0"/>
              <w:spacing w:line="360" w:lineRule="auto"/>
              <w:rPr>
                <w:rFonts w:hint="eastAsia" w:ascii="宋体" w:hAnsi="宋体" w:cs="宋体"/>
                <w:color w:val="auto"/>
                <w:szCs w:val="21"/>
              </w:rPr>
            </w:pPr>
            <w:r>
              <w:rPr>
                <w:rFonts w:hint="eastAsia" w:ascii="宋体" w:hAnsi="宋体" w:cs="宋体"/>
                <w:color w:val="auto"/>
                <w:szCs w:val="21"/>
              </w:rPr>
              <w:t xml:space="preserve">                             年   月   日</w:t>
            </w:r>
          </w:p>
        </w:tc>
      </w:tr>
      <w:tr w14:paraId="36D2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jc w:val="center"/>
        </w:trPr>
        <w:tc>
          <w:tcPr>
            <w:tcW w:w="4512" w:type="dxa"/>
          </w:tcPr>
          <w:p w14:paraId="194936B8">
            <w:pPr>
              <w:snapToGrid w:val="0"/>
              <w:spacing w:line="360" w:lineRule="auto"/>
              <w:rPr>
                <w:rFonts w:hint="eastAsia" w:ascii="宋体" w:hAnsi="宋体" w:cs="宋体"/>
                <w:color w:val="auto"/>
                <w:szCs w:val="21"/>
              </w:rPr>
            </w:pPr>
            <w:r>
              <w:rPr>
                <w:rFonts w:hint="eastAsia" w:ascii="宋体" w:hAnsi="宋体" w:cs="宋体"/>
                <w:color w:val="auto"/>
                <w:szCs w:val="21"/>
              </w:rPr>
              <w:t>单位地址：</w:t>
            </w:r>
          </w:p>
        </w:tc>
        <w:tc>
          <w:tcPr>
            <w:tcW w:w="4767" w:type="dxa"/>
          </w:tcPr>
          <w:p w14:paraId="41032EA1">
            <w:pPr>
              <w:snapToGrid w:val="0"/>
              <w:spacing w:line="360" w:lineRule="auto"/>
              <w:rPr>
                <w:rFonts w:hint="eastAsia" w:ascii="宋体" w:hAnsi="宋体" w:cs="宋体"/>
                <w:color w:val="auto"/>
                <w:szCs w:val="21"/>
              </w:rPr>
            </w:pPr>
            <w:r>
              <w:rPr>
                <w:rFonts w:hint="eastAsia" w:ascii="宋体" w:hAnsi="宋体" w:cs="宋体"/>
                <w:color w:val="auto"/>
                <w:szCs w:val="21"/>
              </w:rPr>
              <w:t>单位地址：</w:t>
            </w:r>
          </w:p>
        </w:tc>
      </w:tr>
      <w:tr w14:paraId="7DA6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jc w:val="center"/>
        </w:trPr>
        <w:tc>
          <w:tcPr>
            <w:tcW w:w="4512" w:type="dxa"/>
          </w:tcPr>
          <w:p w14:paraId="4AE9B16B">
            <w:pPr>
              <w:snapToGrid w:val="0"/>
              <w:spacing w:line="360" w:lineRule="auto"/>
              <w:rPr>
                <w:rFonts w:hint="eastAsia" w:ascii="宋体" w:hAnsi="宋体" w:cs="宋体"/>
                <w:color w:val="auto"/>
                <w:szCs w:val="21"/>
              </w:rPr>
            </w:pPr>
            <w:r>
              <w:rPr>
                <w:rFonts w:hint="eastAsia" w:ascii="宋体" w:hAnsi="宋体" w:cs="宋体"/>
                <w:color w:val="auto"/>
                <w:szCs w:val="21"/>
              </w:rPr>
              <w:t>法定代表人(负责人)：</w:t>
            </w:r>
          </w:p>
        </w:tc>
        <w:tc>
          <w:tcPr>
            <w:tcW w:w="4767" w:type="dxa"/>
          </w:tcPr>
          <w:p w14:paraId="0C1A8DCA">
            <w:pPr>
              <w:snapToGrid w:val="0"/>
              <w:spacing w:line="360" w:lineRule="auto"/>
              <w:rPr>
                <w:rFonts w:hint="eastAsia" w:ascii="宋体" w:hAnsi="宋体" w:cs="宋体"/>
                <w:color w:val="auto"/>
                <w:szCs w:val="21"/>
              </w:rPr>
            </w:pPr>
            <w:r>
              <w:rPr>
                <w:rFonts w:hint="eastAsia" w:ascii="宋体" w:hAnsi="宋体" w:cs="宋体"/>
                <w:color w:val="auto"/>
                <w:szCs w:val="21"/>
              </w:rPr>
              <w:t>法定代表人(负责人)：</w:t>
            </w:r>
          </w:p>
        </w:tc>
      </w:tr>
      <w:tr w14:paraId="0E478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jc w:val="center"/>
        </w:trPr>
        <w:tc>
          <w:tcPr>
            <w:tcW w:w="4512" w:type="dxa"/>
          </w:tcPr>
          <w:p w14:paraId="40FFD32B">
            <w:pPr>
              <w:snapToGrid w:val="0"/>
              <w:spacing w:line="360" w:lineRule="auto"/>
              <w:rPr>
                <w:rFonts w:hint="eastAsia" w:ascii="宋体" w:hAnsi="宋体" w:cs="宋体"/>
                <w:color w:val="auto"/>
                <w:szCs w:val="21"/>
              </w:rPr>
            </w:pPr>
            <w:r>
              <w:rPr>
                <w:rFonts w:hint="eastAsia" w:ascii="宋体" w:hAnsi="宋体" w:cs="宋体"/>
                <w:color w:val="auto"/>
                <w:szCs w:val="21"/>
              </w:rPr>
              <w:t>委托代理人：</w:t>
            </w:r>
          </w:p>
        </w:tc>
        <w:tc>
          <w:tcPr>
            <w:tcW w:w="4767" w:type="dxa"/>
          </w:tcPr>
          <w:p w14:paraId="6FE03898">
            <w:pPr>
              <w:snapToGrid w:val="0"/>
              <w:spacing w:line="360" w:lineRule="auto"/>
              <w:rPr>
                <w:rFonts w:hint="eastAsia" w:ascii="宋体" w:hAnsi="宋体" w:cs="宋体"/>
                <w:color w:val="auto"/>
                <w:szCs w:val="21"/>
              </w:rPr>
            </w:pPr>
            <w:r>
              <w:rPr>
                <w:rFonts w:hint="eastAsia" w:ascii="宋体" w:hAnsi="宋体" w:cs="宋体"/>
                <w:color w:val="auto"/>
                <w:szCs w:val="21"/>
              </w:rPr>
              <w:t>委托代理人：</w:t>
            </w:r>
          </w:p>
        </w:tc>
      </w:tr>
      <w:tr w14:paraId="1D2B3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jc w:val="center"/>
        </w:trPr>
        <w:tc>
          <w:tcPr>
            <w:tcW w:w="4512" w:type="dxa"/>
          </w:tcPr>
          <w:p w14:paraId="540FE426">
            <w:pPr>
              <w:snapToGrid w:val="0"/>
              <w:spacing w:line="360" w:lineRule="auto"/>
              <w:rPr>
                <w:rFonts w:hint="eastAsia" w:ascii="宋体" w:hAnsi="宋体" w:cs="宋体"/>
                <w:color w:val="auto"/>
                <w:szCs w:val="21"/>
              </w:rPr>
            </w:pPr>
            <w:r>
              <w:rPr>
                <w:rFonts w:hint="eastAsia" w:ascii="宋体" w:hAnsi="宋体" w:cs="宋体"/>
                <w:color w:val="auto"/>
                <w:szCs w:val="21"/>
              </w:rPr>
              <w:t>电话：</w:t>
            </w:r>
          </w:p>
        </w:tc>
        <w:tc>
          <w:tcPr>
            <w:tcW w:w="4767" w:type="dxa"/>
          </w:tcPr>
          <w:p w14:paraId="209B4106">
            <w:pPr>
              <w:snapToGrid w:val="0"/>
              <w:spacing w:line="360" w:lineRule="auto"/>
              <w:rPr>
                <w:rFonts w:hint="eastAsia" w:ascii="宋体" w:hAnsi="宋体" w:cs="宋体"/>
                <w:color w:val="auto"/>
                <w:szCs w:val="21"/>
              </w:rPr>
            </w:pPr>
            <w:r>
              <w:rPr>
                <w:rFonts w:hint="eastAsia" w:ascii="宋体" w:hAnsi="宋体" w:cs="宋体"/>
                <w:color w:val="auto"/>
                <w:szCs w:val="21"/>
              </w:rPr>
              <w:t>电话：</w:t>
            </w:r>
          </w:p>
        </w:tc>
      </w:tr>
      <w:tr w14:paraId="57E86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jc w:val="center"/>
        </w:trPr>
        <w:tc>
          <w:tcPr>
            <w:tcW w:w="4512" w:type="dxa"/>
          </w:tcPr>
          <w:p w14:paraId="5A6BDCF7">
            <w:pPr>
              <w:snapToGrid w:val="0"/>
              <w:spacing w:line="360" w:lineRule="auto"/>
              <w:rPr>
                <w:rFonts w:hint="eastAsia" w:ascii="宋体" w:hAnsi="宋体" w:cs="宋体"/>
                <w:color w:val="auto"/>
                <w:szCs w:val="21"/>
              </w:rPr>
            </w:pPr>
            <w:r>
              <w:rPr>
                <w:rFonts w:hint="eastAsia" w:ascii="宋体" w:hAnsi="宋体" w:cs="宋体"/>
                <w:color w:val="auto"/>
                <w:szCs w:val="21"/>
              </w:rPr>
              <w:t>电子邮箱：</w:t>
            </w:r>
          </w:p>
        </w:tc>
        <w:tc>
          <w:tcPr>
            <w:tcW w:w="4767" w:type="dxa"/>
          </w:tcPr>
          <w:p w14:paraId="48641038">
            <w:pPr>
              <w:snapToGrid w:val="0"/>
              <w:spacing w:line="360" w:lineRule="auto"/>
              <w:rPr>
                <w:rFonts w:hint="eastAsia" w:ascii="宋体" w:hAnsi="宋体" w:cs="宋体"/>
                <w:color w:val="auto"/>
                <w:szCs w:val="21"/>
              </w:rPr>
            </w:pPr>
            <w:r>
              <w:rPr>
                <w:rFonts w:hint="eastAsia" w:ascii="宋体" w:hAnsi="宋体" w:cs="宋体"/>
                <w:color w:val="auto"/>
                <w:szCs w:val="21"/>
              </w:rPr>
              <w:t>电子邮箱：</w:t>
            </w:r>
          </w:p>
        </w:tc>
      </w:tr>
      <w:tr w14:paraId="2E4CA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jc w:val="center"/>
        </w:trPr>
        <w:tc>
          <w:tcPr>
            <w:tcW w:w="4512" w:type="dxa"/>
          </w:tcPr>
          <w:p w14:paraId="7D3F793A">
            <w:pPr>
              <w:snapToGrid w:val="0"/>
              <w:spacing w:line="360" w:lineRule="auto"/>
              <w:rPr>
                <w:rFonts w:hint="eastAsia" w:ascii="宋体" w:hAnsi="宋体" w:cs="宋体"/>
                <w:color w:val="auto"/>
                <w:szCs w:val="21"/>
              </w:rPr>
            </w:pPr>
            <w:r>
              <w:rPr>
                <w:rFonts w:hint="eastAsia" w:ascii="宋体" w:hAnsi="宋体" w:cs="宋体"/>
                <w:color w:val="auto"/>
                <w:szCs w:val="21"/>
              </w:rPr>
              <w:t>开户银行：</w:t>
            </w:r>
          </w:p>
        </w:tc>
        <w:tc>
          <w:tcPr>
            <w:tcW w:w="4767" w:type="dxa"/>
          </w:tcPr>
          <w:p w14:paraId="3CCFCFF2">
            <w:pPr>
              <w:snapToGrid w:val="0"/>
              <w:spacing w:line="360" w:lineRule="auto"/>
              <w:rPr>
                <w:rFonts w:hint="eastAsia" w:ascii="宋体" w:hAnsi="宋体" w:cs="宋体"/>
                <w:color w:val="auto"/>
                <w:szCs w:val="21"/>
              </w:rPr>
            </w:pPr>
            <w:r>
              <w:rPr>
                <w:rFonts w:hint="eastAsia" w:ascii="宋体" w:hAnsi="宋体" w:cs="宋体"/>
                <w:color w:val="auto"/>
                <w:szCs w:val="21"/>
              </w:rPr>
              <w:t>开户银行：</w:t>
            </w:r>
          </w:p>
        </w:tc>
      </w:tr>
      <w:tr w14:paraId="7200B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jc w:val="center"/>
        </w:trPr>
        <w:tc>
          <w:tcPr>
            <w:tcW w:w="4512" w:type="dxa"/>
          </w:tcPr>
          <w:p w14:paraId="1CEE6C8D">
            <w:pPr>
              <w:snapToGrid w:val="0"/>
              <w:spacing w:line="360" w:lineRule="auto"/>
              <w:rPr>
                <w:rFonts w:hint="eastAsia" w:ascii="宋体" w:hAnsi="宋体" w:cs="宋体"/>
                <w:color w:val="auto"/>
                <w:szCs w:val="21"/>
              </w:rPr>
            </w:pPr>
            <w:r>
              <w:rPr>
                <w:rFonts w:hint="eastAsia" w:ascii="宋体" w:hAnsi="宋体" w:cs="宋体"/>
                <w:color w:val="auto"/>
                <w:szCs w:val="21"/>
              </w:rPr>
              <w:t>账号：</w:t>
            </w:r>
          </w:p>
        </w:tc>
        <w:tc>
          <w:tcPr>
            <w:tcW w:w="4767" w:type="dxa"/>
          </w:tcPr>
          <w:p w14:paraId="49DDC91A">
            <w:pPr>
              <w:snapToGrid w:val="0"/>
              <w:spacing w:line="360" w:lineRule="auto"/>
              <w:rPr>
                <w:rFonts w:hint="eastAsia" w:ascii="宋体" w:hAnsi="宋体" w:cs="宋体"/>
                <w:color w:val="auto"/>
                <w:szCs w:val="21"/>
              </w:rPr>
            </w:pPr>
            <w:r>
              <w:rPr>
                <w:rFonts w:hint="eastAsia" w:ascii="宋体" w:hAnsi="宋体" w:cs="宋体"/>
                <w:color w:val="auto"/>
                <w:szCs w:val="21"/>
              </w:rPr>
              <w:t>账号：</w:t>
            </w:r>
          </w:p>
        </w:tc>
      </w:tr>
      <w:tr w14:paraId="13A16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jc w:val="center"/>
        </w:trPr>
        <w:tc>
          <w:tcPr>
            <w:tcW w:w="4512" w:type="dxa"/>
          </w:tcPr>
          <w:p w14:paraId="7A5F9799">
            <w:pPr>
              <w:snapToGrid w:val="0"/>
              <w:spacing w:line="360" w:lineRule="auto"/>
              <w:rPr>
                <w:rFonts w:hint="eastAsia" w:ascii="宋体" w:hAnsi="宋体" w:cs="宋体"/>
                <w:color w:val="auto"/>
                <w:szCs w:val="21"/>
              </w:rPr>
            </w:pPr>
            <w:r>
              <w:rPr>
                <w:rFonts w:hint="eastAsia" w:ascii="宋体" w:hAnsi="宋体" w:cs="宋体"/>
                <w:color w:val="auto"/>
              </w:rPr>
              <w:t>纳税人识别号或统一社会信用代码：</w:t>
            </w:r>
          </w:p>
        </w:tc>
        <w:tc>
          <w:tcPr>
            <w:tcW w:w="4767" w:type="dxa"/>
          </w:tcPr>
          <w:p w14:paraId="6DB8E883">
            <w:pPr>
              <w:snapToGrid w:val="0"/>
              <w:spacing w:line="360" w:lineRule="auto"/>
              <w:rPr>
                <w:rFonts w:hint="eastAsia" w:ascii="宋体" w:hAnsi="宋体" w:cs="宋体"/>
                <w:color w:val="auto"/>
                <w:szCs w:val="21"/>
              </w:rPr>
            </w:pPr>
            <w:r>
              <w:rPr>
                <w:rFonts w:hint="eastAsia" w:ascii="宋体" w:hAnsi="宋体" w:cs="宋体"/>
                <w:color w:val="auto"/>
              </w:rPr>
              <w:t>纳税人识别号或统一社会信用代码：</w:t>
            </w:r>
          </w:p>
        </w:tc>
      </w:tr>
      <w:tr w14:paraId="5D910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jc w:val="center"/>
        </w:trPr>
        <w:tc>
          <w:tcPr>
            <w:tcW w:w="4512" w:type="dxa"/>
          </w:tcPr>
          <w:p w14:paraId="26BB22DD">
            <w:pPr>
              <w:snapToGrid w:val="0"/>
              <w:spacing w:line="360" w:lineRule="auto"/>
              <w:rPr>
                <w:rFonts w:hint="eastAsia" w:ascii="宋体" w:hAnsi="宋体" w:cs="宋体"/>
                <w:color w:val="auto"/>
                <w:szCs w:val="21"/>
              </w:rPr>
            </w:pPr>
            <w:r>
              <w:rPr>
                <w:rFonts w:hint="eastAsia" w:ascii="宋体" w:hAnsi="宋体" w:cs="宋体"/>
                <w:color w:val="auto"/>
                <w:szCs w:val="21"/>
              </w:rPr>
              <w:t>邮政编码：</w:t>
            </w:r>
          </w:p>
        </w:tc>
        <w:tc>
          <w:tcPr>
            <w:tcW w:w="4767" w:type="dxa"/>
          </w:tcPr>
          <w:p w14:paraId="47EAE426">
            <w:pPr>
              <w:snapToGrid w:val="0"/>
              <w:spacing w:line="360" w:lineRule="auto"/>
              <w:rPr>
                <w:rFonts w:hint="eastAsia" w:ascii="宋体" w:hAnsi="宋体" w:cs="宋体"/>
                <w:color w:val="auto"/>
                <w:szCs w:val="21"/>
              </w:rPr>
            </w:pPr>
            <w:r>
              <w:rPr>
                <w:rFonts w:hint="eastAsia" w:ascii="宋体" w:hAnsi="宋体" w:cs="宋体"/>
                <w:color w:val="auto"/>
                <w:szCs w:val="21"/>
              </w:rPr>
              <w:t>邮政编码：</w:t>
            </w:r>
          </w:p>
        </w:tc>
      </w:tr>
    </w:tbl>
    <w:p w14:paraId="01C5C290">
      <w:pPr>
        <w:rPr>
          <w:rFonts w:ascii="Calibri" w:hAnsi="Calibri"/>
          <w:color w:val="auto"/>
        </w:rPr>
      </w:pPr>
      <w:r>
        <w:rPr>
          <w:rFonts w:hint="eastAsia" w:hAnsi="宋体" w:cs="宋体"/>
          <w:color w:val="auto"/>
        </w:rPr>
        <w:br w:type="page"/>
      </w:r>
    </w:p>
    <w:p w14:paraId="002ED027">
      <w:pPr>
        <w:rPr>
          <w:rFonts w:cs="仿宋_GB2312"/>
          <w:b/>
          <w:color w:val="auto"/>
          <w:sz w:val="44"/>
          <w:szCs w:val="44"/>
        </w:rPr>
      </w:pPr>
    </w:p>
    <w:p w14:paraId="11DE0A0E">
      <w:pPr>
        <w:pStyle w:val="6"/>
        <w:rPr>
          <w:color w:val="auto"/>
        </w:rPr>
      </w:pPr>
    </w:p>
    <w:p w14:paraId="41421BFD">
      <w:pPr>
        <w:pStyle w:val="6"/>
        <w:rPr>
          <w:rFonts w:cs="仿宋_GB2312"/>
          <w:b w:val="0"/>
          <w:color w:val="auto"/>
        </w:rPr>
      </w:pPr>
      <w:bookmarkStart w:id="184" w:name="_Toc13011"/>
      <w:bookmarkStart w:id="185" w:name="_Toc80886951"/>
      <w:bookmarkStart w:id="186" w:name="_Toc29624"/>
      <w:bookmarkStart w:id="187" w:name="_Toc28283"/>
      <w:bookmarkStart w:id="188" w:name="_Toc178"/>
      <w:bookmarkStart w:id="189" w:name="_Toc8963"/>
      <w:bookmarkStart w:id="190" w:name="_Toc610"/>
      <w:bookmarkStart w:id="191" w:name="_Toc20915"/>
    </w:p>
    <w:p w14:paraId="05980B8F">
      <w:pPr>
        <w:pStyle w:val="6"/>
        <w:jc w:val="center"/>
        <w:rPr>
          <w:rFonts w:cs="仿宋_GB2312"/>
          <w:color w:val="auto"/>
        </w:rPr>
        <w:sectPr>
          <w:pgSz w:w="11911" w:h="16838"/>
          <w:pgMar w:top="1134" w:right="1417" w:bottom="1134" w:left="1417" w:header="720" w:footer="720" w:gutter="0"/>
          <w:cols w:space="720" w:num="1"/>
        </w:sectPr>
      </w:pPr>
      <w:r>
        <w:rPr>
          <w:rFonts w:hint="eastAsia" w:cs="仿宋_GB2312"/>
          <w:b w:val="0"/>
          <w:color w:val="auto"/>
        </w:rPr>
        <w:t>第七章 质疑、投诉材料格式</w:t>
      </w:r>
      <w:bookmarkEnd w:id="184"/>
      <w:bookmarkEnd w:id="185"/>
      <w:bookmarkEnd w:id="186"/>
      <w:bookmarkEnd w:id="187"/>
      <w:bookmarkEnd w:id="188"/>
      <w:bookmarkEnd w:id="189"/>
      <w:bookmarkEnd w:id="190"/>
      <w:bookmarkEnd w:id="191"/>
    </w:p>
    <w:p w14:paraId="4E1770FD">
      <w:pPr>
        <w:spacing w:line="360" w:lineRule="auto"/>
        <w:jc w:val="center"/>
        <w:rPr>
          <w:b/>
          <w:bCs/>
          <w:color w:val="auto"/>
          <w:sz w:val="32"/>
          <w:szCs w:val="32"/>
        </w:rPr>
      </w:pPr>
      <w:r>
        <w:rPr>
          <w:rFonts w:hint="eastAsia"/>
          <w:b/>
          <w:bCs/>
          <w:color w:val="auto"/>
          <w:sz w:val="32"/>
          <w:szCs w:val="32"/>
        </w:rPr>
        <w:t>质疑函（格式）</w:t>
      </w:r>
    </w:p>
    <w:p w14:paraId="11372900">
      <w:pPr>
        <w:spacing w:line="360" w:lineRule="auto"/>
        <w:ind w:firstLine="482" w:firstLineChars="200"/>
        <w:contextualSpacing/>
        <w:rPr>
          <w:rFonts w:hint="eastAsia" w:ascii="宋体" w:hAnsi="宋体" w:cs="宋体"/>
          <w:b/>
          <w:bCs/>
          <w:color w:val="auto"/>
          <w:kern w:val="0"/>
          <w:sz w:val="24"/>
        </w:rPr>
      </w:pPr>
      <w:r>
        <w:rPr>
          <w:rFonts w:hint="eastAsia" w:ascii="宋体" w:hAnsi="宋体" w:cs="宋体"/>
          <w:b/>
          <w:bCs/>
          <w:color w:val="auto"/>
          <w:kern w:val="0"/>
          <w:sz w:val="24"/>
        </w:rPr>
        <w:t>一、质疑供应商基本信息：</w:t>
      </w:r>
    </w:p>
    <w:p w14:paraId="02503B3C">
      <w:pPr>
        <w:spacing w:line="360" w:lineRule="auto"/>
        <w:ind w:firstLine="480" w:firstLineChars="200"/>
        <w:contextualSpacing/>
        <w:rPr>
          <w:rFonts w:hint="eastAsia" w:ascii="宋体" w:hAnsi="宋体" w:cs="宋体"/>
          <w:bCs/>
          <w:color w:val="auto"/>
          <w:kern w:val="0"/>
          <w:sz w:val="24"/>
          <w:u w:val="single"/>
        </w:rPr>
      </w:pPr>
      <w:r>
        <w:rPr>
          <w:rFonts w:hint="eastAsia" w:ascii="宋体" w:hAnsi="宋体" w:cs="宋体"/>
          <w:bCs/>
          <w:color w:val="auto"/>
          <w:kern w:val="0"/>
          <w:sz w:val="24"/>
        </w:rPr>
        <w:t>质疑供应商：</w:t>
      </w:r>
    </w:p>
    <w:p w14:paraId="79FDBDC4">
      <w:pPr>
        <w:spacing w:line="360" w:lineRule="auto"/>
        <w:ind w:firstLine="480" w:firstLineChars="200"/>
        <w:contextualSpacing/>
        <w:rPr>
          <w:rFonts w:hint="eastAsia" w:ascii="宋体" w:hAnsi="宋体" w:cs="宋体"/>
          <w:bCs/>
          <w:color w:val="auto"/>
          <w:kern w:val="0"/>
          <w:sz w:val="24"/>
        </w:rPr>
      </w:pPr>
      <w:r>
        <w:rPr>
          <w:rFonts w:hint="eastAsia" w:ascii="宋体" w:hAnsi="宋体" w:cs="宋体"/>
          <w:bCs/>
          <w:color w:val="auto"/>
          <w:kern w:val="0"/>
          <w:sz w:val="24"/>
        </w:rPr>
        <w:t>地址：邮编：</w:t>
      </w:r>
    </w:p>
    <w:p w14:paraId="66C79299">
      <w:pPr>
        <w:spacing w:line="360" w:lineRule="auto"/>
        <w:ind w:firstLine="480" w:firstLineChars="200"/>
        <w:contextualSpacing/>
        <w:rPr>
          <w:rFonts w:hint="eastAsia" w:ascii="宋体" w:hAnsi="宋体" w:cs="宋体"/>
          <w:bCs/>
          <w:color w:val="auto"/>
          <w:kern w:val="0"/>
          <w:sz w:val="24"/>
        </w:rPr>
      </w:pPr>
      <w:r>
        <w:rPr>
          <w:rFonts w:hint="eastAsia" w:ascii="宋体" w:hAnsi="宋体" w:cs="宋体"/>
          <w:bCs/>
          <w:color w:val="auto"/>
          <w:kern w:val="0"/>
          <w:sz w:val="24"/>
        </w:rPr>
        <w:t>联系人：联系电话：</w:t>
      </w:r>
    </w:p>
    <w:p w14:paraId="150A0E76">
      <w:pPr>
        <w:spacing w:line="360" w:lineRule="auto"/>
        <w:ind w:firstLine="480" w:firstLineChars="200"/>
        <w:contextualSpacing/>
        <w:rPr>
          <w:rFonts w:hint="eastAsia" w:ascii="宋体" w:hAnsi="宋体" w:cs="宋体"/>
          <w:bCs/>
          <w:color w:val="auto"/>
          <w:kern w:val="0"/>
          <w:sz w:val="24"/>
        </w:rPr>
      </w:pPr>
      <w:r>
        <w:rPr>
          <w:rFonts w:hint="eastAsia" w:ascii="宋体" w:hAnsi="宋体" w:cs="宋体"/>
          <w:bCs/>
          <w:color w:val="auto"/>
          <w:kern w:val="0"/>
          <w:sz w:val="24"/>
        </w:rPr>
        <w:t>授权代表：</w:t>
      </w:r>
    </w:p>
    <w:p w14:paraId="2B265A40">
      <w:pPr>
        <w:spacing w:line="360" w:lineRule="auto"/>
        <w:ind w:firstLine="480" w:firstLineChars="200"/>
        <w:contextualSpacing/>
        <w:rPr>
          <w:rFonts w:hint="eastAsia" w:ascii="宋体" w:hAnsi="宋体" w:cs="宋体"/>
          <w:bCs/>
          <w:color w:val="auto"/>
          <w:kern w:val="0"/>
          <w:sz w:val="24"/>
          <w:u w:val="single"/>
        </w:rPr>
      </w:pPr>
      <w:r>
        <w:rPr>
          <w:rFonts w:hint="eastAsia" w:ascii="宋体" w:hAnsi="宋体" w:cs="宋体"/>
          <w:bCs/>
          <w:color w:val="auto"/>
          <w:kern w:val="0"/>
          <w:sz w:val="24"/>
        </w:rPr>
        <w:t>联系电话：</w:t>
      </w:r>
    </w:p>
    <w:p w14:paraId="38F4D3D6">
      <w:pPr>
        <w:spacing w:line="360" w:lineRule="auto"/>
        <w:ind w:firstLine="480" w:firstLineChars="200"/>
        <w:contextualSpacing/>
        <w:rPr>
          <w:rFonts w:hint="eastAsia" w:ascii="宋体" w:hAnsi="宋体" w:cs="宋体"/>
          <w:bCs/>
          <w:color w:val="auto"/>
          <w:kern w:val="0"/>
          <w:sz w:val="24"/>
        </w:rPr>
      </w:pPr>
      <w:r>
        <w:rPr>
          <w:rFonts w:hint="eastAsia" w:ascii="宋体" w:hAnsi="宋体" w:cs="宋体"/>
          <w:bCs/>
          <w:color w:val="auto"/>
          <w:kern w:val="0"/>
          <w:sz w:val="24"/>
        </w:rPr>
        <w:t>地址：邮编：</w:t>
      </w:r>
    </w:p>
    <w:p w14:paraId="1FD731A2">
      <w:pPr>
        <w:spacing w:line="360" w:lineRule="auto"/>
        <w:ind w:firstLine="482" w:firstLineChars="200"/>
        <w:contextualSpacing/>
        <w:rPr>
          <w:rFonts w:hint="eastAsia" w:ascii="宋体" w:hAnsi="宋体" w:cs="宋体"/>
          <w:b/>
          <w:bCs/>
          <w:color w:val="auto"/>
          <w:kern w:val="0"/>
          <w:sz w:val="24"/>
        </w:rPr>
      </w:pPr>
      <w:r>
        <w:rPr>
          <w:rFonts w:hint="eastAsia" w:ascii="宋体" w:hAnsi="宋体" w:cs="宋体"/>
          <w:b/>
          <w:bCs/>
          <w:color w:val="auto"/>
          <w:kern w:val="0"/>
          <w:sz w:val="24"/>
        </w:rPr>
        <w:t>二、质疑项目基本情况：</w:t>
      </w:r>
    </w:p>
    <w:p w14:paraId="391785AF">
      <w:pPr>
        <w:spacing w:line="360" w:lineRule="auto"/>
        <w:ind w:left="25" w:leftChars="12" w:firstLine="472" w:firstLineChars="197"/>
        <w:contextualSpacing/>
        <w:rPr>
          <w:rFonts w:hint="eastAsia" w:ascii="宋体" w:hAnsi="宋体" w:cs="宋体"/>
          <w:color w:val="auto"/>
          <w:kern w:val="0"/>
          <w:sz w:val="24"/>
        </w:rPr>
      </w:pPr>
      <w:r>
        <w:rPr>
          <w:rFonts w:hint="eastAsia" w:ascii="宋体" w:hAnsi="宋体" w:cs="宋体"/>
          <w:bCs/>
          <w:color w:val="auto"/>
          <w:kern w:val="0"/>
          <w:sz w:val="24"/>
        </w:rPr>
        <w:t>质疑</w:t>
      </w:r>
      <w:r>
        <w:rPr>
          <w:rFonts w:hint="eastAsia" w:ascii="宋体" w:hAnsi="宋体" w:cs="宋体"/>
          <w:color w:val="auto"/>
          <w:kern w:val="0"/>
          <w:sz w:val="24"/>
        </w:rPr>
        <w:t>项目的名称：</w:t>
      </w:r>
    </w:p>
    <w:p w14:paraId="1BAC19B7">
      <w:pPr>
        <w:spacing w:line="360" w:lineRule="auto"/>
        <w:ind w:left="25" w:leftChars="12" w:firstLine="472" w:firstLineChars="197"/>
        <w:contextualSpacing/>
        <w:rPr>
          <w:rFonts w:hint="eastAsia" w:ascii="宋体" w:hAnsi="宋体" w:cs="宋体"/>
          <w:color w:val="auto"/>
          <w:kern w:val="0"/>
          <w:sz w:val="24"/>
        </w:rPr>
      </w:pPr>
      <w:r>
        <w:rPr>
          <w:rFonts w:hint="eastAsia" w:ascii="宋体" w:hAnsi="宋体" w:cs="宋体"/>
          <w:bCs/>
          <w:color w:val="auto"/>
          <w:kern w:val="0"/>
          <w:sz w:val="24"/>
        </w:rPr>
        <w:t>质疑</w:t>
      </w:r>
      <w:r>
        <w:rPr>
          <w:rFonts w:hint="eastAsia" w:ascii="宋体" w:hAnsi="宋体" w:cs="宋体"/>
          <w:color w:val="auto"/>
          <w:kern w:val="0"/>
          <w:sz w:val="24"/>
        </w:rPr>
        <w:t>项目的编号：</w:t>
      </w:r>
    </w:p>
    <w:p w14:paraId="4BADA9C6">
      <w:pPr>
        <w:spacing w:line="360" w:lineRule="auto"/>
        <w:ind w:left="25" w:leftChars="12" w:firstLine="472" w:firstLineChars="197"/>
        <w:contextualSpacing/>
        <w:rPr>
          <w:rFonts w:hint="eastAsia" w:ascii="宋体" w:hAnsi="宋体" w:cs="宋体"/>
          <w:color w:val="auto"/>
          <w:kern w:val="0"/>
          <w:sz w:val="24"/>
        </w:rPr>
      </w:pPr>
      <w:r>
        <w:rPr>
          <w:rFonts w:hint="eastAsia" w:ascii="宋体" w:hAnsi="宋体" w:cs="宋体"/>
          <w:color w:val="auto"/>
          <w:kern w:val="0"/>
          <w:sz w:val="24"/>
        </w:rPr>
        <w:t>采购人名称：</w:t>
      </w:r>
    </w:p>
    <w:p w14:paraId="517A858D">
      <w:pPr>
        <w:spacing w:line="360" w:lineRule="auto"/>
        <w:ind w:left="25" w:leftChars="12" w:firstLine="472" w:firstLineChars="197"/>
        <w:contextualSpacing/>
        <w:rPr>
          <w:rFonts w:hint="eastAsia" w:ascii="宋体" w:hAnsi="宋体" w:cs="宋体"/>
          <w:color w:val="auto"/>
          <w:kern w:val="0"/>
          <w:sz w:val="24"/>
        </w:rPr>
      </w:pPr>
      <w:r>
        <w:rPr>
          <w:rFonts w:hint="eastAsia" w:ascii="宋体" w:hAnsi="宋体" w:cs="宋体"/>
          <w:color w:val="auto"/>
          <w:kern w:val="0"/>
          <w:sz w:val="24"/>
        </w:rPr>
        <w:t>质疑事项：</w:t>
      </w:r>
    </w:p>
    <w:p w14:paraId="0224E3C0">
      <w:pPr>
        <w:spacing w:line="360" w:lineRule="auto"/>
        <w:ind w:left="25" w:leftChars="12" w:firstLine="352" w:firstLineChars="147"/>
        <w:contextualSpacing/>
        <w:rPr>
          <w:rFonts w:hint="eastAsia" w:ascii="宋体" w:hAnsi="宋体" w:cs="宋体"/>
          <w:color w:val="auto"/>
          <w:kern w:val="0"/>
          <w:sz w:val="24"/>
        </w:rPr>
      </w:pPr>
      <w:r>
        <w:rPr>
          <w:rFonts w:hint="eastAsia" w:ascii="宋体" w:hAnsi="宋体" w:cs="宋体"/>
          <w:color w:val="auto"/>
          <w:kern w:val="0"/>
          <w:sz w:val="24"/>
        </w:rPr>
        <w:t>□采购文件   采购文件获取日期：</w:t>
      </w:r>
    </w:p>
    <w:p w14:paraId="000B8F41">
      <w:pPr>
        <w:spacing w:line="360" w:lineRule="auto"/>
        <w:ind w:left="25" w:leftChars="12" w:firstLine="352" w:firstLineChars="147"/>
        <w:contextualSpacing/>
        <w:rPr>
          <w:rFonts w:hint="eastAsia" w:ascii="宋体" w:hAnsi="宋体" w:cs="宋体"/>
          <w:color w:val="auto"/>
          <w:kern w:val="0"/>
          <w:sz w:val="24"/>
        </w:rPr>
      </w:pPr>
      <w:r>
        <w:rPr>
          <w:rFonts w:hint="eastAsia" w:ascii="宋体" w:hAnsi="宋体" w:cs="宋体"/>
          <w:color w:val="auto"/>
          <w:kern w:val="0"/>
          <w:sz w:val="24"/>
        </w:rPr>
        <w:t xml:space="preserve">□采购过程   </w:t>
      </w:r>
    </w:p>
    <w:p w14:paraId="13A8F1CF">
      <w:pPr>
        <w:spacing w:line="360" w:lineRule="auto"/>
        <w:ind w:left="25" w:leftChars="12" w:firstLine="352" w:firstLineChars="147"/>
        <w:contextualSpacing/>
        <w:rPr>
          <w:rFonts w:hint="eastAsia" w:ascii="宋体" w:hAnsi="宋体" w:cs="宋体"/>
          <w:bCs/>
          <w:color w:val="auto"/>
          <w:kern w:val="0"/>
          <w:sz w:val="24"/>
          <w:u w:val="single"/>
        </w:rPr>
      </w:pPr>
      <w:r>
        <w:rPr>
          <w:rFonts w:hint="eastAsia" w:ascii="宋体" w:hAnsi="宋体" w:cs="宋体"/>
          <w:color w:val="auto"/>
          <w:kern w:val="0"/>
          <w:sz w:val="24"/>
        </w:rPr>
        <w:t xml:space="preserve">□成交结果   </w:t>
      </w:r>
    </w:p>
    <w:p w14:paraId="30FED658">
      <w:pPr>
        <w:spacing w:line="360" w:lineRule="auto"/>
        <w:ind w:left="25" w:leftChars="12" w:firstLine="472" w:firstLineChars="196"/>
        <w:contextualSpacing/>
        <w:rPr>
          <w:rFonts w:hint="eastAsia" w:ascii="宋体" w:hAnsi="宋体" w:cs="宋体"/>
          <w:b/>
          <w:color w:val="auto"/>
          <w:kern w:val="0"/>
          <w:sz w:val="24"/>
        </w:rPr>
      </w:pPr>
      <w:r>
        <w:rPr>
          <w:rFonts w:hint="eastAsia" w:ascii="宋体" w:hAnsi="宋体" w:cs="宋体"/>
          <w:b/>
          <w:color w:val="auto"/>
          <w:kern w:val="0"/>
          <w:sz w:val="24"/>
        </w:rPr>
        <w:t>三、质疑事项具体内容</w:t>
      </w:r>
    </w:p>
    <w:p w14:paraId="1CA04D5A">
      <w:pPr>
        <w:spacing w:line="360" w:lineRule="auto"/>
        <w:ind w:left="25" w:leftChars="12" w:firstLine="472" w:firstLineChars="197"/>
        <w:contextualSpacing/>
        <w:rPr>
          <w:rFonts w:hint="eastAsia" w:ascii="宋体" w:hAnsi="宋体" w:cs="宋体"/>
          <w:color w:val="auto"/>
          <w:kern w:val="0"/>
          <w:sz w:val="24"/>
        </w:rPr>
      </w:pPr>
      <w:r>
        <w:rPr>
          <w:rFonts w:hint="eastAsia" w:ascii="宋体" w:hAnsi="宋体" w:cs="宋体"/>
          <w:color w:val="auto"/>
          <w:kern w:val="0"/>
          <w:sz w:val="24"/>
        </w:rPr>
        <w:t>质疑事项1：</w:t>
      </w:r>
    </w:p>
    <w:p w14:paraId="3547E101">
      <w:pPr>
        <w:spacing w:line="360" w:lineRule="auto"/>
        <w:ind w:left="25" w:leftChars="12" w:firstLine="472" w:firstLineChars="197"/>
        <w:contextualSpacing/>
        <w:rPr>
          <w:rFonts w:hint="eastAsia" w:ascii="宋体" w:hAnsi="宋体" w:cs="宋体"/>
          <w:color w:val="auto"/>
          <w:kern w:val="0"/>
          <w:sz w:val="24"/>
        </w:rPr>
      </w:pPr>
      <w:r>
        <w:rPr>
          <w:rFonts w:hint="eastAsia" w:ascii="宋体" w:hAnsi="宋体" w:cs="宋体"/>
          <w:color w:val="auto"/>
          <w:kern w:val="0"/>
          <w:sz w:val="24"/>
        </w:rPr>
        <w:t>事实依据：</w:t>
      </w:r>
    </w:p>
    <w:p w14:paraId="369C0D17">
      <w:pPr>
        <w:spacing w:line="360" w:lineRule="auto"/>
        <w:ind w:left="25" w:leftChars="12" w:firstLine="472" w:firstLineChars="197"/>
        <w:contextualSpacing/>
        <w:rPr>
          <w:rFonts w:hint="eastAsia" w:ascii="宋体" w:hAnsi="宋体" w:cs="宋体"/>
          <w:color w:val="auto"/>
          <w:kern w:val="0"/>
          <w:sz w:val="24"/>
        </w:rPr>
      </w:pPr>
      <w:r>
        <w:rPr>
          <w:rFonts w:hint="eastAsia" w:ascii="宋体" w:hAnsi="宋体" w:cs="宋体"/>
          <w:color w:val="auto"/>
          <w:kern w:val="0"/>
          <w:sz w:val="24"/>
        </w:rPr>
        <w:t>法律依据：</w:t>
      </w:r>
    </w:p>
    <w:p w14:paraId="05BFB6AA">
      <w:pPr>
        <w:spacing w:line="360" w:lineRule="auto"/>
        <w:ind w:left="25" w:leftChars="12" w:firstLine="472" w:firstLineChars="197"/>
        <w:contextualSpacing/>
        <w:rPr>
          <w:rFonts w:hint="eastAsia" w:ascii="宋体" w:hAnsi="宋体" w:cs="宋体"/>
          <w:color w:val="auto"/>
          <w:kern w:val="0"/>
          <w:sz w:val="24"/>
        </w:rPr>
      </w:pPr>
      <w:r>
        <w:rPr>
          <w:rFonts w:hint="eastAsia" w:ascii="宋体" w:hAnsi="宋体" w:cs="宋体"/>
          <w:color w:val="auto"/>
          <w:kern w:val="0"/>
          <w:sz w:val="24"/>
        </w:rPr>
        <w:t>质疑事项2</w:t>
      </w:r>
    </w:p>
    <w:p w14:paraId="382D1C92">
      <w:pPr>
        <w:spacing w:line="360" w:lineRule="auto"/>
        <w:ind w:left="25" w:leftChars="12" w:firstLine="472" w:firstLineChars="197"/>
        <w:contextualSpacing/>
        <w:rPr>
          <w:rFonts w:hint="eastAsia" w:ascii="宋体" w:hAnsi="宋体" w:cs="宋体"/>
          <w:color w:val="auto"/>
          <w:kern w:val="0"/>
          <w:sz w:val="24"/>
        </w:rPr>
      </w:pPr>
      <w:r>
        <w:rPr>
          <w:rFonts w:hint="eastAsia" w:ascii="宋体" w:hAnsi="宋体" w:cs="宋体"/>
          <w:color w:val="auto"/>
          <w:kern w:val="0"/>
          <w:sz w:val="24"/>
        </w:rPr>
        <w:t>……</w:t>
      </w:r>
    </w:p>
    <w:p w14:paraId="5D12F24C">
      <w:pPr>
        <w:spacing w:line="360" w:lineRule="auto"/>
        <w:ind w:left="25" w:leftChars="12" w:firstLine="472" w:firstLineChars="197"/>
        <w:contextualSpacing/>
        <w:rPr>
          <w:rFonts w:hint="eastAsia" w:ascii="宋体" w:hAnsi="宋体" w:cs="宋体"/>
          <w:color w:val="auto"/>
          <w:kern w:val="0"/>
          <w:sz w:val="24"/>
        </w:rPr>
      </w:pPr>
      <w:r>
        <w:rPr>
          <w:rFonts w:hint="eastAsia" w:ascii="宋体" w:hAnsi="宋体" w:cs="宋体"/>
          <w:color w:val="auto"/>
          <w:kern w:val="0"/>
          <w:sz w:val="24"/>
        </w:rPr>
        <w:t>四、与质疑事项相关的质疑请求：</w:t>
      </w:r>
    </w:p>
    <w:p w14:paraId="624E90C7">
      <w:pPr>
        <w:spacing w:line="360" w:lineRule="auto"/>
        <w:ind w:left="25" w:leftChars="12" w:firstLine="472" w:firstLineChars="197"/>
        <w:contextualSpacing/>
        <w:rPr>
          <w:rFonts w:hint="eastAsia" w:ascii="宋体" w:hAnsi="宋体" w:cs="宋体"/>
          <w:color w:val="auto"/>
          <w:kern w:val="0"/>
          <w:sz w:val="24"/>
        </w:rPr>
      </w:pPr>
      <w:r>
        <w:rPr>
          <w:rFonts w:hint="eastAsia" w:ascii="宋体" w:hAnsi="宋体" w:cs="宋体"/>
          <w:color w:val="auto"/>
          <w:kern w:val="0"/>
          <w:sz w:val="24"/>
        </w:rPr>
        <w:t>请求：</w:t>
      </w:r>
    </w:p>
    <w:p w14:paraId="2D927F1D">
      <w:pPr>
        <w:spacing w:line="360" w:lineRule="auto"/>
        <w:ind w:left="25" w:leftChars="12" w:firstLine="352" w:firstLineChars="147"/>
        <w:contextualSpacing/>
        <w:rPr>
          <w:rFonts w:hint="eastAsia" w:ascii="宋体" w:hAnsi="宋体" w:cs="宋体"/>
          <w:color w:val="auto"/>
          <w:kern w:val="0"/>
          <w:sz w:val="24"/>
        </w:rPr>
      </w:pPr>
    </w:p>
    <w:p w14:paraId="001C2AED">
      <w:pPr>
        <w:spacing w:line="360" w:lineRule="auto"/>
        <w:ind w:left="25" w:leftChars="12" w:firstLine="472" w:firstLineChars="197"/>
        <w:contextualSpacing/>
        <w:rPr>
          <w:rFonts w:hint="eastAsia" w:ascii="宋体" w:hAnsi="宋体" w:cs="宋体"/>
          <w:color w:val="auto"/>
          <w:kern w:val="0"/>
          <w:sz w:val="24"/>
        </w:rPr>
      </w:pPr>
      <w:r>
        <w:rPr>
          <w:rFonts w:hint="eastAsia" w:ascii="宋体" w:hAnsi="宋体" w:cs="宋体"/>
          <w:color w:val="auto"/>
          <w:kern w:val="0"/>
          <w:sz w:val="24"/>
        </w:rPr>
        <w:t>签字（签章）：                                       公章：</w:t>
      </w:r>
    </w:p>
    <w:p w14:paraId="4FA8C969">
      <w:pPr>
        <w:spacing w:line="360" w:lineRule="auto"/>
        <w:ind w:left="25" w:leftChars="12" w:firstLine="352" w:firstLineChars="147"/>
        <w:contextualSpacing/>
        <w:rPr>
          <w:rFonts w:hint="eastAsia" w:ascii="宋体" w:hAnsi="宋体" w:cs="宋体"/>
          <w:color w:val="auto"/>
          <w:kern w:val="0"/>
          <w:sz w:val="24"/>
        </w:rPr>
      </w:pPr>
    </w:p>
    <w:p w14:paraId="142CD17F">
      <w:pPr>
        <w:spacing w:line="360" w:lineRule="auto"/>
        <w:ind w:left="25" w:leftChars="12" w:firstLine="472" w:firstLineChars="197"/>
        <w:contextualSpacing/>
        <w:rPr>
          <w:rFonts w:hint="eastAsia" w:ascii="宋体" w:hAnsi="宋体" w:cs="宋体"/>
          <w:color w:val="auto"/>
          <w:kern w:val="0"/>
          <w:sz w:val="24"/>
        </w:rPr>
      </w:pPr>
      <w:r>
        <w:rPr>
          <w:rFonts w:hint="eastAsia" w:ascii="宋体" w:hAnsi="宋体" w:cs="宋体"/>
          <w:color w:val="auto"/>
          <w:kern w:val="0"/>
          <w:sz w:val="24"/>
        </w:rPr>
        <w:t>日期：</w:t>
      </w:r>
    </w:p>
    <w:p w14:paraId="552FD9FB">
      <w:pPr>
        <w:spacing w:line="360" w:lineRule="auto"/>
        <w:contextualSpacing/>
        <w:rPr>
          <w:b/>
          <w:color w:val="auto"/>
          <w:kern w:val="0"/>
          <w:sz w:val="24"/>
        </w:rPr>
      </w:pPr>
    </w:p>
    <w:p w14:paraId="1B30D16D">
      <w:pPr>
        <w:spacing w:line="360" w:lineRule="auto"/>
        <w:contextualSpacing/>
        <w:rPr>
          <w:b/>
          <w:color w:val="auto"/>
          <w:kern w:val="0"/>
          <w:sz w:val="24"/>
        </w:rPr>
      </w:pPr>
    </w:p>
    <w:p w14:paraId="680ED20A">
      <w:pPr>
        <w:spacing w:line="360" w:lineRule="auto"/>
        <w:contextualSpacing/>
        <w:rPr>
          <w:b/>
          <w:color w:val="auto"/>
          <w:kern w:val="0"/>
          <w:sz w:val="24"/>
        </w:rPr>
      </w:pPr>
      <w:r>
        <w:rPr>
          <w:rFonts w:hint="eastAsia"/>
          <w:b/>
          <w:color w:val="auto"/>
          <w:kern w:val="0"/>
          <w:sz w:val="24"/>
        </w:rPr>
        <w:t>说明：</w:t>
      </w:r>
    </w:p>
    <w:p w14:paraId="6875A171">
      <w:pPr>
        <w:spacing w:line="360" w:lineRule="auto"/>
        <w:ind w:left="25" w:leftChars="12" w:firstLine="354" w:firstLineChars="147"/>
        <w:contextualSpacing/>
        <w:rPr>
          <w:rFonts w:hint="eastAsia" w:ascii="宋体" w:hAnsi="宋体" w:cs="宋体"/>
          <w:b/>
          <w:bCs/>
          <w:color w:val="auto"/>
          <w:kern w:val="0"/>
          <w:sz w:val="24"/>
        </w:rPr>
      </w:pPr>
      <w:r>
        <w:rPr>
          <w:rFonts w:hint="eastAsia" w:ascii="宋体" w:hAnsi="宋体" w:cs="宋体"/>
          <w:b/>
          <w:color w:val="auto"/>
          <w:kern w:val="0"/>
          <w:sz w:val="24"/>
        </w:rPr>
        <w:t>1.供应商提出质疑时，应提交质疑函和必要的证明材料</w:t>
      </w:r>
      <w:r>
        <w:rPr>
          <w:rFonts w:hint="eastAsia" w:ascii="宋体" w:hAnsi="宋体" w:cs="宋体"/>
          <w:b/>
          <w:bCs/>
          <w:color w:val="auto"/>
          <w:kern w:val="0"/>
          <w:sz w:val="24"/>
        </w:rPr>
        <w:t>。</w:t>
      </w:r>
    </w:p>
    <w:p w14:paraId="66007E33">
      <w:pPr>
        <w:spacing w:line="360" w:lineRule="auto"/>
        <w:ind w:left="25" w:leftChars="12" w:firstLine="354" w:firstLineChars="147"/>
        <w:contextualSpacing/>
        <w:rPr>
          <w:rFonts w:hint="eastAsia" w:ascii="宋体" w:hAnsi="宋体" w:cs="宋体"/>
          <w:b/>
          <w:color w:val="auto"/>
          <w:kern w:val="0"/>
          <w:sz w:val="24"/>
        </w:rPr>
      </w:pPr>
      <w:r>
        <w:rPr>
          <w:rFonts w:hint="eastAsia" w:ascii="宋体" w:hAnsi="宋体" w:cs="宋体"/>
          <w:b/>
          <w:color w:val="auto"/>
          <w:kern w:val="0"/>
          <w:sz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7C47231">
      <w:pPr>
        <w:spacing w:line="360" w:lineRule="auto"/>
        <w:ind w:left="25" w:leftChars="12" w:firstLine="354" w:firstLineChars="147"/>
        <w:contextualSpacing/>
        <w:rPr>
          <w:rFonts w:hint="eastAsia" w:ascii="宋体" w:hAnsi="宋体" w:cs="宋体"/>
          <w:b/>
          <w:color w:val="auto"/>
          <w:kern w:val="0"/>
          <w:sz w:val="24"/>
        </w:rPr>
      </w:pPr>
      <w:r>
        <w:rPr>
          <w:rFonts w:hint="eastAsia" w:ascii="宋体" w:hAnsi="宋体" w:cs="宋体"/>
          <w:b/>
          <w:color w:val="auto"/>
          <w:kern w:val="0"/>
          <w:sz w:val="24"/>
        </w:rPr>
        <w:t>3.质疑函的质疑事项应具体、明确，并有必要的事实依据和法律依据。</w:t>
      </w:r>
    </w:p>
    <w:p w14:paraId="10544275">
      <w:pPr>
        <w:spacing w:line="360" w:lineRule="auto"/>
        <w:ind w:left="25" w:leftChars="12" w:firstLine="354" w:firstLineChars="147"/>
        <w:contextualSpacing/>
        <w:rPr>
          <w:rFonts w:hint="eastAsia" w:ascii="宋体" w:hAnsi="宋体" w:cs="宋体"/>
          <w:b/>
          <w:color w:val="auto"/>
          <w:kern w:val="0"/>
          <w:sz w:val="24"/>
        </w:rPr>
      </w:pPr>
      <w:r>
        <w:rPr>
          <w:rFonts w:hint="eastAsia" w:ascii="宋体" w:hAnsi="宋体" w:cs="宋体"/>
          <w:b/>
          <w:color w:val="auto"/>
          <w:kern w:val="0"/>
          <w:sz w:val="24"/>
        </w:rPr>
        <w:t>4.质疑函的质疑请求应与质疑事项相关。</w:t>
      </w:r>
    </w:p>
    <w:p w14:paraId="61A4D603">
      <w:pPr>
        <w:spacing w:line="360" w:lineRule="auto"/>
        <w:ind w:left="25" w:leftChars="12" w:firstLine="354" w:firstLineChars="147"/>
        <w:contextualSpacing/>
        <w:rPr>
          <w:rFonts w:hint="eastAsia" w:ascii="宋体" w:hAnsi="宋体" w:cs="宋体"/>
          <w:b/>
          <w:color w:val="auto"/>
          <w:kern w:val="0"/>
          <w:sz w:val="20"/>
          <w:szCs w:val="21"/>
        </w:rPr>
      </w:pPr>
      <w:r>
        <w:rPr>
          <w:rFonts w:hint="eastAsia" w:ascii="宋体" w:hAnsi="宋体" w:cs="宋体"/>
          <w:b/>
          <w:color w:val="auto"/>
          <w:kern w:val="0"/>
          <w:sz w:val="24"/>
        </w:rPr>
        <w:t>5.质疑供应商为法人或者其他组织的，质疑函应由法定代表人、主要负责人，或者其授权代表签字或者盖章，并加盖公章。</w:t>
      </w:r>
    </w:p>
    <w:p w14:paraId="42F460F1">
      <w:pPr>
        <w:snapToGrid w:val="0"/>
        <w:rPr>
          <w:rFonts w:hAnsi="Courier New"/>
          <w:b/>
          <w:color w:val="auto"/>
          <w:kern w:val="0"/>
          <w:sz w:val="24"/>
        </w:rPr>
      </w:pPr>
    </w:p>
    <w:p w14:paraId="1C692FAD">
      <w:pPr>
        <w:spacing w:line="460" w:lineRule="exact"/>
        <w:jc w:val="center"/>
        <w:rPr>
          <w:rFonts w:ascii="Calibri" w:hAnsi="Calibri" w:eastAsia="隶书"/>
          <w:color w:val="auto"/>
          <w:sz w:val="44"/>
        </w:rPr>
      </w:pPr>
      <w:r>
        <w:rPr>
          <w:rFonts w:ascii="Calibri" w:hAnsi="Calibri" w:eastAsia="隶书"/>
          <w:color w:val="auto"/>
          <w:sz w:val="44"/>
        </w:rPr>
        <w:br w:type="page"/>
      </w:r>
    </w:p>
    <w:p w14:paraId="64E6B25D">
      <w:pPr>
        <w:spacing w:line="360" w:lineRule="auto"/>
        <w:jc w:val="center"/>
        <w:rPr>
          <w:b/>
          <w:bCs/>
          <w:color w:val="auto"/>
          <w:sz w:val="32"/>
          <w:szCs w:val="32"/>
        </w:rPr>
      </w:pPr>
      <w:r>
        <w:rPr>
          <w:rFonts w:hint="eastAsia"/>
          <w:b/>
          <w:bCs/>
          <w:color w:val="auto"/>
          <w:sz w:val="32"/>
          <w:szCs w:val="32"/>
        </w:rPr>
        <w:t>投诉书（格式）</w:t>
      </w:r>
    </w:p>
    <w:p w14:paraId="1A64ACFF">
      <w:pPr>
        <w:snapToGrid w:val="0"/>
        <w:spacing w:line="360" w:lineRule="auto"/>
        <w:ind w:firstLine="482" w:firstLineChars="200"/>
        <w:rPr>
          <w:rFonts w:hint="eastAsia" w:ascii="宋体" w:hAnsi="宋体" w:cs="宋体"/>
          <w:b/>
          <w:bCs/>
          <w:color w:val="auto"/>
          <w:kern w:val="0"/>
          <w:sz w:val="24"/>
        </w:rPr>
      </w:pPr>
      <w:r>
        <w:rPr>
          <w:rFonts w:hint="eastAsia" w:ascii="宋体" w:hAnsi="宋体" w:cs="宋体"/>
          <w:b/>
          <w:bCs/>
          <w:color w:val="auto"/>
          <w:kern w:val="0"/>
          <w:sz w:val="24"/>
        </w:rPr>
        <w:t>一、投诉相关主体基本情况：</w:t>
      </w:r>
    </w:p>
    <w:p w14:paraId="533F05E1">
      <w:pPr>
        <w:snapToGrid w:val="0"/>
        <w:spacing w:line="360" w:lineRule="auto"/>
        <w:ind w:firstLine="480" w:firstLineChars="200"/>
        <w:rPr>
          <w:rFonts w:hint="eastAsia" w:ascii="宋体" w:hAnsi="宋体" w:cs="宋体"/>
          <w:bCs/>
          <w:color w:val="auto"/>
          <w:kern w:val="0"/>
          <w:sz w:val="24"/>
          <w:u w:val="single"/>
        </w:rPr>
      </w:pPr>
      <w:r>
        <w:rPr>
          <w:rFonts w:hint="eastAsia" w:ascii="宋体" w:hAnsi="宋体" w:cs="宋体"/>
          <w:bCs/>
          <w:color w:val="auto"/>
          <w:kern w:val="0"/>
          <w:sz w:val="24"/>
        </w:rPr>
        <w:t>供应商：</w:t>
      </w:r>
    </w:p>
    <w:p w14:paraId="0F901E8D">
      <w:pPr>
        <w:snapToGrid w:val="0"/>
        <w:spacing w:line="360" w:lineRule="auto"/>
        <w:ind w:firstLine="480" w:firstLineChars="200"/>
        <w:rPr>
          <w:rFonts w:hint="eastAsia" w:ascii="宋体" w:hAnsi="宋体" w:cs="宋体"/>
          <w:bCs/>
          <w:color w:val="auto"/>
          <w:kern w:val="0"/>
          <w:sz w:val="24"/>
        </w:rPr>
      </w:pPr>
      <w:r>
        <w:rPr>
          <w:rFonts w:hint="eastAsia" w:ascii="宋体" w:hAnsi="宋体" w:cs="宋体"/>
          <w:bCs/>
          <w:color w:val="auto"/>
          <w:kern w:val="0"/>
          <w:sz w:val="24"/>
        </w:rPr>
        <w:t>地址：邮编：</w:t>
      </w:r>
    </w:p>
    <w:p w14:paraId="65726122">
      <w:pPr>
        <w:snapToGrid w:val="0"/>
        <w:spacing w:line="360" w:lineRule="auto"/>
        <w:ind w:firstLine="480" w:firstLineChars="200"/>
        <w:rPr>
          <w:rFonts w:hint="eastAsia" w:ascii="宋体" w:hAnsi="宋体" w:cs="宋体"/>
          <w:bCs/>
          <w:color w:val="auto"/>
          <w:kern w:val="0"/>
          <w:sz w:val="24"/>
          <w:u w:val="single"/>
        </w:rPr>
      </w:pPr>
      <w:r>
        <w:rPr>
          <w:rFonts w:hint="eastAsia" w:ascii="宋体" w:hAnsi="宋体" w:cs="宋体"/>
          <w:bCs/>
          <w:color w:val="auto"/>
          <w:kern w:val="0"/>
          <w:sz w:val="24"/>
        </w:rPr>
        <w:t>法定代表人/主要负责人：</w:t>
      </w:r>
    </w:p>
    <w:p w14:paraId="1DD45B02">
      <w:pPr>
        <w:snapToGrid w:val="0"/>
        <w:spacing w:line="360" w:lineRule="auto"/>
        <w:ind w:firstLine="480" w:firstLineChars="200"/>
        <w:rPr>
          <w:rFonts w:hint="eastAsia" w:ascii="宋体" w:hAnsi="宋体" w:cs="宋体"/>
          <w:bCs/>
          <w:color w:val="auto"/>
          <w:kern w:val="0"/>
          <w:sz w:val="24"/>
        </w:rPr>
      </w:pPr>
      <w:r>
        <w:rPr>
          <w:rFonts w:hint="eastAsia" w:ascii="宋体" w:hAnsi="宋体" w:cs="宋体"/>
          <w:bCs/>
          <w:color w:val="auto"/>
          <w:kern w:val="0"/>
          <w:sz w:val="24"/>
        </w:rPr>
        <w:t>联系电话：</w:t>
      </w:r>
    </w:p>
    <w:p w14:paraId="556E2320">
      <w:pPr>
        <w:snapToGrid w:val="0"/>
        <w:spacing w:line="360" w:lineRule="auto"/>
        <w:ind w:firstLine="480" w:firstLineChars="200"/>
        <w:rPr>
          <w:rFonts w:hint="eastAsia" w:ascii="宋体" w:hAnsi="宋体" w:cs="宋体"/>
          <w:bCs/>
          <w:color w:val="auto"/>
          <w:kern w:val="0"/>
          <w:sz w:val="24"/>
          <w:u w:val="single"/>
        </w:rPr>
      </w:pPr>
      <w:r>
        <w:rPr>
          <w:rFonts w:hint="eastAsia" w:ascii="宋体" w:hAnsi="宋体" w:cs="宋体"/>
          <w:bCs/>
          <w:color w:val="auto"/>
          <w:kern w:val="0"/>
          <w:sz w:val="24"/>
        </w:rPr>
        <w:t>授权代表：联系电话：</w:t>
      </w:r>
    </w:p>
    <w:p w14:paraId="1D209B9D">
      <w:pPr>
        <w:snapToGrid w:val="0"/>
        <w:spacing w:line="360" w:lineRule="auto"/>
        <w:ind w:firstLine="480" w:firstLineChars="200"/>
        <w:rPr>
          <w:rFonts w:hint="eastAsia" w:ascii="宋体" w:hAnsi="宋体" w:cs="宋体"/>
          <w:bCs/>
          <w:color w:val="auto"/>
          <w:kern w:val="0"/>
          <w:sz w:val="24"/>
          <w:u w:val="single"/>
        </w:rPr>
      </w:pPr>
      <w:r>
        <w:rPr>
          <w:rFonts w:hint="eastAsia" w:ascii="宋体" w:hAnsi="宋体" w:cs="宋体"/>
          <w:bCs/>
          <w:color w:val="auto"/>
          <w:kern w:val="0"/>
          <w:sz w:val="24"/>
        </w:rPr>
        <w:t>地址：</w:t>
      </w:r>
    </w:p>
    <w:p w14:paraId="2716EC10">
      <w:pPr>
        <w:snapToGrid w:val="0"/>
        <w:spacing w:line="360" w:lineRule="auto"/>
        <w:ind w:firstLine="480" w:firstLineChars="200"/>
        <w:rPr>
          <w:rFonts w:hint="eastAsia" w:ascii="宋体" w:hAnsi="宋体" w:cs="宋体"/>
          <w:bCs/>
          <w:color w:val="auto"/>
          <w:kern w:val="0"/>
          <w:sz w:val="24"/>
        </w:rPr>
      </w:pPr>
      <w:r>
        <w:rPr>
          <w:rFonts w:hint="eastAsia" w:ascii="宋体" w:hAnsi="宋体" w:cs="宋体"/>
          <w:bCs/>
          <w:color w:val="auto"/>
          <w:kern w:val="0"/>
          <w:sz w:val="24"/>
        </w:rPr>
        <w:t>邮编：</w:t>
      </w:r>
    </w:p>
    <w:p w14:paraId="25B9CCF0">
      <w:pPr>
        <w:snapToGrid w:val="0"/>
        <w:spacing w:line="360" w:lineRule="auto"/>
        <w:ind w:firstLine="480" w:firstLineChars="200"/>
        <w:rPr>
          <w:rFonts w:hint="eastAsia" w:ascii="宋体" w:hAnsi="宋体" w:cs="宋体"/>
          <w:bCs/>
          <w:color w:val="auto"/>
          <w:kern w:val="0"/>
          <w:sz w:val="24"/>
        </w:rPr>
      </w:pPr>
      <w:r>
        <w:rPr>
          <w:rFonts w:hint="eastAsia" w:ascii="宋体" w:hAnsi="宋体" w:cs="宋体"/>
          <w:bCs/>
          <w:color w:val="auto"/>
          <w:kern w:val="0"/>
          <w:sz w:val="24"/>
        </w:rPr>
        <w:t>被投诉人1：</w:t>
      </w:r>
    </w:p>
    <w:p w14:paraId="3B5C7EA8">
      <w:pPr>
        <w:snapToGrid w:val="0"/>
        <w:spacing w:line="360" w:lineRule="auto"/>
        <w:ind w:firstLine="480" w:firstLineChars="200"/>
        <w:rPr>
          <w:rFonts w:hint="eastAsia" w:ascii="宋体" w:hAnsi="宋体" w:cs="宋体"/>
          <w:bCs/>
          <w:color w:val="auto"/>
          <w:kern w:val="0"/>
          <w:sz w:val="24"/>
          <w:u w:val="single"/>
        </w:rPr>
      </w:pPr>
      <w:r>
        <w:rPr>
          <w:rFonts w:hint="eastAsia" w:ascii="宋体" w:hAnsi="宋体" w:cs="宋体"/>
          <w:bCs/>
          <w:color w:val="auto"/>
          <w:kern w:val="0"/>
          <w:sz w:val="24"/>
        </w:rPr>
        <w:t>地址：</w:t>
      </w:r>
    </w:p>
    <w:p w14:paraId="444724FA">
      <w:pPr>
        <w:snapToGrid w:val="0"/>
        <w:spacing w:line="360" w:lineRule="auto"/>
        <w:ind w:firstLine="480" w:firstLineChars="200"/>
        <w:rPr>
          <w:rFonts w:hint="eastAsia" w:ascii="宋体" w:hAnsi="宋体" w:cs="宋体"/>
          <w:bCs/>
          <w:color w:val="auto"/>
          <w:kern w:val="0"/>
          <w:sz w:val="24"/>
        </w:rPr>
      </w:pPr>
      <w:r>
        <w:rPr>
          <w:rFonts w:hint="eastAsia" w:ascii="宋体" w:hAnsi="宋体" w:cs="宋体"/>
          <w:bCs/>
          <w:color w:val="auto"/>
          <w:kern w:val="0"/>
          <w:sz w:val="24"/>
        </w:rPr>
        <w:t>邮编：</w:t>
      </w:r>
    </w:p>
    <w:p w14:paraId="5BA21542">
      <w:pPr>
        <w:snapToGrid w:val="0"/>
        <w:spacing w:line="360" w:lineRule="auto"/>
        <w:ind w:firstLine="480" w:firstLineChars="200"/>
        <w:rPr>
          <w:rFonts w:hint="eastAsia" w:ascii="宋体" w:hAnsi="宋体" w:cs="宋体"/>
          <w:bCs/>
          <w:color w:val="auto"/>
          <w:kern w:val="0"/>
          <w:sz w:val="24"/>
          <w:u w:val="single"/>
        </w:rPr>
      </w:pPr>
      <w:r>
        <w:rPr>
          <w:rFonts w:hint="eastAsia" w:ascii="宋体" w:hAnsi="宋体" w:cs="宋体"/>
          <w:bCs/>
          <w:color w:val="auto"/>
          <w:kern w:val="0"/>
          <w:sz w:val="24"/>
        </w:rPr>
        <w:t>联系人：联系电话：</w:t>
      </w:r>
    </w:p>
    <w:p w14:paraId="4E4E8262">
      <w:pPr>
        <w:snapToGrid w:val="0"/>
        <w:spacing w:line="360" w:lineRule="auto"/>
        <w:ind w:firstLine="480" w:firstLineChars="200"/>
        <w:rPr>
          <w:rFonts w:hint="eastAsia" w:ascii="宋体" w:hAnsi="宋体" w:cs="宋体"/>
          <w:bCs/>
          <w:color w:val="auto"/>
          <w:kern w:val="0"/>
          <w:sz w:val="24"/>
        </w:rPr>
      </w:pPr>
      <w:r>
        <w:rPr>
          <w:rFonts w:hint="eastAsia" w:ascii="宋体" w:hAnsi="宋体" w:cs="宋体"/>
          <w:bCs/>
          <w:color w:val="auto"/>
          <w:kern w:val="0"/>
          <w:sz w:val="24"/>
        </w:rPr>
        <w:t>被投诉人2：</w:t>
      </w:r>
    </w:p>
    <w:p w14:paraId="2EC9B992">
      <w:pPr>
        <w:snapToGrid w:val="0"/>
        <w:spacing w:line="360" w:lineRule="auto"/>
        <w:ind w:firstLine="480" w:firstLineChars="200"/>
        <w:rPr>
          <w:rFonts w:hint="eastAsia" w:ascii="宋体" w:hAnsi="宋体" w:cs="宋体"/>
          <w:bCs/>
          <w:color w:val="auto"/>
          <w:kern w:val="0"/>
          <w:sz w:val="24"/>
        </w:rPr>
      </w:pPr>
      <w:r>
        <w:rPr>
          <w:rFonts w:hint="eastAsia" w:ascii="宋体" w:hAnsi="宋体" w:cs="宋体"/>
          <w:bCs/>
          <w:color w:val="auto"/>
          <w:kern w:val="0"/>
          <w:sz w:val="24"/>
        </w:rPr>
        <w:t>……</w:t>
      </w:r>
    </w:p>
    <w:p w14:paraId="44F590A3">
      <w:pPr>
        <w:snapToGrid w:val="0"/>
        <w:spacing w:line="360" w:lineRule="auto"/>
        <w:ind w:firstLine="480" w:firstLineChars="200"/>
        <w:rPr>
          <w:rFonts w:hint="eastAsia" w:ascii="宋体" w:hAnsi="宋体" w:cs="宋体"/>
          <w:bCs/>
          <w:color w:val="auto"/>
          <w:kern w:val="0"/>
          <w:sz w:val="24"/>
          <w:u w:val="single"/>
        </w:rPr>
      </w:pPr>
      <w:r>
        <w:rPr>
          <w:rFonts w:hint="eastAsia" w:ascii="宋体" w:hAnsi="宋体" w:cs="宋体"/>
          <w:bCs/>
          <w:color w:val="auto"/>
          <w:kern w:val="0"/>
          <w:sz w:val="24"/>
        </w:rPr>
        <w:t>相关供应商：</w:t>
      </w:r>
    </w:p>
    <w:p w14:paraId="4D3BF423">
      <w:pPr>
        <w:snapToGrid w:val="0"/>
        <w:spacing w:line="360" w:lineRule="auto"/>
        <w:ind w:firstLine="480" w:firstLineChars="200"/>
        <w:rPr>
          <w:rFonts w:hint="eastAsia" w:ascii="宋体" w:hAnsi="宋体" w:cs="宋体"/>
          <w:bCs/>
          <w:color w:val="auto"/>
          <w:kern w:val="0"/>
          <w:sz w:val="24"/>
          <w:u w:val="single"/>
        </w:rPr>
      </w:pPr>
      <w:r>
        <w:rPr>
          <w:rFonts w:hint="eastAsia" w:ascii="宋体" w:hAnsi="宋体" w:cs="宋体"/>
          <w:bCs/>
          <w:color w:val="auto"/>
          <w:kern w:val="0"/>
          <w:sz w:val="24"/>
        </w:rPr>
        <w:t>地址：邮编：</w:t>
      </w:r>
    </w:p>
    <w:p w14:paraId="10C7D403">
      <w:pPr>
        <w:snapToGrid w:val="0"/>
        <w:spacing w:line="360" w:lineRule="auto"/>
        <w:ind w:firstLine="480" w:firstLineChars="200"/>
        <w:rPr>
          <w:rFonts w:hint="eastAsia" w:ascii="宋体" w:hAnsi="宋体" w:cs="宋体"/>
          <w:bCs/>
          <w:color w:val="auto"/>
          <w:kern w:val="0"/>
          <w:sz w:val="24"/>
        </w:rPr>
      </w:pPr>
      <w:r>
        <w:rPr>
          <w:rFonts w:hint="eastAsia" w:ascii="宋体" w:hAnsi="宋体" w:cs="宋体"/>
          <w:bCs/>
          <w:color w:val="auto"/>
          <w:kern w:val="0"/>
          <w:sz w:val="24"/>
        </w:rPr>
        <w:t>联系人：联系电话：</w:t>
      </w:r>
    </w:p>
    <w:p w14:paraId="4D029B71">
      <w:pPr>
        <w:snapToGrid w:val="0"/>
        <w:spacing w:line="360" w:lineRule="auto"/>
        <w:ind w:firstLine="482" w:firstLineChars="200"/>
        <w:rPr>
          <w:rFonts w:hint="eastAsia" w:ascii="宋体" w:hAnsi="宋体" w:cs="宋体"/>
          <w:b/>
          <w:bCs/>
          <w:color w:val="auto"/>
          <w:kern w:val="0"/>
          <w:sz w:val="24"/>
        </w:rPr>
      </w:pPr>
      <w:r>
        <w:rPr>
          <w:rFonts w:hint="eastAsia" w:ascii="宋体" w:hAnsi="宋体" w:cs="宋体"/>
          <w:b/>
          <w:bCs/>
          <w:color w:val="auto"/>
          <w:kern w:val="0"/>
          <w:sz w:val="24"/>
        </w:rPr>
        <w:t>二、投诉项目基本情况：</w:t>
      </w:r>
    </w:p>
    <w:p w14:paraId="6FCFB03C">
      <w:pPr>
        <w:spacing w:line="360" w:lineRule="auto"/>
        <w:ind w:left="25" w:leftChars="12" w:firstLine="472" w:firstLineChars="197"/>
        <w:rPr>
          <w:rFonts w:hint="eastAsia" w:ascii="宋体" w:hAnsi="宋体" w:cs="宋体"/>
          <w:color w:val="auto"/>
          <w:kern w:val="0"/>
          <w:sz w:val="24"/>
        </w:rPr>
      </w:pPr>
      <w:r>
        <w:rPr>
          <w:rFonts w:hint="eastAsia" w:ascii="宋体" w:hAnsi="宋体" w:cs="宋体"/>
          <w:bCs/>
          <w:color w:val="auto"/>
          <w:kern w:val="0"/>
          <w:sz w:val="24"/>
        </w:rPr>
        <w:t>采购</w:t>
      </w:r>
      <w:r>
        <w:rPr>
          <w:rFonts w:hint="eastAsia" w:ascii="宋体" w:hAnsi="宋体" w:cs="宋体"/>
          <w:color w:val="auto"/>
          <w:kern w:val="0"/>
          <w:sz w:val="24"/>
        </w:rPr>
        <w:t>项目的名称：</w:t>
      </w:r>
    </w:p>
    <w:p w14:paraId="1F2EFB04">
      <w:pPr>
        <w:spacing w:line="360" w:lineRule="auto"/>
        <w:ind w:left="25" w:leftChars="12" w:firstLine="472" w:firstLineChars="197"/>
        <w:rPr>
          <w:rFonts w:hint="eastAsia" w:ascii="宋体" w:hAnsi="宋体" w:cs="宋体"/>
          <w:color w:val="auto"/>
          <w:kern w:val="0"/>
          <w:sz w:val="24"/>
        </w:rPr>
      </w:pPr>
      <w:r>
        <w:rPr>
          <w:rFonts w:hint="eastAsia" w:ascii="宋体" w:hAnsi="宋体" w:cs="宋体"/>
          <w:bCs/>
          <w:color w:val="auto"/>
          <w:kern w:val="0"/>
          <w:sz w:val="24"/>
        </w:rPr>
        <w:t>采购</w:t>
      </w:r>
      <w:r>
        <w:rPr>
          <w:rFonts w:hint="eastAsia" w:ascii="宋体" w:hAnsi="宋体" w:cs="宋体"/>
          <w:color w:val="auto"/>
          <w:kern w:val="0"/>
          <w:sz w:val="24"/>
        </w:rPr>
        <w:t>项目的编号：</w:t>
      </w:r>
    </w:p>
    <w:p w14:paraId="28D581CD">
      <w:pPr>
        <w:spacing w:line="360" w:lineRule="auto"/>
        <w:ind w:left="25" w:leftChars="12" w:firstLine="472" w:firstLineChars="197"/>
        <w:rPr>
          <w:rFonts w:hint="eastAsia" w:ascii="宋体" w:hAnsi="宋体" w:cs="宋体"/>
          <w:bCs/>
          <w:color w:val="auto"/>
          <w:kern w:val="0"/>
          <w:sz w:val="24"/>
          <w:u w:val="single"/>
        </w:rPr>
      </w:pPr>
      <w:r>
        <w:rPr>
          <w:rFonts w:hint="eastAsia" w:ascii="宋体" w:hAnsi="宋体" w:cs="宋体"/>
          <w:color w:val="auto"/>
          <w:kern w:val="0"/>
          <w:sz w:val="24"/>
        </w:rPr>
        <w:t>采购人名称：</w:t>
      </w:r>
    </w:p>
    <w:p w14:paraId="7B35C254">
      <w:pPr>
        <w:spacing w:line="360" w:lineRule="auto"/>
        <w:ind w:left="25" w:leftChars="12" w:firstLine="472" w:firstLineChars="197"/>
        <w:rPr>
          <w:rFonts w:hint="eastAsia" w:ascii="宋体" w:hAnsi="宋体" w:cs="宋体"/>
          <w:bCs/>
          <w:color w:val="auto"/>
          <w:kern w:val="0"/>
          <w:sz w:val="24"/>
          <w:u w:val="single"/>
        </w:rPr>
      </w:pPr>
      <w:r>
        <w:rPr>
          <w:rFonts w:hint="eastAsia" w:ascii="宋体" w:hAnsi="宋体" w:cs="宋体"/>
          <w:color w:val="auto"/>
          <w:kern w:val="0"/>
          <w:sz w:val="24"/>
        </w:rPr>
        <w:t>代理机构名称：</w:t>
      </w:r>
    </w:p>
    <w:p w14:paraId="3BB97A63">
      <w:pPr>
        <w:spacing w:line="360" w:lineRule="auto"/>
        <w:ind w:left="25" w:leftChars="12" w:firstLine="472" w:firstLineChars="197"/>
        <w:rPr>
          <w:rFonts w:hint="eastAsia" w:ascii="宋体" w:hAnsi="宋体" w:cs="宋体"/>
          <w:bCs/>
          <w:color w:val="auto"/>
          <w:kern w:val="0"/>
          <w:sz w:val="24"/>
          <w:u w:val="single"/>
        </w:rPr>
      </w:pPr>
      <w:r>
        <w:rPr>
          <w:rFonts w:hint="eastAsia" w:ascii="宋体" w:hAnsi="宋体" w:cs="宋体"/>
          <w:bCs/>
          <w:color w:val="auto"/>
          <w:kern w:val="0"/>
          <w:sz w:val="24"/>
        </w:rPr>
        <w:t>采购文件公告：</w:t>
      </w:r>
      <w:r>
        <w:rPr>
          <w:rFonts w:hint="eastAsia" w:ascii="宋体" w:hAnsi="宋体" w:cs="宋体"/>
          <w:bCs/>
          <w:color w:val="auto"/>
          <w:kern w:val="0"/>
          <w:sz w:val="24"/>
          <w:u w:val="single"/>
        </w:rPr>
        <w:t>是/否</w:t>
      </w:r>
      <w:r>
        <w:rPr>
          <w:rFonts w:hint="eastAsia" w:ascii="宋体" w:hAnsi="宋体" w:cs="宋体"/>
          <w:bCs/>
          <w:color w:val="auto"/>
          <w:kern w:val="0"/>
          <w:sz w:val="24"/>
        </w:rPr>
        <w:t>公告期限：</w:t>
      </w:r>
    </w:p>
    <w:p w14:paraId="524246D3">
      <w:pPr>
        <w:spacing w:line="360" w:lineRule="auto"/>
        <w:ind w:left="25" w:leftChars="12" w:firstLine="472" w:firstLineChars="197"/>
        <w:rPr>
          <w:rFonts w:hint="eastAsia" w:ascii="宋体" w:hAnsi="宋体" w:cs="宋体"/>
          <w:b/>
          <w:color w:val="auto"/>
          <w:kern w:val="0"/>
          <w:sz w:val="24"/>
        </w:rPr>
      </w:pPr>
      <w:r>
        <w:rPr>
          <w:rFonts w:hint="eastAsia" w:ascii="宋体" w:hAnsi="宋体" w:cs="宋体"/>
          <w:bCs/>
          <w:color w:val="auto"/>
          <w:kern w:val="0"/>
          <w:sz w:val="24"/>
        </w:rPr>
        <w:t>采购结果公告：</w:t>
      </w:r>
      <w:r>
        <w:rPr>
          <w:rFonts w:hint="eastAsia" w:ascii="宋体" w:hAnsi="宋体" w:cs="宋体"/>
          <w:bCs/>
          <w:color w:val="auto"/>
          <w:kern w:val="0"/>
          <w:sz w:val="24"/>
          <w:u w:val="single"/>
        </w:rPr>
        <w:t>是/否</w:t>
      </w:r>
      <w:r>
        <w:rPr>
          <w:rFonts w:hint="eastAsia" w:ascii="宋体" w:hAnsi="宋体" w:cs="宋体"/>
          <w:bCs/>
          <w:color w:val="auto"/>
          <w:kern w:val="0"/>
          <w:sz w:val="24"/>
        </w:rPr>
        <w:t>公告期限：</w:t>
      </w:r>
    </w:p>
    <w:p w14:paraId="3B120412">
      <w:pPr>
        <w:spacing w:line="360" w:lineRule="auto"/>
        <w:ind w:left="25" w:leftChars="12" w:firstLine="472" w:firstLineChars="196"/>
        <w:rPr>
          <w:rFonts w:hint="eastAsia" w:ascii="宋体" w:hAnsi="宋体" w:cs="宋体"/>
          <w:b/>
          <w:color w:val="auto"/>
          <w:kern w:val="0"/>
          <w:sz w:val="24"/>
        </w:rPr>
      </w:pPr>
      <w:r>
        <w:rPr>
          <w:rFonts w:hint="eastAsia" w:ascii="宋体" w:hAnsi="宋体" w:cs="宋体"/>
          <w:b/>
          <w:color w:val="auto"/>
          <w:kern w:val="0"/>
          <w:sz w:val="24"/>
        </w:rPr>
        <w:t>三、质疑基本情况</w:t>
      </w:r>
    </w:p>
    <w:p w14:paraId="120E9883">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投诉人于年月日，向提出质疑，质疑事项为：</w:t>
      </w:r>
    </w:p>
    <w:p w14:paraId="3EEF3061">
      <w:pPr>
        <w:spacing w:line="360" w:lineRule="auto"/>
        <w:ind w:firstLine="241"/>
        <w:rPr>
          <w:rFonts w:hint="eastAsia" w:ascii="宋体" w:hAnsi="宋体" w:cs="宋体"/>
          <w:bCs/>
          <w:color w:val="auto"/>
          <w:kern w:val="0"/>
          <w:sz w:val="24"/>
          <w:u w:val="single"/>
        </w:rPr>
      </w:pPr>
    </w:p>
    <w:p w14:paraId="366D4561">
      <w:pPr>
        <w:spacing w:line="360" w:lineRule="auto"/>
        <w:ind w:firstLine="241"/>
        <w:rPr>
          <w:rFonts w:hint="eastAsia" w:ascii="宋体" w:hAnsi="宋体" w:cs="宋体"/>
          <w:bCs/>
          <w:color w:val="auto"/>
          <w:kern w:val="0"/>
          <w:sz w:val="24"/>
          <w:u w:val="single"/>
        </w:rPr>
      </w:pPr>
    </w:p>
    <w:p w14:paraId="72E9141B">
      <w:pPr>
        <w:spacing w:line="360" w:lineRule="auto"/>
        <w:ind w:firstLine="480" w:firstLineChars="200"/>
        <w:rPr>
          <w:rFonts w:hint="eastAsia" w:ascii="宋体" w:hAnsi="宋体" w:cs="宋体"/>
          <w:color w:val="auto"/>
          <w:kern w:val="0"/>
          <w:sz w:val="24"/>
        </w:rPr>
      </w:pPr>
      <w:r>
        <w:rPr>
          <w:rFonts w:hint="eastAsia" w:ascii="宋体" w:hAnsi="宋体" w:cs="宋体"/>
          <w:bCs/>
          <w:color w:val="auto"/>
          <w:kern w:val="0"/>
          <w:sz w:val="24"/>
          <w:u w:val="single"/>
        </w:rPr>
        <w:t>采购人/采购代理机构</w:t>
      </w:r>
      <w:r>
        <w:rPr>
          <w:rFonts w:hint="eastAsia" w:ascii="宋体" w:hAnsi="宋体" w:cs="宋体"/>
          <w:bCs/>
          <w:color w:val="auto"/>
          <w:kern w:val="0"/>
          <w:sz w:val="24"/>
        </w:rPr>
        <w:t>于</w:t>
      </w:r>
      <w:r>
        <w:rPr>
          <w:rFonts w:hint="eastAsia" w:ascii="宋体" w:hAnsi="宋体" w:cs="宋体"/>
          <w:color w:val="auto"/>
          <w:kern w:val="0"/>
          <w:sz w:val="24"/>
        </w:rPr>
        <w:t>年月日，</w:t>
      </w:r>
      <w:r>
        <w:rPr>
          <w:rFonts w:hint="eastAsia" w:ascii="宋体" w:hAnsi="宋体" w:cs="宋体"/>
          <w:bCs/>
          <w:color w:val="auto"/>
          <w:kern w:val="0"/>
          <w:sz w:val="24"/>
        </w:rPr>
        <w:t>就质疑事项作出了答复/没有在法定期限内作出答复。</w:t>
      </w:r>
    </w:p>
    <w:p w14:paraId="70A2DAE8">
      <w:pPr>
        <w:spacing w:line="360" w:lineRule="auto"/>
        <w:ind w:left="25" w:leftChars="12" w:firstLine="472" w:firstLineChars="196"/>
        <w:rPr>
          <w:rFonts w:hint="eastAsia" w:ascii="宋体" w:hAnsi="宋体" w:cs="宋体"/>
          <w:b/>
          <w:color w:val="auto"/>
          <w:kern w:val="0"/>
          <w:sz w:val="24"/>
        </w:rPr>
      </w:pPr>
      <w:r>
        <w:rPr>
          <w:rFonts w:hint="eastAsia" w:ascii="宋体" w:hAnsi="宋体" w:cs="宋体"/>
          <w:b/>
          <w:color w:val="auto"/>
          <w:kern w:val="0"/>
          <w:sz w:val="24"/>
        </w:rPr>
        <w:t>四、投诉事项具体内容</w:t>
      </w:r>
    </w:p>
    <w:p w14:paraId="0F934454">
      <w:pPr>
        <w:spacing w:line="360" w:lineRule="auto"/>
        <w:ind w:left="25" w:leftChars="12" w:firstLine="472" w:firstLineChars="197"/>
        <w:rPr>
          <w:rFonts w:hint="eastAsia" w:ascii="宋体" w:hAnsi="宋体" w:cs="宋体"/>
          <w:bCs/>
          <w:color w:val="auto"/>
          <w:kern w:val="0"/>
          <w:sz w:val="24"/>
          <w:u w:val="single"/>
        </w:rPr>
      </w:pPr>
      <w:r>
        <w:rPr>
          <w:rFonts w:hint="eastAsia" w:ascii="宋体" w:hAnsi="宋体" w:cs="宋体"/>
          <w:color w:val="auto"/>
          <w:kern w:val="0"/>
          <w:sz w:val="24"/>
        </w:rPr>
        <w:t>投诉事项1：</w:t>
      </w:r>
    </w:p>
    <w:p w14:paraId="544CD5CC">
      <w:pPr>
        <w:spacing w:line="360" w:lineRule="auto"/>
        <w:ind w:firstLine="480" w:firstLineChars="200"/>
        <w:rPr>
          <w:rFonts w:hint="eastAsia" w:ascii="宋体" w:hAnsi="宋体" w:cs="宋体"/>
          <w:bCs/>
          <w:color w:val="auto"/>
          <w:kern w:val="0"/>
          <w:sz w:val="24"/>
          <w:u w:val="single"/>
        </w:rPr>
      </w:pPr>
      <w:r>
        <w:rPr>
          <w:rFonts w:hint="eastAsia" w:ascii="宋体" w:hAnsi="宋体" w:cs="宋体"/>
          <w:bCs/>
          <w:color w:val="auto"/>
          <w:kern w:val="0"/>
          <w:sz w:val="24"/>
        </w:rPr>
        <w:t>事实依据：</w:t>
      </w:r>
    </w:p>
    <w:p w14:paraId="3C66AC68">
      <w:pPr>
        <w:spacing w:line="360" w:lineRule="auto"/>
        <w:ind w:left="25" w:leftChars="12" w:firstLine="472" w:firstLineChars="197"/>
        <w:rPr>
          <w:rFonts w:hint="eastAsia" w:ascii="宋体" w:hAnsi="宋体" w:cs="宋体"/>
          <w:color w:val="auto"/>
          <w:kern w:val="0"/>
          <w:sz w:val="24"/>
        </w:rPr>
      </w:pPr>
    </w:p>
    <w:p w14:paraId="0C40F1C5">
      <w:pPr>
        <w:spacing w:line="360" w:lineRule="auto"/>
        <w:ind w:firstLine="480" w:firstLineChars="200"/>
        <w:rPr>
          <w:rFonts w:hint="eastAsia" w:ascii="宋体" w:hAnsi="宋体" w:cs="宋体"/>
          <w:bCs/>
          <w:color w:val="auto"/>
          <w:kern w:val="0"/>
          <w:sz w:val="24"/>
          <w:u w:val="single"/>
        </w:rPr>
      </w:pPr>
      <w:r>
        <w:rPr>
          <w:rFonts w:hint="eastAsia" w:ascii="宋体" w:hAnsi="宋体" w:cs="宋体"/>
          <w:bCs/>
          <w:color w:val="auto"/>
          <w:kern w:val="0"/>
          <w:sz w:val="24"/>
        </w:rPr>
        <w:t>法律依据：</w:t>
      </w:r>
    </w:p>
    <w:p w14:paraId="248D1666">
      <w:pPr>
        <w:spacing w:line="360" w:lineRule="auto"/>
        <w:ind w:left="25" w:leftChars="12" w:firstLine="352" w:firstLineChars="147"/>
        <w:rPr>
          <w:rFonts w:hint="eastAsia" w:ascii="宋体" w:hAnsi="宋体" w:cs="宋体"/>
          <w:bCs/>
          <w:color w:val="auto"/>
          <w:kern w:val="0"/>
          <w:sz w:val="24"/>
          <w:u w:val="single"/>
        </w:rPr>
      </w:pPr>
    </w:p>
    <w:p w14:paraId="2B3E5FF3">
      <w:pPr>
        <w:spacing w:line="360" w:lineRule="auto"/>
        <w:ind w:left="25" w:leftChars="12" w:firstLine="472" w:firstLineChars="197"/>
        <w:rPr>
          <w:rFonts w:hint="eastAsia" w:ascii="宋体" w:hAnsi="宋体" w:cs="宋体"/>
          <w:bCs/>
          <w:color w:val="auto"/>
          <w:kern w:val="0"/>
          <w:sz w:val="24"/>
        </w:rPr>
      </w:pPr>
      <w:r>
        <w:rPr>
          <w:rFonts w:hint="eastAsia" w:ascii="宋体" w:hAnsi="宋体" w:cs="宋体"/>
          <w:color w:val="auto"/>
          <w:kern w:val="0"/>
          <w:sz w:val="24"/>
        </w:rPr>
        <w:t xml:space="preserve">投诉事项2  </w:t>
      </w:r>
    </w:p>
    <w:p w14:paraId="4C7849AC">
      <w:pPr>
        <w:spacing w:line="360" w:lineRule="auto"/>
        <w:ind w:left="25" w:leftChars="12" w:firstLine="472" w:firstLineChars="197"/>
        <w:rPr>
          <w:rFonts w:hint="eastAsia" w:ascii="宋体" w:hAnsi="宋体" w:cs="宋体"/>
          <w:bCs/>
          <w:color w:val="auto"/>
          <w:kern w:val="0"/>
          <w:sz w:val="24"/>
        </w:rPr>
      </w:pPr>
      <w:r>
        <w:rPr>
          <w:rFonts w:hint="eastAsia" w:ascii="宋体" w:hAnsi="宋体" w:cs="宋体"/>
          <w:bCs/>
          <w:color w:val="auto"/>
          <w:kern w:val="0"/>
          <w:sz w:val="24"/>
        </w:rPr>
        <w:t>……</w:t>
      </w:r>
    </w:p>
    <w:p w14:paraId="334254D6">
      <w:pPr>
        <w:spacing w:line="360" w:lineRule="auto"/>
        <w:ind w:left="25" w:leftChars="12" w:firstLine="472" w:firstLineChars="196"/>
        <w:rPr>
          <w:rFonts w:hint="eastAsia" w:ascii="宋体" w:hAnsi="宋体" w:cs="宋体"/>
          <w:b/>
          <w:color w:val="auto"/>
          <w:kern w:val="0"/>
          <w:sz w:val="24"/>
        </w:rPr>
      </w:pPr>
      <w:r>
        <w:rPr>
          <w:rFonts w:hint="eastAsia" w:ascii="宋体" w:hAnsi="宋体" w:cs="宋体"/>
          <w:b/>
          <w:color w:val="auto"/>
          <w:kern w:val="0"/>
          <w:sz w:val="24"/>
        </w:rPr>
        <w:t>五、与投诉事项相关的投诉请求：</w:t>
      </w:r>
    </w:p>
    <w:p w14:paraId="530C68B6">
      <w:pPr>
        <w:spacing w:line="360" w:lineRule="auto"/>
        <w:ind w:left="25" w:leftChars="12" w:firstLine="472" w:firstLineChars="197"/>
        <w:rPr>
          <w:rFonts w:hint="eastAsia" w:ascii="宋体" w:hAnsi="宋体" w:cs="宋体"/>
          <w:color w:val="auto"/>
          <w:kern w:val="0"/>
          <w:sz w:val="24"/>
        </w:rPr>
      </w:pPr>
      <w:r>
        <w:rPr>
          <w:rFonts w:hint="eastAsia" w:ascii="宋体" w:hAnsi="宋体" w:cs="宋体"/>
          <w:color w:val="auto"/>
          <w:kern w:val="0"/>
          <w:sz w:val="24"/>
        </w:rPr>
        <w:t>请求：</w:t>
      </w:r>
    </w:p>
    <w:p w14:paraId="2972574F">
      <w:pPr>
        <w:spacing w:line="360" w:lineRule="auto"/>
        <w:ind w:left="25" w:leftChars="12" w:firstLine="352" w:firstLineChars="147"/>
        <w:rPr>
          <w:rFonts w:hint="eastAsia" w:ascii="宋体" w:hAnsi="宋体" w:cs="宋体"/>
          <w:color w:val="auto"/>
          <w:kern w:val="0"/>
          <w:sz w:val="24"/>
        </w:rPr>
      </w:pPr>
    </w:p>
    <w:p w14:paraId="4D22479C">
      <w:pPr>
        <w:spacing w:line="360" w:lineRule="auto"/>
        <w:ind w:left="25" w:leftChars="12" w:firstLine="472" w:firstLineChars="197"/>
        <w:rPr>
          <w:rFonts w:hint="eastAsia" w:ascii="宋体" w:hAnsi="宋体" w:cs="宋体"/>
          <w:color w:val="auto"/>
          <w:kern w:val="0"/>
          <w:sz w:val="24"/>
        </w:rPr>
      </w:pPr>
      <w:r>
        <w:rPr>
          <w:rFonts w:hint="eastAsia" w:ascii="宋体" w:hAnsi="宋体" w:cs="宋体"/>
          <w:color w:val="auto"/>
          <w:kern w:val="0"/>
          <w:sz w:val="24"/>
        </w:rPr>
        <w:t>签字（签章）：                                       公章：</w:t>
      </w:r>
    </w:p>
    <w:p w14:paraId="6529656B">
      <w:pPr>
        <w:spacing w:line="360" w:lineRule="auto"/>
        <w:ind w:left="25" w:leftChars="12" w:firstLine="352" w:firstLineChars="147"/>
        <w:rPr>
          <w:rFonts w:hint="eastAsia" w:ascii="宋体" w:hAnsi="宋体" w:cs="宋体"/>
          <w:color w:val="auto"/>
          <w:kern w:val="0"/>
          <w:sz w:val="24"/>
        </w:rPr>
      </w:pPr>
    </w:p>
    <w:p w14:paraId="2A704B4D">
      <w:pPr>
        <w:spacing w:line="360" w:lineRule="auto"/>
        <w:ind w:left="25" w:leftChars="12" w:firstLine="472" w:firstLineChars="197"/>
        <w:rPr>
          <w:rFonts w:hint="eastAsia" w:ascii="宋体" w:hAnsi="宋体" w:cs="宋体"/>
          <w:color w:val="auto"/>
          <w:kern w:val="0"/>
          <w:sz w:val="24"/>
        </w:rPr>
      </w:pPr>
      <w:r>
        <w:rPr>
          <w:rFonts w:hint="eastAsia" w:ascii="宋体" w:hAnsi="宋体" w:cs="宋体"/>
          <w:color w:val="auto"/>
          <w:kern w:val="0"/>
          <w:sz w:val="24"/>
        </w:rPr>
        <w:t>日期：</w:t>
      </w:r>
    </w:p>
    <w:p w14:paraId="02B3CC5D">
      <w:pPr>
        <w:spacing w:line="360" w:lineRule="auto"/>
        <w:ind w:left="25" w:leftChars="12" w:firstLine="472" w:firstLineChars="197"/>
        <w:rPr>
          <w:rFonts w:hint="eastAsia" w:ascii="宋体" w:hAnsi="宋体" w:cs="宋体"/>
          <w:color w:val="auto"/>
          <w:kern w:val="0"/>
          <w:sz w:val="24"/>
        </w:rPr>
      </w:pPr>
    </w:p>
    <w:p w14:paraId="7F665EAE">
      <w:pPr>
        <w:snapToGrid w:val="0"/>
        <w:spacing w:line="360" w:lineRule="auto"/>
        <w:rPr>
          <w:rFonts w:hint="eastAsia" w:ascii="宋体" w:hAnsi="宋体" w:cs="宋体"/>
          <w:b/>
          <w:color w:val="auto"/>
          <w:kern w:val="0"/>
          <w:sz w:val="24"/>
        </w:rPr>
      </w:pPr>
    </w:p>
    <w:p w14:paraId="283C4CD0">
      <w:pPr>
        <w:snapToGrid w:val="0"/>
        <w:spacing w:line="360" w:lineRule="auto"/>
        <w:rPr>
          <w:rFonts w:hint="eastAsia" w:ascii="宋体" w:hAnsi="宋体" w:cs="宋体"/>
          <w:b/>
          <w:color w:val="auto"/>
          <w:kern w:val="0"/>
          <w:sz w:val="24"/>
        </w:rPr>
      </w:pPr>
      <w:r>
        <w:rPr>
          <w:rFonts w:hint="eastAsia" w:ascii="宋体" w:hAnsi="宋体" w:cs="宋体"/>
          <w:b/>
          <w:color w:val="auto"/>
          <w:kern w:val="0"/>
          <w:sz w:val="24"/>
        </w:rPr>
        <w:t>说明：</w:t>
      </w:r>
    </w:p>
    <w:p w14:paraId="2A529A43">
      <w:pPr>
        <w:spacing w:line="360" w:lineRule="auto"/>
        <w:ind w:left="25" w:leftChars="12" w:firstLine="354" w:firstLineChars="147"/>
        <w:rPr>
          <w:rFonts w:hint="eastAsia" w:ascii="宋体" w:hAnsi="宋体" w:cs="宋体"/>
          <w:b/>
          <w:bCs/>
          <w:color w:val="auto"/>
          <w:kern w:val="0"/>
          <w:sz w:val="24"/>
        </w:rPr>
      </w:pPr>
      <w:r>
        <w:rPr>
          <w:rFonts w:hint="eastAsia" w:ascii="宋体" w:hAnsi="宋体" w:cs="宋体"/>
          <w:b/>
          <w:color w:val="auto"/>
          <w:kern w:val="0"/>
          <w:sz w:val="24"/>
        </w:rPr>
        <w:t>1.投诉人提起投诉时，应当提交投诉书和必要的证明材料，并按照被投诉人和与投诉事项有关的供应商数量提供投诉书副本</w:t>
      </w:r>
      <w:r>
        <w:rPr>
          <w:rFonts w:hint="eastAsia" w:ascii="宋体" w:hAnsi="宋体" w:cs="宋体"/>
          <w:b/>
          <w:bCs/>
          <w:color w:val="auto"/>
          <w:kern w:val="0"/>
          <w:sz w:val="24"/>
        </w:rPr>
        <w:t>。</w:t>
      </w:r>
    </w:p>
    <w:p w14:paraId="4E94D600">
      <w:pPr>
        <w:spacing w:line="360" w:lineRule="auto"/>
        <w:ind w:left="25" w:leftChars="12" w:firstLine="354" w:firstLineChars="147"/>
        <w:rPr>
          <w:rFonts w:hint="eastAsia" w:ascii="宋体" w:hAnsi="宋体" w:cs="宋体"/>
          <w:b/>
          <w:color w:val="auto"/>
          <w:kern w:val="0"/>
          <w:sz w:val="24"/>
        </w:rPr>
      </w:pPr>
      <w:r>
        <w:rPr>
          <w:rFonts w:hint="eastAsia" w:ascii="宋体" w:hAnsi="宋体" w:cs="宋体"/>
          <w:b/>
          <w:color w:val="auto"/>
          <w:kern w:val="0"/>
          <w:sz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F7242A9">
      <w:pPr>
        <w:spacing w:line="360" w:lineRule="auto"/>
        <w:ind w:left="25" w:leftChars="12" w:firstLine="354" w:firstLineChars="147"/>
        <w:rPr>
          <w:rFonts w:hint="eastAsia" w:ascii="宋体" w:hAnsi="宋体" w:cs="宋体"/>
          <w:b/>
          <w:color w:val="auto"/>
          <w:kern w:val="0"/>
          <w:sz w:val="24"/>
        </w:rPr>
      </w:pPr>
      <w:r>
        <w:rPr>
          <w:rFonts w:hint="eastAsia" w:ascii="宋体" w:hAnsi="宋体" w:cs="宋体"/>
          <w:b/>
          <w:color w:val="auto"/>
          <w:kern w:val="0"/>
          <w:sz w:val="24"/>
        </w:rPr>
        <w:t>3.投诉书应简要列明质疑事项，质疑函、质疑答复等作为附件材料提供。</w:t>
      </w:r>
    </w:p>
    <w:p w14:paraId="607100D9">
      <w:pPr>
        <w:spacing w:line="360" w:lineRule="auto"/>
        <w:ind w:left="25" w:leftChars="12" w:firstLine="354" w:firstLineChars="147"/>
        <w:rPr>
          <w:rFonts w:hint="eastAsia" w:ascii="宋体" w:hAnsi="宋体" w:cs="宋体"/>
          <w:b/>
          <w:color w:val="auto"/>
          <w:kern w:val="0"/>
          <w:sz w:val="24"/>
        </w:rPr>
      </w:pPr>
      <w:r>
        <w:rPr>
          <w:rFonts w:hint="eastAsia" w:ascii="宋体" w:hAnsi="宋体" w:cs="宋体"/>
          <w:b/>
          <w:color w:val="auto"/>
          <w:kern w:val="0"/>
          <w:sz w:val="24"/>
        </w:rPr>
        <w:t>4.投诉书的投诉事项应具体、明确，并有必要的事实依据和法律依据。</w:t>
      </w:r>
    </w:p>
    <w:p w14:paraId="161AF46D">
      <w:pPr>
        <w:spacing w:line="360" w:lineRule="auto"/>
        <w:ind w:left="25" w:leftChars="12" w:firstLine="354" w:firstLineChars="147"/>
        <w:rPr>
          <w:rFonts w:hint="eastAsia" w:ascii="宋体" w:hAnsi="宋体" w:cs="宋体"/>
          <w:b/>
          <w:color w:val="auto"/>
          <w:kern w:val="0"/>
          <w:sz w:val="24"/>
        </w:rPr>
      </w:pPr>
      <w:r>
        <w:rPr>
          <w:rFonts w:hint="eastAsia" w:ascii="宋体" w:hAnsi="宋体" w:cs="宋体"/>
          <w:b/>
          <w:color w:val="auto"/>
          <w:kern w:val="0"/>
          <w:sz w:val="24"/>
        </w:rPr>
        <w:t>5.投诉书的投诉请求应与投诉事项相关。</w:t>
      </w:r>
    </w:p>
    <w:p w14:paraId="0E59BFB3">
      <w:pPr>
        <w:spacing w:line="360" w:lineRule="auto"/>
        <w:ind w:left="25" w:leftChars="12" w:firstLine="354" w:firstLineChars="147"/>
        <w:rPr>
          <w:rFonts w:hint="eastAsia" w:ascii="宋体" w:hAnsi="宋体" w:cs="宋体"/>
          <w:color w:val="auto"/>
        </w:rPr>
      </w:pPr>
      <w:r>
        <w:rPr>
          <w:rFonts w:hint="eastAsia" w:ascii="宋体" w:hAnsi="宋体" w:cs="宋体"/>
          <w:b/>
          <w:color w:val="auto"/>
          <w:kern w:val="0"/>
          <w:sz w:val="24"/>
        </w:rPr>
        <w:t>6.投诉人为法人或者其他组织的，投诉书应由法定代表人、主要负责人，或者其授权代表签字或者盖章，并加盖公章。</w:t>
      </w:r>
    </w:p>
    <w:p w14:paraId="3D2C78C0">
      <w:pPr>
        <w:rPr>
          <w:color w:val="auto"/>
        </w:rPr>
      </w:pPr>
    </w:p>
    <w:p w14:paraId="39B09745">
      <w:pPr>
        <w:rPr>
          <w:color w:val="auto"/>
        </w:rPr>
      </w:pPr>
    </w:p>
    <w:sectPr>
      <w:headerReference r:id="rId9" w:type="default"/>
      <w:footerReference r:id="rId10" w:type="default"/>
      <w:pgSz w:w="11911" w:h="16838"/>
      <w:pgMar w:top="1134" w:right="1134" w:bottom="1134" w:left="1134"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64AE04E-1CD0-4C55-98D4-EEE328BCFBC4}"/>
  </w:font>
  <w:font w:name="Courier New">
    <w:panose1 w:val="02070309020205020404"/>
    <w:charset w:val="01"/>
    <w:family w:val="modern"/>
    <w:pitch w:val="default"/>
    <w:sig w:usb0="E0002EFF" w:usb1="C0007843" w:usb2="00000009" w:usb3="00000000" w:csb0="400001FF" w:csb1="FFFF0000"/>
    <w:embedRegular r:id="rId2" w:fontKey="{9E204802-6D12-4E0E-A13C-9CF4CFDE79D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C5A85441-DBFC-46E9-87E2-0325FA7C7535}"/>
  </w:font>
  <w:font w:name="Cambria">
    <w:panose1 w:val="02040503050406030204"/>
    <w:charset w:val="00"/>
    <w:family w:val="roman"/>
    <w:pitch w:val="default"/>
    <w:sig w:usb0="E00006FF" w:usb1="420024FF" w:usb2="02000000" w:usb3="00000000" w:csb0="2000019F" w:csb1="00000000"/>
    <w:embedRegular r:id="rId4" w:fontKey="{2683CE9E-0E4F-4EC2-AAA0-732EA9145544}"/>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5" w:fontKey="{D661C621-1D0D-41F5-A71F-71B44B3353D6}"/>
  </w:font>
  <w:font w:name="DejaVu Sans">
    <w:altName w:val="Segoe Print"/>
    <w:panose1 w:val="020B0603030804020204"/>
    <w:charset w:val="00"/>
    <w:family w:val="roman"/>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方正黑体_GBK">
    <w:altName w:val="Arial Unicode MS"/>
    <w:panose1 w:val="02010600010101010101"/>
    <w:charset w:val="86"/>
    <w:family w:val="auto"/>
    <w:pitch w:val="default"/>
    <w:sig w:usb0="00000000" w:usb1="0000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6" w:fontKey="{72BD786F-8C34-405E-B396-E165B4A99271}"/>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embedRegular r:id="rId7" w:fontKey="{0288341A-1407-441A-BCD1-974AEDA277CF}"/>
  </w:font>
  <w:font w:name="微软雅黑">
    <w:panose1 w:val="020B0503020204020204"/>
    <w:charset w:val="86"/>
    <w:family w:val="auto"/>
    <w:pitch w:val="default"/>
    <w:sig w:usb0="80000287" w:usb1="2ACF3C50" w:usb2="00000016" w:usb3="00000000" w:csb0="0004001F" w:csb1="00000000"/>
    <w:embedRegular r:id="rId8" w:fontKey="{CA912E60-FBA0-469B-B768-A83BFA70329D}"/>
  </w:font>
  <w:font w:name="隶书">
    <w:panose1 w:val="02010509060101010101"/>
    <w:charset w:val="86"/>
    <w:family w:val="modern"/>
    <w:pitch w:val="default"/>
    <w:sig w:usb0="00000001" w:usb1="080E0000" w:usb2="00000000" w:usb3="00000000" w:csb0="00040000" w:csb1="00000000"/>
    <w:embedRegular r:id="rId9" w:fontKey="{CD21481D-67F2-4A13-9009-26F7323F672E}"/>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E8EE9">
    <w:pPr>
      <w:pStyle w:val="25"/>
      <w:tabs>
        <w:tab w:val="center" w:pos="4439"/>
        <w:tab w:val="clear" w:pos="4153"/>
      </w:tabs>
      <w:jc w:val="both"/>
      <w:rPr>
        <w:rFonts w:ascii="Calibri" w:hAnsi="Calibr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FC888">
    <w:pPr>
      <w:pStyle w:val="25"/>
      <w:tabs>
        <w:tab w:val="center" w:pos="4439"/>
        <w:tab w:val="clear" w:pos="4153"/>
      </w:tabs>
      <w:rPr>
        <w:rFonts w:ascii="Calibri" w:hAnsi="Calibri"/>
      </w:rPr>
    </w:pPr>
    <w:r>
      <w:rPr>
        <w:rFonts w:ascii="Calibri" w:hAnsi="Calibri"/>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368610C">
                          <w:pPr>
                            <w:rPr>
                              <w:rFonts w:ascii="Calibri" w:hAnsi="Calibri"/>
                            </w:rPr>
                          </w:pPr>
                        </w:p>
                      </w:txbxContent>
                    </wps:txbx>
                    <wps:bodyPr wrap="none" lIns="0" tIns="0" rIns="0" bIns="0" upright="1">
                      <a:spAutoFit/>
                    </wps:bodyPr>
                  </wps:wsp>
                </a:graphicData>
              </a:graphic>
            </wp:anchor>
          </w:drawing>
        </mc:Choice>
        <mc:Fallback>
          <w:pict>
            <v:shape id="文本框 51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efYcydABAACqAwAADgAAAAAAAAABACAAAAAeAQAAZHJz&#10;L2Uyb0RvYy54bWxQSwUGAAAAAAYABgBZAQAAYAUAAAAA&#10;">
              <v:fill on="f" focussize="0,0"/>
              <v:stroke on="f"/>
              <v:imagedata o:title=""/>
              <o:lock v:ext="edit" aspectratio="f"/>
              <v:textbox inset="0mm,0mm,0mm,0mm" style="mso-fit-shape-to-text:t;">
                <w:txbxContent>
                  <w:p w14:paraId="6368610C">
                    <w:pPr>
                      <w:rPr>
                        <w:rFonts w:ascii="Calibri" w:hAnsi="Calibri"/>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DA1DD">
    <w:pPr>
      <w:pStyle w:val="25"/>
      <w:tabs>
        <w:tab w:val="center" w:pos="4439"/>
        <w:tab w:val="clear" w:pos="4153"/>
      </w:tabs>
      <w:jc w:val="both"/>
      <w:rPr>
        <w:rFonts w:ascii="Calibri" w:hAnsi="Calibri"/>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1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8B3255E">
                          <w:pPr>
                            <w:pStyle w:val="25"/>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wrap="none" lIns="0" tIns="0" rIns="0" bIns="0" upright="1">
                      <a:spAutoFit/>
                    </wps:bodyPr>
                  </wps:wsp>
                </a:graphicData>
              </a:graphic>
            </wp:anchor>
          </w:drawing>
        </mc:Choice>
        <mc:Fallback>
          <w:pict>
            <v:shape id="文本框 513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6+9wdtABAACqAwAADgAAAAAAAAABACAAAAAeAQAAZHJz&#10;L2Uyb0RvYy54bWxQSwUGAAAAAAYABgBZAQAAYAUAAAAA&#10;">
              <v:fill on="f" focussize="0,0"/>
              <v:stroke on="f"/>
              <v:imagedata o:title=""/>
              <o:lock v:ext="edit" aspectratio="f"/>
              <v:textbox inset="0mm,0mm,0mm,0mm" style="mso-fit-shape-to-text:t;">
                <w:txbxContent>
                  <w:p w14:paraId="28B3255E">
                    <w:pPr>
                      <w:pStyle w:val="25"/>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6738E">
    <w:pPr>
      <w:pStyle w:val="25"/>
      <w:jc w:val="center"/>
      <w:rPr>
        <w:rFonts w:ascii="Calibri" w:hAnsi="Calibri"/>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E2A6FF4">
                          <w:pPr>
                            <w:pStyle w:val="25"/>
                          </w:pP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p>
                      </w:txbxContent>
                    </wps:txbx>
                    <wps:bodyPr wrap="none" lIns="0" tIns="0" rIns="0" bIns="0" upright="1">
                      <a:spAutoFit/>
                    </wps:bodyPr>
                  </wps:wsp>
                </a:graphicData>
              </a:graphic>
            </wp:anchor>
          </w:drawing>
        </mc:Choice>
        <mc:Fallback>
          <w:pict>
            <v:shape id="文本框 513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ZJaVgdABAACqAwAADgAAAAAAAAABACAAAAAeAQAAZHJz&#10;L2Uyb0RvYy54bWxQSwUGAAAAAAYABgBZAQAAYAUAAAAA&#10;">
              <v:fill on="f" focussize="0,0"/>
              <v:stroke on="f"/>
              <v:imagedata o:title=""/>
              <o:lock v:ext="edit" aspectratio="f"/>
              <v:textbox inset="0mm,0mm,0mm,0mm" style="mso-fit-shape-to-text:t;">
                <w:txbxContent>
                  <w:p w14:paraId="3E2A6FF4">
                    <w:pPr>
                      <w:pStyle w:val="25"/>
                    </w:pP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p>
                </w:txbxContent>
              </v:textbox>
            </v:shape>
          </w:pict>
        </mc:Fallback>
      </mc:AlternateContent>
    </w:r>
  </w:p>
  <w:p w14:paraId="13E3BEA8">
    <w:pPr>
      <w:pStyle w:val="25"/>
      <w:rPr>
        <w:rFonts w:ascii="Calibri" w:hAnsi="Calibri"/>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DC1B5">
    <w:pPr>
      <w:pStyle w:val="25"/>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803FCB0">
                          <w:pPr>
                            <w:pStyle w:val="25"/>
                            <w:jc w:val="center"/>
                          </w:pPr>
                          <w:r>
                            <w:rPr>
                              <w:rFonts w:hint="eastAsia"/>
                            </w:rPr>
                            <w:fldChar w:fldCharType="begin"/>
                          </w:r>
                          <w:r>
                            <w:rPr>
                              <w:rFonts w:hint="eastAsia"/>
                            </w:rPr>
                            <w:instrText xml:space="preserve"> PAGE  \* MERGEFORMAT </w:instrText>
                          </w:r>
                          <w:r>
                            <w:rPr>
                              <w:rFonts w:hint="eastAsia"/>
                            </w:rPr>
                            <w:fldChar w:fldCharType="separate"/>
                          </w:r>
                          <w:r>
                            <w:t>75</w:t>
                          </w:r>
                          <w:r>
                            <w:rPr>
                              <w:rFonts w:hint="eastAsia"/>
                            </w:rPr>
                            <w:fldChar w:fldCharType="end"/>
                          </w:r>
                        </w:p>
                      </w:txbxContent>
                    </wps:txbx>
                    <wps:bodyPr wrap="none" lIns="0" tIns="0" rIns="0" bIns="0" upright="1">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31TcUtABAACqAwAADgAAAAAAAAABACAAAAAeAQAAZHJz&#10;L2Uyb0RvYy54bWxQSwUGAAAAAAYABgBZAQAAYAUAAAAA&#10;">
              <v:fill on="f" focussize="0,0"/>
              <v:stroke on="f"/>
              <v:imagedata o:title=""/>
              <o:lock v:ext="edit" aspectratio="f"/>
              <v:textbox inset="0mm,0mm,0mm,0mm" style="mso-fit-shape-to-text:t;">
                <w:txbxContent>
                  <w:p w14:paraId="3803FCB0">
                    <w:pPr>
                      <w:pStyle w:val="25"/>
                      <w:jc w:val="center"/>
                    </w:pPr>
                    <w:r>
                      <w:rPr>
                        <w:rFonts w:hint="eastAsia"/>
                      </w:rPr>
                      <w:fldChar w:fldCharType="begin"/>
                    </w:r>
                    <w:r>
                      <w:rPr>
                        <w:rFonts w:hint="eastAsia"/>
                      </w:rPr>
                      <w:instrText xml:space="preserve"> PAGE  \* MERGEFORMAT </w:instrText>
                    </w:r>
                    <w:r>
                      <w:rPr>
                        <w:rFonts w:hint="eastAsia"/>
                      </w:rPr>
                      <w:fldChar w:fldCharType="separate"/>
                    </w:r>
                    <w:r>
                      <w:t>75</w:t>
                    </w:r>
                    <w:r>
                      <w:rPr>
                        <w:rFonts w:hint="eastAsia"/>
                      </w:rPr>
                      <w:fldChar w:fldCharType="end"/>
                    </w:r>
                  </w:p>
                </w:txbxContent>
              </v:textbox>
            </v:shape>
          </w:pict>
        </mc:Fallback>
      </mc:AlternateContent>
    </w:r>
  </w:p>
  <w:p w14:paraId="360C05C4">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21564">
    <w:pPr>
      <w:pStyle w:val="26"/>
      <w:tabs>
        <w:tab w:val="center" w:pos="0"/>
        <w:tab w:val="clear" w:pos="4153"/>
      </w:tabs>
      <w:rPr>
        <w:rFonts w:ascii="Calibri" w:hAnsi="Calibri"/>
      </w:rPr>
    </w:pPr>
    <w:r>
      <w:rPr>
        <w:rFonts w:hint="eastAsia" w:ascii="Calibri" w:hAnsi="Calibri"/>
      </w:rPr>
      <w:t>南宁市政府采购竞争性磋商采购文件（项目编号：NNZC2021-C3--KLZB）</w:t>
    </w:r>
  </w:p>
  <w:p w14:paraId="328B3028">
    <w:pPr>
      <w:pStyle w:val="26"/>
      <w:pBdr>
        <w:bottom w:val="none" w:color="auto" w:sz="0" w:space="1"/>
      </w:pBdr>
      <w:rPr>
        <w:rFonts w:ascii="Calibri" w:hAnsi="Calibr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48CF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49DBB">
    <w:pPr>
      <w:pStyle w:val="26"/>
      <w:tabs>
        <w:tab w:val="center" w:pos="0"/>
        <w:tab w:val="clear" w:pos="4153"/>
      </w:tabs>
    </w:pPr>
    <w:r>
      <w:rPr>
        <w:vanish/>
        <w:highlight w:val="yellow"/>
      </w:rPr>
      <w:t>&gt;</w:t>
    </w:r>
  </w:p>
  <w:p w14:paraId="46205C21">
    <w:pPr>
      <w:pStyle w:val="2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EC241D"/>
    <w:multiLevelType w:val="singleLevel"/>
    <w:tmpl w:val="D7EC241D"/>
    <w:lvl w:ilvl="0" w:tentative="0">
      <w:start w:val="1"/>
      <w:numFmt w:val="decimal"/>
      <w:suff w:val="nothing"/>
      <w:lvlText w:val="（%1）"/>
      <w:lvlJc w:val="left"/>
    </w:lvl>
  </w:abstractNum>
  <w:abstractNum w:abstractNumId="1">
    <w:nsid w:val="FE73345D"/>
    <w:multiLevelType w:val="singleLevel"/>
    <w:tmpl w:val="FE73345D"/>
    <w:lvl w:ilvl="0" w:tentative="0">
      <w:start w:val="8"/>
      <w:numFmt w:val="decimal"/>
      <w:suff w:val="nothing"/>
      <w:lvlText w:val="%1、"/>
      <w:lvlJc w:val="left"/>
    </w:lvl>
  </w:abstractNum>
  <w:abstractNum w:abstractNumId="2">
    <w:nsid w:val="0595501A"/>
    <w:multiLevelType w:val="multilevel"/>
    <w:tmpl w:val="0595501A"/>
    <w:lvl w:ilvl="0" w:tentative="0">
      <w:start w:val="1"/>
      <w:numFmt w:val="decimal"/>
      <w:suff w:val="space"/>
      <w:lvlText w:val="%1."/>
      <w:lvlJc w:val="left"/>
      <w:pPr>
        <w:ind w:left="0" w:firstLine="0"/>
      </w:pPr>
      <w:rPr>
        <w:rFonts w:hint="eastAsia"/>
      </w:rPr>
    </w:lvl>
    <w:lvl w:ilvl="1" w:tentative="0">
      <w:start w:val="1"/>
      <w:numFmt w:val="decimal"/>
      <w:isLgl/>
      <w:suff w:val="space"/>
      <w:lvlText w:val="%1.%2"/>
      <w:lvlJc w:val="left"/>
      <w:pPr>
        <w:ind w:left="0" w:firstLine="0"/>
      </w:pPr>
      <w:rPr>
        <w:rFonts w:hint="eastAsia"/>
      </w:rPr>
    </w:lvl>
    <w:lvl w:ilvl="2" w:tentative="0">
      <w:start w:val="1"/>
      <w:numFmt w:val="decimal"/>
      <w:pStyle w:val="94"/>
      <w:isLgl/>
      <w:suff w:val="space"/>
      <w:lvlText w:val="%1.%2.%3"/>
      <w:lvlJc w:val="left"/>
      <w:pPr>
        <w:ind w:left="0" w:firstLine="0"/>
      </w:pPr>
      <w:rPr>
        <w:rFonts w:hint="eastAsia"/>
        <w:b w:val="0"/>
        <w:i w:val="0"/>
        <w:color w:val="auto"/>
      </w:rPr>
    </w:lvl>
    <w:lvl w:ilvl="3" w:tentative="0">
      <w:start w:val="1"/>
      <w:numFmt w:val="decimal"/>
      <w:isLgl/>
      <w:suff w:val="space"/>
      <w:lvlText w:val="%1.%2.%3.%4"/>
      <w:lvlJc w:val="left"/>
      <w:pPr>
        <w:ind w:left="0" w:firstLine="0"/>
      </w:pPr>
      <w:rPr>
        <w:rFonts w:hint="eastAsia"/>
      </w:rPr>
    </w:lvl>
    <w:lvl w:ilvl="4" w:tentative="0">
      <w:start w:val="1"/>
      <w:numFmt w:val="decimal"/>
      <w:isLgl/>
      <w:lvlText w:val="%1.%2.%3.%4.%5"/>
      <w:lvlJc w:val="left"/>
      <w:pPr>
        <w:tabs>
          <w:tab w:val="left" w:pos="0"/>
        </w:tabs>
        <w:ind w:left="0" w:firstLine="0"/>
      </w:pPr>
      <w:rPr>
        <w:rFonts w:hint="eastAsia"/>
      </w:rPr>
    </w:lvl>
    <w:lvl w:ilvl="5" w:tentative="0">
      <w:start w:val="1"/>
      <w:numFmt w:val="decimal"/>
      <w:lvlText w:val="%1.%2.%3.%4.%5.%6"/>
      <w:lvlJc w:val="left"/>
      <w:pPr>
        <w:tabs>
          <w:tab w:val="left" w:pos="6086"/>
        </w:tabs>
        <w:ind w:left="3260" w:hanging="1134"/>
      </w:pPr>
      <w:rPr>
        <w:rFonts w:hint="eastAsia"/>
      </w:rPr>
    </w:lvl>
    <w:lvl w:ilvl="6" w:tentative="0">
      <w:start w:val="1"/>
      <w:numFmt w:val="decimal"/>
      <w:lvlText w:val="%1.%2.%3.%4.%5.%6.%7"/>
      <w:lvlJc w:val="left"/>
      <w:pPr>
        <w:tabs>
          <w:tab w:val="left" w:pos="7231"/>
        </w:tabs>
        <w:ind w:left="3827" w:hanging="1276"/>
      </w:pPr>
      <w:rPr>
        <w:rFonts w:hint="eastAsia"/>
      </w:rPr>
    </w:lvl>
    <w:lvl w:ilvl="7" w:tentative="0">
      <w:start w:val="1"/>
      <w:numFmt w:val="decimal"/>
      <w:lvlText w:val="%1.%2.%3.%4.%5.%6.%7.%8"/>
      <w:lvlJc w:val="left"/>
      <w:pPr>
        <w:tabs>
          <w:tab w:val="left" w:pos="8376"/>
        </w:tabs>
        <w:ind w:left="4394" w:hanging="1418"/>
      </w:pPr>
      <w:rPr>
        <w:rFonts w:hint="eastAsia"/>
      </w:rPr>
    </w:lvl>
    <w:lvl w:ilvl="8" w:tentative="0">
      <w:start w:val="1"/>
      <w:numFmt w:val="decimal"/>
      <w:lvlText w:val="%1.%2.%3.%4.%5.%6.%7.%8.%9"/>
      <w:lvlJc w:val="left"/>
      <w:pPr>
        <w:tabs>
          <w:tab w:val="left" w:pos="9522"/>
        </w:tabs>
        <w:ind w:left="5102" w:hanging="1700"/>
      </w:pPr>
      <w:rPr>
        <w:rFonts w:hint="eastAsia"/>
      </w:rPr>
    </w:lvl>
  </w:abstractNum>
  <w:abstractNum w:abstractNumId="3">
    <w:nsid w:val="1DE4C7F9"/>
    <w:multiLevelType w:val="singleLevel"/>
    <w:tmpl w:val="1DE4C7F9"/>
    <w:lvl w:ilvl="0" w:tentative="0">
      <w:start w:val="1"/>
      <w:numFmt w:val="chineseCounting"/>
      <w:suff w:val="nothing"/>
      <w:lvlText w:val="%1、"/>
      <w:lvlJc w:val="left"/>
      <w:rPr>
        <w:rFonts w:hint="eastAsia"/>
      </w:rPr>
    </w:lvl>
  </w:abstractNum>
  <w:abstractNum w:abstractNumId="4">
    <w:nsid w:val="239D7BBC"/>
    <w:multiLevelType w:val="singleLevel"/>
    <w:tmpl w:val="239D7BBC"/>
    <w:lvl w:ilvl="0" w:tentative="0">
      <w:start w:val="1"/>
      <w:numFmt w:val="decimal"/>
      <w:suff w:val="nothing"/>
      <w:lvlText w:val="（%1）"/>
      <w:lvlJc w:val="left"/>
    </w:lvl>
  </w:abstractNum>
  <w:abstractNum w:abstractNumId="5">
    <w:nsid w:val="2E1465B9"/>
    <w:multiLevelType w:val="multilevel"/>
    <w:tmpl w:val="2E1465B9"/>
    <w:lvl w:ilvl="0" w:tentative="0">
      <w:start w:val="1"/>
      <w:numFmt w:val="decimal"/>
      <w:lvlText w:val="%1、"/>
      <w:lvlJc w:val="left"/>
      <w:pPr>
        <w:ind w:left="795" w:hanging="360"/>
      </w:pPr>
      <w:rPr>
        <w:rFonts w:hint="default"/>
      </w:rPr>
    </w:lvl>
    <w:lvl w:ilvl="1" w:tentative="0">
      <w:start w:val="1"/>
      <w:numFmt w:val="lowerLetter"/>
      <w:lvlText w:val="%2)"/>
      <w:lvlJc w:val="left"/>
      <w:pPr>
        <w:ind w:left="1275" w:hanging="420"/>
      </w:pPr>
    </w:lvl>
    <w:lvl w:ilvl="2" w:tentative="0">
      <w:start w:val="1"/>
      <w:numFmt w:val="lowerRoman"/>
      <w:lvlText w:val="%3."/>
      <w:lvlJc w:val="right"/>
      <w:pPr>
        <w:ind w:left="1695" w:hanging="420"/>
      </w:pPr>
    </w:lvl>
    <w:lvl w:ilvl="3" w:tentative="0">
      <w:start w:val="1"/>
      <w:numFmt w:val="decimal"/>
      <w:lvlText w:val="%4."/>
      <w:lvlJc w:val="left"/>
      <w:pPr>
        <w:ind w:left="2115" w:hanging="420"/>
      </w:pPr>
    </w:lvl>
    <w:lvl w:ilvl="4" w:tentative="0">
      <w:start w:val="1"/>
      <w:numFmt w:val="lowerLetter"/>
      <w:lvlText w:val="%5)"/>
      <w:lvlJc w:val="left"/>
      <w:pPr>
        <w:ind w:left="2535" w:hanging="420"/>
      </w:pPr>
    </w:lvl>
    <w:lvl w:ilvl="5" w:tentative="0">
      <w:start w:val="1"/>
      <w:numFmt w:val="lowerRoman"/>
      <w:lvlText w:val="%6."/>
      <w:lvlJc w:val="right"/>
      <w:pPr>
        <w:ind w:left="2955" w:hanging="420"/>
      </w:pPr>
    </w:lvl>
    <w:lvl w:ilvl="6" w:tentative="0">
      <w:start w:val="1"/>
      <w:numFmt w:val="decimal"/>
      <w:lvlText w:val="%7."/>
      <w:lvlJc w:val="left"/>
      <w:pPr>
        <w:ind w:left="3375" w:hanging="420"/>
      </w:pPr>
    </w:lvl>
    <w:lvl w:ilvl="7" w:tentative="0">
      <w:start w:val="1"/>
      <w:numFmt w:val="lowerLetter"/>
      <w:lvlText w:val="%8)"/>
      <w:lvlJc w:val="left"/>
      <w:pPr>
        <w:ind w:left="3795" w:hanging="420"/>
      </w:pPr>
    </w:lvl>
    <w:lvl w:ilvl="8" w:tentative="0">
      <w:start w:val="1"/>
      <w:numFmt w:val="lowerRoman"/>
      <w:lvlText w:val="%9."/>
      <w:lvlJc w:val="right"/>
      <w:pPr>
        <w:ind w:left="4215" w:hanging="420"/>
      </w:pPr>
    </w:lvl>
  </w:abstractNum>
  <w:abstractNum w:abstractNumId="6">
    <w:nsid w:val="37D00F16"/>
    <w:multiLevelType w:val="singleLevel"/>
    <w:tmpl w:val="37D00F16"/>
    <w:lvl w:ilvl="0" w:tentative="0">
      <w:start w:val="7"/>
      <w:numFmt w:val="decimal"/>
      <w:lvlText w:val="%1."/>
      <w:lvlJc w:val="left"/>
      <w:pPr>
        <w:tabs>
          <w:tab w:val="left" w:pos="312"/>
        </w:tabs>
      </w:pPr>
    </w:lvl>
  </w:abstractNum>
  <w:abstractNum w:abstractNumId="7">
    <w:nsid w:val="443A3703"/>
    <w:multiLevelType w:val="singleLevel"/>
    <w:tmpl w:val="443A3703"/>
    <w:lvl w:ilvl="0" w:tentative="0">
      <w:start w:val="5"/>
      <w:numFmt w:val="chineseCounting"/>
      <w:suff w:val="space"/>
      <w:lvlText w:val="第%1章"/>
      <w:lvlJc w:val="left"/>
      <w:rPr>
        <w:rFonts w:hint="eastAsia"/>
      </w:rPr>
    </w:lvl>
  </w:abstractNum>
  <w:abstractNum w:abstractNumId="8">
    <w:nsid w:val="51401140"/>
    <w:multiLevelType w:val="singleLevel"/>
    <w:tmpl w:val="51401140"/>
    <w:lvl w:ilvl="0" w:tentative="0">
      <w:start w:val="1"/>
      <w:numFmt w:val="decimal"/>
      <w:suff w:val="nothing"/>
      <w:lvlText w:val="%1、"/>
      <w:lvlJc w:val="left"/>
    </w:lvl>
  </w:abstractNum>
  <w:num w:numId="1">
    <w:abstractNumId w:val="2"/>
  </w:num>
  <w:num w:numId="2">
    <w:abstractNumId w:val="3"/>
  </w:num>
  <w:num w:numId="3">
    <w:abstractNumId w:val="0"/>
  </w:num>
  <w:num w:numId="4">
    <w:abstractNumId w:val="4"/>
  </w:num>
  <w:num w:numId="5">
    <w:abstractNumId w:val="7"/>
  </w:num>
  <w:num w:numId="6">
    <w:abstractNumId w:val="6"/>
  </w:num>
  <w:num w:numId="7">
    <w:abstractNumId w:val="1"/>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2OThkZjkyNWE4MTY1YzgyMmE3MzdmNzczZmMwOTUifQ=="/>
  </w:docVars>
  <w:rsids>
    <w:rsidRoot w:val="00F34B14"/>
    <w:rsid w:val="00000672"/>
    <w:rsid w:val="00001013"/>
    <w:rsid w:val="00001799"/>
    <w:rsid w:val="00001AF2"/>
    <w:rsid w:val="00001ECA"/>
    <w:rsid w:val="00002D29"/>
    <w:rsid w:val="00003B93"/>
    <w:rsid w:val="0000474D"/>
    <w:rsid w:val="00005FDF"/>
    <w:rsid w:val="000070B3"/>
    <w:rsid w:val="000076B8"/>
    <w:rsid w:val="00010204"/>
    <w:rsid w:val="0001047A"/>
    <w:rsid w:val="000109DC"/>
    <w:rsid w:val="00010D39"/>
    <w:rsid w:val="0001172C"/>
    <w:rsid w:val="00011A4D"/>
    <w:rsid w:val="00011BC9"/>
    <w:rsid w:val="00012854"/>
    <w:rsid w:val="00012EA6"/>
    <w:rsid w:val="00013359"/>
    <w:rsid w:val="000139CF"/>
    <w:rsid w:val="00013AA4"/>
    <w:rsid w:val="00013DFE"/>
    <w:rsid w:val="000141EA"/>
    <w:rsid w:val="00015094"/>
    <w:rsid w:val="00016ABC"/>
    <w:rsid w:val="000176C5"/>
    <w:rsid w:val="000177DB"/>
    <w:rsid w:val="000179C9"/>
    <w:rsid w:val="00017CCC"/>
    <w:rsid w:val="00020227"/>
    <w:rsid w:val="00020263"/>
    <w:rsid w:val="00020455"/>
    <w:rsid w:val="00020527"/>
    <w:rsid w:val="00020813"/>
    <w:rsid w:val="000220B2"/>
    <w:rsid w:val="0002264C"/>
    <w:rsid w:val="00022731"/>
    <w:rsid w:val="00022792"/>
    <w:rsid w:val="00024463"/>
    <w:rsid w:val="00025461"/>
    <w:rsid w:val="00025636"/>
    <w:rsid w:val="00025E36"/>
    <w:rsid w:val="00026855"/>
    <w:rsid w:val="00026886"/>
    <w:rsid w:val="0002785D"/>
    <w:rsid w:val="000329E0"/>
    <w:rsid w:val="00032E5A"/>
    <w:rsid w:val="00034390"/>
    <w:rsid w:val="000352E9"/>
    <w:rsid w:val="00035494"/>
    <w:rsid w:val="00036125"/>
    <w:rsid w:val="00036A07"/>
    <w:rsid w:val="0003780B"/>
    <w:rsid w:val="00040571"/>
    <w:rsid w:val="00040973"/>
    <w:rsid w:val="0004156E"/>
    <w:rsid w:val="00041713"/>
    <w:rsid w:val="0004440C"/>
    <w:rsid w:val="000446E0"/>
    <w:rsid w:val="00046B5E"/>
    <w:rsid w:val="000470CB"/>
    <w:rsid w:val="000509D9"/>
    <w:rsid w:val="00051316"/>
    <w:rsid w:val="00051ACB"/>
    <w:rsid w:val="00052451"/>
    <w:rsid w:val="000533E7"/>
    <w:rsid w:val="00055D41"/>
    <w:rsid w:val="00057CD6"/>
    <w:rsid w:val="00060DCE"/>
    <w:rsid w:val="000610E3"/>
    <w:rsid w:val="000614F3"/>
    <w:rsid w:val="000623B4"/>
    <w:rsid w:val="00062405"/>
    <w:rsid w:val="000634A7"/>
    <w:rsid w:val="00063B0B"/>
    <w:rsid w:val="00063F81"/>
    <w:rsid w:val="00064847"/>
    <w:rsid w:val="00065E08"/>
    <w:rsid w:val="000673E2"/>
    <w:rsid w:val="0007063F"/>
    <w:rsid w:val="00070740"/>
    <w:rsid w:val="000707FD"/>
    <w:rsid w:val="00070949"/>
    <w:rsid w:val="000711E4"/>
    <w:rsid w:val="000724D9"/>
    <w:rsid w:val="00072AED"/>
    <w:rsid w:val="00073F47"/>
    <w:rsid w:val="0007492F"/>
    <w:rsid w:val="00074ED8"/>
    <w:rsid w:val="000752AF"/>
    <w:rsid w:val="00075B7E"/>
    <w:rsid w:val="00077ACA"/>
    <w:rsid w:val="00077C70"/>
    <w:rsid w:val="000813B5"/>
    <w:rsid w:val="00081BA3"/>
    <w:rsid w:val="00081D2E"/>
    <w:rsid w:val="00081F89"/>
    <w:rsid w:val="00082619"/>
    <w:rsid w:val="00082D02"/>
    <w:rsid w:val="00083871"/>
    <w:rsid w:val="00083B91"/>
    <w:rsid w:val="0008473C"/>
    <w:rsid w:val="0008520B"/>
    <w:rsid w:val="000860BD"/>
    <w:rsid w:val="000871B8"/>
    <w:rsid w:val="000916DA"/>
    <w:rsid w:val="00092442"/>
    <w:rsid w:val="000929EF"/>
    <w:rsid w:val="000933BE"/>
    <w:rsid w:val="00093CD4"/>
    <w:rsid w:val="0009560F"/>
    <w:rsid w:val="0009588E"/>
    <w:rsid w:val="000959EE"/>
    <w:rsid w:val="00097183"/>
    <w:rsid w:val="000972CB"/>
    <w:rsid w:val="00097608"/>
    <w:rsid w:val="000A13F3"/>
    <w:rsid w:val="000A23B1"/>
    <w:rsid w:val="000A2B0E"/>
    <w:rsid w:val="000A398F"/>
    <w:rsid w:val="000A3BB7"/>
    <w:rsid w:val="000A448C"/>
    <w:rsid w:val="000A509C"/>
    <w:rsid w:val="000A54A7"/>
    <w:rsid w:val="000A6007"/>
    <w:rsid w:val="000A65A6"/>
    <w:rsid w:val="000A70E3"/>
    <w:rsid w:val="000A7258"/>
    <w:rsid w:val="000A7275"/>
    <w:rsid w:val="000A7A12"/>
    <w:rsid w:val="000A7A72"/>
    <w:rsid w:val="000B1202"/>
    <w:rsid w:val="000B1801"/>
    <w:rsid w:val="000B1D0C"/>
    <w:rsid w:val="000B2273"/>
    <w:rsid w:val="000B2585"/>
    <w:rsid w:val="000B2BC6"/>
    <w:rsid w:val="000B2D03"/>
    <w:rsid w:val="000B3815"/>
    <w:rsid w:val="000B3C7B"/>
    <w:rsid w:val="000B4321"/>
    <w:rsid w:val="000B552E"/>
    <w:rsid w:val="000B6A6B"/>
    <w:rsid w:val="000B6C95"/>
    <w:rsid w:val="000B79FC"/>
    <w:rsid w:val="000B7BD1"/>
    <w:rsid w:val="000C02B1"/>
    <w:rsid w:val="000C1679"/>
    <w:rsid w:val="000C1EE3"/>
    <w:rsid w:val="000C3929"/>
    <w:rsid w:val="000C3AE7"/>
    <w:rsid w:val="000C3CC9"/>
    <w:rsid w:val="000C5ED6"/>
    <w:rsid w:val="000C6DE4"/>
    <w:rsid w:val="000C7202"/>
    <w:rsid w:val="000D0A89"/>
    <w:rsid w:val="000D0AFC"/>
    <w:rsid w:val="000D1389"/>
    <w:rsid w:val="000D1798"/>
    <w:rsid w:val="000D2626"/>
    <w:rsid w:val="000D291C"/>
    <w:rsid w:val="000D3FB6"/>
    <w:rsid w:val="000D411D"/>
    <w:rsid w:val="000D4589"/>
    <w:rsid w:val="000D4809"/>
    <w:rsid w:val="000D73DD"/>
    <w:rsid w:val="000E1C51"/>
    <w:rsid w:val="000E28AB"/>
    <w:rsid w:val="000E2E3E"/>
    <w:rsid w:val="000E3583"/>
    <w:rsid w:val="000E3AF0"/>
    <w:rsid w:val="000E4E04"/>
    <w:rsid w:val="000E693B"/>
    <w:rsid w:val="000E6EC9"/>
    <w:rsid w:val="000E70B4"/>
    <w:rsid w:val="000E7B62"/>
    <w:rsid w:val="000F0E1E"/>
    <w:rsid w:val="000F17E5"/>
    <w:rsid w:val="000F1A1B"/>
    <w:rsid w:val="000F2A95"/>
    <w:rsid w:val="000F3281"/>
    <w:rsid w:val="000F32FD"/>
    <w:rsid w:val="000F3733"/>
    <w:rsid w:val="000F439E"/>
    <w:rsid w:val="000F5F8B"/>
    <w:rsid w:val="000F6153"/>
    <w:rsid w:val="000F63C8"/>
    <w:rsid w:val="000F64AA"/>
    <w:rsid w:val="000F7AF4"/>
    <w:rsid w:val="000F7C33"/>
    <w:rsid w:val="000F7F0C"/>
    <w:rsid w:val="001004D6"/>
    <w:rsid w:val="00102676"/>
    <w:rsid w:val="00103646"/>
    <w:rsid w:val="00103918"/>
    <w:rsid w:val="00104897"/>
    <w:rsid w:val="00104EDE"/>
    <w:rsid w:val="00105CDA"/>
    <w:rsid w:val="00106BEE"/>
    <w:rsid w:val="00107C74"/>
    <w:rsid w:val="0011091C"/>
    <w:rsid w:val="00111266"/>
    <w:rsid w:val="001112EB"/>
    <w:rsid w:val="00112768"/>
    <w:rsid w:val="00113678"/>
    <w:rsid w:val="00113C3E"/>
    <w:rsid w:val="00115E11"/>
    <w:rsid w:val="00115EEE"/>
    <w:rsid w:val="00115F56"/>
    <w:rsid w:val="00116CA9"/>
    <w:rsid w:val="00116F38"/>
    <w:rsid w:val="001170A4"/>
    <w:rsid w:val="00117AE7"/>
    <w:rsid w:val="00117CBD"/>
    <w:rsid w:val="0012006A"/>
    <w:rsid w:val="00121979"/>
    <w:rsid w:val="00122064"/>
    <w:rsid w:val="00124341"/>
    <w:rsid w:val="00124492"/>
    <w:rsid w:val="00124B12"/>
    <w:rsid w:val="001250A0"/>
    <w:rsid w:val="001263B8"/>
    <w:rsid w:val="0012763E"/>
    <w:rsid w:val="00130217"/>
    <w:rsid w:val="00130783"/>
    <w:rsid w:val="00130A47"/>
    <w:rsid w:val="00130D7C"/>
    <w:rsid w:val="00132B47"/>
    <w:rsid w:val="001337F8"/>
    <w:rsid w:val="001348B4"/>
    <w:rsid w:val="001351CB"/>
    <w:rsid w:val="00135530"/>
    <w:rsid w:val="00135947"/>
    <w:rsid w:val="001359A2"/>
    <w:rsid w:val="00135F92"/>
    <w:rsid w:val="00136020"/>
    <w:rsid w:val="00136445"/>
    <w:rsid w:val="00140132"/>
    <w:rsid w:val="00141C9C"/>
    <w:rsid w:val="0014277F"/>
    <w:rsid w:val="001434BE"/>
    <w:rsid w:val="00144050"/>
    <w:rsid w:val="0014479F"/>
    <w:rsid w:val="001452B4"/>
    <w:rsid w:val="00145320"/>
    <w:rsid w:val="001476D3"/>
    <w:rsid w:val="001509CF"/>
    <w:rsid w:val="00150D1D"/>
    <w:rsid w:val="001525AA"/>
    <w:rsid w:val="00152A87"/>
    <w:rsid w:val="00153BB5"/>
    <w:rsid w:val="00154518"/>
    <w:rsid w:val="00156359"/>
    <w:rsid w:val="001568F3"/>
    <w:rsid w:val="00156DD6"/>
    <w:rsid w:val="0016086E"/>
    <w:rsid w:val="00160D0C"/>
    <w:rsid w:val="00161172"/>
    <w:rsid w:val="00161998"/>
    <w:rsid w:val="00161E65"/>
    <w:rsid w:val="00162597"/>
    <w:rsid w:val="001629AF"/>
    <w:rsid w:val="001629FD"/>
    <w:rsid w:val="0016428A"/>
    <w:rsid w:val="001647C9"/>
    <w:rsid w:val="001655B2"/>
    <w:rsid w:val="00165627"/>
    <w:rsid w:val="00165929"/>
    <w:rsid w:val="001661A3"/>
    <w:rsid w:val="00167226"/>
    <w:rsid w:val="0016782B"/>
    <w:rsid w:val="0016784D"/>
    <w:rsid w:val="00172CA8"/>
    <w:rsid w:val="00173256"/>
    <w:rsid w:val="00173B0E"/>
    <w:rsid w:val="00173E03"/>
    <w:rsid w:val="00174182"/>
    <w:rsid w:val="0017512C"/>
    <w:rsid w:val="0017586A"/>
    <w:rsid w:val="00175BA6"/>
    <w:rsid w:val="00176CA7"/>
    <w:rsid w:val="00176F8E"/>
    <w:rsid w:val="001778C5"/>
    <w:rsid w:val="00177E56"/>
    <w:rsid w:val="00177F0A"/>
    <w:rsid w:val="00180DA0"/>
    <w:rsid w:val="00181EAD"/>
    <w:rsid w:val="00181F43"/>
    <w:rsid w:val="00182862"/>
    <w:rsid w:val="00182BF4"/>
    <w:rsid w:val="00184F57"/>
    <w:rsid w:val="00185544"/>
    <w:rsid w:val="00185617"/>
    <w:rsid w:val="00186823"/>
    <w:rsid w:val="00186FE1"/>
    <w:rsid w:val="00187A14"/>
    <w:rsid w:val="0019171E"/>
    <w:rsid w:val="00192368"/>
    <w:rsid w:val="001923A0"/>
    <w:rsid w:val="001928B1"/>
    <w:rsid w:val="00193537"/>
    <w:rsid w:val="00193846"/>
    <w:rsid w:val="00194EC8"/>
    <w:rsid w:val="00194FE5"/>
    <w:rsid w:val="00195424"/>
    <w:rsid w:val="001955FF"/>
    <w:rsid w:val="00196D6E"/>
    <w:rsid w:val="00197EDD"/>
    <w:rsid w:val="001A02B3"/>
    <w:rsid w:val="001A04BB"/>
    <w:rsid w:val="001A08D0"/>
    <w:rsid w:val="001A1B39"/>
    <w:rsid w:val="001A1D7B"/>
    <w:rsid w:val="001A2120"/>
    <w:rsid w:val="001A28C6"/>
    <w:rsid w:val="001A2E69"/>
    <w:rsid w:val="001A3C34"/>
    <w:rsid w:val="001A3EDE"/>
    <w:rsid w:val="001A4222"/>
    <w:rsid w:val="001A50EA"/>
    <w:rsid w:val="001A5BA2"/>
    <w:rsid w:val="001A5E24"/>
    <w:rsid w:val="001A6B27"/>
    <w:rsid w:val="001A6D8B"/>
    <w:rsid w:val="001A6DAA"/>
    <w:rsid w:val="001A7717"/>
    <w:rsid w:val="001A793A"/>
    <w:rsid w:val="001B0BA4"/>
    <w:rsid w:val="001B125A"/>
    <w:rsid w:val="001B1EBA"/>
    <w:rsid w:val="001B2142"/>
    <w:rsid w:val="001B2F2B"/>
    <w:rsid w:val="001B327A"/>
    <w:rsid w:val="001B35DE"/>
    <w:rsid w:val="001B3A13"/>
    <w:rsid w:val="001B3F5C"/>
    <w:rsid w:val="001B59FF"/>
    <w:rsid w:val="001B6512"/>
    <w:rsid w:val="001B65D7"/>
    <w:rsid w:val="001B6752"/>
    <w:rsid w:val="001B6768"/>
    <w:rsid w:val="001B6F1F"/>
    <w:rsid w:val="001B7CD7"/>
    <w:rsid w:val="001B7ECC"/>
    <w:rsid w:val="001C025B"/>
    <w:rsid w:val="001C115F"/>
    <w:rsid w:val="001C1EAB"/>
    <w:rsid w:val="001C25A7"/>
    <w:rsid w:val="001C318C"/>
    <w:rsid w:val="001C35C4"/>
    <w:rsid w:val="001C4287"/>
    <w:rsid w:val="001C4479"/>
    <w:rsid w:val="001C5190"/>
    <w:rsid w:val="001C6081"/>
    <w:rsid w:val="001C6F1B"/>
    <w:rsid w:val="001C7B48"/>
    <w:rsid w:val="001D0CFB"/>
    <w:rsid w:val="001D1A0D"/>
    <w:rsid w:val="001D343C"/>
    <w:rsid w:val="001D34F5"/>
    <w:rsid w:val="001D56FC"/>
    <w:rsid w:val="001D58A1"/>
    <w:rsid w:val="001D58C2"/>
    <w:rsid w:val="001D5A8A"/>
    <w:rsid w:val="001D61CA"/>
    <w:rsid w:val="001D6E87"/>
    <w:rsid w:val="001D735E"/>
    <w:rsid w:val="001D73C8"/>
    <w:rsid w:val="001D7BC6"/>
    <w:rsid w:val="001E129E"/>
    <w:rsid w:val="001E175C"/>
    <w:rsid w:val="001E1B0E"/>
    <w:rsid w:val="001E3B63"/>
    <w:rsid w:val="001E51BA"/>
    <w:rsid w:val="001E522E"/>
    <w:rsid w:val="001E5A94"/>
    <w:rsid w:val="001E5F6F"/>
    <w:rsid w:val="001F0373"/>
    <w:rsid w:val="001F1D2C"/>
    <w:rsid w:val="001F2A2E"/>
    <w:rsid w:val="001F2BB8"/>
    <w:rsid w:val="001F3356"/>
    <w:rsid w:val="001F3C63"/>
    <w:rsid w:val="001F4460"/>
    <w:rsid w:val="001F4F4F"/>
    <w:rsid w:val="001F711A"/>
    <w:rsid w:val="001F75B0"/>
    <w:rsid w:val="00200CE5"/>
    <w:rsid w:val="00200F7C"/>
    <w:rsid w:val="002014DB"/>
    <w:rsid w:val="0020150B"/>
    <w:rsid w:val="00201E12"/>
    <w:rsid w:val="002033B5"/>
    <w:rsid w:val="0020382C"/>
    <w:rsid w:val="0020437A"/>
    <w:rsid w:val="0020454C"/>
    <w:rsid w:val="00204740"/>
    <w:rsid w:val="00205129"/>
    <w:rsid w:val="0020521F"/>
    <w:rsid w:val="0020532C"/>
    <w:rsid w:val="0021060F"/>
    <w:rsid w:val="002114C7"/>
    <w:rsid w:val="0021302C"/>
    <w:rsid w:val="00213B1C"/>
    <w:rsid w:val="00214202"/>
    <w:rsid w:val="002148E3"/>
    <w:rsid w:val="00214FD7"/>
    <w:rsid w:val="0021552D"/>
    <w:rsid w:val="002156AE"/>
    <w:rsid w:val="00215E99"/>
    <w:rsid w:val="0022054D"/>
    <w:rsid w:val="00223DDB"/>
    <w:rsid w:val="00223FA4"/>
    <w:rsid w:val="00223FB0"/>
    <w:rsid w:val="00224067"/>
    <w:rsid w:val="0022421C"/>
    <w:rsid w:val="00224E83"/>
    <w:rsid w:val="00225664"/>
    <w:rsid w:val="0022663D"/>
    <w:rsid w:val="00227F2D"/>
    <w:rsid w:val="00230179"/>
    <w:rsid w:val="00231851"/>
    <w:rsid w:val="002319FB"/>
    <w:rsid w:val="00231B89"/>
    <w:rsid w:val="00231F11"/>
    <w:rsid w:val="00231F5E"/>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4DC9"/>
    <w:rsid w:val="00245587"/>
    <w:rsid w:val="00245F2B"/>
    <w:rsid w:val="00247F3A"/>
    <w:rsid w:val="00250122"/>
    <w:rsid w:val="00250755"/>
    <w:rsid w:val="0025097B"/>
    <w:rsid w:val="00250A51"/>
    <w:rsid w:val="00251043"/>
    <w:rsid w:val="00251C4A"/>
    <w:rsid w:val="0025271C"/>
    <w:rsid w:val="002529E4"/>
    <w:rsid w:val="002533CD"/>
    <w:rsid w:val="002535EA"/>
    <w:rsid w:val="00253CBA"/>
    <w:rsid w:val="00254EAB"/>
    <w:rsid w:val="002557AF"/>
    <w:rsid w:val="0025589C"/>
    <w:rsid w:val="0025597D"/>
    <w:rsid w:val="00255B62"/>
    <w:rsid w:val="002566B1"/>
    <w:rsid w:val="002575E3"/>
    <w:rsid w:val="00257A74"/>
    <w:rsid w:val="002603C1"/>
    <w:rsid w:val="002609A1"/>
    <w:rsid w:val="002612B1"/>
    <w:rsid w:val="00266165"/>
    <w:rsid w:val="002662FE"/>
    <w:rsid w:val="00266F2C"/>
    <w:rsid w:val="0027125E"/>
    <w:rsid w:val="00271767"/>
    <w:rsid w:val="00272293"/>
    <w:rsid w:val="002723C8"/>
    <w:rsid w:val="00273C2A"/>
    <w:rsid w:val="00273CBE"/>
    <w:rsid w:val="002746B1"/>
    <w:rsid w:val="00274BAD"/>
    <w:rsid w:val="002754D6"/>
    <w:rsid w:val="00282D56"/>
    <w:rsid w:val="002835B0"/>
    <w:rsid w:val="00283C74"/>
    <w:rsid w:val="0028407E"/>
    <w:rsid w:val="0028410F"/>
    <w:rsid w:val="00284572"/>
    <w:rsid w:val="00285221"/>
    <w:rsid w:val="00286FB5"/>
    <w:rsid w:val="00287763"/>
    <w:rsid w:val="00287FCB"/>
    <w:rsid w:val="00290606"/>
    <w:rsid w:val="002909B2"/>
    <w:rsid w:val="00290A98"/>
    <w:rsid w:val="00291D6D"/>
    <w:rsid w:val="00291FF1"/>
    <w:rsid w:val="00292AA2"/>
    <w:rsid w:val="00293361"/>
    <w:rsid w:val="002952B1"/>
    <w:rsid w:val="00295D11"/>
    <w:rsid w:val="00296FB6"/>
    <w:rsid w:val="002A0001"/>
    <w:rsid w:val="002A0BD9"/>
    <w:rsid w:val="002A0C3A"/>
    <w:rsid w:val="002A1130"/>
    <w:rsid w:val="002A1880"/>
    <w:rsid w:val="002A23B7"/>
    <w:rsid w:val="002A3A57"/>
    <w:rsid w:val="002A4B4F"/>
    <w:rsid w:val="002A57A8"/>
    <w:rsid w:val="002A6DEF"/>
    <w:rsid w:val="002A6E42"/>
    <w:rsid w:val="002A770B"/>
    <w:rsid w:val="002B013E"/>
    <w:rsid w:val="002B058D"/>
    <w:rsid w:val="002B0A16"/>
    <w:rsid w:val="002B0C16"/>
    <w:rsid w:val="002B2AC5"/>
    <w:rsid w:val="002B3528"/>
    <w:rsid w:val="002B3539"/>
    <w:rsid w:val="002B4532"/>
    <w:rsid w:val="002B4625"/>
    <w:rsid w:val="002B5042"/>
    <w:rsid w:val="002B69CC"/>
    <w:rsid w:val="002B6D71"/>
    <w:rsid w:val="002C0C1C"/>
    <w:rsid w:val="002C54C2"/>
    <w:rsid w:val="002C5D34"/>
    <w:rsid w:val="002C5D7F"/>
    <w:rsid w:val="002C60BB"/>
    <w:rsid w:val="002C661A"/>
    <w:rsid w:val="002D0D6F"/>
    <w:rsid w:val="002D25FC"/>
    <w:rsid w:val="002D4AC6"/>
    <w:rsid w:val="002D5BF5"/>
    <w:rsid w:val="002D5E31"/>
    <w:rsid w:val="002D5E95"/>
    <w:rsid w:val="002D5EE8"/>
    <w:rsid w:val="002D7360"/>
    <w:rsid w:val="002D7648"/>
    <w:rsid w:val="002D780A"/>
    <w:rsid w:val="002E109C"/>
    <w:rsid w:val="002E193E"/>
    <w:rsid w:val="002E1A94"/>
    <w:rsid w:val="002E1D55"/>
    <w:rsid w:val="002E26C4"/>
    <w:rsid w:val="002E30A5"/>
    <w:rsid w:val="002E47E4"/>
    <w:rsid w:val="002E4BF9"/>
    <w:rsid w:val="002E4D61"/>
    <w:rsid w:val="002E5FED"/>
    <w:rsid w:val="002E68A7"/>
    <w:rsid w:val="002E6E6C"/>
    <w:rsid w:val="002F0522"/>
    <w:rsid w:val="002F0B85"/>
    <w:rsid w:val="002F16DD"/>
    <w:rsid w:val="002F199D"/>
    <w:rsid w:val="002F1A1E"/>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1ADC"/>
    <w:rsid w:val="0030298D"/>
    <w:rsid w:val="00302EFC"/>
    <w:rsid w:val="00303243"/>
    <w:rsid w:val="00303BCC"/>
    <w:rsid w:val="00303F2B"/>
    <w:rsid w:val="00303F8D"/>
    <w:rsid w:val="0030572D"/>
    <w:rsid w:val="0030586A"/>
    <w:rsid w:val="003061E3"/>
    <w:rsid w:val="0030622D"/>
    <w:rsid w:val="00306811"/>
    <w:rsid w:val="00306F32"/>
    <w:rsid w:val="003074C5"/>
    <w:rsid w:val="00307A3C"/>
    <w:rsid w:val="00307FA4"/>
    <w:rsid w:val="00310290"/>
    <w:rsid w:val="0031083D"/>
    <w:rsid w:val="00310CC1"/>
    <w:rsid w:val="00311B60"/>
    <w:rsid w:val="00312504"/>
    <w:rsid w:val="00313026"/>
    <w:rsid w:val="00313913"/>
    <w:rsid w:val="0031421F"/>
    <w:rsid w:val="00314B31"/>
    <w:rsid w:val="00315A65"/>
    <w:rsid w:val="003165D7"/>
    <w:rsid w:val="0031683B"/>
    <w:rsid w:val="00317BA7"/>
    <w:rsid w:val="00320BE2"/>
    <w:rsid w:val="00321886"/>
    <w:rsid w:val="00323694"/>
    <w:rsid w:val="00323BE7"/>
    <w:rsid w:val="00324C3A"/>
    <w:rsid w:val="00324D63"/>
    <w:rsid w:val="003255AF"/>
    <w:rsid w:val="003256EB"/>
    <w:rsid w:val="003259DB"/>
    <w:rsid w:val="003314D9"/>
    <w:rsid w:val="00331653"/>
    <w:rsid w:val="00331A48"/>
    <w:rsid w:val="00331BCC"/>
    <w:rsid w:val="003330C9"/>
    <w:rsid w:val="0033364C"/>
    <w:rsid w:val="00334415"/>
    <w:rsid w:val="00335BCB"/>
    <w:rsid w:val="00335EA1"/>
    <w:rsid w:val="0033691E"/>
    <w:rsid w:val="00336A6A"/>
    <w:rsid w:val="00336CCB"/>
    <w:rsid w:val="003411D1"/>
    <w:rsid w:val="003416BA"/>
    <w:rsid w:val="00342148"/>
    <w:rsid w:val="00342F99"/>
    <w:rsid w:val="0034575A"/>
    <w:rsid w:val="00345F57"/>
    <w:rsid w:val="0034638A"/>
    <w:rsid w:val="00350458"/>
    <w:rsid w:val="00350E6C"/>
    <w:rsid w:val="003518A6"/>
    <w:rsid w:val="00351E7F"/>
    <w:rsid w:val="00352953"/>
    <w:rsid w:val="00353CA9"/>
    <w:rsid w:val="00354062"/>
    <w:rsid w:val="0035459E"/>
    <w:rsid w:val="00355C0D"/>
    <w:rsid w:val="00355DB9"/>
    <w:rsid w:val="003566A9"/>
    <w:rsid w:val="00356988"/>
    <w:rsid w:val="003569D3"/>
    <w:rsid w:val="00356CE9"/>
    <w:rsid w:val="003570BB"/>
    <w:rsid w:val="00357128"/>
    <w:rsid w:val="0035755E"/>
    <w:rsid w:val="00357A80"/>
    <w:rsid w:val="00361441"/>
    <w:rsid w:val="00361B8B"/>
    <w:rsid w:val="00363F39"/>
    <w:rsid w:val="0036445C"/>
    <w:rsid w:val="00364627"/>
    <w:rsid w:val="00364AB0"/>
    <w:rsid w:val="00364D71"/>
    <w:rsid w:val="003667B0"/>
    <w:rsid w:val="003667DD"/>
    <w:rsid w:val="00366B48"/>
    <w:rsid w:val="00367764"/>
    <w:rsid w:val="003701F7"/>
    <w:rsid w:val="00370316"/>
    <w:rsid w:val="00370DC7"/>
    <w:rsid w:val="00371CBD"/>
    <w:rsid w:val="00371F20"/>
    <w:rsid w:val="003721E3"/>
    <w:rsid w:val="00372B98"/>
    <w:rsid w:val="003737B7"/>
    <w:rsid w:val="003740CC"/>
    <w:rsid w:val="003745F4"/>
    <w:rsid w:val="00374AFA"/>
    <w:rsid w:val="00374E79"/>
    <w:rsid w:val="0037529A"/>
    <w:rsid w:val="00375388"/>
    <w:rsid w:val="00375FB9"/>
    <w:rsid w:val="00376170"/>
    <w:rsid w:val="00376851"/>
    <w:rsid w:val="00376FA2"/>
    <w:rsid w:val="00377A3B"/>
    <w:rsid w:val="00377E3C"/>
    <w:rsid w:val="00380BBE"/>
    <w:rsid w:val="00381D70"/>
    <w:rsid w:val="0038235E"/>
    <w:rsid w:val="003829D0"/>
    <w:rsid w:val="0038326A"/>
    <w:rsid w:val="0038444F"/>
    <w:rsid w:val="003861F0"/>
    <w:rsid w:val="00387051"/>
    <w:rsid w:val="00387ECF"/>
    <w:rsid w:val="0039021B"/>
    <w:rsid w:val="00390429"/>
    <w:rsid w:val="003906A0"/>
    <w:rsid w:val="0039366C"/>
    <w:rsid w:val="00393EC8"/>
    <w:rsid w:val="003950F5"/>
    <w:rsid w:val="0039538F"/>
    <w:rsid w:val="00395E42"/>
    <w:rsid w:val="00396409"/>
    <w:rsid w:val="00396A2D"/>
    <w:rsid w:val="00396FC3"/>
    <w:rsid w:val="003A1A94"/>
    <w:rsid w:val="003A204E"/>
    <w:rsid w:val="003A2D25"/>
    <w:rsid w:val="003A5728"/>
    <w:rsid w:val="003A60E7"/>
    <w:rsid w:val="003A7092"/>
    <w:rsid w:val="003A72A1"/>
    <w:rsid w:val="003A7611"/>
    <w:rsid w:val="003A7D1F"/>
    <w:rsid w:val="003B0B6A"/>
    <w:rsid w:val="003B22F7"/>
    <w:rsid w:val="003B29CF"/>
    <w:rsid w:val="003B3A90"/>
    <w:rsid w:val="003B534F"/>
    <w:rsid w:val="003B538A"/>
    <w:rsid w:val="003B5E4F"/>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904"/>
    <w:rsid w:val="003E285E"/>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5638"/>
    <w:rsid w:val="003F6617"/>
    <w:rsid w:val="004001E8"/>
    <w:rsid w:val="00402332"/>
    <w:rsid w:val="004025C2"/>
    <w:rsid w:val="00403195"/>
    <w:rsid w:val="004033A9"/>
    <w:rsid w:val="00403E55"/>
    <w:rsid w:val="0040407C"/>
    <w:rsid w:val="0040416C"/>
    <w:rsid w:val="00404681"/>
    <w:rsid w:val="00405AC1"/>
    <w:rsid w:val="00406923"/>
    <w:rsid w:val="0040763D"/>
    <w:rsid w:val="004107DD"/>
    <w:rsid w:val="00410D17"/>
    <w:rsid w:val="00413442"/>
    <w:rsid w:val="00413821"/>
    <w:rsid w:val="00413BA5"/>
    <w:rsid w:val="004141A3"/>
    <w:rsid w:val="00414909"/>
    <w:rsid w:val="0041582F"/>
    <w:rsid w:val="00416112"/>
    <w:rsid w:val="00416AC8"/>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22D6"/>
    <w:rsid w:val="00432589"/>
    <w:rsid w:val="00432A94"/>
    <w:rsid w:val="00432C95"/>
    <w:rsid w:val="00433827"/>
    <w:rsid w:val="00433A40"/>
    <w:rsid w:val="00434B70"/>
    <w:rsid w:val="00435CEA"/>
    <w:rsid w:val="004360C8"/>
    <w:rsid w:val="004371D5"/>
    <w:rsid w:val="0044006B"/>
    <w:rsid w:val="0044033F"/>
    <w:rsid w:val="00440630"/>
    <w:rsid w:val="00441F0F"/>
    <w:rsid w:val="00442965"/>
    <w:rsid w:val="00443367"/>
    <w:rsid w:val="00444157"/>
    <w:rsid w:val="0044417C"/>
    <w:rsid w:val="00444DB3"/>
    <w:rsid w:val="00445617"/>
    <w:rsid w:val="00445A2F"/>
    <w:rsid w:val="0044684E"/>
    <w:rsid w:val="00446F22"/>
    <w:rsid w:val="0045019F"/>
    <w:rsid w:val="004503A4"/>
    <w:rsid w:val="00450555"/>
    <w:rsid w:val="004506FA"/>
    <w:rsid w:val="00450DC6"/>
    <w:rsid w:val="004516A5"/>
    <w:rsid w:val="00451E9C"/>
    <w:rsid w:val="0045280F"/>
    <w:rsid w:val="004535AE"/>
    <w:rsid w:val="004541B9"/>
    <w:rsid w:val="0045444D"/>
    <w:rsid w:val="0045463A"/>
    <w:rsid w:val="00454AC9"/>
    <w:rsid w:val="00455050"/>
    <w:rsid w:val="004554A3"/>
    <w:rsid w:val="0045556F"/>
    <w:rsid w:val="00455A6E"/>
    <w:rsid w:val="00455EAD"/>
    <w:rsid w:val="00456783"/>
    <w:rsid w:val="004578EB"/>
    <w:rsid w:val="004604D5"/>
    <w:rsid w:val="00460697"/>
    <w:rsid w:val="0046117B"/>
    <w:rsid w:val="00464AB7"/>
    <w:rsid w:val="00465DE5"/>
    <w:rsid w:val="00467EF8"/>
    <w:rsid w:val="00472429"/>
    <w:rsid w:val="004725E5"/>
    <w:rsid w:val="00472751"/>
    <w:rsid w:val="00473128"/>
    <w:rsid w:val="00473263"/>
    <w:rsid w:val="00475078"/>
    <w:rsid w:val="00475767"/>
    <w:rsid w:val="004769E3"/>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D60"/>
    <w:rsid w:val="00491FA1"/>
    <w:rsid w:val="00492A25"/>
    <w:rsid w:val="004938A3"/>
    <w:rsid w:val="0049558B"/>
    <w:rsid w:val="00496350"/>
    <w:rsid w:val="00496D31"/>
    <w:rsid w:val="004974B1"/>
    <w:rsid w:val="0049797C"/>
    <w:rsid w:val="004A00E1"/>
    <w:rsid w:val="004A0943"/>
    <w:rsid w:val="004A1405"/>
    <w:rsid w:val="004A1FC6"/>
    <w:rsid w:val="004A2E5F"/>
    <w:rsid w:val="004A32EC"/>
    <w:rsid w:val="004A38C2"/>
    <w:rsid w:val="004A3C03"/>
    <w:rsid w:val="004A3DB7"/>
    <w:rsid w:val="004A5088"/>
    <w:rsid w:val="004A5255"/>
    <w:rsid w:val="004A6CB0"/>
    <w:rsid w:val="004A70FF"/>
    <w:rsid w:val="004A7EDE"/>
    <w:rsid w:val="004B0D93"/>
    <w:rsid w:val="004B1FA4"/>
    <w:rsid w:val="004B29AC"/>
    <w:rsid w:val="004B35DF"/>
    <w:rsid w:val="004B3627"/>
    <w:rsid w:val="004B4922"/>
    <w:rsid w:val="004B54AF"/>
    <w:rsid w:val="004B57DF"/>
    <w:rsid w:val="004B5976"/>
    <w:rsid w:val="004B7137"/>
    <w:rsid w:val="004B722E"/>
    <w:rsid w:val="004B72E8"/>
    <w:rsid w:val="004C01A5"/>
    <w:rsid w:val="004C0412"/>
    <w:rsid w:val="004C1142"/>
    <w:rsid w:val="004C2138"/>
    <w:rsid w:val="004C2333"/>
    <w:rsid w:val="004C3940"/>
    <w:rsid w:val="004C51FD"/>
    <w:rsid w:val="004C65A8"/>
    <w:rsid w:val="004C65C8"/>
    <w:rsid w:val="004C6689"/>
    <w:rsid w:val="004D139A"/>
    <w:rsid w:val="004D14DC"/>
    <w:rsid w:val="004D17C6"/>
    <w:rsid w:val="004D2858"/>
    <w:rsid w:val="004D2E49"/>
    <w:rsid w:val="004D35BA"/>
    <w:rsid w:val="004D38E5"/>
    <w:rsid w:val="004D3C5A"/>
    <w:rsid w:val="004D449A"/>
    <w:rsid w:val="004D4701"/>
    <w:rsid w:val="004D47C7"/>
    <w:rsid w:val="004D4F35"/>
    <w:rsid w:val="004D5D45"/>
    <w:rsid w:val="004D618D"/>
    <w:rsid w:val="004D62A9"/>
    <w:rsid w:val="004D6FC3"/>
    <w:rsid w:val="004D7476"/>
    <w:rsid w:val="004D7716"/>
    <w:rsid w:val="004E0306"/>
    <w:rsid w:val="004E0572"/>
    <w:rsid w:val="004E06D5"/>
    <w:rsid w:val="004E1641"/>
    <w:rsid w:val="004E1818"/>
    <w:rsid w:val="004E1990"/>
    <w:rsid w:val="004E25A8"/>
    <w:rsid w:val="004E3930"/>
    <w:rsid w:val="004E3ED9"/>
    <w:rsid w:val="004E5866"/>
    <w:rsid w:val="004E6097"/>
    <w:rsid w:val="004E61EF"/>
    <w:rsid w:val="004E63C6"/>
    <w:rsid w:val="004E7648"/>
    <w:rsid w:val="004E76A7"/>
    <w:rsid w:val="004E7B03"/>
    <w:rsid w:val="004F0064"/>
    <w:rsid w:val="004F06AC"/>
    <w:rsid w:val="004F1D2A"/>
    <w:rsid w:val="004F243F"/>
    <w:rsid w:val="004F252C"/>
    <w:rsid w:val="004F36A3"/>
    <w:rsid w:val="004F3E0C"/>
    <w:rsid w:val="004F4308"/>
    <w:rsid w:val="004F7160"/>
    <w:rsid w:val="00500258"/>
    <w:rsid w:val="00500B2D"/>
    <w:rsid w:val="00501A99"/>
    <w:rsid w:val="00503180"/>
    <w:rsid w:val="005038A4"/>
    <w:rsid w:val="00505450"/>
    <w:rsid w:val="00505CC4"/>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20EF8"/>
    <w:rsid w:val="005210F7"/>
    <w:rsid w:val="00521753"/>
    <w:rsid w:val="0052239D"/>
    <w:rsid w:val="005224EE"/>
    <w:rsid w:val="005225F6"/>
    <w:rsid w:val="005227DE"/>
    <w:rsid w:val="00522879"/>
    <w:rsid w:val="00523BB1"/>
    <w:rsid w:val="0052570E"/>
    <w:rsid w:val="005260CD"/>
    <w:rsid w:val="00526265"/>
    <w:rsid w:val="0052655D"/>
    <w:rsid w:val="005265E0"/>
    <w:rsid w:val="00526A15"/>
    <w:rsid w:val="00526BC3"/>
    <w:rsid w:val="00531761"/>
    <w:rsid w:val="0053248F"/>
    <w:rsid w:val="0053332A"/>
    <w:rsid w:val="0053358A"/>
    <w:rsid w:val="00534668"/>
    <w:rsid w:val="00534DDD"/>
    <w:rsid w:val="00535291"/>
    <w:rsid w:val="00535A94"/>
    <w:rsid w:val="00537874"/>
    <w:rsid w:val="0053795F"/>
    <w:rsid w:val="00537D3D"/>
    <w:rsid w:val="00540511"/>
    <w:rsid w:val="00540578"/>
    <w:rsid w:val="00540808"/>
    <w:rsid w:val="0054080E"/>
    <w:rsid w:val="00540EA1"/>
    <w:rsid w:val="0054358E"/>
    <w:rsid w:val="00543AF4"/>
    <w:rsid w:val="00544191"/>
    <w:rsid w:val="0054440C"/>
    <w:rsid w:val="005448EC"/>
    <w:rsid w:val="00544C0A"/>
    <w:rsid w:val="00544F39"/>
    <w:rsid w:val="00546F90"/>
    <w:rsid w:val="00547EFB"/>
    <w:rsid w:val="005522F2"/>
    <w:rsid w:val="005531DF"/>
    <w:rsid w:val="00553874"/>
    <w:rsid w:val="00554577"/>
    <w:rsid w:val="00554AD8"/>
    <w:rsid w:val="00554F78"/>
    <w:rsid w:val="00555DA1"/>
    <w:rsid w:val="00556BF7"/>
    <w:rsid w:val="00557F60"/>
    <w:rsid w:val="00561730"/>
    <w:rsid w:val="00561B97"/>
    <w:rsid w:val="00562149"/>
    <w:rsid w:val="00567B5D"/>
    <w:rsid w:val="005706D5"/>
    <w:rsid w:val="00570757"/>
    <w:rsid w:val="00573733"/>
    <w:rsid w:val="00573F8B"/>
    <w:rsid w:val="00574554"/>
    <w:rsid w:val="00574E06"/>
    <w:rsid w:val="005751BB"/>
    <w:rsid w:val="00576089"/>
    <w:rsid w:val="005764B1"/>
    <w:rsid w:val="00576852"/>
    <w:rsid w:val="00576D06"/>
    <w:rsid w:val="00577287"/>
    <w:rsid w:val="005779E4"/>
    <w:rsid w:val="00577F9F"/>
    <w:rsid w:val="00580093"/>
    <w:rsid w:val="00580EC7"/>
    <w:rsid w:val="00581132"/>
    <w:rsid w:val="0058289C"/>
    <w:rsid w:val="005836C7"/>
    <w:rsid w:val="0058408E"/>
    <w:rsid w:val="00585374"/>
    <w:rsid w:val="005854CA"/>
    <w:rsid w:val="00585FAB"/>
    <w:rsid w:val="00590B77"/>
    <w:rsid w:val="00590D9A"/>
    <w:rsid w:val="005913A3"/>
    <w:rsid w:val="005940D4"/>
    <w:rsid w:val="00594A7B"/>
    <w:rsid w:val="0059580E"/>
    <w:rsid w:val="00595D90"/>
    <w:rsid w:val="00596A6F"/>
    <w:rsid w:val="00596FCE"/>
    <w:rsid w:val="005A11BC"/>
    <w:rsid w:val="005A1525"/>
    <w:rsid w:val="005A1E17"/>
    <w:rsid w:val="005A232F"/>
    <w:rsid w:val="005A252B"/>
    <w:rsid w:val="005A2A8F"/>
    <w:rsid w:val="005A3204"/>
    <w:rsid w:val="005A3341"/>
    <w:rsid w:val="005A3C3D"/>
    <w:rsid w:val="005A46EC"/>
    <w:rsid w:val="005A5EAE"/>
    <w:rsid w:val="005A6407"/>
    <w:rsid w:val="005A726C"/>
    <w:rsid w:val="005B07EC"/>
    <w:rsid w:val="005B222F"/>
    <w:rsid w:val="005B2B11"/>
    <w:rsid w:val="005B32A4"/>
    <w:rsid w:val="005B3371"/>
    <w:rsid w:val="005B338D"/>
    <w:rsid w:val="005B36D7"/>
    <w:rsid w:val="005B3BAF"/>
    <w:rsid w:val="005B4DA3"/>
    <w:rsid w:val="005B5362"/>
    <w:rsid w:val="005B5BEE"/>
    <w:rsid w:val="005B77D2"/>
    <w:rsid w:val="005C019B"/>
    <w:rsid w:val="005C08D0"/>
    <w:rsid w:val="005C1AED"/>
    <w:rsid w:val="005C30F5"/>
    <w:rsid w:val="005C51A5"/>
    <w:rsid w:val="005C557A"/>
    <w:rsid w:val="005C566F"/>
    <w:rsid w:val="005C5C47"/>
    <w:rsid w:val="005C61DD"/>
    <w:rsid w:val="005C6438"/>
    <w:rsid w:val="005C6B8B"/>
    <w:rsid w:val="005C727F"/>
    <w:rsid w:val="005D02E3"/>
    <w:rsid w:val="005D1F34"/>
    <w:rsid w:val="005D2C1F"/>
    <w:rsid w:val="005D2DE8"/>
    <w:rsid w:val="005D34B2"/>
    <w:rsid w:val="005D3B54"/>
    <w:rsid w:val="005D40CD"/>
    <w:rsid w:val="005D6B59"/>
    <w:rsid w:val="005D7060"/>
    <w:rsid w:val="005D784B"/>
    <w:rsid w:val="005E03E4"/>
    <w:rsid w:val="005E0454"/>
    <w:rsid w:val="005E05F6"/>
    <w:rsid w:val="005E068E"/>
    <w:rsid w:val="005E2442"/>
    <w:rsid w:val="005E3111"/>
    <w:rsid w:val="005E3F85"/>
    <w:rsid w:val="005E4A5F"/>
    <w:rsid w:val="005E57B0"/>
    <w:rsid w:val="005E5B01"/>
    <w:rsid w:val="005E6D3B"/>
    <w:rsid w:val="005F009E"/>
    <w:rsid w:val="005F0DF1"/>
    <w:rsid w:val="005F1516"/>
    <w:rsid w:val="005F229E"/>
    <w:rsid w:val="005F2564"/>
    <w:rsid w:val="005F2D0F"/>
    <w:rsid w:val="005F368B"/>
    <w:rsid w:val="005F3822"/>
    <w:rsid w:val="005F4635"/>
    <w:rsid w:val="005F4900"/>
    <w:rsid w:val="005F4E52"/>
    <w:rsid w:val="005F6D58"/>
    <w:rsid w:val="005F7383"/>
    <w:rsid w:val="0060058E"/>
    <w:rsid w:val="00601F77"/>
    <w:rsid w:val="00602A3C"/>
    <w:rsid w:val="00603E47"/>
    <w:rsid w:val="00603EFD"/>
    <w:rsid w:val="0060475B"/>
    <w:rsid w:val="00604BED"/>
    <w:rsid w:val="00604FB6"/>
    <w:rsid w:val="00605387"/>
    <w:rsid w:val="00606302"/>
    <w:rsid w:val="006076FD"/>
    <w:rsid w:val="0061143F"/>
    <w:rsid w:val="006114D8"/>
    <w:rsid w:val="00612345"/>
    <w:rsid w:val="00613553"/>
    <w:rsid w:val="00613601"/>
    <w:rsid w:val="00613791"/>
    <w:rsid w:val="006150D6"/>
    <w:rsid w:val="00615245"/>
    <w:rsid w:val="0061590D"/>
    <w:rsid w:val="0061641E"/>
    <w:rsid w:val="00617EEE"/>
    <w:rsid w:val="00620A1F"/>
    <w:rsid w:val="006214DE"/>
    <w:rsid w:val="0062169D"/>
    <w:rsid w:val="0062181E"/>
    <w:rsid w:val="0062211B"/>
    <w:rsid w:val="00622BB7"/>
    <w:rsid w:val="00622C1E"/>
    <w:rsid w:val="00623389"/>
    <w:rsid w:val="00623DAA"/>
    <w:rsid w:val="00623FAF"/>
    <w:rsid w:val="00625085"/>
    <w:rsid w:val="006265C4"/>
    <w:rsid w:val="0062678A"/>
    <w:rsid w:val="006270AF"/>
    <w:rsid w:val="00627A44"/>
    <w:rsid w:val="00627E6B"/>
    <w:rsid w:val="00634367"/>
    <w:rsid w:val="00640082"/>
    <w:rsid w:val="00640291"/>
    <w:rsid w:val="00640EFE"/>
    <w:rsid w:val="00641D6D"/>
    <w:rsid w:val="00641FAC"/>
    <w:rsid w:val="00643664"/>
    <w:rsid w:val="00643CAA"/>
    <w:rsid w:val="00644F16"/>
    <w:rsid w:val="006455EB"/>
    <w:rsid w:val="006456C2"/>
    <w:rsid w:val="00645A65"/>
    <w:rsid w:val="006463B2"/>
    <w:rsid w:val="006477F0"/>
    <w:rsid w:val="006478E4"/>
    <w:rsid w:val="00650091"/>
    <w:rsid w:val="0065171A"/>
    <w:rsid w:val="00652680"/>
    <w:rsid w:val="00653CDE"/>
    <w:rsid w:val="00654585"/>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0048"/>
    <w:rsid w:val="006711C4"/>
    <w:rsid w:val="00671332"/>
    <w:rsid w:val="006713AB"/>
    <w:rsid w:val="00672215"/>
    <w:rsid w:val="00672CA5"/>
    <w:rsid w:val="00673711"/>
    <w:rsid w:val="00673F82"/>
    <w:rsid w:val="00674F74"/>
    <w:rsid w:val="0067508F"/>
    <w:rsid w:val="00677576"/>
    <w:rsid w:val="0068051E"/>
    <w:rsid w:val="00680B9D"/>
    <w:rsid w:val="00681F13"/>
    <w:rsid w:val="0068231C"/>
    <w:rsid w:val="00682344"/>
    <w:rsid w:val="00682F28"/>
    <w:rsid w:val="00683515"/>
    <w:rsid w:val="00684842"/>
    <w:rsid w:val="0068576A"/>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6D5"/>
    <w:rsid w:val="006A1740"/>
    <w:rsid w:val="006A1772"/>
    <w:rsid w:val="006A1780"/>
    <w:rsid w:val="006A17DA"/>
    <w:rsid w:val="006A21DD"/>
    <w:rsid w:val="006A26C6"/>
    <w:rsid w:val="006A3302"/>
    <w:rsid w:val="006A3B28"/>
    <w:rsid w:val="006A4FEE"/>
    <w:rsid w:val="006A703E"/>
    <w:rsid w:val="006A7BE3"/>
    <w:rsid w:val="006A7D32"/>
    <w:rsid w:val="006B01D1"/>
    <w:rsid w:val="006B0DF4"/>
    <w:rsid w:val="006B0E2B"/>
    <w:rsid w:val="006B16EA"/>
    <w:rsid w:val="006B1780"/>
    <w:rsid w:val="006B224E"/>
    <w:rsid w:val="006B376E"/>
    <w:rsid w:val="006B4589"/>
    <w:rsid w:val="006B610E"/>
    <w:rsid w:val="006B643B"/>
    <w:rsid w:val="006B6509"/>
    <w:rsid w:val="006B6805"/>
    <w:rsid w:val="006B6DE0"/>
    <w:rsid w:val="006C16C3"/>
    <w:rsid w:val="006C2187"/>
    <w:rsid w:val="006C32F4"/>
    <w:rsid w:val="006C3C54"/>
    <w:rsid w:val="006C4B6B"/>
    <w:rsid w:val="006C4F9F"/>
    <w:rsid w:val="006C71A2"/>
    <w:rsid w:val="006C73EC"/>
    <w:rsid w:val="006D0C1D"/>
    <w:rsid w:val="006D2E9D"/>
    <w:rsid w:val="006D4A4E"/>
    <w:rsid w:val="006D4C42"/>
    <w:rsid w:val="006D5389"/>
    <w:rsid w:val="006D5809"/>
    <w:rsid w:val="006D607E"/>
    <w:rsid w:val="006D6781"/>
    <w:rsid w:val="006D6E12"/>
    <w:rsid w:val="006D70CB"/>
    <w:rsid w:val="006D715C"/>
    <w:rsid w:val="006D7363"/>
    <w:rsid w:val="006D774E"/>
    <w:rsid w:val="006D7EA2"/>
    <w:rsid w:val="006E0754"/>
    <w:rsid w:val="006E10BB"/>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21"/>
    <w:rsid w:val="006F3231"/>
    <w:rsid w:val="006F3DE3"/>
    <w:rsid w:val="006F4787"/>
    <w:rsid w:val="006F5C43"/>
    <w:rsid w:val="006F61D8"/>
    <w:rsid w:val="006F62B7"/>
    <w:rsid w:val="006F70BC"/>
    <w:rsid w:val="006F734B"/>
    <w:rsid w:val="006F7E7C"/>
    <w:rsid w:val="0070174E"/>
    <w:rsid w:val="007018DB"/>
    <w:rsid w:val="00701DE6"/>
    <w:rsid w:val="00702740"/>
    <w:rsid w:val="0070381B"/>
    <w:rsid w:val="007076DD"/>
    <w:rsid w:val="0070796C"/>
    <w:rsid w:val="007109BB"/>
    <w:rsid w:val="00710EBF"/>
    <w:rsid w:val="007110B8"/>
    <w:rsid w:val="0071209F"/>
    <w:rsid w:val="007122AC"/>
    <w:rsid w:val="007125A2"/>
    <w:rsid w:val="00713DD9"/>
    <w:rsid w:val="00713F79"/>
    <w:rsid w:val="007148A8"/>
    <w:rsid w:val="00716AC8"/>
    <w:rsid w:val="00716E54"/>
    <w:rsid w:val="00717421"/>
    <w:rsid w:val="0072033C"/>
    <w:rsid w:val="00720B1B"/>
    <w:rsid w:val="00721062"/>
    <w:rsid w:val="00721E5D"/>
    <w:rsid w:val="007229D4"/>
    <w:rsid w:val="007230F8"/>
    <w:rsid w:val="007233F4"/>
    <w:rsid w:val="00724044"/>
    <w:rsid w:val="00724552"/>
    <w:rsid w:val="007248D3"/>
    <w:rsid w:val="00724DF8"/>
    <w:rsid w:val="00725137"/>
    <w:rsid w:val="00725378"/>
    <w:rsid w:val="00725573"/>
    <w:rsid w:val="00727A43"/>
    <w:rsid w:val="00727FF2"/>
    <w:rsid w:val="00730550"/>
    <w:rsid w:val="00730C2A"/>
    <w:rsid w:val="00731434"/>
    <w:rsid w:val="00731E59"/>
    <w:rsid w:val="007323E0"/>
    <w:rsid w:val="00732911"/>
    <w:rsid w:val="00733721"/>
    <w:rsid w:val="00733DE2"/>
    <w:rsid w:val="007352EA"/>
    <w:rsid w:val="0073625F"/>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154E"/>
    <w:rsid w:val="0075267F"/>
    <w:rsid w:val="007526EC"/>
    <w:rsid w:val="007527F7"/>
    <w:rsid w:val="00753C48"/>
    <w:rsid w:val="00753ED8"/>
    <w:rsid w:val="00754250"/>
    <w:rsid w:val="00754FE4"/>
    <w:rsid w:val="00755216"/>
    <w:rsid w:val="00756236"/>
    <w:rsid w:val="00756271"/>
    <w:rsid w:val="00756348"/>
    <w:rsid w:val="00756521"/>
    <w:rsid w:val="00756AB7"/>
    <w:rsid w:val="0076106D"/>
    <w:rsid w:val="007623FB"/>
    <w:rsid w:val="00762517"/>
    <w:rsid w:val="00763240"/>
    <w:rsid w:val="0076376A"/>
    <w:rsid w:val="007648AD"/>
    <w:rsid w:val="0076504E"/>
    <w:rsid w:val="00767BFD"/>
    <w:rsid w:val="00767EA0"/>
    <w:rsid w:val="0077068F"/>
    <w:rsid w:val="00771EDF"/>
    <w:rsid w:val="00772A90"/>
    <w:rsid w:val="00772F8D"/>
    <w:rsid w:val="0077408D"/>
    <w:rsid w:val="00774270"/>
    <w:rsid w:val="007743F6"/>
    <w:rsid w:val="00775679"/>
    <w:rsid w:val="0077574F"/>
    <w:rsid w:val="00775823"/>
    <w:rsid w:val="00775EEA"/>
    <w:rsid w:val="007777CC"/>
    <w:rsid w:val="00777B32"/>
    <w:rsid w:val="0078051E"/>
    <w:rsid w:val="00780B59"/>
    <w:rsid w:val="00781089"/>
    <w:rsid w:val="007838F3"/>
    <w:rsid w:val="007856FE"/>
    <w:rsid w:val="00785F46"/>
    <w:rsid w:val="007865F4"/>
    <w:rsid w:val="00786D5C"/>
    <w:rsid w:val="00786E96"/>
    <w:rsid w:val="00787DFF"/>
    <w:rsid w:val="00787F93"/>
    <w:rsid w:val="00791E6D"/>
    <w:rsid w:val="00791EB5"/>
    <w:rsid w:val="00791FF2"/>
    <w:rsid w:val="00793696"/>
    <w:rsid w:val="007955DA"/>
    <w:rsid w:val="00795A2D"/>
    <w:rsid w:val="00796986"/>
    <w:rsid w:val="00796F65"/>
    <w:rsid w:val="007A11C2"/>
    <w:rsid w:val="007A18BB"/>
    <w:rsid w:val="007A1BC2"/>
    <w:rsid w:val="007A229D"/>
    <w:rsid w:val="007A27DD"/>
    <w:rsid w:val="007A3CC1"/>
    <w:rsid w:val="007A41BF"/>
    <w:rsid w:val="007A490A"/>
    <w:rsid w:val="007A7B95"/>
    <w:rsid w:val="007B0297"/>
    <w:rsid w:val="007B02FA"/>
    <w:rsid w:val="007B0F53"/>
    <w:rsid w:val="007B21AE"/>
    <w:rsid w:val="007B2570"/>
    <w:rsid w:val="007B3113"/>
    <w:rsid w:val="007B3304"/>
    <w:rsid w:val="007B7490"/>
    <w:rsid w:val="007C0525"/>
    <w:rsid w:val="007C13F7"/>
    <w:rsid w:val="007C218D"/>
    <w:rsid w:val="007C2D28"/>
    <w:rsid w:val="007C3E22"/>
    <w:rsid w:val="007C5B90"/>
    <w:rsid w:val="007C6218"/>
    <w:rsid w:val="007C6484"/>
    <w:rsid w:val="007C67C6"/>
    <w:rsid w:val="007C78BE"/>
    <w:rsid w:val="007C7E59"/>
    <w:rsid w:val="007D0476"/>
    <w:rsid w:val="007D0B91"/>
    <w:rsid w:val="007D1386"/>
    <w:rsid w:val="007D1452"/>
    <w:rsid w:val="007D3DCB"/>
    <w:rsid w:val="007D460C"/>
    <w:rsid w:val="007D4996"/>
    <w:rsid w:val="007D4AD3"/>
    <w:rsid w:val="007D5D19"/>
    <w:rsid w:val="007D5FDC"/>
    <w:rsid w:val="007D6176"/>
    <w:rsid w:val="007D6D68"/>
    <w:rsid w:val="007E32DA"/>
    <w:rsid w:val="007E4998"/>
    <w:rsid w:val="007E4A9C"/>
    <w:rsid w:val="007E6914"/>
    <w:rsid w:val="007E7884"/>
    <w:rsid w:val="007E7F78"/>
    <w:rsid w:val="007F0179"/>
    <w:rsid w:val="007F149D"/>
    <w:rsid w:val="007F2C13"/>
    <w:rsid w:val="007F2CEC"/>
    <w:rsid w:val="007F3435"/>
    <w:rsid w:val="007F4BBE"/>
    <w:rsid w:val="007F55DE"/>
    <w:rsid w:val="007F762D"/>
    <w:rsid w:val="007F78F0"/>
    <w:rsid w:val="007F78FF"/>
    <w:rsid w:val="008001C5"/>
    <w:rsid w:val="00800F6C"/>
    <w:rsid w:val="00801065"/>
    <w:rsid w:val="00802C0B"/>
    <w:rsid w:val="008051FC"/>
    <w:rsid w:val="008055A9"/>
    <w:rsid w:val="008056C4"/>
    <w:rsid w:val="008057FD"/>
    <w:rsid w:val="00805D8B"/>
    <w:rsid w:val="00810A63"/>
    <w:rsid w:val="00810BB6"/>
    <w:rsid w:val="00810E8E"/>
    <w:rsid w:val="008124BC"/>
    <w:rsid w:val="00812C44"/>
    <w:rsid w:val="008135E1"/>
    <w:rsid w:val="00813779"/>
    <w:rsid w:val="00813E26"/>
    <w:rsid w:val="00814795"/>
    <w:rsid w:val="0081481D"/>
    <w:rsid w:val="00814BE8"/>
    <w:rsid w:val="00814F6E"/>
    <w:rsid w:val="00815363"/>
    <w:rsid w:val="00815B84"/>
    <w:rsid w:val="00816BE9"/>
    <w:rsid w:val="0082027C"/>
    <w:rsid w:val="00822518"/>
    <w:rsid w:val="008226F5"/>
    <w:rsid w:val="00823FC6"/>
    <w:rsid w:val="00824306"/>
    <w:rsid w:val="00825C74"/>
    <w:rsid w:val="00825CFA"/>
    <w:rsid w:val="00826AB9"/>
    <w:rsid w:val="00826E0E"/>
    <w:rsid w:val="00827D11"/>
    <w:rsid w:val="00827E0F"/>
    <w:rsid w:val="00827F6E"/>
    <w:rsid w:val="00831352"/>
    <w:rsid w:val="00831758"/>
    <w:rsid w:val="008317D9"/>
    <w:rsid w:val="0083279F"/>
    <w:rsid w:val="008334DB"/>
    <w:rsid w:val="00833B7F"/>
    <w:rsid w:val="00833E8E"/>
    <w:rsid w:val="00834906"/>
    <w:rsid w:val="00836075"/>
    <w:rsid w:val="00836417"/>
    <w:rsid w:val="00836A3E"/>
    <w:rsid w:val="00837526"/>
    <w:rsid w:val="008407A7"/>
    <w:rsid w:val="0084322B"/>
    <w:rsid w:val="00843F81"/>
    <w:rsid w:val="00844087"/>
    <w:rsid w:val="00844526"/>
    <w:rsid w:val="008448F1"/>
    <w:rsid w:val="0084519E"/>
    <w:rsid w:val="00845CAE"/>
    <w:rsid w:val="00846370"/>
    <w:rsid w:val="008477E7"/>
    <w:rsid w:val="00847C2B"/>
    <w:rsid w:val="00850272"/>
    <w:rsid w:val="008506B9"/>
    <w:rsid w:val="00851822"/>
    <w:rsid w:val="00851DE4"/>
    <w:rsid w:val="008532BF"/>
    <w:rsid w:val="008539B2"/>
    <w:rsid w:val="00853BF4"/>
    <w:rsid w:val="00854294"/>
    <w:rsid w:val="0085572E"/>
    <w:rsid w:val="00856D46"/>
    <w:rsid w:val="0085788B"/>
    <w:rsid w:val="00857A9E"/>
    <w:rsid w:val="00857DE2"/>
    <w:rsid w:val="00863A8E"/>
    <w:rsid w:val="0086407F"/>
    <w:rsid w:val="008645E3"/>
    <w:rsid w:val="00864E79"/>
    <w:rsid w:val="008655D2"/>
    <w:rsid w:val="0086661F"/>
    <w:rsid w:val="00866A0D"/>
    <w:rsid w:val="00866DB5"/>
    <w:rsid w:val="0086701D"/>
    <w:rsid w:val="0086702B"/>
    <w:rsid w:val="008672E2"/>
    <w:rsid w:val="0086784E"/>
    <w:rsid w:val="0087121C"/>
    <w:rsid w:val="00871FD2"/>
    <w:rsid w:val="00872084"/>
    <w:rsid w:val="00872827"/>
    <w:rsid w:val="00872A32"/>
    <w:rsid w:val="00874911"/>
    <w:rsid w:val="008754E4"/>
    <w:rsid w:val="00876EAE"/>
    <w:rsid w:val="00877B8F"/>
    <w:rsid w:val="00880106"/>
    <w:rsid w:val="00880F95"/>
    <w:rsid w:val="00882B44"/>
    <w:rsid w:val="008838AD"/>
    <w:rsid w:val="008864B3"/>
    <w:rsid w:val="008865E5"/>
    <w:rsid w:val="008871B0"/>
    <w:rsid w:val="00890B57"/>
    <w:rsid w:val="008916BA"/>
    <w:rsid w:val="0089217C"/>
    <w:rsid w:val="00892790"/>
    <w:rsid w:val="008931DA"/>
    <w:rsid w:val="00893671"/>
    <w:rsid w:val="008946DC"/>
    <w:rsid w:val="00895838"/>
    <w:rsid w:val="00895A1E"/>
    <w:rsid w:val="00895A72"/>
    <w:rsid w:val="00895CDF"/>
    <w:rsid w:val="00896679"/>
    <w:rsid w:val="00896D8C"/>
    <w:rsid w:val="008A05A7"/>
    <w:rsid w:val="008A088C"/>
    <w:rsid w:val="008A0FC9"/>
    <w:rsid w:val="008A1956"/>
    <w:rsid w:val="008A1A7C"/>
    <w:rsid w:val="008A2CE2"/>
    <w:rsid w:val="008A40D3"/>
    <w:rsid w:val="008A469C"/>
    <w:rsid w:val="008A51D1"/>
    <w:rsid w:val="008A5DCE"/>
    <w:rsid w:val="008A75D3"/>
    <w:rsid w:val="008B00D4"/>
    <w:rsid w:val="008B05DD"/>
    <w:rsid w:val="008B07B8"/>
    <w:rsid w:val="008B17E8"/>
    <w:rsid w:val="008B2E7C"/>
    <w:rsid w:val="008B321A"/>
    <w:rsid w:val="008B399A"/>
    <w:rsid w:val="008B45F0"/>
    <w:rsid w:val="008B4A70"/>
    <w:rsid w:val="008B502F"/>
    <w:rsid w:val="008B6DFC"/>
    <w:rsid w:val="008B7227"/>
    <w:rsid w:val="008C02FB"/>
    <w:rsid w:val="008C04E0"/>
    <w:rsid w:val="008C0AAB"/>
    <w:rsid w:val="008C0EDB"/>
    <w:rsid w:val="008C191C"/>
    <w:rsid w:val="008C1DA4"/>
    <w:rsid w:val="008C29B0"/>
    <w:rsid w:val="008C2CD5"/>
    <w:rsid w:val="008C3618"/>
    <w:rsid w:val="008C39E7"/>
    <w:rsid w:val="008C43AD"/>
    <w:rsid w:val="008C6118"/>
    <w:rsid w:val="008C6341"/>
    <w:rsid w:val="008C731F"/>
    <w:rsid w:val="008C74D9"/>
    <w:rsid w:val="008D03C2"/>
    <w:rsid w:val="008D12FB"/>
    <w:rsid w:val="008D32E9"/>
    <w:rsid w:val="008D3B2D"/>
    <w:rsid w:val="008D58D9"/>
    <w:rsid w:val="008D5AD4"/>
    <w:rsid w:val="008D695E"/>
    <w:rsid w:val="008D6DD5"/>
    <w:rsid w:val="008D6E59"/>
    <w:rsid w:val="008D7155"/>
    <w:rsid w:val="008D76E0"/>
    <w:rsid w:val="008E09F2"/>
    <w:rsid w:val="008E0B29"/>
    <w:rsid w:val="008E141A"/>
    <w:rsid w:val="008E1A44"/>
    <w:rsid w:val="008E1E55"/>
    <w:rsid w:val="008E28E6"/>
    <w:rsid w:val="008E3232"/>
    <w:rsid w:val="008E3674"/>
    <w:rsid w:val="008E3B6C"/>
    <w:rsid w:val="008E3DE7"/>
    <w:rsid w:val="008E562C"/>
    <w:rsid w:val="008E6540"/>
    <w:rsid w:val="008E6D26"/>
    <w:rsid w:val="008E77D4"/>
    <w:rsid w:val="008E7ADD"/>
    <w:rsid w:val="008F091F"/>
    <w:rsid w:val="008F17B2"/>
    <w:rsid w:val="008F22B3"/>
    <w:rsid w:val="008F357B"/>
    <w:rsid w:val="008F44CA"/>
    <w:rsid w:val="008F49D3"/>
    <w:rsid w:val="008F62C1"/>
    <w:rsid w:val="008F6519"/>
    <w:rsid w:val="008F7012"/>
    <w:rsid w:val="008F7ADA"/>
    <w:rsid w:val="008F7B17"/>
    <w:rsid w:val="00900042"/>
    <w:rsid w:val="0090034B"/>
    <w:rsid w:val="00901121"/>
    <w:rsid w:val="00902623"/>
    <w:rsid w:val="00902A67"/>
    <w:rsid w:val="00902C5E"/>
    <w:rsid w:val="00904BE4"/>
    <w:rsid w:val="0090504A"/>
    <w:rsid w:val="009051F5"/>
    <w:rsid w:val="00905221"/>
    <w:rsid w:val="009052F5"/>
    <w:rsid w:val="00905A7C"/>
    <w:rsid w:val="00905D7E"/>
    <w:rsid w:val="00907037"/>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956"/>
    <w:rsid w:val="00921BEA"/>
    <w:rsid w:val="009227BE"/>
    <w:rsid w:val="009238FD"/>
    <w:rsid w:val="00923998"/>
    <w:rsid w:val="00923DB4"/>
    <w:rsid w:val="0092420B"/>
    <w:rsid w:val="0092430E"/>
    <w:rsid w:val="00924570"/>
    <w:rsid w:val="00926112"/>
    <w:rsid w:val="0092625F"/>
    <w:rsid w:val="00926B28"/>
    <w:rsid w:val="00926D9C"/>
    <w:rsid w:val="00927028"/>
    <w:rsid w:val="00927763"/>
    <w:rsid w:val="00927A2D"/>
    <w:rsid w:val="00927B37"/>
    <w:rsid w:val="00931917"/>
    <w:rsid w:val="009321B1"/>
    <w:rsid w:val="00932ED7"/>
    <w:rsid w:val="009333CF"/>
    <w:rsid w:val="0093422D"/>
    <w:rsid w:val="0093483B"/>
    <w:rsid w:val="00934CF9"/>
    <w:rsid w:val="00934DD7"/>
    <w:rsid w:val="009369A9"/>
    <w:rsid w:val="00936CF7"/>
    <w:rsid w:val="00937783"/>
    <w:rsid w:val="00937EAD"/>
    <w:rsid w:val="00937F28"/>
    <w:rsid w:val="00940FE1"/>
    <w:rsid w:val="00942306"/>
    <w:rsid w:val="00942384"/>
    <w:rsid w:val="009424B8"/>
    <w:rsid w:val="009444C8"/>
    <w:rsid w:val="00944668"/>
    <w:rsid w:val="00944DC6"/>
    <w:rsid w:val="009458B0"/>
    <w:rsid w:val="00945B52"/>
    <w:rsid w:val="00945B7A"/>
    <w:rsid w:val="00945F05"/>
    <w:rsid w:val="00946348"/>
    <w:rsid w:val="00947797"/>
    <w:rsid w:val="009478A2"/>
    <w:rsid w:val="00953808"/>
    <w:rsid w:val="009539A6"/>
    <w:rsid w:val="00954032"/>
    <w:rsid w:val="00954537"/>
    <w:rsid w:val="0095472D"/>
    <w:rsid w:val="00955205"/>
    <w:rsid w:val="00955FBB"/>
    <w:rsid w:val="0095694B"/>
    <w:rsid w:val="00956BD5"/>
    <w:rsid w:val="00956D84"/>
    <w:rsid w:val="009577B5"/>
    <w:rsid w:val="00957E83"/>
    <w:rsid w:val="00960110"/>
    <w:rsid w:val="009608E6"/>
    <w:rsid w:val="00960F57"/>
    <w:rsid w:val="00961C90"/>
    <w:rsid w:val="00965443"/>
    <w:rsid w:val="00965954"/>
    <w:rsid w:val="00965A21"/>
    <w:rsid w:val="00965E55"/>
    <w:rsid w:val="0096608E"/>
    <w:rsid w:val="00966522"/>
    <w:rsid w:val="00966C33"/>
    <w:rsid w:val="00966FCB"/>
    <w:rsid w:val="00967285"/>
    <w:rsid w:val="00970F18"/>
    <w:rsid w:val="00971CF1"/>
    <w:rsid w:val="00971F5D"/>
    <w:rsid w:val="009721E9"/>
    <w:rsid w:val="00973772"/>
    <w:rsid w:val="0097471B"/>
    <w:rsid w:val="0097560A"/>
    <w:rsid w:val="00975E1E"/>
    <w:rsid w:val="00975E70"/>
    <w:rsid w:val="009761DE"/>
    <w:rsid w:val="009766FA"/>
    <w:rsid w:val="00977CD6"/>
    <w:rsid w:val="0098048B"/>
    <w:rsid w:val="00980DF9"/>
    <w:rsid w:val="00981150"/>
    <w:rsid w:val="0098243D"/>
    <w:rsid w:val="00982D26"/>
    <w:rsid w:val="00983B6E"/>
    <w:rsid w:val="00983FE5"/>
    <w:rsid w:val="009849E9"/>
    <w:rsid w:val="009859E4"/>
    <w:rsid w:val="00987812"/>
    <w:rsid w:val="00990225"/>
    <w:rsid w:val="00992A13"/>
    <w:rsid w:val="00994AAD"/>
    <w:rsid w:val="00994DE1"/>
    <w:rsid w:val="00995150"/>
    <w:rsid w:val="00995D67"/>
    <w:rsid w:val="009A013B"/>
    <w:rsid w:val="009A02F4"/>
    <w:rsid w:val="009A06BF"/>
    <w:rsid w:val="009A0D17"/>
    <w:rsid w:val="009A2494"/>
    <w:rsid w:val="009A32B1"/>
    <w:rsid w:val="009A33A3"/>
    <w:rsid w:val="009A36F2"/>
    <w:rsid w:val="009A40C3"/>
    <w:rsid w:val="009A40D5"/>
    <w:rsid w:val="009A57D0"/>
    <w:rsid w:val="009A6559"/>
    <w:rsid w:val="009A68FC"/>
    <w:rsid w:val="009A6CE4"/>
    <w:rsid w:val="009A7514"/>
    <w:rsid w:val="009A7E7A"/>
    <w:rsid w:val="009B1584"/>
    <w:rsid w:val="009B183D"/>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2913"/>
    <w:rsid w:val="009C2BD4"/>
    <w:rsid w:val="009C5AFE"/>
    <w:rsid w:val="009C6606"/>
    <w:rsid w:val="009C6CE5"/>
    <w:rsid w:val="009C6D50"/>
    <w:rsid w:val="009C7547"/>
    <w:rsid w:val="009D05EC"/>
    <w:rsid w:val="009D18D4"/>
    <w:rsid w:val="009D26D1"/>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663C"/>
    <w:rsid w:val="009E684A"/>
    <w:rsid w:val="009E6BB1"/>
    <w:rsid w:val="009E6E14"/>
    <w:rsid w:val="009E794A"/>
    <w:rsid w:val="009E7C14"/>
    <w:rsid w:val="009F0494"/>
    <w:rsid w:val="009F0CD9"/>
    <w:rsid w:val="009F1A79"/>
    <w:rsid w:val="009F1F57"/>
    <w:rsid w:val="009F2DDD"/>
    <w:rsid w:val="009F3447"/>
    <w:rsid w:val="009F438D"/>
    <w:rsid w:val="009F65F4"/>
    <w:rsid w:val="009F676B"/>
    <w:rsid w:val="009F6D2D"/>
    <w:rsid w:val="009F6D54"/>
    <w:rsid w:val="00A0010C"/>
    <w:rsid w:val="00A004DF"/>
    <w:rsid w:val="00A00FD5"/>
    <w:rsid w:val="00A012C0"/>
    <w:rsid w:val="00A019A8"/>
    <w:rsid w:val="00A01B03"/>
    <w:rsid w:val="00A01B89"/>
    <w:rsid w:val="00A02C66"/>
    <w:rsid w:val="00A02C84"/>
    <w:rsid w:val="00A03DFA"/>
    <w:rsid w:val="00A0464C"/>
    <w:rsid w:val="00A050BB"/>
    <w:rsid w:val="00A054E0"/>
    <w:rsid w:val="00A05D91"/>
    <w:rsid w:val="00A0740B"/>
    <w:rsid w:val="00A07ED3"/>
    <w:rsid w:val="00A10CA8"/>
    <w:rsid w:val="00A11042"/>
    <w:rsid w:val="00A12579"/>
    <w:rsid w:val="00A133D8"/>
    <w:rsid w:val="00A15655"/>
    <w:rsid w:val="00A160B0"/>
    <w:rsid w:val="00A1740C"/>
    <w:rsid w:val="00A20069"/>
    <w:rsid w:val="00A2244D"/>
    <w:rsid w:val="00A2253D"/>
    <w:rsid w:val="00A2267F"/>
    <w:rsid w:val="00A22CDB"/>
    <w:rsid w:val="00A247B8"/>
    <w:rsid w:val="00A2495A"/>
    <w:rsid w:val="00A24C7A"/>
    <w:rsid w:val="00A24D8F"/>
    <w:rsid w:val="00A250DD"/>
    <w:rsid w:val="00A25B8B"/>
    <w:rsid w:val="00A25C5D"/>
    <w:rsid w:val="00A2689F"/>
    <w:rsid w:val="00A26ECA"/>
    <w:rsid w:val="00A26EFD"/>
    <w:rsid w:val="00A27461"/>
    <w:rsid w:val="00A27D67"/>
    <w:rsid w:val="00A30ABC"/>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6B74"/>
    <w:rsid w:val="00A47ECC"/>
    <w:rsid w:val="00A50171"/>
    <w:rsid w:val="00A504FA"/>
    <w:rsid w:val="00A5102E"/>
    <w:rsid w:val="00A5132E"/>
    <w:rsid w:val="00A51375"/>
    <w:rsid w:val="00A51533"/>
    <w:rsid w:val="00A531D4"/>
    <w:rsid w:val="00A54572"/>
    <w:rsid w:val="00A575B8"/>
    <w:rsid w:val="00A60155"/>
    <w:rsid w:val="00A61C60"/>
    <w:rsid w:val="00A61ECB"/>
    <w:rsid w:val="00A6410C"/>
    <w:rsid w:val="00A647B1"/>
    <w:rsid w:val="00A64DEF"/>
    <w:rsid w:val="00A654D2"/>
    <w:rsid w:val="00A665DF"/>
    <w:rsid w:val="00A67928"/>
    <w:rsid w:val="00A67FCC"/>
    <w:rsid w:val="00A70AA5"/>
    <w:rsid w:val="00A70C03"/>
    <w:rsid w:val="00A71256"/>
    <w:rsid w:val="00A7217B"/>
    <w:rsid w:val="00A73861"/>
    <w:rsid w:val="00A739A6"/>
    <w:rsid w:val="00A740ED"/>
    <w:rsid w:val="00A74C29"/>
    <w:rsid w:val="00A74C62"/>
    <w:rsid w:val="00A75DF5"/>
    <w:rsid w:val="00A75EF9"/>
    <w:rsid w:val="00A8311C"/>
    <w:rsid w:val="00A835D0"/>
    <w:rsid w:val="00A84C5F"/>
    <w:rsid w:val="00A85930"/>
    <w:rsid w:val="00A863F7"/>
    <w:rsid w:val="00A86604"/>
    <w:rsid w:val="00A87519"/>
    <w:rsid w:val="00A9125D"/>
    <w:rsid w:val="00A9246D"/>
    <w:rsid w:val="00A92CCA"/>
    <w:rsid w:val="00A93BD0"/>
    <w:rsid w:val="00A93CC2"/>
    <w:rsid w:val="00A974CC"/>
    <w:rsid w:val="00AA1067"/>
    <w:rsid w:val="00AA2001"/>
    <w:rsid w:val="00AA2B5C"/>
    <w:rsid w:val="00AA32D2"/>
    <w:rsid w:val="00AA4016"/>
    <w:rsid w:val="00AA4C1F"/>
    <w:rsid w:val="00AA5328"/>
    <w:rsid w:val="00AA5393"/>
    <w:rsid w:val="00AA63D4"/>
    <w:rsid w:val="00AB03FD"/>
    <w:rsid w:val="00AB2000"/>
    <w:rsid w:val="00AB2E94"/>
    <w:rsid w:val="00AB38CB"/>
    <w:rsid w:val="00AB3BEC"/>
    <w:rsid w:val="00AB44E4"/>
    <w:rsid w:val="00AB4AEB"/>
    <w:rsid w:val="00AB4E5F"/>
    <w:rsid w:val="00AB5256"/>
    <w:rsid w:val="00AB5352"/>
    <w:rsid w:val="00AB56AE"/>
    <w:rsid w:val="00AB5BD3"/>
    <w:rsid w:val="00AB62D5"/>
    <w:rsid w:val="00AB65B5"/>
    <w:rsid w:val="00AB6DCD"/>
    <w:rsid w:val="00AB6EE0"/>
    <w:rsid w:val="00AC17A2"/>
    <w:rsid w:val="00AC18CD"/>
    <w:rsid w:val="00AC3581"/>
    <w:rsid w:val="00AC40B7"/>
    <w:rsid w:val="00AC531F"/>
    <w:rsid w:val="00AC5B36"/>
    <w:rsid w:val="00AC6377"/>
    <w:rsid w:val="00AC66A4"/>
    <w:rsid w:val="00AC6CB1"/>
    <w:rsid w:val="00AC7D6D"/>
    <w:rsid w:val="00AD0091"/>
    <w:rsid w:val="00AD23EF"/>
    <w:rsid w:val="00AD2662"/>
    <w:rsid w:val="00AD307B"/>
    <w:rsid w:val="00AD4014"/>
    <w:rsid w:val="00AD41B3"/>
    <w:rsid w:val="00AD42F3"/>
    <w:rsid w:val="00AD5721"/>
    <w:rsid w:val="00AD5C4D"/>
    <w:rsid w:val="00AD69F0"/>
    <w:rsid w:val="00AD7127"/>
    <w:rsid w:val="00AD730C"/>
    <w:rsid w:val="00AD7795"/>
    <w:rsid w:val="00AE123A"/>
    <w:rsid w:val="00AE1539"/>
    <w:rsid w:val="00AE28A7"/>
    <w:rsid w:val="00AE2A98"/>
    <w:rsid w:val="00AE2CF2"/>
    <w:rsid w:val="00AE3012"/>
    <w:rsid w:val="00AE31D2"/>
    <w:rsid w:val="00AE33A6"/>
    <w:rsid w:val="00AE3729"/>
    <w:rsid w:val="00AE4138"/>
    <w:rsid w:val="00AE4CCE"/>
    <w:rsid w:val="00AE5C6A"/>
    <w:rsid w:val="00AE6317"/>
    <w:rsid w:val="00AE6B62"/>
    <w:rsid w:val="00AE6C0C"/>
    <w:rsid w:val="00AE7280"/>
    <w:rsid w:val="00AF033A"/>
    <w:rsid w:val="00AF1699"/>
    <w:rsid w:val="00AF1FD3"/>
    <w:rsid w:val="00AF2910"/>
    <w:rsid w:val="00AF34B8"/>
    <w:rsid w:val="00AF3896"/>
    <w:rsid w:val="00AF3FC2"/>
    <w:rsid w:val="00AF48DB"/>
    <w:rsid w:val="00B0098A"/>
    <w:rsid w:val="00B00A5F"/>
    <w:rsid w:val="00B00F89"/>
    <w:rsid w:val="00B029B8"/>
    <w:rsid w:val="00B02F60"/>
    <w:rsid w:val="00B032B8"/>
    <w:rsid w:val="00B04721"/>
    <w:rsid w:val="00B04B15"/>
    <w:rsid w:val="00B04B46"/>
    <w:rsid w:val="00B0534D"/>
    <w:rsid w:val="00B05685"/>
    <w:rsid w:val="00B05F9F"/>
    <w:rsid w:val="00B06368"/>
    <w:rsid w:val="00B068DA"/>
    <w:rsid w:val="00B06A00"/>
    <w:rsid w:val="00B06FC6"/>
    <w:rsid w:val="00B074C9"/>
    <w:rsid w:val="00B07D9D"/>
    <w:rsid w:val="00B07EAF"/>
    <w:rsid w:val="00B11AE5"/>
    <w:rsid w:val="00B12FE6"/>
    <w:rsid w:val="00B1303F"/>
    <w:rsid w:val="00B1364A"/>
    <w:rsid w:val="00B13859"/>
    <w:rsid w:val="00B13EC9"/>
    <w:rsid w:val="00B14319"/>
    <w:rsid w:val="00B14A06"/>
    <w:rsid w:val="00B158E1"/>
    <w:rsid w:val="00B16715"/>
    <w:rsid w:val="00B1768E"/>
    <w:rsid w:val="00B17910"/>
    <w:rsid w:val="00B20F18"/>
    <w:rsid w:val="00B21516"/>
    <w:rsid w:val="00B21A37"/>
    <w:rsid w:val="00B21D23"/>
    <w:rsid w:val="00B21F62"/>
    <w:rsid w:val="00B22CE0"/>
    <w:rsid w:val="00B23738"/>
    <w:rsid w:val="00B23BEF"/>
    <w:rsid w:val="00B247BB"/>
    <w:rsid w:val="00B24F86"/>
    <w:rsid w:val="00B2504A"/>
    <w:rsid w:val="00B25EE6"/>
    <w:rsid w:val="00B3115A"/>
    <w:rsid w:val="00B31825"/>
    <w:rsid w:val="00B31A5C"/>
    <w:rsid w:val="00B33B06"/>
    <w:rsid w:val="00B33C19"/>
    <w:rsid w:val="00B35A15"/>
    <w:rsid w:val="00B35B45"/>
    <w:rsid w:val="00B36A99"/>
    <w:rsid w:val="00B42264"/>
    <w:rsid w:val="00B434B2"/>
    <w:rsid w:val="00B43D45"/>
    <w:rsid w:val="00B468F2"/>
    <w:rsid w:val="00B469DE"/>
    <w:rsid w:val="00B47286"/>
    <w:rsid w:val="00B50234"/>
    <w:rsid w:val="00B51BF4"/>
    <w:rsid w:val="00B52C68"/>
    <w:rsid w:val="00B5372B"/>
    <w:rsid w:val="00B542FE"/>
    <w:rsid w:val="00B54624"/>
    <w:rsid w:val="00B55A1B"/>
    <w:rsid w:val="00B561DB"/>
    <w:rsid w:val="00B56DF9"/>
    <w:rsid w:val="00B600BD"/>
    <w:rsid w:val="00B61274"/>
    <w:rsid w:val="00B61DCE"/>
    <w:rsid w:val="00B62188"/>
    <w:rsid w:val="00B62F79"/>
    <w:rsid w:val="00B62F82"/>
    <w:rsid w:val="00B6306A"/>
    <w:rsid w:val="00B635E3"/>
    <w:rsid w:val="00B653D7"/>
    <w:rsid w:val="00B662FF"/>
    <w:rsid w:val="00B66679"/>
    <w:rsid w:val="00B70145"/>
    <w:rsid w:val="00B71A92"/>
    <w:rsid w:val="00B721D8"/>
    <w:rsid w:val="00B730CA"/>
    <w:rsid w:val="00B747C5"/>
    <w:rsid w:val="00B74F2F"/>
    <w:rsid w:val="00B753ED"/>
    <w:rsid w:val="00B75FCF"/>
    <w:rsid w:val="00B769BC"/>
    <w:rsid w:val="00B77349"/>
    <w:rsid w:val="00B7761E"/>
    <w:rsid w:val="00B80A3D"/>
    <w:rsid w:val="00B80B04"/>
    <w:rsid w:val="00B8127B"/>
    <w:rsid w:val="00B819E5"/>
    <w:rsid w:val="00B821E4"/>
    <w:rsid w:val="00B823E0"/>
    <w:rsid w:val="00B8260D"/>
    <w:rsid w:val="00B82B78"/>
    <w:rsid w:val="00B845B4"/>
    <w:rsid w:val="00B84662"/>
    <w:rsid w:val="00B84C74"/>
    <w:rsid w:val="00B85191"/>
    <w:rsid w:val="00B858A1"/>
    <w:rsid w:val="00B85B83"/>
    <w:rsid w:val="00B85FEC"/>
    <w:rsid w:val="00B864A3"/>
    <w:rsid w:val="00B86C2A"/>
    <w:rsid w:val="00B86D88"/>
    <w:rsid w:val="00B878BE"/>
    <w:rsid w:val="00B902A5"/>
    <w:rsid w:val="00B90420"/>
    <w:rsid w:val="00B90848"/>
    <w:rsid w:val="00B91146"/>
    <w:rsid w:val="00B913E4"/>
    <w:rsid w:val="00B91DB9"/>
    <w:rsid w:val="00B91FF3"/>
    <w:rsid w:val="00B93EFE"/>
    <w:rsid w:val="00B944B9"/>
    <w:rsid w:val="00B94956"/>
    <w:rsid w:val="00B94C7F"/>
    <w:rsid w:val="00B94E93"/>
    <w:rsid w:val="00B956B5"/>
    <w:rsid w:val="00B96DF2"/>
    <w:rsid w:val="00B96E18"/>
    <w:rsid w:val="00B96F5A"/>
    <w:rsid w:val="00BA0892"/>
    <w:rsid w:val="00BA0B39"/>
    <w:rsid w:val="00BA0CB2"/>
    <w:rsid w:val="00BA0E26"/>
    <w:rsid w:val="00BA1310"/>
    <w:rsid w:val="00BA138B"/>
    <w:rsid w:val="00BA305B"/>
    <w:rsid w:val="00BA31BF"/>
    <w:rsid w:val="00BA3FC7"/>
    <w:rsid w:val="00BA478B"/>
    <w:rsid w:val="00BA5224"/>
    <w:rsid w:val="00BA575E"/>
    <w:rsid w:val="00BA76B7"/>
    <w:rsid w:val="00BA7E3B"/>
    <w:rsid w:val="00BB078D"/>
    <w:rsid w:val="00BB079C"/>
    <w:rsid w:val="00BB0D7A"/>
    <w:rsid w:val="00BB10E1"/>
    <w:rsid w:val="00BB2471"/>
    <w:rsid w:val="00BB25B8"/>
    <w:rsid w:val="00BB3035"/>
    <w:rsid w:val="00BB39C1"/>
    <w:rsid w:val="00BB3DF5"/>
    <w:rsid w:val="00BB5D16"/>
    <w:rsid w:val="00BB6180"/>
    <w:rsid w:val="00BB69E6"/>
    <w:rsid w:val="00BB7BE5"/>
    <w:rsid w:val="00BC08BD"/>
    <w:rsid w:val="00BC11E8"/>
    <w:rsid w:val="00BC1B7A"/>
    <w:rsid w:val="00BC2C17"/>
    <w:rsid w:val="00BC3ACD"/>
    <w:rsid w:val="00BC3B20"/>
    <w:rsid w:val="00BC3EE4"/>
    <w:rsid w:val="00BC588C"/>
    <w:rsid w:val="00BC62F4"/>
    <w:rsid w:val="00BC6E73"/>
    <w:rsid w:val="00BC74D3"/>
    <w:rsid w:val="00BD0014"/>
    <w:rsid w:val="00BD01D8"/>
    <w:rsid w:val="00BD255F"/>
    <w:rsid w:val="00BD2895"/>
    <w:rsid w:val="00BD4236"/>
    <w:rsid w:val="00BD483B"/>
    <w:rsid w:val="00BD5CD4"/>
    <w:rsid w:val="00BD65D9"/>
    <w:rsid w:val="00BD6DF3"/>
    <w:rsid w:val="00BD6E09"/>
    <w:rsid w:val="00BD6EF9"/>
    <w:rsid w:val="00BE0ACB"/>
    <w:rsid w:val="00BE2260"/>
    <w:rsid w:val="00BE3786"/>
    <w:rsid w:val="00BE3917"/>
    <w:rsid w:val="00BE50FD"/>
    <w:rsid w:val="00BE51CA"/>
    <w:rsid w:val="00BE537F"/>
    <w:rsid w:val="00BE5D77"/>
    <w:rsid w:val="00BE6D47"/>
    <w:rsid w:val="00BE7032"/>
    <w:rsid w:val="00BE7330"/>
    <w:rsid w:val="00BF01C5"/>
    <w:rsid w:val="00BF061A"/>
    <w:rsid w:val="00BF066A"/>
    <w:rsid w:val="00BF14CC"/>
    <w:rsid w:val="00BF1821"/>
    <w:rsid w:val="00BF3C42"/>
    <w:rsid w:val="00BF4342"/>
    <w:rsid w:val="00BF4704"/>
    <w:rsid w:val="00BF4FE7"/>
    <w:rsid w:val="00BF4FFC"/>
    <w:rsid w:val="00BF5050"/>
    <w:rsid w:val="00BF50D1"/>
    <w:rsid w:val="00BF5422"/>
    <w:rsid w:val="00BF59B1"/>
    <w:rsid w:val="00BF6A78"/>
    <w:rsid w:val="00BF7695"/>
    <w:rsid w:val="00BF79B4"/>
    <w:rsid w:val="00BF7C61"/>
    <w:rsid w:val="00C00037"/>
    <w:rsid w:val="00C01427"/>
    <w:rsid w:val="00C014C7"/>
    <w:rsid w:val="00C047AB"/>
    <w:rsid w:val="00C058AF"/>
    <w:rsid w:val="00C075B6"/>
    <w:rsid w:val="00C124C1"/>
    <w:rsid w:val="00C128AE"/>
    <w:rsid w:val="00C12BA8"/>
    <w:rsid w:val="00C136D6"/>
    <w:rsid w:val="00C13902"/>
    <w:rsid w:val="00C13D5B"/>
    <w:rsid w:val="00C141D7"/>
    <w:rsid w:val="00C16F84"/>
    <w:rsid w:val="00C1711B"/>
    <w:rsid w:val="00C17AE2"/>
    <w:rsid w:val="00C17E00"/>
    <w:rsid w:val="00C20140"/>
    <w:rsid w:val="00C20F27"/>
    <w:rsid w:val="00C215CF"/>
    <w:rsid w:val="00C2244B"/>
    <w:rsid w:val="00C22711"/>
    <w:rsid w:val="00C2280A"/>
    <w:rsid w:val="00C22B0D"/>
    <w:rsid w:val="00C22BFF"/>
    <w:rsid w:val="00C23522"/>
    <w:rsid w:val="00C240C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3B57"/>
    <w:rsid w:val="00C34619"/>
    <w:rsid w:val="00C34B60"/>
    <w:rsid w:val="00C35D01"/>
    <w:rsid w:val="00C360B3"/>
    <w:rsid w:val="00C37027"/>
    <w:rsid w:val="00C37B19"/>
    <w:rsid w:val="00C413CB"/>
    <w:rsid w:val="00C42752"/>
    <w:rsid w:val="00C42973"/>
    <w:rsid w:val="00C44C69"/>
    <w:rsid w:val="00C4712A"/>
    <w:rsid w:val="00C5034F"/>
    <w:rsid w:val="00C50830"/>
    <w:rsid w:val="00C50B1B"/>
    <w:rsid w:val="00C52479"/>
    <w:rsid w:val="00C5266E"/>
    <w:rsid w:val="00C5280F"/>
    <w:rsid w:val="00C52C59"/>
    <w:rsid w:val="00C5349E"/>
    <w:rsid w:val="00C539FF"/>
    <w:rsid w:val="00C544BD"/>
    <w:rsid w:val="00C54D3D"/>
    <w:rsid w:val="00C55A30"/>
    <w:rsid w:val="00C56384"/>
    <w:rsid w:val="00C60AD0"/>
    <w:rsid w:val="00C60F8C"/>
    <w:rsid w:val="00C61794"/>
    <w:rsid w:val="00C62A48"/>
    <w:rsid w:val="00C62AC4"/>
    <w:rsid w:val="00C62B59"/>
    <w:rsid w:val="00C62F96"/>
    <w:rsid w:val="00C631E1"/>
    <w:rsid w:val="00C638D8"/>
    <w:rsid w:val="00C63AE7"/>
    <w:rsid w:val="00C63D26"/>
    <w:rsid w:val="00C6540A"/>
    <w:rsid w:val="00C6625C"/>
    <w:rsid w:val="00C66736"/>
    <w:rsid w:val="00C668A1"/>
    <w:rsid w:val="00C67223"/>
    <w:rsid w:val="00C707B8"/>
    <w:rsid w:val="00C712AC"/>
    <w:rsid w:val="00C71C15"/>
    <w:rsid w:val="00C71F3D"/>
    <w:rsid w:val="00C72F53"/>
    <w:rsid w:val="00C74035"/>
    <w:rsid w:val="00C748EA"/>
    <w:rsid w:val="00C77818"/>
    <w:rsid w:val="00C8063F"/>
    <w:rsid w:val="00C806ED"/>
    <w:rsid w:val="00C81282"/>
    <w:rsid w:val="00C827B4"/>
    <w:rsid w:val="00C83214"/>
    <w:rsid w:val="00C8329F"/>
    <w:rsid w:val="00C8468A"/>
    <w:rsid w:val="00C84F8A"/>
    <w:rsid w:val="00C85BA4"/>
    <w:rsid w:val="00C8618F"/>
    <w:rsid w:val="00C8625D"/>
    <w:rsid w:val="00C90372"/>
    <w:rsid w:val="00C9041F"/>
    <w:rsid w:val="00C90F54"/>
    <w:rsid w:val="00C9166B"/>
    <w:rsid w:val="00C91A45"/>
    <w:rsid w:val="00C91FB4"/>
    <w:rsid w:val="00C92150"/>
    <w:rsid w:val="00C92328"/>
    <w:rsid w:val="00C92D42"/>
    <w:rsid w:val="00C938C2"/>
    <w:rsid w:val="00C93F8A"/>
    <w:rsid w:val="00C94EA1"/>
    <w:rsid w:val="00C9511B"/>
    <w:rsid w:val="00C95745"/>
    <w:rsid w:val="00C95902"/>
    <w:rsid w:val="00C962E3"/>
    <w:rsid w:val="00C9712D"/>
    <w:rsid w:val="00C97246"/>
    <w:rsid w:val="00C978E2"/>
    <w:rsid w:val="00C97997"/>
    <w:rsid w:val="00CA10A2"/>
    <w:rsid w:val="00CA1D83"/>
    <w:rsid w:val="00CA25C0"/>
    <w:rsid w:val="00CA3451"/>
    <w:rsid w:val="00CA35C6"/>
    <w:rsid w:val="00CA4948"/>
    <w:rsid w:val="00CA52F9"/>
    <w:rsid w:val="00CA5368"/>
    <w:rsid w:val="00CA568B"/>
    <w:rsid w:val="00CA573A"/>
    <w:rsid w:val="00CA5C58"/>
    <w:rsid w:val="00CA7D80"/>
    <w:rsid w:val="00CB1775"/>
    <w:rsid w:val="00CB19D7"/>
    <w:rsid w:val="00CB19FE"/>
    <w:rsid w:val="00CB1C3F"/>
    <w:rsid w:val="00CB2364"/>
    <w:rsid w:val="00CB304C"/>
    <w:rsid w:val="00CB3933"/>
    <w:rsid w:val="00CB53E8"/>
    <w:rsid w:val="00CB594A"/>
    <w:rsid w:val="00CB5CB2"/>
    <w:rsid w:val="00CB6979"/>
    <w:rsid w:val="00CB7DDE"/>
    <w:rsid w:val="00CC0A3D"/>
    <w:rsid w:val="00CC1585"/>
    <w:rsid w:val="00CC3C53"/>
    <w:rsid w:val="00CC3D24"/>
    <w:rsid w:val="00CC3F91"/>
    <w:rsid w:val="00CC472A"/>
    <w:rsid w:val="00CC4ACD"/>
    <w:rsid w:val="00CC4AD3"/>
    <w:rsid w:val="00CC4B0A"/>
    <w:rsid w:val="00CC544A"/>
    <w:rsid w:val="00CC57EA"/>
    <w:rsid w:val="00CC5954"/>
    <w:rsid w:val="00CC629B"/>
    <w:rsid w:val="00CC6C4E"/>
    <w:rsid w:val="00CD009D"/>
    <w:rsid w:val="00CD05A2"/>
    <w:rsid w:val="00CD29D4"/>
    <w:rsid w:val="00CD2B5C"/>
    <w:rsid w:val="00CD2FF3"/>
    <w:rsid w:val="00CD3323"/>
    <w:rsid w:val="00CD38F5"/>
    <w:rsid w:val="00CD437E"/>
    <w:rsid w:val="00CD46F1"/>
    <w:rsid w:val="00CD5DAD"/>
    <w:rsid w:val="00CD72C5"/>
    <w:rsid w:val="00CD79A7"/>
    <w:rsid w:val="00CD7ADD"/>
    <w:rsid w:val="00CE0789"/>
    <w:rsid w:val="00CE0E8D"/>
    <w:rsid w:val="00CE1A03"/>
    <w:rsid w:val="00CE2346"/>
    <w:rsid w:val="00CE25B2"/>
    <w:rsid w:val="00CE2687"/>
    <w:rsid w:val="00CE27B7"/>
    <w:rsid w:val="00CE3529"/>
    <w:rsid w:val="00CE35C8"/>
    <w:rsid w:val="00CE3962"/>
    <w:rsid w:val="00CE4D1A"/>
    <w:rsid w:val="00CE4E8A"/>
    <w:rsid w:val="00CE5105"/>
    <w:rsid w:val="00CE56BD"/>
    <w:rsid w:val="00CE5EC0"/>
    <w:rsid w:val="00CE6A0B"/>
    <w:rsid w:val="00CE6F9F"/>
    <w:rsid w:val="00CE781A"/>
    <w:rsid w:val="00CE7B08"/>
    <w:rsid w:val="00CE7D52"/>
    <w:rsid w:val="00CF1D74"/>
    <w:rsid w:val="00CF2BE2"/>
    <w:rsid w:val="00CF3DEB"/>
    <w:rsid w:val="00CF55F9"/>
    <w:rsid w:val="00CF7074"/>
    <w:rsid w:val="00CF7390"/>
    <w:rsid w:val="00CF7495"/>
    <w:rsid w:val="00D01CF9"/>
    <w:rsid w:val="00D0334D"/>
    <w:rsid w:val="00D0374D"/>
    <w:rsid w:val="00D06D7B"/>
    <w:rsid w:val="00D06DA5"/>
    <w:rsid w:val="00D07191"/>
    <w:rsid w:val="00D07F1D"/>
    <w:rsid w:val="00D10558"/>
    <w:rsid w:val="00D11D4D"/>
    <w:rsid w:val="00D126DC"/>
    <w:rsid w:val="00D12B03"/>
    <w:rsid w:val="00D13E70"/>
    <w:rsid w:val="00D15FCD"/>
    <w:rsid w:val="00D16C58"/>
    <w:rsid w:val="00D17019"/>
    <w:rsid w:val="00D17FC8"/>
    <w:rsid w:val="00D20B44"/>
    <w:rsid w:val="00D21168"/>
    <w:rsid w:val="00D21E3D"/>
    <w:rsid w:val="00D2438C"/>
    <w:rsid w:val="00D2585A"/>
    <w:rsid w:val="00D259B0"/>
    <w:rsid w:val="00D26C3F"/>
    <w:rsid w:val="00D27026"/>
    <w:rsid w:val="00D2708A"/>
    <w:rsid w:val="00D27185"/>
    <w:rsid w:val="00D27FBB"/>
    <w:rsid w:val="00D30EF8"/>
    <w:rsid w:val="00D32518"/>
    <w:rsid w:val="00D33488"/>
    <w:rsid w:val="00D33AB3"/>
    <w:rsid w:val="00D33F24"/>
    <w:rsid w:val="00D34160"/>
    <w:rsid w:val="00D346B8"/>
    <w:rsid w:val="00D34DCA"/>
    <w:rsid w:val="00D35AC8"/>
    <w:rsid w:val="00D36F87"/>
    <w:rsid w:val="00D3742C"/>
    <w:rsid w:val="00D37E4E"/>
    <w:rsid w:val="00D400A4"/>
    <w:rsid w:val="00D40DEF"/>
    <w:rsid w:val="00D417D8"/>
    <w:rsid w:val="00D41F78"/>
    <w:rsid w:val="00D42E6C"/>
    <w:rsid w:val="00D4351C"/>
    <w:rsid w:val="00D43B80"/>
    <w:rsid w:val="00D44988"/>
    <w:rsid w:val="00D45B4C"/>
    <w:rsid w:val="00D45BA4"/>
    <w:rsid w:val="00D471AF"/>
    <w:rsid w:val="00D4724F"/>
    <w:rsid w:val="00D50519"/>
    <w:rsid w:val="00D506DF"/>
    <w:rsid w:val="00D512C8"/>
    <w:rsid w:val="00D51601"/>
    <w:rsid w:val="00D51955"/>
    <w:rsid w:val="00D51ECB"/>
    <w:rsid w:val="00D5264C"/>
    <w:rsid w:val="00D52BBC"/>
    <w:rsid w:val="00D537FE"/>
    <w:rsid w:val="00D53CC9"/>
    <w:rsid w:val="00D54A6A"/>
    <w:rsid w:val="00D54B8F"/>
    <w:rsid w:val="00D55951"/>
    <w:rsid w:val="00D559F0"/>
    <w:rsid w:val="00D57EB6"/>
    <w:rsid w:val="00D608C0"/>
    <w:rsid w:val="00D60D6D"/>
    <w:rsid w:val="00D6128C"/>
    <w:rsid w:val="00D66D8B"/>
    <w:rsid w:val="00D70849"/>
    <w:rsid w:val="00D72297"/>
    <w:rsid w:val="00D72A1C"/>
    <w:rsid w:val="00D7308F"/>
    <w:rsid w:val="00D7313E"/>
    <w:rsid w:val="00D73580"/>
    <w:rsid w:val="00D73802"/>
    <w:rsid w:val="00D73C2C"/>
    <w:rsid w:val="00D73D52"/>
    <w:rsid w:val="00D745E7"/>
    <w:rsid w:val="00D774ED"/>
    <w:rsid w:val="00D777C3"/>
    <w:rsid w:val="00D7797C"/>
    <w:rsid w:val="00D77C44"/>
    <w:rsid w:val="00D77F88"/>
    <w:rsid w:val="00D81AFA"/>
    <w:rsid w:val="00D81CC9"/>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1A3A"/>
    <w:rsid w:val="00DA2351"/>
    <w:rsid w:val="00DA249E"/>
    <w:rsid w:val="00DA2D3D"/>
    <w:rsid w:val="00DA4C30"/>
    <w:rsid w:val="00DA6817"/>
    <w:rsid w:val="00DA7722"/>
    <w:rsid w:val="00DB10D4"/>
    <w:rsid w:val="00DB145E"/>
    <w:rsid w:val="00DB1A94"/>
    <w:rsid w:val="00DB1D52"/>
    <w:rsid w:val="00DB1D92"/>
    <w:rsid w:val="00DB1E2B"/>
    <w:rsid w:val="00DB1F05"/>
    <w:rsid w:val="00DB1F62"/>
    <w:rsid w:val="00DB21E7"/>
    <w:rsid w:val="00DB2E03"/>
    <w:rsid w:val="00DB3742"/>
    <w:rsid w:val="00DB3E9B"/>
    <w:rsid w:val="00DB3F4B"/>
    <w:rsid w:val="00DB5375"/>
    <w:rsid w:val="00DB67C1"/>
    <w:rsid w:val="00DB6C0B"/>
    <w:rsid w:val="00DB70F4"/>
    <w:rsid w:val="00DB748A"/>
    <w:rsid w:val="00DC1056"/>
    <w:rsid w:val="00DC1442"/>
    <w:rsid w:val="00DC21D8"/>
    <w:rsid w:val="00DC282A"/>
    <w:rsid w:val="00DC34DC"/>
    <w:rsid w:val="00DC3780"/>
    <w:rsid w:val="00DC3ADA"/>
    <w:rsid w:val="00DC3CC6"/>
    <w:rsid w:val="00DC3F55"/>
    <w:rsid w:val="00DC4782"/>
    <w:rsid w:val="00DC514A"/>
    <w:rsid w:val="00DC67B1"/>
    <w:rsid w:val="00DC7FBC"/>
    <w:rsid w:val="00DD0019"/>
    <w:rsid w:val="00DD132B"/>
    <w:rsid w:val="00DD1725"/>
    <w:rsid w:val="00DD2159"/>
    <w:rsid w:val="00DD218B"/>
    <w:rsid w:val="00DD2A18"/>
    <w:rsid w:val="00DD3044"/>
    <w:rsid w:val="00DD3985"/>
    <w:rsid w:val="00DD61E8"/>
    <w:rsid w:val="00DD62C0"/>
    <w:rsid w:val="00DD635A"/>
    <w:rsid w:val="00DD64DE"/>
    <w:rsid w:val="00DD73D0"/>
    <w:rsid w:val="00DD7859"/>
    <w:rsid w:val="00DD7B41"/>
    <w:rsid w:val="00DE0784"/>
    <w:rsid w:val="00DE0A1D"/>
    <w:rsid w:val="00DE15B2"/>
    <w:rsid w:val="00DE1A9A"/>
    <w:rsid w:val="00DE3D2C"/>
    <w:rsid w:val="00DE5E82"/>
    <w:rsid w:val="00DE5FA6"/>
    <w:rsid w:val="00DE6792"/>
    <w:rsid w:val="00DE6AA1"/>
    <w:rsid w:val="00DE795F"/>
    <w:rsid w:val="00DE7AAB"/>
    <w:rsid w:val="00DE7EF7"/>
    <w:rsid w:val="00DF015B"/>
    <w:rsid w:val="00DF02EC"/>
    <w:rsid w:val="00DF10FC"/>
    <w:rsid w:val="00DF1185"/>
    <w:rsid w:val="00DF1299"/>
    <w:rsid w:val="00DF1A70"/>
    <w:rsid w:val="00DF1E5F"/>
    <w:rsid w:val="00DF1F03"/>
    <w:rsid w:val="00DF23A8"/>
    <w:rsid w:val="00DF2F27"/>
    <w:rsid w:val="00DF36B6"/>
    <w:rsid w:val="00DF4296"/>
    <w:rsid w:val="00DF53F0"/>
    <w:rsid w:val="00DF5F38"/>
    <w:rsid w:val="00DF6608"/>
    <w:rsid w:val="00DF6CCC"/>
    <w:rsid w:val="00DF6D0C"/>
    <w:rsid w:val="00DF6F64"/>
    <w:rsid w:val="00DF721E"/>
    <w:rsid w:val="00DF7B8A"/>
    <w:rsid w:val="00DF7C87"/>
    <w:rsid w:val="00DF7D05"/>
    <w:rsid w:val="00E009B0"/>
    <w:rsid w:val="00E00A12"/>
    <w:rsid w:val="00E00C49"/>
    <w:rsid w:val="00E01C9C"/>
    <w:rsid w:val="00E0219D"/>
    <w:rsid w:val="00E04C0F"/>
    <w:rsid w:val="00E0570B"/>
    <w:rsid w:val="00E10343"/>
    <w:rsid w:val="00E10913"/>
    <w:rsid w:val="00E10B87"/>
    <w:rsid w:val="00E121CE"/>
    <w:rsid w:val="00E12598"/>
    <w:rsid w:val="00E1478B"/>
    <w:rsid w:val="00E14FAC"/>
    <w:rsid w:val="00E15007"/>
    <w:rsid w:val="00E16277"/>
    <w:rsid w:val="00E16EC7"/>
    <w:rsid w:val="00E219CE"/>
    <w:rsid w:val="00E23409"/>
    <w:rsid w:val="00E24071"/>
    <w:rsid w:val="00E24EBC"/>
    <w:rsid w:val="00E2522C"/>
    <w:rsid w:val="00E2552F"/>
    <w:rsid w:val="00E2599B"/>
    <w:rsid w:val="00E2710C"/>
    <w:rsid w:val="00E27428"/>
    <w:rsid w:val="00E305B4"/>
    <w:rsid w:val="00E31182"/>
    <w:rsid w:val="00E3197A"/>
    <w:rsid w:val="00E31AFA"/>
    <w:rsid w:val="00E31CB7"/>
    <w:rsid w:val="00E324EE"/>
    <w:rsid w:val="00E32990"/>
    <w:rsid w:val="00E34DB1"/>
    <w:rsid w:val="00E35931"/>
    <w:rsid w:val="00E359FF"/>
    <w:rsid w:val="00E36BD1"/>
    <w:rsid w:val="00E402C5"/>
    <w:rsid w:val="00E402F4"/>
    <w:rsid w:val="00E405F1"/>
    <w:rsid w:val="00E4178B"/>
    <w:rsid w:val="00E417DB"/>
    <w:rsid w:val="00E43054"/>
    <w:rsid w:val="00E43655"/>
    <w:rsid w:val="00E44440"/>
    <w:rsid w:val="00E46013"/>
    <w:rsid w:val="00E47099"/>
    <w:rsid w:val="00E47284"/>
    <w:rsid w:val="00E4730A"/>
    <w:rsid w:val="00E477C3"/>
    <w:rsid w:val="00E47E23"/>
    <w:rsid w:val="00E517A5"/>
    <w:rsid w:val="00E51E16"/>
    <w:rsid w:val="00E53730"/>
    <w:rsid w:val="00E5438D"/>
    <w:rsid w:val="00E54511"/>
    <w:rsid w:val="00E54E50"/>
    <w:rsid w:val="00E55288"/>
    <w:rsid w:val="00E57577"/>
    <w:rsid w:val="00E62043"/>
    <w:rsid w:val="00E626B9"/>
    <w:rsid w:val="00E627C9"/>
    <w:rsid w:val="00E630F3"/>
    <w:rsid w:val="00E63156"/>
    <w:rsid w:val="00E6332F"/>
    <w:rsid w:val="00E637C9"/>
    <w:rsid w:val="00E6402D"/>
    <w:rsid w:val="00E645F8"/>
    <w:rsid w:val="00E6680A"/>
    <w:rsid w:val="00E66F0D"/>
    <w:rsid w:val="00E70615"/>
    <w:rsid w:val="00E7161E"/>
    <w:rsid w:val="00E7207B"/>
    <w:rsid w:val="00E7347A"/>
    <w:rsid w:val="00E75A47"/>
    <w:rsid w:val="00E75BB6"/>
    <w:rsid w:val="00E75D8C"/>
    <w:rsid w:val="00E777F2"/>
    <w:rsid w:val="00E802C9"/>
    <w:rsid w:val="00E80BFB"/>
    <w:rsid w:val="00E80F0A"/>
    <w:rsid w:val="00E815D4"/>
    <w:rsid w:val="00E8291B"/>
    <w:rsid w:val="00E82E70"/>
    <w:rsid w:val="00E82F92"/>
    <w:rsid w:val="00E8395F"/>
    <w:rsid w:val="00E8410F"/>
    <w:rsid w:val="00E849D7"/>
    <w:rsid w:val="00E85E41"/>
    <w:rsid w:val="00E85EA1"/>
    <w:rsid w:val="00E86703"/>
    <w:rsid w:val="00E91044"/>
    <w:rsid w:val="00E910D3"/>
    <w:rsid w:val="00E91257"/>
    <w:rsid w:val="00E92154"/>
    <w:rsid w:val="00E923CF"/>
    <w:rsid w:val="00E93685"/>
    <w:rsid w:val="00E93B65"/>
    <w:rsid w:val="00E93C8C"/>
    <w:rsid w:val="00E95111"/>
    <w:rsid w:val="00E95FDF"/>
    <w:rsid w:val="00E97EB6"/>
    <w:rsid w:val="00EA14C8"/>
    <w:rsid w:val="00EA2110"/>
    <w:rsid w:val="00EA283A"/>
    <w:rsid w:val="00EA2C90"/>
    <w:rsid w:val="00EA2E07"/>
    <w:rsid w:val="00EA383B"/>
    <w:rsid w:val="00EA41E6"/>
    <w:rsid w:val="00EA48F3"/>
    <w:rsid w:val="00EA60BF"/>
    <w:rsid w:val="00EA7365"/>
    <w:rsid w:val="00EA763F"/>
    <w:rsid w:val="00EA77E9"/>
    <w:rsid w:val="00EA7875"/>
    <w:rsid w:val="00EB05D0"/>
    <w:rsid w:val="00EB1151"/>
    <w:rsid w:val="00EB1D49"/>
    <w:rsid w:val="00EB23D9"/>
    <w:rsid w:val="00EB2DED"/>
    <w:rsid w:val="00EB39A0"/>
    <w:rsid w:val="00EB559F"/>
    <w:rsid w:val="00EB566C"/>
    <w:rsid w:val="00EB5F3D"/>
    <w:rsid w:val="00EB77E5"/>
    <w:rsid w:val="00EC1CEB"/>
    <w:rsid w:val="00EC1DC0"/>
    <w:rsid w:val="00EC1DC2"/>
    <w:rsid w:val="00EC21EC"/>
    <w:rsid w:val="00EC24B8"/>
    <w:rsid w:val="00EC268C"/>
    <w:rsid w:val="00EC3753"/>
    <w:rsid w:val="00EC4E71"/>
    <w:rsid w:val="00EC5F1C"/>
    <w:rsid w:val="00ED0365"/>
    <w:rsid w:val="00ED0865"/>
    <w:rsid w:val="00ED12B4"/>
    <w:rsid w:val="00ED1C60"/>
    <w:rsid w:val="00ED2057"/>
    <w:rsid w:val="00ED2EB9"/>
    <w:rsid w:val="00ED32D5"/>
    <w:rsid w:val="00ED3722"/>
    <w:rsid w:val="00ED3A31"/>
    <w:rsid w:val="00ED4469"/>
    <w:rsid w:val="00ED5424"/>
    <w:rsid w:val="00ED5F23"/>
    <w:rsid w:val="00ED6DC0"/>
    <w:rsid w:val="00ED7A7A"/>
    <w:rsid w:val="00EE0327"/>
    <w:rsid w:val="00EE038C"/>
    <w:rsid w:val="00EE2237"/>
    <w:rsid w:val="00EE28C5"/>
    <w:rsid w:val="00EE2F09"/>
    <w:rsid w:val="00EE47C5"/>
    <w:rsid w:val="00EE4885"/>
    <w:rsid w:val="00EE490C"/>
    <w:rsid w:val="00EE4E57"/>
    <w:rsid w:val="00EE5738"/>
    <w:rsid w:val="00EE58BD"/>
    <w:rsid w:val="00EE5E59"/>
    <w:rsid w:val="00EE6549"/>
    <w:rsid w:val="00EE73D0"/>
    <w:rsid w:val="00EE7CB0"/>
    <w:rsid w:val="00EF08A8"/>
    <w:rsid w:val="00EF08FA"/>
    <w:rsid w:val="00EF167B"/>
    <w:rsid w:val="00EF41A8"/>
    <w:rsid w:val="00EF44FB"/>
    <w:rsid w:val="00EF5122"/>
    <w:rsid w:val="00EF5554"/>
    <w:rsid w:val="00EF5AD8"/>
    <w:rsid w:val="00EF6B90"/>
    <w:rsid w:val="00EF7807"/>
    <w:rsid w:val="00EF79F7"/>
    <w:rsid w:val="00F006C0"/>
    <w:rsid w:val="00F0125F"/>
    <w:rsid w:val="00F019AA"/>
    <w:rsid w:val="00F0267E"/>
    <w:rsid w:val="00F02686"/>
    <w:rsid w:val="00F030C0"/>
    <w:rsid w:val="00F03291"/>
    <w:rsid w:val="00F0459B"/>
    <w:rsid w:val="00F04E15"/>
    <w:rsid w:val="00F05DF3"/>
    <w:rsid w:val="00F0692C"/>
    <w:rsid w:val="00F069EA"/>
    <w:rsid w:val="00F070E5"/>
    <w:rsid w:val="00F07DDE"/>
    <w:rsid w:val="00F11675"/>
    <w:rsid w:val="00F12557"/>
    <w:rsid w:val="00F1291D"/>
    <w:rsid w:val="00F13599"/>
    <w:rsid w:val="00F13B28"/>
    <w:rsid w:val="00F14E01"/>
    <w:rsid w:val="00F156A0"/>
    <w:rsid w:val="00F15730"/>
    <w:rsid w:val="00F16CE3"/>
    <w:rsid w:val="00F176A6"/>
    <w:rsid w:val="00F202C2"/>
    <w:rsid w:val="00F212F6"/>
    <w:rsid w:val="00F22756"/>
    <w:rsid w:val="00F23248"/>
    <w:rsid w:val="00F23890"/>
    <w:rsid w:val="00F2504D"/>
    <w:rsid w:val="00F2637F"/>
    <w:rsid w:val="00F268F7"/>
    <w:rsid w:val="00F30B83"/>
    <w:rsid w:val="00F30BDB"/>
    <w:rsid w:val="00F30CF8"/>
    <w:rsid w:val="00F31EDF"/>
    <w:rsid w:val="00F32CDE"/>
    <w:rsid w:val="00F32D4C"/>
    <w:rsid w:val="00F3327E"/>
    <w:rsid w:val="00F338C3"/>
    <w:rsid w:val="00F34B14"/>
    <w:rsid w:val="00F34F58"/>
    <w:rsid w:val="00F35DA7"/>
    <w:rsid w:val="00F36A6A"/>
    <w:rsid w:val="00F40101"/>
    <w:rsid w:val="00F404F7"/>
    <w:rsid w:val="00F40CCA"/>
    <w:rsid w:val="00F42D97"/>
    <w:rsid w:val="00F436B2"/>
    <w:rsid w:val="00F43813"/>
    <w:rsid w:val="00F43FEE"/>
    <w:rsid w:val="00F45A72"/>
    <w:rsid w:val="00F46723"/>
    <w:rsid w:val="00F4706D"/>
    <w:rsid w:val="00F476E1"/>
    <w:rsid w:val="00F47D1D"/>
    <w:rsid w:val="00F47F29"/>
    <w:rsid w:val="00F50016"/>
    <w:rsid w:val="00F50058"/>
    <w:rsid w:val="00F5088F"/>
    <w:rsid w:val="00F5118A"/>
    <w:rsid w:val="00F51A21"/>
    <w:rsid w:val="00F52614"/>
    <w:rsid w:val="00F5276E"/>
    <w:rsid w:val="00F52E9F"/>
    <w:rsid w:val="00F53304"/>
    <w:rsid w:val="00F53B81"/>
    <w:rsid w:val="00F540FE"/>
    <w:rsid w:val="00F556FF"/>
    <w:rsid w:val="00F55D12"/>
    <w:rsid w:val="00F5687F"/>
    <w:rsid w:val="00F56D3F"/>
    <w:rsid w:val="00F575C7"/>
    <w:rsid w:val="00F57FD0"/>
    <w:rsid w:val="00F60305"/>
    <w:rsid w:val="00F61B12"/>
    <w:rsid w:val="00F63264"/>
    <w:rsid w:val="00F634E4"/>
    <w:rsid w:val="00F6379E"/>
    <w:rsid w:val="00F64047"/>
    <w:rsid w:val="00F65171"/>
    <w:rsid w:val="00F6560D"/>
    <w:rsid w:val="00F65C23"/>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587"/>
    <w:rsid w:val="00F8288F"/>
    <w:rsid w:val="00F84033"/>
    <w:rsid w:val="00F84802"/>
    <w:rsid w:val="00F84E4F"/>
    <w:rsid w:val="00F85B72"/>
    <w:rsid w:val="00F86540"/>
    <w:rsid w:val="00F865CE"/>
    <w:rsid w:val="00F8766F"/>
    <w:rsid w:val="00F91082"/>
    <w:rsid w:val="00F9116D"/>
    <w:rsid w:val="00F91A9A"/>
    <w:rsid w:val="00F9203B"/>
    <w:rsid w:val="00F93ABB"/>
    <w:rsid w:val="00F94D79"/>
    <w:rsid w:val="00F963A2"/>
    <w:rsid w:val="00F9658C"/>
    <w:rsid w:val="00F96E3C"/>
    <w:rsid w:val="00F97A7F"/>
    <w:rsid w:val="00FA0889"/>
    <w:rsid w:val="00FA16E7"/>
    <w:rsid w:val="00FA2505"/>
    <w:rsid w:val="00FA31C7"/>
    <w:rsid w:val="00FA3E7F"/>
    <w:rsid w:val="00FA472D"/>
    <w:rsid w:val="00FA6283"/>
    <w:rsid w:val="00FA7827"/>
    <w:rsid w:val="00FB0CBF"/>
    <w:rsid w:val="00FB18F6"/>
    <w:rsid w:val="00FB2A52"/>
    <w:rsid w:val="00FB3F92"/>
    <w:rsid w:val="00FB4C2B"/>
    <w:rsid w:val="00FB52C7"/>
    <w:rsid w:val="00FB57DC"/>
    <w:rsid w:val="00FB6E19"/>
    <w:rsid w:val="00FB71F6"/>
    <w:rsid w:val="00FC0AF8"/>
    <w:rsid w:val="00FC1483"/>
    <w:rsid w:val="00FC1C47"/>
    <w:rsid w:val="00FC3102"/>
    <w:rsid w:val="00FC3493"/>
    <w:rsid w:val="00FC39ED"/>
    <w:rsid w:val="00FC4419"/>
    <w:rsid w:val="00FC47E2"/>
    <w:rsid w:val="00FC4AA5"/>
    <w:rsid w:val="00FC4B88"/>
    <w:rsid w:val="00FC4BB8"/>
    <w:rsid w:val="00FC5148"/>
    <w:rsid w:val="00FC623A"/>
    <w:rsid w:val="00FC6524"/>
    <w:rsid w:val="00FC708F"/>
    <w:rsid w:val="00FC75AC"/>
    <w:rsid w:val="00FD01BF"/>
    <w:rsid w:val="00FD0525"/>
    <w:rsid w:val="00FD0AB7"/>
    <w:rsid w:val="00FD297D"/>
    <w:rsid w:val="00FD2D13"/>
    <w:rsid w:val="00FD374D"/>
    <w:rsid w:val="00FD6071"/>
    <w:rsid w:val="00FD633B"/>
    <w:rsid w:val="00FE0794"/>
    <w:rsid w:val="00FE1041"/>
    <w:rsid w:val="00FE23A9"/>
    <w:rsid w:val="00FE24CB"/>
    <w:rsid w:val="00FE323F"/>
    <w:rsid w:val="00FE3473"/>
    <w:rsid w:val="00FE4049"/>
    <w:rsid w:val="00FE4794"/>
    <w:rsid w:val="00FE480F"/>
    <w:rsid w:val="00FE4998"/>
    <w:rsid w:val="00FE57DE"/>
    <w:rsid w:val="00FE770B"/>
    <w:rsid w:val="00FE7A68"/>
    <w:rsid w:val="00FE7D72"/>
    <w:rsid w:val="00FF0231"/>
    <w:rsid w:val="00FF1C9B"/>
    <w:rsid w:val="00FF1D49"/>
    <w:rsid w:val="00FF203B"/>
    <w:rsid w:val="00FF2562"/>
    <w:rsid w:val="00FF3A41"/>
    <w:rsid w:val="00FF3E5B"/>
    <w:rsid w:val="00FF57E4"/>
    <w:rsid w:val="00FF78E5"/>
    <w:rsid w:val="0103398B"/>
    <w:rsid w:val="011E1F3A"/>
    <w:rsid w:val="01233A9E"/>
    <w:rsid w:val="012D0F5C"/>
    <w:rsid w:val="01422176"/>
    <w:rsid w:val="0147778C"/>
    <w:rsid w:val="014C1D05"/>
    <w:rsid w:val="014F4893"/>
    <w:rsid w:val="01500ED1"/>
    <w:rsid w:val="015C7AD5"/>
    <w:rsid w:val="0168437B"/>
    <w:rsid w:val="01706CA6"/>
    <w:rsid w:val="01907316"/>
    <w:rsid w:val="01A433EB"/>
    <w:rsid w:val="01A7647D"/>
    <w:rsid w:val="01AF3D99"/>
    <w:rsid w:val="01B90B97"/>
    <w:rsid w:val="01B96FB2"/>
    <w:rsid w:val="01BA68B2"/>
    <w:rsid w:val="01C628D4"/>
    <w:rsid w:val="01CD0898"/>
    <w:rsid w:val="01CE3A0A"/>
    <w:rsid w:val="01D32DCE"/>
    <w:rsid w:val="01E3453D"/>
    <w:rsid w:val="01E6443F"/>
    <w:rsid w:val="01EC20E2"/>
    <w:rsid w:val="01FF3BC3"/>
    <w:rsid w:val="01FF4BEC"/>
    <w:rsid w:val="0200793B"/>
    <w:rsid w:val="0208054B"/>
    <w:rsid w:val="02086349"/>
    <w:rsid w:val="020E2058"/>
    <w:rsid w:val="021741B2"/>
    <w:rsid w:val="02204683"/>
    <w:rsid w:val="022E44A8"/>
    <w:rsid w:val="023615AF"/>
    <w:rsid w:val="024F39D4"/>
    <w:rsid w:val="02511F9D"/>
    <w:rsid w:val="02555ED9"/>
    <w:rsid w:val="02557C87"/>
    <w:rsid w:val="025A529E"/>
    <w:rsid w:val="025F06CD"/>
    <w:rsid w:val="02641C78"/>
    <w:rsid w:val="02671768"/>
    <w:rsid w:val="026954E1"/>
    <w:rsid w:val="02827C52"/>
    <w:rsid w:val="028C24AD"/>
    <w:rsid w:val="029F225D"/>
    <w:rsid w:val="02A57908"/>
    <w:rsid w:val="02AF69EA"/>
    <w:rsid w:val="02B0089B"/>
    <w:rsid w:val="02BF77F6"/>
    <w:rsid w:val="02C44E0D"/>
    <w:rsid w:val="02C76111"/>
    <w:rsid w:val="02D0730E"/>
    <w:rsid w:val="02D6235F"/>
    <w:rsid w:val="02D81256"/>
    <w:rsid w:val="02DE2EF8"/>
    <w:rsid w:val="02EB4148"/>
    <w:rsid w:val="030532A9"/>
    <w:rsid w:val="03181948"/>
    <w:rsid w:val="03215DBB"/>
    <w:rsid w:val="03286A1E"/>
    <w:rsid w:val="032B79A4"/>
    <w:rsid w:val="03305A68"/>
    <w:rsid w:val="033F12EC"/>
    <w:rsid w:val="03407951"/>
    <w:rsid w:val="034C72DC"/>
    <w:rsid w:val="03535D6B"/>
    <w:rsid w:val="035E2B6B"/>
    <w:rsid w:val="036322EA"/>
    <w:rsid w:val="03716D43"/>
    <w:rsid w:val="03795BF7"/>
    <w:rsid w:val="039A08B0"/>
    <w:rsid w:val="03A04F32"/>
    <w:rsid w:val="03A1235F"/>
    <w:rsid w:val="03A314B8"/>
    <w:rsid w:val="03C43031"/>
    <w:rsid w:val="03C8711A"/>
    <w:rsid w:val="03D25887"/>
    <w:rsid w:val="03D82B98"/>
    <w:rsid w:val="03D964F4"/>
    <w:rsid w:val="03DF1EFE"/>
    <w:rsid w:val="03E5503B"/>
    <w:rsid w:val="03F83E8B"/>
    <w:rsid w:val="03F86B1C"/>
    <w:rsid w:val="040A684F"/>
    <w:rsid w:val="04133956"/>
    <w:rsid w:val="04207E21"/>
    <w:rsid w:val="042F4508"/>
    <w:rsid w:val="04425FE9"/>
    <w:rsid w:val="044E498E"/>
    <w:rsid w:val="04531FA4"/>
    <w:rsid w:val="045B52FD"/>
    <w:rsid w:val="045D1075"/>
    <w:rsid w:val="04643F2F"/>
    <w:rsid w:val="04675A50"/>
    <w:rsid w:val="04697A1A"/>
    <w:rsid w:val="04775EC4"/>
    <w:rsid w:val="048F6C7E"/>
    <w:rsid w:val="04902A30"/>
    <w:rsid w:val="049570A7"/>
    <w:rsid w:val="04A40A52"/>
    <w:rsid w:val="04A440A1"/>
    <w:rsid w:val="04AF7A85"/>
    <w:rsid w:val="04B74446"/>
    <w:rsid w:val="04BA414C"/>
    <w:rsid w:val="04BD7D66"/>
    <w:rsid w:val="04C505BB"/>
    <w:rsid w:val="04C609C8"/>
    <w:rsid w:val="04CD2CEE"/>
    <w:rsid w:val="04CD61FB"/>
    <w:rsid w:val="04E87914"/>
    <w:rsid w:val="04EA6DAD"/>
    <w:rsid w:val="04FA60EF"/>
    <w:rsid w:val="04FC24D4"/>
    <w:rsid w:val="05023BEB"/>
    <w:rsid w:val="05096B07"/>
    <w:rsid w:val="050E5E84"/>
    <w:rsid w:val="05102192"/>
    <w:rsid w:val="05142907"/>
    <w:rsid w:val="05324986"/>
    <w:rsid w:val="0532605E"/>
    <w:rsid w:val="053807F8"/>
    <w:rsid w:val="05412FEB"/>
    <w:rsid w:val="054F7686"/>
    <w:rsid w:val="05557587"/>
    <w:rsid w:val="05681A7F"/>
    <w:rsid w:val="057448C8"/>
    <w:rsid w:val="057F4E2B"/>
    <w:rsid w:val="0585008B"/>
    <w:rsid w:val="058979DF"/>
    <w:rsid w:val="058F6224"/>
    <w:rsid w:val="05A674E0"/>
    <w:rsid w:val="05AC3FA4"/>
    <w:rsid w:val="05C56868"/>
    <w:rsid w:val="05CD5D86"/>
    <w:rsid w:val="05D74547"/>
    <w:rsid w:val="05F76F31"/>
    <w:rsid w:val="06040198"/>
    <w:rsid w:val="060774EA"/>
    <w:rsid w:val="06083B9D"/>
    <w:rsid w:val="06191E32"/>
    <w:rsid w:val="061B11E8"/>
    <w:rsid w:val="06211C5A"/>
    <w:rsid w:val="064416AA"/>
    <w:rsid w:val="06467B5F"/>
    <w:rsid w:val="06475B39"/>
    <w:rsid w:val="06500E91"/>
    <w:rsid w:val="06562220"/>
    <w:rsid w:val="065B15E4"/>
    <w:rsid w:val="06737835"/>
    <w:rsid w:val="068C79F0"/>
    <w:rsid w:val="068E795F"/>
    <w:rsid w:val="069F7723"/>
    <w:rsid w:val="06B25549"/>
    <w:rsid w:val="06B62CBE"/>
    <w:rsid w:val="06B96E5F"/>
    <w:rsid w:val="06BD203E"/>
    <w:rsid w:val="06C91C0B"/>
    <w:rsid w:val="06D66EBD"/>
    <w:rsid w:val="06D86BC4"/>
    <w:rsid w:val="06DA4BFF"/>
    <w:rsid w:val="06F3181D"/>
    <w:rsid w:val="07184603"/>
    <w:rsid w:val="07195727"/>
    <w:rsid w:val="072940AD"/>
    <w:rsid w:val="072E4C95"/>
    <w:rsid w:val="073017AC"/>
    <w:rsid w:val="07325DEE"/>
    <w:rsid w:val="073836D3"/>
    <w:rsid w:val="074D3623"/>
    <w:rsid w:val="07633118"/>
    <w:rsid w:val="076A755F"/>
    <w:rsid w:val="07736840"/>
    <w:rsid w:val="077C5CB6"/>
    <w:rsid w:val="078132CC"/>
    <w:rsid w:val="078627A3"/>
    <w:rsid w:val="0790350F"/>
    <w:rsid w:val="07966D78"/>
    <w:rsid w:val="07A5201F"/>
    <w:rsid w:val="07B72767"/>
    <w:rsid w:val="07C17B6D"/>
    <w:rsid w:val="07C23DE6"/>
    <w:rsid w:val="07D41D57"/>
    <w:rsid w:val="07D50775"/>
    <w:rsid w:val="07F33D53"/>
    <w:rsid w:val="07F41CF0"/>
    <w:rsid w:val="07F76A43"/>
    <w:rsid w:val="07F817E1"/>
    <w:rsid w:val="08077E72"/>
    <w:rsid w:val="080E162A"/>
    <w:rsid w:val="08203C28"/>
    <w:rsid w:val="082779D0"/>
    <w:rsid w:val="083B22F1"/>
    <w:rsid w:val="083C419B"/>
    <w:rsid w:val="083C4C73"/>
    <w:rsid w:val="083D71F3"/>
    <w:rsid w:val="083E2F6B"/>
    <w:rsid w:val="084C5E23"/>
    <w:rsid w:val="084E1401"/>
    <w:rsid w:val="085602B5"/>
    <w:rsid w:val="087370B9"/>
    <w:rsid w:val="0886060D"/>
    <w:rsid w:val="08882DD0"/>
    <w:rsid w:val="089B6610"/>
    <w:rsid w:val="089D2EAF"/>
    <w:rsid w:val="089D4136"/>
    <w:rsid w:val="089F1C5C"/>
    <w:rsid w:val="08A346D4"/>
    <w:rsid w:val="08AE00F1"/>
    <w:rsid w:val="08AF5C17"/>
    <w:rsid w:val="08B1373D"/>
    <w:rsid w:val="08B33959"/>
    <w:rsid w:val="08BE34E2"/>
    <w:rsid w:val="08CA47FF"/>
    <w:rsid w:val="08CB4963"/>
    <w:rsid w:val="08CE0793"/>
    <w:rsid w:val="08E73603"/>
    <w:rsid w:val="08F821C8"/>
    <w:rsid w:val="09006769"/>
    <w:rsid w:val="09075A53"/>
    <w:rsid w:val="090D2965"/>
    <w:rsid w:val="091066B6"/>
    <w:rsid w:val="09195A3E"/>
    <w:rsid w:val="091A48F3"/>
    <w:rsid w:val="091E5277"/>
    <w:rsid w:val="09242161"/>
    <w:rsid w:val="09783845"/>
    <w:rsid w:val="097A4477"/>
    <w:rsid w:val="097D7FFF"/>
    <w:rsid w:val="097E7AC3"/>
    <w:rsid w:val="09860032"/>
    <w:rsid w:val="098826F0"/>
    <w:rsid w:val="09921955"/>
    <w:rsid w:val="09A30261"/>
    <w:rsid w:val="09C65A58"/>
    <w:rsid w:val="09CC2AAC"/>
    <w:rsid w:val="09D26E76"/>
    <w:rsid w:val="09DE2A8F"/>
    <w:rsid w:val="09EF6C13"/>
    <w:rsid w:val="0A1421D6"/>
    <w:rsid w:val="0A171D19"/>
    <w:rsid w:val="0A2148F3"/>
    <w:rsid w:val="0A2D3298"/>
    <w:rsid w:val="0A331AD7"/>
    <w:rsid w:val="0A3A3B56"/>
    <w:rsid w:val="0A4412A4"/>
    <w:rsid w:val="0A477589"/>
    <w:rsid w:val="0A4F76B2"/>
    <w:rsid w:val="0A540824"/>
    <w:rsid w:val="0A5C3ECC"/>
    <w:rsid w:val="0A652D3E"/>
    <w:rsid w:val="0A6A1AA6"/>
    <w:rsid w:val="0A6F1B02"/>
    <w:rsid w:val="0A767E3E"/>
    <w:rsid w:val="0A870BFA"/>
    <w:rsid w:val="0A876E4C"/>
    <w:rsid w:val="0A881C07"/>
    <w:rsid w:val="0A892BC4"/>
    <w:rsid w:val="0A947417"/>
    <w:rsid w:val="0A9652E1"/>
    <w:rsid w:val="0A9D4A5C"/>
    <w:rsid w:val="0AAB5F5D"/>
    <w:rsid w:val="0AAC0660"/>
    <w:rsid w:val="0AB6063D"/>
    <w:rsid w:val="0ABD45E4"/>
    <w:rsid w:val="0ACC0D02"/>
    <w:rsid w:val="0ACC2AB1"/>
    <w:rsid w:val="0ACE3FA1"/>
    <w:rsid w:val="0ADA366D"/>
    <w:rsid w:val="0AEA7C35"/>
    <w:rsid w:val="0AF52007"/>
    <w:rsid w:val="0B193B77"/>
    <w:rsid w:val="0B1A381C"/>
    <w:rsid w:val="0B325243"/>
    <w:rsid w:val="0B326F2A"/>
    <w:rsid w:val="0B3C19E4"/>
    <w:rsid w:val="0B3D510B"/>
    <w:rsid w:val="0B3F3282"/>
    <w:rsid w:val="0B475F57"/>
    <w:rsid w:val="0B554854"/>
    <w:rsid w:val="0B5B05C2"/>
    <w:rsid w:val="0B5E289E"/>
    <w:rsid w:val="0B6131F9"/>
    <w:rsid w:val="0B623221"/>
    <w:rsid w:val="0B633415"/>
    <w:rsid w:val="0B6E1DBA"/>
    <w:rsid w:val="0B6E3B68"/>
    <w:rsid w:val="0B8558FA"/>
    <w:rsid w:val="0B8D0492"/>
    <w:rsid w:val="0BA30B27"/>
    <w:rsid w:val="0BA40399"/>
    <w:rsid w:val="0BA96C8F"/>
    <w:rsid w:val="0BB27EF8"/>
    <w:rsid w:val="0BB40771"/>
    <w:rsid w:val="0BE20898"/>
    <w:rsid w:val="0BE93715"/>
    <w:rsid w:val="0BEA3C78"/>
    <w:rsid w:val="0C0F70F9"/>
    <w:rsid w:val="0C11238F"/>
    <w:rsid w:val="0C1E2888"/>
    <w:rsid w:val="0C252478"/>
    <w:rsid w:val="0C2B1A59"/>
    <w:rsid w:val="0C2D753D"/>
    <w:rsid w:val="0C2E225D"/>
    <w:rsid w:val="0C323D10"/>
    <w:rsid w:val="0C4502C0"/>
    <w:rsid w:val="0C530F2E"/>
    <w:rsid w:val="0C5361CC"/>
    <w:rsid w:val="0C591AD6"/>
    <w:rsid w:val="0C594818"/>
    <w:rsid w:val="0C6A764E"/>
    <w:rsid w:val="0C6F29D6"/>
    <w:rsid w:val="0C784EE8"/>
    <w:rsid w:val="0C833643"/>
    <w:rsid w:val="0C8F133E"/>
    <w:rsid w:val="0C911D2B"/>
    <w:rsid w:val="0C92213C"/>
    <w:rsid w:val="0C9F5D63"/>
    <w:rsid w:val="0C9F700D"/>
    <w:rsid w:val="0CA05FA3"/>
    <w:rsid w:val="0CA21D1B"/>
    <w:rsid w:val="0CA737D5"/>
    <w:rsid w:val="0CAB5D64"/>
    <w:rsid w:val="0CB33F28"/>
    <w:rsid w:val="0CB968D6"/>
    <w:rsid w:val="0CBD4DA7"/>
    <w:rsid w:val="0CC2416B"/>
    <w:rsid w:val="0CD304AC"/>
    <w:rsid w:val="0CE71E24"/>
    <w:rsid w:val="0CFA3905"/>
    <w:rsid w:val="0CFB58CF"/>
    <w:rsid w:val="0CFB767D"/>
    <w:rsid w:val="0D0114AE"/>
    <w:rsid w:val="0D093B48"/>
    <w:rsid w:val="0D29001E"/>
    <w:rsid w:val="0D325EDF"/>
    <w:rsid w:val="0D350DE1"/>
    <w:rsid w:val="0D374B59"/>
    <w:rsid w:val="0D441024"/>
    <w:rsid w:val="0D445D4C"/>
    <w:rsid w:val="0D535069"/>
    <w:rsid w:val="0D5C45C0"/>
    <w:rsid w:val="0D6D5644"/>
    <w:rsid w:val="0D84032B"/>
    <w:rsid w:val="0D8B2464"/>
    <w:rsid w:val="0D8B6C53"/>
    <w:rsid w:val="0D953396"/>
    <w:rsid w:val="0D994191"/>
    <w:rsid w:val="0DA10224"/>
    <w:rsid w:val="0DA2594C"/>
    <w:rsid w:val="0DA379EE"/>
    <w:rsid w:val="0DA70515"/>
    <w:rsid w:val="0DA87805"/>
    <w:rsid w:val="0DBD35C9"/>
    <w:rsid w:val="0DC4777D"/>
    <w:rsid w:val="0DD17D5D"/>
    <w:rsid w:val="0DD94E0F"/>
    <w:rsid w:val="0DE53B38"/>
    <w:rsid w:val="0DF4443C"/>
    <w:rsid w:val="0DF76096"/>
    <w:rsid w:val="0DFA9E46"/>
    <w:rsid w:val="0E071437"/>
    <w:rsid w:val="0E155B3E"/>
    <w:rsid w:val="0E252C04"/>
    <w:rsid w:val="0E26697C"/>
    <w:rsid w:val="0E2B3D03"/>
    <w:rsid w:val="0E3C619F"/>
    <w:rsid w:val="0E417312"/>
    <w:rsid w:val="0E556B89"/>
    <w:rsid w:val="0E5B282E"/>
    <w:rsid w:val="0E5C2EA3"/>
    <w:rsid w:val="0E5E166A"/>
    <w:rsid w:val="0E5F47DD"/>
    <w:rsid w:val="0E6772B0"/>
    <w:rsid w:val="0E6B66E8"/>
    <w:rsid w:val="0E7B0A75"/>
    <w:rsid w:val="0E8F2DCE"/>
    <w:rsid w:val="0E9434CC"/>
    <w:rsid w:val="0E96765D"/>
    <w:rsid w:val="0E9C09EC"/>
    <w:rsid w:val="0EB36C82"/>
    <w:rsid w:val="0ED45624"/>
    <w:rsid w:val="0EE04BDF"/>
    <w:rsid w:val="0EE44AEB"/>
    <w:rsid w:val="0EF951F1"/>
    <w:rsid w:val="0F052A35"/>
    <w:rsid w:val="0F150F54"/>
    <w:rsid w:val="0F2509E1"/>
    <w:rsid w:val="0F2A74C4"/>
    <w:rsid w:val="0F377C68"/>
    <w:rsid w:val="0F4075C9"/>
    <w:rsid w:val="0F492922"/>
    <w:rsid w:val="0F4E4E40"/>
    <w:rsid w:val="0F553015"/>
    <w:rsid w:val="0F5D017B"/>
    <w:rsid w:val="0F5F0397"/>
    <w:rsid w:val="0F620A17"/>
    <w:rsid w:val="0F687E3D"/>
    <w:rsid w:val="0F7543D3"/>
    <w:rsid w:val="0F786D63"/>
    <w:rsid w:val="0F7A6CDB"/>
    <w:rsid w:val="0F7F7EC4"/>
    <w:rsid w:val="0F84395A"/>
    <w:rsid w:val="0F87169C"/>
    <w:rsid w:val="0FA1693D"/>
    <w:rsid w:val="0FB57FB7"/>
    <w:rsid w:val="0FB96D88"/>
    <w:rsid w:val="0FBD0194"/>
    <w:rsid w:val="0FC14D24"/>
    <w:rsid w:val="0FC85F3C"/>
    <w:rsid w:val="0FE030CE"/>
    <w:rsid w:val="0FED7751"/>
    <w:rsid w:val="0FEE5277"/>
    <w:rsid w:val="0FF26B15"/>
    <w:rsid w:val="10136B03"/>
    <w:rsid w:val="10172A20"/>
    <w:rsid w:val="10202CC1"/>
    <w:rsid w:val="102B0279"/>
    <w:rsid w:val="103B47DC"/>
    <w:rsid w:val="104430E9"/>
    <w:rsid w:val="1045133B"/>
    <w:rsid w:val="1045758D"/>
    <w:rsid w:val="10497075"/>
    <w:rsid w:val="105517FE"/>
    <w:rsid w:val="105B0B5E"/>
    <w:rsid w:val="10616D58"/>
    <w:rsid w:val="10685029"/>
    <w:rsid w:val="1069097D"/>
    <w:rsid w:val="10730C95"/>
    <w:rsid w:val="108A4FA0"/>
    <w:rsid w:val="109E624B"/>
    <w:rsid w:val="10A06571"/>
    <w:rsid w:val="10A27F31"/>
    <w:rsid w:val="10A51DDA"/>
    <w:rsid w:val="10A753AB"/>
    <w:rsid w:val="10AA5CB1"/>
    <w:rsid w:val="10B54EB2"/>
    <w:rsid w:val="10B95885"/>
    <w:rsid w:val="10BF682C"/>
    <w:rsid w:val="10C77FA2"/>
    <w:rsid w:val="10CB29C5"/>
    <w:rsid w:val="10CC3A02"/>
    <w:rsid w:val="10CC6281"/>
    <w:rsid w:val="10D20B24"/>
    <w:rsid w:val="10D87300"/>
    <w:rsid w:val="10DA48AD"/>
    <w:rsid w:val="10E33AF2"/>
    <w:rsid w:val="10E741A0"/>
    <w:rsid w:val="10ED552F"/>
    <w:rsid w:val="10F37004"/>
    <w:rsid w:val="110B438A"/>
    <w:rsid w:val="11140D0D"/>
    <w:rsid w:val="11197D0C"/>
    <w:rsid w:val="11313480"/>
    <w:rsid w:val="113176CE"/>
    <w:rsid w:val="11321AA9"/>
    <w:rsid w:val="115D4462"/>
    <w:rsid w:val="1167339E"/>
    <w:rsid w:val="117143B2"/>
    <w:rsid w:val="11717F0E"/>
    <w:rsid w:val="11785740"/>
    <w:rsid w:val="11877731"/>
    <w:rsid w:val="118E435A"/>
    <w:rsid w:val="11927058"/>
    <w:rsid w:val="119423C1"/>
    <w:rsid w:val="119C3B0E"/>
    <w:rsid w:val="11A02DC7"/>
    <w:rsid w:val="11AB0C22"/>
    <w:rsid w:val="11B50F78"/>
    <w:rsid w:val="11B5291B"/>
    <w:rsid w:val="11B81FE1"/>
    <w:rsid w:val="11C1301D"/>
    <w:rsid w:val="11DF30C9"/>
    <w:rsid w:val="11E608FC"/>
    <w:rsid w:val="11ED1C8A"/>
    <w:rsid w:val="11EE4343"/>
    <w:rsid w:val="11EE77B0"/>
    <w:rsid w:val="11EF6FB9"/>
    <w:rsid w:val="12086E43"/>
    <w:rsid w:val="120D4199"/>
    <w:rsid w:val="120F3D85"/>
    <w:rsid w:val="12171B57"/>
    <w:rsid w:val="122F22A3"/>
    <w:rsid w:val="12333415"/>
    <w:rsid w:val="1235718D"/>
    <w:rsid w:val="12386C7D"/>
    <w:rsid w:val="12483364"/>
    <w:rsid w:val="12573688"/>
    <w:rsid w:val="127777A6"/>
    <w:rsid w:val="127A1044"/>
    <w:rsid w:val="127F4FEA"/>
    <w:rsid w:val="129801D4"/>
    <w:rsid w:val="12AA40AD"/>
    <w:rsid w:val="12BC14E9"/>
    <w:rsid w:val="12BC78AF"/>
    <w:rsid w:val="12D720A5"/>
    <w:rsid w:val="12E56E05"/>
    <w:rsid w:val="12EF08E6"/>
    <w:rsid w:val="13031039"/>
    <w:rsid w:val="1307041F"/>
    <w:rsid w:val="133D454B"/>
    <w:rsid w:val="133E327C"/>
    <w:rsid w:val="13467E71"/>
    <w:rsid w:val="134C0C32"/>
    <w:rsid w:val="134E47DC"/>
    <w:rsid w:val="13542B43"/>
    <w:rsid w:val="13854144"/>
    <w:rsid w:val="138C43DE"/>
    <w:rsid w:val="13925EE6"/>
    <w:rsid w:val="13961EAE"/>
    <w:rsid w:val="13985C26"/>
    <w:rsid w:val="139C5DE4"/>
    <w:rsid w:val="139D71F2"/>
    <w:rsid w:val="139E0D62"/>
    <w:rsid w:val="13AC3968"/>
    <w:rsid w:val="13AF4F03"/>
    <w:rsid w:val="13BE5FB1"/>
    <w:rsid w:val="13C13857"/>
    <w:rsid w:val="13E76BAD"/>
    <w:rsid w:val="13F75519"/>
    <w:rsid w:val="13FD47FE"/>
    <w:rsid w:val="140A4F68"/>
    <w:rsid w:val="140B63F8"/>
    <w:rsid w:val="140F2E16"/>
    <w:rsid w:val="14226234"/>
    <w:rsid w:val="14264FE0"/>
    <w:rsid w:val="144401A2"/>
    <w:rsid w:val="146124BC"/>
    <w:rsid w:val="14641329"/>
    <w:rsid w:val="14670F31"/>
    <w:rsid w:val="14736E66"/>
    <w:rsid w:val="147A17CF"/>
    <w:rsid w:val="147F458F"/>
    <w:rsid w:val="14837491"/>
    <w:rsid w:val="148954D3"/>
    <w:rsid w:val="148D505F"/>
    <w:rsid w:val="14911257"/>
    <w:rsid w:val="14AA3E63"/>
    <w:rsid w:val="14CD5DA3"/>
    <w:rsid w:val="14D43C93"/>
    <w:rsid w:val="14D958EC"/>
    <w:rsid w:val="14F74BCE"/>
    <w:rsid w:val="14FA3E00"/>
    <w:rsid w:val="1531036E"/>
    <w:rsid w:val="1534169A"/>
    <w:rsid w:val="15344AB2"/>
    <w:rsid w:val="154A73F4"/>
    <w:rsid w:val="15540A4D"/>
    <w:rsid w:val="15565D98"/>
    <w:rsid w:val="155B33AF"/>
    <w:rsid w:val="156404B5"/>
    <w:rsid w:val="156D25A1"/>
    <w:rsid w:val="156F5F06"/>
    <w:rsid w:val="15812F88"/>
    <w:rsid w:val="158D0E46"/>
    <w:rsid w:val="158E1BEE"/>
    <w:rsid w:val="15911585"/>
    <w:rsid w:val="159513FB"/>
    <w:rsid w:val="159C0EE7"/>
    <w:rsid w:val="15A27358"/>
    <w:rsid w:val="15AC7766"/>
    <w:rsid w:val="15B14FA7"/>
    <w:rsid w:val="15C03E03"/>
    <w:rsid w:val="15C34AB0"/>
    <w:rsid w:val="15C3785B"/>
    <w:rsid w:val="15D26520"/>
    <w:rsid w:val="15E72E94"/>
    <w:rsid w:val="15EE508B"/>
    <w:rsid w:val="160F4148"/>
    <w:rsid w:val="16111CBF"/>
    <w:rsid w:val="161F262E"/>
    <w:rsid w:val="162A25EB"/>
    <w:rsid w:val="162B0FD3"/>
    <w:rsid w:val="1642631D"/>
    <w:rsid w:val="16473933"/>
    <w:rsid w:val="165322D8"/>
    <w:rsid w:val="16730284"/>
    <w:rsid w:val="1674297A"/>
    <w:rsid w:val="16775078"/>
    <w:rsid w:val="168B7C8B"/>
    <w:rsid w:val="169F56FE"/>
    <w:rsid w:val="16A267A7"/>
    <w:rsid w:val="16A62408"/>
    <w:rsid w:val="16BD6398"/>
    <w:rsid w:val="16BD6B43"/>
    <w:rsid w:val="16C17241"/>
    <w:rsid w:val="16D31DF9"/>
    <w:rsid w:val="16D67838"/>
    <w:rsid w:val="16DD5273"/>
    <w:rsid w:val="16DF0D20"/>
    <w:rsid w:val="16E3540A"/>
    <w:rsid w:val="16E923AF"/>
    <w:rsid w:val="16FD2A55"/>
    <w:rsid w:val="17067C1A"/>
    <w:rsid w:val="170B19CF"/>
    <w:rsid w:val="17143815"/>
    <w:rsid w:val="172045B4"/>
    <w:rsid w:val="172E10C1"/>
    <w:rsid w:val="172F08F7"/>
    <w:rsid w:val="17366761"/>
    <w:rsid w:val="17393A34"/>
    <w:rsid w:val="173A76F6"/>
    <w:rsid w:val="175A043F"/>
    <w:rsid w:val="17672074"/>
    <w:rsid w:val="17742506"/>
    <w:rsid w:val="1774709D"/>
    <w:rsid w:val="177644D0"/>
    <w:rsid w:val="177C01F0"/>
    <w:rsid w:val="177E17B7"/>
    <w:rsid w:val="17982698"/>
    <w:rsid w:val="17A10E21"/>
    <w:rsid w:val="17A1706E"/>
    <w:rsid w:val="17B52061"/>
    <w:rsid w:val="17B80644"/>
    <w:rsid w:val="17B86896"/>
    <w:rsid w:val="17C50D78"/>
    <w:rsid w:val="17CE6630"/>
    <w:rsid w:val="17D32A08"/>
    <w:rsid w:val="17D42FA4"/>
    <w:rsid w:val="17EB3722"/>
    <w:rsid w:val="17EC6540"/>
    <w:rsid w:val="17EF65A5"/>
    <w:rsid w:val="17F50191"/>
    <w:rsid w:val="17FA1D25"/>
    <w:rsid w:val="180E6351"/>
    <w:rsid w:val="1810355D"/>
    <w:rsid w:val="181235D5"/>
    <w:rsid w:val="18312189"/>
    <w:rsid w:val="183C473C"/>
    <w:rsid w:val="184C6FDF"/>
    <w:rsid w:val="18554738"/>
    <w:rsid w:val="186D1754"/>
    <w:rsid w:val="18700F1F"/>
    <w:rsid w:val="18750DB1"/>
    <w:rsid w:val="187A7FF0"/>
    <w:rsid w:val="187B48A5"/>
    <w:rsid w:val="187C2A7B"/>
    <w:rsid w:val="18972950"/>
    <w:rsid w:val="189B3AC2"/>
    <w:rsid w:val="189C7F66"/>
    <w:rsid w:val="18A03075"/>
    <w:rsid w:val="18A419CD"/>
    <w:rsid w:val="18AB01A9"/>
    <w:rsid w:val="18AC51E6"/>
    <w:rsid w:val="18D01F80"/>
    <w:rsid w:val="18DB2908"/>
    <w:rsid w:val="18EE2472"/>
    <w:rsid w:val="19002335"/>
    <w:rsid w:val="190478B9"/>
    <w:rsid w:val="191775ED"/>
    <w:rsid w:val="19206078"/>
    <w:rsid w:val="19306900"/>
    <w:rsid w:val="19314F92"/>
    <w:rsid w:val="19371A3D"/>
    <w:rsid w:val="193F68F3"/>
    <w:rsid w:val="19434380"/>
    <w:rsid w:val="19491239"/>
    <w:rsid w:val="194C7105"/>
    <w:rsid w:val="19537014"/>
    <w:rsid w:val="19621891"/>
    <w:rsid w:val="196331BE"/>
    <w:rsid w:val="197A7D49"/>
    <w:rsid w:val="197B401F"/>
    <w:rsid w:val="198136D4"/>
    <w:rsid w:val="19874772"/>
    <w:rsid w:val="19915DD8"/>
    <w:rsid w:val="19934424"/>
    <w:rsid w:val="199E1ABC"/>
    <w:rsid w:val="19A5109C"/>
    <w:rsid w:val="19A74E14"/>
    <w:rsid w:val="19AD5CB2"/>
    <w:rsid w:val="19B80DD0"/>
    <w:rsid w:val="19BC1F42"/>
    <w:rsid w:val="19BD66DD"/>
    <w:rsid w:val="19C534ED"/>
    <w:rsid w:val="19C607E7"/>
    <w:rsid w:val="19E5593D"/>
    <w:rsid w:val="19F16090"/>
    <w:rsid w:val="19F6165F"/>
    <w:rsid w:val="19FB2A6A"/>
    <w:rsid w:val="1A0B68A8"/>
    <w:rsid w:val="1A0D4509"/>
    <w:rsid w:val="1A1B0F5C"/>
    <w:rsid w:val="1A232551"/>
    <w:rsid w:val="1A472B8C"/>
    <w:rsid w:val="1A4E34E2"/>
    <w:rsid w:val="1A515FC0"/>
    <w:rsid w:val="1A614813"/>
    <w:rsid w:val="1A6920CA"/>
    <w:rsid w:val="1A6962BC"/>
    <w:rsid w:val="1A782658"/>
    <w:rsid w:val="1A7D68F1"/>
    <w:rsid w:val="1A7F33F1"/>
    <w:rsid w:val="1A8573D4"/>
    <w:rsid w:val="1A867FDC"/>
    <w:rsid w:val="1A8B3F42"/>
    <w:rsid w:val="1A8E1B30"/>
    <w:rsid w:val="1AAE6965"/>
    <w:rsid w:val="1AB74F63"/>
    <w:rsid w:val="1ABC48F0"/>
    <w:rsid w:val="1AC3132A"/>
    <w:rsid w:val="1AE47A0B"/>
    <w:rsid w:val="1AE94689"/>
    <w:rsid w:val="1AE94FB9"/>
    <w:rsid w:val="1AF65A4C"/>
    <w:rsid w:val="1AFF0AFE"/>
    <w:rsid w:val="1B0C4085"/>
    <w:rsid w:val="1B1464DA"/>
    <w:rsid w:val="1B2F7ACF"/>
    <w:rsid w:val="1B34103B"/>
    <w:rsid w:val="1B356531"/>
    <w:rsid w:val="1B39650C"/>
    <w:rsid w:val="1B3E5305"/>
    <w:rsid w:val="1B4A4F0A"/>
    <w:rsid w:val="1B4F19F8"/>
    <w:rsid w:val="1B522B5E"/>
    <w:rsid w:val="1B5C2F75"/>
    <w:rsid w:val="1B6B7470"/>
    <w:rsid w:val="1B8D003A"/>
    <w:rsid w:val="1BA43815"/>
    <w:rsid w:val="1BAC167D"/>
    <w:rsid w:val="1BAE3D4C"/>
    <w:rsid w:val="1BBD091F"/>
    <w:rsid w:val="1BC81E14"/>
    <w:rsid w:val="1BC953AA"/>
    <w:rsid w:val="1BED6415"/>
    <w:rsid w:val="1BEE7729"/>
    <w:rsid w:val="1C01417E"/>
    <w:rsid w:val="1C100CC6"/>
    <w:rsid w:val="1C1A42E7"/>
    <w:rsid w:val="1C1F28DB"/>
    <w:rsid w:val="1C2049D2"/>
    <w:rsid w:val="1C226F03"/>
    <w:rsid w:val="1C2838BF"/>
    <w:rsid w:val="1C366EC8"/>
    <w:rsid w:val="1C3D380E"/>
    <w:rsid w:val="1C3F670D"/>
    <w:rsid w:val="1C5172BA"/>
    <w:rsid w:val="1C55025E"/>
    <w:rsid w:val="1C6074FD"/>
    <w:rsid w:val="1C640D9B"/>
    <w:rsid w:val="1C874183"/>
    <w:rsid w:val="1C9A50D4"/>
    <w:rsid w:val="1CA823CD"/>
    <w:rsid w:val="1CB515F6"/>
    <w:rsid w:val="1CD3568D"/>
    <w:rsid w:val="1CDE1F2F"/>
    <w:rsid w:val="1CE52743"/>
    <w:rsid w:val="1CE61E5F"/>
    <w:rsid w:val="1CF77E61"/>
    <w:rsid w:val="1CF93E51"/>
    <w:rsid w:val="1CFD0F69"/>
    <w:rsid w:val="1CFF0AC4"/>
    <w:rsid w:val="1CFF3FD0"/>
    <w:rsid w:val="1D115195"/>
    <w:rsid w:val="1D1C46B8"/>
    <w:rsid w:val="1D214EDE"/>
    <w:rsid w:val="1D230C56"/>
    <w:rsid w:val="1D322C47"/>
    <w:rsid w:val="1D375A8F"/>
    <w:rsid w:val="1D3943AC"/>
    <w:rsid w:val="1D3A7549"/>
    <w:rsid w:val="1D7414B2"/>
    <w:rsid w:val="1D7C700E"/>
    <w:rsid w:val="1D805CF0"/>
    <w:rsid w:val="1D8F637F"/>
    <w:rsid w:val="1D921938"/>
    <w:rsid w:val="1D996796"/>
    <w:rsid w:val="1D9F5E03"/>
    <w:rsid w:val="1DA07F2F"/>
    <w:rsid w:val="1DA63635"/>
    <w:rsid w:val="1DB23D88"/>
    <w:rsid w:val="1DB93368"/>
    <w:rsid w:val="1DD106A3"/>
    <w:rsid w:val="1DE75398"/>
    <w:rsid w:val="1DF443A0"/>
    <w:rsid w:val="1DFB0A4E"/>
    <w:rsid w:val="1E026ABD"/>
    <w:rsid w:val="1E0450B5"/>
    <w:rsid w:val="1E1B36DB"/>
    <w:rsid w:val="1E2734BD"/>
    <w:rsid w:val="1E2A7DC2"/>
    <w:rsid w:val="1E375346"/>
    <w:rsid w:val="1E3D54D5"/>
    <w:rsid w:val="1E657FE9"/>
    <w:rsid w:val="1E6B39C7"/>
    <w:rsid w:val="1E72152A"/>
    <w:rsid w:val="1E842C7C"/>
    <w:rsid w:val="1E845724"/>
    <w:rsid w:val="1E8C24F9"/>
    <w:rsid w:val="1E994FF0"/>
    <w:rsid w:val="1E9F430C"/>
    <w:rsid w:val="1EA27958"/>
    <w:rsid w:val="1EA7798B"/>
    <w:rsid w:val="1EC475AC"/>
    <w:rsid w:val="1ECC44FA"/>
    <w:rsid w:val="1ECE7147"/>
    <w:rsid w:val="1ED33FB6"/>
    <w:rsid w:val="1ED61CF8"/>
    <w:rsid w:val="1ED65854"/>
    <w:rsid w:val="1ED81A83"/>
    <w:rsid w:val="1EE53F41"/>
    <w:rsid w:val="1EEC5E8E"/>
    <w:rsid w:val="1EF108E0"/>
    <w:rsid w:val="1EFA398D"/>
    <w:rsid w:val="1F002542"/>
    <w:rsid w:val="1F040613"/>
    <w:rsid w:val="1F063325"/>
    <w:rsid w:val="1F066139"/>
    <w:rsid w:val="1F095756"/>
    <w:rsid w:val="1F206483"/>
    <w:rsid w:val="1F3A33E6"/>
    <w:rsid w:val="1F4D240C"/>
    <w:rsid w:val="1F50678E"/>
    <w:rsid w:val="1F6A3BA7"/>
    <w:rsid w:val="1F6D440A"/>
    <w:rsid w:val="1F80168B"/>
    <w:rsid w:val="1F843156"/>
    <w:rsid w:val="1F86727A"/>
    <w:rsid w:val="1F884DA0"/>
    <w:rsid w:val="1F885ACE"/>
    <w:rsid w:val="1F91158B"/>
    <w:rsid w:val="1F9C084C"/>
    <w:rsid w:val="1F9C4CF0"/>
    <w:rsid w:val="1FBC5DF5"/>
    <w:rsid w:val="1FC16863"/>
    <w:rsid w:val="1FCA1257"/>
    <w:rsid w:val="1FE41ABA"/>
    <w:rsid w:val="1FEA075F"/>
    <w:rsid w:val="1FED554B"/>
    <w:rsid w:val="1FEF662C"/>
    <w:rsid w:val="1FF26E0D"/>
    <w:rsid w:val="1FF90588"/>
    <w:rsid w:val="200F6219"/>
    <w:rsid w:val="201167D2"/>
    <w:rsid w:val="20134907"/>
    <w:rsid w:val="201474B7"/>
    <w:rsid w:val="20213923"/>
    <w:rsid w:val="20233DBF"/>
    <w:rsid w:val="20245062"/>
    <w:rsid w:val="202A40A9"/>
    <w:rsid w:val="20442FE5"/>
    <w:rsid w:val="204809D3"/>
    <w:rsid w:val="204D2ACD"/>
    <w:rsid w:val="20517888"/>
    <w:rsid w:val="2067156E"/>
    <w:rsid w:val="207417C9"/>
    <w:rsid w:val="207E61A3"/>
    <w:rsid w:val="20874471"/>
    <w:rsid w:val="20887022"/>
    <w:rsid w:val="20914128"/>
    <w:rsid w:val="209E0E72"/>
    <w:rsid w:val="20AA6F98"/>
    <w:rsid w:val="20B56069"/>
    <w:rsid w:val="20BB6724"/>
    <w:rsid w:val="20BF7883"/>
    <w:rsid w:val="20C3623F"/>
    <w:rsid w:val="20CE712B"/>
    <w:rsid w:val="20D44015"/>
    <w:rsid w:val="20D67D8D"/>
    <w:rsid w:val="20D84C09"/>
    <w:rsid w:val="20F12AC3"/>
    <w:rsid w:val="20F25B07"/>
    <w:rsid w:val="20F546B7"/>
    <w:rsid w:val="20FE52C0"/>
    <w:rsid w:val="211041C1"/>
    <w:rsid w:val="212B4272"/>
    <w:rsid w:val="212C5BFF"/>
    <w:rsid w:val="2144147A"/>
    <w:rsid w:val="21666272"/>
    <w:rsid w:val="21781212"/>
    <w:rsid w:val="21833156"/>
    <w:rsid w:val="21861FB5"/>
    <w:rsid w:val="219C4B33"/>
    <w:rsid w:val="21A954A2"/>
    <w:rsid w:val="21AB0864"/>
    <w:rsid w:val="21B83F86"/>
    <w:rsid w:val="21BF4CC5"/>
    <w:rsid w:val="21C26E80"/>
    <w:rsid w:val="21D06A21"/>
    <w:rsid w:val="21E069CE"/>
    <w:rsid w:val="21E604A4"/>
    <w:rsid w:val="21F7445F"/>
    <w:rsid w:val="22106A4D"/>
    <w:rsid w:val="221178A8"/>
    <w:rsid w:val="221213CF"/>
    <w:rsid w:val="221E19EC"/>
    <w:rsid w:val="22250889"/>
    <w:rsid w:val="222D1C2F"/>
    <w:rsid w:val="2230171F"/>
    <w:rsid w:val="22327A92"/>
    <w:rsid w:val="225049AB"/>
    <w:rsid w:val="22525B39"/>
    <w:rsid w:val="22925F36"/>
    <w:rsid w:val="22A84DFE"/>
    <w:rsid w:val="22BB3EC7"/>
    <w:rsid w:val="22C96599"/>
    <w:rsid w:val="22D447A0"/>
    <w:rsid w:val="22DB129D"/>
    <w:rsid w:val="22E9024C"/>
    <w:rsid w:val="22E91FFA"/>
    <w:rsid w:val="22F47D51"/>
    <w:rsid w:val="22FA4C94"/>
    <w:rsid w:val="23040BE2"/>
    <w:rsid w:val="230436F8"/>
    <w:rsid w:val="23046E34"/>
    <w:rsid w:val="23076924"/>
    <w:rsid w:val="230865AC"/>
    <w:rsid w:val="230961F8"/>
    <w:rsid w:val="230E1A60"/>
    <w:rsid w:val="231D53A2"/>
    <w:rsid w:val="23243032"/>
    <w:rsid w:val="23435214"/>
    <w:rsid w:val="234401DF"/>
    <w:rsid w:val="23490E7F"/>
    <w:rsid w:val="23502079"/>
    <w:rsid w:val="235477BA"/>
    <w:rsid w:val="235F406A"/>
    <w:rsid w:val="236D5383"/>
    <w:rsid w:val="237E0562"/>
    <w:rsid w:val="23811F5D"/>
    <w:rsid w:val="23867849"/>
    <w:rsid w:val="23A41B75"/>
    <w:rsid w:val="23A75A11"/>
    <w:rsid w:val="23B134E6"/>
    <w:rsid w:val="23B74A16"/>
    <w:rsid w:val="23B7504C"/>
    <w:rsid w:val="23B95E70"/>
    <w:rsid w:val="23BA654A"/>
    <w:rsid w:val="23BD1E38"/>
    <w:rsid w:val="23BF2D5B"/>
    <w:rsid w:val="23C509CD"/>
    <w:rsid w:val="23C93BD9"/>
    <w:rsid w:val="23D507D0"/>
    <w:rsid w:val="23E308F6"/>
    <w:rsid w:val="23FC34CB"/>
    <w:rsid w:val="240149FF"/>
    <w:rsid w:val="240D25B5"/>
    <w:rsid w:val="241E5A1E"/>
    <w:rsid w:val="24205BC8"/>
    <w:rsid w:val="242C0CB6"/>
    <w:rsid w:val="24354590"/>
    <w:rsid w:val="24523BCF"/>
    <w:rsid w:val="24571307"/>
    <w:rsid w:val="247C7D19"/>
    <w:rsid w:val="248D4C07"/>
    <w:rsid w:val="249C4E4A"/>
    <w:rsid w:val="24A00DDE"/>
    <w:rsid w:val="24B34021"/>
    <w:rsid w:val="24B6761D"/>
    <w:rsid w:val="24B822DD"/>
    <w:rsid w:val="24BE0ABD"/>
    <w:rsid w:val="24CB4B0D"/>
    <w:rsid w:val="24E8008F"/>
    <w:rsid w:val="24E91BBE"/>
    <w:rsid w:val="24F627AC"/>
    <w:rsid w:val="24F86524"/>
    <w:rsid w:val="24FB4266"/>
    <w:rsid w:val="25110A2A"/>
    <w:rsid w:val="251513DA"/>
    <w:rsid w:val="251569DF"/>
    <w:rsid w:val="251D242F"/>
    <w:rsid w:val="25205A7B"/>
    <w:rsid w:val="252F3220"/>
    <w:rsid w:val="255A571A"/>
    <w:rsid w:val="25647DF0"/>
    <w:rsid w:val="256C0944"/>
    <w:rsid w:val="25773D5F"/>
    <w:rsid w:val="257751E6"/>
    <w:rsid w:val="257B0F03"/>
    <w:rsid w:val="257E73F2"/>
    <w:rsid w:val="25822292"/>
    <w:rsid w:val="258E02F8"/>
    <w:rsid w:val="25916979"/>
    <w:rsid w:val="25981AB5"/>
    <w:rsid w:val="25A979D1"/>
    <w:rsid w:val="25B05051"/>
    <w:rsid w:val="25B849F4"/>
    <w:rsid w:val="25BE7679"/>
    <w:rsid w:val="25C00F8A"/>
    <w:rsid w:val="25C12DBA"/>
    <w:rsid w:val="25D53DA4"/>
    <w:rsid w:val="25D54AB7"/>
    <w:rsid w:val="25E410EC"/>
    <w:rsid w:val="25EC2CF7"/>
    <w:rsid w:val="25FA451E"/>
    <w:rsid w:val="25FF1B34"/>
    <w:rsid w:val="261F4447"/>
    <w:rsid w:val="262B2929"/>
    <w:rsid w:val="263050F1"/>
    <w:rsid w:val="26381F9B"/>
    <w:rsid w:val="263C6B89"/>
    <w:rsid w:val="26445799"/>
    <w:rsid w:val="26446DE3"/>
    <w:rsid w:val="265D6715"/>
    <w:rsid w:val="266320C3"/>
    <w:rsid w:val="26712A32"/>
    <w:rsid w:val="267B0CDC"/>
    <w:rsid w:val="26857A82"/>
    <w:rsid w:val="269669E7"/>
    <w:rsid w:val="26976211"/>
    <w:rsid w:val="26993D37"/>
    <w:rsid w:val="26A744DB"/>
    <w:rsid w:val="26AB487C"/>
    <w:rsid w:val="26B81871"/>
    <w:rsid w:val="26C62652"/>
    <w:rsid w:val="26D4005A"/>
    <w:rsid w:val="26D7699F"/>
    <w:rsid w:val="26DA3B4A"/>
    <w:rsid w:val="26E26183"/>
    <w:rsid w:val="26E36ACC"/>
    <w:rsid w:val="26F73A2A"/>
    <w:rsid w:val="26FF2BB8"/>
    <w:rsid w:val="270417B7"/>
    <w:rsid w:val="27084A19"/>
    <w:rsid w:val="27102C21"/>
    <w:rsid w:val="27227C57"/>
    <w:rsid w:val="272A1388"/>
    <w:rsid w:val="273C2D68"/>
    <w:rsid w:val="2750171F"/>
    <w:rsid w:val="275122E4"/>
    <w:rsid w:val="27532138"/>
    <w:rsid w:val="2769156F"/>
    <w:rsid w:val="276C3E4A"/>
    <w:rsid w:val="276F6EB3"/>
    <w:rsid w:val="277663A4"/>
    <w:rsid w:val="27793F5D"/>
    <w:rsid w:val="278F3C1E"/>
    <w:rsid w:val="27A2622E"/>
    <w:rsid w:val="27A60F83"/>
    <w:rsid w:val="27C12412"/>
    <w:rsid w:val="27CE4C98"/>
    <w:rsid w:val="27D24FCB"/>
    <w:rsid w:val="27DD5EA5"/>
    <w:rsid w:val="27E40FE2"/>
    <w:rsid w:val="27FF406E"/>
    <w:rsid w:val="280B47C0"/>
    <w:rsid w:val="28124EAE"/>
    <w:rsid w:val="28137B19"/>
    <w:rsid w:val="281D44F4"/>
    <w:rsid w:val="28245882"/>
    <w:rsid w:val="2835517F"/>
    <w:rsid w:val="28527787"/>
    <w:rsid w:val="28553C8E"/>
    <w:rsid w:val="286F1880"/>
    <w:rsid w:val="28704451"/>
    <w:rsid w:val="28785F5E"/>
    <w:rsid w:val="28793E20"/>
    <w:rsid w:val="28893937"/>
    <w:rsid w:val="288D1679"/>
    <w:rsid w:val="28924EE2"/>
    <w:rsid w:val="28940C5A"/>
    <w:rsid w:val="2895115B"/>
    <w:rsid w:val="2895359B"/>
    <w:rsid w:val="28A10C81"/>
    <w:rsid w:val="28B43155"/>
    <w:rsid w:val="28B673DC"/>
    <w:rsid w:val="28BA46FA"/>
    <w:rsid w:val="28BE0C8F"/>
    <w:rsid w:val="28BE38E2"/>
    <w:rsid w:val="28CA01D8"/>
    <w:rsid w:val="28CD1A76"/>
    <w:rsid w:val="28E374EB"/>
    <w:rsid w:val="28EB6E76"/>
    <w:rsid w:val="28F14595"/>
    <w:rsid w:val="28F416F8"/>
    <w:rsid w:val="29063629"/>
    <w:rsid w:val="291137B2"/>
    <w:rsid w:val="2913753A"/>
    <w:rsid w:val="2914146A"/>
    <w:rsid w:val="293D6B2E"/>
    <w:rsid w:val="293D6BFB"/>
    <w:rsid w:val="294066EC"/>
    <w:rsid w:val="29462E61"/>
    <w:rsid w:val="294E0E09"/>
    <w:rsid w:val="295E2317"/>
    <w:rsid w:val="295E7D6B"/>
    <w:rsid w:val="296B020D"/>
    <w:rsid w:val="29763EBB"/>
    <w:rsid w:val="297D10CF"/>
    <w:rsid w:val="297D3FFE"/>
    <w:rsid w:val="29802F8C"/>
    <w:rsid w:val="29970BCA"/>
    <w:rsid w:val="299D10EC"/>
    <w:rsid w:val="29AB625B"/>
    <w:rsid w:val="29AD0C8B"/>
    <w:rsid w:val="29BB39AC"/>
    <w:rsid w:val="29C42E79"/>
    <w:rsid w:val="29C5574F"/>
    <w:rsid w:val="29C67FA0"/>
    <w:rsid w:val="29C82780"/>
    <w:rsid w:val="29C97E91"/>
    <w:rsid w:val="29D00278"/>
    <w:rsid w:val="29D62BAC"/>
    <w:rsid w:val="29DC3BA0"/>
    <w:rsid w:val="29E509C9"/>
    <w:rsid w:val="29EA180A"/>
    <w:rsid w:val="29EF6C45"/>
    <w:rsid w:val="29F55728"/>
    <w:rsid w:val="29FD39F5"/>
    <w:rsid w:val="2A007C29"/>
    <w:rsid w:val="2A0E2346"/>
    <w:rsid w:val="2A1619CB"/>
    <w:rsid w:val="2A1769A3"/>
    <w:rsid w:val="2A223A09"/>
    <w:rsid w:val="2A275520"/>
    <w:rsid w:val="2A314286"/>
    <w:rsid w:val="2A3B5B8B"/>
    <w:rsid w:val="2A465F84"/>
    <w:rsid w:val="2A4D10C0"/>
    <w:rsid w:val="2A4D3396"/>
    <w:rsid w:val="2A541720"/>
    <w:rsid w:val="2A613F70"/>
    <w:rsid w:val="2A6E594A"/>
    <w:rsid w:val="2A6F54DA"/>
    <w:rsid w:val="2A73489F"/>
    <w:rsid w:val="2A7E3970"/>
    <w:rsid w:val="2A834AE2"/>
    <w:rsid w:val="2A83619E"/>
    <w:rsid w:val="2A846AAC"/>
    <w:rsid w:val="2A97058D"/>
    <w:rsid w:val="2A9F5694"/>
    <w:rsid w:val="2AB23619"/>
    <w:rsid w:val="2AC1560A"/>
    <w:rsid w:val="2AC53F93"/>
    <w:rsid w:val="2ACF406E"/>
    <w:rsid w:val="2AD76BDC"/>
    <w:rsid w:val="2AD830F7"/>
    <w:rsid w:val="2AD96DF8"/>
    <w:rsid w:val="2AE13EFE"/>
    <w:rsid w:val="2AE241C5"/>
    <w:rsid w:val="2B006133"/>
    <w:rsid w:val="2B084FE7"/>
    <w:rsid w:val="2B116592"/>
    <w:rsid w:val="2B1C4F36"/>
    <w:rsid w:val="2B253E47"/>
    <w:rsid w:val="2B2F6A18"/>
    <w:rsid w:val="2B3B360F"/>
    <w:rsid w:val="2B45448D"/>
    <w:rsid w:val="2B60606F"/>
    <w:rsid w:val="2B6A0459"/>
    <w:rsid w:val="2B6D5597"/>
    <w:rsid w:val="2B74267D"/>
    <w:rsid w:val="2B774624"/>
    <w:rsid w:val="2B7D7783"/>
    <w:rsid w:val="2B7E67D4"/>
    <w:rsid w:val="2B856638"/>
    <w:rsid w:val="2B885AA8"/>
    <w:rsid w:val="2B8A5BDD"/>
    <w:rsid w:val="2B8C3FB1"/>
    <w:rsid w:val="2B9D1BD3"/>
    <w:rsid w:val="2BAC62BA"/>
    <w:rsid w:val="2BB138D1"/>
    <w:rsid w:val="2BB92785"/>
    <w:rsid w:val="2BC83AB9"/>
    <w:rsid w:val="2BDF21EC"/>
    <w:rsid w:val="2BE025DA"/>
    <w:rsid w:val="2BE21CDC"/>
    <w:rsid w:val="2BEA293F"/>
    <w:rsid w:val="2BF5056F"/>
    <w:rsid w:val="2C007F31"/>
    <w:rsid w:val="2C075ACB"/>
    <w:rsid w:val="2C187060"/>
    <w:rsid w:val="2C1B56AB"/>
    <w:rsid w:val="2C3175D2"/>
    <w:rsid w:val="2C3A685D"/>
    <w:rsid w:val="2C4402A1"/>
    <w:rsid w:val="2C4B7881"/>
    <w:rsid w:val="2C534988"/>
    <w:rsid w:val="2C5371EF"/>
    <w:rsid w:val="2C5A1872"/>
    <w:rsid w:val="2C6D5A4A"/>
    <w:rsid w:val="2C796B75"/>
    <w:rsid w:val="2C7A72BE"/>
    <w:rsid w:val="2C890BCA"/>
    <w:rsid w:val="2C8A7A52"/>
    <w:rsid w:val="2C9034E6"/>
    <w:rsid w:val="2C9A7D75"/>
    <w:rsid w:val="2C9E3E55"/>
    <w:rsid w:val="2CA5221B"/>
    <w:rsid w:val="2CB734DA"/>
    <w:rsid w:val="2CBA0E42"/>
    <w:rsid w:val="2CBC587B"/>
    <w:rsid w:val="2CBF4377"/>
    <w:rsid w:val="2CC17412"/>
    <w:rsid w:val="2CC66F08"/>
    <w:rsid w:val="2CC85EEB"/>
    <w:rsid w:val="2CCB04B9"/>
    <w:rsid w:val="2CCF04B2"/>
    <w:rsid w:val="2CD40732"/>
    <w:rsid w:val="2CEA1907"/>
    <w:rsid w:val="2CEF2903"/>
    <w:rsid w:val="2CF26A4B"/>
    <w:rsid w:val="2CF350E3"/>
    <w:rsid w:val="2CFB12A7"/>
    <w:rsid w:val="2CFB664E"/>
    <w:rsid w:val="2CFE48F4"/>
    <w:rsid w:val="2CFF7BB9"/>
    <w:rsid w:val="2D031F0A"/>
    <w:rsid w:val="2D04594C"/>
    <w:rsid w:val="2D0C5851"/>
    <w:rsid w:val="2D0D0FDB"/>
    <w:rsid w:val="2D162C1B"/>
    <w:rsid w:val="2D197980"/>
    <w:rsid w:val="2D1C1975"/>
    <w:rsid w:val="2D1F543F"/>
    <w:rsid w:val="2D216834"/>
    <w:rsid w:val="2D363AC1"/>
    <w:rsid w:val="2D3C71CA"/>
    <w:rsid w:val="2D3E4B0D"/>
    <w:rsid w:val="2D446A9B"/>
    <w:rsid w:val="2D4744ED"/>
    <w:rsid w:val="2D652BC5"/>
    <w:rsid w:val="2D6B7AAF"/>
    <w:rsid w:val="2D83304B"/>
    <w:rsid w:val="2D863EDD"/>
    <w:rsid w:val="2DA07759"/>
    <w:rsid w:val="2DA120C4"/>
    <w:rsid w:val="2DAA682A"/>
    <w:rsid w:val="2DAC4350"/>
    <w:rsid w:val="2DAC6336"/>
    <w:rsid w:val="2DAE631A"/>
    <w:rsid w:val="2DB94CBF"/>
    <w:rsid w:val="2DBD030B"/>
    <w:rsid w:val="2DC65BA0"/>
    <w:rsid w:val="2DC747E2"/>
    <w:rsid w:val="2DD35D80"/>
    <w:rsid w:val="2DD85E2E"/>
    <w:rsid w:val="2DDB69E3"/>
    <w:rsid w:val="2E00644A"/>
    <w:rsid w:val="2E405189"/>
    <w:rsid w:val="2E41718B"/>
    <w:rsid w:val="2E554EA6"/>
    <w:rsid w:val="2E5F03A4"/>
    <w:rsid w:val="2E6435C2"/>
    <w:rsid w:val="2E6A1892"/>
    <w:rsid w:val="2E6C29B7"/>
    <w:rsid w:val="2E705D5E"/>
    <w:rsid w:val="2E717F8B"/>
    <w:rsid w:val="2E88190D"/>
    <w:rsid w:val="2E8928E3"/>
    <w:rsid w:val="2E8E1E30"/>
    <w:rsid w:val="2E9976CE"/>
    <w:rsid w:val="2EAB2859"/>
    <w:rsid w:val="2EAF6BF3"/>
    <w:rsid w:val="2ECE02F6"/>
    <w:rsid w:val="2ECE34C2"/>
    <w:rsid w:val="2EDD678B"/>
    <w:rsid w:val="2EDE539C"/>
    <w:rsid w:val="2EFD278C"/>
    <w:rsid w:val="2F134027"/>
    <w:rsid w:val="2F210D6D"/>
    <w:rsid w:val="2F2B399A"/>
    <w:rsid w:val="2F320885"/>
    <w:rsid w:val="2F330F99"/>
    <w:rsid w:val="2F401D3C"/>
    <w:rsid w:val="2F4F58DB"/>
    <w:rsid w:val="2F520F27"/>
    <w:rsid w:val="2F562EC0"/>
    <w:rsid w:val="2F572D25"/>
    <w:rsid w:val="2F5B24E1"/>
    <w:rsid w:val="2F70425D"/>
    <w:rsid w:val="2F704EEA"/>
    <w:rsid w:val="2F776BDF"/>
    <w:rsid w:val="2F7E1D1C"/>
    <w:rsid w:val="2F7F4483"/>
    <w:rsid w:val="2F8026D7"/>
    <w:rsid w:val="2F8F3F29"/>
    <w:rsid w:val="2F8F65C7"/>
    <w:rsid w:val="2FA774C5"/>
    <w:rsid w:val="2FA95C42"/>
    <w:rsid w:val="2FA95C88"/>
    <w:rsid w:val="2FC97926"/>
    <w:rsid w:val="2FD471C0"/>
    <w:rsid w:val="2FD81838"/>
    <w:rsid w:val="2FDF477A"/>
    <w:rsid w:val="2FF9770A"/>
    <w:rsid w:val="30071D11"/>
    <w:rsid w:val="300833DF"/>
    <w:rsid w:val="300857C7"/>
    <w:rsid w:val="3019031A"/>
    <w:rsid w:val="301C38BE"/>
    <w:rsid w:val="30242658"/>
    <w:rsid w:val="302F4907"/>
    <w:rsid w:val="303B3107"/>
    <w:rsid w:val="3041370F"/>
    <w:rsid w:val="304B42F4"/>
    <w:rsid w:val="30506D05"/>
    <w:rsid w:val="305D6C11"/>
    <w:rsid w:val="306A7D83"/>
    <w:rsid w:val="306D5836"/>
    <w:rsid w:val="3088148F"/>
    <w:rsid w:val="308A47E2"/>
    <w:rsid w:val="3097349C"/>
    <w:rsid w:val="30986E0D"/>
    <w:rsid w:val="309B0A4D"/>
    <w:rsid w:val="30A03F6A"/>
    <w:rsid w:val="30AD7887"/>
    <w:rsid w:val="30BF083E"/>
    <w:rsid w:val="30BF3D46"/>
    <w:rsid w:val="30CB2D3F"/>
    <w:rsid w:val="30D32298"/>
    <w:rsid w:val="30EB3300"/>
    <w:rsid w:val="30EC5E2A"/>
    <w:rsid w:val="30ED1946"/>
    <w:rsid w:val="30F1651D"/>
    <w:rsid w:val="30FC114A"/>
    <w:rsid w:val="310E70CF"/>
    <w:rsid w:val="311B0A1E"/>
    <w:rsid w:val="31216B3F"/>
    <w:rsid w:val="31295B5B"/>
    <w:rsid w:val="312B50A3"/>
    <w:rsid w:val="312D1C4B"/>
    <w:rsid w:val="313905F0"/>
    <w:rsid w:val="313C4010"/>
    <w:rsid w:val="31434FCB"/>
    <w:rsid w:val="31701B38"/>
    <w:rsid w:val="317172BB"/>
    <w:rsid w:val="318E6873"/>
    <w:rsid w:val="319764A4"/>
    <w:rsid w:val="31B16024"/>
    <w:rsid w:val="31B46ACE"/>
    <w:rsid w:val="31C533E2"/>
    <w:rsid w:val="31CA58BC"/>
    <w:rsid w:val="31D73965"/>
    <w:rsid w:val="31F51115"/>
    <w:rsid w:val="32003808"/>
    <w:rsid w:val="3216448E"/>
    <w:rsid w:val="32172470"/>
    <w:rsid w:val="321A6930"/>
    <w:rsid w:val="322E7A29"/>
    <w:rsid w:val="32364B30"/>
    <w:rsid w:val="32432DA9"/>
    <w:rsid w:val="32453A27"/>
    <w:rsid w:val="324A2389"/>
    <w:rsid w:val="3251196A"/>
    <w:rsid w:val="32560D2E"/>
    <w:rsid w:val="325F5E35"/>
    <w:rsid w:val="325F6899"/>
    <w:rsid w:val="3263064A"/>
    <w:rsid w:val="3265766A"/>
    <w:rsid w:val="327D2533"/>
    <w:rsid w:val="32980F88"/>
    <w:rsid w:val="329842A9"/>
    <w:rsid w:val="329B7A68"/>
    <w:rsid w:val="32A43132"/>
    <w:rsid w:val="32AB00DA"/>
    <w:rsid w:val="32AC0C06"/>
    <w:rsid w:val="32AD0CCA"/>
    <w:rsid w:val="32C33CD3"/>
    <w:rsid w:val="32C57C62"/>
    <w:rsid w:val="32D54349"/>
    <w:rsid w:val="32DF0D23"/>
    <w:rsid w:val="32E04E37"/>
    <w:rsid w:val="32E15130"/>
    <w:rsid w:val="32F06468"/>
    <w:rsid w:val="32F94B9B"/>
    <w:rsid w:val="33027836"/>
    <w:rsid w:val="33064502"/>
    <w:rsid w:val="33264BA4"/>
    <w:rsid w:val="3331060D"/>
    <w:rsid w:val="333378C0"/>
    <w:rsid w:val="33344EF5"/>
    <w:rsid w:val="33380434"/>
    <w:rsid w:val="333E1EEE"/>
    <w:rsid w:val="33496CCF"/>
    <w:rsid w:val="3376691F"/>
    <w:rsid w:val="3378161D"/>
    <w:rsid w:val="33883169"/>
    <w:rsid w:val="339C3B02"/>
    <w:rsid w:val="33A05880"/>
    <w:rsid w:val="33A35F1E"/>
    <w:rsid w:val="33B22505"/>
    <w:rsid w:val="33B829A0"/>
    <w:rsid w:val="33D36651"/>
    <w:rsid w:val="33D8341D"/>
    <w:rsid w:val="33E10ACB"/>
    <w:rsid w:val="33E65B1A"/>
    <w:rsid w:val="33E81293"/>
    <w:rsid w:val="33E85CE2"/>
    <w:rsid w:val="33EE7B64"/>
    <w:rsid w:val="34036C94"/>
    <w:rsid w:val="34076E29"/>
    <w:rsid w:val="341D0201"/>
    <w:rsid w:val="34246B9F"/>
    <w:rsid w:val="342A2472"/>
    <w:rsid w:val="342B0F4F"/>
    <w:rsid w:val="344A041F"/>
    <w:rsid w:val="344D3742"/>
    <w:rsid w:val="345224E6"/>
    <w:rsid w:val="3458222B"/>
    <w:rsid w:val="347B2D6D"/>
    <w:rsid w:val="347B4A7C"/>
    <w:rsid w:val="34AB2475"/>
    <w:rsid w:val="34B379D1"/>
    <w:rsid w:val="34B52163"/>
    <w:rsid w:val="34D523DE"/>
    <w:rsid w:val="34D72013"/>
    <w:rsid w:val="34DE40C3"/>
    <w:rsid w:val="34E13399"/>
    <w:rsid w:val="34E56399"/>
    <w:rsid w:val="34EB7D5F"/>
    <w:rsid w:val="34EE1C44"/>
    <w:rsid w:val="34F85849"/>
    <w:rsid w:val="34FE62BA"/>
    <w:rsid w:val="35293FD9"/>
    <w:rsid w:val="352C24DC"/>
    <w:rsid w:val="3537750C"/>
    <w:rsid w:val="3537798C"/>
    <w:rsid w:val="353C245D"/>
    <w:rsid w:val="353F1F4D"/>
    <w:rsid w:val="354C01C6"/>
    <w:rsid w:val="355377A7"/>
    <w:rsid w:val="357005A7"/>
    <w:rsid w:val="357A579A"/>
    <w:rsid w:val="358E312C"/>
    <w:rsid w:val="35B549A8"/>
    <w:rsid w:val="35C13FC9"/>
    <w:rsid w:val="35C709F0"/>
    <w:rsid w:val="35CF1523"/>
    <w:rsid w:val="35D2691D"/>
    <w:rsid w:val="35D42696"/>
    <w:rsid w:val="35D46B3A"/>
    <w:rsid w:val="35D501BC"/>
    <w:rsid w:val="35E07056"/>
    <w:rsid w:val="35E91989"/>
    <w:rsid w:val="35EF4FE4"/>
    <w:rsid w:val="35F2040C"/>
    <w:rsid w:val="35F20D6E"/>
    <w:rsid w:val="35F9471D"/>
    <w:rsid w:val="35FE7713"/>
    <w:rsid w:val="36085EA6"/>
    <w:rsid w:val="360B2B82"/>
    <w:rsid w:val="360F7B72"/>
    <w:rsid w:val="36172C1C"/>
    <w:rsid w:val="361B3EDC"/>
    <w:rsid w:val="36266D8A"/>
    <w:rsid w:val="362F3A36"/>
    <w:rsid w:val="3630167A"/>
    <w:rsid w:val="36321868"/>
    <w:rsid w:val="364257B6"/>
    <w:rsid w:val="365D6127"/>
    <w:rsid w:val="36636B8E"/>
    <w:rsid w:val="366F6862"/>
    <w:rsid w:val="36741335"/>
    <w:rsid w:val="36780B29"/>
    <w:rsid w:val="36851BE2"/>
    <w:rsid w:val="369D517D"/>
    <w:rsid w:val="369E4AB8"/>
    <w:rsid w:val="36A61CA8"/>
    <w:rsid w:val="36AC6498"/>
    <w:rsid w:val="36BD5820"/>
    <w:rsid w:val="36E508D2"/>
    <w:rsid w:val="36F7087E"/>
    <w:rsid w:val="36FD5C1C"/>
    <w:rsid w:val="37054AD1"/>
    <w:rsid w:val="3705788F"/>
    <w:rsid w:val="37076A9B"/>
    <w:rsid w:val="3724059E"/>
    <w:rsid w:val="3729538A"/>
    <w:rsid w:val="372A4537"/>
    <w:rsid w:val="373830F8"/>
    <w:rsid w:val="374628DD"/>
    <w:rsid w:val="37490E61"/>
    <w:rsid w:val="374E4FB2"/>
    <w:rsid w:val="376462CF"/>
    <w:rsid w:val="37725F65"/>
    <w:rsid w:val="37732382"/>
    <w:rsid w:val="37734E19"/>
    <w:rsid w:val="377657B0"/>
    <w:rsid w:val="377868E8"/>
    <w:rsid w:val="379C5435"/>
    <w:rsid w:val="37B24C58"/>
    <w:rsid w:val="37DE378C"/>
    <w:rsid w:val="37DE77FC"/>
    <w:rsid w:val="37E10CD2"/>
    <w:rsid w:val="37E8067A"/>
    <w:rsid w:val="37EA5922"/>
    <w:rsid w:val="37F214F9"/>
    <w:rsid w:val="37F94729"/>
    <w:rsid w:val="37FC4126"/>
    <w:rsid w:val="380B1D2C"/>
    <w:rsid w:val="380C2E7F"/>
    <w:rsid w:val="38134D6C"/>
    <w:rsid w:val="381C20D2"/>
    <w:rsid w:val="38205CA3"/>
    <w:rsid w:val="38276B93"/>
    <w:rsid w:val="382F0057"/>
    <w:rsid w:val="382F44FB"/>
    <w:rsid w:val="38336FC4"/>
    <w:rsid w:val="383A69FC"/>
    <w:rsid w:val="384C0C8E"/>
    <w:rsid w:val="384D3BF2"/>
    <w:rsid w:val="38551651"/>
    <w:rsid w:val="38593326"/>
    <w:rsid w:val="386A2AA2"/>
    <w:rsid w:val="386E46AB"/>
    <w:rsid w:val="3870241E"/>
    <w:rsid w:val="38710670"/>
    <w:rsid w:val="388D1222"/>
    <w:rsid w:val="389430F0"/>
    <w:rsid w:val="38A10829"/>
    <w:rsid w:val="38A171EE"/>
    <w:rsid w:val="38A30A45"/>
    <w:rsid w:val="38AC3431"/>
    <w:rsid w:val="38AD71CE"/>
    <w:rsid w:val="38B9690B"/>
    <w:rsid w:val="38C26745"/>
    <w:rsid w:val="38CD0AA7"/>
    <w:rsid w:val="38D34E86"/>
    <w:rsid w:val="38DE1A7D"/>
    <w:rsid w:val="38E42223"/>
    <w:rsid w:val="38E67108"/>
    <w:rsid w:val="38E726E0"/>
    <w:rsid w:val="38EC419A"/>
    <w:rsid w:val="38F06097"/>
    <w:rsid w:val="38FE35D2"/>
    <w:rsid w:val="39074B30"/>
    <w:rsid w:val="39226DE8"/>
    <w:rsid w:val="392F2E16"/>
    <w:rsid w:val="393F42CA"/>
    <w:rsid w:val="39406F09"/>
    <w:rsid w:val="39533B20"/>
    <w:rsid w:val="395F496C"/>
    <w:rsid w:val="396554F4"/>
    <w:rsid w:val="39691347"/>
    <w:rsid w:val="3971469F"/>
    <w:rsid w:val="39791C92"/>
    <w:rsid w:val="398147FC"/>
    <w:rsid w:val="39854459"/>
    <w:rsid w:val="398E6FFF"/>
    <w:rsid w:val="39A85265"/>
    <w:rsid w:val="39B614C9"/>
    <w:rsid w:val="39BE755C"/>
    <w:rsid w:val="39C649EB"/>
    <w:rsid w:val="39CB3DB0"/>
    <w:rsid w:val="39D678CC"/>
    <w:rsid w:val="39D94185"/>
    <w:rsid w:val="39E00529"/>
    <w:rsid w:val="39E359C2"/>
    <w:rsid w:val="39E60BE9"/>
    <w:rsid w:val="39E9733C"/>
    <w:rsid w:val="39EB6200"/>
    <w:rsid w:val="3A064DE8"/>
    <w:rsid w:val="3A0B6254"/>
    <w:rsid w:val="3A0B64A7"/>
    <w:rsid w:val="3A1C7B1C"/>
    <w:rsid w:val="3A1F234D"/>
    <w:rsid w:val="3A271BC8"/>
    <w:rsid w:val="3A2F182B"/>
    <w:rsid w:val="3A342760"/>
    <w:rsid w:val="3A36312B"/>
    <w:rsid w:val="3A3B5CDC"/>
    <w:rsid w:val="3A40479E"/>
    <w:rsid w:val="3A414072"/>
    <w:rsid w:val="3A520B7E"/>
    <w:rsid w:val="3A574DDA"/>
    <w:rsid w:val="3A6B7341"/>
    <w:rsid w:val="3A7601BF"/>
    <w:rsid w:val="3A7C0B25"/>
    <w:rsid w:val="3A7C154E"/>
    <w:rsid w:val="3A830B2E"/>
    <w:rsid w:val="3A952A43"/>
    <w:rsid w:val="3AA73CF1"/>
    <w:rsid w:val="3AA765CB"/>
    <w:rsid w:val="3AAA5A75"/>
    <w:rsid w:val="3AAD1707"/>
    <w:rsid w:val="3AC625CF"/>
    <w:rsid w:val="3ACB3B89"/>
    <w:rsid w:val="3AD3075A"/>
    <w:rsid w:val="3AD5142D"/>
    <w:rsid w:val="3AD71232"/>
    <w:rsid w:val="3ADE5D64"/>
    <w:rsid w:val="3AE157E3"/>
    <w:rsid w:val="3AE97201"/>
    <w:rsid w:val="3AF74C02"/>
    <w:rsid w:val="3B0754C5"/>
    <w:rsid w:val="3B1226F4"/>
    <w:rsid w:val="3B286FE0"/>
    <w:rsid w:val="3B2C7AF6"/>
    <w:rsid w:val="3B331C0C"/>
    <w:rsid w:val="3B4F0A10"/>
    <w:rsid w:val="3B4F27BE"/>
    <w:rsid w:val="3B5931CA"/>
    <w:rsid w:val="3B675476"/>
    <w:rsid w:val="3B6E0E96"/>
    <w:rsid w:val="3B7364AD"/>
    <w:rsid w:val="3B761717"/>
    <w:rsid w:val="3B831369"/>
    <w:rsid w:val="3B862684"/>
    <w:rsid w:val="3B8B5350"/>
    <w:rsid w:val="3B954BE0"/>
    <w:rsid w:val="3B9F1620"/>
    <w:rsid w:val="3BAE1BDB"/>
    <w:rsid w:val="3BB23479"/>
    <w:rsid w:val="3BB84161"/>
    <w:rsid w:val="3BD53F3C"/>
    <w:rsid w:val="3BD74C8E"/>
    <w:rsid w:val="3BE5170F"/>
    <w:rsid w:val="3BEB698B"/>
    <w:rsid w:val="3C0059A5"/>
    <w:rsid w:val="3C0417FB"/>
    <w:rsid w:val="3C07120D"/>
    <w:rsid w:val="3C134E78"/>
    <w:rsid w:val="3C15518D"/>
    <w:rsid w:val="3C157564"/>
    <w:rsid w:val="3C187054"/>
    <w:rsid w:val="3C235333"/>
    <w:rsid w:val="3C2528F1"/>
    <w:rsid w:val="3C2A0F17"/>
    <w:rsid w:val="3C2D2B00"/>
    <w:rsid w:val="3C33057E"/>
    <w:rsid w:val="3C334EAF"/>
    <w:rsid w:val="3C354BF6"/>
    <w:rsid w:val="3C355E58"/>
    <w:rsid w:val="3C3D49BD"/>
    <w:rsid w:val="3C6D16C6"/>
    <w:rsid w:val="3C746980"/>
    <w:rsid w:val="3C921FB2"/>
    <w:rsid w:val="3C9333AF"/>
    <w:rsid w:val="3C9963E7"/>
    <w:rsid w:val="3C9E1EBC"/>
    <w:rsid w:val="3CA628B2"/>
    <w:rsid w:val="3CA8662A"/>
    <w:rsid w:val="3CAC611A"/>
    <w:rsid w:val="3CAF5C0A"/>
    <w:rsid w:val="3CD21D29"/>
    <w:rsid w:val="3CDE423C"/>
    <w:rsid w:val="3CE11114"/>
    <w:rsid w:val="3CF03B2D"/>
    <w:rsid w:val="3CF248ED"/>
    <w:rsid w:val="3CF52957"/>
    <w:rsid w:val="3D001FC2"/>
    <w:rsid w:val="3D147205"/>
    <w:rsid w:val="3D187F39"/>
    <w:rsid w:val="3D1B504E"/>
    <w:rsid w:val="3D2E6923"/>
    <w:rsid w:val="3D33169F"/>
    <w:rsid w:val="3D506996"/>
    <w:rsid w:val="3D520974"/>
    <w:rsid w:val="3D566086"/>
    <w:rsid w:val="3D5D5666"/>
    <w:rsid w:val="3D605AF2"/>
    <w:rsid w:val="3D614B55"/>
    <w:rsid w:val="3D67163F"/>
    <w:rsid w:val="3D6871A7"/>
    <w:rsid w:val="3D6A3C59"/>
    <w:rsid w:val="3D817764"/>
    <w:rsid w:val="3D873FCE"/>
    <w:rsid w:val="3D8E3A72"/>
    <w:rsid w:val="3D901369"/>
    <w:rsid w:val="3DA653BB"/>
    <w:rsid w:val="3DB17E6C"/>
    <w:rsid w:val="3DBA03C3"/>
    <w:rsid w:val="3DBF59D9"/>
    <w:rsid w:val="3DCB0822"/>
    <w:rsid w:val="3DCE1FF5"/>
    <w:rsid w:val="3DE61DFF"/>
    <w:rsid w:val="3DEC7285"/>
    <w:rsid w:val="3DF6345D"/>
    <w:rsid w:val="3E083824"/>
    <w:rsid w:val="3E2B5515"/>
    <w:rsid w:val="3E300685"/>
    <w:rsid w:val="3E3E5EF1"/>
    <w:rsid w:val="3E4B54BF"/>
    <w:rsid w:val="3E4D4F28"/>
    <w:rsid w:val="3E4E4FAF"/>
    <w:rsid w:val="3E5325C6"/>
    <w:rsid w:val="3E5840E2"/>
    <w:rsid w:val="3E5C147A"/>
    <w:rsid w:val="3E706639"/>
    <w:rsid w:val="3E75078E"/>
    <w:rsid w:val="3E7F32DC"/>
    <w:rsid w:val="3E946E66"/>
    <w:rsid w:val="3EB11AC7"/>
    <w:rsid w:val="3EBB58F7"/>
    <w:rsid w:val="3EBC016B"/>
    <w:rsid w:val="3EBF3622"/>
    <w:rsid w:val="3EC9706E"/>
    <w:rsid w:val="3ED818CD"/>
    <w:rsid w:val="3EDA5F2B"/>
    <w:rsid w:val="3EE13701"/>
    <w:rsid w:val="3EE25742"/>
    <w:rsid w:val="3EE33949"/>
    <w:rsid w:val="3EEF22EE"/>
    <w:rsid w:val="3EFC2C5D"/>
    <w:rsid w:val="3EFC4A0B"/>
    <w:rsid w:val="3F0C5D2F"/>
    <w:rsid w:val="3F144FB4"/>
    <w:rsid w:val="3F1A4BB3"/>
    <w:rsid w:val="3F1C50AD"/>
    <w:rsid w:val="3F204B9E"/>
    <w:rsid w:val="3F372168"/>
    <w:rsid w:val="3F4A64D9"/>
    <w:rsid w:val="3F571CFE"/>
    <w:rsid w:val="3F60225A"/>
    <w:rsid w:val="3F626F64"/>
    <w:rsid w:val="3F79605C"/>
    <w:rsid w:val="3F8A45CE"/>
    <w:rsid w:val="3F934E86"/>
    <w:rsid w:val="3F981351"/>
    <w:rsid w:val="3FB672B0"/>
    <w:rsid w:val="3FB83028"/>
    <w:rsid w:val="3FD921B4"/>
    <w:rsid w:val="3FE011BF"/>
    <w:rsid w:val="3FF12096"/>
    <w:rsid w:val="3FF317AE"/>
    <w:rsid w:val="3FFA2455"/>
    <w:rsid w:val="3FFF0C57"/>
    <w:rsid w:val="40010575"/>
    <w:rsid w:val="400E712D"/>
    <w:rsid w:val="40192BA6"/>
    <w:rsid w:val="401D2E8B"/>
    <w:rsid w:val="402661E4"/>
    <w:rsid w:val="40267F92"/>
    <w:rsid w:val="402C58F5"/>
    <w:rsid w:val="40484D68"/>
    <w:rsid w:val="40487FC5"/>
    <w:rsid w:val="404B79F8"/>
    <w:rsid w:val="406001CD"/>
    <w:rsid w:val="40672358"/>
    <w:rsid w:val="406A142C"/>
    <w:rsid w:val="40761BDC"/>
    <w:rsid w:val="4081166C"/>
    <w:rsid w:val="408D092B"/>
    <w:rsid w:val="40963BF6"/>
    <w:rsid w:val="40991CAB"/>
    <w:rsid w:val="409A272E"/>
    <w:rsid w:val="40A421DC"/>
    <w:rsid w:val="40A435AC"/>
    <w:rsid w:val="40A47108"/>
    <w:rsid w:val="40B15F11"/>
    <w:rsid w:val="40BE68D5"/>
    <w:rsid w:val="40D043A1"/>
    <w:rsid w:val="40D43427"/>
    <w:rsid w:val="40D914A8"/>
    <w:rsid w:val="41071387"/>
    <w:rsid w:val="410C2D70"/>
    <w:rsid w:val="4114428E"/>
    <w:rsid w:val="41184017"/>
    <w:rsid w:val="41197AF6"/>
    <w:rsid w:val="411D2299"/>
    <w:rsid w:val="412626B7"/>
    <w:rsid w:val="413D6CFA"/>
    <w:rsid w:val="413F78DB"/>
    <w:rsid w:val="4144773B"/>
    <w:rsid w:val="414A7CB0"/>
    <w:rsid w:val="414E40BA"/>
    <w:rsid w:val="4151394D"/>
    <w:rsid w:val="41517A02"/>
    <w:rsid w:val="415560AD"/>
    <w:rsid w:val="4162324B"/>
    <w:rsid w:val="41682B86"/>
    <w:rsid w:val="41686388"/>
    <w:rsid w:val="41766EA9"/>
    <w:rsid w:val="41767F8A"/>
    <w:rsid w:val="41906B0F"/>
    <w:rsid w:val="4192330C"/>
    <w:rsid w:val="41DA6655"/>
    <w:rsid w:val="41E06866"/>
    <w:rsid w:val="41E165FD"/>
    <w:rsid w:val="41F6509D"/>
    <w:rsid w:val="41F65F15"/>
    <w:rsid w:val="42075E9B"/>
    <w:rsid w:val="4214206C"/>
    <w:rsid w:val="42145CCA"/>
    <w:rsid w:val="4216154E"/>
    <w:rsid w:val="42241EB7"/>
    <w:rsid w:val="423035D9"/>
    <w:rsid w:val="423A41C8"/>
    <w:rsid w:val="42550A18"/>
    <w:rsid w:val="425A4BD1"/>
    <w:rsid w:val="426018CC"/>
    <w:rsid w:val="42663905"/>
    <w:rsid w:val="427B1BBB"/>
    <w:rsid w:val="427E2307"/>
    <w:rsid w:val="428E62C2"/>
    <w:rsid w:val="42957E13"/>
    <w:rsid w:val="429C7597"/>
    <w:rsid w:val="429D496A"/>
    <w:rsid w:val="42AE24C0"/>
    <w:rsid w:val="42B55CBC"/>
    <w:rsid w:val="42B81FA5"/>
    <w:rsid w:val="42BF231A"/>
    <w:rsid w:val="42C84B4E"/>
    <w:rsid w:val="42CC751E"/>
    <w:rsid w:val="42E0276A"/>
    <w:rsid w:val="42E30D3A"/>
    <w:rsid w:val="42EB6093"/>
    <w:rsid w:val="42EE327C"/>
    <w:rsid w:val="42F473A1"/>
    <w:rsid w:val="42F61AFB"/>
    <w:rsid w:val="42F80FA5"/>
    <w:rsid w:val="43050C76"/>
    <w:rsid w:val="4305361D"/>
    <w:rsid w:val="43081BD1"/>
    <w:rsid w:val="43104F29"/>
    <w:rsid w:val="431C26D3"/>
    <w:rsid w:val="431F637C"/>
    <w:rsid w:val="432A1B96"/>
    <w:rsid w:val="43401F9C"/>
    <w:rsid w:val="43422F5A"/>
    <w:rsid w:val="43430E5B"/>
    <w:rsid w:val="434E3AB8"/>
    <w:rsid w:val="43537F8A"/>
    <w:rsid w:val="436B215F"/>
    <w:rsid w:val="43713C1A"/>
    <w:rsid w:val="43805D73"/>
    <w:rsid w:val="43A55671"/>
    <w:rsid w:val="43A63197"/>
    <w:rsid w:val="43AD665B"/>
    <w:rsid w:val="43B41D58"/>
    <w:rsid w:val="43B67EE8"/>
    <w:rsid w:val="43CF26EE"/>
    <w:rsid w:val="43D16466"/>
    <w:rsid w:val="43D83C99"/>
    <w:rsid w:val="43DD12AF"/>
    <w:rsid w:val="43DD4E0B"/>
    <w:rsid w:val="43EF2D90"/>
    <w:rsid w:val="440A7BCA"/>
    <w:rsid w:val="44107EE3"/>
    <w:rsid w:val="44136A7F"/>
    <w:rsid w:val="441E62C0"/>
    <w:rsid w:val="44380293"/>
    <w:rsid w:val="443E50E2"/>
    <w:rsid w:val="4440539A"/>
    <w:rsid w:val="44406167"/>
    <w:rsid w:val="447126F6"/>
    <w:rsid w:val="447339C1"/>
    <w:rsid w:val="44967985"/>
    <w:rsid w:val="44974521"/>
    <w:rsid w:val="44A047EB"/>
    <w:rsid w:val="44B51E27"/>
    <w:rsid w:val="44C00D1C"/>
    <w:rsid w:val="44D97CC8"/>
    <w:rsid w:val="44E35A2E"/>
    <w:rsid w:val="44E4041B"/>
    <w:rsid w:val="44E56D05"/>
    <w:rsid w:val="44E82B59"/>
    <w:rsid w:val="44FB65C3"/>
    <w:rsid w:val="44FF5971"/>
    <w:rsid w:val="45097E82"/>
    <w:rsid w:val="45147341"/>
    <w:rsid w:val="4517434D"/>
    <w:rsid w:val="45192471"/>
    <w:rsid w:val="451F5752"/>
    <w:rsid w:val="451F76A5"/>
    <w:rsid w:val="45235D5B"/>
    <w:rsid w:val="452802B4"/>
    <w:rsid w:val="452F1A92"/>
    <w:rsid w:val="45325D14"/>
    <w:rsid w:val="453A5298"/>
    <w:rsid w:val="45400595"/>
    <w:rsid w:val="454F4D0B"/>
    <w:rsid w:val="455C00D8"/>
    <w:rsid w:val="456A5852"/>
    <w:rsid w:val="456B6447"/>
    <w:rsid w:val="457D0B54"/>
    <w:rsid w:val="45811C7C"/>
    <w:rsid w:val="45906116"/>
    <w:rsid w:val="45961716"/>
    <w:rsid w:val="45A0305D"/>
    <w:rsid w:val="45A03571"/>
    <w:rsid w:val="45A8769B"/>
    <w:rsid w:val="45AD256B"/>
    <w:rsid w:val="45B44292"/>
    <w:rsid w:val="45B72BF8"/>
    <w:rsid w:val="45C75D73"/>
    <w:rsid w:val="45C96298"/>
    <w:rsid w:val="45D43FEC"/>
    <w:rsid w:val="45D93CF8"/>
    <w:rsid w:val="45DD1BD3"/>
    <w:rsid w:val="45E356FB"/>
    <w:rsid w:val="45E5444B"/>
    <w:rsid w:val="45F12DF0"/>
    <w:rsid w:val="45F51AEF"/>
    <w:rsid w:val="460B016C"/>
    <w:rsid w:val="46113492"/>
    <w:rsid w:val="46115240"/>
    <w:rsid w:val="46256F3D"/>
    <w:rsid w:val="46263C87"/>
    <w:rsid w:val="465219D4"/>
    <w:rsid w:val="465716AD"/>
    <w:rsid w:val="465869CB"/>
    <w:rsid w:val="46745ABF"/>
    <w:rsid w:val="46826BFA"/>
    <w:rsid w:val="46830E83"/>
    <w:rsid w:val="468B3EFB"/>
    <w:rsid w:val="468C48C7"/>
    <w:rsid w:val="46935C55"/>
    <w:rsid w:val="469A25DB"/>
    <w:rsid w:val="46AB11F1"/>
    <w:rsid w:val="46AE3D43"/>
    <w:rsid w:val="46B56AA5"/>
    <w:rsid w:val="46BF20A2"/>
    <w:rsid w:val="46C16AA0"/>
    <w:rsid w:val="46C44510"/>
    <w:rsid w:val="46C6602A"/>
    <w:rsid w:val="46CC1041"/>
    <w:rsid w:val="46CD455E"/>
    <w:rsid w:val="46D06EA9"/>
    <w:rsid w:val="46D5130D"/>
    <w:rsid w:val="46DC1E8F"/>
    <w:rsid w:val="46E15B1B"/>
    <w:rsid w:val="46F64F06"/>
    <w:rsid w:val="46FF778E"/>
    <w:rsid w:val="470A6193"/>
    <w:rsid w:val="471B4E2C"/>
    <w:rsid w:val="473311E6"/>
    <w:rsid w:val="47356D0C"/>
    <w:rsid w:val="47372A84"/>
    <w:rsid w:val="47385210"/>
    <w:rsid w:val="474C2DD7"/>
    <w:rsid w:val="474D5830"/>
    <w:rsid w:val="47543636"/>
    <w:rsid w:val="47573126"/>
    <w:rsid w:val="475C3001"/>
    <w:rsid w:val="475F15EE"/>
    <w:rsid w:val="47625066"/>
    <w:rsid w:val="47690E29"/>
    <w:rsid w:val="4772112D"/>
    <w:rsid w:val="47767EAB"/>
    <w:rsid w:val="477E6905"/>
    <w:rsid w:val="47864E13"/>
    <w:rsid w:val="478F1033"/>
    <w:rsid w:val="479A5F27"/>
    <w:rsid w:val="479E2B03"/>
    <w:rsid w:val="47A837E0"/>
    <w:rsid w:val="47BD44AE"/>
    <w:rsid w:val="47CB7671"/>
    <w:rsid w:val="47D31E5D"/>
    <w:rsid w:val="47DC4F5C"/>
    <w:rsid w:val="47DD36B3"/>
    <w:rsid w:val="47F32E64"/>
    <w:rsid w:val="47F866B8"/>
    <w:rsid w:val="481C7304"/>
    <w:rsid w:val="482C6A5C"/>
    <w:rsid w:val="483D056E"/>
    <w:rsid w:val="48435459"/>
    <w:rsid w:val="485C15EC"/>
    <w:rsid w:val="486F432D"/>
    <w:rsid w:val="48783354"/>
    <w:rsid w:val="48867F4E"/>
    <w:rsid w:val="48886383"/>
    <w:rsid w:val="488A3088"/>
    <w:rsid w:val="488C4630"/>
    <w:rsid w:val="488D3FC9"/>
    <w:rsid w:val="48992B03"/>
    <w:rsid w:val="48A04659"/>
    <w:rsid w:val="48AC535F"/>
    <w:rsid w:val="48B40671"/>
    <w:rsid w:val="48C77E38"/>
    <w:rsid w:val="48CA7D42"/>
    <w:rsid w:val="48D8429F"/>
    <w:rsid w:val="48E34F9B"/>
    <w:rsid w:val="48E64762"/>
    <w:rsid w:val="48EC789E"/>
    <w:rsid w:val="48F52BF7"/>
    <w:rsid w:val="48F549A5"/>
    <w:rsid w:val="48F73DFC"/>
    <w:rsid w:val="48F86243"/>
    <w:rsid w:val="48F86A0C"/>
    <w:rsid w:val="490D112E"/>
    <w:rsid w:val="49143C78"/>
    <w:rsid w:val="492D2391"/>
    <w:rsid w:val="493C2711"/>
    <w:rsid w:val="493C4382"/>
    <w:rsid w:val="49481196"/>
    <w:rsid w:val="494D2A33"/>
    <w:rsid w:val="495664BB"/>
    <w:rsid w:val="49584F34"/>
    <w:rsid w:val="49724D22"/>
    <w:rsid w:val="49751310"/>
    <w:rsid w:val="497955D6"/>
    <w:rsid w:val="498D40EA"/>
    <w:rsid w:val="49973F6B"/>
    <w:rsid w:val="499B5738"/>
    <w:rsid w:val="499F244D"/>
    <w:rsid w:val="49C113FF"/>
    <w:rsid w:val="49D2118A"/>
    <w:rsid w:val="49DE7B2F"/>
    <w:rsid w:val="49FC29AC"/>
    <w:rsid w:val="4A0550BC"/>
    <w:rsid w:val="4A0D21C2"/>
    <w:rsid w:val="4A0D3F70"/>
    <w:rsid w:val="4A105051"/>
    <w:rsid w:val="4A161077"/>
    <w:rsid w:val="4A1672C9"/>
    <w:rsid w:val="4A1D0657"/>
    <w:rsid w:val="4A280204"/>
    <w:rsid w:val="4A2D0198"/>
    <w:rsid w:val="4A382D6D"/>
    <w:rsid w:val="4A3B6D2F"/>
    <w:rsid w:val="4A420EE7"/>
    <w:rsid w:val="4A57780F"/>
    <w:rsid w:val="4A78588E"/>
    <w:rsid w:val="4A82670C"/>
    <w:rsid w:val="4A973F3F"/>
    <w:rsid w:val="4AA04DE4"/>
    <w:rsid w:val="4AA246B9"/>
    <w:rsid w:val="4AAA7D1E"/>
    <w:rsid w:val="4AB02304"/>
    <w:rsid w:val="4AB95300"/>
    <w:rsid w:val="4AC07B53"/>
    <w:rsid w:val="4AD36F68"/>
    <w:rsid w:val="4AE274E7"/>
    <w:rsid w:val="4AE6282E"/>
    <w:rsid w:val="4AED2A70"/>
    <w:rsid w:val="4AF4108E"/>
    <w:rsid w:val="4AF50338"/>
    <w:rsid w:val="4AF96BC7"/>
    <w:rsid w:val="4B136101"/>
    <w:rsid w:val="4B1C090F"/>
    <w:rsid w:val="4B203103"/>
    <w:rsid w:val="4B291906"/>
    <w:rsid w:val="4B2E1D56"/>
    <w:rsid w:val="4B32607A"/>
    <w:rsid w:val="4B414BEA"/>
    <w:rsid w:val="4B464533"/>
    <w:rsid w:val="4B496045"/>
    <w:rsid w:val="4B545C08"/>
    <w:rsid w:val="4B5A416B"/>
    <w:rsid w:val="4B5D14C2"/>
    <w:rsid w:val="4B616322"/>
    <w:rsid w:val="4B622267"/>
    <w:rsid w:val="4B650DC4"/>
    <w:rsid w:val="4B662EDE"/>
    <w:rsid w:val="4B667F55"/>
    <w:rsid w:val="4B6A63A2"/>
    <w:rsid w:val="4B6E0A3F"/>
    <w:rsid w:val="4B7C6990"/>
    <w:rsid w:val="4B8273D5"/>
    <w:rsid w:val="4B862A85"/>
    <w:rsid w:val="4B8B200B"/>
    <w:rsid w:val="4B98008D"/>
    <w:rsid w:val="4B9A5CD8"/>
    <w:rsid w:val="4B9E1324"/>
    <w:rsid w:val="4BA13CA3"/>
    <w:rsid w:val="4BAC4867"/>
    <w:rsid w:val="4BCB40E3"/>
    <w:rsid w:val="4BD472E1"/>
    <w:rsid w:val="4BD96ED8"/>
    <w:rsid w:val="4BF16188"/>
    <w:rsid w:val="4BF417D4"/>
    <w:rsid w:val="4BF7332C"/>
    <w:rsid w:val="4BF92147"/>
    <w:rsid w:val="4C01654C"/>
    <w:rsid w:val="4C1D417B"/>
    <w:rsid w:val="4C312198"/>
    <w:rsid w:val="4C3A28DD"/>
    <w:rsid w:val="4C597AF9"/>
    <w:rsid w:val="4C7D1D93"/>
    <w:rsid w:val="4C8018E7"/>
    <w:rsid w:val="4C83051A"/>
    <w:rsid w:val="4C856040"/>
    <w:rsid w:val="4C8624FC"/>
    <w:rsid w:val="4C8A38D4"/>
    <w:rsid w:val="4C9149E5"/>
    <w:rsid w:val="4C934C01"/>
    <w:rsid w:val="4C9C27CC"/>
    <w:rsid w:val="4C9C6720"/>
    <w:rsid w:val="4C9E5C65"/>
    <w:rsid w:val="4CA20A24"/>
    <w:rsid w:val="4CAF7561"/>
    <w:rsid w:val="4CB37051"/>
    <w:rsid w:val="4CB46925"/>
    <w:rsid w:val="4CB755B1"/>
    <w:rsid w:val="4CC6456C"/>
    <w:rsid w:val="4CDE39A2"/>
    <w:rsid w:val="4CE10FC8"/>
    <w:rsid w:val="4CE76CFB"/>
    <w:rsid w:val="4CEF36E2"/>
    <w:rsid w:val="4CEF4DC5"/>
    <w:rsid w:val="4CF23DD6"/>
    <w:rsid w:val="4CF25996"/>
    <w:rsid w:val="4CFE5DF2"/>
    <w:rsid w:val="4D08260F"/>
    <w:rsid w:val="4D123D00"/>
    <w:rsid w:val="4D171C3B"/>
    <w:rsid w:val="4D353E59"/>
    <w:rsid w:val="4D3D7D51"/>
    <w:rsid w:val="4D411D80"/>
    <w:rsid w:val="4D482BAA"/>
    <w:rsid w:val="4D4873F2"/>
    <w:rsid w:val="4D491763"/>
    <w:rsid w:val="4D52686A"/>
    <w:rsid w:val="4D54264D"/>
    <w:rsid w:val="4D583754"/>
    <w:rsid w:val="4D6640C3"/>
    <w:rsid w:val="4D6A5813"/>
    <w:rsid w:val="4D810EFD"/>
    <w:rsid w:val="4D812262"/>
    <w:rsid w:val="4D922FBD"/>
    <w:rsid w:val="4D951771"/>
    <w:rsid w:val="4D956D29"/>
    <w:rsid w:val="4D9A766C"/>
    <w:rsid w:val="4DA02B5D"/>
    <w:rsid w:val="4DA0550D"/>
    <w:rsid w:val="4DA62246"/>
    <w:rsid w:val="4DA70238"/>
    <w:rsid w:val="4DB54B95"/>
    <w:rsid w:val="4DB93CE6"/>
    <w:rsid w:val="4DBC30BE"/>
    <w:rsid w:val="4DBD6FC4"/>
    <w:rsid w:val="4DC17B81"/>
    <w:rsid w:val="4DC23F1C"/>
    <w:rsid w:val="4DCD4142"/>
    <w:rsid w:val="4DEE41E3"/>
    <w:rsid w:val="4DF21879"/>
    <w:rsid w:val="4DF71805"/>
    <w:rsid w:val="4E007AE2"/>
    <w:rsid w:val="4E010615"/>
    <w:rsid w:val="4E0A3FBD"/>
    <w:rsid w:val="4E17231F"/>
    <w:rsid w:val="4E180C61"/>
    <w:rsid w:val="4E257655"/>
    <w:rsid w:val="4E2670DE"/>
    <w:rsid w:val="4E352A01"/>
    <w:rsid w:val="4E555EE6"/>
    <w:rsid w:val="4E5C1022"/>
    <w:rsid w:val="4E6848A6"/>
    <w:rsid w:val="4E7B3B9E"/>
    <w:rsid w:val="4E816CDB"/>
    <w:rsid w:val="4E830CA5"/>
    <w:rsid w:val="4E8E7871"/>
    <w:rsid w:val="4E9609D8"/>
    <w:rsid w:val="4E966638"/>
    <w:rsid w:val="4EA03605"/>
    <w:rsid w:val="4EA330F5"/>
    <w:rsid w:val="4EA85542"/>
    <w:rsid w:val="4EAB47D5"/>
    <w:rsid w:val="4EB01C0C"/>
    <w:rsid w:val="4EBD4EA8"/>
    <w:rsid w:val="4EC4406A"/>
    <w:rsid w:val="4EC455C1"/>
    <w:rsid w:val="4ECB5B2A"/>
    <w:rsid w:val="4EE23C1E"/>
    <w:rsid w:val="4EEE4370"/>
    <w:rsid w:val="4EF43951"/>
    <w:rsid w:val="4EF86E3C"/>
    <w:rsid w:val="4F026EBD"/>
    <w:rsid w:val="4F06496B"/>
    <w:rsid w:val="4F0C1AC6"/>
    <w:rsid w:val="4F127C58"/>
    <w:rsid w:val="4F2C6C47"/>
    <w:rsid w:val="4F2E0C11"/>
    <w:rsid w:val="4F365F84"/>
    <w:rsid w:val="4F367AC5"/>
    <w:rsid w:val="4F372380"/>
    <w:rsid w:val="4F372FFB"/>
    <w:rsid w:val="4F4B5D83"/>
    <w:rsid w:val="4F4C553B"/>
    <w:rsid w:val="4F71142E"/>
    <w:rsid w:val="4F7A6CA5"/>
    <w:rsid w:val="4F8D1DDB"/>
    <w:rsid w:val="4F9C17F9"/>
    <w:rsid w:val="4FA42C81"/>
    <w:rsid w:val="4FA7068D"/>
    <w:rsid w:val="4FA7341A"/>
    <w:rsid w:val="4FAD5FDA"/>
    <w:rsid w:val="4FBD3D43"/>
    <w:rsid w:val="4FC66A35"/>
    <w:rsid w:val="4FE34F88"/>
    <w:rsid w:val="4FE614EB"/>
    <w:rsid w:val="4FEF4AC6"/>
    <w:rsid w:val="50024746"/>
    <w:rsid w:val="5015592D"/>
    <w:rsid w:val="5025116D"/>
    <w:rsid w:val="50310AE7"/>
    <w:rsid w:val="503D7DBA"/>
    <w:rsid w:val="505E6A87"/>
    <w:rsid w:val="507725C3"/>
    <w:rsid w:val="50811214"/>
    <w:rsid w:val="508A158E"/>
    <w:rsid w:val="50B415EA"/>
    <w:rsid w:val="50BF67C9"/>
    <w:rsid w:val="50C02456"/>
    <w:rsid w:val="50C85235"/>
    <w:rsid w:val="50CA0599"/>
    <w:rsid w:val="50ED7CC8"/>
    <w:rsid w:val="50FB0FC7"/>
    <w:rsid w:val="50FB62A0"/>
    <w:rsid w:val="51005575"/>
    <w:rsid w:val="5113318E"/>
    <w:rsid w:val="511E0283"/>
    <w:rsid w:val="512C2F2E"/>
    <w:rsid w:val="51475FBA"/>
    <w:rsid w:val="515158DB"/>
    <w:rsid w:val="515A7AB7"/>
    <w:rsid w:val="515B7CB7"/>
    <w:rsid w:val="516623C4"/>
    <w:rsid w:val="516A3A56"/>
    <w:rsid w:val="516C77CE"/>
    <w:rsid w:val="51705511"/>
    <w:rsid w:val="517F5754"/>
    <w:rsid w:val="518A5EA7"/>
    <w:rsid w:val="51A67184"/>
    <w:rsid w:val="51AB50F9"/>
    <w:rsid w:val="51B05107"/>
    <w:rsid w:val="51B86EB8"/>
    <w:rsid w:val="51BD1A0D"/>
    <w:rsid w:val="51C4585C"/>
    <w:rsid w:val="51D04201"/>
    <w:rsid w:val="51DA39DC"/>
    <w:rsid w:val="51E0241A"/>
    <w:rsid w:val="51EB2DE9"/>
    <w:rsid w:val="51F1394A"/>
    <w:rsid w:val="5201085F"/>
    <w:rsid w:val="520C2D5F"/>
    <w:rsid w:val="521013BC"/>
    <w:rsid w:val="521D51BC"/>
    <w:rsid w:val="522024E6"/>
    <w:rsid w:val="522462FB"/>
    <w:rsid w:val="52314419"/>
    <w:rsid w:val="52395ECD"/>
    <w:rsid w:val="525761CE"/>
    <w:rsid w:val="526130AB"/>
    <w:rsid w:val="526D1B33"/>
    <w:rsid w:val="526D4E29"/>
    <w:rsid w:val="52735E8B"/>
    <w:rsid w:val="52917E8F"/>
    <w:rsid w:val="52B44696"/>
    <w:rsid w:val="52BB5DFD"/>
    <w:rsid w:val="52C10D75"/>
    <w:rsid w:val="52D55821"/>
    <w:rsid w:val="52D61371"/>
    <w:rsid w:val="52EB2FB5"/>
    <w:rsid w:val="52F1442F"/>
    <w:rsid w:val="53081779"/>
    <w:rsid w:val="532C36B9"/>
    <w:rsid w:val="532C5467"/>
    <w:rsid w:val="533662E6"/>
    <w:rsid w:val="53376E09"/>
    <w:rsid w:val="53655BA8"/>
    <w:rsid w:val="5371176E"/>
    <w:rsid w:val="539232B3"/>
    <w:rsid w:val="53A303CC"/>
    <w:rsid w:val="53B86CFB"/>
    <w:rsid w:val="53B953E8"/>
    <w:rsid w:val="53C27FF8"/>
    <w:rsid w:val="53D0274A"/>
    <w:rsid w:val="53D35588"/>
    <w:rsid w:val="53E619C7"/>
    <w:rsid w:val="53EA1FF6"/>
    <w:rsid w:val="53EC03B2"/>
    <w:rsid w:val="53F65A75"/>
    <w:rsid w:val="53F90D5C"/>
    <w:rsid w:val="540B5AE5"/>
    <w:rsid w:val="54167271"/>
    <w:rsid w:val="54181E8F"/>
    <w:rsid w:val="541A1764"/>
    <w:rsid w:val="54212AF2"/>
    <w:rsid w:val="542919A7"/>
    <w:rsid w:val="54457E2A"/>
    <w:rsid w:val="544A1D81"/>
    <w:rsid w:val="544E00F4"/>
    <w:rsid w:val="544F3B03"/>
    <w:rsid w:val="545E2275"/>
    <w:rsid w:val="545F7ABE"/>
    <w:rsid w:val="546450D5"/>
    <w:rsid w:val="546926EB"/>
    <w:rsid w:val="547133FA"/>
    <w:rsid w:val="5475679C"/>
    <w:rsid w:val="54882B71"/>
    <w:rsid w:val="548850A3"/>
    <w:rsid w:val="54887ACF"/>
    <w:rsid w:val="548E3F00"/>
    <w:rsid w:val="548E485C"/>
    <w:rsid w:val="54996B2C"/>
    <w:rsid w:val="549E1A80"/>
    <w:rsid w:val="54AB108A"/>
    <w:rsid w:val="54B020C8"/>
    <w:rsid w:val="54B133CF"/>
    <w:rsid w:val="54BA25DB"/>
    <w:rsid w:val="54BE6593"/>
    <w:rsid w:val="54C25C1B"/>
    <w:rsid w:val="54C658F4"/>
    <w:rsid w:val="54CB230F"/>
    <w:rsid w:val="54CB45B1"/>
    <w:rsid w:val="54CF22DF"/>
    <w:rsid w:val="54CF4DC4"/>
    <w:rsid w:val="54DE4E87"/>
    <w:rsid w:val="54DE6C35"/>
    <w:rsid w:val="54E0494C"/>
    <w:rsid w:val="54E171CD"/>
    <w:rsid w:val="54E51D72"/>
    <w:rsid w:val="54E7784F"/>
    <w:rsid w:val="54F53CE4"/>
    <w:rsid w:val="550C4BD7"/>
    <w:rsid w:val="55164621"/>
    <w:rsid w:val="551B39E5"/>
    <w:rsid w:val="5520724E"/>
    <w:rsid w:val="552F56E3"/>
    <w:rsid w:val="55300100"/>
    <w:rsid w:val="55322669"/>
    <w:rsid w:val="5539470A"/>
    <w:rsid w:val="553B7BE4"/>
    <w:rsid w:val="554B4D08"/>
    <w:rsid w:val="554C1D56"/>
    <w:rsid w:val="55572986"/>
    <w:rsid w:val="555761AA"/>
    <w:rsid w:val="555E236D"/>
    <w:rsid w:val="55680542"/>
    <w:rsid w:val="55805785"/>
    <w:rsid w:val="558F6181"/>
    <w:rsid w:val="55A82C22"/>
    <w:rsid w:val="55B654BC"/>
    <w:rsid w:val="55C0229A"/>
    <w:rsid w:val="55C062DD"/>
    <w:rsid w:val="55C0633B"/>
    <w:rsid w:val="55C84FE2"/>
    <w:rsid w:val="55CB0F14"/>
    <w:rsid w:val="55D1679A"/>
    <w:rsid w:val="55DA73FC"/>
    <w:rsid w:val="55E02539"/>
    <w:rsid w:val="55E822CC"/>
    <w:rsid w:val="55EC5382"/>
    <w:rsid w:val="55F54236"/>
    <w:rsid w:val="5607446A"/>
    <w:rsid w:val="56076140"/>
    <w:rsid w:val="56081243"/>
    <w:rsid w:val="56182C00"/>
    <w:rsid w:val="56245CC2"/>
    <w:rsid w:val="56330E85"/>
    <w:rsid w:val="563D798B"/>
    <w:rsid w:val="565340FA"/>
    <w:rsid w:val="565C3ECA"/>
    <w:rsid w:val="565D3B8A"/>
    <w:rsid w:val="56636EEC"/>
    <w:rsid w:val="56701B0F"/>
    <w:rsid w:val="56723AD9"/>
    <w:rsid w:val="567710EF"/>
    <w:rsid w:val="56790914"/>
    <w:rsid w:val="567D64C6"/>
    <w:rsid w:val="56813D1C"/>
    <w:rsid w:val="568E01E7"/>
    <w:rsid w:val="569A7860"/>
    <w:rsid w:val="56AB6FEB"/>
    <w:rsid w:val="56AC7E90"/>
    <w:rsid w:val="56B25952"/>
    <w:rsid w:val="56B440F1"/>
    <w:rsid w:val="56D26737"/>
    <w:rsid w:val="56D77DE0"/>
    <w:rsid w:val="56DE0AFD"/>
    <w:rsid w:val="56E66C7F"/>
    <w:rsid w:val="56FC519F"/>
    <w:rsid w:val="56FC7846"/>
    <w:rsid w:val="570A3D11"/>
    <w:rsid w:val="571132F2"/>
    <w:rsid w:val="571B3688"/>
    <w:rsid w:val="571F4860"/>
    <w:rsid w:val="5723343E"/>
    <w:rsid w:val="57355D23"/>
    <w:rsid w:val="573D7EAB"/>
    <w:rsid w:val="57580904"/>
    <w:rsid w:val="57611C79"/>
    <w:rsid w:val="57747117"/>
    <w:rsid w:val="577F46F2"/>
    <w:rsid w:val="578057C8"/>
    <w:rsid w:val="578231ED"/>
    <w:rsid w:val="57856002"/>
    <w:rsid w:val="57893184"/>
    <w:rsid w:val="579655A5"/>
    <w:rsid w:val="57A1025C"/>
    <w:rsid w:val="57A557E8"/>
    <w:rsid w:val="57A66BAB"/>
    <w:rsid w:val="57AA18F7"/>
    <w:rsid w:val="57B813CA"/>
    <w:rsid w:val="57D21B1D"/>
    <w:rsid w:val="57D814F7"/>
    <w:rsid w:val="57D85BBE"/>
    <w:rsid w:val="57DD34B9"/>
    <w:rsid w:val="57E6392C"/>
    <w:rsid w:val="57F706C9"/>
    <w:rsid w:val="57FB5D50"/>
    <w:rsid w:val="58017793"/>
    <w:rsid w:val="58027680"/>
    <w:rsid w:val="580E0C05"/>
    <w:rsid w:val="581110D0"/>
    <w:rsid w:val="581D5CC6"/>
    <w:rsid w:val="58235C68"/>
    <w:rsid w:val="58244E5C"/>
    <w:rsid w:val="58360200"/>
    <w:rsid w:val="58403763"/>
    <w:rsid w:val="584F6977"/>
    <w:rsid w:val="585B059D"/>
    <w:rsid w:val="585F1E3B"/>
    <w:rsid w:val="58675193"/>
    <w:rsid w:val="58685C59"/>
    <w:rsid w:val="58697500"/>
    <w:rsid w:val="586B6A32"/>
    <w:rsid w:val="5874230E"/>
    <w:rsid w:val="58843841"/>
    <w:rsid w:val="5891308F"/>
    <w:rsid w:val="589236B1"/>
    <w:rsid w:val="58AE691E"/>
    <w:rsid w:val="58B55EFF"/>
    <w:rsid w:val="58BD6B62"/>
    <w:rsid w:val="58C86B99"/>
    <w:rsid w:val="58DB0E48"/>
    <w:rsid w:val="58DC348C"/>
    <w:rsid w:val="58E4292A"/>
    <w:rsid w:val="58F9403E"/>
    <w:rsid w:val="5904102E"/>
    <w:rsid w:val="590A564B"/>
    <w:rsid w:val="591C7D2C"/>
    <w:rsid w:val="59262959"/>
    <w:rsid w:val="59415D84"/>
    <w:rsid w:val="5944577D"/>
    <w:rsid w:val="594D2B53"/>
    <w:rsid w:val="598813E0"/>
    <w:rsid w:val="59914276"/>
    <w:rsid w:val="5999679A"/>
    <w:rsid w:val="599B1788"/>
    <w:rsid w:val="599B7268"/>
    <w:rsid w:val="599C38F2"/>
    <w:rsid w:val="59A03BB4"/>
    <w:rsid w:val="59AA0FB1"/>
    <w:rsid w:val="59AC7302"/>
    <w:rsid w:val="59B91F8C"/>
    <w:rsid w:val="59BF6918"/>
    <w:rsid w:val="59DE4FE1"/>
    <w:rsid w:val="59DE7BA9"/>
    <w:rsid w:val="59E120BA"/>
    <w:rsid w:val="59E40822"/>
    <w:rsid w:val="59EF6A42"/>
    <w:rsid w:val="59F20EF7"/>
    <w:rsid w:val="59F91E1B"/>
    <w:rsid w:val="59FF38D6"/>
    <w:rsid w:val="5A025174"/>
    <w:rsid w:val="5A1030D6"/>
    <w:rsid w:val="5A2A46CB"/>
    <w:rsid w:val="5A2F2CC8"/>
    <w:rsid w:val="5A3D573A"/>
    <w:rsid w:val="5A403EEE"/>
    <w:rsid w:val="5A43459D"/>
    <w:rsid w:val="5A494B51"/>
    <w:rsid w:val="5A5B4884"/>
    <w:rsid w:val="5A5D23AA"/>
    <w:rsid w:val="5A6000EC"/>
    <w:rsid w:val="5A6059E2"/>
    <w:rsid w:val="5A673F93"/>
    <w:rsid w:val="5A723722"/>
    <w:rsid w:val="5A7D02BC"/>
    <w:rsid w:val="5A804E07"/>
    <w:rsid w:val="5A84088B"/>
    <w:rsid w:val="5A917744"/>
    <w:rsid w:val="5A9A1850"/>
    <w:rsid w:val="5AAA42D2"/>
    <w:rsid w:val="5AAA4EE2"/>
    <w:rsid w:val="5ABD553F"/>
    <w:rsid w:val="5AC95C92"/>
    <w:rsid w:val="5AD07020"/>
    <w:rsid w:val="5AD57687"/>
    <w:rsid w:val="5AD92379"/>
    <w:rsid w:val="5AF076C2"/>
    <w:rsid w:val="5B172EA1"/>
    <w:rsid w:val="5B307471"/>
    <w:rsid w:val="5B3A6B8F"/>
    <w:rsid w:val="5B436D5A"/>
    <w:rsid w:val="5B463948"/>
    <w:rsid w:val="5B487697"/>
    <w:rsid w:val="5B4B66A7"/>
    <w:rsid w:val="5B570637"/>
    <w:rsid w:val="5B57504B"/>
    <w:rsid w:val="5B721E85"/>
    <w:rsid w:val="5B79092D"/>
    <w:rsid w:val="5B7D33AD"/>
    <w:rsid w:val="5B7E4CCE"/>
    <w:rsid w:val="5B7F28A2"/>
    <w:rsid w:val="5B8E36FB"/>
    <w:rsid w:val="5B995B10"/>
    <w:rsid w:val="5B9C3F03"/>
    <w:rsid w:val="5BA26962"/>
    <w:rsid w:val="5BA84175"/>
    <w:rsid w:val="5BA85879"/>
    <w:rsid w:val="5BAF1477"/>
    <w:rsid w:val="5BAF6C35"/>
    <w:rsid w:val="5BB978F4"/>
    <w:rsid w:val="5BBC1352"/>
    <w:rsid w:val="5BC1259B"/>
    <w:rsid w:val="5BCD355F"/>
    <w:rsid w:val="5BEB0156"/>
    <w:rsid w:val="5BEF222A"/>
    <w:rsid w:val="5C10702D"/>
    <w:rsid w:val="5C14136F"/>
    <w:rsid w:val="5C152601"/>
    <w:rsid w:val="5C20614F"/>
    <w:rsid w:val="5C2B0143"/>
    <w:rsid w:val="5C5477DD"/>
    <w:rsid w:val="5C591F03"/>
    <w:rsid w:val="5C697AAA"/>
    <w:rsid w:val="5C8A1B2F"/>
    <w:rsid w:val="5C8A31FF"/>
    <w:rsid w:val="5C9257B9"/>
    <w:rsid w:val="5C96399E"/>
    <w:rsid w:val="5CA644DC"/>
    <w:rsid w:val="5CAF3DCD"/>
    <w:rsid w:val="5CEA4062"/>
    <w:rsid w:val="5D094A6B"/>
    <w:rsid w:val="5D131446"/>
    <w:rsid w:val="5D283143"/>
    <w:rsid w:val="5D2C1215"/>
    <w:rsid w:val="5D37777A"/>
    <w:rsid w:val="5D3E52C6"/>
    <w:rsid w:val="5D467A6D"/>
    <w:rsid w:val="5D4B0BE0"/>
    <w:rsid w:val="5D4D4133"/>
    <w:rsid w:val="5D5932FD"/>
    <w:rsid w:val="5D6A375C"/>
    <w:rsid w:val="5D6B3425"/>
    <w:rsid w:val="5D6E48CE"/>
    <w:rsid w:val="5D777C27"/>
    <w:rsid w:val="5D7F3B23"/>
    <w:rsid w:val="5D857790"/>
    <w:rsid w:val="5D861815"/>
    <w:rsid w:val="5D8936D2"/>
    <w:rsid w:val="5D914004"/>
    <w:rsid w:val="5D9C58DF"/>
    <w:rsid w:val="5D9F112C"/>
    <w:rsid w:val="5DA14CA4"/>
    <w:rsid w:val="5DA6050C"/>
    <w:rsid w:val="5DC13151"/>
    <w:rsid w:val="5DC307FA"/>
    <w:rsid w:val="5DC43BD5"/>
    <w:rsid w:val="5DCE3E5A"/>
    <w:rsid w:val="5DD80331"/>
    <w:rsid w:val="5DD95E29"/>
    <w:rsid w:val="5DDB5188"/>
    <w:rsid w:val="5DDD16DD"/>
    <w:rsid w:val="5DF41766"/>
    <w:rsid w:val="5DF748C4"/>
    <w:rsid w:val="5DFB7C5A"/>
    <w:rsid w:val="5E015F08"/>
    <w:rsid w:val="5E0D2339"/>
    <w:rsid w:val="5E0E058B"/>
    <w:rsid w:val="5E0E2EDC"/>
    <w:rsid w:val="5E2F22B0"/>
    <w:rsid w:val="5E311551"/>
    <w:rsid w:val="5E42709B"/>
    <w:rsid w:val="5E4D0988"/>
    <w:rsid w:val="5E615889"/>
    <w:rsid w:val="5E6D4B86"/>
    <w:rsid w:val="5E727AB0"/>
    <w:rsid w:val="5E847BF7"/>
    <w:rsid w:val="5E873E9A"/>
    <w:rsid w:val="5E936FAE"/>
    <w:rsid w:val="5EAA1124"/>
    <w:rsid w:val="5EB97DCB"/>
    <w:rsid w:val="5EC8520A"/>
    <w:rsid w:val="5ED25050"/>
    <w:rsid w:val="5F0341A4"/>
    <w:rsid w:val="5F0A7504"/>
    <w:rsid w:val="5F1119B5"/>
    <w:rsid w:val="5F114CB9"/>
    <w:rsid w:val="5F1514A5"/>
    <w:rsid w:val="5F16521D"/>
    <w:rsid w:val="5F174D94"/>
    <w:rsid w:val="5F48187B"/>
    <w:rsid w:val="5F49114F"/>
    <w:rsid w:val="5F4F5E24"/>
    <w:rsid w:val="5F543532"/>
    <w:rsid w:val="5F561B72"/>
    <w:rsid w:val="5F7268F8"/>
    <w:rsid w:val="5F811AD3"/>
    <w:rsid w:val="5F8E3288"/>
    <w:rsid w:val="5F92448C"/>
    <w:rsid w:val="5FA13309"/>
    <w:rsid w:val="5FAB1E0A"/>
    <w:rsid w:val="5FB17CA3"/>
    <w:rsid w:val="5FB646B2"/>
    <w:rsid w:val="5FBB0ADC"/>
    <w:rsid w:val="5FC2179D"/>
    <w:rsid w:val="5FC44C79"/>
    <w:rsid w:val="5FC811A9"/>
    <w:rsid w:val="5FE00927"/>
    <w:rsid w:val="5FE24EDD"/>
    <w:rsid w:val="5FE437FC"/>
    <w:rsid w:val="5FED0446"/>
    <w:rsid w:val="5FEF1CF6"/>
    <w:rsid w:val="5FF57302"/>
    <w:rsid w:val="5FF87C07"/>
    <w:rsid w:val="60014470"/>
    <w:rsid w:val="600B4656"/>
    <w:rsid w:val="600C0AFA"/>
    <w:rsid w:val="60102D78"/>
    <w:rsid w:val="6017749F"/>
    <w:rsid w:val="602048C3"/>
    <w:rsid w:val="60241B1D"/>
    <w:rsid w:val="602A626F"/>
    <w:rsid w:val="603315F8"/>
    <w:rsid w:val="603E60FC"/>
    <w:rsid w:val="604A517F"/>
    <w:rsid w:val="60502F9C"/>
    <w:rsid w:val="60504C82"/>
    <w:rsid w:val="605424A1"/>
    <w:rsid w:val="606007BB"/>
    <w:rsid w:val="606163EC"/>
    <w:rsid w:val="606963B0"/>
    <w:rsid w:val="608A5EC3"/>
    <w:rsid w:val="608E10F9"/>
    <w:rsid w:val="609345DE"/>
    <w:rsid w:val="6095423F"/>
    <w:rsid w:val="60AC7F66"/>
    <w:rsid w:val="60C13070"/>
    <w:rsid w:val="60D17E61"/>
    <w:rsid w:val="60E07891"/>
    <w:rsid w:val="60EC6712"/>
    <w:rsid w:val="60ED1182"/>
    <w:rsid w:val="6100382D"/>
    <w:rsid w:val="61042335"/>
    <w:rsid w:val="611B6B1B"/>
    <w:rsid w:val="611E12A8"/>
    <w:rsid w:val="61226064"/>
    <w:rsid w:val="614222FA"/>
    <w:rsid w:val="61497909"/>
    <w:rsid w:val="614E0C9F"/>
    <w:rsid w:val="614F0CAD"/>
    <w:rsid w:val="61500EBB"/>
    <w:rsid w:val="6189448A"/>
    <w:rsid w:val="618B3CA1"/>
    <w:rsid w:val="61A475B0"/>
    <w:rsid w:val="61A66546"/>
    <w:rsid w:val="61B431F8"/>
    <w:rsid w:val="61B8623F"/>
    <w:rsid w:val="61BD42A4"/>
    <w:rsid w:val="61BF10D9"/>
    <w:rsid w:val="61BF1193"/>
    <w:rsid w:val="61C827FF"/>
    <w:rsid w:val="61C868E2"/>
    <w:rsid w:val="61DA3D4C"/>
    <w:rsid w:val="61E06B8E"/>
    <w:rsid w:val="61F215C9"/>
    <w:rsid w:val="61F734FF"/>
    <w:rsid w:val="62052E11"/>
    <w:rsid w:val="621A5025"/>
    <w:rsid w:val="62210161"/>
    <w:rsid w:val="623600B0"/>
    <w:rsid w:val="62593D9F"/>
    <w:rsid w:val="6265481D"/>
    <w:rsid w:val="626A5412"/>
    <w:rsid w:val="626F35C2"/>
    <w:rsid w:val="62742987"/>
    <w:rsid w:val="627D5CDF"/>
    <w:rsid w:val="62AC22DC"/>
    <w:rsid w:val="62B22B31"/>
    <w:rsid w:val="62BF00A6"/>
    <w:rsid w:val="62BF2D76"/>
    <w:rsid w:val="62CD2097"/>
    <w:rsid w:val="62E01DCA"/>
    <w:rsid w:val="62FA4283"/>
    <w:rsid w:val="6308267B"/>
    <w:rsid w:val="630871F9"/>
    <w:rsid w:val="630A6917"/>
    <w:rsid w:val="63177FBC"/>
    <w:rsid w:val="631F6D97"/>
    <w:rsid w:val="632630D2"/>
    <w:rsid w:val="633575E4"/>
    <w:rsid w:val="633E67A6"/>
    <w:rsid w:val="63493F8F"/>
    <w:rsid w:val="63500CFE"/>
    <w:rsid w:val="635251C8"/>
    <w:rsid w:val="6354469B"/>
    <w:rsid w:val="6356208C"/>
    <w:rsid w:val="635A3E88"/>
    <w:rsid w:val="635C1FFD"/>
    <w:rsid w:val="63606311"/>
    <w:rsid w:val="63607FA4"/>
    <w:rsid w:val="63691DC0"/>
    <w:rsid w:val="63724593"/>
    <w:rsid w:val="637833E8"/>
    <w:rsid w:val="63894210"/>
    <w:rsid w:val="63B55005"/>
    <w:rsid w:val="63BA479C"/>
    <w:rsid w:val="63D3192F"/>
    <w:rsid w:val="63DE0947"/>
    <w:rsid w:val="63ED479F"/>
    <w:rsid w:val="63F14628"/>
    <w:rsid w:val="63F30799"/>
    <w:rsid w:val="642342DE"/>
    <w:rsid w:val="642B22AA"/>
    <w:rsid w:val="642D7DF9"/>
    <w:rsid w:val="64354398"/>
    <w:rsid w:val="643E149E"/>
    <w:rsid w:val="64462101"/>
    <w:rsid w:val="64481274"/>
    <w:rsid w:val="64482C5A"/>
    <w:rsid w:val="645A6E6C"/>
    <w:rsid w:val="64624C91"/>
    <w:rsid w:val="64744EC0"/>
    <w:rsid w:val="64794B70"/>
    <w:rsid w:val="648743E5"/>
    <w:rsid w:val="64941CD4"/>
    <w:rsid w:val="64AF189F"/>
    <w:rsid w:val="64B10E28"/>
    <w:rsid w:val="64B259E8"/>
    <w:rsid w:val="64B368F6"/>
    <w:rsid w:val="64B70D26"/>
    <w:rsid w:val="64B82FFF"/>
    <w:rsid w:val="64BA36C3"/>
    <w:rsid w:val="64BB10E5"/>
    <w:rsid w:val="64C0006E"/>
    <w:rsid w:val="64C210FC"/>
    <w:rsid w:val="64D8014C"/>
    <w:rsid w:val="64E45EF7"/>
    <w:rsid w:val="64E536C8"/>
    <w:rsid w:val="64EE1A0A"/>
    <w:rsid w:val="64F34037"/>
    <w:rsid w:val="64FD39BC"/>
    <w:rsid w:val="65051FBC"/>
    <w:rsid w:val="650D635E"/>
    <w:rsid w:val="651240A3"/>
    <w:rsid w:val="651D7306"/>
    <w:rsid w:val="6525440C"/>
    <w:rsid w:val="6528541A"/>
    <w:rsid w:val="652C53ED"/>
    <w:rsid w:val="6544472C"/>
    <w:rsid w:val="65465871"/>
    <w:rsid w:val="654866C3"/>
    <w:rsid w:val="654C7BEB"/>
    <w:rsid w:val="654E2D83"/>
    <w:rsid w:val="6555098E"/>
    <w:rsid w:val="655D3BA6"/>
    <w:rsid w:val="65954230"/>
    <w:rsid w:val="65AE15F5"/>
    <w:rsid w:val="65C459D3"/>
    <w:rsid w:val="65C6314B"/>
    <w:rsid w:val="65C854C3"/>
    <w:rsid w:val="65D06BA5"/>
    <w:rsid w:val="65E9543A"/>
    <w:rsid w:val="65F12154"/>
    <w:rsid w:val="660E6C4E"/>
    <w:rsid w:val="661A3845"/>
    <w:rsid w:val="661D63AD"/>
    <w:rsid w:val="66214BD4"/>
    <w:rsid w:val="66224AAC"/>
    <w:rsid w:val="662446C4"/>
    <w:rsid w:val="662704FC"/>
    <w:rsid w:val="6630196A"/>
    <w:rsid w:val="66344907"/>
    <w:rsid w:val="663C7C5F"/>
    <w:rsid w:val="66504BAE"/>
    <w:rsid w:val="665253D0"/>
    <w:rsid w:val="6655487D"/>
    <w:rsid w:val="66613222"/>
    <w:rsid w:val="66644AC0"/>
    <w:rsid w:val="66691009"/>
    <w:rsid w:val="666F3B91"/>
    <w:rsid w:val="66815672"/>
    <w:rsid w:val="66873275"/>
    <w:rsid w:val="6691014E"/>
    <w:rsid w:val="6695111E"/>
    <w:rsid w:val="66970489"/>
    <w:rsid w:val="669C7BE6"/>
    <w:rsid w:val="669E4476"/>
    <w:rsid w:val="66A22C94"/>
    <w:rsid w:val="66A31ABB"/>
    <w:rsid w:val="66BB1AFB"/>
    <w:rsid w:val="66C1066D"/>
    <w:rsid w:val="66C35C8B"/>
    <w:rsid w:val="66C57C55"/>
    <w:rsid w:val="66C87CCE"/>
    <w:rsid w:val="66D23840"/>
    <w:rsid w:val="66D41C46"/>
    <w:rsid w:val="66D9725C"/>
    <w:rsid w:val="66E1028C"/>
    <w:rsid w:val="66E31E89"/>
    <w:rsid w:val="66E73D86"/>
    <w:rsid w:val="66F103AF"/>
    <w:rsid w:val="66FB490A"/>
    <w:rsid w:val="670006DA"/>
    <w:rsid w:val="670C13E0"/>
    <w:rsid w:val="670F75E6"/>
    <w:rsid w:val="67220FA2"/>
    <w:rsid w:val="672C55DE"/>
    <w:rsid w:val="67397CFB"/>
    <w:rsid w:val="67401089"/>
    <w:rsid w:val="67446DCC"/>
    <w:rsid w:val="67472418"/>
    <w:rsid w:val="674C0E45"/>
    <w:rsid w:val="67592253"/>
    <w:rsid w:val="677435B2"/>
    <w:rsid w:val="6778730E"/>
    <w:rsid w:val="6779688C"/>
    <w:rsid w:val="677F5616"/>
    <w:rsid w:val="67814D8C"/>
    <w:rsid w:val="6784366C"/>
    <w:rsid w:val="678801E7"/>
    <w:rsid w:val="678D2EAE"/>
    <w:rsid w:val="67972A58"/>
    <w:rsid w:val="67AC1EB3"/>
    <w:rsid w:val="67B04461"/>
    <w:rsid w:val="67B20D62"/>
    <w:rsid w:val="67CC0B6F"/>
    <w:rsid w:val="67D87D9E"/>
    <w:rsid w:val="67E35B9E"/>
    <w:rsid w:val="67EE4F89"/>
    <w:rsid w:val="67EF75F1"/>
    <w:rsid w:val="67F323FA"/>
    <w:rsid w:val="680227E3"/>
    <w:rsid w:val="682062DD"/>
    <w:rsid w:val="6828218F"/>
    <w:rsid w:val="68327BBE"/>
    <w:rsid w:val="687A05CB"/>
    <w:rsid w:val="687E455F"/>
    <w:rsid w:val="68836ACA"/>
    <w:rsid w:val="688B2364"/>
    <w:rsid w:val="688D5804"/>
    <w:rsid w:val="68907DEF"/>
    <w:rsid w:val="68916F6D"/>
    <w:rsid w:val="6897117D"/>
    <w:rsid w:val="689736F8"/>
    <w:rsid w:val="68975621"/>
    <w:rsid w:val="68B35F15"/>
    <w:rsid w:val="68C77CB4"/>
    <w:rsid w:val="68D0643D"/>
    <w:rsid w:val="68E1689C"/>
    <w:rsid w:val="69124F16"/>
    <w:rsid w:val="69153611"/>
    <w:rsid w:val="692556B9"/>
    <w:rsid w:val="69280117"/>
    <w:rsid w:val="692B1A64"/>
    <w:rsid w:val="693022D8"/>
    <w:rsid w:val="693764BC"/>
    <w:rsid w:val="694330B3"/>
    <w:rsid w:val="69434E61"/>
    <w:rsid w:val="6949691B"/>
    <w:rsid w:val="694A5205"/>
    <w:rsid w:val="694C59EB"/>
    <w:rsid w:val="69540E1C"/>
    <w:rsid w:val="695468CE"/>
    <w:rsid w:val="696A6892"/>
    <w:rsid w:val="698711F2"/>
    <w:rsid w:val="69874AA4"/>
    <w:rsid w:val="699B453B"/>
    <w:rsid w:val="69A62455"/>
    <w:rsid w:val="69AA3132"/>
    <w:rsid w:val="69AD518D"/>
    <w:rsid w:val="69B30239"/>
    <w:rsid w:val="69BF098B"/>
    <w:rsid w:val="69C2047C"/>
    <w:rsid w:val="69CA7330"/>
    <w:rsid w:val="69CD5C14"/>
    <w:rsid w:val="69CF0D33"/>
    <w:rsid w:val="69D8686C"/>
    <w:rsid w:val="69D96AC3"/>
    <w:rsid w:val="69DD52B6"/>
    <w:rsid w:val="69DF38CB"/>
    <w:rsid w:val="69F567A0"/>
    <w:rsid w:val="6A1A7186"/>
    <w:rsid w:val="6A2D3C19"/>
    <w:rsid w:val="6A36068B"/>
    <w:rsid w:val="6A402023"/>
    <w:rsid w:val="6A434A35"/>
    <w:rsid w:val="6A4B2209"/>
    <w:rsid w:val="6A5066CB"/>
    <w:rsid w:val="6A512713"/>
    <w:rsid w:val="6A542D51"/>
    <w:rsid w:val="6A5F0F50"/>
    <w:rsid w:val="6A6030C4"/>
    <w:rsid w:val="6A676547"/>
    <w:rsid w:val="6A767148"/>
    <w:rsid w:val="6A7C4ACE"/>
    <w:rsid w:val="6A7F05D0"/>
    <w:rsid w:val="6A843983"/>
    <w:rsid w:val="6AAB324D"/>
    <w:rsid w:val="6AB235AF"/>
    <w:rsid w:val="6ABD719F"/>
    <w:rsid w:val="6AC13E4D"/>
    <w:rsid w:val="6ADA17F5"/>
    <w:rsid w:val="6AE644C3"/>
    <w:rsid w:val="6AE71A96"/>
    <w:rsid w:val="6AEF34F2"/>
    <w:rsid w:val="6AF64E0B"/>
    <w:rsid w:val="6AFD4928"/>
    <w:rsid w:val="6B0D6B2D"/>
    <w:rsid w:val="6B0F6F0C"/>
    <w:rsid w:val="6B14078A"/>
    <w:rsid w:val="6B175FBC"/>
    <w:rsid w:val="6B176657"/>
    <w:rsid w:val="6B2667E8"/>
    <w:rsid w:val="6B297797"/>
    <w:rsid w:val="6B2F4D3E"/>
    <w:rsid w:val="6B303F71"/>
    <w:rsid w:val="6B317349"/>
    <w:rsid w:val="6B374E7A"/>
    <w:rsid w:val="6B4317B4"/>
    <w:rsid w:val="6B451364"/>
    <w:rsid w:val="6B476E8A"/>
    <w:rsid w:val="6B4A10E4"/>
    <w:rsid w:val="6B4F5D3F"/>
    <w:rsid w:val="6B543355"/>
    <w:rsid w:val="6B561E68"/>
    <w:rsid w:val="6B5C4B71"/>
    <w:rsid w:val="6B614E02"/>
    <w:rsid w:val="6B623CC4"/>
    <w:rsid w:val="6B633598"/>
    <w:rsid w:val="6B76151E"/>
    <w:rsid w:val="6B7E2908"/>
    <w:rsid w:val="6B9946B3"/>
    <w:rsid w:val="6BA936A1"/>
    <w:rsid w:val="6BB40298"/>
    <w:rsid w:val="6BEB618E"/>
    <w:rsid w:val="6BF3491C"/>
    <w:rsid w:val="6BF5106A"/>
    <w:rsid w:val="6C021003"/>
    <w:rsid w:val="6C0B21AE"/>
    <w:rsid w:val="6C1D408F"/>
    <w:rsid w:val="6C211E68"/>
    <w:rsid w:val="6C22436F"/>
    <w:rsid w:val="6C241930"/>
    <w:rsid w:val="6C2D0A9C"/>
    <w:rsid w:val="6C372961"/>
    <w:rsid w:val="6C4052D5"/>
    <w:rsid w:val="6C431EF3"/>
    <w:rsid w:val="6C465394"/>
    <w:rsid w:val="6C4B0DE1"/>
    <w:rsid w:val="6C4E3430"/>
    <w:rsid w:val="6C4E6902"/>
    <w:rsid w:val="6C5B59F4"/>
    <w:rsid w:val="6C6278D3"/>
    <w:rsid w:val="6C662189"/>
    <w:rsid w:val="6C6B22D7"/>
    <w:rsid w:val="6C6C2F38"/>
    <w:rsid w:val="6C7007C7"/>
    <w:rsid w:val="6C841A18"/>
    <w:rsid w:val="6C8C2B67"/>
    <w:rsid w:val="6C8D38AF"/>
    <w:rsid w:val="6C8D7684"/>
    <w:rsid w:val="6CA13443"/>
    <w:rsid w:val="6CA64CB9"/>
    <w:rsid w:val="6CA83959"/>
    <w:rsid w:val="6CB04275"/>
    <w:rsid w:val="6CB322FE"/>
    <w:rsid w:val="6CBC5656"/>
    <w:rsid w:val="6CBE13CE"/>
    <w:rsid w:val="6CC4450B"/>
    <w:rsid w:val="6CDC07DA"/>
    <w:rsid w:val="6CDF720B"/>
    <w:rsid w:val="6CEB7CE9"/>
    <w:rsid w:val="6CF50B68"/>
    <w:rsid w:val="6CF92C55"/>
    <w:rsid w:val="6CFA7F2C"/>
    <w:rsid w:val="6D093028"/>
    <w:rsid w:val="6D120AFE"/>
    <w:rsid w:val="6D21360D"/>
    <w:rsid w:val="6D231231"/>
    <w:rsid w:val="6D25144D"/>
    <w:rsid w:val="6D360E1C"/>
    <w:rsid w:val="6D3A3B10"/>
    <w:rsid w:val="6D415399"/>
    <w:rsid w:val="6D4C7D54"/>
    <w:rsid w:val="6D5E0131"/>
    <w:rsid w:val="6D60703C"/>
    <w:rsid w:val="6D616805"/>
    <w:rsid w:val="6D68310A"/>
    <w:rsid w:val="6D6D4330"/>
    <w:rsid w:val="6D785A21"/>
    <w:rsid w:val="6D836337"/>
    <w:rsid w:val="6D8819DC"/>
    <w:rsid w:val="6D8B0FD6"/>
    <w:rsid w:val="6D91263F"/>
    <w:rsid w:val="6D915D95"/>
    <w:rsid w:val="6D94625C"/>
    <w:rsid w:val="6D9B53CB"/>
    <w:rsid w:val="6DA32372"/>
    <w:rsid w:val="6DAF40A7"/>
    <w:rsid w:val="6DB63374"/>
    <w:rsid w:val="6DC1E8FB"/>
    <w:rsid w:val="6DCB45E0"/>
    <w:rsid w:val="6DD16EDF"/>
    <w:rsid w:val="6DD62748"/>
    <w:rsid w:val="6DE76850"/>
    <w:rsid w:val="6DF8337B"/>
    <w:rsid w:val="6DFD7CD4"/>
    <w:rsid w:val="6E030A47"/>
    <w:rsid w:val="6E1A3980"/>
    <w:rsid w:val="6E272FA3"/>
    <w:rsid w:val="6E2B50E3"/>
    <w:rsid w:val="6E305DC7"/>
    <w:rsid w:val="6E414065"/>
    <w:rsid w:val="6E427DDD"/>
    <w:rsid w:val="6E455F22"/>
    <w:rsid w:val="6E46167B"/>
    <w:rsid w:val="6E506EFF"/>
    <w:rsid w:val="6E5A6ED5"/>
    <w:rsid w:val="6E697118"/>
    <w:rsid w:val="6E8059E4"/>
    <w:rsid w:val="6E8126B3"/>
    <w:rsid w:val="6E930639"/>
    <w:rsid w:val="6E9815EB"/>
    <w:rsid w:val="6E9E45BF"/>
    <w:rsid w:val="6E9F31E8"/>
    <w:rsid w:val="6EA34CC4"/>
    <w:rsid w:val="6EA75E92"/>
    <w:rsid w:val="6EC00BE3"/>
    <w:rsid w:val="6ED8429D"/>
    <w:rsid w:val="6EE14809"/>
    <w:rsid w:val="6EE54F57"/>
    <w:rsid w:val="6EFC7F8C"/>
    <w:rsid w:val="6EFD1AEA"/>
    <w:rsid w:val="6EFF7A7C"/>
    <w:rsid w:val="6F055DD7"/>
    <w:rsid w:val="6F2E0D5F"/>
    <w:rsid w:val="6F395B8B"/>
    <w:rsid w:val="6F40431D"/>
    <w:rsid w:val="6F4831D1"/>
    <w:rsid w:val="6F4A519B"/>
    <w:rsid w:val="6F4A6530"/>
    <w:rsid w:val="6F6B76CB"/>
    <w:rsid w:val="6F6E0ACF"/>
    <w:rsid w:val="6F753C1F"/>
    <w:rsid w:val="6F7B35A7"/>
    <w:rsid w:val="6F8D32DA"/>
    <w:rsid w:val="6F964F3B"/>
    <w:rsid w:val="6F993A2D"/>
    <w:rsid w:val="6FB20BD4"/>
    <w:rsid w:val="6FB650F7"/>
    <w:rsid w:val="6FB75277"/>
    <w:rsid w:val="6FBA59BE"/>
    <w:rsid w:val="6FC565D0"/>
    <w:rsid w:val="6FD64135"/>
    <w:rsid w:val="6FEB1D4F"/>
    <w:rsid w:val="6FF16C9A"/>
    <w:rsid w:val="6FF2418B"/>
    <w:rsid w:val="6FF3192C"/>
    <w:rsid w:val="6FF84BF7"/>
    <w:rsid w:val="702726F0"/>
    <w:rsid w:val="70273E56"/>
    <w:rsid w:val="70296B3E"/>
    <w:rsid w:val="704255C1"/>
    <w:rsid w:val="704751B9"/>
    <w:rsid w:val="70497291"/>
    <w:rsid w:val="70542A01"/>
    <w:rsid w:val="705B357E"/>
    <w:rsid w:val="70611204"/>
    <w:rsid w:val="706E6C67"/>
    <w:rsid w:val="706F657C"/>
    <w:rsid w:val="70732E07"/>
    <w:rsid w:val="707D50FC"/>
    <w:rsid w:val="708B7819"/>
    <w:rsid w:val="708C17E3"/>
    <w:rsid w:val="708C3591"/>
    <w:rsid w:val="709541F4"/>
    <w:rsid w:val="70A02B99"/>
    <w:rsid w:val="70A628A5"/>
    <w:rsid w:val="70B84386"/>
    <w:rsid w:val="70BF0EE0"/>
    <w:rsid w:val="70C20C9C"/>
    <w:rsid w:val="70C57C29"/>
    <w:rsid w:val="70D01410"/>
    <w:rsid w:val="70D0347E"/>
    <w:rsid w:val="70D036E5"/>
    <w:rsid w:val="70D32204"/>
    <w:rsid w:val="70DF2EAD"/>
    <w:rsid w:val="70E60EF4"/>
    <w:rsid w:val="70F15847"/>
    <w:rsid w:val="70FC0717"/>
    <w:rsid w:val="7104137A"/>
    <w:rsid w:val="710A582E"/>
    <w:rsid w:val="71147BFE"/>
    <w:rsid w:val="71171A41"/>
    <w:rsid w:val="711E068D"/>
    <w:rsid w:val="7121017E"/>
    <w:rsid w:val="712B4B58"/>
    <w:rsid w:val="713021FC"/>
    <w:rsid w:val="713116FD"/>
    <w:rsid w:val="71370AC8"/>
    <w:rsid w:val="713A6780"/>
    <w:rsid w:val="713D46C5"/>
    <w:rsid w:val="71434E47"/>
    <w:rsid w:val="71486F7F"/>
    <w:rsid w:val="715F2A54"/>
    <w:rsid w:val="71662A10"/>
    <w:rsid w:val="717604C9"/>
    <w:rsid w:val="71834994"/>
    <w:rsid w:val="71926986"/>
    <w:rsid w:val="71982A8B"/>
    <w:rsid w:val="71994103"/>
    <w:rsid w:val="719E17CE"/>
    <w:rsid w:val="71A17BB2"/>
    <w:rsid w:val="71B44B4E"/>
    <w:rsid w:val="71B92164"/>
    <w:rsid w:val="71D074AE"/>
    <w:rsid w:val="71ED62B2"/>
    <w:rsid w:val="71FC02A3"/>
    <w:rsid w:val="72141A90"/>
    <w:rsid w:val="7214383E"/>
    <w:rsid w:val="721D0945"/>
    <w:rsid w:val="72204649"/>
    <w:rsid w:val="72220DAF"/>
    <w:rsid w:val="722C0832"/>
    <w:rsid w:val="722C5869"/>
    <w:rsid w:val="72347A3D"/>
    <w:rsid w:val="72450FB0"/>
    <w:rsid w:val="72473C14"/>
    <w:rsid w:val="72487743"/>
    <w:rsid w:val="724C09B1"/>
    <w:rsid w:val="725E1213"/>
    <w:rsid w:val="72624542"/>
    <w:rsid w:val="72640322"/>
    <w:rsid w:val="72642228"/>
    <w:rsid w:val="727D6954"/>
    <w:rsid w:val="72844D41"/>
    <w:rsid w:val="72862C7E"/>
    <w:rsid w:val="728976DF"/>
    <w:rsid w:val="72936E2F"/>
    <w:rsid w:val="72A72905"/>
    <w:rsid w:val="72AF5315"/>
    <w:rsid w:val="72BC63B0"/>
    <w:rsid w:val="72BD5C84"/>
    <w:rsid w:val="72C93C83"/>
    <w:rsid w:val="72CF4F19"/>
    <w:rsid w:val="72D80D10"/>
    <w:rsid w:val="72E27499"/>
    <w:rsid w:val="72EA7F26"/>
    <w:rsid w:val="72EB27F1"/>
    <w:rsid w:val="72EC79FB"/>
    <w:rsid w:val="72F67BF9"/>
    <w:rsid w:val="72FA2A34"/>
    <w:rsid w:val="730074EB"/>
    <w:rsid w:val="730438B3"/>
    <w:rsid w:val="73090EC9"/>
    <w:rsid w:val="731178E3"/>
    <w:rsid w:val="731C0BFD"/>
    <w:rsid w:val="73240DF9"/>
    <w:rsid w:val="732C6F33"/>
    <w:rsid w:val="73335F46"/>
    <w:rsid w:val="733D16A9"/>
    <w:rsid w:val="73425548"/>
    <w:rsid w:val="73445350"/>
    <w:rsid w:val="73514DB1"/>
    <w:rsid w:val="735841A0"/>
    <w:rsid w:val="736810C4"/>
    <w:rsid w:val="736A73D7"/>
    <w:rsid w:val="737C5261"/>
    <w:rsid w:val="738A77D2"/>
    <w:rsid w:val="73A34E7A"/>
    <w:rsid w:val="73A553FF"/>
    <w:rsid w:val="73A92710"/>
    <w:rsid w:val="73AC15DC"/>
    <w:rsid w:val="73CF5C6F"/>
    <w:rsid w:val="73D37293"/>
    <w:rsid w:val="73D547B7"/>
    <w:rsid w:val="73E01C2A"/>
    <w:rsid w:val="73E07E7C"/>
    <w:rsid w:val="73E334C8"/>
    <w:rsid w:val="73E6120B"/>
    <w:rsid w:val="73F12089"/>
    <w:rsid w:val="73F27930"/>
    <w:rsid w:val="74121260"/>
    <w:rsid w:val="743462D3"/>
    <w:rsid w:val="74365CEE"/>
    <w:rsid w:val="743E7D5E"/>
    <w:rsid w:val="7441374C"/>
    <w:rsid w:val="744149C3"/>
    <w:rsid w:val="74474E71"/>
    <w:rsid w:val="746A3BEA"/>
    <w:rsid w:val="748C1DB2"/>
    <w:rsid w:val="74A93E5A"/>
    <w:rsid w:val="74B66E2F"/>
    <w:rsid w:val="74C633BB"/>
    <w:rsid w:val="74CE23CA"/>
    <w:rsid w:val="74D3178F"/>
    <w:rsid w:val="74E13547"/>
    <w:rsid w:val="74E27C24"/>
    <w:rsid w:val="74E50822"/>
    <w:rsid w:val="74FA2C30"/>
    <w:rsid w:val="750A7995"/>
    <w:rsid w:val="75120509"/>
    <w:rsid w:val="751D1A0B"/>
    <w:rsid w:val="751F6782"/>
    <w:rsid w:val="753B09F7"/>
    <w:rsid w:val="754D5C4B"/>
    <w:rsid w:val="756C78B0"/>
    <w:rsid w:val="75722D56"/>
    <w:rsid w:val="75775737"/>
    <w:rsid w:val="757939B3"/>
    <w:rsid w:val="757944DF"/>
    <w:rsid w:val="757E50F6"/>
    <w:rsid w:val="75855224"/>
    <w:rsid w:val="758D4EA4"/>
    <w:rsid w:val="75954C96"/>
    <w:rsid w:val="759C4277"/>
    <w:rsid w:val="75A05064"/>
    <w:rsid w:val="75A85DA3"/>
    <w:rsid w:val="75AB5440"/>
    <w:rsid w:val="75B62796"/>
    <w:rsid w:val="75C80BC8"/>
    <w:rsid w:val="75CB60C0"/>
    <w:rsid w:val="75D74C81"/>
    <w:rsid w:val="75E76F6F"/>
    <w:rsid w:val="75EC127C"/>
    <w:rsid w:val="75ED6880"/>
    <w:rsid w:val="75F142DB"/>
    <w:rsid w:val="75F23E97"/>
    <w:rsid w:val="76045978"/>
    <w:rsid w:val="760B3F34"/>
    <w:rsid w:val="761C2E06"/>
    <w:rsid w:val="7630676D"/>
    <w:rsid w:val="76334397"/>
    <w:rsid w:val="76375D4D"/>
    <w:rsid w:val="76530DD9"/>
    <w:rsid w:val="765B4F30"/>
    <w:rsid w:val="766A2BA0"/>
    <w:rsid w:val="766C4E79"/>
    <w:rsid w:val="766D6FAF"/>
    <w:rsid w:val="767D07C6"/>
    <w:rsid w:val="767D7C04"/>
    <w:rsid w:val="768F7316"/>
    <w:rsid w:val="76913D96"/>
    <w:rsid w:val="76A143E8"/>
    <w:rsid w:val="76A92DB6"/>
    <w:rsid w:val="76B850E0"/>
    <w:rsid w:val="76BF1D66"/>
    <w:rsid w:val="76C240A7"/>
    <w:rsid w:val="76C5713C"/>
    <w:rsid w:val="76C8773D"/>
    <w:rsid w:val="76CA6BC2"/>
    <w:rsid w:val="76F263F7"/>
    <w:rsid w:val="76F45A2F"/>
    <w:rsid w:val="76FF686B"/>
    <w:rsid w:val="770339C1"/>
    <w:rsid w:val="7706409E"/>
    <w:rsid w:val="77065E4C"/>
    <w:rsid w:val="770F3331"/>
    <w:rsid w:val="770F3724"/>
    <w:rsid w:val="771D4F43"/>
    <w:rsid w:val="77285125"/>
    <w:rsid w:val="772A140E"/>
    <w:rsid w:val="77315AC4"/>
    <w:rsid w:val="7746449A"/>
    <w:rsid w:val="775246B7"/>
    <w:rsid w:val="77550B81"/>
    <w:rsid w:val="77583C37"/>
    <w:rsid w:val="775974AF"/>
    <w:rsid w:val="778264A7"/>
    <w:rsid w:val="77842014"/>
    <w:rsid w:val="77930B55"/>
    <w:rsid w:val="77977DAD"/>
    <w:rsid w:val="77A11291"/>
    <w:rsid w:val="77AD62C7"/>
    <w:rsid w:val="77AE3DED"/>
    <w:rsid w:val="77CA03EE"/>
    <w:rsid w:val="77CA234A"/>
    <w:rsid w:val="77CD0717"/>
    <w:rsid w:val="77D0696E"/>
    <w:rsid w:val="77EB3293"/>
    <w:rsid w:val="77EF4B32"/>
    <w:rsid w:val="78061E7B"/>
    <w:rsid w:val="780B739F"/>
    <w:rsid w:val="781E0F73"/>
    <w:rsid w:val="781E69D1"/>
    <w:rsid w:val="7826607A"/>
    <w:rsid w:val="782A2DF7"/>
    <w:rsid w:val="78305ACE"/>
    <w:rsid w:val="784F55D0"/>
    <w:rsid w:val="784F737E"/>
    <w:rsid w:val="788D27B5"/>
    <w:rsid w:val="78B74F24"/>
    <w:rsid w:val="78DA2881"/>
    <w:rsid w:val="78DE4305"/>
    <w:rsid w:val="78EF46BD"/>
    <w:rsid w:val="78F65A4C"/>
    <w:rsid w:val="79022643"/>
    <w:rsid w:val="790463BB"/>
    <w:rsid w:val="79091C23"/>
    <w:rsid w:val="791365FE"/>
    <w:rsid w:val="794E79D3"/>
    <w:rsid w:val="797B41A3"/>
    <w:rsid w:val="797F0359"/>
    <w:rsid w:val="798017B9"/>
    <w:rsid w:val="7988495F"/>
    <w:rsid w:val="79962040"/>
    <w:rsid w:val="799A2861"/>
    <w:rsid w:val="79A4105F"/>
    <w:rsid w:val="79AF2F2B"/>
    <w:rsid w:val="79BC014A"/>
    <w:rsid w:val="79BC34FC"/>
    <w:rsid w:val="79C1605A"/>
    <w:rsid w:val="79C95D86"/>
    <w:rsid w:val="79CA12DF"/>
    <w:rsid w:val="79D042C8"/>
    <w:rsid w:val="79D90DD4"/>
    <w:rsid w:val="79FB1D40"/>
    <w:rsid w:val="7A1C7734"/>
    <w:rsid w:val="7A263B6B"/>
    <w:rsid w:val="7A2A6E84"/>
    <w:rsid w:val="7A2D01BD"/>
    <w:rsid w:val="7A3D62A8"/>
    <w:rsid w:val="7A447E0C"/>
    <w:rsid w:val="7A573C85"/>
    <w:rsid w:val="7A5B487F"/>
    <w:rsid w:val="7A601D17"/>
    <w:rsid w:val="7A6D67DD"/>
    <w:rsid w:val="7A707A80"/>
    <w:rsid w:val="7A7106D0"/>
    <w:rsid w:val="7A854B36"/>
    <w:rsid w:val="7A8E7E6B"/>
    <w:rsid w:val="7A9419C0"/>
    <w:rsid w:val="7A9F3904"/>
    <w:rsid w:val="7AC322A6"/>
    <w:rsid w:val="7AD859D6"/>
    <w:rsid w:val="7AE04C06"/>
    <w:rsid w:val="7AE2272C"/>
    <w:rsid w:val="7AE71AF0"/>
    <w:rsid w:val="7AF46346"/>
    <w:rsid w:val="7AF753E6"/>
    <w:rsid w:val="7B0F5EBF"/>
    <w:rsid w:val="7B125252"/>
    <w:rsid w:val="7B130FB9"/>
    <w:rsid w:val="7B14483E"/>
    <w:rsid w:val="7B1B5E65"/>
    <w:rsid w:val="7B1C0A25"/>
    <w:rsid w:val="7B2611AB"/>
    <w:rsid w:val="7B4B5C2E"/>
    <w:rsid w:val="7B4E6A0D"/>
    <w:rsid w:val="7B641BCE"/>
    <w:rsid w:val="7B770612"/>
    <w:rsid w:val="7B825CBD"/>
    <w:rsid w:val="7B875F34"/>
    <w:rsid w:val="7B8C2698"/>
    <w:rsid w:val="7B9D6653"/>
    <w:rsid w:val="7BA43E85"/>
    <w:rsid w:val="7BA774D1"/>
    <w:rsid w:val="7BC42E63"/>
    <w:rsid w:val="7BCE6D01"/>
    <w:rsid w:val="7BD06A28"/>
    <w:rsid w:val="7BDD6F19"/>
    <w:rsid w:val="7BE10C35"/>
    <w:rsid w:val="7BE73D72"/>
    <w:rsid w:val="7BF070CA"/>
    <w:rsid w:val="7BF64EDE"/>
    <w:rsid w:val="7C0823C1"/>
    <w:rsid w:val="7C084414"/>
    <w:rsid w:val="7C0E12FE"/>
    <w:rsid w:val="7C10151B"/>
    <w:rsid w:val="7C105077"/>
    <w:rsid w:val="7C141428"/>
    <w:rsid w:val="7C1E1D84"/>
    <w:rsid w:val="7C221C6B"/>
    <w:rsid w:val="7C26489A"/>
    <w:rsid w:val="7C370186"/>
    <w:rsid w:val="7C400C1E"/>
    <w:rsid w:val="7C4B4301"/>
    <w:rsid w:val="7C5A2796"/>
    <w:rsid w:val="7C701FB9"/>
    <w:rsid w:val="7C7575D0"/>
    <w:rsid w:val="7C947A56"/>
    <w:rsid w:val="7C99714C"/>
    <w:rsid w:val="7C9A0DE4"/>
    <w:rsid w:val="7CA07DE8"/>
    <w:rsid w:val="7CA53FD5"/>
    <w:rsid w:val="7CAB4D9F"/>
    <w:rsid w:val="7CB43C54"/>
    <w:rsid w:val="7CB50883"/>
    <w:rsid w:val="7CB77BE8"/>
    <w:rsid w:val="7CBE6D5D"/>
    <w:rsid w:val="7CBF37B9"/>
    <w:rsid w:val="7CC52305"/>
    <w:rsid w:val="7CCF481C"/>
    <w:rsid w:val="7CCF4F32"/>
    <w:rsid w:val="7CDD1808"/>
    <w:rsid w:val="7CDD764F"/>
    <w:rsid w:val="7CF57CC1"/>
    <w:rsid w:val="7CF60710"/>
    <w:rsid w:val="7CF6426C"/>
    <w:rsid w:val="7D0050EB"/>
    <w:rsid w:val="7D0B5456"/>
    <w:rsid w:val="7D0E5A5A"/>
    <w:rsid w:val="7D2B12B1"/>
    <w:rsid w:val="7D352792"/>
    <w:rsid w:val="7D3E57C0"/>
    <w:rsid w:val="7D456FA2"/>
    <w:rsid w:val="7D4A45B8"/>
    <w:rsid w:val="7D563551"/>
    <w:rsid w:val="7D690EE2"/>
    <w:rsid w:val="7D6F6791"/>
    <w:rsid w:val="7D7358BD"/>
    <w:rsid w:val="7D7558BB"/>
    <w:rsid w:val="7D830B9D"/>
    <w:rsid w:val="7D87580C"/>
    <w:rsid w:val="7D905E8D"/>
    <w:rsid w:val="7DA0242A"/>
    <w:rsid w:val="7DB23C3E"/>
    <w:rsid w:val="7DC46119"/>
    <w:rsid w:val="7DC720AD"/>
    <w:rsid w:val="7DD11708"/>
    <w:rsid w:val="7DD93D2F"/>
    <w:rsid w:val="7DE47BFE"/>
    <w:rsid w:val="7DE53E24"/>
    <w:rsid w:val="7DE5430C"/>
    <w:rsid w:val="7DE642E1"/>
    <w:rsid w:val="7DE64899"/>
    <w:rsid w:val="7DF813B2"/>
    <w:rsid w:val="7DFC32D8"/>
    <w:rsid w:val="7DFD7978"/>
    <w:rsid w:val="7E0763E6"/>
    <w:rsid w:val="7E1202A7"/>
    <w:rsid w:val="7E156055"/>
    <w:rsid w:val="7E186464"/>
    <w:rsid w:val="7E2748F9"/>
    <w:rsid w:val="7E2D7872"/>
    <w:rsid w:val="7E3A6786"/>
    <w:rsid w:val="7E522C19"/>
    <w:rsid w:val="7E5305E6"/>
    <w:rsid w:val="7E5C0F61"/>
    <w:rsid w:val="7E755665"/>
    <w:rsid w:val="7E786F03"/>
    <w:rsid w:val="7E7B37EB"/>
    <w:rsid w:val="7E8E6EBF"/>
    <w:rsid w:val="7EAA7A04"/>
    <w:rsid w:val="7EAD21C3"/>
    <w:rsid w:val="7EBD579E"/>
    <w:rsid w:val="7EC167BD"/>
    <w:rsid w:val="7EC9775F"/>
    <w:rsid w:val="7ED56D33"/>
    <w:rsid w:val="7EFA4BE7"/>
    <w:rsid w:val="7EFC345C"/>
    <w:rsid w:val="7EFC7B34"/>
    <w:rsid w:val="7F1A6960"/>
    <w:rsid w:val="7F250E39"/>
    <w:rsid w:val="7F272D9E"/>
    <w:rsid w:val="7F376DBE"/>
    <w:rsid w:val="7F385010"/>
    <w:rsid w:val="7F397426"/>
    <w:rsid w:val="7F4219EB"/>
    <w:rsid w:val="7F4F4108"/>
    <w:rsid w:val="7F507488"/>
    <w:rsid w:val="7F5E447B"/>
    <w:rsid w:val="7F625BE9"/>
    <w:rsid w:val="7F657C66"/>
    <w:rsid w:val="7F687D9B"/>
    <w:rsid w:val="7F6A0F42"/>
    <w:rsid w:val="7F743B6E"/>
    <w:rsid w:val="7F7848F6"/>
    <w:rsid w:val="7F930498"/>
    <w:rsid w:val="7FAB30D0"/>
    <w:rsid w:val="7FB81CAD"/>
    <w:rsid w:val="7FB87EFF"/>
    <w:rsid w:val="7FC543CA"/>
    <w:rsid w:val="7FD05249"/>
    <w:rsid w:val="7FD13DE3"/>
    <w:rsid w:val="7FF54CAF"/>
    <w:rsid w:val="7FFA22C6"/>
    <w:rsid w:val="7FFD534D"/>
    <w:rsid w:val="F3FB7F78"/>
    <w:rsid w:val="F7BFE34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 w:semiHidden="0" w:name="heading 2"/>
    <w:lsdException w:qFormat="1" w:unhideWhenUsed="0" w:uiPriority="9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nhideWhenUsed="0"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semiHidden="0" w:name="endnote reference"/>
    <w:lsdException w:uiPriority="99" w:name="endnote text"/>
    <w:lsdException w:qFormat="1" w:unhideWhenUsed="0" w:uiPriority="99" w:semiHidden="0" w:name="table of authorities"/>
    <w:lsdException w:uiPriority="99" w:name="macro"/>
    <w:lsdException w:uiPriority="99" w:name="toa heading"/>
    <w:lsdException w:qFormat="1" w:uiPriority="99"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qFormat="1" w:unhideWhenUsed="0" w:uiPriority="99"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link w:val="49"/>
    <w:qFormat/>
    <w:uiPriority w:val="99"/>
    <w:pPr>
      <w:keepNext/>
      <w:keepLines/>
      <w:spacing w:before="340" w:after="330" w:line="578" w:lineRule="auto"/>
      <w:outlineLvl w:val="0"/>
    </w:pPr>
    <w:rPr>
      <w:b/>
      <w:bCs/>
      <w:kern w:val="44"/>
      <w:sz w:val="44"/>
      <w:szCs w:val="44"/>
    </w:rPr>
  </w:style>
  <w:style w:type="paragraph" w:styleId="7">
    <w:name w:val="heading 2"/>
    <w:basedOn w:val="1"/>
    <w:next w:val="1"/>
    <w:link w:val="50"/>
    <w:qFormat/>
    <w:uiPriority w:val="9"/>
    <w:pPr>
      <w:keepNext/>
      <w:keepLines/>
      <w:spacing w:before="260" w:after="260" w:line="416" w:lineRule="auto"/>
      <w:outlineLvl w:val="1"/>
    </w:pPr>
    <w:rPr>
      <w:rFonts w:ascii="Cambria" w:hAnsi="Cambria"/>
      <w:b/>
      <w:bCs/>
      <w:sz w:val="32"/>
      <w:szCs w:val="32"/>
    </w:rPr>
  </w:style>
  <w:style w:type="paragraph" w:styleId="8">
    <w:name w:val="heading 3"/>
    <w:basedOn w:val="1"/>
    <w:next w:val="1"/>
    <w:link w:val="51"/>
    <w:qFormat/>
    <w:uiPriority w:val="99"/>
    <w:pPr>
      <w:keepNext/>
      <w:keepLines/>
      <w:spacing w:before="260" w:after="260" w:line="416" w:lineRule="auto"/>
      <w:outlineLvl w:val="2"/>
    </w:pPr>
    <w:rPr>
      <w:b/>
      <w:bCs/>
      <w:sz w:val="32"/>
      <w:szCs w:val="32"/>
    </w:rPr>
  </w:style>
  <w:style w:type="paragraph" w:styleId="9">
    <w:name w:val="heading 4"/>
    <w:basedOn w:val="1"/>
    <w:next w:val="1"/>
    <w:link w:val="52"/>
    <w:qFormat/>
    <w:uiPriority w:val="9"/>
    <w:pPr>
      <w:keepNext/>
      <w:keepLines/>
      <w:spacing w:before="280" w:after="290" w:line="372" w:lineRule="auto"/>
      <w:outlineLvl w:val="3"/>
    </w:pPr>
    <w:rPr>
      <w:rFonts w:ascii="Arial" w:hAnsi="Arial" w:eastAsia="黑体"/>
      <w:b/>
      <w:sz w:val="28"/>
    </w:rPr>
  </w:style>
  <w:style w:type="paragraph" w:styleId="10">
    <w:name w:val="heading 5"/>
    <w:basedOn w:val="1"/>
    <w:next w:val="11"/>
    <w:link w:val="53"/>
    <w:qFormat/>
    <w:uiPriority w:val="9"/>
    <w:pPr>
      <w:keepNext/>
      <w:keepLines/>
      <w:spacing w:before="280" w:after="290" w:line="376" w:lineRule="auto"/>
      <w:outlineLvl w:val="4"/>
    </w:pPr>
    <w:rPr>
      <w:b/>
      <w:bCs/>
      <w:sz w:val="28"/>
      <w:szCs w:val="28"/>
    </w:rPr>
  </w:style>
  <w:style w:type="paragraph" w:styleId="12">
    <w:name w:val="heading 8"/>
    <w:basedOn w:val="1"/>
    <w:next w:val="1"/>
    <w:link w:val="54"/>
    <w:qFormat/>
    <w:uiPriority w:val="9"/>
    <w:pPr>
      <w:keepNext/>
      <w:keepLines/>
      <w:spacing w:before="240" w:after="64" w:line="320" w:lineRule="auto"/>
      <w:outlineLvl w:val="7"/>
    </w:pPr>
    <w:rPr>
      <w:rFonts w:ascii="等线 Light" w:hAnsi="等线 Light" w:eastAsia="等线 Light"/>
      <w:sz w:val="24"/>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56"/>
    <w:unhideWhenUsed/>
    <w:qFormat/>
    <w:uiPriority w:val="0"/>
    <w:pPr>
      <w:spacing w:after="120"/>
    </w:pPr>
  </w:style>
  <w:style w:type="paragraph" w:styleId="3">
    <w:name w:val="Body Text First Indent 2"/>
    <w:basedOn w:val="4"/>
    <w:next w:val="1"/>
    <w:link w:val="48"/>
    <w:qFormat/>
    <w:uiPriority w:val="99"/>
    <w:pPr>
      <w:autoSpaceDE w:val="0"/>
      <w:autoSpaceDN w:val="0"/>
      <w:spacing w:after="120" w:line="360" w:lineRule="auto"/>
      <w:ind w:left="420" w:leftChars="200" w:firstLine="420" w:firstLineChars="200"/>
    </w:pPr>
    <w:rPr>
      <w:sz w:val="21"/>
      <w:szCs w:val="24"/>
    </w:rPr>
  </w:style>
  <w:style w:type="paragraph" w:styleId="4">
    <w:name w:val="Body Text Indent"/>
    <w:basedOn w:val="1"/>
    <w:next w:val="5"/>
    <w:link w:val="45"/>
    <w:qFormat/>
    <w:uiPriority w:val="99"/>
    <w:pPr>
      <w:ind w:firstLine="830" w:firstLineChars="352"/>
    </w:pPr>
    <w:rPr>
      <w:rFonts w:ascii="仿宋_GB2312" w:eastAsia="仿宋_GB2312"/>
      <w:kern w:val="0"/>
      <w:sz w:val="32"/>
      <w:szCs w:val="20"/>
    </w:rPr>
  </w:style>
  <w:style w:type="paragraph" w:customStyle="1" w:styleId="5">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11">
    <w:name w:val="Normal Indent"/>
    <w:basedOn w:val="1"/>
    <w:qFormat/>
    <w:uiPriority w:val="99"/>
    <w:pPr>
      <w:ind w:firstLine="420"/>
    </w:pPr>
    <w:rPr>
      <w:szCs w:val="20"/>
    </w:rPr>
  </w:style>
  <w:style w:type="paragraph" w:styleId="13">
    <w:name w:val="table of authorities"/>
    <w:basedOn w:val="1"/>
    <w:next w:val="1"/>
    <w:qFormat/>
    <w:uiPriority w:val="99"/>
    <w:pPr>
      <w:ind w:left="420" w:leftChars="200"/>
    </w:pPr>
    <w:rPr>
      <w:rFonts w:ascii="Calibri" w:hAnsi="Calibri"/>
    </w:rPr>
  </w:style>
  <w:style w:type="paragraph" w:styleId="14">
    <w:name w:val="index 8"/>
    <w:basedOn w:val="1"/>
    <w:next w:val="1"/>
    <w:qFormat/>
    <w:uiPriority w:val="0"/>
    <w:pPr>
      <w:ind w:left="2940"/>
    </w:pPr>
  </w:style>
  <w:style w:type="paragraph" w:styleId="15">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6">
    <w:name w:val="caption"/>
    <w:basedOn w:val="1"/>
    <w:next w:val="1"/>
    <w:qFormat/>
    <w:uiPriority w:val="0"/>
    <w:rPr>
      <w:rFonts w:ascii="DejaVu Sans" w:hAnsi="DejaVu Sans" w:eastAsia="方正黑体_GBK"/>
      <w:sz w:val="20"/>
    </w:rPr>
  </w:style>
  <w:style w:type="paragraph" w:styleId="17">
    <w:name w:val="annotation text"/>
    <w:basedOn w:val="1"/>
    <w:link w:val="46"/>
    <w:qFormat/>
    <w:uiPriority w:val="99"/>
    <w:pPr>
      <w:jc w:val="left"/>
    </w:pPr>
  </w:style>
  <w:style w:type="paragraph" w:styleId="18">
    <w:name w:val="Body Text 3"/>
    <w:basedOn w:val="1"/>
    <w:link w:val="55"/>
    <w:unhideWhenUsed/>
    <w:qFormat/>
    <w:uiPriority w:val="99"/>
    <w:pPr>
      <w:spacing w:after="120"/>
    </w:pPr>
    <w:rPr>
      <w:sz w:val="16"/>
      <w:szCs w:val="16"/>
    </w:rPr>
  </w:style>
  <w:style w:type="paragraph" w:styleId="19">
    <w:name w:val="List 2"/>
    <w:basedOn w:val="1"/>
    <w:unhideWhenUsed/>
    <w:qFormat/>
    <w:uiPriority w:val="99"/>
    <w:pPr>
      <w:ind w:left="100" w:leftChars="200" w:hanging="200" w:hangingChars="200"/>
      <w:contextualSpacing/>
    </w:pPr>
  </w:style>
  <w:style w:type="paragraph" w:styleId="20">
    <w:name w:val="Block Text"/>
    <w:basedOn w:val="1"/>
    <w:qFormat/>
    <w:uiPriority w:val="99"/>
    <w:pPr>
      <w:adjustRightInd w:val="0"/>
      <w:ind w:left="420" w:right="33"/>
      <w:jc w:val="left"/>
      <w:textAlignment w:val="baseline"/>
    </w:pPr>
    <w:rPr>
      <w:kern w:val="0"/>
      <w:szCs w:val="20"/>
    </w:rPr>
  </w:style>
  <w:style w:type="paragraph" w:styleId="21">
    <w:name w:val="toc 3"/>
    <w:basedOn w:val="1"/>
    <w:next w:val="1"/>
    <w:unhideWhenUsed/>
    <w:qFormat/>
    <w:uiPriority w:val="39"/>
    <w:pPr>
      <w:ind w:left="840" w:leftChars="400"/>
    </w:pPr>
  </w:style>
  <w:style w:type="paragraph" w:styleId="22">
    <w:name w:val="Plain Text"/>
    <w:basedOn w:val="1"/>
    <w:next w:val="14"/>
    <w:link w:val="57"/>
    <w:qFormat/>
    <w:uiPriority w:val="0"/>
    <w:rPr>
      <w:rFonts w:ascii="宋体" w:hAnsi="Courier New"/>
      <w:kern w:val="0"/>
      <w:sz w:val="20"/>
      <w:szCs w:val="21"/>
    </w:rPr>
  </w:style>
  <w:style w:type="paragraph" w:styleId="23">
    <w:name w:val="Date"/>
    <w:basedOn w:val="1"/>
    <w:next w:val="1"/>
    <w:link w:val="58"/>
    <w:unhideWhenUsed/>
    <w:qFormat/>
    <w:uiPriority w:val="99"/>
    <w:pPr>
      <w:ind w:left="100" w:leftChars="2500"/>
    </w:pPr>
  </w:style>
  <w:style w:type="paragraph" w:styleId="24">
    <w:name w:val="Balloon Text"/>
    <w:basedOn w:val="1"/>
    <w:semiHidden/>
    <w:qFormat/>
    <w:uiPriority w:val="0"/>
    <w:rPr>
      <w:sz w:val="18"/>
      <w:szCs w:val="18"/>
    </w:rPr>
  </w:style>
  <w:style w:type="paragraph" w:styleId="25">
    <w:name w:val="footer"/>
    <w:basedOn w:val="1"/>
    <w:link w:val="59"/>
    <w:unhideWhenUsed/>
    <w:qFormat/>
    <w:uiPriority w:val="99"/>
    <w:pPr>
      <w:tabs>
        <w:tab w:val="center" w:pos="4153"/>
        <w:tab w:val="right" w:pos="8306"/>
      </w:tabs>
      <w:snapToGrid w:val="0"/>
      <w:jc w:val="left"/>
    </w:pPr>
    <w:rPr>
      <w:kern w:val="0"/>
      <w:sz w:val="18"/>
      <w:szCs w:val="18"/>
    </w:rPr>
  </w:style>
  <w:style w:type="paragraph" w:styleId="26">
    <w:name w:val="header"/>
    <w:basedOn w:val="1"/>
    <w:link w:val="60"/>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7">
    <w:name w:val="toc 1"/>
    <w:basedOn w:val="1"/>
    <w:next w:val="1"/>
    <w:unhideWhenUsed/>
    <w:qFormat/>
    <w:uiPriority w:val="39"/>
  </w:style>
  <w:style w:type="paragraph" w:styleId="28">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29">
    <w:name w:val="List"/>
    <w:basedOn w:val="1"/>
    <w:unhideWhenUsed/>
    <w:qFormat/>
    <w:uiPriority w:val="99"/>
    <w:pPr>
      <w:ind w:left="200" w:hanging="200" w:hangingChars="200"/>
      <w:contextualSpacing/>
    </w:pPr>
  </w:style>
  <w:style w:type="paragraph" w:styleId="30">
    <w:name w:val="toc 2"/>
    <w:basedOn w:val="1"/>
    <w:next w:val="1"/>
    <w:unhideWhenUsed/>
    <w:qFormat/>
    <w:uiPriority w:val="39"/>
    <w:pPr>
      <w:tabs>
        <w:tab w:val="right" w:leader="dot" w:pos="8296"/>
      </w:tabs>
      <w:ind w:left="420" w:leftChars="200"/>
    </w:pPr>
  </w:style>
  <w:style w:type="paragraph" w:styleId="31">
    <w:name w:val="Normal (Web)"/>
    <w:basedOn w:val="1"/>
    <w:unhideWhenUsed/>
    <w:qFormat/>
    <w:uiPriority w:val="99"/>
    <w:rPr>
      <w:rFonts w:ascii="Calibri" w:hAnsi="Calibri"/>
      <w:kern w:val="0"/>
      <w:sz w:val="24"/>
    </w:rPr>
  </w:style>
  <w:style w:type="paragraph" w:styleId="32">
    <w:name w:val="annotation subject"/>
    <w:basedOn w:val="17"/>
    <w:next w:val="1"/>
    <w:link w:val="47"/>
    <w:qFormat/>
    <w:uiPriority w:val="99"/>
    <w:rPr>
      <w:b/>
      <w:bCs/>
    </w:rPr>
  </w:style>
  <w:style w:type="paragraph" w:styleId="33">
    <w:name w:val="Body Text First Indent"/>
    <w:basedOn w:val="2"/>
    <w:qFormat/>
    <w:uiPriority w:val="0"/>
    <w:pPr>
      <w:ind w:firstLine="420" w:firstLineChars="100"/>
    </w:pPr>
  </w:style>
  <w:style w:type="table" w:styleId="35">
    <w:name w:val="Table Grid"/>
    <w:basedOn w:val="3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
    <w:name w:val="Strong"/>
    <w:basedOn w:val="36"/>
    <w:qFormat/>
    <w:uiPriority w:val="22"/>
    <w:rPr>
      <w:b/>
    </w:rPr>
  </w:style>
  <w:style w:type="character" w:styleId="38">
    <w:name w:val="endnote reference"/>
    <w:unhideWhenUsed/>
    <w:qFormat/>
    <w:uiPriority w:val="99"/>
    <w:rPr>
      <w:vertAlign w:val="superscript"/>
    </w:rPr>
  </w:style>
  <w:style w:type="character" w:styleId="39">
    <w:name w:val="page number"/>
    <w:qFormat/>
    <w:uiPriority w:val="0"/>
  </w:style>
  <w:style w:type="character" w:styleId="40">
    <w:name w:val="FollowedHyperlink"/>
    <w:unhideWhenUsed/>
    <w:qFormat/>
    <w:uiPriority w:val="99"/>
    <w:rPr>
      <w:color w:val="800080"/>
      <w:u w:val="single"/>
    </w:rPr>
  </w:style>
  <w:style w:type="character" w:styleId="41">
    <w:name w:val="Emphasis"/>
    <w:basedOn w:val="36"/>
    <w:qFormat/>
    <w:uiPriority w:val="20"/>
    <w:rPr>
      <w:i/>
    </w:rPr>
  </w:style>
  <w:style w:type="character" w:styleId="42">
    <w:name w:val="Hyperlink"/>
    <w:unhideWhenUsed/>
    <w:qFormat/>
    <w:uiPriority w:val="99"/>
    <w:rPr>
      <w:color w:val="0000FF"/>
      <w:u w:val="single"/>
    </w:rPr>
  </w:style>
  <w:style w:type="character" w:styleId="43">
    <w:name w:val="annotation reference"/>
    <w:qFormat/>
    <w:uiPriority w:val="99"/>
    <w:rPr>
      <w:sz w:val="21"/>
      <w:szCs w:val="21"/>
    </w:rPr>
  </w:style>
  <w:style w:type="paragraph" w:customStyle="1" w:styleId="44">
    <w:name w:val="Heading2"/>
    <w:basedOn w:val="1"/>
    <w:next w:val="1"/>
    <w:qFormat/>
    <w:uiPriority w:val="0"/>
    <w:pPr>
      <w:keepNext/>
      <w:keepLines/>
      <w:spacing w:before="260" w:after="260" w:line="416" w:lineRule="auto"/>
    </w:pPr>
    <w:rPr>
      <w:rFonts w:ascii="Arial" w:hAnsi="Arial" w:eastAsia="黑体"/>
      <w:b/>
      <w:bCs/>
      <w:kern w:val="0"/>
      <w:sz w:val="32"/>
      <w:szCs w:val="32"/>
    </w:rPr>
  </w:style>
  <w:style w:type="character" w:customStyle="1" w:styleId="45">
    <w:name w:val="正文文本缩进 字符"/>
    <w:link w:val="4"/>
    <w:qFormat/>
    <w:uiPriority w:val="99"/>
    <w:rPr>
      <w:rFonts w:ascii="仿宋_GB2312" w:hAnsi="Times New Roman" w:eastAsia="仿宋_GB2312" w:cs="Times New Roman"/>
      <w:sz w:val="32"/>
      <w:szCs w:val="20"/>
    </w:rPr>
  </w:style>
  <w:style w:type="character" w:customStyle="1" w:styleId="46">
    <w:name w:val="批注文字 字符2"/>
    <w:link w:val="17"/>
    <w:qFormat/>
    <w:uiPriority w:val="99"/>
    <w:rPr>
      <w:rFonts w:ascii="Times New Roman" w:hAnsi="Times New Roman"/>
      <w:kern w:val="2"/>
      <w:sz w:val="21"/>
      <w:szCs w:val="24"/>
    </w:rPr>
  </w:style>
  <w:style w:type="character" w:customStyle="1" w:styleId="47">
    <w:name w:val="批注主题 字符"/>
    <w:link w:val="32"/>
    <w:qFormat/>
    <w:uiPriority w:val="99"/>
    <w:rPr>
      <w:rFonts w:ascii="Times New Roman" w:hAnsi="Times New Roman"/>
      <w:b/>
      <w:bCs/>
      <w:kern w:val="2"/>
      <w:sz w:val="21"/>
      <w:szCs w:val="24"/>
    </w:rPr>
  </w:style>
  <w:style w:type="character" w:customStyle="1" w:styleId="48">
    <w:name w:val="正文文本首行缩进 2 字符"/>
    <w:link w:val="3"/>
    <w:qFormat/>
    <w:uiPriority w:val="99"/>
    <w:rPr>
      <w:kern w:val="2"/>
      <w:sz w:val="21"/>
      <w:szCs w:val="24"/>
    </w:rPr>
  </w:style>
  <w:style w:type="character" w:customStyle="1" w:styleId="49">
    <w:name w:val="标题 1 字符"/>
    <w:link w:val="6"/>
    <w:qFormat/>
    <w:uiPriority w:val="99"/>
    <w:rPr>
      <w:b/>
      <w:bCs/>
      <w:kern w:val="44"/>
      <w:sz w:val="44"/>
      <w:szCs w:val="44"/>
    </w:rPr>
  </w:style>
  <w:style w:type="character" w:customStyle="1" w:styleId="50">
    <w:name w:val="标题 2 字符"/>
    <w:link w:val="7"/>
    <w:qFormat/>
    <w:uiPriority w:val="9"/>
    <w:rPr>
      <w:rFonts w:ascii="Cambria" w:hAnsi="Cambria" w:eastAsia="宋体" w:cs="Times New Roman"/>
      <w:b/>
      <w:bCs/>
      <w:kern w:val="2"/>
      <w:sz w:val="32"/>
      <w:szCs w:val="32"/>
    </w:rPr>
  </w:style>
  <w:style w:type="character" w:customStyle="1" w:styleId="51">
    <w:name w:val="标题 3 字符"/>
    <w:link w:val="8"/>
    <w:qFormat/>
    <w:uiPriority w:val="99"/>
    <w:rPr>
      <w:b/>
      <w:bCs/>
      <w:kern w:val="2"/>
      <w:sz w:val="32"/>
      <w:szCs w:val="32"/>
    </w:rPr>
  </w:style>
  <w:style w:type="character" w:customStyle="1" w:styleId="52">
    <w:name w:val="标题 4 字符"/>
    <w:link w:val="9"/>
    <w:qFormat/>
    <w:uiPriority w:val="9"/>
    <w:rPr>
      <w:rFonts w:ascii="Arial" w:hAnsi="Arial" w:eastAsia="黑体"/>
      <w:b/>
      <w:kern w:val="2"/>
      <w:sz w:val="28"/>
      <w:szCs w:val="24"/>
    </w:rPr>
  </w:style>
  <w:style w:type="character" w:customStyle="1" w:styleId="53">
    <w:name w:val="标题 5 字符"/>
    <w:link w:val="10"/>
    <w:qFormat/>
    <w:uiPriority w:val="9"/>
    <w:rPr>
      <w:rFonts w:ascii="Times New Roman" w:hAnsi="Times New Roman"/>
      <w:b/>
      <w:bCs/>
      <w:kern w:val="2"/>
      <w:sz w:val="28"/>
      <w:szCs w:val="28"/>
    </w:rPr>
  </w:style>
  <w:style w:type="character" w:customStyle="1" w:styleId="54">
    <w:name w:val="标题 8 字符"/>
    <w:link w:val="12"/>
    <w:semiHidden/>
    <w:qFormat/>
    <w:uiPriority w:val="9"/>
    <w:rPr>
      <w:rFonts w:ascii="等线 Light" w:hAnsi="等线 Light" w:eastAsia="等线 Light" w:cs="Times New Roman"/>
      <w:kern w:val="2"/>
      <w:sz w:val="24"/>
      <w:szCs w:val="24"/>
    </w:rPr>
  </w:style>
  <w:style w:type="character" w:customStyle="1" w:styleId="55">
    <w:name w:val="正文文本 3 字符"/>
    <w:link w:val="18"/>
    <w:semiHidden/>
    <w:qFormat/>
    <w:uiPriority w:val="99"/>
    <w:rPr>
      <w:kern w:val="2"/>
      <w:sz w:val="16"/>
      <w:szCs w:val="16"/>
    </w:rPr>
  </w:style>
  <w:style w:type="character" w:customStyle="1" w:styleId="56">
    <w:name w:val="正文文本 字符1"/>
    <w:link w:val="2"/>
    <w:qFormat/>
    <w:uiPriority w:val="0"/>
    <w:rPr>
      <w:rFonts w:ascii="Times New Roman" w:hAnsi="Times New Roman"/>
      <w:kern w:val="2"/>
      <w:sz w:val="21"/>
      <w:szCs w:val="24"/>
    </w:rPr>
  </w:style>
  <w:style w:type="character" w:customStyle="1" w:styleId="57">
    <w:name w:val="纯文本 字符3"/>
    <w:link w:val="22"/>
    <w:qFormat/>
    <w:uiPriority w:val="0"/>
    <w:rPr>
      <w:rFonts w:ascii="宋体" w:hAnsi="Courier New" w:eastAsia="宋体" w:cs="Courier New"/>
      <w:szCs w:val="21"/>
    </w:rPr>
  </w:style>
  <w:style w:type="character" w:customStyle="1" w:styleId="58">
    <w:name w:val="日期 字符"/>
    <w:link w:val="23"/>
    <w:semiHidden/>
    <w:qFormat/>
    <w:uiPriority w:val="99"/>
    <w:rPr>
      <w:rFonts w:ascii="Times New Roman" w:hAnsi="Times New Roman"/>
      <w:kern w:val="2"/>
      <w:sz w:val="21"/>
      <w:szCs w:val="24"/>
    </w:rPr>
  </w:style>
  <w:style w:type="character" w:customStyle="1" w:styleId="59">
    <w:name w:val="页脚 字符"/>
    <w:link w:val="25"/>
    <w:qFormat/>
    <w:uiPriority w:val="99"/>
    <w:rPr>
      <w:sz w:val="18"/>
      <w:szCs w:val="18"/>
    </w:rPr>
  </w:style>
  <w:style w:type="character" w:customStyle="1" w:styleId="60">
    <w:name w:val="页眉 字符"/>
    <w:link w:val="26"/>
    <w:qFormat/>
    <w:uiPriority w:val="99"/>
    <w:rPr>
      <w:sz w:val="18"/>
      <w:szCs w:val="18"/>
    </w:rPr>
  </w:style>
  <w:style w:type="character" w:customStyle="1" w:styleId="61">
    <w:name w:val="textcontents"/>
    <w:qFormat/>
    <w:uiPriority w:val="0"/>
  </w:style>
  <w:style w:type="character" w:customStyle="1" w:styleId="62">
    <w:name w:val="标题 2 Char"/>
    <w:qFormat/>
    <w:uiPriority w:val="99"/>
    <w:rPr>
      <w:rFonts w:ascii="Cambria" w:hAnsi="Cambria" w:eastAsia="宋体" w:cs="Times New Roman"/>
      <w:b/>
      <w:bCs/>
      <w:kern w:val="2"/>
      <w:sz w:val="32"/>
      <w:szCs w:val="32"/>
    </w:rPr>
  </w:style>
  <w:style w:type="character" w:customStyle="1" w:styleId="63">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4">
    <w:name w:val="纯文本 字符2"/>
    <w:qFormat/>
    <w:uiPriority w:val="0"/>
    <w:rPr>
      <w:rFonts w:ascii="宋体" w:hAnsi="Courier New" w:eastAsia="宋体" w:cs="Courier New"/>
      <w:szCs w:val="21"/>
    </w:rPr>
  </w:style>
  <w:style w:type="character" w:customStyle="1" w:styleId="65">
    <w:name w:val="正文文本 字符"/>
    <w:qFormat/>
    <w:uiPriority w:val="0"/>
    <w:rPr>
      <w:rFonts w:ascii="Times New Roman" w:hAnsi="Times New Roman"/>
      <w:kern w:val="2"/>
      <w:sz w:val="21"/>
      <w:szCs w:val="24"/>
    </w:rPr>
  </w:style>
  <w:style w:type="character" w:customStyle="1" w:styleId="66">
    <w:name w:val="批注文字 字符1"/>
    <w:qFormat/>
    <w:uiPriority w:val="0"/>
    <w:rPr>
      <w:rFonts w:ascii="Times New Roman" w:hAnsi="Times New Roman"/>
      <w:kern w:val="2"/>
      <w:sz w:val="21"/>
      <w:szCs w:val="24"/>
    </w:rPr>
  </w:style>
  <w:style w:type="character" w:customStyle="1" w:styleId="67">
    <w:name w:val="正文文本 Char"/>
    <w:qFormat/>
    <w:uiPriority w:val="99"/>
    <w:rPr>
      <w:rFonts w:ascii="Times New Roman" w:hAnsi="Times New Roman"/>
      <w:kern w:val="2"/>
      <w:sz w:val="21"/>
      <w:szCs w:val="24"/>
    </w:rPr>
  </w:style>
  <w:style w:type="character" w:customStyle="1" w:styleId="68">
    <w:name w:val="纯文本 字符"/>
    <w:qFormat/>
    <w:uiPriority w:val="0"/>
    <w:rPr>
      <w:rFonts w:ascii="宋体" w:hAnsi="Courier New" w:eastAsia="宋体" w:cs="Courier New"/>
      <w:szCs w:val="21"/>
    </w:rPr>
  </w:style>
  <w:style w:type="character" w:customStyle="1" w:styleId="69">
    <w:name w:val="标题 1 字符1"/>
    <w:qFormat/>
    <w:uiPriority w:val="0"/>
    <w:rPr>
      <w:b/>
      <w:bCs/>
      <w:kern w:val="44"/>
      <w:sz w:val="44"/>
      <w:szCs w:val="44"/>
    </w:rPr>
  </w:style>
  <w:style w:type="character" w:customStyle="1" w:styleId="70">
    <w:name w:val="正文2 Char Char"/>
    <w:link w:val="71"/>
    <w:qFormat/>
    <w:uiPriority w:val="0"/>
    <w:rPr>
      <w:sz w:val="24"/>
    </w:rPr>
  </w:style>
  <w:style w:type="paragraph" w:customStyle="1" w:styleId="71">
    <w:name w:val="正文2"/>
    <w:basedOn w:val="1"/>
    <w:link w:val="70"/>
    <w:qFormat/>
    <w:uiPriority w:val="0"/>
    <w:pPr>
      <w:adjustRightInd w:val="0"/>
      <w:spacing w:before="156" w:line="360" w:lineRule="auto"/>
      <w:ind w:firstLine="510" w:firstLineChars="200"/>
    </w:pPr>
    <w:rPr>
      <w:kern w:val="0"/>
      <w:sz w:val="24"/>
      <w:szCs w:val="20"/>
    </w:rPr>
  </w:style>
  <w:style w:type="character" w:customStyle="1" w:styleId="72">
    <w:name w:val="标题 8 Char"/>
    <w:qFormat/>
    <w:uiPriority w:val="0"/>
    <w:rPr>
      <w:rFonts w:ascii="Arial" w:hAnsi="Arial" w:eastAsia="黑体"/>
      <w:kern w:val="2"/>
      <w:sz w:val="24"/>
      <w:szCs w:val="24"/>
    </w:rPr>
  </w:style>
  <w:style w:type="character" w:customStyle="1" w:styleId="73">
    <w:name w:val="纯文本 Char"/>
    <w:qFormat/>
    <w:uiPriority w:val="99"/>
    <w:rPr>
      <w:rFonts w:ascii="宋体" w:hAnsi="Courier New" w:eastAsia="宋体" w:cs="Courier New"/>
      <w:szCs w:val="21"/>
    </w:rPr>
  </w:style>
  <w:style w:type="character" w:customStyle="1" w:styleId="74">
    <w:name w:val="批注文字 Char"/>
    <w:qFormat/>
    <w:uiPriority w:val="99"/>
    <w:rPr>
      <w:rFonts w:ascii="Times New Roman" w:hAnsi="Times New Roman"/>
      <w:kern w:val="2"/>
      <w:sz w:val="21"/>
      <w:szCs w:val="24"/>
    </w:rPr>
  </w:style>
  <w:style w:type="character" w:customStyle="1" w:styleId="75">
    <w:name w:val="纯文本 字符1"/>
    <w:qFormat/>
    <w:uiPriority w:val="0"/>
    <w:rPr>
      <w:rFonts w:ascii="宋体" w:hAnsi="Courier New"/>
    </w:rPr>
  </w:style>
  <w:style w:type="character" w:customStyle="1" w:styleId="76">
    <w:name w:val="未处理的提及1"/>
    <w:unhideWhenUsed/>
    <w:qFormat/>
    <w:uiPriority w:val="99"/>
    <w:rPr>
      <w:color w:val="605E5C"/>
      <w:shd w:val="clear" w:color="auto" w:fill="E1DFDD"/>
    </w:rPr>
  </w:style>
  <w:style w:type="character" w:customStyle="1" w:styleId="77">
    <w:name w:val="apple-style-span"/>
    <w:qFormat/>
    <w:uiPriority w:val="0"/>
  </w:style>
  <w:style w:type="character" w:customStyle="1" w:styleId="78">
    <w:name w:val="批注文字 字符"/>
    <w:qFormat/>
    <w:uiPriority w:val="0"/>
    <w:rPr>
      <w:rFonts w:ascii="Times New Roman" w:hAnsi="Times New Roman"/>
      <w:kern w:val="2"/>
      <w:sz w:val="21"/>
      <w:szCs w:val="24"/>
    </w:rPr>
  </w:style>
  <w:style w:type="paragraph" w:customStyle="1" w:styleId="79">
    <w:name w:val="正文 A"/>
    <w:qFormat/>
    <w:uiPriority w:val="99"/>
    <w:pPr>
      <w:widowControl w:val="0"/>
      <w:jc w:val="both"/>
    </w:pPr>
    <w:rPr>
      <w:rFonts w:hint="eastAsia" w:ascii="Arial Unicode MS" w:hAnsi="Arial Unicode MS" w:eastAsia="Arial Unicode MS" w:cs="Arial Unicode MS"/>
      <w:color w:val="000000"/>
      <w:kern w:val="2"/>
      <w:sz w:val="21"/>
      <w:szCs w:val="21"/>
      <w:lang w:val="en-US" w:eastAsia="zh-CN" w:bidi="ar-SA"/>
    </w:rPr>
  </w:style>
  <w:style w:type="paragraph" w:customStyle="1" w:styleId="80">
    <w:name w:val="表头"/>
    <w:basedOn w:val="1"/>
    <w:qFormat/>
    <w:uiPriority w:val="0"/>
    <w:pPr>
      <w:widowControl/>
      <w:jc w:val="center"/>
    </w:pPr>
    <w:rPr>
      <w:rFonts w:ascii="仿宋_GB2312" w:hAnsi="宋体" w:eastAsia="仿宋_GB2312" w:cs="等线"/>
      <w:b/>
      <w:bCs/>
      <w:kern w:val="0"/>
      <w:sz w:val="24"/>
    </w:rPr>
  </w:style>
  <w:style w:type="paragraph" w:customStyle="1" w:styleId="81">
    <w:name w:val="TOC 标题1"/>
    <w:basedOn w:val="6"/>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82">
    <w:name w:val="_Style 3"/>
    <w:next w:val="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3">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84">
    <w:name w:val="Char Char Char Char"/>
    <w:basedOn w:val="1"/>
    <w:qFormat/>
    <w:uiPriority w:val="0"/>
    <w:pPr>
      <w:widowControl/>
      <w:spacing w:after="160" w:line="240" w:lineRule="exact"/>
      <w:jc w:val="left"/>
    </w:pPr>
  </w:style>
  <w:style w:type="paragraph" w:customStyle="1" w:styleId="85">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86">
    <w:name w:val="列出段落3"/>
    <w:basedOn w:val="1"/>
    <w:unhideWhenUsed/>
    <w:qFormat/>
    <w:uiPriority w:val="99"/>
    <w:pPr>
      <w:ind w:firstLine="420"/>
    </w:pPr>
  </w:style>
  <w:style w:type="paragraph" w:customStyle="1" w:styleId="87">
    <w:name w:val="Table Paragraph"/>
    <w:basedOn w:val="1"/>
    <w:qFormat/>
    <w:uiPriority w:val="1"/>
    <w:pPr>
      <w:jc w:val="left"/>
    </w:pPr>
    <w:rPr>
      <w:rFonts w:ascii="Calibri" w:hAnsi="Calibri"/>
      <w:kern w:val="0"/>
      <w:sz w:val="22"/>
      <w:szCs w:val="22"/>
      <w:lang w:eastAsia="en-US"/>
    </w:rPr>
  </w:style>
  <w:style w:type="paragraph" w:customStyle="1" w:styleId="88">
    <w:name w:val="列出段落2"/>
    <w:basedOn w:val="1"/>
    <w:unhideWhenUsed/>
    <w:qFormat/>
    <w:uiPriority w:val="99"/>
    <w:pPr>
      <w:spacing w:line="360" w:lineRule="auto"/>
      <w:ind w:firstLine="420" w:firstLineChars="200"/>
    </w:pPr>
    <w:rPr>
      <w:rFonts w:ascii="Calibri" w:hAnsi="Calibri" w:eastAsia="仿宋"/>
      <w:sz w:val="28"/>
      <w:szCs w:val="22"/>
    </w:rPr>
  </w:style>
  <w:style w:type="paragraph" w:customStyle="1" w:styleId="89">
    <w:name w:val="表格内容"/>
    <w:basedOn w:val="1"/>
    <w:qFormat/>
    <w:uiPriority w:val="0"/>
    <w:pPr>
      <w:widowControl/>
      <w:jc w:val="left"/>
    </w:pPr>
    <w:rPr>
      <w:rFonts w:ascii="仿宋_GB2312" w:hAnsi="宋体" w:cs="等线"/>
      <w:kern w:val="0"/>
      <w:sz w:val="24"/>
    </w:rPr>
  </w:style>
  <w:style w:type="paragraph" w:styleId="90">
    <w:name w:val="List Paragraph"/>
    <w:basedOn w:val="1"/>
    <w:qFormat/>
    <w:uiPriority w:val="34"/>
    <w:pPr>
      <w:ind w:firstLine="420" w:firstLineChars="200"/>
    </w:pPr>
  </w:style>
  <w:style w:type="paragraph" w:customStyle="1" w:styleId="91">
    <w:name w:val="默认段落字体 Para Char Char Char Char Char Char Char Char Char1 Char Char Char Char"/>
    <w:basedOn w:val="1"/>
    <w:qFormat/>
    <w:uiPriority w:val="0"/>
    <w:rPr>
      <w:rFonts w:ascii="Tahoma" w:hAnsi="Tahoma"/>
      <w:sz w:val="24"/>
      <w:szCs w:val="20"/>
    </w:rPr>
  </w:style>
  <w:style w:type="paragraph" w:customStyle="1" w:styleId="92">
    <w:name w:val="正文缩进1"/>
    <w:basedOn w:val="1"/>
    <w:next w:val="4"/>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93">
    <w:name w:val="正文-2字符首行缩进"/>
    <w:basedOn w:val="1"/>
    <w:qFormat/>
    <w:uiPriority w:val="0"/>
    <w:pPr>
      <w:spacing w:line="360" w:lineRule="auto"/>
      <w:ind w:firstLine="200" w:firstLineChars="200"/>
    </w:pPr>
    <w:rPr>
      <w:rFonts w:ascii="仿宋_GB2312" w:hAnsi="宋体" w:eastAsia="仿宋_GB2312"/>
      <w:sz w:val="28"/>
      <w:szCs w:val="22"/>
    </w:rPr>
  </w:style>
  <w:style w:type="paragraph" w:customStyle="1" w:styleId="94">
    <w:name w:val="样式1"/>
    <w:basedOn w:val="1"/>
    <w:qFormat/>
    <w:uiPriority w:val="0"/>
    <w:pPr>
      <w:numPr>
        <w:ilvl w:val="2"/>
        <w:numId w:val="1"/>
      </w:numPr>
    </w:pPr>
  </w:style>
  <w:style w:type="paragraph" w:customStyle="1" w:styleId="95">
    <w:name w:val="样式 0正文 + 首行缩进:  2 字符1"/>
    <w:qFormat/>
    <w:uiPriority w:val="99"/>
    <w:pPr>
      <w:widowControl w:val="0"/>
      <w:spacing w:line="360" w:lineRule="auto"/>
      <w:ind w:firstLine="200" w:firstLineChars="200"/>
      <w:jc w:val="both"/>
    </w:pPr>
    <w:rPr>
      <w:rFonts w:ascii="Times New Roman" w:hAnsi="Times New Roman" w:eastAsia="宋体" w:cs="Times New Roman"/>
      <w:kern w:val="2"/>
      <w:sz w:val="21"/>
      <w:lang w:val="en-US" w:eastAsia="zh-CN" w:bidi="ar-SA"/>
    </w:rPr>
  </w:style>
  <w:style w:type="paragraph" w:customStyle="1" w:styleId="96">
    <w:name w:val="正文首行缩进两字"/>
    <w:qFormat/>
    <w:uiPriority w:val="0"/>
    <w:pPr>
      <w:widowControl w:val="0"/>
      <w:spacing w:line="360" w:lineRule="auto"/>
      <w:ind w:right="245"/>
      <w:jc w:val="center"/>
    </w:pPr>
    <w:rPr>
      <w:rFonts w:ascii="Arial" w:hAnsi="Arial" w:eastAsia="宋体" w:cs="Arial"/>
      <w:bCs/>
      <w:sz w:val="24"/>
      <w:szCs w:val="24"/>
      <w:lang w:val="en-US" w:eastAsia="zh-CN" w:bidi="ar-SA"/>
    </w:rPr>
  </w:style>
  <w:style w:type="paragraph" w:customStyle="1" w:styleId="97">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98">
    <w:name w:val="列出段落1"/>
    <w:basedOn w:val="1"/>
    <w:qFormat/>
    <w:uiPriority w:val="34"/>
    <w:pPr>
      <w:ind w:firstLine="420"/>
    </w:pPr>
  </w:style>
  <w:style w:type="paragraph" w:customStyle="1" w:styleId="99">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00">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101">
    <w:name w:val="修订4"/>
    <w:hidden/>
    <w:unhideWhenUsed/>
    <w:qFormat/>
    <w:uiPriority w:val="99"/>
    <w:rPr>
      <w:rFonts w:ascii="Times New Roman" w:hAnsi="Times New Roman" w:eastAsia="宋体" w:cs="Times New Roman"/>
      <w:kern w:val="2"/>
      <w:sz w:val="21"/>
      <w:szCs w:val="24"/>
      <w:lang w:val="en-US" w:eastAsia="zh-CN" w:bidi="ar-SA"/>
    </w:rPr>
  </w:style>
  <w:style w:type="paragraph" w:customStyle="1" w:styleId="102">
    <w:name w:val="样式 正文5号 + 首行缩进:  2 字符 段后: 7.8 磅"/>
    <w:qFormat/>
    <w:uiPriority w:val="0"/>
    <w:pPr>
      <w:widowControl w:val="0"/>
      <w:spacing w:line="288" w:lineRule="auto"/>
      <w:ind w:firstLine="200" w:firstLineChars="200"/>
      <w:jc w:val="both"/>
    </w:pPr>
    <w:rPr>
      <w:rFonts w:ascii="Arial" w:hAnsi="Arial" w:eastAsia="宋体" w:cs="宋体"/>
      <w:kern w:val="2"/>
      <w:sz w:val="21"/>
      <w:lang w:val="en-US" w:eastAsia="zh-CN" w:bidi="ar-SA"/>
    </w:rPr>
  </w:style>
  <w:style w:type="paragraph" w:customStyle="1" w:styleId="103">
    <w:name w:val="正文5号"/>
    <w:qFormat/>
    <w:uiPriority w:val="0"/>
    <w:pPr>
      <w:widowControl w:val="0"/>
      <w:spacing w:line="288" w:lineRule="auto"/>
      <w:ind w:firstLine="200" w:firstLineChars="200"/>
      <w:jc w:val="both"/>
    </w:pPr>
    <w:rPr>
      <w:rFonts w:ascii="Arial" w:hAnsi="Arial" w:eastAsia="宋体" w:cs="宋体"/>
      <w:kern w:val="2"/>
      <w:sz w:val="21"/>
      <w:lang w:val="en-US" w:eastAsia="zh-CN" w:bidi="ar-SA"/>
    </w:rPr>
  </w:style>
  <w:style w:type="character" w:customStyle="1" w:styleId="104">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74</Pages>
  <Words>24494</Words>
  <Characters>26400</Characters>
  <Lines>1106</Lines>
  <Paragraphs>354</Paragraphs>
  <TotalTime>78</TotalTime>
  <ScaleCrop>false</ScaleCrop>
  <LinksUpToDate>false</LinksUpToDate>
  <CharactersWithSpaces>26835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2025-06-27T01:09:00Z</dcterms:created>
  <dc:creator>唐冰</dc:creator>
  <cp:lastModifiedBy>Administrator</cp:lastModifiedBy>
  <cp:lastPrinted>2021-08-27T02:26:00Z</cp:lastPrinted>
  <dcterms:modified xsi:type="dcterms:W3CDTF">2026-07-13T10:04:57Z</dcterms:modified>
  <dc:title>竞争性谈判文件规范</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11042CB0D8064F49961192B277721C03_13</vt:lpwstr>
  </property>
  <property fmtid="{D5CDD505-2E9C-101B-9397-08002B2CF9AE}" pid="4" name="KSOTemplateDocerSaveRecord">
    <vt:lpwstr>eyJoZGlkIjoiMGNmOGIyNTBjYmU0MjNhOThkZDU4Yzk4YmM4MjllMWMiLCJ1c2VySWQiOiI5OTc1ODAxMDQifQ==</vt:lpwstr>
  </property>
</Properties>
</file>