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DEE98">
      <w:pPr>
        <w:spacing w:line="360" w:lineRule="auto"/>
        <w:jc w:val="center"/>
        <w:rPr>
          <w:rFonts w:hint="eastAsia"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06571B55">
      <w:pPr>
        <w:snapToGrid w:val="0"/>
        <w:spacing w:before="156" w:beforeLines="50" w:line="360" w:lineRule="auto"/>
        <w:jc w:val="center"/>
        <w:rPr>
          <w:rFonts w:hint="eastAsia" w:ascii="仿宋" w:hAnsi="仿宋" w:eastAsia="仿宋" w:cs="仿宋"/>
          <w:color w:val="000000" w:themeColor="text1"/>
          <w:sz w:val="120"/>
          <w:szCs w:val="120"/>
          <w:highlight w:val="none"/>
          <w14:textFill>
            <w14:solidFill>
              <w14:schemeClr w14:val="tx1"/>
            </w14:solidFill>
          </w14:textFill>
        </w:rPr>
      </w:pPr>
      <w:r>
        <w:rPr>
          <w:rFonts w:hint="eastAsia" w:ascii="仿宋" w:hAnsi="仿宋" w:eastAsia="仿宋" w:cs="仿宋"/>
          <w:color w:val="000000" w:themeColor="text1"/>
          <w:sz w:val="120"/>
          <w:szCs w:val="120"/>
          <w:highlight w:val="none"/>
          <w14:textFill>
            <w14:solidFill>
              <w14:schemeClr w14:val="tx1"/>
            </w14:solidFill>
          </w14:textFill>
        </w:rPr>
        <w:t>竞争性磋商文件</w:t>
      </w:r>
    </w:p>
    <w:p w14:paraId="56C044C0">
      <w:pPr>
        <w:snapToGrid w:val="0"/>
        <w:spacing w:before="156" w:beforeLines="50" w:line="360" w:lineRule="auto"/>
        <w:jc w:val="center"/>
        <w:rPr>
          <w:rFonts w:hint="eastAsia" w:ascii="仿宋" w:hAnsi="仿宋" w:eastAsia="仿宋" w:cs="仿宋"/>
          <w:b/>
          <w:color w:val="000000" w:themeColor="text1"/>
          <w:sz w:val="30"/>
          <w:szCs w:val="72"/>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（全流程电子化采购）</w:t>
      </w:r>
    </w:p>
    <w:p w14:paraId="291A4E6C">
      <w:pPr>
        <w:snapToGrid w:val="0"/>
        <w:spacing w:line="360" w:lineRule="auto"/>
        <w:rPr>
          <w:rFonts w:hint="eastAsia" w:ascii="仿宋" w:hAnsi="仿宋" w:eastAsia="仿宋" w:cs="仿宋"/>
          <w:color w:val="000000" w:themeColor="text1"/>
          <w:sz w:val="30"/>
          <w:szCs w:val="72"/>
          <w:highlight w:val="none"/>
          <w14:textFill>
            <w14:solidFill>
              <w14:schemeClr w14:val="tx1"/>
            </w14:solidFill>
          </w14:textFill>
        </w:rPr>
      </w:pPr>
    </w:p>
    <w:p w14:paraId="713F4273">
      <w:pPr>
        <w:snapToGrid w:val="0"/>
        <w:spacing w:line="360" w:lineRule="auto"/>
        <w:ind w:firstLine="1193" w:firstLineChars="396"/>
        <w:rPr>
          <w:rFonts w:hint="eastAsia" w:ascii="仿宋" w:hAnsi="仿宋" w:eastAsia="仿宋" w:cs="仿宋"/>
          <w:b/>
          <w:bCs/>
          <w:color w:val="000000" w:themeColor="text1"/>
          <w:kern w:val="0"/>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14:textFill>
            <w14:solidFill>
              <w14:schemeClr w14:val="tx1"/>
            </w14:solidFill>
          </w14:textFill>
        </w:rPr>
        <w:t>项目</w:t>
      </w:r>
      <w:r>
        <w:rPr>
          <w:rFonts w:hint="eastAsia" w:ascii="仿宋" w:hAnsi="仿宋" w:eastAsia="仿宋" w:cs="仿宋"/>
          <w:b/>
          <w:bCs/>
          <w:color w:val="000000" w:themeColor="text1"/>
          <w:w w:val="95"/>
          <w:kern w:val="0"/>
          <w:sz w:val="30"/>
          <w:szCs w:val="30"/>
          <w:highlight w:val="none"/>
          <w14:textFill>
            <w14:solidFill>
              <w14:schemeClr w14:val="tx1"/>
            </w14:solidFill>
          </w14:textFill>
        </w:rPr>
        <w:t>名称</w:t>
      </w:r>
      <w:r>
        <w:rPr>
          <w:rFonts w:hint="eastAsia" w:ascii="仿宋" w:hAnsi="仿宋" w:eastAsia="仿宋" w:cs="仿宋"/>
          <w:b/>
          <w:bCs/>
          <w:color w:val="000000" w:themeColor="text1"/>
          <w:kern w:val="0"/>
          <w:sz w:val="30"/>
          <w:szCs w:val="30"/>
          <w:highlight w:val="none"/>
          <w14:textFill>
            <w14:solidFill>
              <w14:schemeClr w14:val="tx1"/>
            </w14:solidFill>
          </w14:textFill>
        </w:rPr>
        <w:t>：广西低空经济航线网络精细优化及主干航线划设方案研究</w:t>
      </w:r>
    </w:p>
    <w:p w14:paraId="22E51EFB">
      <w:pPr>
        <w:snapToGrid w:val="0"/>
        <w:spacing w:line="360" w:lineRule="auto"/>
        <w:ind w:firstLine="1145" w:firstLineChars="400"/>
        <w:rPr>
          <w:rFonts w:hint="eastAsia" w:ascii="仿宋" w:hAnsi="仿宋" w:eastAsia="仿宋" w:cs="仿宋"/>
          <w:b/>
          <w:bCs/>
          <w:color w:val="000000" w:themeColor="text1"/>
          <w:w w:val="95"/>
          <w:sz w:val="30"/>
          <w:szCs w:val="30"/>
          <w:highlight w:val="none"/>
          <w:lang w:eastAsia="zh-CN"/>
          <w14:textFill>
            <w14:solidFill>
              <w14:schemeClr w14:val="tx1"/>
            </w14:solidFill>
          </w14:textFill>
        </w:rPr>
      </w:pPr>
      <w:r>
        <w:rPr>
          <w:rFonts w:hint="eastAsia" w:ascii="仿宋" w:hAnsi="仿宋" w:eastAsia="仿宋" w:cs="仿宋"/>
          <w:b/>
          <w:bCs/>
          <w:color w:val="000000" w:themeColor="text1"/>
          <w:w w:val="95"/>
          <w:sz w:val="30"/>
          <w:szCs w:val="30"/>
          <w:highlight w:val="none"/>
          <w14:textFill>
            <w14:solidFill>
              <w14:schemeClr w14:val="tx1"/>
            </w14:solidFill>
          </w14:textFill>
        </w:rPr>
        <w:t>项目</w:t>
      </w:r>
      <w:r>
        <w:rPr>
          <w:rFonts w:hint="eastAsia" w:ascii="仿宋" w:hAnsi="仿宋" w:eastAsia="仿宋" w:cs="仿宋"/>
          <w:b/>
          <w:bCs/>
          <w:color w:val="000000" w:themeColor="text1"/>
          <w:sz w:val="30"/>
          <w:szCs w:val="30"/>
          <w:highlight w:val="none"/>
          <w14:textFill>
            <w14:solidFill>
              <w14:schemeClr w14:val="tx1"/>
            </w14:solidFill>
          </w14:textFill>
        </w:rPr>
        <w:t>编号</w:t>
      </w:r>
      <w:r>
        <w:rPr>
          <w:rFonts w:hint="eastAsia" w:ascii="仿宋" w:hAnsi="仿宋" w:eastAsia="仿宋" w:cs="仿宋"/>
          <w:b/>
          <w:bCs/>
          <w:color w:val="000000" w:themeColor="text1"/>
          <w:w w:val="95"/>
          <w:sz w:val="30"/>
          <w:szCs w:val="30"/>
          <w:highlight w:val="none"/>
          <w14:textFill>
            <w14:solidFill>
              <w14:schemeClr w14:val="tx1"/>
            </w14:solidFill>
          </w14:textFill>
        </w:rPr>
        <w:t>：</w:t>
      </w:r>
      <w:r>
        <w:rPr>
          <w:rFonts w:hint="eastAsia" w:ascii="仿宋" w:hAnsi="仿宋" w:eastAsia="仿宋" w:cs="仿宋"/>
          <w:b/>
          <w:bCs/>
          <w:color w:val="000000" w:themeColor="text1"/>
          <w:w w:val="95"/>
          <w:sz w:val="30"/>
          <w:szCs w:val="30"/>
          <w:highlight w:val="none"/>
          <w:lang w:eastAsia="zh-CN"/>
          <w14:textFill>
            <w14:solidFill>
              <w14:schemeClr w14:val="tx1"/>
            </w14:solidFill>
          </w14:textFill>
        </w:rPr>
        <w:t>GXZC2026-C3-001086-GXJT</w:t>
      </w:r>
    </w:p>
    <w:p w14:paraId="4AE2378F">
      <w:pPr>
        <w:snapToGrid w:val="0"/>
        <w:spacing w:line="360" w:lineRule="auto"/>
        <w:ind w:firstLine="1145" w:firstLineChars="400"/>
        <w:rPr>
          <w:rFonts w:hint="eastAsia" w:ascii="仿宋" w:hAnsi="仿宋" w:eastAsia="仿宋" w:cs="仿宋"/>
          <w:b/>
          <w:bCs/>
          <w:color w:val="000000" w:themeColor="text1"/>
          <w:w w:val="95"/>
          <w:sz w:val="30"/>
          <w:szCs w:val="30"/>
          <w:highlight w:val="none"/>
          <w14:textFill>
            <w14:solidFill>
              <w14:schemeClr w14:val="tx1"/>
            </w14:solidFill>
          </w14:textFill>
        </w:rPr>
      </w:pPr>
    </w:p>
    <w:p w14:paraId="637A4183">
      <w:pPr>
        <w:pStyle w:val="13"/>
        <w:rPr>
          <w:rFonts w:hint="eastAsia" w:ascii="仿宋" w:hAnsi="仿宋" w:eastAsia="仿宋" w:cs="仿宋"/>
          <w:b/>
          <w:bCs/>
          <w:color w:val="000000" w:themeColor="text1"/>
          <w:w w:val="95"/>
          <w:sz w:val="30"/>
          <w:szCs w:val="30"/>
          <w:highlight w:val="none"/>
          <w14:textFill>
            <w14:solidFill>
              <w14:schemeClr w14:val="tx1"/>
            </w14:solidFill>
          </w14:textFill>
        </w:rPr>
      </w:pPr>
    </w:p>
    <w:p w14:paraId="64303340">
      <w:pPr>
        <w:rPr>
          <w:rFonts w:hint="eastAsia" w:ascii="仿宋" w:hAnsi="仿宋" w:eastAsia="仿宋" w:cs="仿宋"/>
          <w:b/>
          <w:bCs/>
          <w:color w:val="000000" w:themeColor="text1"/>
          <w:w w:val="95"/>
          <w:sz w:val="30"/>
          <w:szCs w:val="30"/>
          <w:highlight w:val="none"/>
          <w14:textFill>
            <w14:solidFill>
              <w14:schemeClr w14:val="tx1"/>
            </w14:solidFill>
          </w14:textFill>
        </w:rPr>
      </w:pPr>
    </w:p>
    <w:p w14:paraId="282B1756">
      <w:pPr>
        <w:pStyle w:val="13"/>
        <w:rPr>
          <w:rFonts w:hint="eastAsia" w:ascii="仿宋" w:hAnsi="仿宋" w:eastAsia="仿宋" w:cs="仿宋"/>
          <w:color w:val="000000" w:themeColor="text1"/>
          <w:highlight w:val="none"/>
          <w14:textFill>
            <w14:solidFill>
              <w14:schemeClr w14:val="tx1"/>
            </w14:solidFill>
          </w14:textFill>
        </w:rPr>
      </w:pPr>
    </w:p>
    <w:p w14:paraId="182B061A">
      <w:pPr>
        <w:rPr>
          <w:rFonts w:hint="eastAsia" w:ascii="仿宋" w:hAnsi="仿宋" w:eastAsia="仿宋" w:cs="仿宋"/>
          <w:b/>
          <w:bCs/>
          <w:color w:val="000000" w:themeColor="text1"/>
          <w:w w:val="95"/>
          <w:sz w:val="30"/>
          <w:szCs w:val="30"/>
          <w:highlight w:val="none"/>
          <w14:textFill>
            <w14:solidFill>
              <w14:schemeClr w14:val="tx1"/>
            </w14:solidFill>
          </w14:textFill>
        </w:rPr>
      </w:pPr>
    </w:p>
    <w:p w14:paraId="4595CE57">
      <w:pPr>
        <w:pStyle w:val="13"/>
        <w:rPr>
          <w:rFonts w:hint="eastAsia" w:ascii="仿宋" w:hAnsi="仿宋" w:eastAsia="仿宋" w:cs="仿宋"/>
          <w:color w:val="000000" w:themeColor="text1"/>
          <w:highlight w:val="none"/>
          <w14:textFill>
            <w14:solidFill>
              <w14:schemeClr w14:val="tx1"/>
            </w14:solidFill>
          </w14:textFill>
        </w:rPr>
      </w:pPr>
    </w:p>
    <w:p w14:paraId="1F19B09B">
      <w:pPr>
        <w:snapToGrid w:val="0"/>
        <w:spacing w:line="360" w:lineRule="auto"/>
        <w:ind w:firstLine="1125" w:firstLineChars="393"/>
        <w:rPr>
          <w:rFonts w:hint="eastAsia" w:ascii="仿宋" w:hAnsi="仿宋" w:eastAsia="仿宋" w:cs="仿宋"/>
          <w:b/>
          <w:bCs/>
          <w:color w:val="000000" w:themeColor="text1"/>
          <w:w w:val="95"/>
          <w:kern w:val="0"/>
          <w:sz w:val="30"/>
          <w:szCs w:val="30"/>
          <w:highlight w:val="none"/>
          <w14:textFill>
            <w14:solidFill>
              <w14:schemeClr w14:val="tx1"/>
            </w14:solidFill>
          </w14:textFill>
        </w:rPr>
      </w:pPr>
      <w:r>
        <w:rPr>
          <w:rFonts w:hint="eastAsia" w:ascii="仿宋" w:hAnsi="仿宋" w:eastAsia="仿宋" w:cs="仿宋"/>
          <w:b/>
          <w:bCs/>
          <w:color w:val="000000" w:themeColor="text1"/>
          <w:w w:val="95"/>
          <w:kern w:val="0"/>
          <w:sz w:val="30"/>
          <w:szCs w:val="30"/>
          <w:highlight w:val="none"/>
          <w14:textFill>
            <w14:solidFill>
              <w14:schemeClr w14:val="tx1"/>
            </w14:solidFill>
          </w14:textFill>
        </w:rPr>
        <w:t>采 购 人:广西壮族自治区交通运输厅</w:t>
      </w:r>
    </w:p>
    <w:p w14:paraId="3798EB59">
      <w:pPr>
        <w:snapToGrid w:val="0"/>
        <w:spacing w:line="360" w:lineRule="auto"/>
        <w:ind w:firstLine="1125" w:firstLineChars="393"/>
        <w:rPr>
          <w:rFonts w:hint="eastAsia" w:ascii="仿宋" w:hAnsi="仿宋" w:eastAsia="仿宋" w:cs="仿宋"/>
          <w:b/>
          <w:bCs/>
          <w:color w:val="000000" w:themeColor="text1"/>
          <w:w w:val="95"/>
          <w:kern w:val="0"/>
          <w:sz w:val="30"/>
          <w:szCs w:val="30"/>
          <w:highlight w:val="none"/>
          <w14:textFill>
            <w14:solidFill>
              <w14:schemeClr w14:val="tx1"/>
            </w14:solidFill>
          </w14:textFill>
        </w:rPr>
      </w:pPr>
      <w:r>
        <w:rPr>
          <w:rFonts w:hint="eastAsia" w:ascii="仿宋" w:hAnsi="仿宋" w:eastAsia="仿宋" w:cs="仿宋"/>
          <w:b/>
          <w:bCs/>
          <w:color w:val="000000" w:themeColor="text1"/>
          <w:w w:val="95"/>
          <w:kern w:val="0"/>
          <w:sz w:val="30"/>
          <w:szCs w:val="30"/>
          <w:highlight w:val="none"/>
          <w14:textFill>
            <w14:solidFill>
              <w14:schemeClr w14:val="tx1"/>
            </w14:solidFill>
          </w14:textFill>
        </w:rPr>
        <w:t>采购代理机构：广西交投宏冠工程咨询有限公司</w:t>
      </w:r>
    </w:p>
    <w:p w14:paraId="0089824A">
      <w:pPr>
        <w:snapToGrid w:val="0"/>
        <w:spacing w:line="360" w:lineRule="auto"/>
        <w:ind w:left="420" w:firstLine="841" w:firstLineChars="294"/>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w w:val="95"/>
          <w:kern w:val="0"/>
          <w:sz w:val="30"/>
          <w:szCs w:val="30"/>
          <w:highlight w:val="none"/>
          <w14:textFill>
            <w14:solidFill>
              <w14:schemeClr w14:val="tx1"/>
            </w14:solidFill>
          </w14:textFill>
        </w:rPr>
        <w:t xml:space="preserve">               2026年4月</w:t>
      </w:r>
    </w:p>
    <w:p w14:paraId="3657F2E7">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ascii="宋体" w:hAnsi="宋体" w:cs="宋体"/>
          <w:b/>
          <w:bCs/>
          <w:color w:val="000000" w:themeColor="text1"/>
          <w:kern w:val="0"/>
          <w:sz w:val="32"/>
          <w:szCs w:val="32"/>
          <w:highlight w:val="none"/>
          <w14:textFill>
            <w14:solidFill>
              <w14:schemeClr w14:val="tx1"/>
            </w14:solidFill>
          </w14:textFill>
        </w:rPr>
        <w:br w:type="page"/>
      </w:r>
    </w:p>
    <w:p w14:paraId="670E4D3A">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2AB5900D">
      <w:pPr>
        <w:spacing w:line="400" w:lineRule="exact"/>
        <w:jc w:val="center"/>
        <w:rPr>
          <w:rFonts w:hint="eastAsia" w:ascii="宋体" w:hAnsi="宋体"/>
          <w:b/>
          <w:color w:val="000000" w:themeColor="text1"/>
          <w:sz w:val="44"/>
          <w:szCs w:val="44"/>
          <w:highlight w:val="none"/>
          <w14:textFill>
            <w14:solidFill>
              <w14:schemeClr w14:val="tx1"/>
            </w14:solidFill>
          </w14:textFill>
        </w:rPr>
      </w:pPr>
    </w:p>
    <w:p w14:paraId="1263FE5E">
      <w:pPr>
        <w:pStyle w:val="23"/>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w:instrText>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"_Toc74323456" </w:instrText>
      </w:r>
      <w:r>
        <w:rPr>
          <w:color w:val="000000" w:themeColor="text1"/>
          <w:highlight w:val="none"/>
          <w14:textFill>
            <w14:solidFill>
              <w14:schemeClr w14:val="tx1"/>
            </w14:solidFill>
          </w14:textFill>
        </w:rPr>
        <w:fldChar w:fldCharType="separate"/>
      </w:r>
      <w:r>
        <w:rPr>
          <w:rStyle w:val="37"/>
          <w:rFonts w:hint="eastAsia" w:ascii="宋体" w:hAnsi="宋体"/>
          <w:b/>
          <w:color w:val="000000" w:themeColor="text1"/>
          <w:sz w:val="24"/>
          <w:highlight w:val="none"/>
          <w14:textFill>
            <w14:solidFill>
              <w14:schemeClr w14:val="tx1"/>
            </w14:solidFill>
          </w14:textFill>
        </w:rPr>
        <w:t>第一章</w:t>
      </w:r>
      <w:r>
        <w:rPr>
          <w:rStyle w:val="37"/>
          <w:rFonts w:ascii="宋体" w:hAnsi="宋体"/>
          <w:b/>
          <w:color w:val="000000" w:themeColor="text1"/>
          <w:sz w:val="24"/>
          <w:highlight w:val="none"/>
          <w14:textFill>
            <w14:solidFill>
              <w14:schemeClr w14:val="tx1"/>
            </w14:solidFill>
          </w14:textFill>
        </w:rPr>
        <w:t xml:space="preserve"> </w:t>
      </w:r>
      <w:r>
        <w:rPr>
          <w:rStyle w:val="37"/>
          <w:rFonts w:hint="eastAsia" w:ascii="宋体" w:hAnsi="宋体"/>
          <w:b/>
          <w:color w:val="000000" w:themeColor="text1"/>
          <w:sz w:val="24"/>
          <w:highlight w:val="none"/>
          <w14:textFill>
            <w14:solidFill>
              <w14:schemeClr w14:val="tx1"/>
            </w14:solidFill>
          </w14:textFill>
        </w:rPr>
        <w:t>竞争性磋商公告</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_Toc74323456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2122261B">
      <w:pPr>
        <w:pStyle w:val="23"/>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"_Toc74323457" </w:instrText>
      </w:r>
      <w:r>
        <w:rPr>
          <w:color w:val="000000" w:themeColor="text1"/>
          <w:highlight w:val="none"/>
          <w14:textFill>
            <w14:solidFill>
              <w14:schemeClr w14:val="tx1"/>
            </w14:solidFill>
          </w14:textFill>
        </w:rPr>
        <w:fldChar w:fldCharType="separate"/>
      </w:r>
      <w:r>
        <w:rPr>
          <w:rStyle w:val="37"/>
          <w:rFonts w:hint="eastAsia" w:ascii="宋体" w:hAnsi="宋体"/>
          <w:b/>
          <w:color w:val="000000" w:themeColor="text1"/>
          <w:sz w:val="24"/>
          <w:highlight w:val="none"/>
          <w14:textFill>
            <w14:solidFill>
              <w14:schemeClr w14:val="tx1"/>
            </w14:solidFill>
          </w14:textFill>
        </w:rPr>
        <w:t>第二章</w:t>
      </w:r>
      <w:r>
        <w:rPr>
          <w:rStyle w:val="37"/>
          <w:rFonts w:ascii="宋体" w:hAnsi="宋体"/>
          <w:b/>
          <w:color w:val="000000" w:themeColor="text1"/>
          <w:sz w:val="24"/>
          <w:highlight w:val="none"/>
          <w14:textFill>
            <w14:solidFill>
              <w14:schemeClr w14:val="tx1"/>
            </w14:solidFill>
          </w14:textFill>
        </w:rPr>
        <w:t xml:space="preserve"> </w:t>
      </w:r>
      <w:r>
        <w:rPr>
          <w:rStyle w:val="37"/>
          <w:rFonts w:hint="eastAsia" w:ascii="宋体" w:hAnsi="宋体"/>
          <w:b/>
          <w:color w:val="000000" w:themeColor="text1"/>
          <w:sz w:val="24"/>
          <w:highlight w:val="none"/>
          <w14:textFill>
            <w14:solidFill>
              <w14:schemeClr w14:val="tx1"/>
            </w14:solidFill>
          </w14:textFill>
        </w:rPr>
        <w:t>供应</w:t>
      </w:r>
      <w:bookmarkStart w:id="0" w:name="_Hlt82161237"/>
      <w:r>
        <w:rPr>
          <w:rStyle w:val="37"/>
          <w:rFonts w:hint="eastAsia" w:ascii="宋体" w:hAnsi="宋体"/>
          <w:b/>
          <w:color w:val="000000" w:themeColor="text1"/>
          <w:sz w:val="24"/>
          <w:highlight w:val="none"/>
          <w14:textFill>
            <w14:solidFill>
              <w14:schemeClr w14:val="tx1"/>
            </w14:solidFill>
          </w14:textFill>
        </w:rPr>
        <w:t>商</w:t>
      </w:r>
      <w:bookmarkEnd w:id="0"/>
      <w:r>
        <w:rPr>
          <w:rStyle w:val="37"/>
          <w:rFonts w:hint="eastAsia" w:ascii="宋体" w:hAnsi="宋体"/>
          <w:b/>
          <w:color w:val="000000" w:themeColor="text1"/>
          <w:sz w:val="24"/>
          <w:highlight w:val="none"/>
          <w14:textFill>
            <w14:solidFill>
              <w14:schemeClr w14:val="tx1"/>
            </w14:solidFill>
          </w14:textFill>
        </w:rPr>
        <w:t>须知</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_Toc74323457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5</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361C9800">
      <w:pPr>
        <w:pStyle w:val="23"/>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"_Toc74323458" </w:instrText>
      </w:r>
      <w:r>
        <w:rPr>
          <w:color w:val="000000" w:themeColor="text1"/>
          <w:highlight w:val="none"/>
          <w14:textFill>
            <w14:solidFill>
              <w14:schemeClr w14:val="tx1"/>
            </w14:solidFill>
          </w14:textFill>
        </w:rPr>
        <w:fldChar w:fldCharType="separate"/>
      </w:r>
      <w:r>
        <w:rPr>
          <w:rStyle w:val="37"/>
          <w:rFonts w:hint="eastAsia" w:ascii="宋体" w:hAnsi="宋体"/>
          <w:b/>
          <w:color w:val="000000" w:themeColor="text1"/>
          <w:sz w:val="24"/>
          <w:highlight w:val="none"/>
          <w14:textFill>
            <w14:solidFill>
              <w14:schemeClr w14:val="tx1"/>
            </w14:solidFill>
          </w14:textFill>
        </w:rPr>
        <w:t>第三章</w:t>
      </w:r>
      <w:r>
        <w:rPr>
          <w:rStyle w:val="37"/>
          <w:rFonts w:ascii="宋体" w:hAnsi="宋体"/>
          <w:b/>
          <w:color w:val="000000" w:themeColor="text1"/>
          <w:sz w:val="24"/>
          <w:highlight w:val="none"/>
          <w14:textFill>
            <w14:solidFill>
              <w14:schemeClr w14:val="tx1"/>
            </w14:solidFill>
          </w14:textFill>
        </w:rPr>
        <w:t xml:space="preserve"> </w:t>
      </w:r>
      <w:r>
        <w:rPr>
          <w:rStyle w:val="37"/>
          <w:rFonts w:hint="eastAsia" w:ascii="宋体" w:hAnsi="宋体"/>
          <w:b/>
          <w:color w:val="000000" w:themeColor="text1"/>
          <w:sz w:val="24"/>
          <w:highlight w:val="none"/>
          <w14:textFill>
            <w14:solidFill>
              <w14:schemeClr w14:val="tx1"/>
            </w14:solidFill>
          </w14:textFill>
        </w:rPr>
        <w:t>采购</w:t>
      </w:r>
      <w:bookmarkStart w:id="1" w:name="_Hlt198883678"/>
      <w:bookmarkStart w:id="2" w:name="_Hlt198883677"/>
      <w:r>
        <w:rPr>
          <w:rStyle w:val="37"/>
          <w:rFonts w:hint="eastAsia" w:ascii="宋体" w:hAnsi="宋体"/>
          <w:b/>
          <w:color w:val="000000" w:themeColor="text1"/>
          <w:sz w:val="24"/>
          <w:highlight w:val="none"/>
          <w14:textFill>
            <w14:solidFill>
              <w14:schemeClr w14:val="tx1"/>
            </w14:solidFill>
          </w14:textFill>
        </w:rPr>
        <w:t>需</w:t>
      </w:r>
      <w:bookmarkEnd w:id="1"/>
      <w:bookmarkEnd w:id="2"/>
      <w:bookmarkStart w:id="3" w:name="_Hlt82166940"/>
      <w:r>
        <w:rPr>
          <w:rStyle w:val="37"/>
          <w:rFonts w:hint="eastAsia" w:ascii="宋体" w:hAnsi="宋体"/>
          <w:b/>
          <w:color w:val="000000" w:themeColor="text1"/>
          <w:sz w:val="24"/>
          <w:highlight w:val="none"/>
          <w14:textFill>
            <w14:solidFill>
              <w14:schemeClr w14:val="tx1"/>
            </w14:solidFill>
          </w14:textFill>
        </w:rPr>
        <w:t>求</w:t>
      </w:r>
      <w:bookmarkEnd w:id="3"/>
      <w:bookmarkStart w:id="4" w:name="_Hlt102419823"/>
      <w:bookmarkStart w:id="5" w:name="_Hlt102419822"/>
      <w:r>
        <w:rPr>
          <w:rFonts w:ascii="宋体" w:hAnsi="宋体"/>
          <w:b/>
          <w:color w:val="000000" w:themeColor="text1"/>
          <w:sz w:val="24"/>
          <w:highlight w:val="none"/>
          <w14:textFill>
            <w14:solidFill>
              <w14:schemeClr w14:val="tx1"/>
            </w14:solidFill>
          </w14:textFill>
        </w:rPr>
        <w:tab/>
      </w:r>
      <w:bookmarkEnd w:id="4"/>
      <w:bookmarkEnd w:id="5"/>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_Toc74323458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22</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020008B4">
      <w:pPr>
        <w:pStyle w:val="23"/>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"_Toc74323459" </w:instrText>
      </w:r>
      <w:r>
        <w:rPr>
          <w:color w:val="000000" w:themeColor="text1"/>
          <w:highlight w:val="none"/>
          <w14:textFill>
            <w14:solidFill>
              <w14:schemeClr w14:val="tx1"/>
            </w14:solidFill>
          </w14:textFill>
        </w:rPr>
        <w:fldChar w:fldCharType="separate"/>
      </w:r>
      <w:r>
        <w:rPr>
          <w:rStyle w:val="37"/>
          <w:rFonts w:hint="eastAsia" w:ascii="宋体" w:hAnsi="宋体"/>
          <w:b/>
          <w:color w:val="000000" w:themeColor="text1"/>
          <w:sz w:val="24"/>
          <w:highlight w:val="none"/>
          <w14:textFill>
            <w14:solidFill>
              <w14:schemeClr w14:val="tx1"/>
            </w14:solidFill>
          </w14:textFill>
        </w:rPr>
        <w:t>第四章</w:t>
      </w:r>
      <w:r>
        <w:rPr>
          <w:rStyle w:val="37"/>
          <w:rFonts w:ascii="宋体" w:hAnsi="宋体"/>
          <w:b/>
          <w:color w:val="000000" w:themeColor="text1"/>
          <w:sz w:val="24"/>
          <w:highlight w:val="none"/>
          <w14:textFill>
            <w14:solidFill>
              <w14:schemeClr w14:val="tx1"/>
            </w14:solidFill>
          </w14:textFill>
        </w:rPr>
        <w:t xml:space="preserve"> </w:t>
      </w:r>
      <w:r>
        <w:rPr>
          <w:rStyle w:val="37"/>
          <w:rFonts w:hint="eastAsia" w:ascii="宋体" w:hAnsi="宋体"/>
          <w:b/>
          <w:color w:val="000000" w:themeColor="text1"/>
          <w:sz w:val="24"/>
          <w:highlight w:val="none"/>
          <w14:textFill>
            <w14:solidFill>
              <w14:schemeClr w14:val="tx1"/>
            </w14:solidFill>
          </w14:textFill>
        </w:rPr>
        <w:t>评审程序、</w:t>
      </w:r>
      <w:bookmarkStart w:id="6" w:name="_Hlt82166000"/>
      <w:r>
        <w:rPr>
          <w:rStyle w:val="37"/>
          <w:rFonts w:hint="eastAsia" w:ascii="宋体" w:hAnsi="宋体"/>
          <w:b/>
          <w:color w:val="000000" w:themeColor="text1"/>
          <w:sz w:val="24"/>
          <w:highlight w:val="none"/>
          <w14:textFill>
            <w14:solidFill>
              <w14:schemeClr w14:val="tx1"/>
            </w14:solidFill>
          </w14:textFill>
        </w:rPr>
        <w:t>评</w:t>
      </w:r>
      <w:bookmarkEnd w:id="6"/>
      <w:r>
        <w:rPr>
          <w:rStyle w:val="37"/>
          <w:rFonts w:hint="eastAsia" w:ascii="宋体" w:hAnsi="宋体"/>
          <w:b/>
          <w:color w:val="000000" w:themeColor="text1"/>
          <w:sz w:val="24"/>
          <w:highlight w:val="none"/>
          <w14:textFill>
            <w14:solidFill>
              <w14:schemeClr w14:val="tx1"/>
            </w14:solidFill>
          </w14:textFill>
        </w:rPr>
        <w:t>审方法和评审标</w:t>
      </w:r>
      <w:bookmarkStart w:id="7" w:name="_Hlt100217602"/>
      <w:bookmarkStart w:id="8" w:name="_Hlt100217601"/>
      <w:r>
        <w:rPr>
          <w:rStyle w:val="37"/>
          <w:rFonts w:hint="eastAsia" w:ascii="宋体" w:hAnsi="宋体"/>
          <w:b/>
          <w:color w:val="000000" w:themeColor="text1"/>
          <w:sz w:val="24"/>
          <w:highlight w:val="none"/>
          <w14:textFill>
            <w14:solidFill>
              <w14:schemeClr w14:val="tx1"/>
            </w14:solidFill>
          </w14:textFill>
        </w:rPr>
        <w:t>准</w:t>
      </w:r>
      <w:bookmarkEnd w:id="7"/>
      <w:bookmarkEnd w:id="8"/>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_Toc74323459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26</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565A868E">
      <w:pPr>
        <w:pStyle w:val="23"/>
        <w:tabs>
          <w:tab w:val="right" w:leader="dot" w:pos="8869"/>
        </w:tabs>
        <w:snapToGrid w:val="0"/>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"_Toc74323460" </w:instrText>
      </w:r>
      <w:r>
        <w:rPr>
          <w:color w:val="000000" w:themeColor="text1"/>
          <w:highlight w:val="none"/>
          <w14:textFill>
            <w14:solidFill>
              <w14:schemeClr w14:val="tx1"/>
            </w14:solidFill>
          </w14:textFill>
        </w:rPr>
        <w:fldChar w:fldCharType="separate"/>
      </w:r>
      <w:r>
        <w:rPr>
          <w:rStyle w:val="37"/>
          <w:rFonts w:hint="eastAsia" w:ascii="宋体" w:hAnsi="宋体"/>
          <w:b/>
          <w:color w:val="000000" w:themeColor="text1"/>
          <w:sz w:val="24"/>
          <w:highlight w:val="none"/>
          <w14:textFill>
            <w14:solidFill>
              <w14:schemeClr w14:val="tx1"/>
            </w14:solidFill>
          </w14:textFill>
        </w:rPr>
        <w:t>第五章</w:t>
      </w:r>
      <w:r>
        <w:rPr>
          <w:rStyle w:val="37"/>
          <w:rFonts w:ascii="宋体" w:hAnsi="宋体"/>
          <w:b/>
          <w:color w:val="000000" w:themeColor="text1"/>
          <w:sz w:val="24"/>
          <w:highlight w:val="none"/>
          <w14:textFill>
            <w14:solidFill>
              <w14:schemeClr w14:val="tx1"/>
            </w14:solidFill>
          </w14:textFill>
        </w:rPr>
        <w:t xml:space="preserve"> </w:t>
      </w:r>
      <w:r>
        <w:rPr>
          <w:rStyle w:val="37"/>
          <w:rFonts w:hint="eastAsia" w:ascii="宋体" w:hAnsi="宋体"/>
          <w:b/>
          <w:color w:val="000000" w:themeColor="text1"/>
          <w:sz w:val="24"/>
          <w:highlight w:val="none"/>
          <w14:textFill>
            <w14:solidFill>
              <w14:schemeClr w14:val="tx1"/>
            </w14:solidFill>
          </w14:textFill>
        </w:rPr>
        <w:t>响应文件格式</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_Toc74323460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35</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69E8D306">
      <w:pPr>
        <w:pStyle w:val="23"/>
        <w:tabs>
          <w:tab w:val="right" w:leader="dot" w:pos="8869"/>
        </w:tabs>
        <w:snapToGrid w:val="0"/>
        <w:spacing w:line="500" w:lineRule="atLeast"/>
        <w:rPr>
          <w:rFonts w:hint="eastAsia"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"_Toc74323461" </w:instrText>
      </w:r>
      <w:r>
        <w:rPr>
          <w:color w:val="000000" w:themeColor="text1"/>
          <w:highlight w:val="none"/>
          <w14:textFill>
            <w14:solidFill>
              <w14:schemeClr w14:val="tx1"/>
            </w14:solidFill>
          </w14:textFill>
        </w:rPr>
        <w:fldChar w:fldCharType="separate"/>
      </w:r>
      <w:r>
        <w:rPr>
          <w:rStyle w:val="37"/>
          <w:rFonts w:hint="eastAsia" w:ascii="宋体" w:hAnsi="宋体"/>
          <w:b/>
          <w:color w:val="000000" w:themeColor="text1"/>
          <w:sz w:val="24"/>
          <w:highlight w:val="none"/>
          <w14:textFill>
            <w14:solidFill>
              <w14:schemeClr w14:val="tx1"/>
            </w14:solidFill>
          </w14:textFill>
        </w:rPr>
        <w:t>第六章</w:t>
      </w:r>
      <w:r>
        <w:rPr>
          <w:rStyle w:val="37"/>
          <w:rFonts w:ascii="宋体" w:hAnsi="宋体"/>
          <w:b/>
          <w:color w:val="000000" w:themeColor="text1"/>
          <w:sz w:val="24"/>
          <w:highlight w:val="none"/>
          <w14:textFill>
            <w14:solidFill>
              <w14:schemeClr w14:val="tx1"/>
            </w14:solidFill>
          </w14:textFill>
        </w:rPr>
        <w:t xml:space="preserve"> </w:t>
      </w:r>
      <w:r>
        <w:rPr>
          <w:rStyle w:val="37"/>
          <w:rFonts w:hint="eastAsia" w:ascii="宋体" w:hAnsi="宋体"/>
          <w:b/>
          <w:color w:val="000000" w:themeColor="text1"/>
          <w:sz w:val="24"/>
          <w:highlight w:val="none"/>
          <w14:textFill>
            <w14:solidFill>
              <w14:schemeClr w14:val="tx1"/>
            </w14:solidFill>
          </w14:textFill>
        </w:rPr>
        <w:t>合同文本</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_Toc74323461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62</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23F46B11">
      <w:pPr>
        <w:pStyle w:val="25"/>
        <w:tabs>
          <w:tab w:val="right" w:leader="dot" w:pos="8931"/>
        </w:tabs>
        <w:snapToGrid w:val="0"/>
        <w:spacing w:line="500" w:lineRule="atLeast"/>
        <w:ind w:left="0" w:leftChars="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72BC3580">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395D76E5">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51A711B9">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115FBA94">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20858779">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3DAB0047">
      <w:pPr>
        <w:spacing w:line="400" w:lineRule="exact"/>
        <w:rPr>
          <w:rFonts w:hint="eastAsia" w:ascii="宋体" w:hAnsi="宋体"/>
          <w:b/>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4367D08">
      <w:pPr>
        <w:pStyle w:val="2"/>
        <w:spacing w:line="360" w:lineRule="auto"/>
        <w:jc w:val="center"/>
        <w:rPr>
          <w:color w:val="000000" w:themeColor="text1"/>
          <w:highlight w:val="none"/>
          <w14:textFill>
            <w14:solidFill>
              <w14:schemeClr w14:val="tx1"/>
            </w14:solidFill>
          </w14:textFill>
        </w:rPr>
      </w:pPr>
      <w:bookmarkStart w:id="9" w:name="_Toc74323456"/>
      <w:r>
        <w:rPr>
          <w:rFonts w:hint="eastAsia"/>
          <w:color w:val="000000" w:themeColor="text1"/>
          <w:highlight w:val="none"/>
          <w14:textFill>
            <w14:solidFill>
              <w14:schemeClr w14:val="tx1"/>
            </w14:solidFill>
          </w14:textFill>
        </w:rPr>
        <w:t>第一章 竞争性磋商公告</w:t>
      </w:r>
      <w:bookmarkEnd w:id="9"/>
    </w:p>
    <w:p w14:paraId="19678290">
      <w:pPr>
        <w:spacing w:line="400" w:lineRule="exact"/>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竞争性磋商公告</w:t>
      </w:r>
    </w:p>
    <w:p w14:paraId="33087BF2">
      <w:pPr>
        <w:spacing w:line="360" w:lineRule="auto"/>
        <w:rPr>
          <w:rFonts w:hint="eastAsia" w:ascii="宋体" w:hAnsi="宋体"/>
          <w:color w:val="000000" w:themeColor="text1"/>
          <w:szCs w:val="21"/>
          <w:highlight w:val="none"/>
          <w14:textFill>
            <w14:solidFill>
              <w14:schemeClr w14:val="tx1"/>
            </w14:solidFill>
          </w14:textFill>
        </w:rPr>
      </w:pPr>
    </w:p>
    <w:p w14:paraId="6787BE2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bookmarkStart w:id="10" w:name="_Hlk37430271"/>
      <w:r>
        <w:rPr>
          <w:rFonts w:hint="eastAsia" w:ascii="宋体" w:hAnsi="宋体"/>
          <w:color w:val="000000" w:themeColor="text1"/>
          <w:szCs w:val="21"/>
          <w:highlight w:val="none"/>
          <w14:textFill>
            <w14:solidFill>
              <w14:schemeClr w14:val="tx1"/>
            </w14:solidFill>
          </w14:textFill>
        </w:rPr>
        <w:t>项目概况</w:t>
      </w:r>
    </w:p>
    <w:p w14:paraId="5D96530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广西低空经济航线网络精细优化及主干航线划设方案研究</w:t>
      </w:r>
      <w:r>
        <w:rPr>
          <w:rFonts w:hint="eastAsia" w:ascii="宋体" w:hAnsi="宋体"/>
          <w:color w:val="000000" w:themeColor="text1"/>
          <w:szCs w:val="21"/>
          <w:highlight w:val="none"/>
          <w14:textFill>
            <w14:solidFill>
              <w14:schemeClr w14:val="tx1"/>
            </w14:solidFill>
          </w14:textFill>
        </w:rPr>
        <w:t>的潜在供应商应在“广西政府采购云平台”（https://www.gcy.zfcg.gxzf.gov.cn/）获取（下载）竞争性磋商文件，并于</w:t>
      </w:r>
      <w:r>
        <w:rPr>
          <w:rFonts w:hint="eastAsia" w:ascii="宋体" w:hAnsi="宋体"/>
          <w:color w:val="000000" w:themeColor="text1"/>
          <w:szCs w:val="21"/>
          <w:highlight w:val="none"/>
          <w:u w:val="single"/>
          <w14:textFill>
            <w14:solidFill>
              <w14:schemeClr w14:val="tx1"/>
            </w14:solidFill>
          </w14:textFill>
        </w:rPr>
        <w:t>2026年</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12</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15</w:t>
      </w:r>
      <w:r>
        <w:rPr>
          <w:rFonts w:hint="eastAsia" w:ascii="宋体" w:hAnsi="宋体"/>
          <w:bCs/>
          <w:color w:val="000000" w:themeColor="text1"/>
          <w:szCs w:val="21"/>
          <w:highlight w:val="none"/>
          <w:u w:val="single"/>
          <w14:textFill>
            <w14:solidFill>
              <w14:schemeClr w14:val="tx1"/>
            </w14:solidFill>
          </w14:textFill>
        </w:rPr>
        <w:t>:30（</w:t>
      </w:r>
      <w:r>
        <w:rPr>
          <w:rFonts w:hint="eastAsia" w:ascii="宋体" w:hAnsi="宋体"/>
          <w:bCs/>
          <w:color w:val="000000" w:themeColor="text1"/>
          <w:szCs w:val="21"/>
          <w:highlight w:val="none"/>
          <w14:textFill>
            <w14:solidFill>
              <w14:schemeClr w14:val="tx1"/>
            </w14:solidFill>
          </w14:textFill>
        </w:rPr>
        <w:t>北京时间）前提交（上传）</w:t>
      </w:r>
      <w:r>
        <w:rPr>
          <w:rFonts w:hint="eastAsia" w:ascii="宋体" w:hAnsi="宋体"/>
          <w:color w:val="000000" w:themeColor="text1"/>
          <w:szCs w:val="21"/>
          <w:highlight w:val="none"/>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6AFB24BA">
      <w:pPr>
        <w:spacing w:line="360" w:lineRule="auto"/>
        <w:rPr>
          <w:rFonts w:hint="eastAsia" w:ascii="宋体" w:hAnsi="宋体"/>
          <w:color w:val="000000" w:themeColor="text1"/>
          <w:szCs w:val="21"/>
          <w:highlight w:val="none"/>
          <w14:textFill>
            <w14:solidFill>
              <w14:schemeClr w14:val="tx1"/>
            </w14:solidFill>
          </w14:textFill>
        </w:rPr>
      </w:pPr>
    </w:p>
    <w:p w14:paraId="3FBCEBD5">
      <w:pPr>
        <w:ind w:firstLine="354" w:firstLineChars="147"/>
        <w:rPr>
          <w:rFonts w:hint="eastAsia" w:ascii="黑体" w:hAnsi="黑体" w:eastAsia="黑体"/>
          <w:b/>
          <w:color w:val="000000" w:themeColor="text1"/>
          <w:sz w:val="24"/>
          <w:highlight w:val="none"/>
          <w14:textFill>
            <w14:solidFill>
              <w14:schemeClr w14:val="tx1"/>
            </w14:solidFill>
          </w14:textFill>
        </w:rPr>
      </w:pPr>
      <w:bookmarkStart w:id="11" w:name="_Toc28359089"/>
      <w:bookmarkStart w:id="12" w:name="_Toc71365905"/>
      <w:bookmarkStart w:id="13" w:name="_Toc35393629"/>
      <w:bookmarkStart w:id="14" w:name="_Toc28359012"/>
      <w:bookmarkStart w:id="15" w:name="_Toc44229878"/>
      <w:bookmarkStart w:id="16" w:name="_Toc35393798"/>
      <w:r>
        <w:rPr>
          <w:rFonts w:hint="eastAsia" w:ascii="黑体" w:hAnsi="黑体" w:eastAsia="黑体"/>
          <w:b/>
          <w:color w:val="000000" w:themeColor="text1"/>
          <w:sz w:val="24"/>
          <w:highlight w:val="none"/>
          <w14:textFill>
            <w14:solidFill>
              <w14:schemeClr w14:val="tx1"/>
            </w14:solidFill>
          </w14:textFill>
        </w:rPr>
        <w:t>一、项目基本情况</w:t>
      </w:r>
      <w:bookmarkEnd w:id="11"/>
      <w:bookmarkEnd w:id="12"/>
      <w:bookmarkEnd w:id="13"/>
      <w:bookmarkEnd w:id="14"/>
      <w:bookmarkEnd w:id="15"/>
      <w:bookmarkEnd w:id="16"/>
    </w:p>
    <w:p w14:paraId="4DB01262">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GXZC2026-C3-001086-GXJT</w:t>
      </w:r>
    </w:p>
    <w:p w14:paraId="76BE28C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项目名称：广西低空经济航线网络精细优化及主干航线划设方案研究</w:t>
      </w:r>
    </w:p>
    <w:p w14:paraId="782FE2D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采购方式：竞争性磋商</w:t>
      </w:r>
    </w:p>
    <w:p w14:paraId="601F208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预算金额：110万元 </w:t>
      </w:r>
    </w:p>
    <w:p w14:paraId="252F0E8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最高限价（如有）：同预算金额</w:t>
      </w:r>
    </w:p>
    <w:p w14:paraId="194DB2E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采购需求：广西低空经济航线网络精细优化及主干航线划设方案研究，具体详见磋商文件采购需求。</w:t>
      </w:r>
    </w:p>
    <w:p w14:paraId="54D4270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合同履行期限：2026年11月底前完成编制工作。</w:t>
      </w:r>
    </w:p>
    <w:p w14:paraId="69EAD1D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本项目不接受联合体磋商。</w:t>
      </w:r>
    </w:p>
    <w:p w14:paraId="70824208">
      <w:pPr>
        <w:spacing w:line="360" w:lineRule="auto"/>
        <w:ind w:firstLine="354" w:firstLineChars="147"/>
        <w:rPr>
          <w:rFonts w:hint="eastAsia" w:ascii="黑体" w:hAnsi="黑体" w:eastAsia="黑体"/>
          <w:b/>
          <w:color w:val="000000" w:themeColor="text1"/>
          <w:sz w:val="24"/>
          <w:highlight w:val="none"/>
          <w14:textFill>
            <w14:solidFill>
              <w14:schemeClr w14:val="tx1"/>
            </w14:solidFill>
          </w14:textFill>
        </w:rPr>
      </w:pPr>
      <w:bookmarkStart w:id="17" w:name="_Toc71365906"/>
      <w:bookmarkStart w:id="18" w:name="_Toc28359013"/>
      <w:bookmarkStart w:id="19" w:name="_Toc28359090"/>
      <w:bookmarkStart w:id="20" w:name="_Toc35393630"/>
      <w:bookmarkStart w:id="21" w:name="_Toc35393799"/>
      <w:bookmarkStart w:id="22" w:name="_Toc44229879"/>
      <w:r>
        <w:rPr>
          <w:rFonts w:hint="eastAsia" w:ascii="黑体" w:hAnsi="黑体" w:eastAsia="黑体"/>
          <w:b/>
          <w:color w:val="000000" w:themeColor="text1"/>
          <w:sz w:val="24"/>
          <w:highlight w:val="none"/>
          <w14:textFill>
            <w14:solidFill>
              <w14:schemeClr w14:val="tx1"/>
            </w14:solidFill>
          </w14:textFill>
        </w:rPr>
        <w:t>二、申请人的资格条件：</w:t>
      </w:r>
      <w:bookmarkEnd w:id="17"/>
      <w:bookmarkEnd w:id="18"/>
      <w:bookmarkEnd w:id="19"/>
      <w:bookmarkEnd w:id="20"/>
      <w:bookmarkEnd w:id="21"/>
      <w:bookmarkEnd w:id="22"/>
    </w:p>
    <w:p w14:paraId="502C2DEF">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bookmarkStart w:id="23" w:name="_Toc35393631"/>
      <w:bookmarkStart w:id="24" w:name="_Toc28359014"/>
      <w:bookmarkStart w:id="25" w:name="_Toc35393800"/>
      <w:bookmarkStart w:id="26" w:name="_Toc44229880"/>
      <w:bookmarkStart w:id="27" w:name="_Toc28359091"/>
      <w:r>
        <w:rPr>
          <w:rFonts w:hint="eastAsia" w:ascii="宋体" w:hAnsi="宋体" w:cs="宋体"/>
          <w:bCs/>
          <w:color w:val="000000" w:themeColor="text1"/>
          <w:kern w:val="0"/>
          <w:szCs w:val="21"/>
          <w:highlight w:val="none"/>
          <w14:textFill>
            <w14:solidFill>
              <w14:schemeClr w14:val="tx1"/>
            </w14:solidFill>
          </w14:textFill>
        </w:rPr>
        <w:t>1.满足《中华人民共和国政府采购法》第二十二条规定。</w:t>
      </w:r>
    </w:p>
    <w:p w14:paraId="49EAFB92">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xml:space="preserve">2.落实政府采购政策需满足的资格要求：无。 </w:t>
      </w:r>
    </w:p>
    <w:p w14:paraId="56C1F065">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bookmarkStart w:id="28" w:name="_Toc71365907"/>
      <w:r>
        <w:rPr>
          <w:rFonts w:hint="eastAsia" w:ascii="宋体" w:hAnsi="宋体" w:cs="宋体"/>
          <w:bCs/>
          <w:color w:val="000000" w:themeColor="text1"/>
          <w:kern w:val="0"/>
          <w:szCs w:val="21"/>
          <w:highlight w:val="none"/>
          <w14:textFill>
            <w14:solidFill>
              <w14:schemeClr w14:val="tx1"/>
            </w14:solidFill>
          </w14:textFill>
        </w:rPr>
        <w:t>3.本项目的特定资格要求：无。</w:t>
      </w:r>
    </w:p>
    <w:p w14:paraId="69304328">
      <w:pPr>
        <w:spacing w:line="360" w:lineRule="auto"/>
        <w:ind w:firstLine="482" w:firstLineChars="200"/>
        <w:rPr>
          <w:rFonts w:hint="eastAsia"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三、获取竞争性磋商文件</w:t>
      </w:r>
      <w:bookmarkEnd w:id="23"/>
      <w:bookmarkEnd w:id="24"/>
      <w:bookmarkEnd w:id="25"/>
      <w:bookmarkEnd w:id="26"/>
      <w:bookmarkEnd w:id="27"/>
      <w:bookmarkEnd w:id="28"/>
    </w:p>
    <w:p w14:paraId="7B8D4805">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bookmarkStart w:id="29" w:name="_Toc35393632"/>
      <w:bookmarkStart w:id="30" w:name="_Toc28359092"/>
      <w:bookmarkStart w:id="31" w:name="_Toc44229881"/>
      <w:bookmarkStart w:id="32" w:name="_Toc35393801"/>
      <w:bookmarkStart w:id="33" w:name="_Toc28359015"/>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color w:val="000000" w:themeColor="text1"/>
          <w:szCs w:val="21"/>
          <w:highlight w:val="none"/>
          <w:u w:val="single"/>
          <w:lang w:val="en-US" w:eastAsia="zh-CN"/>
          <w14:textFill>
            <w14:solidFill>
              <w14:schemeClr w14:val="tx1"/>
            </w14:solidFill>
          </w14:textFill>
        </w:rPr>
        <w:t>2026</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2026</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，每天上午00:00至11:59 ，下午12:00至23:59（北京时间，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7610D6A2">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地点：“广西政府采购云平台”（https://www.gcy.zfcg.gxzf.gov.cn/）</w:t>
      </w:r>
    </w:p>
    <w:p w14:paraId="7F06F790">
      <w:pPr>
        <w:spacing w:line="360" w:lineRule="exact"/>
        <w:ind w:firstLine="420" w:firstLineChars="200"/>
        <w:rPr>
          <w:rFonts w:ascii="Arial" w:hAnsi="Arial" w:cs="Arial"/>
          <w:color w:val="000000" w:themeColor="text1"/>
          <w:kern w:val="0"/>
          <w:szCs w:val="21"/>
          <w:highlight w:val="none"/>
          <w14:textFill>
            <w14:solidFill>
              <w14:schemeClr w14:val="tx1"/>
            </w14:solidFill>
          </w14:textFill>
        </w:rPr>
      </w:pPr>
      <w:bookmarkStart w:id="34" w:name="_Toc71365908"/>
      <w:r>
        <w:rPr>
          <w:rFonts w:hint="eastAsia" w:ascii="宋体" w:hAnsi="宋体"/>
          <w:color w:val="000000" w:themeColor="text1"/>
          <w:szCs w:val="21"/>
          <w:highlight w:val="none"/>
          <w14:textFill>
            <w14:solidFill>
              <w14:schemeClr w14:val="tx1"/>
            </w14:solidFill>
          </w14:textFill>
        </w:rPr>
        <w:t>获取方式:网上下载。本项目不发放纸质采购文件，</w:t>
      </w:r>
      <w:r>
        <w:rPr>
          <w:rFonts w:hint="eastAsia" w:ascii="宋体" w:hAnsi="宋体" w:cs="宋体"/>
          <w:bCs/>
          <w:color w:val="000000" w:themeColor="text1"/>
          <w:kern w:val="0"/>
          <w:szCs w:val="21"/>
          <w:highlight w:val="none"/>
          <w14:textFill>
            <w14:solidFill>
              <w14:schemeClr w14:val="tx1"/>
            </w14:solidFill>
          </w14:textFill>
        </w:rPr>
        <w:t>潜在</w:t>
      </w:r>
      <w:r>
        <w:rPr>
          <w:rFonts w:hint="eastAsia" w:ascii="宋体" w:hAnsi="宋体"/>
          <w:color w:val="000000" w:themeColor="text1"/>
          <w:szCs w:val="21"/>
          <w:highlight w:val="none"/>
          <w14:textFill>
            <w14:solidFill>
              <w14:schemeClr w14:val="tx1"/>
            </w14:solidFill>
          </w14:textFill>
        </w:rPr>
        <w:t>供应商可自行在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“广西政府采购云平台”（https://www.gcy.zfcg.gxzf.gov.cn/）下载采购文件（操作路径：登录“广西政府采购云平台”-项目采购-获取采购文件-找到本项目-点击“申请获取采购文件”</w:t>
      </w:r>
      <w:r>
        <w:rPr>
          <w:rFonts w:hint="eastAsia" w:ascii="Arial" w:hAnsi="Arial" w:cs="Arial"/>
          <w:color w:val="000000" w:themeColor="text1"/>
          <w:kern w:val="0"/>
          <w:szCs w:val="21"/>
          <w:highlight w:val="none"/>
          <w14:textFill>
            <w14:solidFill>
              <w14:schemeClr w14:val="tx1"/>
            </w14:solidFill>
          </w14:textFill>
        </w:rPr>
        <w:t>）。电子响应文件制作需要基于“广西政府采购云平台”获取的采购文件编制，通过其他方式获取采购文件的，将有可能导致供应商无法在广西政府采购云平台平台编制及上传响应文件。</w:t>
      </w:r>
    </w:p>
    <w:p w14:paraId="4954531C">
      <w:pPr>
        <w:snapToGrid w:val="0"/>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采购文件售价：0元。</w:t>
      </w:r>
    </w:p>
    <w:p w14:paraId="4305467E">
      <w:pPr>
        <w:ind w:firstLine="354" w:firstLineChars="147"/>
        <w:rPr>
          <w:rFonts w:hint="eastAsia"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四、响应文件提交</w:t>
      </w:r>
      <w:bookmarkEnd w:id="29"/>
      <w:bookmarkEnd w:id="30"/>
      <w:bookmarkEnd w:id="31"/>
      <w:bookmarkEnd w:id="32"/>
      <w:bookmarkEnd w:id="33"/>
      <w:bookmarkEnd w:id="34"/>
    </w:p>
    <w:p w14:paraId="3C6E2A2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bookmarkStart w:id="35" w:name="_Toc28359016"/>
      <w:bookmarkStart w:id="36" w:name="_Toc44229882"/>
      <w:bookmarkStart w:id="37" w:name="_Toc35393633"/>
      <w:bookmarkStart w:id="38" w:name="_Toc28359093"/>
      <w:bookmarkStart w:id="39" w:name="_Toc35393802"/>
      <w:r>
        <w:rPr>
          <w:rFonts w:hint="eastAsia" w:ascii="宋体" w:hAnsi="宋体"/>
          <w:color w:val="000000" w:themeColor="text1"/>
          <w:szCs w:val="21"/>
          <w:highlight w:val="none"/>
          <w14:textFill>
            <w14:solidFill>
              <w14:schemeClr w14:val="tx1"/>
            </w14:solidFill>
          </w14:textFill>
        </w:rPr>
        <w:t>1、首次响应文件提交截止时间（北京时间）：</w:t>
      </w:r>
      <w:r>
        <w:rPr>
          <w:rFonts w:hint="eastAsia" w:ascii="宋体" w:hAnsi="宋体"/>
          <w:color w:val="000000" w:themeColor="text1"/>
          <w:szCs w:val="21"/>
          <w:highlight w:val="none"/>
          <w:lang w:val="en-US" w:eastAsia="zh-CN"/>
          <w14:textFill>
            <w14:solidFill>
              <w14:schemeClr w14:val="tx1"/>
            </w14:solidFill>
          </w14:textFill>
        </w:rPr>
        <w:t>2026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lang w:val="en-US" w:eastAsia="zh-CN"/>
          <w14:textFill>
            <w14:solidFill>
              <w14:schemeClr w14:val="tx1"/>
            </w14:solidFill>
          </w14:textFill>
        </w:rPr>
        <w:t>15</w:t>
      </w:r>
      <w:bookmarkStart w:id="187" w:name="_GoBack"/>
      <w:bookmarkEnd w:id="187"/>
      <w:r>
        <w:rPr>
          <w:rFonts w:hint="eastAsia" w:ascii="宋体" w:hAnsi="宋体"/>
          <w:color w:val="000000" w:themeColor="text1"/>
          <w:szCs w:val="21"/>
          <w:highlight w:val="none"/>
          <w14:textFill>
            <w14:solidFill>
              <w14:schemeClr w14:val="tx1"/>
            </w14:solidFill>
          </w14:textFill>
        </w:rPr>
        <w:t>:30（从磋商文件开始发出之日起至供应商提交首次响应文件截止之日止不得少于10日）</w:t>
      </w:r>
    </w:p>
    <w:p w14:paraId="69535CC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2、首次响应文件提交地点：广西政府采购云平台（https://www.gcy.zfcg.gxzf.gov.cn/）</w:t>
      </w:r>
    </w:p>
    <w:p w14:paraId="3E1C0761">
      <w:pPr>
        <w:spacing w:line="360" w:lineRule="auto"/>
        <w:ind w:firstLine="482" w:firstLineChars="200"/>
        <w:rPr>
          <w:rFonts w:hint="eastAsia" w:ascii="黑体" w:hAnsi="黑体" w:eastAsia="黑体"/>
          <w:b/>
          <w:color w:val="000000" w:themeColor="text1"/>
          <w:sz w:val="24"/>
          <w:highlight w:val="none"/>
          <w14:textFill>
            <w14:solidFill>
              <w14:schemeClr w14:val="tx1"/>
            </w14:solidFill>
          </w14:textFill>
        </w:rPr>
      </w:pPr>
      <w:bookmarkStart w:id="40" w:name="_Toc71365909"/>
      <w:r>
        <w:rPr>
          <w:rFonts w:hint="eastAsia" w:ascii="黑体" w:hAnsi="黑体" w:eastAsia="黑体"/>
          <w:b/>
          <w:color w:val="000000" w:themeColor="text1"/>
          <w:sz w:val="24"/>
          <w:highlight w:val="none"/>
          <w14:textFill>
            <w14:solidFill>
              <w14:schemeClr w14:val="tx1"/>
            </w14:solidFill>
          </w14:textFill>
        </w:rPr>
        <w:t>五、开启</w:t>
      </w:r>
      <w:bookmarkEnd w:id="35"/>
      <w:bookmarkEnd w:id="36"/>
      <w:bookmarkEnd w:id="37"/>
      <w:bookmarkEnd w:id="38"/>
      <w:bookmarkEnd w:id="39"/>
      <w:bookmarkEnd w:id="40"/>
    </w:p>
    <w:p w14:paraId="5453E516">
      <w:pPr>
        <w:spacing w:line="360" w:lineRule="auto"/>
        <w:ind w:firstLine="420" w:firstLineChars="20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lang w:val="en-US" w:eastAsia="zh-CN"/>
          <w14:textFill>
            <w14:solidFill>
              <w14:schemeClr w14:val="tx1"/>
            </w14:solidFill>
          </w14:textFill>
        </w:rPr>
        <w:t>2026</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12</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15</w:t>
      </w:r>
      <w:r>
        <w:rPr>
          <w:rFonts w:hint="eastAsia" w:ascii="宋体" w:hAnsi="宋体"/>
          <w:bCs/>
          <w:color w:val="000000" w:themeColor="text1"/>
          <w:szCs w:val="21"/>
          <w:highlight w:val="none"/>
          <w:u w:val="single"/>
          <w14:textFill>
            <w14:solidFill>
              <w14:schemeClr w14:val="tx1"/>
            </w14:solidFill>
          </w14:textFill>
        </w:rPr>
        <w:t>:30</w:t>
      </w:r>
      <w:r>
        <w:rPr>
          <w:rFonts w:hint="eastAsia" w:ascii="宋体" w:hAnsi="宋体"/>
          <w:bCs/>
          <w:color w:val="000000" w:themeColor="text1"/>
          <w:szCs w:val="21"/>
          <w:highlight w:val="none"/>
          <w14:textFill>
            <w14:solidFill>
              <w14:schemeClr w14:val="tx1"/>
            </w14:solidFill>
          </w14:textFill>
        </w:rPr>
        <w:t>（北京时间）</w:t>
      </w:r>
    </w:p>
    <w:p w14:paraId="31885675">
      <w:pPr>
        <w:spacing w:line="360" w:lineRule="auto"/>
        <w:ind w:firstLine="420" w:firstLineChars="20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（https://www.gcy.zfcg.gxzf.gov.cn/）</w:t>
      </w:r>
    </w:p>
    <w:p w14:paraId="56699BB2">
      <w:pPr>
        <w:ind w:firstLine="354" w:firstLineChars="147"/>
        <w:rPr>
          <w:rFonts w:hint="eastAsia" w:ascii="黑体" w:hAnsi="黑体" w:eastAsia="黑体"/>
          <w:b/>
          <w:color w:val="000000" w:themeColor="text1"/>
          <w:sz w:val="24"/>
          <w:highlight w:val="none"/>
          <w14:textFill>
            <w14:solidFill>
              <w14:schemeClr w14:val="tx1"/>
            </w14:solidFill>
          </w14:textFill>
        </w:rPr>
      </w:pPr>
      <w:bookmarkStart w:id="41" w:name="_Toc28359094"/>
      <w:bookmarkStart w:id="42" w:name="_Toc71365910"/>
      <w:bookmarkStart w:id="43" w:name="_Toc28359017"/>
      <w:bookmarkStart w:id="44" w:name="_Toc35393634"/>
      <w:bookmarkStart w:id="45" w:name="_Toc44229883"/>
      <w:bookmarkStart w:id="46" w:name="_Toc35393803"/>
      <w:r>
        <w:rPr>
          <w:rFonts w:hint="eastAsia" w:ascii="黑体" w:hAnsi="黑体" w:eastAsia="黑体"/>
          <w:b/>
          <w:color w:val="000000" w:themeColor="text1"/>
          <w:sz w:val="24"/>
          <w:highlight w:val="none"/>
          <w14:textFill>
            <w14:solidFill>
              <w14:schemeClr w14:val="tx1"/>
            </w14:solidFill>
          </w14:textFill>
        </w:rPr>
        <w:t>六、公告期限</w:t>
      </w:r>
      <w:bookmarkEnd w:id="41"/>
      <w:bookmarkEnd w:id="42"/>
      <w:bookmarkEnd w:id="43"/>
      <w:bookmarkEnd w:id="44"/>
      <w:bookmarkEnd w:id="45"/>
      <w:bookmarkEnd w:id="46"/>
    </w:p>
    <w:p w14:paraId="2C86E9A9">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4EBEC4BF">
      <w:pPr>
        <w:ind w:firstLine="354" w:firstLineChars="147"/>
        <w:rPr>
          <w:rFonts w:hint="eastAsia" w:ascii="黑体" w:hAnsi="黑体" w:eastAsia="黑体"/>
          <w:b/>
          <w:color w:val="000000" w:themeColor="text1"/>
          <w:sz w:val="24"/>
          <w:highlight w:val="none"/>
          <w14:textFill>
            <w14:solidFill>
              <w14:schemeClr w14:val="tx1"/>
            </w14:solidFill>
          </w14:textFill>
        </w:rPr>
      </w:pPr>
      <w:bookmarkStart w:id="47" w:name="_Toc35393635"/>
      <w:bookmarkStart w:id="48" w:name="_Toc71365911"/>
      <w:bookmarkStart w:id="49" w:name="_Toc35393804"/>
      <w:bookmarkStart w:id="50" w:name="_Toc44229884"/>
      <w:r>
        <w:rPr>
          <w:rFonts w:hint="eastAsia" w:ascii="黑体" w:hAnsi="黑体" w:eastAsia="黑体"/>
          <w:b/>
          <w:color w:val="000000" w:themeColor="text1"/>
          <w:sz w:val="24"/>
          <w:highlight w:val="none"/>
          <w14:textFill>
            <w14:solidFill>
              <w14:schemeClr w14:val="tx1"/>
            </w14:solidFill>
          </w14:textFill>
        </w:rPr>
        <w:t>七、其他补充事宜</w:t>
      </w:r>
      <w:bookmarkEnd w:id="47"/>
      <w:bookmarkEnd w:id="48"/>
      <w:bookmarkEnd w:id="49"/>
      <w:bookmarkEnd w:id="50"/>
    </w:p>
    <w:p w14:paraId="078EB0C0">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1.磋商保证金：壹万元整（¥</w:t>
      </w:r>
      <w:r>
        <w:rPr>
          <w:rFonts w:hint="eastAsia" w:ascii="宋体" w:hAnsi="宋体" w:cs="宋体"/>
          <w:color w:val="000000" w:themeColor="text1"/>
          <w:kern w:val="0"/>
          <w:szCs w:val="21"/>
          <w:highlight w:val="none"/>
          <w14:textFill>
            <w14:solidFill>
              <w14:schemeClr w14:val="tx1"/>
            </w14:solidFill>
          </w14:textFill>
        </w:rPr>
        <w:t>10000.00</w:t>
      </w:r>
      <w:r>
        <w:rPr>
          <w:rFonts w:ascii="宋体" w:hAnsi="宋体" w:cs="宋体"/>
          <w:color w:val="000000" w:themeColor="text1"/>
          <w:kern w:val="0"/>
          <w:szCs w:val="21"/>
          <w:highlight w:val="none"/>
          <w14:textFill>
            <w14:solidFill>
              <w14:schemeClr w14:val="tx1"/>
            </w14:solidFill>
          </w14:textFill>
        </w:rPr>
        <w:t>）</w:t>
      </w:r>
    </w:p>
    <w:p w14:paraId="081F75AB">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磋商保证金的交纳方式：银行转账、支票、汇票、本票，禁止采用现钞方式。采用银行转账方式的，在首次响应文件提交截止时间前交至采购代理机构指定账户并且到账【开户名称：广西交投宏冠工程咨询有限公司，开户银行：工行南宁滨湖中支行，银行账号：2102 1746 1930 0005 231，开户行行号：102611017463】；采用支票、汇票、本票的，在磋商截止时间前，供应商应当递交单独密封的支票、汇票、本票。否则视为无效磋商保证金。</w:t>
      </w:r>
    </w:p>
    <w:p w14:paraId="39F1D246">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0D1CA744">
      <w:pPr>
        <w:spacing w:line="360" w:lineRule="auto"/>
        <w:ind w:firstLine="420" w:firstLineChars="200"/>
        <w:rPr>
          <w:rFonts w:hint="eastAsia" w:ascii="宋体" w:hAnsi="宋体" w:cs="宋体"/>
          <w:color w:val="000000" w:themeColor="text1"/>
          <w:kern w:val="0"/>
          <w:szCs w:val="21"/>
          <w:highlight w:val="none"/>
          <w:lang w:val="e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www.ccgp.gov.cn（中国政府采购网）、zfcg.gxzf.gov.cn（广西壮族自治区政府采购网）、广西交投宏冠电子招标投标交易平台（http://jthg.zcjb.com.cn）</w:t>
      </w:r>
    </w:p>
    <w:p w14:paraId="1F499B65">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bookmarkStart w:id="51" w:name="_Hlk37429674"/>
      <w:bookmarkStart w:id="52" w:name="_Toc44229885"/>
      <w:bookmarkStart w:id="53" w:name="_Toc28359095"/>
      <w:bookmarkStart w:id="54" w:name="_Toc35393805"/>
      <w:bookmarkStart w:id="55" w:name="_Toc35393636"/>
      <w:bookmarkStart w:id="56" w:name="_Toc28359018"/>
      <w:r>
        <w:rPr>
          <w:rFonts w:hint="eastAsia" w:ascii="宋体" w:hAnsi="宋体"/>
          <w:color w:val="000000" w:themeColor="text1"/>
          <w:szCs w:val="21"/>
          <w:highlight w:val="none"/>
          <w14:textFill>
            <w14:solidFill>
              <w14:schemeClr w14:val="tx1"/>
            </w14:solidFill>
          </w14:textFill>
        </w:rPr>
        <w:t>3. 本项目需要落实的政府采购政策</w:t>
      </w:r>
    </w:p>
    <w:p w14:paraId="65DB344D">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（1）政府采购促进中小企业发展。</w:t>
      </w:r>
    </w:p>
    <w:p w14:paraId="25725A2C">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（2）政府采购支持采用本国产品的政策。</w:t>
      </w:r>
    </w:p>
    <w:p w14:paraId="2EFA088D">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（3）强制采购节能产品；优先采购节能产品、环境标志产品。</w:t>
      </w:r>
    </w:p>
    <w:p w14:paraId="4926D666">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（4）政府采购促进残疾人就业政策。</w:t>
      </w:r>
    </w:p>
    <w:p w14:paraId="71FBE456">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（5）政府采购支持监狱企业发展。</w:t>
      </w:r>
    </w:p>
    <w:p w14:paraId="6773BCEA">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2338A5">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840F167">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bookmarkEnd w:id="51"/>
      <w:r>
        <w:rPr>
          <w:rFonts w:hint="eastAsia" w:ascii="宋体" w:hAnsi="宋体" w:cs="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竞标注意事项</w:t>
      </w:r>
    </w:p>
    <w:p w14:paraId="3E79BFA1">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w:t>
      </w:r>
      <w:r>
        <w:rPr>
          <w:rFonts w:hint="eastAsia" w:ascii="宋体" w:hAnsi="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highlight w:val="none"/>
          <w14:textFill>
            <w14:solidFill>
              <w14:schemeClr w14:val="tx1"/>
            </w14:solidFill>
          </w14:textFill>
        </w:rPr>
        <w:t>供应商登录“广西政府采购云平台”，依次进入“服务中心-项目采购-操作流程-电子招投标-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”查看电子竞标具体操作流程。</w:t>
      </w:r>
    </w:p>
    <w:p w14:paraId="5FB95AB4">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如在操作过程中遇到问题或者需要技术支持，请致电广西政府采购云平台客服热线：95763</w:t>
      </w:r>
      <w:r>
        <w:rPr>
          <w:rFonts w:hint="eastAsia" w:ascii="宋体" w:hAnsi="宋体"/>
          <w:color w:val="000000" w:themeColor="text1"/>
          <w:szCs w:val="21"/>
          <w:highlight w:val="none"/>
          <w14:textFill>
            <w14:solidFill>
              <w14:schemeClr w14:val="tx1"/>
            </w14:solidFill>
          </w14:textFill>
        </w:rPr>
        <w:t>）。</w:t>
      </w:r>
    </w:p>
    <w:p w14:paraId="64D995B6">
      <w:pPr>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0A515DA8">
      <w:pPr>
        <w:widowControl/>
        <w:spacing w:line="360" w:lineRule="auto"/>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E82B724">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27B8DA5D">
      <w:pPr>
        <w:ind w:firstLine="354" w:firstLineChars="147"/>
        <w:rPr>
          <w:rFonts w:hint="eastAsia"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八、凡对本次采购提出询问，请按</w:t>
      </w:r>
      <w:r>
        <w:rPr>
          <w:rFonts w:ascii="黑体" w:hAnsi="黑体" w:eastAsia="黑体"/>
          <w:b/>
          <w:color w:val="000000" w:themeColor="text1"/>
          <w:sz w:val="24"/>
          <w:highlight w:val="none"/>
          <w14:textFill>
            <w14:solidFill>
              <w14:schemeClr w14:val="tx1"/>
            </w14:solidFill>
          </w14:textFill>
        </w:rPr>
        <w:t>以下方式</w:t>
      </w:r>
      <w:r>
        <w:rPr>
          <w:rFonts w:hint="eastAsia" w:ascii="黑体" w:hAnsi="黑体" w:eastAsia="黑体"/>
          <w:b/>
          <w:color w:val="000000" w:themeColor="text1"/>
          <w:sz w:val="24"/>
          <w:highlight w:val="none"/>
          <w14:textFill>
            <w14:solidFill>
              <w14:schemeClr w14:val="tx1"/>
            </w14:solidFill>
          </w14:textFill>
        </w:rPr>
        <w:t>联系。</w:t>
      </w:r>
      <w:bookmarkEnd w:id="52"/>
      <w:bookmarkEnd w:id="53"/>
      <w:bookmarkEnd w:id="54"/>
      <w:bookmarkEnd w:id="55"/>
      <w:bookmarkEnd w:id="56"/>
    </w:p>
    <w:p w14:paraId="799DE60B">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1.采购人信息</w:t>
      </w:r>
    </w:p>
    <w:p w14:paraId="398F200B">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名    称：广西壮族自治区交通运输厅</w:t>
      </w:r>
    </w:p>
    <w:p w14:paraId="42CD1D23">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    址：广西南宁市兴宁区新民路67号</w:t>
      </w:r>
    </w:p>
    <w:p w14:paraId="51E3AB12">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联系方式：</w:t>
      </w:r>
      <w:r>
        <w:rPr>
          <w:rFonts w:ascii="宋体" w:hAnsi="宋体" w:cs="仿宋"/>
          <w:color w:val="000000" w:themeColor="text1"/>
          <w:szCs w:val="21"/>
          <w:highlight w:val="none"/>
          <w14:textFill>
            <w14:solidFill>
              <w14:schemeClr w14:val="tx1"/>
            </w14:solidFill>
          </w14:textFill>
        </w:rPr>
        <w:t>黄工</w:t>
      </w:r>
      <w:r>
        <w:rPr>
          <w:rFonts w:hint="eastAsia" w:ascii="宋体" w:hAnsi="宋体" w:cs="仿宋"/>
          <w:color w:val="000000" w:themeColor="text1"/>
          <w:szCs w:val="21"/>
          <w:highlight w:val="none"/>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0771-2115182</w:t>
      </w:r>
      <w:r>
        <w:rPr>
          <w:rFonts w:hint="eastAsia" w:ascii="宋体" w:hAnsi="宋体" w:cs="仿宋"/>
          <w:color w:val="000000" w:themeColor="text1"/>
          <w:szCs w:val="21"/>
          <w:highlight w:val="none"/>
          <w14:textFill>
            <w14:solidFill>
              <w14:schemeClr w14:val="tx1"/>
            </w14:solidFill>
          </w14:textFill>
        </w:rPr>
        <w:t xml:space="preserve"> </w:t>
      </w:r>
    </w:p>
    <w:bookmarkEnd w:id="10"/>
    <w:p w14:paraId="2626A5D6">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2.采购代理机构信息</w:t>
      </w:r>
    </w:p>
    <w:p w14:paraId="33B4C37B">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bookmarkStart w:id="57" w:name="_Toc28359098"/>
      <w:bookmarkStart w:id="58" w:name="_Toc35393639"/>
      <w:bookmarkStart w:id="59" w:name="_Toc35393808"/>
      <w:bookmarkStart w:id="60" w:name="_Toc28359021"/>
      <w:r>
        <w:rPr>
          <w:rFonts w:hint="eastAsia" w:ascii="宋体" w:hAnsi="宋体" w:cs="仿宋"/>
          <w:color w:val="000000" w:themeColor="text1"/>
          <w:szCs w:val="21"/>
          <w:highlight w:val="none"/>
          <w14:textFill>
            <w14:solidFill>
              <w14:schemeClr w14:val="tx1"/>
            </w14:solidFill>
          </w14:textFill>
        </w:rPr>
        <w:t>名称：广西交投宏冠工程咨询有限公司　　</w:t>
      </w:r>
    </w:p>
    <w:p w14:paraId="38BC1D20">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　　址：广西南宁市合作路6号五洲国际商铺D座316室　　</w:t>
      </w:r>
    </w:p>
    <w:p w14:paraId="23B62D7E">
      <w:pPr>
        <w:spacing w:line="400" w:lineRule="exact"/>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联系电话：0771-2115704</w:t>
      </w:r>
    </w:p>
    <w:p w14:paraId="1EFBFE96">
      <w:pPr>
        <w:spacing w:line="400" w:lineRule="exact"/>
        <w:ind w:firstLine="420" w:firstLineChars="200"/>
        <w:rPr>
          <w:rFonts w:hint="eastAsia"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3.项目联系方式</w:t>
      </w:r>
      <w:bookmarkEnd w:id="57"/>
      <w:bookmarkEnd w:id="58"/>
      <w:bookmarkEnd w:id="59"/>
      <w:bookmarkEnd w:id="60"/>
    </w:p>
    <w:p w14:paraId="446282BB">
      <w:pPr>
        <w:spacing w:line="400" w:lineRule="exact"/>
        <w:ind w:firstLine="420" w:firstLineChars="200"/>
        <w:rPr>
          <w:rFonts w:hint="eastAsia"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项目联系人：冼凌晨、李世龙</w:t>
      </w:r>
    </w:p>
    <w:p w14:paraId="123E094B">
      <w:pPr>
        <w:spacing w:line="400" w:lineRule="exact"/>
        <w:ind w:firstLine="420" w:firstLineChars="200"/>
        <w:rPr>
          <w:rFonts w:hint="eastAsia"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电　　话：0771-2115704　　</w:t>
      </w:r>
    </w:p>
    <w:p w14:paraId="70F72F0D">
      <w:pPr>
        <w:spacing w:line="360" w:lineRule="auto"/>
        <w:ind w:firstLine="420" w:firstLineChars="200"/>
        <w:jc w:val="right"/>
        <w:rPr>
          <w:rFonts w:hint="eastAsia" w:ascii="宋体" w:hAnsi="宋体"/>
          <w:color w:val="000000" w:themeColor="text1"/>
          <w:szCs w:val="21"/>
          <w:highlight w:val="none"/>
          <w14:textFill>
            <w14:solidFill>
              <w14:schemeClr w14:val="tx1"/>
            </w14:solidFill>
          </w14:textFill>
        </w:rPr>
      </w:pPr>
      <w:bookmarkStart w:id="61" w:name="PO_3000001868_PM031_2"/>
      <w:r>
        <w:rPr>
          <w:rFonts w:hint="eastAsia" w:ascii="宋体" w:hAnsi="宋体"/>
          <w:color w:val="000000" w:themeColor="text1"/>
          <w:szCs w:val="21"/>
          <w:highlight w:val="none"/>
          <w14:textFill>
            <w14:solidFill>
              <w14:schemeClr w14:val="tx1"/>
            </w14:solidFill>
          </w14:textFill>
        </w:rPr>
        <w:t>广西交投宏冠工程咨询有限公司</w:t>
      </w:r>
      <w:bookmarkEnd w:id="61"/>
    </w:p>
    <w:p w14:paraId="55D4F763">
      <w:pPr>
        <w:spacing w:line="360" w:lineRule="auto"/>
        <w:ind w:firstLine="420" w:firstLineChars="20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2026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日</w:t>
      </w:r>
    </w:p>
    <w:p w14:paraId="66237FEE">
      <w:pPr>
        <w:pStyle w:val="2"/>
        <w:spacing w:line="360" w:lineRule="auto"/>
        <w:jc w:val="center"/>
        <w:rPr>
          <w:color w:val="000000" w:themeColor="text1"/>
          <w:highlight w:val="none"/>
          <w14:textFill>
            <w14:solidFill>
              <w14:schemeClr w14:val="tx1"/>
            </w14:solidFill>
          </w14:textFill>
        </w:rPr>
      </w:pPr>
      <w:bookmarkStart w:id="62" w:name="_Toc74323457"/>
      <w:r>
        <w:rPr>
          <w:rFonts w:hint="eastAsia"/>
          <w:color w:val="000000" w:themeColor="text1"/>
          <w:highlight w:val="none"/>
          <w14:textFill>
            <w14:solidFill>
              <w14:schemeClr w14:val="tx1"/>
            </w14:solidFill>
          </w14:textFill>
        </w:rPr>
        <w:t>第二章 供应商须知</w:t>
      </w:r>
      <w:bookmarkEnd w:id="62"/>
    </w:p>
    <w:p w14:paraId="7AEFCE09">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5CC023C8">
      <w:pPr>
        <w:spacing w:line="400" w:lineRule="exact"/>
        <w:jc w:val="center"/>
        <w:rPr>
          <w:rFonts w:hint="eastAsia" w:ascii="宋体" w:hAnsi="宋体"/>
          <w:b/>
          <w:color w:val="000000" w:themeColor="text1"/>
          <w:sz w:val="32"/>
          <w:szCs w:val="32"/>
          <w:highlight w:val="none"/>
          <w14:textFill>
            <w14:solidFill>
              <w14:schemeClr w14:val="tx1"/>
            </w14:solidFill>
          </w14:textFill>
        </w:rPr>
      </w:pP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3853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2299AE1">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212780CF">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6884A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3DD22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43B2D5FD">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p w14:paraId="3EC825E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1F61C97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w:t>
            </w:r>
          </w:p>
          <w:p w14:paraId="057B5BF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931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F02DF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7020E65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详见竞争性磋商公告</w:t>
            </w:r>
          </w:p>
        </w:tc>
      </w:tr>
      <w:tr w14:paraId="05CF5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9D930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3D1D582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如接受联合体竞标，联合体竞标要求如下：</w:t>
            </w:r>
          </w:p>
          <w:p w14:paraId="29CB418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两个以上供应商可以组成一个竞标联合体，以一个供应商的身份共同参加竞标。联合体竞标的，须提供《联合体竞标协议书》（格式后附）。</w:t>
            </w:r>
          </w:p>
          <w:p w14:paraId="759ED4A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951E6D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highlight w:val="none"/>
                <w14:textFill>
                  <w14:solidFill>
                    <w14:schemeClr w14:val="tx1"/>
                  </w14:solidFill>
                </w14:textFill>
              </w:rPr>
              <w:t>各方承担责任与义务的分工必须符合采购需求，否则，联合体竞标无效</w:t>
            </w:r>
            <w:r>
              <w:rPr>
                <w:rFonts w:hint="eastAsia" w:ascii="宋体" w:hAnsi="宋体" w:cs="宋体"/>
                <w:color w:val="000000" w:themeColor="text1"/>
                <w:szCs w:val="21"/>
                <w:highlight w:val="none"/>
                <w14:textFill>
                  <w14:solidFill>
                    <w14:schemeClr w14:val="tx1"/>
                  </w14:solidFill>
                </w14:textFill>
              </w:rPr>
              <w:t>），并将联合竞标协议放入响应文件。联合体各方必须共同与采购人签订采购合同，就采购合同约定的事项对采购人承担连带责任。</w:t>
            </w:r>
          </w:p>
          <w:p w14:paraId="0612631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0A6F07D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联合体中有同类资质的供应商按照联合体分工承担相同工作的，应当按照资质等级较低的供应商确定资质等级。</w:t>
            </w:r>
          </w:p>
          <w:p w14:paraId="608BE72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联合体竞标业绩、履约能力按照联合体各方中较高的一方认定并计算（磋商文件另有规定的除外）。</w:t>
            </w:r>
          </w:p>
          <w:p w14:paraId="72303B5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供应商为联合体的，可以由联合体中的一方或者多方共同交纳磋商保证金，其交纳的保证金对联合体各方均具有约束力。</w:t>
            </w:r>
          </w:p>
          <w:p w14:paraId="3F60F62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联合体各方均应按照磋商文件的规定提交资格证明文件。</w:t>
            </w:r>
          </w:p>
        </w:tc>
      </w:tr>
      <w:tr w14:paraId="4194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4FB8F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767757E8">
            <w:pPr>
              <w:pStyle w:val="11"/>
              <w:spacing w:line="360" w:lineRule="auto"/>
              <w:rPr>
                <w:rFonts w:hint="eastAsia" w:ascii="宋体" w:hAnsi="宋体"/>
                <w:color w:val="000000" w:themeColor="text1"/>
                <w:szCs w:val="21"/>
                <w:highlight w:val="none"/>
                <w14:textFill>
                  <w14:solidFill>
                    <w14:schemeClr w14:val="tx1"/>
                  </w14:solidFill>
                </w14:textFill>
              </w:rPr>
            </w:pPr>
            <w:r>
              <w:rPr>
                <w:rFonts w:hint="eastAsia" w:ascii="MS Mincho" w:hAnsi="MS Mincho" w:cs="MS Mincho"/>
                <w:color w:val="000000" w:themeColor="text1"/>
                <w:sz w:val="24"/>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不允许分包、转包</w:t>
            </w:r>
          </w:p>
          <w:p w14:paraId="5B745571">
            <w:pPr>
              <w:pStyle w:val="11"/>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p w14:paraId="18FEBB20">
            <w:pPr>
              <w:spacing w:line="360" w:lineRule="auto"/>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分包内容：</w:t>
            </w:r>
            <w:r>
              <w:rPr>
                <w:rFonts w:hint="eastAsia" w:ascii="宋体" w:hAnsi="宋体"/>
                <w:color w:val="000000" w:themeColor="text1"/>
                <w:szCs w:val="21"/>
                <w:highlight w:val="none"/>
                <w:u w:val="single"/>
                <w14:textFill>
                  <w14:solidFill>
                    <w14:schemeClr w14:val="tx1"/>
                  </w14:solidFill>
                </w14:textFill>
              </w:rPr>
              <w:t xml:space="preserve">    /      </w:t>
            </w:r>
          </w:p>
          <w:p w14:paraId="7F5D83C0">
            <w:pPr>
              <w:pStyle w:val="11"/>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分包金额或者比例：</w:t>
            </w:r>
            <w:r>
              <w:rPr>
                <w:rFonts w:hint="eastAsia" w:ascii="宋体" w:hAnsi="宋体"/>
                <w:color w:val="000000" w:themeColor="text1"/>
                <w:szCs w:val="21"/>
                <w:highlight w:val="none"/>
                <w:u w:val="single"/>
                <w14:textFill>
                  <w14:solidFill>
                    <w14:schemeClr w14:val="tx1"/>
                  </w14:solidFill>
                </w14:textFill>
              </w:rPr>
              <w:t xml:space="preserve">      /     </w:t>
            </w:r>
          </w:p>
        </w:tc>
      </w:tr>
      <w:tr w14:paraId="26AA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5CBBC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019C1C95">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5D01339A">
            <w:pPr>
              <w:pStyle w:val="11"/>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22592FC">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w:t>
            </w:r>
            <w:r>
              <w:rPr>
                <w:rFonts w:hint="eastAsia" w:ascii="宋体" w:hAnsi="宋体" w:cs="宋体"/>
                <w:color w:val="000000" w:themeColor="text1"/>
                <w:szCs w:val="21"/>
                <w:highlight w:val="none"/>
                <w:u w:val="single"/>
                <w14:textFill>
                  <w14:solidFill>
                    <w14:schemeClr w14:val="tx1"/>
                  </w14:solidFill>
                </w14:textFill>
              </w:rPr>
              <w:t xml:space="preserve"> 2025年9月至首次响应文件提交截止时间前</w:t>
            </w:r>
            <w:r>
              <w:rPr>
                <w:rFonts w:hint="eastAsia" w:ascii="宋体" w:hAnsi="宋体" w:cs="宋体"/>
                <w:color w:val="000000" w:themeColor="text1"/>
                <w:szCs w:val="21"/>
                <w:highlight w:val="none"/>
                <w14:textFill>
                  <w14:solidFill>
                    <w14:schemeClr w14:val="tx1"/>
                  </w14:solidFill>
                </w14:textFill>
              </w:rPr>
              <w:t>任意1个月的依法缴纳税收的凭据复印件；</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6848C09">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w:t>
            </w:r>
            <w:r>
              <w:rPr>
                <w:rFonts w:hint="eastAsia" w:ascii="宋体" w:hAnsi="宋体" w:cs="宋体"/>
                <w:color w:val="000000" w:themeColor="text1"/>
                <w:szCs w:val="21"/>
                <w:highlight w:val="none"/>
                <w:u w:val="single"/>
                <w14:textFill>
                  <w14:solidFill>
                    <w14:schemeClr w14:val="tx1"/>
                  </w14:solidFill>
                </w14:textFill>
              </w:rPr>
              <w:t xml:space="preserve"> 2025年9月至首次响应文件提交截止时间前</w:t>
            </w:r>
            <w:r>
              <w:rPr>
                <w:rFonts w:hint="eastAsia" w:ascii="宋体" w:hAnsi="宋体" w:cs="宋体"/>
                <w:color w:val="000000" w:themeColor="text1"/>
                <w:szCs w:val="21"/>
                <w:highlight w:val="none"/>
                <w14:textFill>
                  <w14:solidFill>
                    <w14:schemeClr w14:val="tx1"/>
                  </w14:solidFill>
                </w14:textFill>
              </w:rPr>
              <w:t>任意1个月的依法缴纳社会保障资金的缴费凭证（专用收据或者社会保险缴纳清单）复印件；</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5FD21D7">
            <w:pPr>
              <w:spacing w:line="360" w:lineRule="auto"/>
              <w:contextualSpacing/>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w:t>
            </w:r>
            <w:r>
              <w:rPr>
                <w:rFonts w:hint="eastAsia"/>
                <w:color w:val="000000" w:themeColor="text1"/>
                <w:szCs w:val="21"/>
                <w:highlight w:val="none"/>
                <w14:textFill>
                  <w14:solidFill>
                    <w14:schemeClr w14:val="tx1"/>
                  </w14:solidFill>
                </w14:textFill>
              </w:rPr>
              <w:t>财务状况报告（</w:t>
            </w:r>
            <w:r>
              <w:rPr>
                <w:rFonts w:hint="eastAsia"/>
                <w:color w:val="000000" w:themeColor="text1"/>
                <w:highlight w:val="none"/>
                <w14:textFill>
                  <w14:solidFill>
                    <w14:schemeClr w14:val="tx1"/>
                  </w14:solidFill>
                </w14:textFill>
              </w:rPr>
              <w:t>2024 年度或2025年度财务报表复印件，或者银行出具的资信证明，或者中国人民银行征信中心出具的信用报告（企业投标的提供企业信用报告，自然人投标的提供个人信用报告，供应商属于成立时间在规定年度之后的法人或其他组织，需提供成立之日起至响应截止时间前的月报表或银行出具的资信证明或者中国人民银行征信中心出具的企业信用报告；资信证明应在有效期内，未注明有效期的，银行出具时间至投标截止时间不超过一年</w:t>
            </w:r>
            <w:r>
              <w:rPr>
                <w:rFonts w:hint="eastAsia"/>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3B081683">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0547E86">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486B9D8">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7.除磋商文件规定必须提供以外，供应商认为需要提供的其他证明材料；</w:t>
            </w:r>
          </w:p>
          <w:p w14:paraId="3F943ACE">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4A0D88A">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1.以上标明“必须提供”的材料属于复印件的，必须加盖供应商</w:t>
            </w:r>
            <w:r>
              <w:rPr>
                <w:rFonts w:hint="eastAsia"/>
                <w:b/>
                <w:color w:val="000000" w:themeColor="text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，否则响应文件按无效处理。</w:t>
            </w:r>
          </w:p>
          <w:p w14:paraId="199FE899">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2.分公司参加投标的，应当取得总公司授权，否则按无效投标处理。（允许分公司参与的行业有银行、保险、石油石化、电力、电信等行业）。</w:t>
            </w:r>
          </w:p>
        </w:tc>
      </w:tr>
      <w:tr w14:paraId="24B9A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654E7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77810432">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w:t>
            </w:r>
          </w:p>
          <w:p w14:paraId="2B8AFCDC">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E133FCB">
            <w:pPr>
              <w:pStyle w:val="21"/>
              <w:spacing w:line="360" w:lineRule="auto"/>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2.《中小企业声明函》或监狱企业由省级以上监狱管理局、戒毒管理局（含新疆生产建设兵团）出具的属于监狱企业的证明文件或《残疾人福利性单位声明函》（格式后附）；</w:t>
            </w:r>
          </w:p>
          <w:p w14:paraId="1383073F">
            <w:pPr>
              <w:pStyle w:val="21"/>
              <w:spacing w:line="360" w:lineRule="auto"/>
              <w:rPr>
                <w:color w:val="000000" w:themeColor="text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3.供应商针对报价需要说明的其他文件和说明（格式自拟）。</w:t>
            </w:r>
          </w:p>
        </w:tc>
      </w:tr>
      <w:tr w14:paraId="7D95A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4A174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p>
        </w:tc>
        <w:tc>
          <w:tcPr>
            <w:tcW w:w="7912" w:type="dxa"/>
            <w:vAlign w:val="center"/>
          </w:tcPr>
          <w:p w14:paraId="6F6CCC4C">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3BE66BF5">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1C8799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2ED3254">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0B09B4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4.磋商保证金提交凭证；</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4240E52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EA4E42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6D1D98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7.项目实施人员一览表（格式后附）； </w:t>
            </w:r>
          </w:p>
          <w:p w14:paraId="5B93DC3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8.项目实施方案；</w:t>
            </w:r>
          </w:p>
          <w:p w14:paraId="52737288">
            <w:pPr>
              <w:spacing w:line="36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9.服务承诺；</w:t>
            </w:r>
          </w:p>
          <w:p w14:paraId="31FDBBBA">
            <w:pPr>
              <w:spacing w:line="36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10.对应采购需求的技术、商务条款提供的其他文件资料；</w:t>
            </w:r>
          </w:p>
          <w:p w14:paraId="6E178CC2">
            <w:pPr>
              <w:spacing w:line="36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11.供应商认为需要提供的有关资料；</w:t>
            </w:r>
          </w:p>
          <w:p w14:paraId="187FE58A">
            <w:pPr>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w:t>
            </w:r>
            <w:r>
              <w:rPr>
                <w:rFonts w:hint="eastAsia" w:ascii="宋体" w:hAnsi="宋体"/>
                <w:b/>
                <w:bCs/>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，否则响应文件按无效响应处理。</w:t>
            </w:r>
          </w:p>
        </w:tc>
      </w:tr>
      <w:tr w14:paraId="7133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C3D2B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00770628">
            <w:pPr>
              <w:adjustRightInd w:val="0"/>
              <w:snapToGrid w:val="0"/>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报价是履行合同的最终价格，磋商报价已包括了完成本项目服务工作所需的人员成本、劳务费、技术服务费、管理、交通、通讯、保险、利润、法律法规、政策性文件规定及合同包含的应有风险、责任等与本项目相关的所有费用。（采购需求另有约定的，从其约定。）</w:t>
            </w:r>
          </w:p>
        </w:tc>
      </w:tr>
      <w:tr w14:paraId="46B9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3F88B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396DDCBB">
            <w:pPr>
              <w:pStyle w:val="10"/>
              <w:widowControl w:val="0"/>
              <w:snapToGrid w:val="0"/>
              <w:spacing w:after="0" w:afterLines="0" w:line="360" w:lineRule="auto"/>
              <w:ind w:left="283" w:hanging="283" w:hangingChars="135"/>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ascii="宋体" w:hAnsi="宋体" w:cs="宋体"/>
                <w:color w:val="000000" w:themeColor="text1"/>
                <w:kern w:val="2"/>
                <w:sz w:val="21"/>
                <w:szCs w:val="21"/>
                <w:highlight w:val="none"/>
                <w:u w:val="single"/>
                <w14:textFill>
                  <w14:solidFill>
                    <w14:schemeClr w14:val="tx1"/>
                  </w14:solidFill>
                </w14:textFill>
              </w:rPr>
              <w:t xml:space="preserve"> 90</w:t>
            </w:r>
            <w:r>
              <w:rPr>
                <w:rFonts w:hint="eastAsia" w:ascii="宋体" w:hAnsi="宋体" w:cs="宋体"/>
                <w:color w:val="000000" w:themeColor="text1"/>
                <w:kern w:val="2"/>
                <w:sz w:val="21"/>
                <w:szCs w:val="21"/>
                <w:highlight w:val="none"/>
                <w14:textFill>
                  <w14:solidFill>
                    <w14:schemeClr w14:val="tx1"/>
                  </w14:solidFill>
                </w14:textFill>
              </w:rPr>
              <w:t>日。</w:t>
            </w:r>
          </w:p>
        </w:tc>
      </w:tr>
      <w:tr w14:paraId="4019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2A43D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50798F75">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磋商保证金的交纳方式：详见竞争性磋商公告。</w:t>
            </w:r>
          </w:p>
          <w:p w14:paraId="62815B1C">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磋商保证金的金额：详见竞争性磋商公告。</w:t>
            </w:r>
          </w:p>
          <w:p w14:paraId="179138AF">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相关要求：</w:t>
            </w:r>
          </w:p>
          <w:p w14:paraId="3938608D">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采用银行转账交纳方式的，在首次响应文件提交截止时间前交至采购代理机构指定账户并且到账，供应商应将银行转账底单的复印件作为磋商保证金提交凭证，放置于报价商务技术文件中，否则响应文件按无效响应处理。</w:t>
            </w:r>
          </w:p>
          <w:p w14:paraId="42DCC5EF">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保证金采用支票、汇票或本票交纳方式的，供应商应将支票、汇票或本票的复印件作为磋商保证金提交凭证，放置于报价商务技术文件中，否则响应文件按无效响应处理。在首次响应文件提交截止时间前，供应商应当于首次响应文件提交地点现场递交单独密封的支票、汇票或本票原件[原件单独放入一个密封袋中，并在封口处加盖供应商公章或委托代理人签字，以示密封，在封套上标记“项目名称（项目编号）磋商保证金”字样]，否则响应文件按无效响应处理。</w:t>
            </w:r>
          </w:p>
          <w:p w14:paraId="2AA22AF5">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磋商保证金采用银行、保险机构出具的保函交纳方式的，供应商应将保函的复印件作为磋商保证金提交凭证，放置于报价商务技术文件中，否则响应文件按无效响应处理。在首次响应文件提交截止时间前，供应商应当于首次响应文件提交地点现场递交单独密封的保函原件[原件单独放入一个密封袋中，并在封口处加盖供应商公章或委托代理人签字，以示密封，在封套上标记“项目名称（项目编号）磋商保证金”字样]，否则响应文件按无效响应处理。</w:t>
            </w:r>
          </w:p>
          <w:p w14:paraId="2A56B745">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4.磋商保证金指定帐户：详见竞争性磋商公告。</w:t>
            </w:r>
          </w:p>
          <w:p w14:paraId="5BC1A9BB">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p>
          <w:p w14:paraId="2F9958B4">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备注： </w:t>
            </w:r>
          </w:p>
          <w:p w14:paraId="28ECCF34">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1.磋商保证金在首次响应文件提交截止时间后提交的，或不按规定交纳方式交纳的，或未足额交纳的（包含保函额度不足的），视为无效磋商保证金。</w:t>
            </w:r>
          </w:p>
          <w:p w14:paraId="1FD5C141">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2.供应商采用现钞方式或从个人账户（自然人竞标除外）转出的磋商保证金，视为无效磋商保证金。</w:t>
            </w:r>
          </w:p>
          <w:p w14:paraId="66639967">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3.支票、汇票或本票出现无效或者背书情形的，视为无效磋商保证金。</w:t>
            </w:r>
          </w:p>
          <w:p w14:paraId="1600E681">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4.保函有效期低于竞标有效期的，视为无效磋商保证金。</w:t>
            </w:r>
          </w:p>
          <w:p w14:paraId="3B978D6C">
            <w:pPr>
              <w:autoSpaceDE w:val="0"/>
              <w:autoSpaceDN w:val="0"/>
              <w:snapToGrid w:val="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5.采用银行、保险机构出具保函的，必须为无条件保函，否则视为无效磋商保证金。</w:t>
            </w:r>
          </w:p>
        </w:tc>
      </w:tr>
      <w:tr w14:paraId="4E2EE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05993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vAlign w:val="center"/>
          </w:tcPr>
          <w:p w14:paraId="62D2DB2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tc>
      </w:tr>
      <w:tr w14:paraId="494FA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B2EDA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6055145C">
            <w:pPr>
              <w:spacing w:line="360" w:lineRule="auto"/>
              <w:contextualSpacing/>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3AFAF9D8">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77E7B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C42C5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73E6CA31">
            <w:pPr>
              <w:snapToGrid w:val="0"/>
              <w:spacing w:line="360" w:lineRule="auto"/>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w:t>
            </w:r>
          </w:p>
        </w:tc>
      </w:tr>
      <w:tr w14:paraId="47D31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1412E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1026140B">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1FDBA198">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Ansi="宋体"/>
                <w:color w:val="000000" w:themeColor="text1"/>
                <w:highlight w:val="none"/>
                <w:u w:val="single"/>
                <w14:textFill>
                  <w14:solidFill>
                    <w14:schemeClr w14:val="tx1"/>
                  </w14:solidFill>
                </w14:textFill>
              </w:rPr>
              <w:t xml:space="preserve">30 </w:t>
            </w:r>
            <w:r>
              <w:rPr>
                <w:rFonts w:hint="eastAsia" w:hAnsi="宋体"/>
                <w:color w:val="000000" w:themeColor="text1"/>
                <w:highlight w:val="none"/>
                <w14:textFill>
                  <w14:solidFill>
                    <w14:schemeClr w14:val="tx1"/>
                  </w14:solidFill>
                </w14:textFill>
              </w:rPr>
              <w:t>分钟</w:t>
            </w:r>
          </w:p>
        </w:tc>
      </w:tr>
      <w:tr w14:paraId="7287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07ED45D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6.3</w:t>
            </w:r>
          </w:p>
        </w:tc>
        <w:tc>
          <w:tcPr>
            <w:tcW w:w="7912" w:type="dxa"/>
            <w:vAlign w:val="center"/>
          </w:tcPr>
          <w:p w14:paraId="349E121E">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项，</w:t>
            </w:r>
            <w:r>
              <w:rPr>
                <w:rFonts w:hint="eastAsia" w:hAnsi="宋体"/>
                <w:color w:val="000000" w:themeColor="text1"/>
                <w:highlight w:val="none"/>
                <w14:textFill>
                  <w14:solidFill>
                    <w14:schemeClr w14:val="tx1"/>
                  </w14:solidFill>
                </w14:textFill>
              </w:rPr>
              <w:t>（负偏离达到</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项或以上则投标无效）</w:t>
            </w:r>
            <w:r>
              <w:rPr>
                <w:rFonts w:hint="eastAsia" w:ascii="宋体" w:hAnsi="宋体" w:cs="宋体"/>
                <w:color w:val="000000" w:themeColor="text1"/>
                <w:szCs w:val="21"/>
                <w:highlight w:val="none"/>
                <w14:textFill>
                  <w14:solidFill>
                    <w14:schemeClr w14:val="tx1"/>
                  </w14:solidFill>
                </w14:textFill>
              </w:rPr>
              <w:t>。</w:t>
            </w:r>
          </w:p>
          <w:p w14:paraId="2F29D2C7">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w:t>
            </w:r>
            <w:r>
              <w:rPr>
                <w:rFonts w:hint="eastAsia" w:ascii="宋体" w:hAnsi="宋体" w:cs="宋体"/>
                <w:color w:val="000000" w:themeColor="text1"/>
                <w:szCs w:val="21"/>
                <w:highlight w:val="none"/>
                <w14:textFill>
                  <w14:solidFill>
                    <w14:schemeClr w14:val="tx1"/>
                  </w14:solidFill>
                </w14:textFill>
              </w:rPr>
              <w:t>项，</w:t>
            </w:r>
            <w:r>
              <w:rPr>
                <w:rFonts w:hint="eastAsia" w:hAnsi="宋体"/>
                <w:color w:val="000000" w:themeColor="text1"/>
                <w:highlight w:val="none"/>
                <w14:textFill>
                  <w14:solidFill>
                    <w14:schemeClr w14:val="tx1"/>
                  </w14:solidFill>
                </w14:textFill>
              </w:rPr>
              <w:t>（负偏离达到1项或以上则投标无效）</w:t>
            </w:r>
            <w:r>
              <w:rPr>
                <w:rFonts w:hint="eastAsia" w:ascii="宋体" w:hAnsi="宋体" w:cs="宋体"/>
                <w:color w:val="000000" w:themeColor="text1"/>
                <w:szCs w:val="21"/>
                <w:highlight w:val="none"/>
                <w14:textFill>
                  <w14:solidFill>
                    <w14:schemeClr w14:val="tx1"/>
                  </w14:solidFill>
                </w14:textFill>
              </w:rPr>
              <w:t>。</w:t>
            </w:r>
          </w:p>
        </w:tc>
      </w:tr>
      <w:tr w14:paraId="66B4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8A018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7A6A9619">
            <w:pPr>
              <w:widowControl/>
              <w:adjustRightInd w:val="0"/>
              <w:snapToGrid w:val="0"/>
              <w:spacing w:line="324" w:lineRule="auto"/>
              <w:jc w:val="left"/>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履约保证金金额：按中标金额的</w:t>
            </w:r>
            <w:r>
              <w:rPr>
                <w:rFonts w:hint="eastAsia" w:ascii="宋体" w:hAnsi="宋体"/>
                <w:color w:val="000000" w:themeColor="text1"/>
                <w:kern w:val="0"/>
                <w:highlight w:val="none"/>
                <w:u w:val="single"/>
                <w14:textFill>
                  <w14:solidFill>
                    <w14:schemeClr w14:val="tx1"/>
                  </w14:solidFill>
                </w14:textFill>
              </w:rPr>
              <w:t xml:space="preserve"> 5 </w:t>
            </w:r>
            <w:r>
              <w:rPr>
                <w:rFonts w:hint="eastAsia" w:ascii="宋体" w:hAnsi="宋体"/>
                <w:color w:val="000000" w:themeColor="text1"/>
                <w:kern w:val="0"/>
                <w:highlight w:val="none"/>
                <w14:textFill>
                  <w14:solidFill>
                    <w14:schemeClr w14:val="tx1"/>
                  </w14:solidFill>
                </w14:textFill>
              </w:rPr>
              <w:t>%，如成交人为中小微企业则按成交金额的2%收取，成交人须于成交通知书发出之日起5个工作日内向采购人缴纳。</w:t>
            </w:r>
          </w:p>
          <w:p w14:paraId="660D4467">
            <w:pPr>
              <w:widowControl/>
              <w:adjustRightInd w:val="0"/>
              <w:snapToGrid w:val="0"/>
              <w:spacing w:line="324" w:lineRule="auto"/>
              <w:jc w:val="left"/>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履约保证金递交方式：银行转账、支票、汇票、本票或者金融机构、担保机构出具的保函等非现金形式提交。</w:t>
            </w:r>
          </w:p>
          <w:p w14:paraId="2605FF0F">
            <w:pPr>
              <w:autoSpaceDE w:val="0"/>
              <w:autoSpaceDN w:val="0"/>
              <w:snapToGrid w:val="0"/>
              <w:spacing w:line="360" w:lineRule="auto"/>
              <w:textAlignment w:val="bottom"/>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履约保证金退付方式、时间及条件：合同签订后，如成交人按合同履约的，并按照服务要求履行承诺，自服务期满之日起，由成交人向采购人发出付款函，采购人自收到函件之日起十五个工作日内向成交人支付（无息）。如成交人不按双方签订的合同履约的，履约保证金不予退还，造成采购人损失的，按实际损失赔偿；</w:t>
            </w:r>
          </w:p>
          <w:p w14:paraId="4F169B8B">
            <w:pPr>
              <w:spacing w:line="360" w:lineRule="auto"/>
              <w:rPr>
                <w:rFonts w:hint="eastAsia"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r>
              <w:rPr>
                <w:rFonts w:hint="eastAsia" w:ascii="宋体" w:hAnsi="宋体"/>
                <w:color w:val="000000" w:themeColor="text1"/>
                <w:highlight w:val="none"/>
                <w14:textFill>
                  <w14:solidFill>
                    <w14:schemeClr w14:val="tx1"/>
                  </w14:solidFill>
                </w14:textFill>
              </w:rPr>
              <w:br w:type="textWrapping"/>
            </w:r>
            <w:r>
              <w:rPr>
                <w:rFonts w:hint="eastAsia" w:ascii="宋体" w:hAnsi="宋体" w:cs="宋体"/>
                <w:b/>
                <w:color w:val="000000" w:themeColor="text1"/>
                <w:szCs w:val="21"/>
                <w:highlight w:val="none"/>
                <w14:textFill>
                  <w14:solidFill>
                    <w14:schemeClr w14:val="tx1"/>
                  </w14:solidFill>
                </w14:textFill>
              </w:rPr>
              <w:t xml:space="preserve">1. </w:t>
            </w:r>
            <w:bookmarkStart w:id="63" w:name="_Hlk54170335"/>
            <w:r>
              <w:rPr>
                <w:rFonts w:hint="eastAsia" w:ascii="宋体" w:hAnsi="宋体" w:cs="宋体"/>
                <w:b/>
                <w:color w:val="000000" w:themeColor="text1"/>
                <w:szCs w:val="21"/>
                <w:highlight w:val="none"/>
                <w14:textFill>
                  <w14:solidFill>
                    <w14:schemeClr w14:val="tx1"/>
                  </w14:solidFill>
                </w14:textFill>
              </w:rPr>
              <w:t>根据</w:t>
            </w:r>
            <w:r>
              <w:rPr>
                <w:rFonts w:hint="eastAsia" w:ascii="宋体" w:hAnsi="宋体"/>
                <w:b/>
                <w:color w:val="000000" w:themeColor="text1"/>
                <w:szCs w:val="21"/>
                <w:highlight w:val="none"/>
                <w14:textFill>
                  <w14:solidFill>
                    <w14:schemeClr w14:val="tx1"/>
                  </w14:solidFill>
                </w14:textFill>
              </w:rPr>
              <w:t>《广西壮族自治区财政厅关于贯彻落实政府采购优化营商环境百日攻坚行动方案的通知》（桂财采〔2020〕49号）和</w:t>
            </w:r>
            <w:r>
              <w:rPr>
                <w:rFonts w:hint="eastAsia" w:ascii="宋体" w:hAnsi="宋体" w:cs="宋体"/>
                <w:b/>
                <w:color w:val="000000" w:themeColor="text1"/>
                <w:szCs w:val="21"/>
                <w:highlight w:val="none"/>
                <w14:textFill>
                  <w14:solidFill>
                    <w14:schemeClr w14:val="tx1"/>
                  </w14:solidFill>
                </w14:textFill>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63"/>
            <w:r>
              <w:rPr>
                <w:rFonts w:hint="eastAsia" w:ascii="宋体" w:hAnsi="宋体"/>
                <w:color w:val="000000" w:themeColor="text1"/>
                <w:highlight w:val="none"/>
                <w14:textFill>
                  <w14:solidFill>
                    <w14:schemeClr w14:val="tx1"/>
                  </w14:solidFill>
                </w14:textFill>
              </w:rPr>
              <w:br w:type="textWrapping"/>
            </w:r>
            <w:r>
              <w:rPr>
                <w:rFonts w:hint="eastAsia" w:ascii="宋体" w:hAnsi="宋体"/>
                <w:b/>
                <w:color w:val="000000" w:themeColor="text1"/>
                <w:highlight w:val="none"/>
                <w14:textFill>
                  <w14:solidFill>
                    <w14:schemeClr w14:val="tx1"/>
                  </w14:solidFill>
                </w14:textFill>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b/>
                <w:color w:val="000000" w:themeColor="text1"/>
                <w:highlight w:val="none"/>
                <w14:textFill>
                  <w14:solidFill>
                    <w14:schemeClr w14:val="tx1"/>
                  </w14:solidFill>
                </w14:textFill>
              </w:rPr>
              <w:br w:type="textWrapping"/>
            </w:r>
            <w:r>
              <w:rPr>
                <w:rFonts w:hint="eastAsia" w:ascii="宋体" w:hAnsi="宋体"/>
                <w:b/>
                <w:color w:val="000000" w:themeColor="text1"/>
                <w:highlight w:val="none"/>
                <w14:textFill>
                  <w14:solidFill>
                    <w14:schemeClr w14:val="tx1"/>
                  </w14:solidFill>
                </w14:textFill>
              </w:rPr>
              <w:t>3.采用金融、担保机构出具保函的，必须为无条件保函，否则视为未按规定提交履约保证金。</w:t>
            </w:r>
          </w:p>
          <w:p w14:paraId="315A0D12">
            <w:pPr>
              <w:pStyle w:val="21"/>
              <w:rPr>
                <w:color w:val="000000" w:themeColor="text1"/>
                <w:highlight w:val="none"/>
                <w14:textFill>
                  <w14:solidFill>
                    <w14:schemeClr w14:val="tx1"/>
                  </w14:solidFill>
                </w14:textFill>
              </w:rPr>
            </w:pPr>
            <w:r>
              <w:rPr>
                <w:rFonts w:hint="eastAsia" w:ascii="宋体" w:hAnsi="宋体"/>
                <w:b/>
                <w:color w:val="000000" w:themeColor="text1"/>
                <w:kern w:val="2"/>
                <w:sz w:val="21"/>
                <w:szCs w:val="24"/>
                <w:highlight w:val="none"/>
                <w14:textFill>
                  <w14:solidFill>
                    <w14:schemeClr w14:val="tx1"/>
                  </w14:solidFill>
                </w14:textFill>
              </w:rPr>
              <w:t>4.供应商为联合体的，可由联合体任意一方或者联合体各方共同提交的履约保证金，视为有效履约保证金。</w:t>
            </w:r>
          </w:p>
        </w:tc>
      </w:tr>
      <w:tr w14:paraId="38264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71D07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vAlign w:val="center"/>
          </w:tcPr>
          <w:p w14:paraId="255628DD">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756A6765">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0E0D87FA">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3F3C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5B595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5E7E290D">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接收质疑函方式：以书面形式。</w:t>
            </w:r>
          </w:p>
          <w:p w14:paraId="28F9D382">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质疑联系部门及联系方式：广西交投宏冠工程咨询有限公司</w:t>
            </w:r>
          </w:p>
          <w:p w14:paraId="1333D867">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联系电话：0771-2115704</w:t>
            </w:r>
          </w:p>
          <w:p w14:paraId="4701A768">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通讯地址：广西南宁市合作路6号五洲国际商铺D座316室</w:t>
            </w:r>
          </w:p>
          <w:p w14:paraId="25801F45">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业务时间：每天上午8时00分到12时00分，下午3时00分到6时 00分，双休日和法定节假日不办理业务。</w:t>
            </w:r>
          </w:p>
        </w:tc>
      </w:tr>
      <w:tr w14:paraId="6E2E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BF7BF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vAlign w:val="center"/>
          </w:tcPr>
          <w:p w14:paraId="58026547">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1.采购代理费支付方式：</w:t>
            </w:r>
          </w:p>
          <w:p w14:paraId="6EF42C62">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本项目代理服务费按如下规定由</w:t>
            </w:r>
            <w:r>
              <w:rPr>
                <w:rFonts w:hint="eastAsia" w:ascii="宋体" w:hAnsi="宋体" w:cs="宋体"/>
                <w:color w:val="000000" w:themeColor="text1"/>
                <w:kern w:val="0"/>
                <w:szCs w:val="21"/>
                <w:highlight w:val="none"/>
                <w:u w:val="single"/>
                <w14:textFill>
                  <w14:solidFill>
                    <w14:schemeClr w14:val="tx1"/>
                  </w14:solidFill>
                </w14:textFill>
              </w:rPr>
              <w:t>成交供应商</w:t>
            </w:r>
            <w:r>
              <w:rPr>
                <w:rFonts w:hint="eastAsia" w:ascii="宋体" w:hAnsi="宋体" w:cs="宋体"/>
                <w:color w:val="000000" w:themeColor="text1"/>
                <w:kern w:val="0"/>
                <w:szCs w:val="21"/>
                <w:highlight w:val="none"/>
                <w14:textFill>
                  <w14:solidFill>
                    <w14:schemeClr w14:val="tx1"/>
                  </w14:solidFill>
                </w14:textFill>
              </w:rPr>
              <w:t>在领取成交通知书前，一次性向采购代理机构支付。</w:t>
            </w:r>
          </w:p>
          <w:p w14:paraId="28579268">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□采购人支付。</w:t>
            </w:r>
          </w:p>
          <w:p w14:paraId="42985B59">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2.采购代理费收取标准：</w:t>
            </w:r>
          </w:p>
          <w:p w14:paraId="69F54EAE">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MS Mincho" w:hAnsi="MS Mincho" w:cs="MS Mincho"/>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以分标（</w:t>
            </w:r>
            <w:r>
              <w:rPr>
                <w:rFonts w:hint="eastAsia" w:ascii="MS Mincho" w:hAnsi="MS Mincho" w:eastAsia="MS Mincho" w:cs="MS Mincho"/>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成交金额/</w:t>
            </w:r>
            <w:r>
              <w:rPr>
                <w:rFonts w:hint="eastAsia" w:ascii="宋体" w:hAnsi="宋体"/>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采购预算/□暂定成交金额/□其他</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）为计费额，按本须知正文第32.1条规定的（□货物类/</w:t>
            </w:r>
            <w:r>
              <w:rPr>
                <w:rFonts w:hint="eastAsia" w:ascii="MS Mincho" w:hAnsi="MS Mincho" w:eastAsia="MS Mincho" w:cs="MS Mincho"/>
                <w:color w:val="000000" w:themeColor="text1"/>
                <w:kern w:val="0"/>
                <w:sz w:val="2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服务类/□工程类）标准采用差额定率累进法计算出收费基准价格，采购代理收费以（</w:t>
            </w:r>
            <w:r>
              <w:rPr>
                <w:rFonts w:hint="eastAsia" w:ascii="MS Mincho" w:hAnsi="MS Mincho" w:cs="MS Mincho"/>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收费基准价格/☑收费基准价格下浮</w:t>
            </w:r>
            <w:r>
              <w:rPr>
                <w:rFonts w:hint="eastAsia" w:ascii="宋体" w:hAnsi="宋体" w:cs="宋体"/>
                <w:color w:val="000000" w:themeColor="text1"/>
                <w:kern w:val="0"/>
                <w:szCs w:val="21"/>
                <w:highlight w:val="none"/>
                <w:u w:val="single"/>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/□收费基准价格上浮</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）收取。</w:t>
            </w:r>
          </w:p>
          <w:p w14:paraId="02D851E4">
            <w:pPr>
              <w:snapToGrid w:val="0"/>
              <w:spacing w:line="360" w:lineRule="auto"/>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□固定采购代理收费</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3FCA41CA">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 采购代理费收取银行账户</w:t>
            </w:r>
          </w:p>
          <w:p w14:paraId="4D4AB16F">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户  名：广西交投宏冠工程咨询有限公司</w:t>
            </w:r>
          </w:p>
          <w:p w14:paraId="4585D201">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开户行：建行南宁朝阳支行营业部</w:t>
            </w:r>
          </w:p>
          <w:p w14:paraId="39D652AB">
            <w:pPr>
              <w:snapToGrid w:val="0"/>
              <w:spacing w:line="360" w:lineRule="auto"/>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账  号：4500 1604 4730 5070 8266</w:t>
            </w:r>
          </w:p>
        </w:tc>
      </w:tr>
      <w:tr w14:paraId="3DA6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BDF15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6EE0B5AD">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解释：</w:t>
            </w:r>
            <w:r>
              <w:rPr>
                <w:rFonts w:ascii="宋体" w:hAnsi="宋体"/>
                <w:color w:val="000000" w:themeColor="text1"/>
                <w:kern w:val="0"/>
                <w:szCs w:val="21"/>
                <w:highlight w:val="none"/>
                <w14:textFill>
                  <w14:solidFill>
                    <w14:schemeClr w14:val="tx1"/>
                  </w14:solidFill>
                </w14:textFill>
              </w:rPr>
              <w:t>构成本</w:t>
            </w:r>
            <w:r>
              <w:rPr>
                <w:rFonts w:hint="eastAsia" w:ascii="宋体" w:hAnsi="宋体"/>
                <w:color w:val="000000" w:themeColor="text1"/>
                <w:kern w:val="0"/>
                <w:szCs w:val="21"/>
                <w:highlight w:val="none"/>
                <w14:textFill>
                  <w14:solidFill>
                    <w14:schemeClr w14:val="tx1"/>
                  </w14:solidFill>
                </w14:textFill>
              </w:rPr>
              <w:t>磋商文件</w:t>
            </w:r>
            <w:r>
              <w:rPr>
                <w:rFonts w:ascii="宋体" w:hAnsi="宋体"/>
                <w:color w:val="000000" w:themeColor="text1"/>
                <w:kern w:val="0"/>
                <w:szCs w:val="21"/>
                <w:highlight w:val="none"/>
                <w14:textFill>
                  <w14:solidFill>
                    <w14:schemeClr w14:val="tx1"/>
                  </w14:solidFill>
                </w14:textFill>
              </w:rPr>
              <w:t>的各个组成文件应互为解释，互为说明；除</w:t>
            </w:r>
            <w:r>
              <w:rPr>
                <w:rFonts w:hint="eastAsia" w:ascii="宋体" w:hAnsi="宋体"/>
                <w:color w:val="000000" w:themeColor="text1"/>
                <w:kern w:val="0"/>
                <w:szCs w:val="21"/>
                <w:highlight w:val="none"/>
                <w14:textFill>
                  <w14:solidFill>
                    <w14:schemeClr w14:val="tx1"/>
                  </w14:solidFill>
                </w14:textFill>
              </w:rPr>
              <w:t>磋商文件</w:t>
            </w:r>
            <w:r>
              <w:rPr>
                <w:rFonts w:ascii="宋体" w:hAnsi="宋体"/>
                <w:color w:val="000000" w:themeColor="text1"/>
                <w:kern w:val="0"/>
                <w:szCs w:val="21"/>
                <w:highlight w:val="none"/>
                <w14:textFill>
                  <w14:solidFill>
                    <w14:schemeClr w14:val="tx1"/>
                  </w14:solidFill>
                </w14:textFill>
              </w:rPr>
              <w:t>中有特别规定外，仅适用于</w:t>
            </w:r>
            <w:r>
              <w:rPr>
                <w:rFonts w:hint="eastAsia" w:ascii="宋体" w:hAnsi="宋体"/>
                <w:color w:val="000000" w:themeColor="text1"/>
                <w:kern w:val="0"/>
                <w:szCs w:val="21"/>
                <w:highlight w:val="none"/>
                <w14:textFill>
                  <w14:solidFill>
                    <w14:schemeClr w14:val="tx1"/>
                  </w14:solidFill>
                </w14:textFill>
              </w:rPr>
              <w:t>竞标</w:t>
            </w:r>
            <w:r>
              <w:rPr>
                <w:rFonts w:ascii="宋体" w:hAnsi="宋体"/>
                <w:color w:val="000000" w:themeColor="text1"/>
                <w:kern w:val="0"/>
                <w:szCs w:val="21"/>
                <w:highlight w:val="none"/>
                <w14:textFill>
                  <w14:solidFill>
                    <w14:schemeClr w14:val="tx1"/>
                  </w14:solidFill>
                </w14:textFill>
              </w:rPr>
              <w:t>阶段的规定，按</w:t>
            </w:r>
            <w:r>
              <w:rPr>
                <w:rFonts w:hint="eastAsia" w:ascii="宋体" w:hAnsi="宋体"/>
                <w:color w:val="000000" w:themeColor="text1"/>
                <w:kern w:val="0"/>
                <w:szCs w:val="21"/>
                <w:highlight w:val="none"/>
                <w14:textFill>
                  <w14:solidFill>
                    <w14:schemeClr w14:val="tx1"/>
                  </w14:solidFill>
                </w14:textFill>
              </w:rPr>
              <w:t>更正公告（澄清公告）</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竞争性磋商</w:t>
            </w:r>
            <w:r>
              <w:rPr>
                <w:rFonts w:ascii="宋体" w:hAnsi="宋体"/>
                <w:color w:val="000000" w:themeColor="text1"/>
                <w:kern w:val="0"/>
                <w:szCs w:val="21"/>
                <w:highlight w:val="none"/>
                <w14:textFill>
                  <w14:solidFill>
                    <w14:schemeClr w14:val="tx1"/>
                  </w14:solidFill>
                </w14:textFill>
              </w:rPr>
              <w:t>公告、</w:t>
            </w:r>
            <w:r>
              <w:rPr>
                <w:rFonts w:hint="eastAsia" w:ascii="宋体" w:hAnsi="宋体"/>
                <w:color w:val="000000" w:themeColor="text1"/>
                <w:kern w:val="0"/>
                <w:szCs w:val="21"/>
                <w:highlight w:val="none"/>
                <w14:textFill>
                  <w14:solidFill>
                    <w14:schemeClr w14:val="tx1"/>
                  </w14:solidFill>
                </w14:textFill>
              </w:rPr>
              <w:t>供应商</w:t>
            </w:r>
            <w:r>
              <w:rPr>
                <w:rFonts w:ascii="宋体" w:hAnsi="宋体"/>
                <w:color w:val="000000" w:themeColor="text1"/>
                <w:kern w:val="0"/>
                <w:szCs w:val="21"/>
                <w:highlight w:val="none"/>
                <w14:textFill>
                  <w14:solidFill>
                    <w14:schemeClr w14:val="tx1"/>
                  </w14:solidFill>
                </w14:textFill>
              </w:rPr>
              <w:t>须知</w:t>
            </w:r>
            <w:r>
              <w:rPr>
                <w:rFonts w:hint="eastAsia" w:ascii="宋体" w:hAnsi="宋体"/>
                <w:color w:val="000000" w:themeColor="text1"/>
                <w:kern w:val="0"/>
                <w:szCs w:val="21"/>
                <w:highlight w:val="none"/>
                <w14:textFill>
                  <w14:solidFill>
                    <w14:schemeClr w14:val="tx1"/>
                  </w14:solidFill>
                </w14:textFill>
              </w:rPr>
              <w:t>、采购需求</w:t>
            </w:r>
            <w:r>
              <w:rPr>
                <w:rFonts w:ascii="宋体" w:hAnsi="宋体"/>
                <w:color w:val="000000" w:themeColor="text1"/>
                <w:kern w:val="0"/>
                <w:szCs w:val="21"/>
                <w:highlight w:val="none"/>
                <w14:textFill>
                  <w14:solidFill>
                    <w14:schemeClr w14:val="tx1"/>
                  </w14:solidFill>
                </w14:textFill>
              </w:rPr>
              <w:t>、</w:t>
            </w:r>
            <w:r>
              <w:rPr>
                <w:rFonts w:hint="eastAsia" w:ascii="宋体" w:hAnsi="Courier New"/>
                <w:color w:val="000000" w:themeColor="text1"/>
                <w:kern w:val="0"/>
                <w:szCs w:val="21"/>
                <w:highlight w:val="none"/>
                <w14:textFill>
                  <w14:solidFill>
                    <w14:schemeClr w14:val="tx1"/>
                  </w14:solidFill>
                </w14:textFill>
              </w:rPr>
              <w:t>评审程序、评审方法和评审标准</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响应</w:t>
            </w:r>
            <w:r>
              <w:rPr>
                <w:rFonts w:ascii="宋体" w:hAnsi="宋体"/>
                <w:color w:val="000000" w:themeColor="text1"/>
                <w:kern w:val="0"/>
                <w:szCs w:val="21"/>
                <w:highlight w:val="none"/>
                <w14:textFill>
                  <w14:solidFill>
                    <w14:schemeClr w14:val="tx1"/>
                  </w14:solidFill>
                </w14:textFill>
              </w:rPr>
              <w:t>文件格式</w:t>
            </w:r>
            <w:r>
              <w:rPr>
                <w:rFonts w:hint="eastAsia" w:ascii="宋体" w:hAnsi="宋体"/>
                <w:color w:val="000000" w:themeColor="text1"/>
                <w:kern w:val="0"/>
                <w:szCs w:val="21"/>
                <w:highlight w:val="none"/>
                <w14:textFill>
                  <w14:solidFill>
                    <w14:schemeClr w14:val="tx1"/>
                  </w14:solidFill>
                </w14:textFill>
              </w:rPr>
              <w:t>、合同文本</w:t>
            </w:r>
            <w:r>
              <w:rPr>
                <w:rFonts w:ascii="宋体" w:hAnsi="宋体"/>
                <w:color w:val="000000" w:themeColor="text1"/>
                <w:kern w:val="0"/>
                <w:szCs w:val="21"/>
                <w:highlight w:val="none"/>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kern w:val="0"/>
                <w:szCs w:val="21"/>
                <w:highlight w:val="none"/>
                <w14:textFill>
                  <w14:solidFill>
                    <w14:schemeClr w14:val="tx1"/>
                  </w14:solidFill>
                </w14:textFill>
              </w:rPr>
              <w:t>更正公告（澄清公告）</w:t>
            </w:r>
            <w:r>
              <w:rPr>
                <w:rFonts w:ascii="宋体" w:hAnsi="宋体"/>
                <w:color w:val="000000" w:themeColor="text1"/>
                <w:kern w:val="0"/>
                <w:szCs w:val="21"/>
                <w:highlight w:val="none"/>
                <w14:textFill>
                  <w14:solidFill>
                    <w14:schemeClr w14:val="tx1"/>
                  </w14:solidFill>
                </w14:textFill>
              </w:rPr>
              <w:t>与同步更新的</w:t>
            </w:r>
            <w:r>
              <w:rPr>
                <w:rFonts w:hint="eastAsia" w:ascii="宋体" w:hAnsi="宋体"/>
                <w:color w:val="000000" w:themeColor="text1"/>
                <w:kern w:val="0"/>
                <w:szCs w:val="21"/>
                <w:highlight w:val="none"/>
                <w14:textFill>
                  <w14:solidFill>
                    <w14:schemeClr w14:val="tx1"/>
                  </w14:solidFill>
                </w14:textFill>
              </w:rPr>
              <w:t>磋商文件</w:t>
            </w:r>
            <w:r>
              <w:rPr>
                <w:rFonts w:ascii="宋体" w:hAnsi="宋体"/>
                <w:color w:val="000000" w:themeColor="text1"/>
                <w:kern w:val="0"/>
                <w:szCs w:val="21"/>
                <w:highlight w:val="none"/>
                <w14:textFill>
                  <w14:solidFill>
                    <w14:schemeClr w14:val="tx1"/>
                  </w14:solidFill>
                </w14:textFill>
              </w:rPr>
              <w:t>不一致时以</w:t>
            </w:r>
            <w:r>
              <w:rPr>
                <w:rFonts w:hint="eastAsia" w:ascii="宋体" w:hAnsi="宋体"/>
                <w:color w:val="000000" w:themeColor="text1"/>
                <w:kern w:val="0"/>
                <w:szCs w:val="21"/>
                <w:highlight w:val="none"/>
                <w14:textFill>
                  <w14:solidFill>
                    <w14:schemeClr w14:val="tx1"/>
                  </w14:solidFill>
                </w14:textFill>
              </w:rPr>
              <w:t>更正公告（澄清公告）</w:t>
            </w:r>
            <w:r>
              <w:rPr>
                <w:rFonts w:ascii="宋体" w:hAnsi="宋体"/>
                <w:color w:val="000000" w:themeColor="text1"/>
                <w:kern w:val="0"/>
                <w:szCs w:val="21"/>
                <w:highlight w:val="none"/>
                <w14:textFill>
                  <w14:solidFill>
                    <w14:schemeClr w14:val="tx1"/>
                  </w14:solidFill>
                </w14:textFill>
              </w:rPr>
              <w:t>为准。按本款前述规定仍不能形成结论的，由</w:t>
            </w:r>
            <w:r>
              <w:rPr>
                <w:rFonts w:hint="eastAsia" w:ascii="宋体" w:hAnsi="宋体"/>
                <w:color w:val="000000" w:themeColor="text1"/>
                <w:kern w:val="0"/>
                <w:szCs w:val="21"/>
                <w:highlight w:val="none"/>
                <w14:textFill>
                  <w14:solidFill>
                    <w14:schemeClr w14:val="tx1"/>
                  </w14:solidFill>
                </w14:textFill>
              </w:rPr>
              <w:t>采购</w:t>
            </w:r>
            <w:r>
              <w:rPr>
                <w:rFonts w:ascii="宋体" w:hAnsi="宋体"/>
                <w:color w:val="000000" w:themeColor="text1"/>
                <w:kern w:val="0"/>
                <w:szCs w:val="21"/>
                <w:highlight w:val="none"/>
                <w14:textFill>
                  <w14:solidFill>
                    <w14:schemeClr w14:val="tx1"/>
                  </w14:solidFill>
                </w14:textFill>
              </w:rPr>
              <w:t>人</w:t>
            </w:r>
            <w:r>
              <w:rPr>
                <w:rFonts w:hint="eastAsia" w:ascii="宋体" w:hAnsi="宋体"/>
                <w:color w:val="000000" w:themeColor="text1"/>
                <w:kern w:val="0"/>
                <w:szCs w:val="21"/>
                <w:highlight w:val="none"/>
                <w14:textFill>
                  <w14:solidFill>
                    <w14:schemeClr w14:val="tx1"/>
                  </w14:solidFill>
                </w14:textFill>
              </w:rPr>
              <w:t>或者采购代理机构</w:t>
            </w:r>
            <w:r>
              <w:rPr>
                <w:rFonts w:ascii="宋体" w:hAnsi="宋体"/>
                <w:color w:val="000000" w:themeColor="text1"/>
                <w:kern w:val="0"/>
                <w:szCs w:val="21"/>
                <w:highlight w:val="none"/>
                <w14:textFill>
                  <w14:solidFill>
                    <w14:schemeClr w14:val="tx1"/>
                  </w14:solidFill>
                </w14:textFill>
              </w:rPr>
              <w:t>负责解释。</w:t>
            </w:r>
          </w:p>
        </w:tc>
      </w:tr>
      <w:tr w14:paraId="756AC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454A6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12" w:type="dxa"/>
            <w:vAlign w:val="center"/>
          </w:tcPr>
          <w:p w14:paraId="4945515A">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34EB90C">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2.本磋商文件所称的“</w:t>
            </w:r>
            <w:r>
              <w:rPr>
                <w:rFonts w:hint="eastAsia" w:ascii="宋体" w:hAnsi="宋体"/>
                <w:color w:val="000000" w:themeColor="text1"/>
                <w:kern w:val="0"/>
                <w:szCs w:val="21"/>
                <w:highlight w:val="none"/>
                <w14:textFill>
                  <w14:solidFill>
                    <w14:schemeClr w14:val="tx1"/>
                  </w14:solidFill>
                </w14:textFill>
              </w:rPr>
              <w:t>电子签章</w:t>
            </w:r>
            <w:r>
              <w:rPr>
                <w:rFonts w:hint="eastAsia" w:ascii="宋体" w:hAnsi="宋体" w:cs="宋体"/>
                <w:bCs/>
                <w:color w:val="000000" w:themeColor="text1"/>
                <w:kern w:val="0"/>
                <w:szCs w:val="21"/>
                <w:highlight w:val="none"/>
                <w14:textFill>
                  <w14:solidFill>
                    <w14:schemeClr w14:val="tx1"/>
                  </w14:solidFill>
                </w14:textFill>
              </w:rPr>
              <w:t>”、“电子签名”</w:t>
            </w:r>
            <w:r>
              <w:rPr>
                <w:rFonts w:hint="eastAsia" w:ascii="宋体" w:hAnsi="宋体"/>
                <w:color w:val="000000" w:themeColor="text1"/>
                <w:kern w:val="0"/>
                <w:szCs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7E1DC28B">
            <w:pPr>
              <w:snapToGrid w:val="0"/>
              <w:spacing w:line="360" w:lineRule="auto"/>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.供应商为其他组织或者自然人时，本磋商文件规定的法定代表人指负责人或者自然人。本磋商文件所称负责人是指参加竞标的其他组织</w:t>
            </w:r>
            <w:r>
              <w:rPr>
                <w:rFonts w:hint="eastAsia" w:ascii="宋体" w:hAnsi="宋体" w:cs="宋体"/>
                <w:bCs/>
                <w:color w:val="000000" w:themeColor="text1"/>
                <w:kern w:val="0"/>
                <w:szCs w:val="21"/>
                <w:highlight w:val="none"/>
                <w14:textFill>
                  <w14:solidFill>
                    <w14:schemeClr w14:val="tx1"/>
                  </w14:solidFill>
                </w14:textFill>
              </w:rPr>
              <w:t>营业执照或者执业许可证等证照上的</w:t>
            </w:r>
            <w:r>
              <w:rPr>
                <w:rFonts w:hint="eastAsia" w:ascii="宋体" w:hAnsi="宋体" w:cs="宋体"/>
                <w:color w:val="000000" w:themeColor="text1"/>
                <w:kern w:val="0"/>
                <w:szCs w:val="21"/>
                <w:highlight w:val="none"/>
                <w14:textFill>
                  <w14:solidFill>
                    <w14:schemeClr w14:val="tx1"/>
                  </w14:solidFill>
                </w14:textFill>
              </w:rPr>
              <w:t>负责人，本磋商文件所称自然人指参与竞标的自然人本人，</w:t>
            </w:r>
            <w:r>
              <w:rPr>
                <w:rFonts w:hint="eastAsia" w:ascii="宋体" w:hAnsi="宋体" w:cs="宋体"/>
                <w:bCs/>
                <w:color w:val="000000" w:themeColor="text1"/>
                <w:kern w:val="0"/>
                <w:szCs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56BD4FC0">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37A94FE4">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本磋商文件所称的“以上”“以下”“以内”“届满”，包括本数；所称的“不满”“超过”“以外”，不包括本数。</w:t>
            </w:r>
          </w:p>
        </w:tc>
      </w:tr>
    </w:tbl>
    <w:p w14:paraId="1B81FC5F">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64BB8953">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09901391">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774B500E">
      <w:pPr>
        <w:spacing w:line="400" w:lineRule="exact"/>
        <w:rPr>
          <w:rFonts w:hint="eastAsia" w:ascii="宋体" w:hAnsi="宋体"/>
          <w:color w:val="000000" w:themeColor="text1"/>
          <w:szCs w:val="21"/>
          <w:highlight w:val="none"/>
          <w14:textFill>
            <w14:solidFill>
              <w14:schemeClr w14:val="tx1"/>
            </w14:solidFill>
          </w14:textFill>
        </w:rPr>
      </w:pPr>
    </w:p>
    <w:p w14:paraId="1F4B13A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1E3D131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2811CF5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4E4B233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339348E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345FAD4A">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5587C9A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554FB00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6D201A3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039B6404">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7B589670">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10902E3E">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2.8“实质性要求”是指磋商文件中已经指明不满足则响应文件按无效响应处理的条款，或者不能负偏离的条款，或者采购需求中带“▲”的条款。</w:t>
      </w:r>
    </w:p>
    <w:p w14:paraId="064AB534">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7B163399">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1DC67F20">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6307C2EB">
      <w:pPr>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3BCD987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595F316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33F6EEE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2338978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4D1A981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1049C07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78685BD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5698D23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64"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4"/>
    </w:p>
    <w:p w14:paraId="3FC5C3A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20F09E10">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65" w:name="_Toc254970673"/>
      <w:bookmarkStart w:id="66" w:name="_Toc254970532"/>
      <w:r>
        <w:rPr>
          <w:rFonts w:hint="eastAsia" w:ascii="宋体" w:hAnsi="宋体"/>
          <w:b w:val="0"/>
          <w:color w:val="000000" w:themeColor="text1"/>
          <w:sz w:val="21"/>
          <w:szCs w:val="21"/>
          <w:highlight w:val="none"/>
          <w14:textFill>
            <w14:solidFill>
              <w14:schemeClr w14:val="tx1"/>
            </w14:solidFill>
          </w14:textFill>
        </w:rPr>
        <w:t>6.1本项目不允许转包。</w:t>
      </w:r>
    </w:p>
    <w:p w14:paraId="49EC99F6">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4DB5D85">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3E9F610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65"/>
      <w:bookmarkEnd w:id="66"/>
    </w:p>
    <w:p w14:paraId="035B103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67" w:name="_8.1提供相同品牌产品且通过资格审查、符合性审查的不同投标人参加同一合"/>
      <w:bookmarkEnd w:id="67"/>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68"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68"/>
    <w:p w14:paraId="578A7F7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77492F3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DA4CD7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466AED2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0F19B1D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67C92EF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2C1AD49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1C5A035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443FD93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7C989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26F7175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70469AA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5FA7C7C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42A8896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56ABA89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126F1B26">
      <w:pPr>
        <w:tabs>
          <w:tab w:val="left" w:pos="6931"/>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4B712B1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4F8DEFB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1332E0D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21E8F81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01817B1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5F5C162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6ACB504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14D3A53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676C8F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6607665E">
      <w:pPr>
        <w:spacing w:line="360" w:lineRule="auto"/>
        <w:ind w:left="1" w:firstLine="417" w:firstLineChars="199"/>
        <w:jc w:val="center"/>
        <w:rPr>
          <w:rFonts w:hint="eastAsia" w:ascii="宋体" w:hAnsi="宋体"/>
          <w:color w:val="000000" w:themeColor="text1"/>
          <w:highlight w:val="none"/>
          <w14:textFill>
            <w14:solidFill>
              <w14:schemeClr w14:val="tx1"/>
            </w14:solidFill>
          </w14:textFill>
        </w:rPr>
      </w:pPr>
      <w:bookmarkStart w:id="69" w:name="_Toc254970675"/>
      <w:bookmarkStart w:id="70" w:name="_Toc254970534"/>
    </w:p>
    <w:p w14:paraId="44EF136B">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69"/>
      <w:bookmarkEnd w:id="70"/>
    </w:p>
    <w:p w14:paraId="22C8BF99">
      <w:pPr>
        <w:spacing w:line="360" w:lineRule="auto"/>
        <w:rPr>
          <w:rFonts w:hint="eastAsia" w:ascii="宋体" w:hAnsi="宋体"/>
          <w:color w:val="000000" w:themeColor="text1"/>
          <w:szCs w:val="21"/>
          <w:highlight w:val="none"/>
          <w14:textFill>
            <w14:solidFill>
              <w14:schemeClr w14:val="tx1"/>
            </w14:solidFill>
          </w14:textFill>
        </w:rPr>
      </w:pPr>
    </w:p>
    <w:p w14:paraId="0A6B0E4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480E7388">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（1）竞争性磋商公告/竞标邀请函；</w:t>
      </w:r>
    </w:p>
    <w:p w14:paraId="6D7310C7">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7257A377">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27271221">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20EF463F">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16669297">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78126B11">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75A25E9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7112B006">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74F7BDC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日的，应当顺延提交首次响应文件截止之日。</w:t>
      </w:r>
    </w:p>
    <w:p w14:paraId="5F3969C4">
      <w:pPr>
        <w:spacing w:line="360" w:lineRule="auto"/>
        <w:rPr>
          <w:rFonts w:hint="eastAsia" w:ascii="宋体" w:hAnsi="宋体"/>
          <w:color w:val="000000" w:themeColor="text1"/>
          <w:szCs w:val="21"/>
          <w:highlight w:val="none"/>
          <w14:textFill>
            <w14:solidFill>
              <w14:schemeClr w14:val="tx1"/>
            </w14:solidFill>
          </w14:textFill>
        </w:rPr>
      </w:pPr>
    </w:p>
    <w:p w14:paraId="389B6DA1">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3DC982C5">
      <w:pPr>
        <w:spacing w:line="360" w:lineRule="auto"/>
        <w:rPr>
          <w:rFonts w:hint="eastAsia" w:ascii="宋体" w:hAnsi="宋体"/>
          <w:color w:val="000000" w:themeColor="text1"/>
          <w:szCs w:val="21"/>
          <w:highlight w:val="none"/>
          <w14:textFill>
            <w14:solidFill>
              <w14:schemeClr w14:val="tx1"/>
            </w14:solidFill>
          </w14:textFill>
        </w:rPr>
      </w:pPr>
    </w:p>
    <w:p w14:paraId="76AA8BC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07C0D3F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B917F6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67D275B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0FFB4773">
      <w:pPr>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35F0C951">
      <w:pPr>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7167E74A">
      <w:pPr>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3A20EAE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1BE19F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39BB5DA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64057B2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152880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1639F806">
      <w:pPr>
        <w:tabs>
          <w:tab w:val="left" w:pos="249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15.1竞标报价应按磋商文件中“磋商报价表”格式填写。</w:t>
      </w:r>
    </w:p>
    <w:p w14:paraId="48ECB27B">
      <w:pPr>
        <w:tabs>
          <w:tab w:val="left" w:pos="249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3B87EA48">
      <w:pPr>
        <w:spacing w:line="360" w:lineRule="auto"/>
        <w:ind w:left="426" w:leftChars="20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68339E9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1F57661D">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76F531E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3788AD8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1175236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55DCE63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bookmarkStart w:id="71"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竞标报价（包含首次报价、最后报价）超过分项采购预算金额或者最高限价的，其响应文件将按无效处理。</w:t>
      </w:r>
    </w:p>
    <w:bookmarkEnd w:id="71"/>
    <w:p w14:paraId="167888C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2922ED2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BF04B2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0C80FA0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4B04C1F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109248B9">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56FC9DD3">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343F7F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72" w:name="_Hlk66782243"/>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72"/>
      <w:r>
        <w:rPr>
          <w:rFonts w:hint="eastAsia" w:ascii="宋体" w:hAnsi="宋体" w:cs="宋体"/>
          <w:color w:val="000000" w:themeColor="text1"/>
          <w:szCs w:val="21"/>
          <w:highlight w:val="none"/>
          <w14:textFill>
            <w14:solidFill>
              <w14:schemeClr w14:val="tx1"/>
            </w14:solidFill>
          </w14:textFill>
        </w:rPr>
        <w:t xml:space="preserve"> </w:t>
      </w:r>
    </w:p>
    <w:p w14:paraId="0309F3F1">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2FE013C2">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4262BD97">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6110189A">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（2）供应商在响应文件中提供虚假材料的；</w:t>
      </w:r>
    </w:p>
    <w:p w14:paraId="418CC87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（3）除因不可抗力或者磋商文件认可的情形以外，成交供应商不与采购人签订合同的；</w:t>
      </w:r>
    </w:p>
    <w:p w14:paraId="50F3C5D0">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（4）供应商与采购人、其他供应商或者采购代理机构恶意串通的；</w:t>
      </w:r>
    </w:p>
    <w:p w14:paraId="32F8A012">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（5）法律法规规定的其他情形。</w:t>
      </w:r>
    </w:p>
    <w:p w14:paraId="07218E6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2D610AA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EE20DC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4137106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787C8D4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D453C3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4247016">
      <w:pPr>
        <w:spacing w:line="360" w:lineRule="auto"/>
        <w:ind w:firstLine="482" w:firstLine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44ECCED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电子备份响应文件是指通过“广西政府采购云平台电子投标客户端”在线编制生成且后缀名为“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详见在“供应商须知前附表”。</w:t>
      </w:r>
    </w:p>
    <w:p w14:paraId="4BC8CA1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70FD3A47">
      <w:pPr>
        <w:spacing w:line="360" w:lineRule="auto"/>
        <w:ind w:firstLine="420" w:firstLineChars="200"/>
        <w:rPr>
          <w:rFonts w:hint="eastAsia"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 xml:space="preserve">。 </w:t>
      </w:r>
      <w:r>
        <w:rPr>
          <w:rFonts w:hint="eastAsia" w:hAnsi="宋体"/>
          <w:b/>
          <w:color w:val="000000" w:themeColor="text1"/>
          <w:highlight w:val="none"/>
          <w14:textFill>
            <w14:solidFill>
              <w14:schemeClr w14:val="tx1"/>
            </w14:solidFill>
          </w14:textFill>
        </w:rPr>
        <w:t xml:space="preserve"> </w:t>
      </w:r>
    </w:p>
    <w:p w14:paraId="3DB1ADE7">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20.</w:t>
      </w: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6469575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3848E8C5">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bookmarkStart w:id="73" w:name="_Toc254970684"/>
      <w:bookmarkStart w:id="74" w:name="_Toc254970543"/>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供应商应当在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前完成电子响应文件的提交（上传），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可以补充、修改或者撤回响应文件。补充或者修改响应文件的，应当先行撤回原响应文件，补充、修改后重新提交（上传），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未完成提交（上传）的，视为撤回响应文件。</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以后提交（上传）的响应文件，“广西政府采购云平台”将予以拒收。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登陆</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进入“服务中心”中查看</w:t>
      </w:r>
      <w:r>
        <w:rPr>
          <w:rFonts w:hint="eastAsia" w:ascii="宋体" w:hAnsi="宋体" w:cs="宋体"/>
          <w:color w:val="000000" w:themeColor="text1"/>
          <w:szCs w:val="21"/>
          <w:highlight w:val="none"/>
          <w14:textFill>
            <w14:solidFill>
              <w14:schemeClr w14:val="tx1"/>
            </w14:solidFill>
          </w14:textFill>
        </w:rPr>
        <w:t xml:space="preserve"> “电子投标文件制作与投送教程”）</w:t>
      </w:r>
    </w:p>
    <w:bookmarkEnd w:id="73"/>
    <w:bookmarkEnd w:id="74"/>
    <w:p w14:paraId="60169592">
      <w:pPr>
        <w:adjustRightIn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2在提交响应文件截止时间前，除供应商补充、修改或者撤回响应文件外，任何单位和个人不得解密或提取响应文件。</w:t>
      </w:r>
    </w:p>
    <w:p w14:paraId="5D74F13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bookmarkStart w:id="75"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6A57538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332D306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67A598C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供应商在响应文件提交截止时间后向采购人、采购代理机构书面申请撤回响应文件的，将根据本须知正文17.4的规定不予退还其磋商保证金。</w:t>
      </w:r>
    </w:p>
    <w:bookmarkEnd w:id="75"/>
    <w:p w14:paraId="56E31C8D">
      <w:pPr>
        <w:spacing w:line="360" w:lineRule="auto"/>
        <w:rPr>
          <w:rFonts w:hint="eastAsia" w:ascii="宋体" w:hAnsi="宋体"/>
          <w:color w:val="000000" w:themeColor="text1"/>
          <w:szCs w:val="21"/>
          <w:highlight w:val="none"/>
          <w14:textFill>
            <w14:solidFill>
              <w14:schemeClr w14:val="tx1"/>
            </w14:solidFill>
          </w14:textFill>
        </w:rPr>
      </w:pPr>
    </w:p>
    <w:p w14:paraId="61CB3CA4">
      <w:pPr>
        <w:spacing w:line="360" w:lineRule="auto"/>
        <w:ind w:left="420" w:firstLine="420"/>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4CE23D3D">
      <w:pPr>
        <w:spacing w:line="360" w:lineRule="auto"/>
        <w:ind w:left="420" w:firstLine="420"/>
        <w:rPr>
          <w:rFonts w:hint="eastAsia" w:ascii="宋体" w:hAnsi="宋体"/>
          <w:color w:val="000000" w:themeColor="text1"/>
          <w:szCs w:val="21"/>
          <w:highlight w:val="none"/>
          <w14:textFill>
            <w14:solidFill>
              <w14:schemeClr w14:val="tx1"/>
            </w14:solidFill>
          </w14:textFill>
        </w:rPr>
      </w:pPr>
    </w:p>
    <w:p w14:paraId="1E5428F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1DB3B95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评审专家共3人以上单数组成，具体人数见“供应商须知前附表”。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2D8ED0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70A23E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4B0F054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1A4ADB9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的响应文件作无效处理</w:t>
      </w:r>
      <w:r>
        <w:rPr>
          <w:b/>
          <w:color w:val="000000" w:themeColor="text1"/>
          <w:highlight w:val="none"/>
          <w14:textFill>
            <w14:solidFill>
              <w14:schemeClr w14:val="tx1"/>
            </w14:solidFill>
          </w14:textFill>
        </w:rPr>
        <w:t>。</w:t>
      </w:r>
    </w:p>
    <w:p w14:paraId="44D65B4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6E77F06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0A4EA22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05B0241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6.3 </w:t>
      </w:r>
      <w:r>
        <w:rPr>
          <w:rFonts w:hint="eastAsia" w:ascii="宋体" w:hAnsi="宋体"/>
          <w:color w:val="000000" w:themeColor="text1"/>
          <w:szCs w:val="21"/>
          <w:highlight w:val="none"/>
          <w14:textFill>
            <w14:solidFill>
              <w14:schemeClr w14:val="tx1"/>
            </w14:solidFill>
          </w14:textFill>
        </w:rPr>
        <w:t>商务/技术要求允许负偏离的条款数详见“供应商须知前附表”。</w:t>
      </w:r>
    </w:p>
    <w:p w14:paraId="516633D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8E0A27D">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6.5</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3CC68341">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（1）电子交易平台发生故障而无法登录访问的； </w:t>
      </w:r>
    </w:p>
    <w:p w14:paraId="26A63965">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p>
    <w:p w14:paraId="51F496EE">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p>
    <w:p w14:paraId="2F4F0DFD">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（4）病毒发作导致不能进行正常操作的； </w:t>
      </w:r>
    </w:p>
    <w:p w14:paraId="06D88179">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3AEBBB4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w:t>
      </w:r>
      <w:r>
        <w:rPr>
          <w:rFonts w:ascii="宋体" w:hAnsi="宋体"/>
          <w:color w:val="000000" w:themeColor="text1"/>
          <w:highlight w:val="none"/>
          <w14:textFill>
            <w14:solidFill>
              <w14:schemeClr w14:val="tx1"/>
            </w14:solidFill>
          </w14:textFill>
        </w:rPr>
        <w:t>6</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07C4EB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3BE5682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AD867B2">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6"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76"/>
    </w:p>
    <w:p w14:paraId="0B0EF554">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57E64D17">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p>
    <w:p w14:paraId="39284053">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p>
    <w:p w14:paraId="5838893E">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0BF5E83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73DB486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3E753B89">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8.1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签订合同，采购人可以按照评审报告推荐的成交候选人名单排序，依法确定下一候选人为成交供应商，也可以重新开展政府采购活动。</w:t>
      </w:r>
    </w:p>
    <w:p w14:paraId="3279BF87">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8.2签订合同后，如成交供应商不按双方签订的合同规定履约，则没收其全部履约保证金，履约保证金不足以赔偿损失的，按实际损失赔偿。</w:t>
      </w:r>
    </w:p>
    <w:p w14:paraId="03B55FD6">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602A344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4E24C06A">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72F691EC">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78490EC1">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25C8046A">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55E2B8E">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8B9A049">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5446BEC0">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3910A85D">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F17BEB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5CFD596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E5B070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052A60A2">
      <w:pPr>
        <w:pStyle w:val="7"/>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45C9D15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6A70A9B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7F2B59F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3D2686E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0A12650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EB967F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29D787E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4C85F39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49DF1B6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0F2A608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67C62AC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386316C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4C6E13B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5F6D5C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59750B8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7A478BF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25D1415F">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67C5ADA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A3DF3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1AB660DA">
      <w:pPr>
        <w:tabs>
          <w:tab w:val="left" w:pos="283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.1代理服务收取标准及缴费账户详见“供应商须知前附表”，供应商为联合体的，可以由联合体中的一方或者多方共同交纳代理服务费。</w:t>
      </w:r>
    </w:p>
    <w:p w14:paraId="61AE3CF2">
      <w:pPr>
        <w:tabs>
          <w:tab w:val="left" w:pos="283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FDA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tcPr>
          <w:p w14:paraId="7465012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费率</w:t>
            </w:r>
          </w:p>
          <w:p w14:paraId="61E93A6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vAlign w:val="center"/>
          </w:tcPr>
          <w:p w14:paraId="4B73A072">
            <w:pPr>
              <w:spacing w:line="360" w:lineRule="auto"/>
              <w:ind w:firstLine="105" w:firstLine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vAlign w:val="center"/>
          </w:tcPr>
          <w:p w14:paraId="2DDF136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vAlign w:val="center"/>
          </w:tcPr>
          <w:p w14:paraId="61F71B2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1CCF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6B8B0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Pr>
          <w:p w14:paraId="5FC12F0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tcPr>
          <w:p w14:paraId="1137300A">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tcPr>
          <w:p w14:paraId="0D3A9E17">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7231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4C0932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Pr>
          <w:p w14:paraId="4ADB4D90">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tcPr>
          <w:p w14:paraId="5A3B5ED5">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tcPr>
          <w:p w14:paraId="32B20332">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4DEE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FAF0D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Pr>
          <w:p w14:paraId="71F6D4A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tcPr>
          <w:p w14:paraId="2548F571">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tcPr>
          <w:p w14:paraId="7AFCC3BE">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395A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9EA79D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Pr>
          <w:p w14:paraId="43519C6D">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tcPr>
          <w:p w14:paraId="2CEAE195">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tcPr>
          <w:p w14:paraId="49DCDEC1">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35F1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DF4B56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Pr>
          <w:p w14:paraId="0FE08165">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tcPr>
          <w:p w14:paraId="32D0CA05">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tcPr>
          <w:p w14:paraId="0EE302DA">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5289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96E14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Pr>
          <w:p w14:paraId="7D4D7958">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tcPr>
          <w:p w14:paraId="20351E4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tcPr>
          <w:p w14:paraId="30D766A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0837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5EECB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Pr>
          <w:p w14:paraId="4AAB45E0">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tcPr>
          <w:p w14:paraId="27A47AB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tcPr>
          <w:p w14:paraId="6C049E3D">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70AD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0CD5CB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Pr>
          <w:p w14:paraId="7169E517">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tcPr>
          <w:p w14:paraId="068687B0">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tcPr>
          <w:p w14:paraId="721026CD">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16D0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D5040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Pr>
          <w:p w14:paraId="23077A3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tcPr>
          <w:p w14:paraId="70E7B637">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tcPr>
          <w:p w14:paraId="044644F5">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5748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BF1468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Pr>
          <w:p w14:paraId="022C0B8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tcPr>
          <w:p w14:paraId="6EC3FDE1">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tcPr>
          <w:p w14:paraId="6FEFA2E3">
            <w:pPr>
              <w:spacing w:line="360"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223410A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426EA9E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14:textFill>
            <w14:solidFill>
              <w14:schemeClr w14:val="tx1"/>
            </w14:solidFill>
          </w14:textFill>
        </w:rPr>
        <w:t>；</w:t>
      </w:r>
    </w:p>
    <w:p w14:paraId="2A78223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5DC4522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服务采购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成交</w:t>
      </w:r>
      <w:r>
        <w:rPr>
          <w:rFonts w:ascii="宋体" w:hAnsi="宋体" w:cs="宋体"/>
          <w:color w:val="000000" w:themeColor="text1"/>
          <w:highlight w:val="none"/>
          <w14:textFill>
            <w14:solidFill>
              <w14:schemeClr w14:val="tx1"/>
            </w14:solidFill>
          </w14:textFill>
        </w:rPr>
        <w:t>金额</w:t>
      </w:r>
      <w:r>
        <w:rPr>
          <w:rFonts w:hint="eastAsia" w:ascii="宋体" w:hAnsi="宋体" w:cs="宋体"/>
          <w:color w:val="000000" w:themeColor="text1"/>
          <w:highlight w:val="none"/>
          <w14:textFill>
            <w14:solidFill>
              <w14:schemeClr w14:val="tx1"/>
            </w14:solidFill>
          </w14:textFill>
        </w:rPr>
        <w:t>或者暂定价</w:t>
      </w:r>
      <w:r>
        <w:rPr>
          <w:rFonts w:ascii="宋体" w:hAnsi="宋体" w:cs="宋体"/>
          <w:color w:val="000000" w:themeColor="text1"/>
          <w:highlight w:val="none"/>
          <w14:textFill>
            <w14:solidFill>
              <w14:schemeClr w14:val="tx1"/>
            </w14:solidFill>
          </w14:textFill>
        </w:rPr>
        <w:t>为</w:t>
      </w:r>
      <w:r>
        <w:rPr>
          <w:rFonts w:hint="eastAsia" w:ascii="宋体" w:hAnsi="宋体" w:cs="宋体"/>
          <w:color w:val="000000" w:themeColor="text1"/>
          <w:highlight w:val="none"/>
          <w14:textFill>
            <w14:solidFill>
              <w14:schemeClr w14:val="tx1"/>
            </w14:solidFill>
          </w14:textFill>
        </w:rPr>
        <w:t>150</w:t>
      </w:r>
      <w:r>
        <w:rPr>
          <w:rFonts w:ascii="宋体" w:hAnsi="宋体" w:cs="宋体"/>
          <w:color w:val="000000" w:themeColor="text1"/>
          <w:highlight w:val="none"/>
          <w14:textFill>
            <w14:solidFill>
              <w14:schemeClr w14:val="tx1"/>
            </w14:solidFill>
          </w14:textFill>
        </w:rPr>
        <w:t>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4F91277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×l.5 %＝ 1.5 万元</w:t>
      </w:r>
    </w:p>
    <w:p w14:paraId="0EA3028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150</w:t>
      </w:r>
      <w:r>
        <w:rPr>
          <w:rFonts w:ascii="宋体" w:hAnsi="宋体" w:cs="宋体"/>
          <w:color w:val="000000" w:themeColor="text1"/>
          <w:highlight w:val="none"/>
          <w14:textFill>
            <w14:solidFill>
              <w14:schemeClr w14:val="tx1"/>
            </w14:solidFill>
          </w14:textFill>
        </w:rPr>
        <w:t xml:space="preserve"> － 100 ）万元 ×0.8%＝ 0.4万元</w:t>
      </w:r>
    </w:p>
    <w:p w14:paraId="1EA3CA4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1.5 ＋ 0.4＝ 1.9 万元</w:t>
      </w:r>
    </w:p>
    <w:p w14:paraId="0C940792">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25F33698">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本磋商文件解释规则详见“供应商须知前附表”。</w:t>
      </w:r>
    </w:p>
    <w:p w14:paraId="7E8234CA">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33.2</w:t>
      </w:r>
      <w:r>
        <w:rPr>
          <w:rFonts w:hint="eastAsia" w:ascii="宋体" w:hAnsi="宋体" w:cs="宋体"/>
          <w:color w:val="000000" w:themeColor="text1"/>
          <w:szCs w:val="21"/>
          <w:highlight w:val="none"/>
          <w14:textFill>
            <w14:solidFill>
              <w14:schemeClr w14:val="tx1"/>
            </w14:solidFill>
          </w14:textFill>
        </w:rPr>
        <w:t xml:space="preserve"> 其他事项详见“供应商须知前附表”。</w:t>
      </w:r>
    </w:p>
    <w:p w14:paraId="643025D6">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62877B5">
      <w:pPr>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798522FB">
      <w:pPr>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039BFB49">
      <w:pPr>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1203DBFD">
      <w:pPr>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91B42CA">
      <w:pPr>
        <w:spacing w:line="360" w:lineRule="auto"/>
        <w:ind w:firstLine="420" w:firstLineChars="200"/>
        <w:textAlignment w:val="center"/>
        <w:rPr>
          <w:rFonts w:hint="eastAsia" w:ascii="宋体" w:hAnsi="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r>
        <w:rPr>
          <w:rFonts w:ascii="宋体" w:hAnsi="宋体"/>
          <w:b/>
          <w:color w:val="000000" w:themeColor="text1"/>
          <w:kern w:val="0"/>
          <w:sz w:val="20"/>
          <w:szCs w:val="21"/>
          <w:highlight w:val="none"/>
          <w14:textFill>
            <w14:solidFill>
              <w14:schemeClr w14:val="tx1"/>
            </w14:solidFill>
          </w14:textFill>
        </w:rPr>
        <w:br w:type="page"/>
      </w:r>
    </w:p>
    <w:p w14:paraId="65DE1CF7">
      <w:pPr>
        <w:pStyle w:val="2"/>
        <w:spacing w:line="360" w:lineRule="auto"/>
        <w:jc w:val="center"/>
        <w:rPr>
          <w:color w:val="000000" w:themeColor="text1"/>
          <w:highlight w:val="none"/>
          <w14:textFill>
            <w14:solidFill>
              <w14:schemeClr w14:val="tx1"/>
            </w14:solidFill>
          </w14:textFill>
        </w:rPr>
      </w:pPr>
      <w:bookmarkStart w:id="77" w:name="_Toc74323458"/>
      <w:bookmarkStart w:id="78" w:name="OLE_LINK4"/>
      <w:bookmarkStart w:id="79" w:name="OLE_LINK3"/>
      <w:r>
        <w:rPr>
          <w:rFonts w:hint="eastAsia"/>
          <w:color w:val="000000" w:themeColor="text1"/>
          <w:highlight w:val="none"/>
          <w14:textFill>
            <w14:solidFill>
              <w14:schemeClr w14:val="tx1"/>
            </w14:solidFill>
          </w14:textFill>
        </w:rPr>
        <w:t>第三章 采购需求</w:t>
      </w:r>
      <w:bookmarkEnd w:id="77"/>
    </w:p>
    <w:p w14:paraId="150A2AEA">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421D1E29">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为落实政府采购政策需满足的要求：</w:t>
      </w:r>
    </w:p>
    <w:p w14:paraId="721AEBD9">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0DD6E5B0">
      <w:pPr>
        <w:spacing w:line="40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000000" w:themeColor="text1"/>
          <w:szCs w:val="21"/>
          <w:highlight w:val="none"/>
          <w14:textFill>
            <w14:solidFill>
              <w14:schemeClr w14:val="tx1"/>
            </w14:solidFill>
          </w14:textFill>
        </w:rPr>
        <w:t>供应商必须在响应文件中提供所竞标产品有效期内的节能产品认证证书复印件（加盖供应商公章），否则响应文件按无效处理</w:t>
      </w:r>
      <w:r>
        <w:rPr>
          <w:rFonts w:hint="eastAsia" w:ascii="宋体" w:hAnsi="宋体" w:cs="宋体"/>
          <w:color w:val="000000" w:themeColor="text1"/>
          <w:szCs w:val="21"/>
          <w:highlight w:val="none"/>
          <w14:textFill>
            <w14:solidFill>
              <w14:schemeClr w14:val="tx1"/>
            </w14:solidFill>
          </w14:textFill>
        </w:rPr>
        <w:t>。</w:t>
      </w:r>
    </w:p>
    <w:p w14:paraId="08363C2D">
      <w:pPr>
        <w:spacing w:line="40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2.“实质性要求”是指采购需求中带“▲”的条款或者不能负偏离的条款或者已经指明不满足按响应文件按无效处理的条款。</w:t>
      </w:r>
    </w:p>
    <w:p w14:paraId="23AF3668">
      <w:pPr>
        <w:spacing w:line="400" w:lineRule="exact"/>
        <w:ind w:firstLine="424" w:firstLineChars="202"/>
        <w:jc w:val="left"/>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p w14:paraId="13C70621">
      <w:pPr>
        <w:spacing w:line="400" w:lineRule="exact"/>
        <w:ind w:firstLine="424" w:firstLineChars="20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本项目为服务类采购，无核心产品要求。</w:t>
      </w:r>
    </w:p>
    <w:p w14:paraId="5542EB5D">
      <w:pPr>
        <w:spacing w:line="400" w:lineRule="exact"/>
        <w:ind w:firstLine="424" w:firstLineChars="202"/>
        <w:jc w:val="lef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本项目整体所属行业：</w:t>
      </w:r>
      <w:r>
        <w:rPr>
          <w:rFonts w:hint="eastAsia"/>
          <w:b/>
          <w:color w:val="000000" w:themeColor="text1"/>
          <w:sz w:val="30"/>
          <w:szCs w:val="30"/>
          <w:highlight w:val="none"/>
          <w14:textFill>
            <w14:solidFill>
              <w14:schemeClr w14:val="tx1"/>
            </w14:solidFill>
          </w14:textFill>
        </w:rPr>
        <w:t>其他未列明行业</w:t>
      </w:r>
    </w:p>
    <w:p w14:paraId="034C44A7">
      <w:pPr>
        <w:spacing w:line="400" w:lineRule="exact"/>
        <w:ind w:firstLine="308" w:firstLineChars="147"/>
        <w:jc w:val="left"/>
        <w:rPr>
          <w:rFonts w:hint="eastAsia" w:ascii="宋体" w:hAnsi="宋体" w:cs="Arial"/>
          <w:bCs/>
          <w:color w:val="000000" w:themeColor="text1"/>
          <w:szCs w:val="21"/>
          <w:highlight w:val="none"/>
          <w:u w:val="single"/>
          <w14:textFill>
            <w14:solidFill>
              <w14:schemeClr w14:val="tx1"/>
            </w14:solidFill>
          </w14:textFill>
        </w:rPr>
      </w:pPr>
      <w:r>
        <w:rPr>
          <w:rFonts w:hint="eastAsia" w:ascii="宋体" w:hAnsi="宋体" w:cs="Arial"/>
          <w:bCs/>
          <w:color w:val="000000" w:themeColor="text1"/>
          <w:szCs w:val="21"/>
          <w:highlight w:val="none"/>
          <w:u w:val="single"/>
          <w14:textFill>
            <w14:solidFill>
              <w14:schemeClr w14:val="tx1"/>
            </w14:solidFill>
          </w14:textFill>
        </w:rPr>
        <w:t xml:space="preserve"> </w:t>
      </w:r>
      <w:r>
        <w:rPr>
          <w:rFonts w:ascii="宋体" w:hAnsi="宋体" w:cs="Arial"/>
          <w:bCs/>
          <w:color w:val="000000" w:themeColor="text1"/>
          <w:szCs w:val="21"/>
          <w:highlight w:val="none"/>
          <w:u w:val="single"/>
          <w14:textFill>
            <w14:solidFill>
              <w14:schemeClr w14:val="tx1"/>
            </w14:solidFill>
          </w14:textFill>
        </w:rPr>
        <w:t>/</w:t>
      </w:r>
      <w:r>
        <w:rPr>
          <w:rFonts w:hint="eastAsia" w:ascii="宋体" w:hAnsi="宋体" w:cs="Arial"/>
          <w:bCs/>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分标      采购预算：</w:t>
      </w:r>
      <w:r>
        <w:rPr>
          <w:rFonts w:hint="eastAsia" w:ascii="宋体" w:hAnsi="宋体" w:cs="Arial"/>
          <w:bCs/>
          <w:color w:val="000000" w:themeColor="text1"/>
          <w:szCs w:val="21"/>
          <w:highlight w:val="none"/>
          <w:u w:val="single"/>
          <w14:textFill>
            <w14:solidFill>
              <w14:schemeClr w14:val="tx1"/>
            </w14:solidFill>
          </w14:textFill>
        </w:rPr>
        <w:t xml:space="preserve">详见竞争性磋商公告 </w:t>
      </w:r>
    </w:p>
    <w:tbl>
      <w:tblPr>
        <w:tblStyle w:val="3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8"/>
        <w:gridCol w:w="1308"/>
        <w:gridCol w:w="670"/>
        <w:gridCol w:w="6724"/>
      </w:tblGrid>
      <w:tr w14:paraId="1949C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78" w:type="dxa"/>
            <w:tcBorders>
              <w:top w:val="single" w:color="auto" w:sz="4" w:space="0"/>
              <w:left w:val="single" w:color="auto" w:sz="4" w:space="0"/>
              <w:bottom w:val="single" w:color="auto" w:sz="4" w:space="0"/>
              <w:right w:val="single" w:color="auto" w:sz="4" w:space="0"/>
            </w:tcBorders>
            <w:vAlign w:val="center"/>
          </w:tcPr>
          <w:p w14:paraId="1FF2636E">
            <w:pPr>
              <w:spacing w:line="38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308" w:type="dxa"/>
            <w:tcBorders>
              <w:top w:val="single" w:color="auto" w:sz="4" w:space="0"/>
              <w:left w:val="single" w:color="auto" w:sz="4" w:space="0"/>
              <w:bottom w:val="single" w:color="auto" w:sz="4" w:space="0"/>
              <w:right w:val="single" w:color="auto" w:sz="4" w:space="0"/>
            </w:tcBorders>
            <w:vAlign w:val="center"/>
          </w:tcPr>
          <w:p w14:paraId="30DD459C">
            <w:pPr>
              <w:spacing w:line="38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标的（服务）名称</w:t>
            </w:r>
          </w:p>
        </w:tc>
        <w:tc>
          <w:tcPr>
            <w:tcW w:w="670" w:type="dxa"/>
            <w:tcBorders>
              <w:top w:val="single" w:color="auto" w:sz="4" w:space="0"/>
              <w:left w:val="single" w:color="auto" w:sz="4" w:space="0"/>
              <w:bottom w:val="single" w:color="auto" w:sz="4" w:space="0"/>
              <w:right w:val="single" w:color="auto" w:sz="4" w:space="0"/>
            </w:tcBorders>
            <w:vAlign w:val="center"/>
          </w:tcPr>
          <w:p w14:paraId="33C44990">
            <w:pPr>
              <w:spacing w:line="38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数量</w:t>
            </w:r>
          </w:p>
        </w:tc>
        <w:tc>
          <w:tcPr>
            <w:tcW w:w="6724" w:type="dxa"/>
            <w:tcBorders>
              <w:top w:val="single" w:color="auto" w:sz="4" w:space="0"/>
              <w:left w:val="single" w:color="auto" w:sz="4" w:space="0"/>
              <w:bottom w:val="single" w:color="auto" w:sz="4" w:space="0"/>
              <w:right w:val="single" w:color="auto" w:sz="4" w:space="0"/>
            </w:tcBorders>
            <w:vAlign w:val="center"/>
          </w:tcPr>
          <w:p w14:paraId="0C46F5A1">
            <w:pPr>
              <w:spacing w:line="38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服务内容及要求</w:t>
            </w:r>
          </w:p>
        </w:tc>
      </w:tr>
      <w:tr w14:paraId="7FF45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 w:type="dxa"/>
            <w:tcBorders>
              <w:top w:val="single" w:color="auto" w:sz="4" w:space="0"/>
              <w:left w:val="single" w:color="auto" w:sz="4" w:space="0"/>
              <w:bottom w:val="single" w:color="auto" w:sz="4" w:space="0"/>
              <w:right w:val="single" w:color="auto" w:sz="4" w:space="0"/>
            </w:tcBorders>
            <w:vAlign w:val="center"/>
          </w:tcPr>
          <w:p w14:paraId="3F39E7E3">
            <w:pPr>
              <w:spacing w:line="38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p>
        </w:tc>
        <w:tc>
          <w:tcPr>
            <w:tcW w:w="1308" w:type="dxa"/>
            <w:tcBorders>
              <w:top w:val="single" w:color="auto" w:sz="4" w:space="0"/>
              <w:left w:val="single" w:color="auto" w:sz="4" w:space="0"/>
              <w:bottom w:val="single" w:color="auto" w:sz="4" w:space="0"/>
              <w:right w:val="single" w:color="auto" w:sz="4" w:space="0"/>
            </w:tcBorders>
            <w:vAlign w:val="center"/>
          </w:tcPr>
          <w:p w14:paraId="2B81CA0E">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广西低空经济航线网络精细优化及主干航线划设方案研究</w:t>
            </w:r>
          </w:p>
        </w:tc>
        <w:tc>
          <w:tcPr>
            <w:tcW w:w="670" w:type="dxa"/>
            <w:tcBorders>
              <w:top w:val="single" w:color="auto" w:sz="4" w:space="0"/>
              <w:left w:val="single" w:color="auto" w:sz="4" w:space="0"/>
              <w:bottom w:val="single" w:color="auto" w:sz="4" w:space="0"/>
              <w:right w:val="single" w:color="auto" w:sz="4" w:space="0"/>
            </w:tcBorders>
            <w:vAlign w:val="center"/>
          </w:tcPr>
          <w:p w14:paraId="2D3145B7">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6724" w:type="dxa"/>
            <w:tcBorders>
              <w:top w:val="single" w:color="auto" w:sz="4" w:space="0"/>
              <w:left w:val="single" w:color="auto" w:sz="4" w:space="0"/>
              <w:bottom w:val="single" w:color="auto" w:sz="4" w:space="0"/>
              <w:right w:val="single" w:color="auto" w:sz="4" w:space="0"/>
            </w:tcBorders>
          </w:tcPr>
          <w:p w14:paraId="564C5406">
            <w:pPr>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一、项目概况</w:t>
            </w:r>
          </w:p>
          <w:p w14:paraId="49403C27">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随着城市空中交通(UAM)、无人机物流、应急救援、低空旅游等新兴业态的迅猛发展，低空空域正经历前所未有的开发热潮。为助力自治区低空经济高质量发展，结合《国家空域基础分类方法》《中华人民共和国空域管理条例(征求意见稿)》，开展低空航线网络精细优化研究，需要编制《低空航线网络精细化研究报告及实施方案》，更好地服务我区低空经济发展。</w:t>
            </w:r>
          </w:p>
          <w:p w14:paraId="40507311">
            <w:pPr>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二、服务内容</w:t>
            </w:r>
          </w:p>
          <w:p w14:paraId="695B3747">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通过委托第三方咨询机构开展有关工作：</w:t>
            </w:r>
          </w:p>
          <w:p w14:paraId="6B649268">
            <w:pPr>
              <w:spacing w:line="360" w:lineRule="auto"/>
              <w:ind w:left="-20" w:firstLine="438" w:firstLineChars="209"/>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1.开展</w:t>
            </w:r>
            <w:r>
              <w:rPr>
                <w:rFonts w:ascii="宋体" w:hAnsi="宋体" w:cs="宋体"/>
                <w:color w:val="000000" w:themeColor="text1"/>
                <w:kern w:val="0"/>
                <w:szCs w:val="21"/>
                <w:highlight w:val="none"/>
                <w14:textFill>
                  <w14:solidFill>
                    <w14:schemeClr w14:val="tx1"/>
                  </w14:solidFill>
                </w14:textFill>
              </w:rPr>
              <w:t>空域现状分析。调研军民航机场布局结构、低空空管运行及协同管理需求；收集军民航低空空域划设、航路航线走向、管制责任区等数据</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综合分析低空空域运行特点、飞行矛盾、限制因素，结合低空场景应用需求，提出基于空域分类、状态管理、动态转换的解决思路。</w:t>
            </w:r>
          </w:p>
          <w:p w14:paraId="539A7DC3">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color w:val="000000" w:themeColor="text1"/>
                <w:highlight w:val="none"/>
                <w14:textFill>
                  <w14:solidFill>
                    <w14:schemeClr w14:val="tx1"/>
                  </w14:solidFill>
                </w14:textFill>
              </w:rPr>
              <w:t>开展</w:t>
            </w:r>
            <w:r>
              <w:rPr>
                <w:rFonts w:ascii="宋体" w:hAnsi="宋体" w:cs="宋体"/>
                <w:color w:val="000000" w:themeColor="text1"/>
                <w:kern w:val="0"/>
                <w:szCs w:val="21"/>
                <w:highlight w:val="none"/>
                <w14:textFill>
                  <w14:solidFill>
                    <w14:schemeClr w14:val="tx1"/>
                  </w14:solidFill>
                </w14:textFill>
              </w:rPr>
              <w:t>空域网格化管理研究。参照空域管理部门空域网格化管理方法，确定空域网格剖分层级和编码规则，根据空域管理、空域结构、地理信息数据等，提出基于</w:t>
            </w:r>
            <w:r>
              <w:rPr>
                <w:rFonts w:hint="eastAsia" w:ascii="宋体" w:hAnsi="宋体" w:cs="宋体"/>
                <w:color w:val="000000" w:themeColor="text1"/>
                <w:kern w:val="0"/>
                <w:szCs w:val="21"/>
                <w:highlight w:val="none"/>
                <w14:textFill>
                  <w14:solidFill>
                    <w14:schemeClr w14:val="tx1"/>
                  </w14:solidFill>
                </w14:textFill>
              </w:rPr>
              <w:t>低空航空器</w:t>
            </w:r>
            <w:r>
              <w:rPr>
                <w:rFonts w:ascii="宋体" w:hAnsi="宋体" w:cs="宋体"/>
                <w:color w:val="000000" w:themeColor="text1"/>
                <w:kern w:val="0"/>
                <w:szCs w:val="21"/>
                <w:highlight w:val="none"/>
                <w14:textFill>
                  <w14:solidFill>
                    <w14:schemeClr w14:val="tx1"/>
                  </w14:solidFill>
                </w14:textFill>
              </w:rPr>
              <w:t>性能、场景应用和环境因素的低空航线划设思路和空域网格化方法，并征求军民航意见。</w:t>
            </w:r>
          </w:p>
          <w:p w14:paraId="095F1EA8">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 xml:space="preserve"> 开展</w:t>
            </w:r>
            <w:r>
              <w:rPr>
                <w:color w:val="000000" w:themeColor="text1"/>
                <w:highlight w:val="none"/>
                <w14:textFill>
                  <w14:solidFill>
                    <w14:schemeClr w14:val="tx1"/>
                  </w14:solidFill>
                </w14:textFill>
              </w:rPr>
              <w:t>低空主干航线划设方案研究。在网格化的基础上，结合具体应用场景需求，综合考虑地形地貌、人口密度、障碍物分布、空域使用现状</w:t>
            </w:r>
            <w:r>
              <w:rPr>
                <w:rFonts w:hint="eastAsia"/>
                <w:color w:val="000000" w:themeColor="text1"/>
                <w:highlight w:val="none"/>
                <w14:textFill>
                  <w14:solidFill>
                    <w14:schemeClr w14:val="tx1"/>
                  </w14:solidFill>
                </w14:textFill>
              </w:rPr>
              <w:t>等</w:t>
            </w:r>
            <w:r>
              <w:rPr>
                <w:color w:val="000000" w:themeColor="text1"/>
                <w:highlight w:val="none"/>
                <w14:textFill>
                  <w14:solidFill>
                    <w14:schemeClr w14:val="tx1"/>
                  </w14:solidFill>
                </w14:textFill>
              </w:rPr>
              <w:t>各类因素，开展低空主干航线划设方案研究，包括划设方法和运行规则研究。</w:t>
            </w:r>
          </w:p>
          <w:p w14:paraId="1ED981B1">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ascii="宋体" w:hAnsi="宋体" w:cs="宋体"/>
                <w:color w:val="000000" w:themeColor="text1"/>
                <w:kern w:val="0"/>
                <w:szCs w:val="21"/>
                <w:highlight w:val="none"/>
                <w14:textFill>
                  <w14:solidFill>
                    <w14:schemeClr w14:val="tx1"/>
                  </w14:solidFill>
                </w14:textFill>
              </w:rPr>
              <w:t>开展低安全评估体系与合规</w:t>
            </w:r>
            <w:r>
              <w:rPr>
                <w:rFonts w:hint="eastAsia" w:ascii="宋体" w:hAnsi="宋体" w:cs="宋体"/>
                <w:color w:val="000000" w:themeColor="text1"/>
                <w:kern w:val="0"/>
                <w:szCs w:val="21"/>
                <w:highlight w:val="none"/>
                <w14:textFill>
                  <w14:solidFill>
                    <w14:schemeClr w14:val="tx1"/>
                  </w14:solidFill>
                </w14:textFill>
              </w:rPr>
              <w:t>论证。</w:t>
            </w:r>
            <w:r>
              <w:rPr>
                <w:rFonts w:ascii="宋体" w:hAnsi="宋体" w:cs="宋体"/>
                <w:color w:val="000000" w:themeColor="text1"/>
                <w:kern w:val="0"/>
                <w:szCs w:val="21"/>
                <w:highlight w:val="none"/>
                <w14:textFill>
                  <w14:solidFill>
                    <w14:schemeClr w14:val="tx1"/>
                  </w14:solidFill>
                </w14:textFill>
              </w:rPr>
              <w:t>对规划航线进行保障能力、安全间隔、指挥控制</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协同运行等研究论证</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提出运行条件标准</w:t>
            </w:r>
            <w:r>
              <w:rPr>
                <w:rFonts w:hint="eastAsia" w:ascii="宋体" w:hAnsi="宋体" w:cs="宋体"/>
                <w:color w:val="000000" w:themeColor="text1"/>
                <w:kern w:val="0"/>
                <w:szCs w:val="21"/>
                <w:highlight w:val="none"/>
                <w14:textFill>
                  <w14:solidFill>
                    <w14:schemeClr w14:val="tx1"/>
                  </w14:solidFill>
                </w14:textFill>
              </w:rPr>
              <w:t>；</w:t>
            </w:r>
            <w:bookmarkStart w:id="80" w:name="OLE_LINK1"/>
            <w:r>
              <w:rPr>
                <w:rFonts w:ascii="宋体" w:hAnsi="宋体" w:cs="宋体"/>
                <w:color w:val="000000" w:themeColor="text1"/>
                <w:kern w:val="0"/>
                <w:szCs w:val="21"/>
                <w:highlight w:val="none"/>
                <w14:textFill>
                  <w14:solidFill>
                    <w14:schemeClr w14:val="tx1"/>
                  </w14:solidFill>
                </w14:textFill>
              </w:rPr>
              <w:t>针对低空运行时可能发生的典型突发事件进行风险分析，提出</w:t>
            </w:r>
            <w:r>
              <w:rPr>
                <w:rFonts w:hint="eastAsia" w:ascii="宋体" w:hAnsi="宋体" w:cs="宋体"/>
                <w:color w:val="000000" w:themeColor="text1"/>
                <w:kern w:val="0"/>
                <w:szCs w:val="21"/>
                <w:highlight w:val="none"/>
                <w14:textFill>
                  <w14:solidFill>
                    <w14:schemeClr w14:val="tx1"/>
                  </w14:solidFill>
                </w14:textFill>
              </w:rPr>
              <w:t>相应</w:t>
            </w:r>
            <w:r>
              <w:rPr>
                <w:rFonts w:ascii="宋体" w:hAnsi="宋体" w:cs="宋体"/>
                <w:color w:val="000000" w:themeColor="text1"/>
                <w:kern w:val="0"/>
                <w:szCs w:val="21"/>
                <w:highlight w:val="none"/>
                <w14:textFill>
                  <w14:solidFill>
                    <w14:schemeClr w14:val="tx1"/>
                  </w14:solidFill>
                </w14:textFill>
              </w:rPr>
              <w:t>安全保障措施</w:t>
            </w:r>
            <w:bookmarkEnd w:id="80"/>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形成与军、民航，公安，应急等部门的空域协调建议与报批路径，并进行政策合规性论证。</w:t>
            </w:r>
          </w:p>
          <w:p w14:paraId="13D233AD">
            <w:pPr>
              <w:spacing w:line="36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三、服务标准</w:t>
            </w:r>
          </w:p>
          <w:p w14:paraId="02152335">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本项目如有国家相关标准、行业标准、地方标准或者其他标准、规范的，应执行相应的标准、规范。如采购需求与标准、规范不一致的，高于标准、规范的按具体采购需求执行，低于标准、规范的按标准、规范执行。</w:t>
            </w:r>
          </w:p>
        </w:tc>
      </w:tr>
      <w:tr w14:paraId="7F53B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tcPr>
          <w:p w14:paraId="5B44F40E">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商务要求</w:t>
            </w:r>
          </w:p>
        </w:tc>
      </w:tr>
      <w:tr w14:paraId="2E74A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6" w:type="dxa"/>
            <w:gridSpan w:val="2"/>
            <w:tcBorders>
              <w:top w:val="single" w:color="auto" w:sz="4" w:space="0"/>
              <w:left w:val="single" w:color="auto" w:sz="4" w:space="0"/>
              <w:bottom w:val="single" w:color="auto" w:sz="4" w:space="0"/>
              <w:right w:val="single" w:color="auto" w:sz="4" w:space="0"/>
            </w:tcBorders>
            <w:vAlign w:val="center"/>
          </w:tcPr>
          <w:p w14:paraId="4932E155">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服务时间及服务地点、合同签订期</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3FFB5751">
            <w:pPr>
              <w:spacing w:line="38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 服务时间：</w:t>
            </w:r>
            <w:r>
              <w:rPr>
                <w:rFonts w:hint="eastAsia" w:ascii="宋体" w:hAnsi="宋体" w:cs="宋体"/>
                <w:color w:val="000000" w:themeColor="text1"/>
                <w:sz w:val="22"/>
                <w:szCs w:val="22"/>
                <w:highlight w:val="none"/>
                <w14:textFill>
                  <w14:solidFill>
                    <w14:schemeClr w14:val="tx1"/>
                  </w14:solidFill>
                </w14:textFill>
              </w:rPr>
              <w:t>2026年11月底前完成编制工作。</w:t>
            </w:r>
          </w:p>
          <w:p w14:paraId="2851854F">
            <w:pPr>
              <w:spacing w:line="38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 服务地点：广西壮族自治区内，具体由采购人指定。</w:t>
            </w:r>
          </w:p>
          <w:p w14:paraId="5A73FB18">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 合同签订时间：自成交通知书发出之日起25日内。</w:t>
            </w:r>
          </w:p>
        </w:tc>
      </w:tr>
      <w:tr w14:paraId="51DFB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6" w:type="dxa"/>
            <w:gridSpan w:val="2"/>
            <w:tcBorders>
              <w:top w:val="single" w:color="auto" w:sz="4" w:space="0"/>
              <w:left w:val="single" w:color="auto" w:sz="4" w:space="0"/>
              <w:bottom w:val="single" w:color="auto" w:sz="4" w:space="0"/>
              <w:right w:val="single" w:color="auto" w:sz="4" w:space="0"/>
            </w:tcBorders>
            <w:vAlign w:val="center"/>
          </w:tcPr>
          <w:p w14:paraId="4C5B11A1">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5CC021DB">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合同后30日内，采购人一次性支付给成交人合同金额的50%；成交人按要求完成最终成果并验收合格，采购人一次性支付合同金额的50%。成交人应在每次向采购人申请合同款前，提交包括但不限于请款函、发票等支付材料。</w:t>
            </w:r>
          </w:p>
        </w:tc>
      </w:tr>
      <w:tr w14:paraId="39A9C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6" w:type="dxa"/>
            <w:gridSpan w:val="2"/>
            <w:tcBorders>
              <w:top w:val="single" w:color="auto" w:sz="4" w:space="0"/>
              <w:left w:val="single" w:color="auto" w:sz="4" w:space="0"/>
              <w:bottom w:val="single" w:color="auto" w:sz="4" w:space="0"/>
              <w:right w:val="single" w:color="auto" w:sz="4" w:space="0"/>
            </w:tcBorders>
            <w:vAlign w:val="center"/>
          </w:tcPr>
          <w:p w14:paraId="0F543FD0">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2E20C171">
            <w:pPr>
              <w:spacing w:line="380" w:lineRule="exact"/>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本项目为总价包干，报价</w:t>
            </w:r>
            <w:r>
              <w:rPr>
                <w:rFonts w:hint="eastAsia" w:ascii="宋体" w:hAnsi="宋体" w:cs="宋体"/>
                <w:color w:val="000000" w:themeColor="text1"/>
                <w:szCs w:val="21"/>
                <w:highlight w:val="none"/>
                <w14:textFill>
                  <w14:solidFill>
                    <w14:schemeClr w14:val="tx1"/>
                  </w14:solidFill>
                </w14:textFill>
              </w:rPr>
              <w:t>包括了完成本项目服务工作所需的人员成本、劳务费、技术服务费、管理、交通、通讯、保险、利润、法律法规、政策性文件规定及合同包含的应有风险、责任等与本项目相关的所有费用</w:t>
            </w:r>
            <w:r>
              <w:rPr>
                <w:rFonts w:hint="eastAsia" w:ascii="宋体" w:hAnsi="宋体" w:cs="宋体"/>
                <w:color w:val="000000" w:themeColor="text1"/>
                <w:highlight w:val="none"/>
                <w14:textFill>
                  <w14:solidFill>
                    <w14:schemeClr w14:val="tx1"/>
                  </w14:solidFill>
                </w14:textFill>
              </w:rPr>
              <w:t>；成交后，磋商报价总价作为成交供应商与采购人签订的合同金额，合同期限内不</w:t>
            </w:r>
            <w:r>
              <w:rPr>
                <w:rFonts w:hint="eastAsia" w:ascii="宋体" w:hAnsi="宋体" w:cs="宋体"/>
                <w:color w:val="000000" w:themeColor="text1"/>
                <w:szCs w:val="21"/>
                <w:highlight w:val="none"/>
                <w14:textFill>
                  <w14:solidFill>
                    <w14:schemeClr w14:val="tx1"/>
                  </w14:solidFill>
                </w14:textFill>
              </w:rPr>
              <w:t>做调整。</w:t>
            </w:r>
          </w:p>
        </w:tc>
      </w:tr>
      <w:tr w14:paraId="24C07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vAlign w:val="center"/>
          </w:tcPr>
          <w:p w14:paraId="4210F99A">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其他要求</w:t>
            </w:r>
          </w:p>
        </w:tc>
        <w:tc>
          <w:tcPr>
            <w:tcW w:w="7394" w:type="dxa"/>
            <w:gridSpan w:val="2"/>
            <w:tcBorders>
              <w:top w:val="single" w:color="auto" w:sz="4" w:space="0"/>
              <w:left w:val="single" w:color="auto" w:sz="4" w:space="0"/>
              <w:bottom w:val="single" w:color="auto" w:sz="4" w:space="0"/>
              <w:right w:val="single" w:color="auto" w:sz="4" w:space="0"/>
            </w:tcBorders>
            <w:vAlign w:val="center"/>
          </w:tcPr>
          <w:p w14:paraId="2044542D">
            <w:pPr>
              <w:pStyle w:val="7"/>
              <w:spacing w:line="360" w:lineRule="auto"/>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（一）服务响应时间要求：</w:t>
            </w:r>
          </w:p>
          <w:p w14:paraId="785E03E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处理问题响应时间：成交人应在接到采购人处理问题通知后及时响应，并在双方协商的合理时间内尽快解决问题。</w:t>
            </w:r>
          </w:p>
          <w:p w14:paraId="49C8D903">
            <w:pPr>
              <w:pStyle w:val="7"/>
              <w:spacing w:line="360" w:lineRule="auto"/>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（二）验收标准和要求：</w:t>
            </w:r>
          </w:p>
          <w:p w14:paraId="393A1A23">
            <w:pPr>
              <w:pStyle w:val="7"/>
              <w:spacing w:line="360" w:lineRule="auto"/>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1.符合国家及行业的标准和技术规范、规程要求。</w:t>
            </w:r>
          </w:p>
          <w:p w14:paraId="05098696">
            <w:pPr>
              <w:spacing w:line="360" w:lineRule="auto"/>
              <w:ind w:firstLine="420" w:firstLineChars="200"/>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2.成果验收要求：</w:t>
            </w:r>
          </w:p>
          <w:p w14:paraId="597CE21C">
            <w:pPr>
              <w:pStyle w:val="7"/>
              <w:spacing w:line="360" w:lineRule="auto"/>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项目成果符合国家、地方有关技术要求的规范、规程和规定，满足采购人对技术服务成果的相关要求。</w:t>
            </w:r>
          </w:p>
          <w:p w14:paraId="26FB402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（三）其他要求：</w:t>
            </w:r>
          </w:p>
          <w:p w14:paraId="0FD945A1">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1.供应商在人员组成结构等方面应能满足本项目服务的要求。</w:t>
            </w:r>
          </w:p>
          <w:p w14:paraId="1D50F813">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2.如供应商处于被责令停业，财产被接管、冻结、破产状态；或在以往的招投标活动中有不良行为和记录，在最近三年内有骗取中标和严重违约及重大质量、安全问题，一经发现则其竞标无效。</w:t>
            </w:r>
          </w:p>
          <w:p w14:paraId="4649A86D">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竞标人承担。</w:t>
            </w:r>
          </w:p>
          <w:p w14:paraId="12CF27EE">
            <w:pPr>
              <w:widowControl/>
              <w:wordWrap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4.成交人有义务随时向采购人解释所有成果内容。</w:t>
            </w:r>
          </w:p>
          <w:p w14:paraId="303B9022">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供应商必须自行为其竞标内容侵犯其他竞标人或专利人的专利成果承担相应法律责任；同时，具有专利的供应商应在其响应文件中提供与其自有专利相关的有效证明材料，否则，不能就其竞标内容的专利在本项目竞标过程中被侵权问题提出异议。</w:t>
            </w:r>
          </w:p>
          <w:p w14:paraId="78152471">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7.供应商所拟投入的项目机构人员必须符合和满足该项目要求且具有相关专业的技术人员，应与竞标时拟投入人员一致。</w:t>
            </w:r>
          </w:p>
          <w:p w14:paraId="5E23F6D0">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8.竞标人可根据自身情况在响应文件中提供服务方案及服务承诺，内容不限于对本项目的理解和总体思路；对项目的特点、关键技术问题的认识及其对策措施；项目研究工作内容及计划安排、质量保证措施等。</w:t>
            </w:r>
          </w:p>
        </w:tc>
      </w:tr>
    </w:tbl>
    <w:p w14:paraId="075B4DEF">
      <w:pPr>
        <w:spacing w:line="428" w:lineRule="exact"/>
        <w:ind w:left="119"/>
        <w:rPr>
          <w:rFonts w:hint="eastAsia" w:ascii="Arial Unicode MS" w:hAnsi="Arial Unicode MS" w:eastAsia="等线" w:cs="Arial Unicode MS"/>
          <w:color w:val="000000" w:themeColor="text1"/>
          <w:kern w:val="0"/>
          <w:sz w:val="28"/>
          <w:szCs w:val="28"/>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End w:id="78"/>
      <w:bookmarkEnd w:id="79"/>
      <w:r>
        <w:rPr>
          <w:rFonts w:hint="eastAsia" w:ascii="黑体" w:hAnsi="黑体" w:eastAsia="黑体" w:cs="黑体"/>
          <w:color w:val="000000" w:themeColor="text1"/>
          <w:sz w:val="24"/>
          <w:highlight w:val="none"/>
          <w14:textFill>
            <w14:solidFill>
              <w14:schemeClr w14:val="tx1"/>
            </w14:solidFill>
          </w14:textFill>
        </w:rPr>
        <w:t>附件：</w:t>
      </w:r>
    </w:p>
    <w:p w14:paraId="54C97C1A">
      <w:pPr>
        <w:spacing w:line="528" w:lineRule="exact"/>
        <w:jc w:val="center"/>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t>中小微企业划型标准</w:t>
      </w:r>
    </w:p>
    <w:tbl>
      <w:tblPr>
        <w:tblStyle w:val="31"/>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46A768F4">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14:paraId="50AAC6B7">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行业名称</w:t>
            </w:r>
          </w:p>
        </w:tc>
        <w:tc>
          <w:tcPr>
            <w:tcW w:w="831" w:type="pct"/>
            <w:tcBorders>
              <w:top w:val="single" w:color="auto" w:sz="4" w:space="0"/>
              <w:left w:val="nil"/>
              <w:bottom w:val="single" w:color="auto" w:sz="4" w:space="0"/>
              <w:right w:val="single" w:color="auto" w:sz="4" w:space="0"/>
            </w:tcBorders>
            <w:vAlign w:val="center"/>
          </w:tcPr>
          <w:p w14:paraId="42962915">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指标名称</w:t>
            </w:r>
          </w:p>
        </w:tc>
        <w:tc>
          <w:tcPr>
            <w:tcW w:w="748" w:type="pct"/>
            <w:tcBorders>
              <w:top w:val="single" w:color="auto" w:sz="4" w:space="0"/>
              <w:left w:val="nil"/>
              <w:bottom w:val="single" w:color="auto" w:sz="4" w:space="0"/>
              <w:right w:val="single" w:color="auto" w:sz="4" w:space="0"/>
            </w:tcBorders>
            <w:vAlign w:val="center"/>
          </w:tcPr>
          <w:p w14:paraId="15B2D2DD">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计量单位</w:t>
            </w:r>
          </w:p>
        </w:tc>
        <w:tc>
          <w:tcPr>
            <w:tcW w:w="962" w:type="pct"/>
            <w:tcBorders>
              <w:top w:val="single" w:color="auto" w:sz="4" w:space="0"/>
              <w:left w:val="nil"/>
              <w:bottom w:val="single" w:color="auto" w:sz="4" w:space="0"/>
              <w:right w:val="single" w:color="auto" w:sz="4" w:space="0"/>
            </w:tcBorders>
            <w:vAlign w:val="center"/>
          </w:tcPr>
          <w:p w14:paraId="08501FA9">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中型</w:t>
            </w:r>
          </w:p>
        </w:tc>
        <w:tc>
          <w:tcPr>
            <w:tcW w:w="902" w:type="pct"/>
            <w:tcBorders>
              <w:top w:val="single" w:color="auto" w:sz="4" w:space="0"/>
              <w:left w:val="nil"/>
              <w:bottom w:val="single" w:color="auto" w:sz="4" w:space="0"/>
              <w:right w:val="single" w:color="auto" w:sz="4" w:space="0"/>
            </w:tcBorders>
            <w:vAlign w:val="center"/>
          </w:tcPr>
          <w:p w14:paraId="04DB52CA">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小型</w:t>
            </w:r>
          </w:p>
        </w:tc>
        <w:tc>
          <w:tcPr>
            <w:tcW w:w="579" w:type="pct"/>
            <w:tcBorders>
              <w:top w:val="single" w:color="auto" w:sz="4" w:space="0"/>
              <w:left w:val="nil"/>
              <w:bottom w:val="single" w:color="auto" w:sz="4" w:space="0"/>
              <w:right w:val="single" w:color="auto" w:sz="4" w:space="0"/>
            </w:tcBorders>
            <w:vAlign w:val="center"/>
          </w:tcPr>
          <w:p w14:paraId="6D03D24B">
            <w:pPr>
              <w:widowControl/>
              <w:jc w:val="center"/>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微型</w:t>
            </w:r>
          </w:p>
        </w:tc>
      </w:tr>
      <w:tr w14:paraId="2A5B2B6A">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1F722D16">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农、林、牧、渔</w:t>
            </w:r>
          </w:p>
        </w:tc>
        <w:tc>
          <w:tcPr>
            <w:tcW w:w="831" w:type="pct"/>
            <w:tcBorders>
              <w:top w:val="nil"/>
              <w:left w:val="nil"/>
              <w:bottom w:val="single" w:color="auto" w:sz="4" w:space="0"/>
              <w:right w:val="single" w:color="auto" w:sz="4" w:space="0"/>
            </w:tcBorders>
            <w:vAlign w:val="center"/>
          </w:tcPr>
          <w:p w14:paraId="7A3873A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62BA365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1CC2C17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500≤Y＜20000</w:t>
            </w:r>
          </w:p>
        </w:tc>
        <w:tc>
          <w:tcPr>
            <w:tcW w:w="902" w:type="pct"/>
            <w:tcBorders>
              <w:top w:val="nil"/>
              <w:left w:val="nil"/>
              <w:bottom w:val="single" w:color="auto" w:sz="4" w:space="0"/>
              <w:right w:val="single" w:color="auto" w:sz="4" w:space="0"/>
            </w:tcBorders>
            <w:vAlign w:val="center"/>
          </w:tcPr>
          <w:p w14:paraId="76854F6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50≤Y＜500</w:t>
            </w:r>
          </w:p>
        </w:tc>
        <w:tc>
          <w:tcPr>
            <w:tcW w:w="579" w:type="pct"/>
            <w:tcBorders>
              <w:top w:val="nil"/>
              <w:left w:val="nil"/>
              <w:bottom w:val="single" w:color="auto" w:sz="4" w:space="0"/>
              <w:right w:val="single" w:color="auto" w:sz="4" w:space="0"/>
            </w:tcBorders>
            <w:vAlign w:val="center"/>
          </w:tcPr>
          <w:p w14:paraId="73449D8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Y＜50</w:t>
            </w:r>
          </w:p>
        </w:tc>
      </w:tr>
      <w:tr w14:paraId="0CA643F1">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69D5B5A">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工业</w:t>
            </w:r>
          </w:p>
        </w:tc>
        <w:tc>
          <w:tcPr>
            <w:tcW w:w="831" w:type="pct"/>
            <w:tcBorders>
              <w:top w:val="nil"/>
              <w:left w:val="nil"/>
              <w:bottom w:val="single" w:color="auto" w:sz="4" w:space="0"/>
              <w:right w:val="single" w:color="auto" w:sz="4" w:space="0"/>
            </w:tcBorders>
            <w:vAlign w:val="center"/>
          </w:tcPr>
          <w:p w14:paraId="5DC6370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1838FAC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5CF88C5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462CB15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3B9CE26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5F9F55F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18922B4">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65054F6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7C3C72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CBB3D5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2000≤Y＜40000</w:t>
            </w:r>
          </w:p>
        </w:tc>
        <w:tc>
          <w:tcPr>
            <w:tcW w:w="902" w:type="pct"/>
            <w:tcBorders>
              <w:top w:val="nil"/>
              <w:left w:val="nil"/>
              <w:bottom w:val="single" w:color="auto" w:sz="4" w:space="0"/>
              <w:right w:val="single" w:color="auto" w:sz="4" w:space="0"/>
            </w:tcBorders>
            <w:vAlign w:val="center"/>
          </w:tcPr>
          <w:p w14:paraId="462D123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300≤Y＜2000</w:t>
            </w:r>
          </w:p>
        </w:tc>
        <w:tc>
          <w:tcPr>
            <w:tcW w:w="579" w:type="pct"/>
            <w:tcBorders>
              <w:top w:val="nil"/>
              <w:left w:val="nil"/>
              <w:bottom w:val="single" w:color="auto" w:sz="4" w:space="0"/>
              <w:right w:val="single" w:color="auto" w:sz="4" w:space="0"/>
            </w:tcBorders>
            <w:vAlign w:val="center"/>
          </w:tcPr>
          <w:p w14:paraId="4A20992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Y＜300</w:t>
            </w:r>
          </w:p>
        </w:tc>
      </w:tr>
      <w:tr w14:paraId="5A4066F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7EB1A970">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建筑业</w:t>
            </w:r>
          </w:p>
        </w:tc>
        <w:tc>
          <w:tcPr>
            <w:tcW w:w="831" w:type="pct"/>
            <w:tcBorders>
              <w:top w:val="nil"/>
              <w:left w:val="nil"/>
              <w:bottom w:val="single" w:color="auto" w:sz="4" w:space="0"/>
              <w:right w:val="single" w:color="auto" w:sz="4" w:space="0"/>
            </w:tcBorders>
            <w:vAlign w:val="center"/>
          </w:tcPr>
          <w:p w14:paraId="00BE1D2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872525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74CDAB4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6000≤Y＜80000</w:t>
            </w:r>
          </w:p>
        </w:tc>
        <w:tc>
          <w:tcPr>
            <w:tcW w:w="902" w:type="pct"/>
            <w:tcBorders>
              <w:top w:val="nil"/>
              <w:left w:val="nil"/>
              <w:bottom w:val="single" w:color="auto" w:sz="4" w:space="0"/>
              <w:right w:val="single" w:color="auto" w:sz="4" w:space="0"/>
            </w:tcBorders>
            <w:vAlign w:val="center"/>
          </w:tcPr>
          <w:p w14:paraId="11306F5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300≤Y＜6000</w:t>
            </w:r>
          </w:p>
        </w:tc>
        <w:tc>
          <w:tcPr>
            <w:tcW w:w="579" w:type="pct"/>
            <w:tcBorders>
              <w:top w:val="nil"/>
              <w:left w:val="nil"/>
              <w:bottom w:val="single" w:color="auto" w:sz="4" w:space="0"/>
              <w:right w:val="single" w:color="auto" w:sz="4" w:space="0"/>
            </w:tcBorders>
            <w:vAlign w:val="center"/>
          </w:tcPr>
          <w:p w14:paraId="0A2C22D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Y＜300</w:t>
            </w:r>
          </w:p>
        </w:tc>
      </w:tr>
      <w:tr w14:paraId="7EE60207">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3BB1706">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6B6F46B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26F8353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1B1F5AE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5000≤Z＜80000</w:t>
            </w:r>
          </w:p>
        </w:tc>
        <w:tc>
          <w:tcPr>
            <w:tcW w:w="902" w:type="pct"/>
            <w:tcBorders>
              <w:top w:val="nil"/>
              <w:left w:val="nil"/>
              <w:bottom w:val="single" w:color="auto" w:sz="4" w:space="0"/>
              <w:right w:val="single" w:color="auto" w:sz="4" w:space="0"/>
            </w:tcBorders>
            <w:vAlign w:val="center"/>
          </w:tcPr>
          <w:p w14:paraId="1CEE049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300≤Z＜5000</w:t>
            </w:r>
          </w:p>
        </w:tc>
        <w:tc>
          <w:tcPr>
            <w:tcW w:w="579" w:type="pct"/>
            <w:tcBorders>
              <w:top w:val="nil"/>
              <w:left w:val="nil"/>
              <w:bottom w:val="single" w:color="auto" w:sz="4" w:space="0"/>
              <w:right w:val="single" w:color="auto" w:sz="4" w:space="0"/>
            </w:tcBorders>
            <w:vAlign w:val="center"/>
          </w:tcPr>
          <w:p w14:paraId="7231E33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Z＜300</w:t>
            </w:r>
          </w:p>
        </w:tc>
      </w:tr>
      <w:tr w14:paraId="52DD5B6F">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8E8B2F7">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批发业</w:t>
            </w:r>
          </w:p>
        </w:tc>
        <w:tc>
          <w:tcPr>
            <w:tcW w:w="831" w:type="pct"/>
            <w:tcBorders>
              <w:top w:val="nil"/>
              <w:left w:val="nil"/>
              <w:bottom w:val="single" w:color="auto" w:sz="4" w:space="0"/>
              <w:right w:val="single" w:color="auto" w:sz="4" w:space="0"/>
            </w:tcBorders>
            <w:vAlign w:val="center"/>
          </w:tcPr>
          <w:p w14:paraId="7226814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4A3A489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38FF09D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20≤X＜200</w:t>
            </w:r>
          </w:p>
        </w:tc>
        <w:tc>
          <w:tcPr>
            <w:tcW w:w="902" w:type="pct"/>
            <w:tcBorders>
              <w:top w:val="nil"/>
              <w:left w:val="nil"/>
              <w:bottom w:val="single" w:color="auto" w:sz="4" w:space="0"/>
              <w:right w:val="single" w:color="auto" w:sz="4" w:space="0"/>
            </w:tcBorders>
            <w:vAlign w:val="center"/>
          </w:tcPr>
          <w:p w14:paraId="2B29602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5≤X＜20</w:t>
            </w:r>
          </w:p>
        </w:tc>
        <w:tc>
          <w:tcPr>
            <w:tcW w:w="579" w:type="pct"/>
            <w:tcBorders>
              <w:top w:val="nil"/>
              <w:left w:val="nil"/>
              <w:bottom w:val="single" w:color="auto" w:sz="4" w:space="0"/>
              <w:right w:val="single" w:color="auto" w:sz="4" w:space="0"/>
            </w:tcBorders>
            <w:vAlign w:val="center"/>
          </w:tcPr>
          <w:p w14:paraId="6D5AE3A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X＜5</w:t>
            </w:r>
          </w:p>
        </w:tc>
      </w:tr>
      <w:tr w14:paraId="5EE12FB0">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1098745">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359722A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0219508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203378E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5000≤Y＜40000</w:t>
            </w:r>
          </w:p>
        </w:tc>
        <w:tc>
          <w:tcPr>
            <w:tcW w:w="902" w:type="pct"/>
            <w:tcBorders>
              <w:top w:val="nil"/>
              <w:left w:val="nil"/>
              <w:bottom w:val="single" w:color="auto" w:sz="4" w:space="0"/>
              <w:right w:val="single" w:color="auto" w:sz="4" w:space="0"/>
            </w:tcBorders>
            <w:vAlign w:val="center"/>
          </w:tcPr>
          <w:p w14:paraId="71B112C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1000≤Y＜5000</w:t>
            </w:r>
          </w:p>
        </w:tc>
        <w:tc>
          <w:tcPr>
            <w:tcW w:w="579" w:type="pct"/>
            <w:tcBorders>
              <w:top w:val="nil"/>
              <w:left w:val="nil"/>
              <w:bottom w:val="single" w:color="auto" w:sz="4" w:space="0"/>
              <w:right w:val="single" w:color="auto" w:sz="4" w:space="0"/>
            </w:tcBorders>
            <w:vAlign w:val="center"/>
          </w:tcPr>
          <w:p w14:paraId="312B22C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Y＜1000</w:t>
            </w:r>
          </w:p>
        </w:tc>
      </w:tr>
      <w:tr w14:paraId="42C3A98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7FEF4A27">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零售业</w:t>
            </w:r>
          </w:p>
        </w:tc>
        <w:tc>
          <w:tcPr>
            <w:tcW w:w="831" w:type="pct"/>
            <w:tcBorders>
              <w:top w:val="nil"/>
              <w:left w:val="nil"/>
              <w:bottom w:val="single" w:color="auto" w:sz="4" w:space="0"/>
              <w:right w:val="single" w:color="auto" w:sz="4" w:space="0"/>
            </w:tcBorders>
            <w:vAlign w:val="center"/>
          </w:tcPr>
          <w:p w14:paraId="19FCA47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0C3F460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726E1C4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50≤X＜300</w:t>
            </w:r>
          </w:p>
        </w:tc>
        <w:tc>
          <w:tcPr>
            <w:tcW w:w="902" w:type="pct"/>
            <w:tcBorders>
              <w:top w:val="nil"/>
              <w:left w:val="nil"/>
              <w:bottom w:val="single" w:color="auto" w:sz="4" w:space="0"/>
              <w:right w:val="single" w:color="auto" w:sz="4" w:space="0"/>
            </w:tcBorders>
            <w:vAlign w:val="center"/>
          </w:tcPr>
          <w:p w14:paraId="053F062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10≤X＜50</w:t>
            </w:r>
          </w:p>
        </w:tc>
        <w:tc>
          <w:tcPr>
            <w:tcW w:w="579" w:type="pct"/>
            <w:tcBorders>
              <w:top w:val="nil"/>
              <w:left w:val="nil"/>
              <w:bottom w:val="single" w:color="auto" w:sz="4" w:space="0"/>
              <w:right w:val="single" w:color="auto" w:sz="4" w:space="0"/>
            </w:tcBorders>
            <w:vAlign w:val="center"/>
          </w:tcPr>
          <w:p w14:paraId="5DDB57C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154E693C">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74AEB37">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402E9B0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56FD897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5790AAF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500≤Y＜20000</w:t>
            </w:r>
          </w:p>
        </w:tc>
        <w:tc>
          <w:tcPr>
            <w:tcW w:w="902" w:type="pct"/>
            <w:tcBorders>
              <w:top w:val="nil"/>
              <w:left w:val="nil"/>
              <w:bottom w:val="single" w:color="auto" w:sz="4" w:space="0"/>
              <w:right w:val="single" w:color="auto" w:sz="4" w:space="0"/>
            </w:tcBorders>
            <w:vAlign w:val="center"/>
          </w:tcPr>
          <w:p w14:paraId="63FAEFA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100≤Y＜500</w:t>
            </w:r>
          </w:p>
        </w:tc>
        <w:tc>
          <w:tcPr>
            <w:tcW w:w="579" w:type="pct"/>
            <w:tcBorders>
              <w:top w:val="nil"/>
              <w:left w:val="nil"/>
              <w:bottom w:val="single" w:color="auto" w:sz="4" w:space="0"/>
              <w:right w:val="single" w:color="auto" w:sz="4" w:space="0"/>
            </w:tcBorders>
            <w:vAlign w:val="center"/>
          </w:tcPr>
          <w:p w14:paraId="2CC8255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14295A1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7C27CD5A">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交通运输业</w:t>
            </w:r>
          </w:p>
        </w:tc>
        <w:tc>
          <w:tcPr>
            <w:tcW w:w="831" w:type="pct"/>
            <w:tcBorders>
              <w:top w:val="nil"/>
              <w:left w:val="nil"/>
              <w:bottom w:val="single" w:color="auto" w:sz="4" w:space="0"/>
              <w:right w:val="single" w:color="auto" w:sz="4" w:space="0"/>
            </w:tcBorders>
            <w:vAlign w:val="center"/>
          </w:tcPr>
          <w:p w14:paraId="1DFDFC7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33CC3EE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3D96B2B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5952B4D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54EFF22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259C2B3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1713C35">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401F84A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431253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3C6D259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3000≤Y＜30000</w:t>
            </w:r>
          </w:p>
        </w:tc>
        <w:tc>
          <w:tcPr>
            <w:tcW w:w="902" w:type="pct"/>
            <w:tcBorders>
              <w:top w:val="nil"/>
              <w:left w:val="nil"/>
              <w:bottom w:val="single" w:color="auto" w:sz="4" w:space="0"/>
              <w:right w:val="single" w:color="auto" w:sz="4" w:space="0"/>
            </w:tcBorders>
            <w:vAlign w:val="center"/>
          </w:tcPr>
          <w:p w14:paraId="4248DD3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200≤Y＜3000</w:t>
            </w:r>
          </w:p>
        </w:tc>
        <w:tc>
          <w:tcPr>
            <w:tcW w:w="579" w:type="pct"/>
            <w:tcBorders>
              <w:top w:val="nil"/>
              <w:left w:val="nil"/>
              <w:bottom w:val="single" w:color="auto" w:sz="4" w:space="0"/>
              <w:right w:val="single" w:color="auto" w:sz="4" w:space="0"/>
            </w:tcBorders>
            <w:vAlign w:val="center"/>
          </w:tcPr>
          <w:p w14:paraId="005A5C8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Y＜200</w:t>
            </w:r>
          </w:p>
        </w:tc>
      </w:tr>
      <w:tr w14:paraId="72101B6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7333A397">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仓储业</w:t>
            </w:r>
          </w:p>
        </w:tc>
        <w:tc>
          <w:tcPr>
            <w:tcW w:w="831" w:type="pct"/>
            <w:tcBorders>
              <w:top w:val="nil"/>
              <w:left w:val="nil"/>
              <w:bottom w:val="single" w:color="auto" w:sz="4" w:space="0"/>
              <w:right w:val="single" w:color="auto" w:sz="4" w:space="0"/>
            </w:tcBorders>
            <w:vAlign w:val="center"/>
          </w:tcPr>
          <w:p w14:paraId="1F17DDA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1A01F9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26E8093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100≤X＜200</w:t>
            </w:r>
          </w:p>
        </w:tc>
        <w:tc>
          <w:tcPr>
            <w:tcW w:w="902" w:type="pct"/>
            <w:tcBorders>
              <w:top w:val="nil"/>
              <w:left w:val="nil"/>
              <w:bottom w:val="single" w:color="auto" w:sz="4" w:space="0"/>
              <w:right w:val="single" w:color="auto" w:sz="4" w:space="0"/>
            </w:tcBorders>
            <w:vAlign w:val="center"/>
          </w:tcPr>
          <w:p w14:paraId="2EB57F0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20≤X＜100</w:t>
            </w:r>
          </w:p>
        </w:tc>
        <w:tc>
          <w:tcPr>
            <w:tcW w:w="579" w:type="pct"/>
            <w:tcBorders>
              <w:top w:val="nil"/>
              <w:left w:val="nil"/>
              <w:bottom w:val="single" w:color="auto" w:sz="4" w:space="0"/>
              <w:right w:val="single" w:color="auto" w:sz="4" w:space="0"/>
            </w:tcBorders>
            <w:vAlign w:val="center"/>
          </w:tcPr>
          <w:p w14:paraId="03D734C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0A00EF5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EF7C383">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32145FE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52B0806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583BCF6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1000≤Y＜30000</w:t>
            </w:r>
          </w:p>
        </w:tc>
        <w:tc>
          <w:tcPr>
            <w:tcW w:w="902" w:type="pct"/>
            <w:tcBorders>
              <w:top w:val="nil"/>
              <w:left w:val="nil"/>
              <w:bottom w:val="single" w:color="auto" w:sz="4" w:space="0"/>
              <w:right w:val="single" w:color="auto" w:sz="4" w:space="0"/>
            </w:tcBorders>
            <w:vAlign w:val="center"/>
          </w:tcPr>
          <w:p w14:paraId="0991962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100≤Y＜1000</w:t>
            </w:r>
          </w:p>
        </w:tc>
        <w:tc>
          <w:tcPr>
            <w:tcW w:w="579" w:type="pct"/>
            <w:tcBorders>
              <w:top w:val="nil"/>
              <w:left w:val="nil"/>
              <w:bottom w:val="single" w:color="auto" w:sz="4" w:space="0"/>
              <w:right w:val="single" w:color="auto" w:sz="4" w:space="0"/>
            </w:tcBorders>
            <w:vAlign w:val="center"/>
          </w:tcPr>
          <w:p w14:paraId="31399B2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40116F7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0EBD3B2">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邮政业</w:t>
            </w:r>
          </w:p>
        </w:tc>
        <w:tc>
          <w:tcPr>
            <w:tcW w:w="831" w:type="pct"/>
            <w:tcBorders>
              <w:top w:val="nil"/>
              <w:left w:val="nil"/>
              <w:bottom w:val="single" w:color="auto" w:sz="4" w:space="0"/>
              <w:right w:val="single" w:color="auto" w:sz="4" w:space="0"/>
            </w:tcBorders>
            <w:vAlign w:val="center"/>
          </w:tcPr>
          <w:p w14:paraId="522538B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8FEAC2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5D1E8FC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787DE59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10DE6D3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X＜20</w:t>
            </w:r>
          </w:p>
        </w:tc>
      </w:tr>
      <w:tr w14:paraId="3F46C060">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7ECF0F4">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57E4B59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7C17C39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36B842B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2000≤Y＜30000</w:t>
            </w:r>
          </w:p>
        </w:tc>
        <w:tc>
          <w:tcPr>
            <w:tcW w:w="902" w:type="pct"/>
            <w:tcBorders>
              <w:top w:val="nil"/>
              <w:left w:val="nil"/>
              <w:bottom w:val="single" w:color="auto" w:sz="4" w:space="0"/>
              <w:right w:val="single" w:color="auto" w:sz="4" w:space="0"/>
            </w:tcBorders>
            <w:vAlign w:val="center"/>
          </w:tcPr>
          <w:p w14:paraId="55E52B4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53BAC5E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1A97A97F">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84F0914">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住宿业</w:t>
            </w:r>
          </w:p>
        </w:tc>
        <w:tc>
          <w:tcPr>
            <w:tcW w:w="831" w:type="pct"/>
            <w:tcBorders>
              <w:top w:val="nil"/>
              <w:left w:val="nil"/>
              <w:bottom w:val="single" w:color="auto" w:sz="4" w:space="0"/>
              <w:right w:val="single" w:color="auto" w:sz="4" w:space="0"/>
            </w:tcBorders>
            <w:vAlign w:val="center"/>
          </w:tcPr>
          <w:p w14:paraId="2B1C14D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6F57538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42BD4A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2089111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45604DD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3B8F5C4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74E25EF">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C120F8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7BEA6F6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BBFC51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2000≤Y＜10000</w:t>
            </w:r>
          </w:p>
        </w:tc>
        <w:tc>
          <w:tcPr>
            <w:tcW w:w="902" w:type="pct"/>
            <w:tcBorders>
              <w:top w:val="nil"/>
              <w:left w:val="nil"/>
              <w:bottom w:val="single" w:color="auto" w:sz="4" w:space="0"/>
              <w:right w:val="single" w:color="auto" w:sz="4" w:space="0"/>
            </w:tcBorders>
            <w:vAlign w:val="center"/>
          </w:tcPr>
          <w:p w14:paraId="36F7D52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5CB8E0A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28DFE44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5D4FCEC">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餐饮业</w:t>
            </w:r>
          </w:p>
        </w:tc>
        <w:tc>
          <w:tcPr>
            <w:tcW w:w="831" w:type="pct"/>
            <w:tcBorders>
              <w:top w:val="nil"/>
              <w:left w:val="nil"/>
              <w:bottom w:val="single" w:color="auto" w:sz="4" w:space="0"/>
              <w:right w:val="single" w:color="auto" w:sz="4" w:space="0"/>
            </w:tcBorders>
            <w:vAlign w:val="center"/>
          </w:tcPr>
          <w:p w14:paraId="56F7A26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51D495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7F9464B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7AE91BC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5BDC2E0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5D692705">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044F758">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60D1C15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69F3D0D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99EDF6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2000≤Y＜10000</w:t>
            </w:r>
          </w:p>
        </w:tc>
        <w:tc>
          <w:tcPr>
            <w:tcW w:w="902" w:type="pct"/>
            <w:tcBorders>
              <w:top w:val="nil"/>
              <w:left w:val="nil"/>
              <w:bottom w:val="single" w:color="auto" w:sz="4" w:space="0"/>
              <w:right w:val="single" w:color="auto" w:sz="4" w:space="0"/>
            </w:tcBorders>
            <w:vAlign w:val="center"/>
          </w:tcPr>
          <w:p w14:paraId="6EEE625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4A3E91B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7028EFF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260AC93A">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信息传输业</w:t>
            </w:r>
          </w:p>
        </w:tc>
        <w:tc>
          <w:tcPr>
            <w:tcW w:w="831" w:type="pct"/>
            <w:tcBorders>
              <w:top w:val="nil"/>
              <w:left w:val="nil"/>
              <w:bottom w:val="single" w:color="auto" w:sz="4" w:space="0"/>
              <w:right w:val="single" w:color="auto" w:sz="4" w:space="0"/>
            </w:tcBorders>
            <w:vAlign w:val="center"/>
          </w:tcPr>
          <w:p w14:paraId="06D68AD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6F98381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3DAD6F4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100≤X＜2000</w:t>
            </w:r>
          </w:p>
        </w:tc>
        <w:tc>
          <w:tcPr>
            <w:tcW w:w="902" w:type="pct"/>
            <w:tcBorders>
              <w:top w:val="nil"/>
              <w:left w:val="nil"/>
              <w:bottom w:val="single" w:color="auto" w:sz="4" w:space="0"/>
              <w:right w:val="single" w:color="auto" w:sz="4" w:space="0"/>
            </w:tcBorders>
            <w:vAlign w:val="center"/>
          </w:tcPr>
          <w:p w14:paraId="4191C57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105035B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7C23C9D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D8AABB2">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7BE9CB4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5327D66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3A5A150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1000≤Y＜100000</w:t>
            </w:r>
          </w:p>
        </w:tc>
        <w:tc>
          <w:tcPr>
            <w:tcW w:w="902" w:type="pct"/>
            <w:tcBorders>
              <w:top w:val="nil"/>
              <w:left w:val="nil"/>
              <w:bottom w:val="single" w:color="auto" w:sz="4" w:space="0"/>
              <w:right w:val="single" w:color="auto" w:sz="4" w:space="0"/>
            </w:tcBorders>
            <w:vAlign w:val="center"/>
          </w:tcPr>
          <w:p w14:paraId="2CE46F1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100≤Y＜1000</w:t>
            </w:r>
          </w:p>
        </w:tc>
        <w:tc>
          <w:tcPr>
            <w:tcW w:w="579" w:type="pct"/>
            <w:tcBorders>
              <w:top w:val="nil"/>
              <w:left w:val="nil"/>
              <w:bottom w:val="single" w:color="auto" w:sz="4" w:space="0"/>
              <w:right w:val="single" w:color="auto" w:sz="4" w:space="0"/>
            </w:tcBorders>
            <w:vAlign w:val="center"/>
          </w:tcPr>
          <w:p w14:paraId="5286101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54B4D3EC">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40369F8">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软件和信息技术服务业</w:t>
            </w:r>
          </w:p>
        </w:tc>
        <w:tc>
          <w:tcPr>
            <w:tcW w:w="831" w:type="pct"/>
            <w:tcBorders>
              <w:top w:val="nil"/>
              <w:left w:val="nil"/>
              <w:bottom w:val="single" w:color="auto" w:sz="4" w:space="0"/>
              <w:right w:val="single" w:color="auto" w:sz="4" w:space="0"/>
            </w:tcBorders>
            <w:vAlign w:val="center"/>
          </w:tcPr>
          <w:p w14:paraId="1205045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6585699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4A3148E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5FC5DD5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44C856C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44C1D0B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832EC36">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49CA78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58D41D6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5C78716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1000≤Y＜10000</w:t>
            </w:r>
          </w:p>
        </w:tc>
        <w:tc>
          <w:tcPr>
            <w:tcW w:w="902" w:type="pct"/>
            <w:tcBorders>
              <w:top w:val="nil"/>
              <w:left w:val="nil"/>
              <w:bottom w:val="single" w:color="auto" w:sz="4" w:space="0"/>
              <w:right w:val="single" w:color="auto" w:sz="4" w:space="0"/>
            </w:tcBorders>
            <w:vAlign w:val="center"/>
          </w:tcPr>
          <w:p w14:paraId="13A246D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50≤Y＜1000</w:t>
            </w:r>
          </w:p>
        </w:tc>
        <w:tc>
          <w:tcPr>
            <w:tcW w:w="579" w:type="pct"/>
            <w:tcBorders>
              <w:top w:val="nil"/>
              <w:left w:val="nil"/>
              <w:bottom w:val="single" w:color="auto" w:sz="4" w:space="0"/>
              <w:right w:val="single" w:color="auto" w:sz="4" w:space="0"/>
            </w:tcBorders>
            <w:vAlign w:val="center"/>
          </w:tcPr>
          <w:p w14:paraId="5385881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Y＜50</w:t>
            </w:r>
          </w:p>
        </w:tc>
      </w:tr>
      <w:tr w14:paraId="009DA0F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A70BC78">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房地产开发经营</w:t>
            </w:r>
          </w:p>
        </w:tc>
        <w:tc>
          <w:tcPr>
            <w:tcW w:w="831" w:type="pct"/>
            <w:tcBorders>
              <w:top w:val="nil"/>
              <w:left w:val="nil"/>
              <w:bottom w:val="single" w:color="auto" w:sz="4" w:space="0"/>
              <w:right w:val="single" w:color="auto" w:sz="4" w:space="0"/>
            </w:tcBorders>
            <w:vAlign w:val="center"/>
          </w:tcPr>
          <w:p w14:paraId="31FB261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0AF0A8F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D8F653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1000≤Y＜200000</w:t>
            </w:r>
          </w:p>
        </w:tc>
        <w:tc>
          <w:tcPr>
            <w:tcW w:w="902" w:type="pct"/>
            <w:tcBorders>
              <w:top w:val="nil"/>
              <w:left w:val="nil"/>
              <w:bottom w:val="single" w:color="auto" w:sz="4" w:space="0"/>
              <w:right w:val="single" w:color="auto" w:sz="4" w:space="0"/>
            </w:tcBorders>
            <w:vAlign w:val="center"/>
          </w:tcPr>
          <w:p w14:paraId="112C075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100≤X＜1000</w:t>
            </w:r>
          </w:p>
        </w:tc>
        <w:tc>
          <w:tcPr>
            <w:tcW w:w="579" w:type="pct"/>
            <w:tcBorders>
              <w:top w:val="nil"/>
              <w:left w:val="nil"/>
              <w:bottom w:val="single" w:color="auto" w:sz="4" w:space="0"/>
              <w:right w:val="single" w:color="auto" w:sz="4" w:space="0"/>
            </w:tcBorders>
            <w:vAlign w:val="center"/>
          </w:tcPr>
          <w:p w14:paraId="61226C3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X＜100</w:t>
            </w:r>
          </w:p>
        </w:tc>
      </w:tr>
      <w:tr w14:paraId="60C233A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A3505AA">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F270DB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3847262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1C8FE19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5000≤Z＜10000</w:t>
            </w:r>
          </w:p>
        </w:tc>
        <w:tc>
          <w:tcPr>
            <w:tcW w:w="902" w:type="pct"/>
            <w:tcBorders>
              <w:top w:val="nil"/>
              <w:left w:val="nil"/>
              <w:bottom w:val="single" w:color="auto" w:sz="4" w:space="0"/>
              <w:right w:val="single" w:color="auto" w:sz="4" w:space="0"/>
            </w:tcBorders>
            <w:vAlign w:val="center"/>
          </w:tcPr>
          <w:p w14:paraId="56CD360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2000≤Y＜5000</w:t>
            </w:r>
          </w:p>
        </w:tc>
        <w:tc>
          <w:tcPr>
            <w:tcW w:w="579" w:type="pct"/>
            <w:tcBorders>
              <w:top w:val="nil"/>
              <w:left w:val="nil"/>
              <w:bottom w:val="single" w:color="auto" w:sz="4" w:space="0"/>
              <w:right w:val="single" w:color="auto" w:sz="4" w:space="0"/>
            </w:tcBorders>
            <w:vAlign w:val="center"/>
          </w:tcPr>
          <w:p w14:paraId="199E161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Y＜2000</w:t>
            </w:r>
          </w:p>
        </w:tc>
      </w:tr>
      <w:tr w14:paraId="1BA3AFDC">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543F8C4">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物业管理</w:t>
            </w:r>
          </w:p>
        </w:tc>
        <w:tc>
          <w:tcPr>
            <w:tcW w:w="831" w:type="pct"/>
            <w:tcBorders>
              <w:top w:val="nil"/>
              <w:left w:val="nil"/>
              <w:bottom w:val="single" w:color="auto" w:sz="4" w:space="0"/>
              <w:right w:val="single" w:color="auto" w:sz="4" w:space="0"/>
            </w:tcBorders>
            <w:vAlign w:val="center"/>
          </w:tcPr>
          <w:p w14:paraId="6BAB370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226B718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EEFC58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1F79925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579" w:type="pct"/>
            <w:tcBorders>
              <w:top w:val="nil"/>
              <w:left w:val="nil"/>
              <w:bottom w:val="single" w:color="auto" w:sz="4" w:space="0"/>
              <w:right w:val="single" w:color="auto" w:sz="4" w:space="0"/>
            </w:tcBorders>
            <w:vAlign w:val="center"/>
          </w:tcPr>
          <w:p w14:paraId="15EF628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X＜100</w:t>
            </w:r>
          </w:p>
        </w:tc>
      </w:tr>
      <w:tr w14:paraId="2162BAA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19E4417">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5FA716E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282648C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5FC3B2B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1000≤Y＜5000</w:t>
            </w:r>
          </w:p>
        </w:tc>
        <w:tc>
          <w:tcPr>
            <w:tcW w:w="902" w:type="pct"/>
            <w:tcBorders>
              <w:top w:val="nil"/>
              <w:left w:val="nil"/>
              <w:bottom w:val="single" w:color="auto" w:sz="4" w:space="0"/>
              <w:right w:val="single" w:color="auto" w:sz="4" w:space="0"/>
            </w:tcBorders>
            <w:vAlign w:val="center"/>
          </w:tcPr>
          <w:p w14:paraId="71AD0DC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500≤Y＜1000</w:t>
            </w:r>
          </w:p>
        </w:tc>
        <w:tc>
          <w:tcPr>
            <w:tcW w:w="579" w:type="pct"/>
            <w:tcBorders>
              <w:top w:val="nil"/>
              <w:left w:val="nil"/>
              <w:bottom w:val="single" w:color="auto" w:sz="4" w:space="0"/>
              <w:right w:val="single" w:color="auto" w:sz="4" w:space="0"/>
            </w:tcBorders>
            <w:vAlign w:val="center"/>
          </w:tcPr>
          <w:p w14:paraId="16F71EB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Y＜500</w:t>
            </w:r>
          </w:p>
        </w:tc>
      </w:tr>
      <w:tr w14:paraId="460847C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3A0A1BD">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租赁和商务服务业</w:t>
            </w:r>
          </w:p>
        </w:tc>
        <w:tc>
          <w:tcPr>
            <w:tcW w:w="831" w:type="pct"/>
            <w:tcBorders>
              <w:top w:val="nil"/>
              <w:left w:val="nil"/>
              <w:bottom w:val="single" w:color="auto" w:sz="4" w:space="0"/>
              <w:right w:val="single" w:color="auto" w:sz="4" w:space="0"/>
            </w:tcBorders>
            <w:vAlign w:val="center"/>
          </w:tcPr>
          <w:p w14:paraId="2469CB8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09B16A7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764DECB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267FC72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0F0821E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r w14:paraId="25C63737">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6B62FA6">
            <w:pPr>
              <w:widowControl/>
              <w:jc w:val="left"/>
              <w:rPr>
                <w:rFonts w:hint="eastAsia" w:ascii="宋体" w:hAnsi="宋体" w:cs="宋体"/>
                <w:b/>
                <w:bCs/>
                <w:color w:val="000000" w:themeColor="text1"/>
                <w:kern w:val="0"/>
                <w:sz w:val="20"/>
                <w:szCs w:val="20"/>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564EE06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2B0394E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3733DD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8000≤Z＜120000</w:t>
            </w:r>
          </w:p>
        </w:tc>
        <w:tc>
          <w:tcPr>
            <w:tcW w:w="902" w:type="pct"/>
            <w:tcBorders>
              <w:top w:val="nil"/>
              <w:left w:val="nil"/>
              <w:bottom w:val="single" w:color="auto" w:sz="4" w:space="0"/>
              <w:right w:val="single" w:color="auto" w:sz="4" w:space="0"/>
            </w:tcBorders>
            <w:vAlign w:val="center"/>
          </w:tcPr>
          <w:p w14:paraId="3717A96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100≤Z＜8000</w:t>
            </w:r>
          </w:p>
        </w:tc>
        <w:tc>
          <w:tcPr>
            <w:tcW w:w="579" w:type="pct"/>
            <w:tcBorders>
              <w:top w:val="nil"/>
              <w:left w:val="nil"/>
              <w:bottom w:val="single" w:color="auto" w:sz="4" w:space="0"/>
              <w:right w:val="single" w:color="auto" w:sz="4" w:space="0"/>
            </w:tcBorders>
            <w:vAlign w:val="center"/>
          </w:tcPr>
          <w:p w14:paraId="21CBE2B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Y＜100</w:t>
            </w:r>
          </w:p>
        </w:tc>
      </w:tr>
      <w:tr w14:paraId="00BE137D">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4041088E">
            <w:pPr>
              <w:widowControl/>
              <w:jc w:val="center"/>
              <w:rPr>
                <w:rFonts w:hint="eastAsia" w:ascii="宋体" w:hAnsi="宋体" w:cs="宋体"/>
                <w:b/>
                <w:bCs/>
                <w:color w:val="000000" w:themeColor="text1"/>
                <w:kern w:val="0"/>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其他未列明行业</w:t>
            </w:r>
          </w:p>
        </w:tc>
        <w:tc>
          <w:tcPr>
            <w:tcW w:w="831" w:type="pct"/>
            <w:tcBorders>
              <w:top w:val="nil"/>
              <w:left w:val="nil"/>
              <w:bottom w:val="single" w:color="auto" w:sz="4" w:space="0"/>
              <w:right w:val="single" w:color="auto" w:sz="4" w:space="0"/>
            </w:tcBorders>
            <w:vAlign w:val="center"/>
          </w:tcPr>
          <w:p w14:paraId="19F205A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4D0B2B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565BDE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2B33E8A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0171AB1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X＜10</w:t>
            </w:r>
          </w:p>
        </w:tc>
      </w:tr>
    </w:tbl>
    <w:p w14:paraId="16FE4C60">
      <w:pPr>
        <w:pStyle w:val="2"/>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b w:val="0"/>
          <w:color w:val="000000" w:themeColor="text1"/>
          <w:spacing w:val="10"/>
          <w:kern w:val="2"/>
          <w:sz w:val="2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34C4B310">
      <w:pPr>
        <w:rPr>
          <w:color w:val="000000" w:themeColor="text1"/>
          <w:highlight w:val="none"/>
          <w14:textFill>
            <w14:solidFill>
              <w14:schemeClr w14:val="tx1"/>
            </w14:solidFill>
          </w14:textFill>
        </w:rPr>
      </w:pPr>
    </w:p>
    <w:p w14:paraId="79163022">
      <w:pPr>
        <w:pStyle w:val="2"/>
        <w:jc w:val="center"/>
        <w:rPr>
          <w:color w:val="000000" w:themeColor="text1"/>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Start w:id="81" w:name="_Toc74323459"/>
      <w:r>
        <w:rPr>
          <w:rFonts w:hint="eastAsia"/>
          <w:color w:val="000000" w:themeColor="text1"/>
          <w:highlight w:val="none"/>
          <w14:textFill>
            <w14:solidFill>
              <w14:schemeClr w14:val="tx1"/>
            </w14:solidFill>
          </w14:textFill>
        </w:rPr>
        <w:t>第四章  评审程序、评审方法和评审标准</w:t>
      </w:r>
      <w:bookmarkEnd w:id="81"/>
    </w:p>
    <w:p w14:paraId="63417D33">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626D04E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0B615FDF">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31A7949A">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04FCA054">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（1）查询渠道：“广西政府采购云平台”“信用中国”网站(www.creditchina.gov.cn)、中国政府采购网(www.ccgp.gov.cn)链接入口。</w:t>
      </w:r>
    </w:p>
    <w:p w14:paraId="6A9F7BD2">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035E282B">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4E37BD48">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4B654DD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086742E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.3供应商有下列情形之一的，资格审查不通过，其响应文件按无效响应处理：</w:t>
      </w:r>
    </w:p>
    <w:p w14:paraId="7C7DD0E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p>
    <w:p w14:paraId="01C366D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（2）未按磋商文件规定的方式获取本磋商文件的供应商；</w:t>
      </w:r>
    </w:p>
    <w:p w14:paraId="404C050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p>
    <w:p w14:paraId="3F6940E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43EC7FB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）同一合同项下的不同供应商，单位负责人为同一人或者存在直接控股、管理关系的。</w:t>
      </w:r>
    </w:p>
    <w:p w14:paraId="62ED65F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486E0C6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40DD8F9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82"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82"/>
    <w:p w14:paraId="0ED9C5E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8B18E5">
      <w:pPr>
        <w:spacing w:line="360" w:lineRule="auto"/>
        <w:ind w:firstLine="420" w:firstLineChars="200"/>
        <w:rPr>
          <w:rFonts w:hint="eastAsia"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1A46F671">
      <w:pPr>
        <w:spacing w:line="360" w:lineRule="auto"/>
        <w:ind w:firstLine="420"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F68FA16">
      <w:pPr>
        <w:spacing w:line="360" w:lineRule="auto"/>
        <w:ind w:firstLine="396"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694ED7D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10BB0F4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7345C4C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69BB42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2E5C1C1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1EAF180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3E3933F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338C1EE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218AE51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6883039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052D6AB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3）提交的磋商保证金无效的或者未按照磋商文件的规定提交磋商保证金；</w:t>
      </w:r>
    </w:p>
    <w:p w14:paraId="3A646E9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9F3447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5）商务要求允许负偏离的条款数超过“供应商须知前附表”规定项数的；</w:t>
      </w:r>
    </w:p>
    <w:p w14:paraId="44973AA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6）未对竞标有效期作出响应或者响应文件承诺的竞标有效期不满足磋商文件要求；</w:t>
      </w:r>
    </w:p>
    <w:p w14:paraId="78B1672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7）响应文件的实质性内容未使用中文表述、使用计量单位不符合磋商文件要求；</w:t>
      </w:r>
    </w:p>
    <w:p w14:paraId="48CEA77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8）响应文件中的文件资料因填写不齐全或者内容虚假或者出现其他情形而导致被磋商小组认定无效；</w:t>
      </w:r>
    </w:p>
    <w:p w14:paraId="3AFA927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w:t>
      </w:r>
    </w:p>
    <w:p w14:paraId="39D18EB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375DA24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1）技术要求允许负偏离的条款数超过“供应商须知前附表”规定项数；</w:t>
      </w:r>
    </w:p>
    <w:p w14:paraId="1E2771C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2）虚假竞标，或者出现其他情形而导致被磋商小组认定无效；</w:t>
      </w:r>
    </w:p>
    <w:p w14:paraId="6A44E66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bookmarkStart w:id="83" w:name="_Hlk71704147"/>
      <w:r>
        <w:rPr>
          <w:rFonts w:hint="eastAsia" w:ascii="宋体" w:hAnsi="宋体" w:cs="宋体"/>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83"/>
    </w:p>
    <w:p w14:paraId="704750E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4）响应文件标注的项目名称或者项目编号与磋商文件标注的项目名称或者项目编号不一致的；</w:t>
      </w:r>
    </w:p>
    <w:p w14:paraId="7AF7D887">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竞争性磋商文件明确不允许分包，响应文件拟分包的；</w:t>
      </w:r>
    </w:p>
    <w:p w14:paraId="113AA3D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6）未响应磋商文件实质性要求；</w:t>
      </w:r>
    </w:p>
    <w:p w14:paraId="11AB244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17）法律、法规和磋商文件规定的其他无效情形。</w:t>
      </w:r>
    </w:p>
    <w:p w14:paraId="6D9B76B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0026D3F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响应文件未提供“供应商须知前附表” 中规定的“磋商报价表”；</w:t>
      </w:r>
    </w:p>
    <w:p w14:paraId="6C9E006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04820AD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BE6D4C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w:t>
      </w:r>
      <w:bookmarkStart w:id="84" w:name="_Hlk42596405"/>
      <w:r>
        <w:rPr>
          <w:rFonts w:hint="eastAsia" w:ascii="宋体" w:hAnsi="宋体" w:cs="宋体"/>
          <w:color w:val="000000" w:themeColor="text1"/>
          <w:szCs w:val="21"/>
          <w:highlight w:val="none"/>
          <w14:textFill>
            <w14:solidFill>
              <w14:schemeClr w14:val="tx1"/>
            </w14:solidFill>
          </w14:textFill>
        </w:rPr>
        <w:t>竞标报价（包含首次报价、最后报价）</w:t>
      </w:r>
      <w:bookmarkEnd w:id="84"/>
      <w:bookmarkStart w:id="85" w:name="_Hlk42596276"/>
      <w:r>
        <w:rPr>
          <w:rFonts w:hint="eastAsia" w:ascii="宋体" w:hAnsi="宋体" w:cs="宋体"/>
          <w:color w:val="000000" w:themeColor="text1"/>
          <w:szCs w:val="21"/>
          <w:highlight w:val="none"/>
          <w14:textFill>
            <w14:solidFill>
              <w14:schemeClr w14:val="tx1"/>
            </w14:solidFill>
          </w14:textFill>
        </w:rPr>
        <w:t>超过磋商文件分项采购预算金额或者最高限价的</w:t>
      </w:r>
      <w:bookmarkEnd w:id="85"/>
      <w:r>
        <w:rPr>
          <w:rFonts w:hint="eastAsia" w:ascii="宋体" w:hAnsi="宋体" w:cs="宋体"/>
          <w:color w:val="000000" w:themeColor="text1"/>
          <w:szCs w:val="21"/>
          <w:highlight w:val="none"/>
          <w14:textFill>
            <w14:solidFill>
              <w14:schemeClr w14:val="tx1"/>
            </w14:solidFill>
          </w14:textFill>
        </w:rPr>
        <w:t>（如本项目公布了最高限价）；</w:t>
      </w:r>
    </w:p>
    <w:p w14:paraId="317D23F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8D8ABF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1B4B082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88410E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6D88BD10">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1C9FE8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D367AA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1E0C2AF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3D823F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25E867FD">
      <w:pPr>
        <w:widowControl/>
        <w:tabs>
          <w:tab w:val="left" w:pos="540"/>
        </w:tabs>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w:t>
      </w:r>
    </w:p>
    <w:p w14:paraId="5FEA23A8">
      <w:pPr>
        <w:widowControl/>
        <w:tabs>
          <w:tab w:val="left" w:pos="540"/>
        </w:tabs>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466E090">
      <w:pPr>
        <w:tabs>
          <w:tab w:val="left" w:pos="283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3.8除</w:t>
      </w:r>
      <w:r>
        <w:rPr>
          <w:color w:val="000000" w:themeColor="text1"/>
          <w:highlight w:val="none"/>
          <w14:textFill>
            <w14:solidFill>
              <w14:schemeClr w14:val="tx1"/>
            </w14:solidFill>
          </w14:textFill>
        </w:rPr>
        <w:t>本章第3.7条情形</w:t>
      </w:r>
      <w:r>
        <w:rPr>
          <w:rFonts w:hint="eastAsia"/>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69C1C9CE">
      <w:pPr>
        <w:spacing w:line="360" w:lineRule="auto"/>
        <w:ind w:firstLine="482" w:firstLineChars="200"/>
        <w:rPr>
          <w:rFonts w:hint="eastAsia"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4A67C75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0A5736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EDF8E9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本章第3.7条情形的，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716E822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37834A8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供应商未在规定时间内提交最后报价的，视同退出磋商，其响应文件按无效处理。</w:t>
      </w:r>
    </w:p>
    <w:p w14:paraId="42CF511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2666F21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566142A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6C47D22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1A55B37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64D327A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13A55E2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4A19DD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5D49CD5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735794C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01F3F1D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06915A5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1142720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3D1E360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4B0B88E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14905D6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015C6E46">
      <w:pPr>
        <w:spacing w:line="360" w:lineRule="auto"/>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ascii="宋体" w:hAnsi="宋体"/>
          <w:color w:val="000000" w:themeColor="text1"/>
          <w:kern w:val="0"/>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51FF20D6">
      <w:pPr>
        <w:spacing w:line="360" w:lineRule="auto"/>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9B8E6E">
      <w:pPr>
        <w:pStyle w:val="13"/>
        <w:ind w:firstLine="632"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6.异常低价审查</w:t>
      </w:r>
    </w:p>
    <w:p w14:paraId="41B3EB5A">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根据《关于推动解决政府采购异常低价问题的通知》（财库〔2026〕2号）规定，政府采购评审中出现下列情形之一的，评审委员会应当启动异常低价投标（响应）审查程序：</w:t>
      </w:r>
    </w:p>
    <w:p w14:paraId="2E58A9EC">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A7B8E7D">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11161D64">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（3）投标（响应）报价低于采购项目最高限价45%的，即投标（响应）报价&lt;采购项目最高限价×45%；</w:t>
      </w:r>
    </w:p>
    <w:p w14:paraId="18723FDA">
      <w:pPr>
        <w:pStyle w:val="13"/>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（4）评审委员会基于专业判断，认为供应商报价过低，有可能影响产品质量或者不能诚信履约的其他情形。</w:t>
      </w:r>
    </w:p>
    <w:p w14:paraId="72083C59">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41001E57">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投标（响应）供应商不能提供书面说明、证明材料，或者提供的书面说明、证明材料不能证明其报价合理性的，评审委员会应当将其作为无效投标（响应）处理。</w:t>
      </w:r>
    </w:p>
    <w:p w14:paraId="3C98BAC2">
      <w:pPr>
        <w:pStyle w:val="13"/>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4A41856F">
      <w:pPr>
        <w:pStyle w:val="21"/>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为避免因未能及时提供说明而导致被评审委员会作为无效投标（响应）情形，供应商可提前准备或随投标（响应）文件一并提交相关书面说明及必要的证明材料。</w:t>
      </w:r>
    </w:p>
    <w:p w14:paraId="4EA8CED0">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二、评审标准</w:t>
      </w:r>
    </w:p>
    <w:p w14:paraId="3D12D316">
      <w:pPr>
        <w:spacing w:line="360" w:lineRule="auto"/>
        <w:ind w:firstLine="422"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7.详细评审：</w:t>
      </w:r>
      <w:r>
        <w:rPr>
          <w:rFonts w:hint="eastAsia" w:ascii="宋体" w:hAnsi="宋体"/>
          <w:bCs/>
          <w:color w:val="000000" w:themeColor="text1"/>
          <w:szCs w:val="21"/>
          <w:highlight w:val="none"/>
          <w14:textFill>
            <w14:solidFill>
              <w14:schemeClr w14:val="tx1"/>
            </w14:solidFill>
          </w14:textFill>
        </w:rPr>
        <w:t>磋商小组将以磋商响应文件为评审依据，对供应商的报价、技术、商务等方面内容按百分制打分。（计分方法按四舍五入取至百分位）</w:t>
      </w:r>
    </w:p>
    <w:tbl>
      <w:tblPr>
        <w:tblStyle w:val="31"/>
        <w:tblW w:w="915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89"/>
        <w:gridCol w:w="7461"/>
      </w:tblGrid>
      <w:tr w14:paraId="7BA2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09" w:type="dxa"/>
            <w:vAlign w:val="center"/>
          </w:tcPr>
          <w:p w14:paraId="1638BE73">
            <w:pPr>
              <w:pStyle w:val="7"/>
              <w:ind w:firstLine="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序号</w:t>
            </w:r>
          </w:p>
        </w:tc>
        <w:tc>
          <w:tcPr>
            <w:tcW w:w="1089" w:type="dxa"/>
            <w:vAlign w:val="center"/>
          </w:tcPr>
          <w:p w14:paraId="19EEF1E2">
            <w:pPr>
              <w:pStyle w:val="7"/>
              <w:ind w:firstLine="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评审因素</w:t>
            </w:r>
          </w:p>
        </w:tc>
        <w:tc>
          <w:tcPr>
            <w:tcW w:w="7461" w:type="dxa"/>
            <w:vAlign w:val="center"/>
          </w:tcPr>
          <w:p w14:paraId="7EC2361A">
            <w:pPr>
              <w:pStyle w:val="7"/>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评审因素具体内容</w:t>
            </w:r>
          </w:p>
        </w:tc>
      </w:tr>
      <w:tr w14:paraId="1407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09" w:type="dxa"/>
            <w:vAlign w:val="center"/>
          </w:tcPr>
          <w:p w14:paraId="239BB4BF">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1089" w:type="dxa"/>
            <w:vAlign w:val="center"/>
          </w:tcPr>
          <w:p w14:paraId="2771D43C">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价格分</w:t>
            </w:r>
          </w:p>
          <w:p w14:paraId="54E7DB43">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（10分）</w:t>
            </w:r>
          </w:p>
        </w:tc>
        <w:tc>
          <w:tcPr>
            <w:tcW w:w="7461" w:type="dxa"/>
          </w:tcPr>
          <w:p w14:paraId="5DD36E88">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（1）评审报价为供应商的磋商报价进行政策性扣除后的价格，评审报价只是作为评审时使用。最终成交人的成交金额等于磋商报价。</w:t>
            </w:r>
          </w:p>
          <w:p w14:paraId="13444567">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（2）政策性扣除计算方法。</w:t>
            </w:r>
          </w:p>
          <w:p w14:paraId="3D274CC5">
            <w:pPr>
              <w:spacing w:line="360" w:lineRule="auto"/>
              <w:ind w:firstLine="420" w:firstLineChars="200"/>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根据《政府采购促进中小企业发展管理办法》（财库〔2020〕46 号）</w:t>
            </w:r>
            <w:r>
              <w:rPr>
                <w:rFonts w:hint="eastAsia" w:ascii="宋体" w:hAnsi="宋体" w:cs="宋体"/>
                <w:color w:val="000000" w:themeColor="text1"/>
                <w:szCs w:val="21"/>
                <w:highlight w:val="none"/>
                <w:shd w:val="clear" w:color="auto" w:fill="FFFFFF"/>
                <w14:textFill>
                  <w14:solidFill>
                    <w14:schemeClr w14:val="tx1"/>
                  </w14:solidFill>
                </w14:textFill>
              </w:rPr>
              <w:t>及《广西壮族自治区财政厅关于持续优化政府采购营商环境推动高质量发展的通知》（桂财采〔2024〕55号）</w:t>
            </w:r>
            <w:r>
              <w:rPr>
                <w:rFonts w:hint="eastAsia" w:hAnsi="宋体" w:cs="宋体"/>
                <w:bCs/>
                <w:color w:val="000000" w:themeColor="text1"/>
                <w:highlight w:val="none"/>
                <w14:textFill>
                  <w14:solidFill>
                    <w14:schemeClr w14:val="tx1"/>
                  </w14:solidFill>
                </w14:textFill>
              </w:rPr>
              <w:t>的规定，供应商在其磋商文件中提供《中小企业声明函》，且其磋商全部货物由小微企业制造的，对其磋商报价给予 10%的扣除，扣除后的价格为评审报价，即评审报价=磋商报价×（1-10%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 4%的扣除，用扣除后的价格参加评审，扣除后的价格为评审报价，即评审报价=磋商报价×（1-4%）。除上述情况外，评审报价=磋商报价。</w:t>
            </w:r>
          </w:p>
          <w:p w14:paraId="27B8FEEE">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F18B05F">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1332A63">
            <w:pPr>
              <w:spacing w:line="360" w:lineRule="auto"/>
              <w:outlineLvl w:val="0"/>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（5）满足磋商文件要求且评审报价最低的评审报价为评审基准价，其价格分为满分。</w:t>
            </w:r>
          </w:p>
          <w:p w14:paraId="52EE1E29">
            <w:pPr>
              <w:spacing w:line="360" w:lineRule="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（6）价格分计算公式：价格分=（某供应商的最低报价／供应商磋商报价）×10分</w:t>
            </w:r>
          </w:p>
        </w:tc>
      </w:tr>
      <w:tr w14:paraId="49EF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0FB63CC3">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p>
        </w:tc>
        <w:tc>
          <w:tcPr>
            <w:tcW w:w="1089" w:type="dxa"/>
            <w:vAlign w:val="center"/>
          </w:tcPr>
          <w:p w14:paraId="5D45C68D">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技术分</w:t>
            </w:r>
          </w:p>
          <w:p w14:paraId="58DEF486">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（60分）</w:t>
            </w:r>
          </w:p>
        </w:tc>
        <w:tc>
          <w:tcPr>
            <w:tcW w:w="7461" w:type="dxa"/>
            <w:vAlign w:val="center"/>
          </w:tcPr>
          <w:p w14:paraId="7C57A8B2">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评审因素</w:t>
            </w:r>
          </w:p>
        </w:tc>
      </w:tr>
      <w:tr w14:paraId="4687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09" w:type="dxa"/>
            <w:vAlign w:val="center"/>
          </w:tcPr>
          <w:p w14:paraId="09683817">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w:t>
            </w:r>
          </w:p>
        </w:tc>
        <w:tc>
          <w:tcPr>
            <w:tcW w:w="1089" w:type="dxa"/>
            <w:vAlign w:val="center"/>
          </w:tcPr>
          <w:p w14:paraId="7E3C7BF4">
            <w:pPr>
              <w:pStyle w:val="100"/>
              <w:spacing w:line="440" w:lineRule="exact"/>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技术方案（满分30分）</w:t>
            </w:r>
          </w:p>
          <w:p w14:paraId="716C4948">
            <w:pPr>
              <w:pStyle w:val="100"/>
              <w:spacing w:line="440" w:lineRule="exact"/>
              <w:rPr>
                <w:rFonts w:ascii="宋体" w:hAnsi="宋体" w:cs="宋体"/>
                <w:color w:val="000000" w:themeColor="text1"/>
                <w:szCs w:val="21"/>
                <w:highlight w:val="none"/>
                <w14:textFill>
                  <w14:solidFill>
                    <w14:schemeClr w14:val="tx1"/>
                  </w14:solidFill>
                </w14:textFill>
              </w:rPr>
            </w:pPr>
          </w:p>
        </w:tc>
        <w:tc>
          <w:tcPr>
            <w:tcW w:w="7461" w:type="dxa"/>
            <w:vAlign w:val="center"/>
          </w:tcPr>
          <w:p w14:paraId="624442EB">
            <w:pPr>
              <w:pStyle w:val="100"/>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一档（30分）：针对本项目服务内容认识全面，提出主要的目标条理清晰，深刻理解项目总体要求；全面把握本项目的重点、难点和要点；项目方案全面、准确、科学合理，完全满足采购文件要求的，得30分；</w:t>
            </w:r>
          </w:p>
          <w:p w14:paraId="6FC823A2">
            <w:pPr>
              <w:pStyle w:val="100"/>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二档（20分）：对项目服务内容认识比较全面，基本理解项目总体要求；能够把握本项目的重点、难点和要点；项目方案较完整可行，基本满足采购文件要求的，得20分；</w:t>
            </w:r>
          </w:p>
          <w:p w14:paraId="6C0BFE20">
            <w:pPr>
              <w:pStyle w:val="100"/>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三档（10分）：对项目服务内容基本了解，基本理解项目总体要求；项目方案基本可行，部分满足采购文件要求的，得10分。</w:t>
            </w:r>
          </w:p>
          <w:p w14:paraId="232110A1">
            <w:pPr>
              <w:pStyle w:val="100"/>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注：不提供技术方案的不得分</w:t>
            </w:r>
          </w:p>
        </w:tc>
      </w:tr>
      <w:tr w14:paraId="10D7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09" w:type="dxa"/>
            <w:vAlign w:val="center"/>
          </w:tcPr>
          <w:p w14:paraId="61BD51F2">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w:t>
            </w:r>
          </w:p>
        </w:tc>
        <w:tc>
          <w:tcPr>
            <w:tcW w:w="1089" w:type="dxa"/>
            <w:vAlign w:val="center"/>
          </w:tcPr>
          <w:p w14:paraId="36FD9B63">
            <w:pPr>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实施计划（满分15分）</w:t>
            </w:r>
          </w:p>
        </w:tc>
        <w:tc>
          <w:tcPr>
            <w:tcW w:w="7461" w:type="dxa"/>
          </w:tcPr>
          <w:p w14:paraId="3A3F0313">
            <w:pPr>
              <w:adjustRightInd w:val="0"/>
              <w:snapToGrid w:val="0"/>
              <w:spacing w:line="360" w:lineRule="auto"/>
              <w:ind w:firstLine="210" w:firstLineChars="1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shd w:val="clear" w:color="auto" w:fill="FFFFFF"/>
                <w14:textFill>
                  <w14:solidFill>
                    <w14:schemeClr w14:val="tx1"/>
                  </w14:solidFill>
                </w14:textFill>
              </w:rPr>
              <w:t>（15分）</w:t>
            </w:r>
            <w:r>
              <w:rPr>
                <w:rFonts w:hint="eastAsia" w:ascii="宋体" w:hAnsi="宋体" w:cs="宋体"/>
                <w:bCs/>
                <w:color w:val="000000" w:themeColor="text1"/>
                <w:szCs w:val="21"/>
                <w:highlight w:val="none"/>
                <w14:textFill>
                  <w14:solidFill>
                    <w14:schemeClr w14:val="tx1"/>
                  </w14:solidFill>
                </w14:textFill>
              </w:rPr>
              <w:t>：有详细的实施计划，人员安排合理可行，进度计划针对性强，得15分；</w:t>
            </w:r>
          </w:p>
          <w:p w14:paraId="1E65CF23">
            <w:pPr>
              <w:adjustRightInd w:val="0"/>
              <w:snapToGrid w:val="0"/>
              <w:spacing w:line="360" w:lineRule="auto"/>
              <w:ind w:firstLine="210" w:firstLineChars="1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shd w:val="clear" w:color="auto" w:fill="FFFFFF"/>
                <w14:textFill>
                  <w14:solidFill>
                    <w14:schemeClr w14:val="tx1"/>
                  </w14:solidFill>
                </w14:textFill>
              </w:rPr>
              <w:t>（10分）</w:t>
            </w:r>
            <w:r>
              <w:rPr>
                <w:rFonts w:hint="eastAsia" w:ascii="宋体" w:hAnsi="宋体" w:cs="宋体"/>
                <w:bCs/>
                <w:color w:val="000000" w:themeColor="text1"/>
                <w:szCs w:val="21"/>
                <w:highlight w:val="none"/>
                <w14:textFill>
                  <w14:solidFill>
                    <w14:schemeClr w14:val="tx1"/>
                  </w14:solidFill>
                </w14:textFill>
              </w:rPr>
              <w:t>：有较详细的实施计划，人员安排、进度计划等方面的描述一般，得10分；</w:t>
            </w:r>
          </w:p>
          <w:p w14:paraId="42C84662">
            <w:pPr>
              <w:adjustRightInd w:val="0"/>
              <w:snapToGrid w:val="0"/>
              <w:spacing w:line="360" w:lineRule="auto"/>
              <w:ind w:firstLine="210" w:firstLineChars="1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w:t>
            </w:r>
            <w:r>
              <w:rPr>
                <w:rFonts w:hint="eastAsia" w:ascii="宋体" w:hAnsi="宋体" w:cs="宋体"/>
                <w:color w:val="000000" w:themeColor="text1"/>
                <w:szCs w:val="21"/>
                <w:highlight w:val="none"/>
                <w:shd w:val="clear" w:color="auto" w:fill="FFFFFF"/>
                <w14:textFill>
                  <w14:solidFill>
                    <w14:schemeClr w14:val="tx1"/>
                  </w14:solidFill>
                </w14:textFill>
              </w:rPr>
              <w:t>（5分）</w:t>
            </w:r>
            <w:r>
              <w:rPr>
                <w:rFonts w:hint="eastAsia" w:ascii="宋体" w:hAnsi="宋体" w:cs="宋体"/>
                <w:bCs/>
                <w:color w:val="000000" w:themeColor="text1"/>
                <w:szCs w:val="21"/>
                <w:highlight w:val="none"/>
                <w14:textFill>
                  <w14:solidFill>
                    <w14:schemeClr w14:val="tx1"/>
                  </w14:solidFill>
                </w14:textFill>
              </w:rPr>
              <w:t>：有简单的实施计划，但不全面、不详细，得5分。</w:t>
            </w:r>
          </w:p>
          <w:p w14:paraId="1841012F">
            <w:pPr>
              <w:pStyle w:val="21"/>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注：不提供实施计划的不得分</w:t>
            </w:r>
          </w:p>
        </w:tc>
      </w:tr>
      <w:tr w14:paraId="176F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09" w:type="dxa"/>
            <w:vAlign w:val="center"/>
          </w:tcPr>
          <w:p w14:paraId="29960762">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w:t>
            </w:r>
          </w:p>
        </w:tc>
        <w:tc>
          <w:tcPr>
            <w:tcW w:w="1089" w:type="dxa"/>
            <w:vAlign w:val="center"/>
          </w:tcPr>
          <w:p w14:paraId="7BA6132A">
            <w:pPr>
              <w:pStyle w:val="10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服务承诺（满分15分）</w:t>
            </w:r>
          </w:p>
        </w:tc>
        <w:tc>
          <w:tcPr>
            <w:tcW w:w="7461" w:type="dxa"/>
            <w:vAlign w:val="center"/>
          </w:tcPr>
          <w:p w14:paraId="2D3A26EC">
            <w:pPr>
              <w:pStyle w:val="100"/>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一档（</w:t>
            </w:r>
            <w:r>
              <w:rPr>
                <w:rFonts w:hint="eastAsia" w:ascii="宋体" w:hAnsi="宋体" w:eastAsia="宋体" w:cs="宋体"/>
                <w:color w:val="000000" w:themeColor="text1"/>
                <w:szCs w:val="21"/>
                <w:highlight w:val="none"/>
                <w:shd w:val="clear" w:color="auto" w:fill="FFFFFF"/>
                <w14:textFill>
                  <w14:solidFill>
                    <w14:schemeClr w14:val="tx1"/>
                  </w14:solidFill>
                </w14:textFill>
              </w:rPr>
              <w:t>15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分）：项目保障措施切实可行，工作制度健全，对项目特点符合度高，承诺、措施能考虑到项目的实际情况并具有针对性，得15分；</w:t>
            </w:r>
          </w:p>
          <w:p w14:paraId="2AF3FE88">
            <w:pPr>
              <w:pStyle w:val="100"/>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二档（10分）：项目保障措施较合理、可行，满足项目采购要求。能考虑到本项目的情况，承诺、措施可行，得10分；</w:t>
            </w:r>
          </w:p>
          <w:p w14:paraId="6D78763A">
            <w:pPr>
              <w:pStyle w:val="100"/>
              <w:spacing w:line="440" w:lineRule="exact"/>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三档（5分）：项目保障措施、承诺简单，基本满足项目要求，得5分。</w:t>
            </w:r>
          </w:p>
          <w:p w14:paraId="415C9292">
            <w:pPr>
              <w:pStyle w:val="100"/>
              <w:spacing w:line="440" w:lineRule="exact"/>
              <w:ind w:firstLine="420" w:firstLineChars="200"/>
              <w:rPr>
                <w:rFonts w:hAnsi="宋体" w:cs="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注：不提供服务承诺的不得分</w:t>
            </w:r>
          </w:p>
        </w:tc>
      </w:tr>
      <w:tr w14:paraId="699B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349ECBE5">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p>
        </w:tc>
        <w:tc>
          <w:tcPr>
            <w:tcW w:w="1089" w:type="dxa"/>
            <w:vAlign w:val="center"/>
          </w:tcPr>
          <w:p w14:paraId="4B00EAC8">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商务分</w:t>
            </w:r>
          </w:p>
          <w:p w14:paraId="7D3BC548">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（30分）</w:t>
            </w:r>
          </w:p>
        </w:tc>
        <w:tc>
          <w:tcPr>
            <w:tcW w:w="7461" w:type="dxa"/>
            <w:vAlign w:val="center"/>
          </w:tcPr>
          <w:p w14:paraId="790C580F">
            <w:pPr>
              <w:pStyle w:val="7"/>
              <w:spacing w:line="38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评审因素</w:t>
            </w:r>
          </w:p>
        </w:tc>
      </w:tr>
      <w:tr w14:paraId="4706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0187E0DE">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w:t>
            </w:r>
          </w:p>
        </w:tc>
        <w:tc>
          <w:tcPr>
            <w:tcW w:w="1089" w:type="dxa"/>
            <w:vAlign w:val="center"/>
          </w:tcPr>
          <w:p w14:paraId="54CA653C">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项目人员配备分（满分10分）</w:t>
            </w:r>
          </w:p>
        </w:tc>
        <w:tc>
          <w:tcPr>
            <w:tcW w:w="7461" w:type="dxa"/>
            <w:vAlign w:val="center"/>
          </w:tcPr>
          <w:p w14:paraId="739A9EAA">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1、服务团队中有低空飞行经验，具有民用无人驾驶航空器操控员执照或商用飞行执照的，每提供一个得2分，满分6分。</w:t>
            </w:r>
          </w:p>
          <w:p w14:paraId="0DC5CC55">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2、团队中有中国人民解放军空军司令部或民航中南管理局颁发的军民航航空管制专业人员，每提供一个得2分，满分4分</w:t>
            </w:r>
          </w:p>
          <w:p w14:paraId="783C93FF">
            <w:pPr>
              <w:widowControl/>
              <w:spacing w:line="360" w:lineRule="auto"/>
              <w:outlineLvl w:val="0"/>
              <w:rPr>
                <w:rFonts w:hint="eastAsia"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hint="eastAsia" w:ascii="宋体" w:hAnsi="宋体" w:cs="宋体"/>
                <w:bCs/>
                <w:color w:val="000000" w:themeColor="text1"/>
                <w:kern w:val="0"/>
                <w:szCs w:val="21"/>
                <w:highlight w:val="none"/>
                <w14:textFill>
                  <w14:solidFill>
                    <w14:schemeClr w14:val="tx1"/>
                  </w14:solidFill>
                </w14:textFill>
              </w:rPr>
              <w:t>须提供团队成员的劳动合同和资格证书复印件，</w:t>
            </w:r>
            <w:r>
              <w:rPr>
                <w:rFonts w:hint="eastAsia"/>
                <w:bCs/>
                <w:color w:val="000000" w:themeColor="text1"/>
                <w:szCs w:val="21"/>
                <w:highlight w:val="none"/>
                <w14:textFill>
                  <w14:solidFill>
                    <w14:schemeClr w14:val="tx1"/>
                  </w14:solidFill>
                </w14:textFill>
              </w:rPr>
              <w:t>否则不予计分</w:t>
            </w:r>
            <w:r>
              <w:rPr>
                <w:rFonts w:hint="eastAsia" w:ascii="宋体" w:hAnsi="宋体" w:cs="宋体"/>
                <w:bCs/>
                <w:color w:val="000000" w:themeColor="text1"/>
                <w:kern w:val="0"/>
                <w:szCs w:val="21"/>
                <w:highlight w:val="none"/>
                <w14:textFill>
                  <w14:solidFill>
                    <w14:schemeClr w14:val="tx1"/>
                  </w14:solidFill>
                </w14:textFill>
              </w:rPr>
              <w:t>。</w:t>
            </w:r>
          </w:p>
        </w:tc>
      </w:tr>
      <w:tr w14:paraId="0EF6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9" w:type="dxa"/>
            <w:vAlign w:val="center"/>
          </w:tcPr>
          <w:p w14:paraId="5FF1202B">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w:t>
            </w:r>
          </w:p>
        </w:tc>
        <w:tc>
          <w:tcPr>
            <w:tcW w:w="1089" w:type="dxa"/>
            <w:vAlign w:val="center"/>
          </w:tcPr>
          <w:p w14:paraId="406C060F">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企业资质分</w:t>
            </w:r>
          </w:p>
          <w:p w14:paraId="0B3151A2">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（满分5分）</w:t>
            </w:r>
          </w:p>
        </w:tc>
        <w:tc>
          <w:tcPr>
            <w:tcW w:w="7461" w:type="dxa"/>
            <w:vAlign w:val="center"/>
          </w:tcPr>
          <w:p w14:paraId="7E1561B4">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供应商持有民用无人驾驶航空器运营合格证（许可范围与运输相关）得2分，满分2分。</w:t>
            </w:r>
          </w:p>
          <w:p w14:paraId="15523CE4">
            <w:pPr>
              <w:widowControl/>
              <w:spacing w:line="360" w:lineRule="auto"/>
              <w:outlineLvl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供应商具有中型以上民用无人机驾驶员训练机构合格证得3分，满分3分。注：注：响应文件中须提供拟投入的资格证书复印件并加盖供应商电子签章。</w:t>
            </w:r>
          </w:p>
        </w:tc>
      </w:tr>
      <w:tr w14:paraId="760E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09" w:type="dxa"/>
            <w:vAlign w:val="center"/>
          </w:tcPr>
          <w:p w14:paraId="283540E8">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w:t>
            </w:r>
          </w:p>
        </w:tc>
        <w:tc>
          <w:tcPr>
            <w:tcW w:w="1089" w:type="dxa"/>
            <w:vAlign w:val="center"/>
          </w:tcPr>
          <w:p w14:paraId="1E07C77F">
            <w:pPr>
              <w:pStyle w:val="7"/>
              <w:spacing w:line="380" w:lineRule="exact"/>
              <w:ind w:firstLine="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业绩分（满分15分）</w:t>
            </w:r>
          </w:p>
        </w:tc>
        <w:tc>
          <w:tcPr>
            <w:tcW w:w="7461" w:type="dxa"/>
          </w:tcPr>
          <w:p w14:paraId="2B7D03FE">
            <w:pPr>
              <w:widowControl/>
              <w:spacing w:line="360" w:lineRule="auto"/>
              <w:outlineLvl w:val="0"/>
              <w:rPr>
                <w:rFonts w:hint="eastAsia"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供应商自2020年01月01日以来承接或完成过低空经济研究或空域规划或航线设计或低空服务类项目业绩的，每提供1项得3分，满分15分；不提供不得分。（须提供项目合同或中标（成交）通知书复印件并加盖供应商供应商电子签章）</w:t>
            </w:r>
          </w:p>
        </w:tc>
      </w:tr>
      <w:tr w14:paraId="38C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159" w:type="dxa"/>
            <w:gridSpan w:val="3"/>
            <w:vAlign w:val="center"/>
          </w:tcPr>
          <w:p w14:paraId="35632CF9">
            <w:pPr>
              <w:pStyle w:val="18"/>
              <w:spacing w:line="440" w:lineRule="exact"/>
              <w:ind w:firstLine="210" w:firstLineChars="1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 xml:space="preserve">总得分=1 + 2 + 3 </w:t>
            </w:r>
          </w:p>
        </w:tc>
      </w:tr>
    </w:tbl>
    <w:p w14:paraId="61382DB3">
      <w:pPr>
        <w:pStyle w:val="13"/>
        <w:rPr>
          <w:rFonts w:hint="eastAsia" w:ascii="宋体" w:hAnsi="宋体"/>
          <w:bCs/>
          <w:color w:val="000000" w:themeColor="text1"/>
          <w:szCs w:val="21"/>
          <w:highlight w:val="none"/>
          <w14:textFill>
            <w14:solidFill>
              <w14:schemeClr w14:val="tx1"/>
            </w14:solidFill>
          </w14:textFill>
        </w:rPr>
      </w:pPr>
    </w:p>
    <w:p w14:paraId="433E0E69">
      <w:pPr>
        <w:spacing w:line="360" w:lineRule="exact"/>
        <w:ind w:firstLine="420" w:firstLineChars="200"/>
        <w:rPr>
          <w:color w:val="000000" w:themeColor="text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highlight w:val="none"/>
          <w14:textFill>
            <w14:solidFill>
              <w14:schemeClr w14:val="tx1"/>
            </w14:solidFill>
          </w14:textFill>
        </w:rPr>
        <w:t>评审报告</w:t>
      </w:r>
      <w:r>
        <w:rPr>
          <w:rFonts w:hint="eastAsia" w:hAnsi="宋体"/>
          <w:color w:val="000000" w:themeColor="text1"/>
          <w:highlight w:val="none"/>
          <w14:textFill>
            <w14:solidFill>
              <w14:schemeClr w14:val="tx1"/>
            </w14:solidFill>
          </w14:textFill>
        </w:rPr>
        <w:t>通过电子交易平台向采购人、采购代理机构提交。</w:t>
      </w:r>
      <w:r>
        <w:rPr>
          <w:rFonts w:hint="eastAsia" w:ascii="宋体" w:hAnsi="宋体"/>
          <w:bCs/>
          <w:color w:val="000000" w:themeColor="text1"/>
          <w:szCs w:val="21"/>
          <w:highlight w:val="none"/>
          <w14:textFill>
            <w14:solidFill>
              <w14:schemeClr w14:val="tx1"/>
            </w14:solidFill>
          </w14:textFill>
        </w:rPr>
        <w:t>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14:paraId="3EBB9894">
      <w:pPr>
        <w:pStyle w:val="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DD935B7">
      <w:pPr>
        <w:rPr>
          <w:color w:val="000000" w:themeColor="text1"/>
          <w:highlight w:val="none"/>
          <w14:textFill>
            <w14:solidFill>
              <w14:schemeClr w14:val="tx1"/>
            </w14:solidFill>
          </w14:textFill>
        </w:rPr>
      </w:pPr>
    </w:p>
    <w:p w14:paraId="50EE800D">
      <w:pPr>
        <w:rPr>
          <w:color w:val="000000" w:themeColor="text1"/>
          <w:highlight w:val="none"/>
          <w14:textFill>
            <w14:solidFill>
              <w14:schemeClr w14:val="tx1"/>
            </w14:solidFill>
          </w14:textFill>
        </w:rPr>
      </w:pPr>
    </w:p>
    <w:p w14:paraId="68B35301">
      <w:pPr>
        <w:rPr>
          <w:color w:val="000000" w:themeColor="text1"/>
          <w:highlight w:val="none"/>
          <w14:textFill>
            <w14:solidFill>
              <w14:schemeClr w14:val="tx1"/>
            </w14:solidFill>
          </w14:textFill>
        </w:rPr>
      </w:pPr>
    </w:p>
    <w:p w14:paraId="428436DD">
      <w:pPr>
        <w:rPr>
          <w:color w:val="000000" w:themeColor="text1"/>
          <w:highlight w:val="none"/>
          <w14:textFill>
            <w14:solidFill>
              <w14:schemeClr w14:val="tx1"/>
            </w14:solidFill>
          </w14:textFill>
        </w:rPr>
      </w:pPr>
    </w:p>
    <w:p w14:paraId="65398C88">
      <w:pPr>
        <w:rPr>
          <w:color w:val="000000" w:themeColor="text1"/>
          <w:highlight w:val="none"/>
          <w14:textFill>
            <w14:solidFill>
              <w14:schemeClr w14:val="tx1"/>
            </w14:solidFill>
          </w14:textFill>
        </w:rPr>
      </w:pPr>
    </w:p>
    <w:p w14:paraId="6BD12BD9">
      <w:pPr>
        <w:rPr>
          <w:color w:val="000000" w:themeColor="text1"/>
          <w:highlight w:val="none"/>
          <w14:textFill>
            <w14:solidFill>
              <w14:schemeClr w14:val="tx1"/>
            </w14:solidFill>
          </w14:textFill>
        </w:rPr>
      </w:pPr>
    </w:p>
    <w:p w14:paraId="528C19FE">
      <w:pPr>
        <w:rPr>
          <w:color w:val="000000" w:themeColor="text1"/>
          <w:highlight w:val="none"/>
          <w14:textFill>
            <w14:solidFill>
              <w14:schemeClr w14:val="tx1"/>
            </w14:solidFill>
          </w14:textFill>
        </w:rPr>
      </w:pPr>
    </w:p>
    <w:p w14:paraId="63CE1058">
      <w:pPr>
        <w:rPr>
          <w:color w:val="000000" w:themeColor="text1"/>
          <w:highlight w:val="none"/>
          <w14:textFill>
            <w14:solidFill>
              <w14:schemeClr w14:val="tx1"/>
            </w14:solidFill>
          </w14:textFill>
        </w:rPr>
      </w:pPr>
    </w:p>
    <w:p w14:paraId="7355EF76">
      <w:pPr>
        <w:rPr>
          <w:color w:val="000000" w:themeColor="text1"/>
          <w:highlight w:val="none"/>
          <w14:textFill>
            <w14:solidFill>
              <w14:schemeClr w14:val="tx1"/>
            </w14:solidFill>
          </w14:textFill>
        </w:rPr>
      </w:pPr>
    </w:p>
    <w:p w14:paraId="42D0667F">
      <w:pPr>
        <w:rPr>
          <w:color w:val="000000" w:themeColor="text1"/>
          <w:highlight w:val="none"/>
          <w14:textFill>
            <w14:solidFill>
              <w14:schemeClr w14:val="tx1"/>
            </w14:solidFill>
          </w14:textFill>
        </w:rPr>
      </w:pPr>
    </w:p>
    <w:p w14:paraId="4FF8EDE1">
      <w:pPr>
        <w:rPr>
          <w:color w:val="000000" w:themeColor="text1"/>
          <w:highlight w:val="none"/>
          <w14:textFill>
            <w14:solidFill>
              <w14:schemeClr w14:val="tx1"/>
            </w14:solidFill>
          </w14:textFill>
        </w:rPr>
      </w:pPr>
    </w:p>
    <w:p w14:paraId="1BCA9F1E">
      <w:pPr>
        <w:rPr>
          <w:color w:val="000000" w:themeColor="text1"/>
          <w:highlight w:val="none"/>
          <w14:textFill>
            <w14:solidFill>
              <w14:schemeClr w14:val="tx1"/>
            </w14:solidFill>
          </w14:textFill>
        </w:rPr>
      </w:pPr>
    </w:p>
    <w:p w14:paraId="4746F539">
      <w:pPr>
        <w:rPr>
          <w:color w:val="000000" w:themeColor="text1"/>
          <w:highlight w:val="none"/>
          <w14:textFill>
            <w14:solidFill>
              <w14:schemeClr w14:val="tx1"/>
            </w14:solidFill>
          </w14:textFill>
        </w:rPr>
      </w:pPr>
    </w:p>
    <w:p w14:paraId="083A75CF">
      <w:pPr>
        <w:pStyle w:val="2"/>
        <w:jc w:val="center"/>
        <w:rPr>
          <w:color w:val="000000" w:themeColor="text1"/>
          <w:highlight w:val="none"/>
          <w14:textFill>
            <w14:solidFill>
              <w14:schemeClr w14:val="tx1"/>
            </w14:solidFill>
          </w14:textFill>
        </w:rPr>
      </w:pPr>
      <w:bookmarkStart w:id="86" w:name="_Toc74323460"/>
      <w:r>
        <w:rPr>
          <w:rFonts w:hint="eastAsia"/>
          <w:color w:val="000000" w:themeColor="text1"/>
          <w:highlight w:val="none"/>
          <w14:textFill>
            <w14:solidFill>
              <w14:schemeClr w14:val="tx1"/>
            </w14:solidFill>
          </w14:textFill>
        </w:rPr>
        <w:t>第五章 响应文件格式</w:t>
      </w:r>
      <w:bookmarkEnd w:id="86"/>
    </w:p>
    <w:p w14:paraId="45C64178">
      <w:pPr>
        <w:spacing w:line="240" w:lineRule="atLeast"/>
        <w:rPr>
          <w:rFonts w:hint="eastAsia" w:ascii="宋体" w:hAnsi="宋体"/>
          <w:b/>
          <w:color w:val="000000" w:themeColor="text1"/>
          <w:sz w:val="32"/>
          <w:szCs w:val="32"/>
          <w:highlight w:val="none"/>
          <w14:textFill>
            <w14:solidFill>
              <w14:schemeClr w14:val="tx1"/>
            </w14:solidFill>
          </w14:textFill>
        </w:rPr>
      </w:pPr>
    </w:p>
    <w:p w14:paraId="61CA6611">
      <w:pPr>
        <w:spacing w:line="240" w:lineRule="atLeast"/>
        <w:rPr>
          <w:rFonts w:hint="eastAsia" w:ascii="宋体" w:hAnsi="宋体"/>
          <w:b/>
          <w:color w:val="000000" w:themeColor="text1"/>
          <w:sz w:val="32"/>
          <w:szCs w:val="32"/>
          <w:highlight w:val="none"/>
          <w14:textFill>
            <w14:solidFill>
              <w14:schemeClr w14:val="tx1"/>
            </w14:solidFill>
          </w14:textFill>
        </w:rPr>
      </w:pPr>
    </w:p>
    <w:p w14:paraId="2CBA9356">
      <w:pPr>
        <w:spacing w:line="240" w:lineRule="atLeast"/>
        <w:rPr>
          <w:rFonts w:hint="eastAsia" w:ascii="宋体" w:hAnsi="宋体"/>
          <w:b/>
          <w:color w:val="000000" w:themeColor="text1"/>
          <w:sz w:val="32"/>
          <w:szCs w:val="32"/>
          <w:highlight w:val="none"/>
          <w14:textFill>
            <w14:solidFill>
              <w14:schemeClr w14:val="tx1"/>
            </w14:solidFill>
          </w14:textFill>
        </w:rPr>
      </w:pPr>
    </w:p>
    <w:p w14:paraId="0CB31912">
      <w:pPr>
        <w:spacing w:line="240" w:lineRule="atLeast"/>
        <w:rPr>
          <w:rFonts w:hint="eastAsia" w:ascii="宋体" w:hAnsi="宋体"/>
          <w:b/>
          <w:color w:val="000000" w:themeColor="text1"/>
          <w:sz w:val="32"/>
          <w:szCs w:val="32"/>
          <w:highlight w:val="none"/>
          <w14:textFill>
            <w14:solidFill>
              <w14:schemeClr w14:val="tx1"/>
            </w14:solidFill>
          </w14:textFill>
        </w:rPr>
      </w:pPr>
    </w:p>
    <w:p w14:paraId="4DD57E50">
      <w:pPr>
        <w:spacing w:line="240" w:lineRule="atLeast"/>
        <w:rPr>
          <w:rFonts w:hint="eastAsia" w:ascii="宋体" w:hAnsi="宋体"/>
          <w:b/>
          <w:color w:val="000000" w:themeColor="text1"/>
          <w:sz w:val="32"/>
          <w:szCs w:val="32"/>
          <w:highlight w:val="none"/>
          <w14:textFill>
            <w14:solidFill>
              <w14:schemeClr w14:val="tx1"/>
            </w14:solidFill>
          </w14:textFill>
        </w:rPr>
      </w:pPr>
    </w:p>
    <w:p w14:paraId="125B9470">
      <w:pPr>
        <w:spacing w:line="240" w:lineRule="atLeast"/>
        <w:rPr>
          <w:rFonts w:hint="eastAsia" w:ascii="宋体" w:hAnsi="宋体"/>
          <w:b/>
          <w:color w:val="000000" w:themeColor="text1"/>
          <w:sz w:val="32"/>
          <w:szCs w:val="32"/>
          <w:highlight w:val="none"/>
          <w14:textFill>
            <w14:solidFill>
              <w14:schemeClr w14:val="tx1"/>
            </w14:solidFill>
          </w14:textFill>
        </w:rPr>
      </w:pPr>
    </w:p>
    <w:p w14:paraId="5E5A4A34">
      <w:pPr>
        <w:spacing w:line="240" w:lineRule="atLeast"/>
        <w:rPr>
          <w:rFonts w:hint="eastAsia" w:ascii="宋体" w:hAnsi="宋体"/>
          <w:b/>
          <w:color w:val="000000" w:themeColor="text1"/>
          <w:sz w:val="32"/>
          <w:szCs w:val="32"/>
          <w:highlight w:val="none"/>
          <w14:textFill>
            <w14:solidFill>
              <w14:schemeClr w14:val="tx1"/>
            </w14:solidFill>
          </w14:textFill>
        </w:rPr>
      </w:pPr>
    </w:p>
    <w:p w14:paraId="48DD8B9A">
      <w:pPr>
        <w:spacing w:line="240" w:lineRule="atLeast"/>
        <w:rPr>
          <w:rFonts w:hint="eastAsia" w:ascii="宋体" w:hAnsi="宋体"/>
          <w:b/>
          <w:color w:val="000000" w:themeColor="text1"/>
          <w:sz w:val="32"/>
          <w:szCs w:val="32"/>
          <w:highlight w:val="none"/>
          <w14:textFill>
            <w14:solidFill>
              <w14:schemeClr w14:val="tx1"/>
            </w14:solidFill>
          </w14:textFill>
        </w:rPr>
      </w:pPr>
    </w:p>
    <w:p w14:paraId="76415D32">
      <w:pPr>
        <w:spacing w:line="240" w:lineRule="atLeast"/>
        <w:rPr>
          <w:rFonts w:hint="eastAsia" w:ascii="宋体" w:hAnsi="宋体"/>
          <w:b/>
          <w:color w:val="000000" w:themeColor="text1"/>
          <w:sz w:val="32"/>
          <w:szCs w:val="32"/>
          <w:highlight w:val="none"/>
          <w14:textFill>
            <w14:solidFill>
              <w14:schemeClr w14:val="tx1"/>
            </w14:solidFill>
          </w14:textFill>
        </w:rPr>
      </w:pPr>
    </w:p>
    <w:p w14:paraId="44A14797">
      <w:pPr>
        <w:spacing w:line="240" w:lineRule="atLeast"/>
        <w:rPr>
          <w:rFonts w:hint="eastAsia" w:ascii="宋体" w:hAnsi="宋体"/>
          <w:b/>
          <w:color w:val="000000" w:themeColor="text1"/>
          <w:sz w:val="32"/>
          <w:szCs w:val="32"/>
          <w:highlight w:val="none"/>
          <w14:textFill>
            <w14:solidFill>
              <w14:schemeClr w14:val="tx1"/>
            </w14:solidFill>
          </w14:textFill>
        </w:rPr>
      </w:pPr>
    </w:p>
    <w:p w14:paraId="7A445294">
      <w:pPr>
        <w:spacing w:line="240" w:lineRule="atLeast"/>
        <w:rPr>
          <w:rFonts w:hint="eastAsia" w:ascii="宋体" w:hAnsi="宋体"/>
          <w:b/>
          <w:color w:val="000000" w:themeColor="text1"/>
          <w:sz w:val="32"/>
          <w:szCs w:val="32"/>
          <w:highlight w:val="none"/>
          <w14:textFill>
            <w14:solidFill>
              <w14:schemeClr w14:val="tx1"/>
            </w14:solidFill>
          </w14:textFill>
        </w:rPr>
      </w:pPr>
    </w:p>
    <w:p w14:paraId="2A20F918">
      <w:pPr>
        <w:snapToGrid w:val="0"/>
        <w:spacing w:before="50" w:after="50"/>
        <w:outlineLvl w:val="1"/>
        <w:rPr>
          <w:rFonts w:hint="eastAsia" w:ascii="宋体" w:hAnsi="宋体"/>
          <w:b/>
          <w:bCs/>
          <w:color w:val="000000" w:themeColor="text1"/>
          <w:sz w:val="24"/>
          <w:highlight w:val="none"/>
          <w14:textFill>
            <w14:solidFill>
              <w14:schemeClr w14:val="tx1"/>
            </w14:solidFill>
          </w14:textFill>
        </w:rPr>
      </w:pPr>
    </w:p>
    <w:p w14:paraId="4E00D4FA">
      <w:pPr>
        <w:snapToGrid w:val="0"/>
        <w:spacing w:before="120" w:beforeLines="50" w:after="50"/>
        <w:jc w:val="center"/>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14:paraId="10F74AB2">
      <w:pPr>
        <w:rPr>
          <w:b/>
          <w:color w:val="000000" w:themeColor="text1"/>
          <w:sz w:val="32"/>
          <w:szCs w:val="32"/>
          <w:highlight w:val="none"/>
          <w14:textFill>
            <w14:solidFill>
              <w14:schemeClr w14:val="tx1"/>
            </w14:solidFill>
          </w14:textFill>
        </w:rPr>
      </w:pPr>
      <w:bookmarkStart w:id="87" w:name="_Toc31728084"/>
      <w:bookmarkStart w:id="88" w:name="_Toc35611516"/>
      <w:bookmarkStart w:id="89" w:name="_Toc35611438"/>
      <w:bookmarkStart w:id="90" w:name="_Toc71366186"/>
      <w:bookmarkStart w:id="91" w:name="_Toc44229899"/>
      <w:bookmarkStart w:id="92" w:name="_Toc31723070"/>
      <w:r>
        <w:rPr>
          <w:rFonts w:hint="eastAsia"/>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87"/>
      <w:bookmarkEnd w:id="88"/>
      <w:bookmarkEnd w:id="89"/>
      <w:bookmarkEnd w:id="90"/>
      <w:bookmarkEnd w:id="91"/>
      <w:bookmarkEnd w:id="92"/>
    </w:p>
    <w:p w14:paraId="79F95A43">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6E08C71B">
      <w:pPr>
        <w:snapToGrid w:val="0"/>
        <w:spacing w:before="120" w:beforeLines="50" w:after="50"/>
        <w:jc w:val="center"/>
        <w:rPr>
          <w:rFonts w:hint="eastAsia" w:ascii="宋体" w:hAnsi="宋体"/>
          <w:color w:val="000000" w:themeColor="text1"/>
          <w:sz w:val="44"/>
          <w:szCs w:val="44"/>
          <w:highlight w:val="none"/>
          <w14:textFill>
            <w14:solidFill>
              <w14:schemeClr w14:val="tx1"/>
            </w14:solidFill>
          </w14:textFill>
        </w:rPr>
      </w:pPr>
    </w:p>
    <w:p w14:paraId="61CB3FEE">
      <w:pPr>
        <w:snapToGrid w:val="0"/>
        <w:spacing w:before="120" w:beforeLines="50" w:after="50"/>
        <w:jc w:val="center"/>
        <w:rPr>
          <w:rFonts w:hint="eastAsia"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4D6087AB">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B418EC7">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6D0F3218">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B01BFB2">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D240EF8">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3B5F0AF3">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4833D15C">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6F3A266">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BA9CCB7">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C1F6205">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B0035FA">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0223A1B3">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BFEF678">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6F42140A">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507A830">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21CC0A4A">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BB36BFC">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1D4277BE">
      <w:pPr>
        <w:pStyle w:val="7"/>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19F87BA8">
      <w:pPr>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CACA861">
      <w:pPr>
        <w:snapToGrid w:val="0"/>
        <w:spacing w:before="120" w:beforeLines="50" w:after="50" w:line="360" w:lineRule="auto"/>
        <w:ind w:left="142"/>
        <w:jc w:val="left"/>
        <w:rPr>
          <w:rFonts w:hint="eastAsia"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36C494F7">
      <w:pPr>
        <w:snapToGrid w:val="0"/>
        <w:spacing w:before="120" w:beforeLines="50" w:after="50" w:line="360" w:lineRule="auto"/>
        <w:ind w:firstLine="645"/>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2E9387CC">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6CCD5C32">
      <w:pPr>
        <w:spacing w:line="300" w:lineRule="auto"/>
        <w:rPr>
          <w:rFonts w:hint="eastAsia" w:ascii="宋体" w:hAnsi="宋体"/>
          <w:color w:val="000000" w:themeColor="text1"/>
          <w:szCs w:val="21"/>
          <w:highlight w:val="none"/>
          <w14:textFill>
            <w14:solidFill>
              <w14:schemeClr w14:val="tx1"/>
            </w14:solidFill>
          </w14:textFill>
        </w:rPr>
      </w:pPr>
    </w:p>
    <w:p w14:paraId="1D56E81F">
      <w:pPr>
        <w:spacing w:line="300" w:lineRule="auto"/>
        <w:rPr>
          <w:rFonts w:hint="eastAsia" w:ascii="宋体" w:hAnsi="宋体"/>
          <w:color w:val="000000" w:themeColor="text1"/>
          <w:szCs w:val="21"/>
          <w:highlight w:val="none"/>
          <w14:textFill>
            <w14:solidFill>
              <w14:schemeClr w14:val="tx1"/>
            </w14:solidFill>
          </w14:textFill>
        </w:rPr>
      </w:pPr>
    </w:p>
    <w:p w14:paraId="2A13ADC7">
      <w:pPr>
        <w:spacing w:line="300" w:lineRule="auto"/>
        <w:rPr>
          <w:rFonts w:hint="eastAsia" w:ascii="宋体" w:hAnsi="宋体"/>
          <w:color w:val="000000" w:themeColor="text1"/>
          <w:szCs w:val="21"/>
          <w:highlight w:val="none"/>
          <w14:textFill>
            <w14:solidFill>
              <w14:schemeClr w14:val="tx1"/>
            </w14:solidFill>
          </w14:textFill>
        </w:rPr>
      </w:pPr>
    </w:p>
    <w:p w14:paraId="4FFE6DD4">
      <w:pPr>
        <w:spacing w:line="300" w:lineRule="auto"/>
        <w:rPr>
          <w:rFonts w:hint="eastAsia" w:ascii="宋体" w:hAnsi="宋体"/>
          <w:color w:val="000000" w:themeColor="text1"/>
          <w:szCs w:val="21"/>
          <w:highlight w:val="none"/>
          <w14:textFill>
            <w14:solidFill>
              <w14:schemeClr w14:val="tx1"/>
            </w14:solidFill>
          </w14:textFill>
        </w:rPr>
      </w:pPr>
    </w:p>
    <w:p w14:paraId="6EC8433E">
      <w:pPr>
        <w:spacing w:line="300" w:lineRule="auto"/>
        <w:rPr>
          <w:rFonts w:hint="eastAsia" w:ascii="宋体" w:hAnsi="宋体"/>
          <w:color w:val="000000" w:themeColor="text1"/>
          <w:szCs w:val="21"/>
          <w:highlight w:val="none"/>
          <w14:textFill>
            <w14:solidFill>
              <w14:schemeClr w14:val="tx1"/>
            </w14:solidFill>
          </w14:textFill>
        </w:rPr>
      </w:pPr>
    </w:p>
    <w:p w14:paraId="13C88A93">
      <w:pPr>
        <w:spacing w:line="300" w:lineRule="auto"/>
        <w:rPr>
          <w:rFonts w:hint="eastAsia" w:ascii="宋体" w:hAnsi="宋体"/>
          <w:color w:val="000000" w:themeColor="text1"/>
          <w:szCs w:val="21"/>
          <w:highlight w:val="none"/>
          <w14:textFill>
            <w14:solidFill>
              <w14:schemeClr w14:val="tx1"/>
            </w14:solidFill>
          </w14:textFill>
        </w:rPr>
      </w:pPr>
    </w:p>
    <w:p w14:paraId="0F78F65B">
      <w:pPr>
        <w:spacing w:line="300" w:lineRule="auto"/>
        <w:rPr>
          <w:rFonts w:hint="eastAsia" w:ascii="宋体" w:hAnsi="宋体"/>
          <w:color w:val="000000" w:themeColor="text1"/>
          <w:szCs w:val="21"/>
          <w:highlight w:val="none"/>
          <w14:textFill>
            <w14:solidFill>
              <w14:schemeClr w14:val="tx1"/>
            </w14:solidFill>
          </w14:textFill>
        </w:rPr>
      </w:pPr>
    </w:p>
    <w:p w14:paraId="2E8FC971">
      <w:pPr>
        <w:spacing w:line="300" w:lineRule="auto"/>
        <w:rPr>
          <w:rFonts w:hint="eastAsia" w:ascii="宋体" w:hAnsi="宋体"/>
          <w:color w:val="000000" w:themeColor="text1"/>
          <w:szCs w:val="21"/>
          <w:highlight w:val="none"/>
          <w14:textFill>
            <w14:solidFill>
              <w14:schemeClr w14:val="tx1"/>
            </w14:solidFill>
          </w14:textFill>
        </w:rPr>
      </w:pPr>
    </w:p>
    <w:p w14:paraId="5D2FB95C">
      <w:pPr>
        <w:spacing w:line="300" w:lineRule="auto"/>
        <w:rPr>
          <w:rFonts w:hint="eastAsia" w:ascii="宋体" w:hAnsi="宋体"/>
          <w:color w:val="000000" w:themeColor="text1"/>
          <w:szCs w:val="21"/>
          <w:highlight w:val="none"/>
          <w14:textFill>
            <w14:solidFill>
              <w14:schemeClr w14:val="tx1"/>
            </w14:solidFill>
          </w14:textFill>
        </w:rPr>
      </w:pPr>
    </w:p>
    <w:p w14:paraId="0AE6D8F0">
      <w:pPr>
        <w:spacing w:line="300" w:lineRule="auto"/>
        <w:rPr>
          <w:rFonts w:hint="eastAsia" w:ascii="宋体" w:hAnsi="宋体"/>
          <w:color w:val="000000" w:themeColor="text1"/>
          <w:szCs w:val="21"/>
          <w:highlight w:val="none"/>
          <w14:textFill>
            <w14:solidFill>
              <w14:schemeClr w14:val="tx1"/>
            </w14:solidFill>
          </w14:textFill>
        </w:rPr>
      </w:pPr>
    </w:p>
    <w:p w14:paraId="551D32D9">
      <w:pPr>
        <w:spacing w:line="300" w:lineRule="auto"/>
        <w:rPr>
          <w:rFonts w:hint="eastAsia" w:ascii="宋体" w:hAnsi="宋体"/>
          <w:color w:val="000000" w:themeColor="text1"/>
          <w:szCs w:val="21"/>
          <w:highlight w:val="none"/>
          <w14:textFill>
            <w14:solidFill>
              <w14:schemeClr w14:val="tx1"/>
            </w14:solidFill>
          </w14:textFill>
        </w:rPr>
      </w:pPr>
    </w:p>
    <w:p w14:paraId="5C34897E">
      <w:pPr>
        <w:spacing w:line="300" w:lineRule="auto"/>
        <w:rPr>
          <w:rFonts w:hint="eastAsia" w:ascii="宋体" w:hAnsi="宋体"/>
          <w:color w:val="000000" w:themeColor="text1"/>
          <w:szCs w:val="21"/>
          <w:highlight w:val="none"/>
          <w14:textFill>
            <w14:solidFill>
              <w14:schemeClr w14:val="tx1"/>
            </w14:solidFill>
          </w14:textFill>
        </w:rPr>
      </w:pPr>
    </w:p>
    <w:p w14:paraId="668B9EBB">
      <w:pPr>
        <w:spacing w:line="300" w:lineRule="auto"/>
        <w:rPr>
          <w:rFonts w:hint="eastAsia" w:ascii="宋体" w:hAnsi="宋体"/>
          <w:color w:val="000000" w:themeColor="text1"/>
          <w:szCs w:val="21"/>
          <w:highlight w:val="none"/>
          <w14:textFill>
            <w14:solidFill>
              <w14:schemeClr w14:val="tx1"/>
            </w14:solidFill>
          </w14:textFill>
        </w:rPr>
      </w:pPr>
    </w:p>
    <w:p w14:paraId="155564B9">
      <w:pPr>
        <w:spacing w:line="300" w:lineRule="auto"/>
        <w:rPr>
          <w:rFonts w:hint="eastAsia" w:ascii="宋体" w:hAnsi="宋体"/>
          <w:color w:val="000000" w:themeColor="text1"/>
          <w:szCs w:val="21"/>
          <w:highlight w:val="none"/>
          <w14:textFill>
            <w14:solidFill>
              <w14:schemeClr w14:val="tx1"/>
            </w14:solidFill>
          </w14:textFill>
        </w:rPr>
      </w:pPr>
    </w:p>
    <w:p w14:paraId="0805B932">
      <w:pPr>
        <w:spacing w:line="300" w:lineRule="auto"/>
        <w:rPr>
          <w:rFonts w:hint="eastAsia" w:ascii="宋体" w:hAnsi="宋体"/>
          <w:color w:val="000000" w:themeColor="text1"/>
          <w:szCs w:val="21"/>
          <w:highlight w:val="none"/>
          <w14:textFill>
            <w14:solidFill>
              <w14:schemeClr w14:val="tx1"/>
            </w14:solidFill>
          </w14:textFill>
        </w:rPr>
      </w:pPr>
    </w:p>
    <w:p w14:paraId="5E9E582D">
      <w:pPr>
        <w:spacing w:line="32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 xml:space="preserve"> </w:t>
      </w:r>
    </w:p>
    <w:p w14:paraId="7BA9AC35">
      <w:pPr>
        <w:wordWrap w:val="0"/>
        <w:spacing w:before="120" w:beforeLines="50" w:after="50" w:line="320" w:lineRule="exact"/>
        <w:ind w:right="482" w:firstLine="210" w:firstLineChars="100"/>
        <w:contextualSpacing/>
        <w:jc w:val="center"/>
        <w:rPr>
          <w:rFonts w:hint="eastAsia" w:ascii="宋体" w:hAnsi="宋体"/>
          <w:color w:val="000000" w:themeColor="text1"/>
          <w:szCs w:val="21"/>
          <w:highlight w:val="none"/>
          <w14:textFill>
            <w14:solidFill>
              <w14:schemeClr w14:val="tx1"/>
            </w14:solidFill>
          </w14:textFill>
        </w:rPr>
      </w:pPr>
    </w:p>
    <w:p w14:paraId="374062BE">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3C18E5AB">
      <w:pPr>
        <w:snapToGrid w:val="0"/>
        <w:spacing w:before="120" w:beforeLines="50" w:after="50" w:line="360" w:lineRule="auto"/>
        <w:jc w:val="center"/>
        <w:rPr>
          <w:rFonts w:hint="eastAsia" w:ascii="宋体" w:hAnsi="宋体"/>
          <w:b/>
          <w:color w:val="000000" w:themeColor="text1"/>
          <w:sz w:val="24"/>
          <w:highlight w:val="none"/>
          <w14:textFill>
            <w14:solidFill>
              <w14:schemeClr w14:val="tx1"/>
            </w14:solidFill>
          </w14:textFill>
        </w:rPr>
      </w:pPr>
    </w:p>
    <w:p w14:paraId="222FB860">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1BC0F9E4">
      <w:pPr>
        <w:spacing w:line="360" w:lineRule="auto"/>
        <w:contextualSpacing/>
        <w:jc w:val="center"/>
        <w:rPr>
          <w:rFonts w:hint="eastAsia" w:ascii="宋体" w:hAnsi="宋体"/>
          <w:b/>
          <w:color w:val="000000" w:themeColor="text1"/>
          <w:sz w:val="24"/>
          <w:highlight w:val="none"/>
          <w14:textFill>
            <w14:solidFill>
              <w14:schemeClr w14:val="tx1"/>
            </w14:solidFill>
          </w14:textFill>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71DDA9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3F7073">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C9D6B2">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3E7296">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BEAB26">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8B5A9">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091739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582759">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EA86A2">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3BADB8">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8466E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6B831B">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2CBE41C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0BEDA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A7EC7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26724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FC1092">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14A30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7FB2821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EDE555">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839B49">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E91C35">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EBEB2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AA19F5">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36C6422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35FED3">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DEDB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14A80C">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7F9AD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650D90">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bl>
    <w:p w14:paraId="6EE3A648">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2E6EFE23">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18406E">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46CB340">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59255851">
      <w:pPr>
        <w:spacing w:line="360" w:lineRule="auto"/>
        <w:ind w:firstLine="420" w:firstLineChars="200"/>
        <w:contextualSpacing/>
        <w:jc w:val="left"/>
        <w:rPr>
          <w:rFonts w:hint="eastAsia" w:ascii="宋体" w:hAnsi="宋体" w:cs="宋体"/>
          <w:color w:val="000000" w:themeColor="text1"/>
          <w:szCs w:val="21"/>
          <w:highlight w:val="none"/>
          <w14:textFill>
            <w14:solidFill>
              <w14:schemeClr w14:val="tx1"/>
            </w14:solidFill>
          </w14:textFill>
        </w:rPr>
      </w:pPr>
    </w:p>
    <w:p w14:paraId="08BA12DD">
      <w:pPr>
        <w:spacing w:line="360" w:lineRule="auto"/>
        <w:ind w:firstLine="560" w:firstLineChars="200"/>
        <w:contextualSpacing/>
        <w:jc w:val="left"/>
        <w:rPr>
          <w:rFonts w:hint="eastAsia" w:ascii="宋体" w:hAnsi="宋体" w:cs="宋体"/>
          <w:color w:val="000000" w:themeColor="text1"/>
          <w:sz w:val="28"/>
          <w:szCs w:val="28"/>
          <w:highlight w:val="none"/>
          <w14:textFill>
            <w14:solidFill>
              <w14:schemeClr w14:val="tx1"/>
            </w14:solidFill>
          </w14:textFill>
        </w:rPr>
      </w:pPr>
    </w:p>
    <w:p w14:paraId="6572704A">
      <w:pPr>
        <w:spacing w:line="360" w:lineRule="auto"/>
        <w:ind w:right="480"/>
        <w:contextualSpacing/>
        <w:jc w:val="center"/>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724AB613">
      <w:pPr>
        <w:spacing w:line="360" w:lineRule="auto"/>
        <w:ind w:right="480" w:firstLine="3000" w:firstLineChars="125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3737E606">
      <w:pPr>
        <w:spacing w:line="360" w:lineRule="auto"/>
        <w:ind w:firstLine="480" w:firstLineChars="200"/>
        <w:contextualSpacing/>
        <w:jc w:val="righ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7680360A">
      <w:pPr>
        <w:snapToGrid w:val="0"/>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2FA610E0">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10E222F1">
      <w:pPr>
        <w:snapToGrid w:val="0"/>
        <w:spacing w:line="360" w:lineRule="auto"/>
        <w:jc w:val="center"/>
        <w:rPr>
          <w:rFonts w:hint="eastAsia" w:ascii="宋体" w:hAnsi="宋体"/>
          <w:b/>
          <w:color w:val="000000" w:themeColor="text1"/>
          <w:sz w:val="24"/>
          <w:highlight w:val="none"/>
          <w14:textFill>
            <w14:solidFill>
              <w14:schemeClr w14:val="tx1"/>
            </w14:solidFill>
          </w14:textFill>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73E7D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63288E">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17A17B">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9AD9FB">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A9340C">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451034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574E92">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6E26D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D4938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C1C9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6321FCD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F78666">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EBB519">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8F42D8">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042C3D">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4296557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EDDEC2">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878EB9">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7B054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8760B7">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07800B1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58F81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335A7C">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231ABD">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C5C0B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bl>
    <w:p w14:paraId="56358768">
      <w:pPr>
        <w:spacing w:line="360" w:lineRule="auto"/>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5E9880C3">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1B90ACD5">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184321C0">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62728955">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5F0B5FC3">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5265AC88">
      <w:pPr>
        <w:spacing w:line="360" w:lineRule="auto"/>
        <w:contextualSpacing/>
        <w:jc w:val="left"/>
        <w:rPr>
          <w:color w:val="000000" w:themeColor="text1"/>
          <w:sz w:val="28"/>
          <w:szCs w:val="28"/>
          <w:highlight w:val="none"/>
          <w14:textFill>
            <w14:solidFill>
              <w14:schemeClr w14:val="tx1"/>
            </w14:solidFill>
          </w14:textFill>
        </w:rPr>
      </w:pPr>
    </w:p>
    <w:p w14:paraId="2198BE71">
      <w:pPr>
        <w:spacing w:line="360" w:lineRule="auto"/>
        <w:contextualSpacing/>
        <w:jc w:val="left"/>
        <w:rPr>
          <w:color w:val="000000" w:themeColor="text1"/>
          <w:sz w:val="28"/>
          <w:szCs w:val="28"/>
          <w:highlight w:val="none"/>
          <w14:textFill>
            <w14:solidFill>
              <w14:schemeClr w14:val="tx1"/>
            </w14:solidFill>
          </w14:textFill>
        </w:rPr>
      </w:pPr>
    </w:p>
    <w:p w14:paraId="7BCEB124">
      <w:pPr>
        <w:spacing w:line="360" w:lineRule="auto"/>
        <w:contextualSpacing/>
        <w:jc w:val="left"/>
        <w:rPr>
          <w:color w:val="000000" w:themeColor="text1"/>
          <w:sz w:val="28"/>
          <w:szCs w:val="28"/>
          <w:highlight w:val="none"/>
          <w14:textFill>
            <w14:solidFill>
              <w14:schemeClr w14:val="tx1"/>
            </w14:solidFill>
          </w14:textFill>
        </w:rPr>
      </w:pPr>
    </w:p>
    <w:p w14:paraId="436EA5D8">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06DD1B60">
      <w:pPr>
        <w:spacing w:line="360" w:lineRule="auto"/>
        <w:ind w:right="480"/>
        <w:contextualSpacing/>
        <w:jc w:val="center"/>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法定代表人或者委托代理人（签字或者电子签名）：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6B6FE56C">
      <w:pPr>
        <w:spacing w:line="360" w:lineRule="auto"/>
        <w:ind w:right="480" w:firstLine="3360" w:firstLineChars="14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r>
        <w:rPr>
          <w:rFonts w:hint="eastAsia" w:ascii="宋体" w:hAnsi="宋体"/>
          <w:color w:val="000000" w:themeColor="text1"/>
          <w:sz w:val="24"/>
          <w:highlight w:val="none"/>
          <w:u w:val="single"/>
          <w14:textFill>
            <w14:solidFill>
              <w14:schemeClr w14:val="tx1"/>
            </w14:solidFill>
          </w14:textFill>
        </w:rPr>
        <w:t xml:space="preserve">                </w:t>
      </w:r>
    </w:p>
    <w:p w14:paraId="3EC15F3D">
      <w:pPr>
        <w:spacing w:line="360" w:lineRule="auto"/>
        <w:ind w:firstLine="480" w:firstLineChars="200"/>
        <w:contextualSpacing/>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B6F7C82">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竞标声明</w:t>
      </w:r>
    </w:p>
    <w:p w14:paraId="1F08366F">
      <w:pPr>
        <w:spacing w:line="320" w:lineRule="exact"/>
        <w:jc w:val="center"/>
        <w:rPr>
          <w:rFonts w:hint="eastAsia" w:ascii="宋体" w:hAnsi="宋体"/>
          <w:color w:val="000000" w:themeColor="text1"/>
          <w:sz w:val="24"/>
          <w:szCs w:val="20"/>
          <w:highlight w:val="none"/>
          <w14:textFill>
            <w14:solidFill>
              <w14:schemeClr w14:val="tx1"/>
            </w14:solidFill>
          </w14:textFill>
        </w:rPr>
      </w:pPr>
    </w:p>
    <w:p w14:paraId="191D0470">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093FF470">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591258E">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5C5AB39E">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1EA99821">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2.在此，我方宣布同意如下：</w:t>
      </w:r>
    </w:p>
    <w:p w14:paraId="6B3DFAC2">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43C9DD56">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323D05A2">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6A0DE613">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32405905">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3.我方承诺符合《中华人民共和国政府采购法》第二十二条规定：</w:t>
      </w:r>
    </w:p>
    <w:p w14:paraId="69A3E0CB">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4EF3ACA1">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75327101">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2B262F5F">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72F41AA9">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19AFCCB8">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084D641F">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C06B25C">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47F536A2">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253DBC12">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4C64C280">
      <w:pPr>
        <w:spacing w:line="360" w:lineRule="auto"/>
        <w:ind w:firstLine="480" w:firstLineChars="200"/>
        <w:contextualSpacing/>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6.与本磋商有关的一切正式往来信函请寄：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邮政编号：</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508678AC">
      <w:pPr>
        <w:spacing w:line="360" w:lineRule="auto"/>
        <w:ind w:firstLine="480" w:firstLineChars="200"/>
        <w:contextualSpacing/>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电话/传真：</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电子邮箱：</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14:paraId="51D045F6">
      <w:pPr>
        <w:pStyle w:val="15"/>
        <w:tabs>
          <w:tab w:val="left" w:pos="939"/>
        </w:tabs>
        <w:spacing w:line="360" w:lineRule="auto"/>
        <w:ind w:left="141" w:leftChars="67"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帐号：</w:t>
      </w:r>
      <w:r>
        <w:rPr>
          <w:rFonts w:hint="eastAsia" w:ascii="宋体" w:hAnsi="宋体" w:cs="宋体"/>
          <w:color w:val="000000" w:themeColor="text1"/>
          <w:sz w:val="24"/>
          <w:highlight w:val="none"/>
          <w:u w:val="single"/>
          <w14:textFill>
            <w14:solidFill>
              <w14:schemeClr w14:val="tx1"/>
            </w14:solidFill>
          </w14:textFill>
        </w:rPr>
        <w:t xml:space="preserve">                               </w:t>
      </w:r>
    </w:p>
    <w:p w14:paraId="3E18C24A">
      <w:pPr>
        <w:pStyle w:val="15"/>
        <w:tabs>
          <w:tab w:val="left" w:pos="939"/>
        </w:tabs>
        <w:spacing w:line="360" w:lineRule="auto"/>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56E25524">
      <w:pPr>
        <w:pStyle w:val="15"/>
        <w:tabs>
          <w:tab w:val="left" w:pos="939"/>
        </w:tabs>
        <w:spacing w:line="360" w:lineRule="auto"/>
        <w:ind w:left="141" w:leftChars="67"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43E93220">
      <w:pPr>
        <w:spacing w:line="360" w:lineRule="auto"/>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6434CC9D">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p>
    <w:p w14:paraId="589A9ED1">
      <w:pPr>
        <w:spacing w:line="360" w:lineRule="auto"/>
        <w:ind w:firstLine="1575" w:firstLineChars="75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w:t>
      </w:r>
      <w:r>
        <w:rPr>
          <w:rFonts w:hint="eastAsia" w:ascii="宋体" w:hAnsi="宋体"/>
          <w:color w:val="000000" w:themeColor="text1"/>
          <w:sz w:val="24"/>
          <w:highlight w:val="none"/>
          <w14:textFill>
            <w14:solidFill>
              <w14:schemeClr w14:val="tx1"/>
            </w14:solidFill>
          </w14:textFill>
        </w:rPr>
        <w:t>签字或者盖章或者电子签名</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3ECB9476">
      <w:pPr>
        <w:spacing w:line="360" w:lineRule="auto"/>
        <w:ind w:firstLine="3780" w:firstLineChars="1800"/>
        <w:contextualSpacing/>
        <w:rPr>
          <w:rFonts w:hint="eastAsia" w:ascii="宋体" w:hAnsi="宋体" w:cs="宋体"/>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供应商（电子签章）：</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230B5939">
      <w:pPr>
        <w:pStyle w:val="15"/>
        <w:tabs>
          <w:tab w:val="left" w:pos="939"/>
        </w:tabs>
        <w:spacing w:line="360" w:lineRule="auto"/>
        <w:ind w:left="0" w:leftChars="0" w:firstLine="420" w:firstLineChars="200"/>
        <w:rPr>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年    月    日</w:t>
      </w:r>
    </w:p>
    <w:p w14:paraId="056A97D5">
      <w:pPr>
        <w:spacing w:line="360" w:lineRule="auto"/>
        <w:ind w:right="-817" w:rightChars="-389"/>
        <w:contextualSpacing/>
        <w:rPr>
          <w:rFonts w:hint="eastAsia" w:ascii="宋体" w:hAnsi="宋体"/>
          <w:b/>
          <w:color w:val="000000" w:themeColor="text1"/>
          <w:sz w:val="32"/>
          <w:szCs w:val="3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二、报价</w:t>
      </w:r>
      <w:r>
        <w:rPr>
          <w:rFonts w:hint="eastAsia" w:ascii="宋体" w:hAnsi="宋体"/>
          <w:b/>
          <w:color w:val="000000" w:themeColor="text1"/>
          <w:sz w:val="32"/>
          <w:szCs w:val="32"/>
          <w:highlight w:val="none"/>
          <w14:textFill>
            <w14:solidFill>
              <w14:schemeClr w14:val="tx1"/>
            </w14:solidFill>
          </w14:textFill>
        </w:rPr>
        <w:t xml:space="preserve">文件格式 </w:t>
      </w:r>
    </w:p>
    <w:p w14:paraId="654F7BBA">
      <w:pPr>
        <w:snapToGrid w:val="0"/>
        <w:spacing w:before="120" w:beforeLines="50" w:after="50"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354A7500">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04774018">
      <w:pPr>
        <w:snapToGrid w:val="0"/>
        <w:spacing w:before="120" w:beforeLines="5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6DE289F2">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26D2EFB8">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543216A">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7B65A27E">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517A474">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70CA02C">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3A69B45E">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43941B5">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239A8224">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97F5A32">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5B41612">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8BF6538">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319ABD0F">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1853A645">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5C1E52EC">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26007DF">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091AAB37">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5F270F1B">
      <w:pPr>
        <w:pStyle w:val="7"/>
        <w:snapToGrid w:val="0"/>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787B6C80">
      <w:pPr>
        <w:pStyle w:val="7"/>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31FE67B5">
      <w:pPr>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7DD5250">
      <w:pPr>
        <w:snapToGrid w:val="0"/>
        <w:spacing w:before="120" w:beforeLines="50" w:after="50" w:line="360" w:lineRule="auto"/>
        <w:ind w:right="480" w:firstLine="240" w:firstLineChars="100"/>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50AB8C72">
      <w:pPr>
        <w:snapToGrid w:val="0"/>
        <w:spacing w:before="120" w:beforeLines="50" w:after="50" w:line="360" w:lineRule="auto"/>
        <w:ind w:firstLine="640" w:firstLineChars="200"/>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根据磋商文件第二章供应商须知前附表12.1.2规定及供应商提供的材料自行编写目录（部分格式后附）。</w:t>
      </w:r>
    </w:p>
    <w:p w14:paraId="6037D2E5">
      <w:pPr>
        <w:spacing w:line="4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8A28118">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响应报价表</w:t>
      </w:r>
    </w:p>
    <w:p w14:paraId="6D3F50C1">
      <w:pPr>
        <w:spacing w:line="360" w:lineRule="exact"/>
        <w:rPr>
          <w:rFonts w:hint="eastAsia" w:ascii="宋体" w:hAnsi="宋体"/>
          <w:color w:val="000000" w:themeColor="text1"/>
          <w:szCs w:val="21"/>
          <w:highlight w:val="none"/>
          <w14:textFill>
            <w14:solidFill>
              <w14:schemeClr w14:val="tx1"/>
            </w14:solidFill>
          </w14:textFill>
        </w:rPr>
      </w:pPr>
    </w:p>
    <w:p w14:paraId="3109F08E">
      <w:pPr>
        <w:spacing w:line="36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采购项目编号:               采购项目名称:</w:t>
      </w:r>
    </w:p>
    <w:p w14:paraId="655E358D">
      <w:pPr>
        <w:spacing w:line="36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单位：元</w:t>
      </w:r>
    </w:p>
    <w:tbl>
      <w:tblPr>
        <w:tblStyle w:val="31"/>
        <w:tblW w:w="51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2"/>
        <w:gridCol w:w="3228"/>
        <w:gridCol w:w="1443"/>
        <w:gridCol w:w="1532"/>
        <w:gridCol w:w="2253"/>
      </w:tblGrid>
      <w:tr w14:paraId="03AE3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6A394460">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项号</w:t>
            </w:r>
          </w:p>
        </w:tc>
        <w:tc>
          <w:tcPr>
            <w:tcW w:w="1736" w:type="pct"/>
            <w:tcBorders>
              <w:top w:val="single" w:color="auto" w:sz="4" w:space="0"/>
              <w:left w:val="single" w:color="auto" w:sz="4" w:space="0"/>
              <w:bottom w:val="single" w:color="auto" w:sz="4" w:space="0"/>
              <w:right w:val="single" w:color="auto" w:sz="4" w:space="0"/>
            </w:tcBorders>
            <w:vAlign w:val="center"/>
          </w:tcPr>
          <w:p w14:paraId="32011521">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采购标的</w:t>
            </w:r>
          </w:p>
        </w:tc>
        <w:tc>
          <w:tcPr>
            <w:tcW w:w="776" w:type="pct"/>
            <w:tcBorders>
              <w:top w:val="single" w:color="auto" w:sz="4" w:space="0"/>
              <w:left w:val="single" w:color="auto" w:sz="4" w:space="0"/>
              <w:bottom w:val="single" w:color="auto" w:sz="4" w:space="0"/>
              <w:right w:val="single" w:color="auto" w:sz="4" w:space="0"/>
            </w:tcBorders>
            <w:vAlign w:val="center"/>
          </w:tcPr>
          <w:p w14:paraId="6E946F4C">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数量及</w:t>
            </w:r>
            <w:r>
              <w:rPr>
                <w:rFonts w:ascii="宋体" w:hAnsi="宋体"/>
                <w:b/>
                <w:color w:val="000000" w:themeColor="text1"/>
                <w:szCs w:val="21"/>
                <w:highlight w:val="none"/>
                <w14:textFill>
                  <w14:solidFill>
                    <w14:schemeClr w14:val="tx1"/>
                  </w14:solidFill>
                </w14:textFill>
              </w:rPr>
              <w:t>单位</w:t>
            </w:r>
          </w:p>
        </w:tc>
        <w:tc>
          <w:tcPr>
            <w:tcW w:w="824" w:type="pct"/>
            <w:tcBorders>
              <w:top w:val="single" w:color="auto" w:sz="4" w:space="0"/>
              <w:left w:val="single" w:color="auto" w:sz="4" w:space="0"/>
              <w:bottom w:val="single" w:color="auto" w:sz="4" w:space="0"/>
              <w:right w:val="single" w:color="auto" w:sz="4" w:space="0"/>
            </w:tcBorders>
            <w:vAlign w:val="center"/>
          </w:tcPr>
          <w:p w14:paraId="4F7EAE6B">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单价（元）</w:t>
            </w:r>
          </w:p>
        </w:tc>
        <w:tc>
          <w:tcPr>
            <w:tcW w:w="1209" w:type="pct"/>
            <w:tcBorders>
              <w:top w:val="single" w:color="auto" w:sz="4" w:space="0"/>
              <w:left w:val="single" w:color="auto" w:sz="4" w:space="0"/>
              <w:bottom w:val="single" w:color="auto" w:sz="4" w:space="0"/>
              <w:right w:val="single" w:color="auto" w:sz="4" w:space="0"/>
            </w:tcBorders>
            <w:vAlign w:val="center"/>
          </w:tcPr>
          <w:p w14:paraId="49F629CB">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金额（元）</w:t>
            </w:r>
          </w:p>
        </w:tc>
      </w:tr>
      <w:tr w14:paraId="37BC2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4CCCA0D8">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1736" w:type="pct"/>
            <w:tcBorders>
              <w:top w:val="single" w:color="auto" w:sz="4" w:space="0"/>
              <w:left w:val="single" w:color="auto" w:sz="4" w:space="0"/>
              <w:bottom w:val="single" w:color="auto" w:sz="4" w:space="0"/>
              <w:right w:val="single" w:color="auto" w:sz="4" w:space="0"/>
            </w:tcBorders>
            <w:vAlign w:val="center"/>
          </w:tcPr>
          <w:p w14:paraId="61435562">
            <w:pPr>
              <w:spacing w:line="380" w:lineRule="exact"/>
              <w:jc w:val="center"/>
              <w:rPr>
                <w:rFonts w:hint="eastAsia" w:ascii="宋体" w:hAnsi="宋体"/>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广西低空经济航线网络精细优化及主干航线划设方案研究</w:t>
            </w:r>
          </w:p>
        </w:tc>
        <w:tc>
          <w:tcPr>
            <w:tcW w:w="776" w:type="pct"/>
            <w:tcBorders>
              <w:top w:val="single" w:color="auto" w:sz="4" w:space="0"/>
              <w:left w:val="single" w:color="auto" w:sz="4" w:space="0"/>
              <w:bottom w:val="single" w:color="auto" w:sz="4" w:space="0"/>
              <w:right w:val="single" w:color="auto" w:sz="4" w:space="0"/>
            </w:tcBorders>
            <w:vAlign w:val="center"/>
          </w:tcPr>
          <w:p w14:paraId="6F2F856A">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1项</w:t>
            </w:r>
          </w:p>
        </w:tc>
        <w:tc>
          <w:tcPr>
            <w:tcW w:w="824" w:type="pct"/>
            <w:tcBorders>
              <w:top w:val="single" w:color="auto" w:sz="4" w:space="0"/>
              <w:left w:val="single" w:color="auto" w:sz="4" w:space="0"/>
              <w:bottom w:val="single" w:color="auto" w:sz="4" w:space="0"/>
              <w:right w:val="single" w:color="auto" w:sz="4" w:space="0"/>
            </w:tcBorders>
            <w:vAlign w:val="center"/>
          </w:tcPr>
          <w:p w14:paraId="0D1E142B">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p>
        </w:tc>
        <w:tc>
          <w:tcPr>
            <w:tcW w:w="1209" w:type="pct"/>
            <w:tcBorders>
              <w:top w:val="single" w:color="auto" w:sz="4" w:space="0"/>
              <w:left w:val="single" w:color="auto" w:sz="4" w:space="0"/>
              <w:bottom w:val="single" w:color="auto" w:sz="4" w:space="0"/>
              <w:right w:val="single" w:color="auto" w:sz="4" w:space="0"/>
            </w:tcBorders>
            <w:vAlign w:val="center"/>
          </w:tcPr>
          <w:p w14:paraId="55F87562">
            <w:pPr>
              <w:snapToGrid w:val="0"/>
              <w:spacing w:before="50" w:after="50" w:line="360" w:lineRule="exact"/>
              <w:jc w:val="center"/>
              <w:rPr>
                <w:rFonts w:hint="eastAsia" w:ascii="宋体" w:hAnsi="宋体"/>
                <w:b/>
                <w:color w:val="000000" w:themeColor="text1"/>
                <w:szCs w:val="21"/>
                <w:highlight w:val="none"/>
                <w14:textFill>
                  <w14:solidFill>
                    <w14:schemeClr w14:val="tx1"/>
                  </w14:solidFill>
                </w14:textFill>
              </w:rPr>
            </w:pPr>
          </w:p>
        </w:tc>
      </w:tr>
      <w:tr w14:paraId="7EA13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7395C92">
            <w:pPr>
              <w:snapToGrid w:val="0"/>
              <w:spacing w:before="50" w:after="50" w:line="360" w:lineRule="exact"/>
              <w:rPr>
                <w:rFonts w:hint="eastAsia" w:ascii="宋体" w:hAnsi="宋体"/>
                <w:color w:val="000000" w:themeColor="text1"/>
                <w:spacing w:val="2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总报价金额（人民币）：</w:t>
            </w:r>
            <w:r>
              <w:rPr>
                <w:rFonts w:hint="eastAsia" w:ascii="宋体" w:hAnsi="宋体"/>
                <w:color w:val="000000" w:themeColor="text1"/>
                <w:szCs w:val="21"/>
                <w:highlight w:val="none"/>
                <w:u w:val="single"/>
                <w14:textFill>
                  <w14:solidFill>
                    <w14:schemeClr w14:val="tx1"/>
                  </w14:solidFill>
                </w14:textFill>
              </w:rPr>
              <w:t xml:space="preserve">        大写    </w:t>
            </w:r>
            <w:r>
              <w:rPr>
                <w:rFonts w:hint="eastAsia" w:ascii="宋体" w:hAnsi="宋体"/>
                <w:color w:val="000000" w:themeColor="text1"/>
                <w:spacing w:val="20"/>
                <w:szCs w:val="21"/>
                <w:highlight w:val="none"/>
                <w:u w:val="single"/>
                <w14:textFill>
                  <w14:solidFill>
                    <w14:schemeClr w14:val="tx1"/>
                  </w14:solidFill>
                </w14:textFill>
              </w:rPr>
              <w:t xml:space="preserve">（¥   小写    </w:t>
            </w:r>
            <w:r>
              <w:rPr>
                <w:rFonts w:hint="eastAsia" w:ascii="宋体" w:hAnsi="宋体"/>
                <w:color w:val="000000" w:themeColor="text1"/>
                <w:spacing w:val="20"/>
                <w:szCs w:val="21"/>
                <w:highlight w:val="none"/>
                <w14:textFill>
                  <w14:solidFill>
                    <w14:schemeClr w14:val="tx1"/>
                  </w14:solidFill>
                </w14:textFill>
              </w:rPr>
              <w:t>）</w:t>
            </w:r>
          </w:p>
        </w:tc>
      </w:tr>
    </w:tbl>
    <w:p w14:paraId="091523A0">
      <w:pPr>
        <w:spacing w:line="360" w:lineRule="exact"/>
        <w:rPr>
          <w:rFonts w:hint="eastAsia" w:ascii="宋体" w:hAnsi="宋体"/>
          <w:color w:val="000000" w:themeColor="text1"/>
          <w:szCs w:val="21"/>
          <w:highlight w:val="none"/>
          <w14:textFill>
            <w14:solidFill>
              <w14:schemeClr w14:val="tx1"/>
            </w14:solidFill>
          </w14:textFill>
        </w:rPr>
      </w:pPr>
    </w:p>
    <w:p w14:paraId="0B0479E2">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注：1、所有价格均用人民币表示，单位为元，精确到小数点后两位数。</w:t>
      </w:r>
    </w:p>
    <w:p w14:paraId="45C494E3">
      <w:pPr>
        <w:spacing w:line="360" w:lineRule="exact"/>
        <w:ind w:firstLine="42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、供应商的报价表必须加盖供应商公章并由法定代表人或者委托代理人签字，</w:t>
      </w:r>
      <w:r>
        <w:rPr>
          <w:rFonts w:hint="eastAsia" w:ascii="宋体" w:hAnsi="宋体"/>
          <w:b/>
          <w:color w:val="000000" w:themeColor="text1"/>
          <w:kern w:val="0"/>
          <w:szCs w:val="21"/>
          <w:highlight w:val="none"/>
          <w14:textFill>
            <w14:solidFill>
              <w14:schemeClr w14:val="tx1"/>
            </w14:solidFill>
          </w14:textFill>
        </w:rPr>
        <w:t>否则其响应文件按无效响应处理。</w:t>
      </w:r>
    </w:p>
    <w:p w14:paraId="2190B4BD">
      <w:pPr>
        <w:spacing w:line="360" w:lineRule="exact"/>
        <w:ind w:firstLine="42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14:textFill>
            <w14:solidFill>
              <w14:schemeClr w14:val="tx1"/>
            </w14:solidFill>
          </w14:textFill>
        </w:rPr>
        <w:t>、报价一经涂改，应在涂改处加盖供应商公章或者由法定代表人或者委托代理人签字或者盖章，</w:t>
      </w:r>
      <w:r>
        <w:rPr>
          <w:rFonts w:hint="eastAsia" w:ascii="宋体" w:hAnsi="宋体"/>
          <w:b/>
          <w:color w:val="000000" w:themeColor="text1"/>
          <w:kern w:val="0"/>
          <w:szCs w:val="21"/>
          <w:highlight w:val="none"/>
          <w14:textFill>
            <w14:solidFill>
              <w14:schemeClr w14:val="tx1"/>
            </w14:solidFill>
          </w14:textFill>
        </w:rPr>
        <w:t>否则其响应文件按无效响应处理。</w:t>
      </w:r>
    </w:p>
    <w:p w14:paraId="47727C32">
      <w:pPr>
        <w:spacing w:line="360" w:lineRule="exact"/>
        <w:rPr>
          <w:rFonts w:hint="eastAsia" w:ascii="宋体" w:hAnsi="宋体"/>
          <w:color w:val="000000" w:themeColor="text1"/>
          <w:kern w:val="0"/>
          <w:sz w:val="20"/>
          <w:szCs w:val="21"/>
          <w:highlight w:val="none"/>
          <w14:textFill>
            <w14:solidFill>
              <w14:schemeClr w14:val="tx1"/>
            </w14:solidFill>
          </w14:textFill>
        </w:rPr>
      </w:pPr>
    </w:p>
    <w:p w14:paraId="0E135339">
      <w:pPr>
        <w:spacing w:line="360" w:lineRule="exact"/>
        <w:rPr>
          <w:rFonts w:hint="eastAsia" w:ascii="宋体" w:hAnsi="宋体"/>
          <w:color w:val="000000" w:themeColor="text1"/>
          <w:kern w:val="0"/>
          <w:sz w:val="20"/>
          <w:szCs w:val="21"/>
          <w:highlight w:val="none"/>
          <w14:textFill>
            <w14:solidFill>
              <w14:schemeClr w14:val="tx1"/>
            </w14:solidFill>
          </w14:textFill>
        </w:rPr>
      </w:pPr>
    </w:p>
    <w:p w14:paraId="166C6902">
      <w:pPr>
        <w:spacing w:line="360" w:lineRule="exact"/>
        <w:rPr>
          <w:rFonts w:hint="eastAsia" w:ascii="宋体" w:hAnsi="宋体"/>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供应商名称（盖公章）：</w:t>
      </w:r>
    </w:p>
    <w:p w14:paraId="58052726">
      <w:pPr>
        <w:spacing w:line="360" w:lineRule="exact"/>
        <w:rPr>
          <w:rFonts w:hint="eastAsia" w:ascii="宋体" w:hAnsi="宋体"/>
          <w:color w:val="000000" w:themeColor="text1"/>
          <w:kern w:val="0"/>
          <w:szCs w:val="21"/>
          <w:highlight w:val="none"/>
          <w14:textFill>
            <w14:solidFill>
              <w14:schemeClr w14:val="tx1"/>
            </w14:solidFill>
          </w14:textFill>
        </w:rPr>
      </w:pPr>
    </w:p>
    <w:p w14:paraId="58BBCA33">
      <w:pPr>
        <w:spacing w:line="360" w:lineRule="exact"/>
        <w:rPr>
          <w:rFonts w:hint="eastAsia"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法定代表人或委托代理人（签字或者电子签名）：</w:t>
      </w:r>
    </w:p>
    <w:p w14:paraId="3748E7DC">
      <w:pPr>
        <w:spacing w:line="360" w:lineRule="exact"/>
        <w:rPr>
          <w:rFonts w:hint="eastAsia" w:ascii="宋体" w:hAnsi="宋体"/>
          <w:color w:val="000000" w:themeColor="text1"/>
          <w:kern w:val="0"/>
          <w:szCs w:val="21"/>
          <w:highlight w:val="none"/>
          <w14:textFill>
            <w14:solidFill>
              <w14:schemeClr w14:val="tx1"/>
            </w14:solidFill>
          </w14:textFill>
        </w:rPr>
      </w:pPr>
    </w:p>
    <w:p w14:paraId="02F3BAE4">
      <w:pPr>
        <w:spacing w:line="360" w:lineRule="exac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日期</w:t>
      </w:r>
    </w:p>
    <w:p w14:paraId="5B5579BE">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中小企业声明函（服务）</w:t>
      </w:r>
    </w:p>
    <w:p w14:paraId="792C61B6">
      <w:pPr>
        <w:spacing w:before="2" w:line="500" w:lineRule="exact"/>
        <w:ind w:firstLine="708" w:firstLineChars="294"/>
        <w:rPr>
          <w:rFonts w:hint="eastAsia" w:ascii="宋体" w:hAnsi="宋体" w:cs="宋体"/>
          <w:b/>
          <w:bCs/>
          <w:color w:val="000000" w:themeColor="text1"/>
          <w:sz w:val="24"/>
          <w:highlight w:val="none"/>
          <w14:textFill>
            <w14:solidFill>
              <w14:schemeClr w14:val="tx1"/>
            </w14:solidFill>
          </w14:textFill>
        </w:rPr>
      </w:pPr>
    </w:p>
    <w:p w14:paraId="36AD8558">
      <w:pPr>
        <w:pStyle w:val="13"/>
        <w:spacing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39E14F1F">
      <w:pPr>
        <w:tabs>
          <w:tab w:val="left" w:pos="1384"/>
          <w:tab w:val="left" w:pos="4562"/>
          <w:tab w:val="left" w:pos="6803"/>
        </w:tabs>
        <w:spacing w:before="13" w:line="500" w:lineRule="exact"/>
        <w:ind w:right="142" w:firstLine="772" w:firstLineChars="32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13A51D0D">
      <w:pPr>
        <w:tabs>
          <w:tab w:val="left" w:pos="1065"/>
          <w:tab w:val="left" w:pos="4262"/>
          <w:tab w:val="left" w:pos="6477"/>
        </w:tabs>
        <w:spacing w:before="20" w:line="500" w:lineRule="exact"/>
        <w:ind w:right="84" w:firstLine="772" w:firstLineChars="322"/>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40582575">
      <w:pPr>
        <w:pStyle w:val="13"/>
        <w:spacing w:before="34"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10A1DA04">
      <w:pPr>
        <w:pStyle w:val="13"/>
        <w:spacing w:before="34"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2C357D22">
      <w:pPr>
        <w:pStyle w:val="13"/>
        <w:spacing w:before="25"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1B0E453D">
      <w:pPr>
        <w:pStyle w:val="13"/>
        <w:spacing w:before="56" w:line="500" w:lineRule="exact"/>
        <w:ind w:right="1808" w:firstLine="705" w:firstLineChars="294"/>
        <w:rPr>
          <w:rFonts w:hint="eastAsia" w:ascii="宋体" w:hAnsi="宋体"/>
          <w:color w:val="000000" w:themeColor="text1"/>
          <w:sz w:val="24"/>
          <w:highlight w:val="none"/>
          <w14:textFill>
            <w14:solidFill>
              <w14:schemeClr w14:val="tx1"/>
            </w14:solidFill>
          </w14:textFill>
        </w:rPr>
      </w:pPr>
    </w:p>
    <w:p w14:paraId="0D82FE5E">
      <w:pPr>
        <w:pStyle w:val="13"/>
        <w:spacing w:before="56" w:line="500" w:lineRule="exact"/>
        <w:ind w:right="650" w:firstLine="5625" w:firstLineChars="234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75652161">
      <w:pPr>
        <w:pStyle w:val="13"/>
        <w:spacing w:before="56" w:line="500" w:lineRule="exact"/>
        <w:ind w:right="1808" w:firstLine="5625" w:firstLineChars="234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43BE8026">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E46F9A8">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03E4A9A8">
      <w:pPr>
        <w:spacing w:line="360"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64D3CD0">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C22ECE7">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32E71EC7">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7948F5C">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494C98CF">
      <w:pPr>
        <w:spacing w:line="360" w:lineRule="auto"/>
        <w:ind w:firstLine="2400" w:firstLineChars="10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1A8F159E">
      <w:pPr>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7E3D0EC2">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076C29CE">
      <w:pPr>
        <w:pStyle w:val="7"/>
        <w:overflowPunct w:val="0"/>
        <w:spacing w:line="360" w:lineRule="auto"/>
        <w:ind w:firstLine="0"/>
        <w:contextualSpacing/>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5B8C8B17">
      <w:pPr>
        <w:spacing w:line="360" w:lineRule="auto"/>
        <w:ind w:right="480" w:firstLine="240" w:firstLineChars="100"/>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39C0E798">
      <w:pPr>
        <w:spacing w:line="360" w:lineRule="auto"/>
        <w:ind w:right="480" w:firstLine="240" w:firstLineChars="100"/>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w:t>
      </w:r>
      <w:r>
        <w:rPr>
          <w:rFonts w:hint="eastAsia" w:ascii="宋体" w:hAnsi="宋体" w:cs="仿宋_GB2312"/>
          <w:color w:val="000000" w:themeColor="text1"/>
          <w:sz w:val="24"/>
          <w:highlight w:val="none"/>
          <w14:textFill>
            <w14:solidFill>
              <w14:schemeClr w14:val="tx1"/>
            </w14:solidFill>
          </w14:textFill>
        </w:rPr>
        <w:tab/>
      </w:r>
      <w:r>
        <w:rPr>
          <w:rFonts w:hint="eastAsia" w:ascii="宋体" w:hAnsi="宋体" w:cs="仿宋_GB2312"/>
          <w:color w:val="000000" w:themeColor="text1"/>
          <w:sz w:val="24"/>
          <w:highlight w:val="none"/>
          <w14:textFill>
            <w14:solidFill>
              <w14:schemeClr w14:val="tx1"/>
            </w14:solidFill>
          </w14:textFill>
        </w:rPr>
        <w:t xml:space="preserve">月  </w:t>
      </w:r>
      <w:r>
        <w:rPr>
          <w:rFonts w:hint="eastAsia" w:ascii="宋体" w:hAnsi="宋体" w:cs="仿宋_GB2312"/>
          <w:color w:val="000000" w:themeColor="text1"/>
          <w:sz w:val="24"/>
          <w:highlight w:val="none"/>
          <w14:textFill>
            <w14:solidFill>
              <w14:schemeClr w14:val="tx1"/>
            </w14:solidFill>
          </w14:textFill>
        </w:rPr>
        <w:tab/>
      </w:r>
      <w:r>
        <w:rPr>
          <w:rFonts w:hint="eastAsia" w:ascii="宋体" w:hAnsi="宋体" w:cs="仿宋_GB2312"/>
          <w:color w:val="000000" w:themeColor="text1"/>
          <w:sz w:val="24"/>
          <w:highlight w:val="none"/>
          <w14:textFill>
            <w14:solidFill>
              <w14:schemeClr w14:val="tx1"/>
            </w14:solidFill>
          </w14:textFill>
        </w:rPr>
        <w:t>日</w:t>
      </w:r>
    </w:p>
    <w:p w14:paraId="38817DD2">
      <w:pPr>
        <w:spacing w:line="600" w:lineRule="exact"/>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属于监狱企业证明文件</w:t>
      </w:r>
    </w:p>
    <w:p w14:paraId="5AC4C5B1">
      <w:pPr>
        <w:spacing w:line="600" w:lineRule="exact"/>
        <w:jc w:val="left"/>
        <w:rPr>
          <w:rFonts w:hint="eastAsia" w:ascii="宋体" w:hAnsi="宋体" w:cs="宋体"/>
          <w:color w:val="000000" w:themeColor="text1"/>
          <w:kern w:val="0"/>
          <w:sz w:val="24"/>
          <w:highlight w:val="none"/>
          <w:lang w:val="zh-CN"/>
          <w14:textFill>
            <w14:solidFill>
              <w14:schemeClr w14:val="tx1"/>
            </w14:solidFill>
          </w14:textFill>
        </w:rPr>
      </w:pPr>
    </w:p>
    <w:p w14:paraId="49E1006D">
      <w:pPr>
        <w:spacing w:line="360" w:lineRule="auto"/>
        <w:ind w:right="420"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由省级以上监狱管理局、戒毒管理局（含新疆生产建设兵团）出具的属于监狱企业证明文件复印件(电子签章)</w:t>
      </w:r>
    </w:p>
    <w:p w14:paraId="57DA295E">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注明：</w:t>
      </w:r>
    </w:p>
    <w:p w14:paraId="6771D7D5">
      <w:pPr>
        <w:spacing w:line="360" w:lineRule="auto"/>
        <w:ind w:right="420"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根据《关于政府采购支持监狱企业发展有关问题的通知》（财库[2014]68号）的规定，由省级以上监狱管理局、戒毒管理局（含新疆生产建设兵团）出具的属于监狱企业证的，视同为小型和微型企业，依法享受中小企业优惠政策。请根据自己的真实情况提供由省级以上监狱管理局、戒毒管理局（含新疆生产建设兵团）出具的属于监狱企业证的，采购人或者采购代理机构在公告中标结果时，同时公告其监狱企业证明文件，接受社会监督。</w:t>
      </w:r>
    </w:p>
    <w:p w14:paraId="1571FAAC">
      <w:pPr>
        <w:spacing w:line="360" w:lineRule="auto"/>
        <w:ind w:right="420"/>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二、商务技术</w:t>
      </w:r>
      <w:r>
        <w:rPr>
          <w:rFonts w:hint="eastAsia" w:ascii="宋体" w:hAnsi="宋体"/>
          <w:b/>
          <w:color w:val="000000" w:themeColor="text1"/>
          <w:sz w:val="32"/>
          <w:szCs w:val="32"/>
          <w:highlight w:val="none"/>
          <w14:textFill>
            <w14:solidFill>
              <w14:schemeClr w14:val="tx1"/>
            </w14:solidFill>
          </w14:textFill>
        </w:rPr>
        <w:t xml:space="preserve">文件格式 </w:t>
      </w:r>
    </w:p>
    <w:p w14:paraId="50AA485D">
      <w:pPr>
        <w:snapToGrid w:val="0"/>
        <w:spacing w:before="120" w:beforeLines="50" w:after="50"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2FA6F43F">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2F4F446">
      <w:pPr>
        <w:snapToGrid w:val="0"/>
        <w:spacing w:before="120" w:beforeLines="5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7A4BDDAB">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B83EAD2">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ED46451">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商务技术文件</w:t>
      </w:r>
    </w:p>
    <w:p w14:paraId="55192BBA">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41AF502B">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DA3540A">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DDBFC57">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B6C876B">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D9410C8">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04547458">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37000379">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169218F1">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7DD3A32C">
      <w:pPr>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3B27D615">
      <w:pPr>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024CAA4A">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22D975F">
      <w:pPr>
        <w:pStyle w:val="7"/>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3A150416">
      <w:pPr>
        <w:pStyle w:val="7"/>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534A920A">
      <w:pPr>
        <w:pStyle w:val="7"/>
        <w:snapToGrid w:val="0"/>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6ED15F80">
      <w:pPr>
        <w:pStyle w:val="7"/>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7149917B">
      <w:pPr>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2E5F0FC0">
      <w:pPr>
        <w:snapToGrid w:val="0"/>
        <w:spacing w:before="120" w:beforeLines="50" w:after="50" w:line="360" w:lineRule="auto"/>
        <w:ind w:right="480" w:firstLine="240" w:firstLineChars="100"/>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0FEBFA2A">
      <w:pPr>
        <w:snapToGrid w:val="0"/>
        <w:spacing w:before="120" w:beforeLines="50" w:after="50" w:line="360" w:lineRule="auto"/>
        <w:ind w:firstLine="640" w:firstLineChars="200"/>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根据磋商文件第二章供应商须知前附表12.1.2规定及供应商提供的材料自行编写目录（部分格式后附）。</w:t>
      </w:r>
    </w:p>
    <w:p w14:paraId="6AE8E6AF">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03E6C815">
      <w:pPr>
        <w:spacing w:line="360" w:lineRule="auto"/>
        <w:ind w:firstLine="640" w:firstLineChars="20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7966E86">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711ADA8D">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2E3F4531">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4C4E26EA">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6D37CF19">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1110E819">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50A4BDDB">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5B144BEE">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34B1CD57">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241F6151">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62E52AAE">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0CA32F47">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6B597701">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623754C0">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7FBB3F75">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4D7E796B">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p>
    <w:p w14:paraId="0804D8EA">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3D0230B8">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813E707">
      <w:pPr>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4E92A566">
      <w:pPr>
        <w:spacing w:line="360" w:lineRule="auto"/>
        <w:ind w:firstLine="480" w:firstLineChars="20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6AE01A2F">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32597F00">
      <w:pPr>
        <w:spacing w:line="360" w:lineRule="auto"/>
        <w:ind w:left="5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E69FBA4">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32E797D9">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r>
        <w:rPr>
          <w:rFonts w:hint="eastAsia" w:ascii="宋体" w:hAnsi="宋体" w:cs="仿宋_GB2312"/>
          <w:color w:val="000000" w:themeColor="text1"/>
          <w:sz w:val="24"/>
          <w:highlight w:val="none"/>
          <w:u w:val="single"/>
          <w14:textFill>
            <w14:solidFill>
              <w14:schemeClr w14:val="tx1"/>
            </w14:solidFill>
          </w14:textFill>
        </w:rPr>
        <w:t xml:space="preserve">                                                        </w:t>
      </w:r>
    </w:p>
    <w:p w14:paraId="79B92E6E">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性     别：</w:t>
      </w:r>
      <w:r>
        <w:rPr>
          <w:rFonts w:hint="eastAsia" w:ascii="宋体" w:hAnsi="宋体" w:cs="仿宋_GB2312"/>
          <w:color w:val="000000" w:themeColor="text1"/>
          <w:sz w:val="24"/>
          <w:highlight w:val="none"/>
          <w:u w:val="single"/>
          <w14:textFill>
            <w14:solidFill>
              <w14:schemeClr w14:val="tx1"/>
            </w14:solidFill>
          </w14:textFill>
        </w:rPr>
        <w:t xml:space="preserve">                </w:t>
      </w:r>
    </w:p>
    <w:p w14:paraId="5037208E">
      <w:pPr>
        <w:spacing w:line="360" w:lineRule="auto"/>
        <w:ind w:left="540"/>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职     务：</w:t>
      </w:r>
      <w:r>
        <w:rPr>
          <w:rFonts w:hint="eastAsia" w:ascii="宋体" w:hAnsi="宋体" w:cs="仿宋_GB2312"/>
          <w:color w:val="000000" w:themeColor="text1"/>
          <w:sz w:val="24"/>
          <w:highlight w:val="none"/>
          <w:u w:val="single"/>
          <w14:textFill>
            <w14:solidFill>
              <w14:schemeClr w14:val="tx1"/>
            </w14:solidFill>
          </w14:textFill>
        </w:rPr>
        <w:t xml:space="preserve">                </w:t>
      </w:r>
    </w:p>
    <w:p w14:paraId="6DE8C552">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r>
        <w:rPr>
          <w:rFonts w:hint="eastAsia" w:ascii="宋体" w:hAnsi="宋体" w:cs="仿宋_GB2312"/>
          <w:color w:val="000000" w:themeColor="text1"/>
          <w:sz w:val="24"/>
          <w:highlight w:val="none"/>
          <w:u w:val="single"/>
          <w14:textFill>
            <w14:solidFill>
              <w14:schemeClr w14:val="tx1"/>
            </w14:solidFill>
          </w14:textFill>
        </w:rPr>
        <w:t xml:space="preserve">                                        </w:t>
      </w:r>
    </w:p>
    <w:p w14:paraId="15E6BD8C">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500266EB">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07333505">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5285A6A8">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6C574A74">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6BD032A8">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2D34543D">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4B906FB7">
      <w:pPr>
        <w:spacing w:line="360" w:lineRule="auto"/>
        <w:ind w:left="540"/>
        <w:contextualSpacing/>
        <w:jc w:val="righ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14:textFill>
            <w14:solidFill>
              <w14:schemeClr w14:val="tx1"/>
            </w14:solidFill>
          </w14:textFill>
        </w:rPr>
        <w:t xml:space="preserve">               </w:t>
      </w:r>
    </w:p>
    <w:p w14:paraId="7F1AAB39">
      <w:pPr>
        <w:spacing w:line="360" w:lineRule="auto"/>
        <w:ind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3D27B18D">
      <w:pPr>
        <w:spacing w:line="360" w:lineRule="auto"/>
        <w:contextualSpacing/>
        <w:jc w:val="center"/>
        <w:rPr>
          <w:rFonts w:hint="eastAsia" w:ascii="宋体" w:hAnsi="宋体" w:cs="仿宋_GB2312"/>
          <w:b/>
          <w:color w:val="000000" w:themeColor="text1"/>
          <w:sz w:val="24"/>
          <w:highlight w:val="none"/>
          <w14:textFill>
            <w14:solidFill>
              <w14:schemeClr w14:val="tx1"/>
            </w14:solidFill>
          </w14:textFill>
        </w:rPr>
      </w:pPr>
    </w:p>
    <w:p w14:paraId="36D35433">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64520A88">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注：自然人竞标的无需提供，联合体竞标的只需牵头人出具。</w:t>
      </w:r>
    </w:p>
    <w:p w14:paraId="3A6AF3B9">
      <w:pPr>
        <w:adjustRightInd w:val="0"/>
        <w:snapToGrid w:val="0"/>
        <w:spacing w:line="300" w:lineRule="auto"/>
        <w:jc w:val="left"/>
        <w:rPr>
          <w:rFonts w:hint="eastAsia" w:ascii="宋体" w:hAnsi="宋体"/>
          <w:b/>
          <w:color w:val="000000" w:themeColor="text1"/>
          <w:szCs w:val="21"/>
          <w:highlight w:val="none"/>
          <w14:textFill>
            <w14:solidFill>
              <w14:schemeClr w14:val="tx1"/>
            </w14:solidFill>
          </w14:textFill>
        </w:rPr>
      </w:pPr>
    </w:p>
    <w:p w14:paraId="3414E4C3">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p>
    <w:p w14:paraId="2098DD8A">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93" w:name="_Hlk65853643"/>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2377C2AA">
      <w:pPr>
        <w:spacing w:line="52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（非联合体竞标格式）</w:t>
      </w:r>
    </w:p>
    <w:p w14:paraId="4473AAD5">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246D7443">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61201BD">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4BD96981">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sym w:font="Wingdings 2" w:char="00A3"/>
      </w:r>
      <w:r>
        <w:rPr>
          <w:rFonts w:hint="eastAsia" w:ascii="宋体" w:hAnsi="宋体" w:cs="仿宋_GB2312"/>
          <w:color w:val="000000" w:themeColor="text1"/>
          <w:sz w:val="24"/>
          <w:highlight w:val="none"/>
          <w:u w:val="single"/>
          <w14:textFill>
            <w14:solidFill>
              <w14:schemeClr w14:val="tx1"/>
            </w14:solidFill>
          </w14:textFill>
        </w:rPr>
        <w:t>法定代表人/□负责人/□自然人本人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6EB15C64">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25326310">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90F24AC">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74FE9560">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65B57B3C">
      <w:pPr>
        <w:spacing w:line="360" w:lineRule="auto"/>
        <w:rPr>
          <w:rFonts w:hint="eastAsia" w:ascii="宋体" w:hAnsi="宋体" w:cs="仿宋_GB2312"/>
          <w:color w:val="000000" w:themeColor="text1"/>
          <w:sz w:val="24"/>
          <w:highlight w:val="none"/>
          <w14:textFill>
            <w14:solidFill>
              <w14:schemeClr w14:val="tx1"/>
            </w14:solidFill>
          </w14:textFill>
        </w:rPr>
      </w:pPr>
    </w:p>
    <w:p w14:paraId="7E459445">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4E561559">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577DE1F4">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35239B1">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                      </w:t>
      </w:r>
    </w:p>
    <w:p w14:paraId="547BEBEE">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3116DEE1">
      <w:pPr>
        <w:spacing w:line="360" w:lineRule="auto"/>
        <w:rPr>
          <w:rFonts w:hint="eastAsia" w:ascii="宋体" w:hAnsi="宋体" w:cs="仿宋_GB2312"/>
          <w:color w:val="000000" w:themeColor="text1"/>
          <w:sz w:val="24"/>
          <w:highlight w:val="none"/>
          <w14:textFill>
            <w14:solidFill>
              <w14:schemeClr w14:val="tx1"/>
            </w14:solidFill>
          </w14:textFill>
        </w:rPr>
      </w:pPr>
    </w:p>
    <w:p w14:paraId="55713A46">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73D575C7">
      <w:pPr>
        <w:spacing w:line="360" w:lineRule="auto"/>
        <w:ind w:firstLine="480" w:firstLineChars="200"/>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bookmarkStart w:id="94" w:name="_Hlk65853109"/>
      <w:bookmarkStart w:id="95" w:name="_Hlk65853542"/>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bookmarkEnd w:id="94"/>
    </w:p>
    <w:bookmarkEnd w:id="95"/>
    <w:p w14:paraId="5F145824">
      <w:pPr>
        <w:spacing w:line="360" w:lineRule="auto"/>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2A8638DE">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7A4063AD">
      <w:pPr>
        <w:spacing w:line="50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（联合体竞标格式）</w:t>
      </w:r>
    </w:p>
    <w:p w14:paraId="133CEB8C">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23250B8A">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5F387104">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3549606">
      <w:pPr>
        <w:spacing w:line="360" w:lineRule="auto"/>
        <w:ind w:firstLine="480" w:firstLineChars="2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本授权委托书声明：根据</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（牵头人名称）与</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（联合体其他成员名称）签订的《联合体竞标协议书》的内容，</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（牵头人名称）的法定代表人</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（姓名）现授权</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（姓名）为联合委托代理人，并代表我方全权办理针对上述项目的所有采购程序和环节的具体事务和签署相关文件。</w:t>
      </w:r>
    </w:p>
    <w:p w14:paraId="2F0C296A">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我方对委托代理人的</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009D9B0F">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9522FDE">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210331F1">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附：法定代表人身份证明书及委托代理人有效身份证正反面复印件</w:t>
      </w:r>
    </w:p>
    <w:p w14:paraId="129FA4C6">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牵头人法定代表人（签字或者盖章或者电子签名）：</w:t>
      </w:r>
    </w:p>
    <w:p w14:paraId="1180F894">
      <w:pPr>
        <w:spacing w:line="360" w:lineRule="auto"/>
        <w:ind w:firstLine="3120" w:firstLineChars="13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牵头人（电子签章）：</w:t>
      </w:r>
    </w:p>
    <w:p w14:paraId="1BCD0588">
      <w:pPr>
        <w:spacing w:line="360" w:lineRule="auto"/>
        <w:ind w:firstLine="3840" w:firstLineChars="1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359FBFD">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4E24DA9F">
      <w:pPr>
        <w:spacing w:line="360" w:lineRule="auto"/>
        <w:ind w:firstLine="3120" w:firstLineChars="13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被授权人（签字或者电子签名）：</w:t>
      </w:r>
    </w:p>
    <w:p w14:paraId="76E3EB10">
      <w:pPr>
        <w:spacing w:line="360" w:lineRule="auto"/>
        <w:ind w:firstLine="3840" w:firstLineChars="1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0BDB4D5">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28CF1823">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2BDDB881">
      <w:pPr>
        <w:spacing w:line="360" w:lineRule="auto"/>
        <w:ind w:firstLine="480" w:firstLineChars="200"/>
        <w:jc w:val="left"/>
        <w:rPr>
          <w:rFonts w:hint="eastAsia" w:ascii="宋体" w:hAnsi="宋体" w:cs="仿宋_GB2312"/>
          <w:color w:val="000000" w:themeColor="text1"/>
          <w:spacing w:val="-1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p>
    <w:bookmarkEnd w:id="93"/>
    <w:p w14:paraId="73FBF2C5">
      <w:pPr>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br w:type="page"/>
      </w:r>
    </w:p>
    <w:p w14:paraId="239D5B77">
      <w:pPr>
        <w:spacing w:line="500" w:lineRule="exact"/>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商务要求偏离表格式</w:t>
      </w:r>
    </w:p>
    <w:p w14:paraId="66CAAD49">
      <w:pPr>
        <w:spacing w:line="360" w:lineRule="auto"/>
        <w:contextualSpacing/>
        <w:jc w:val="left"/>
        <w:rPr>
          <w:rFonts w:hint="eastAsia" w:ascii="宋体" w:hAnsi="宋体"/>
          <w:color w:val="000000" w:themeColor="text1"/>
          <w:sz w:val="24"/>
          <w:highlight w:val="none"/>
          <w14:textFill>
            <w14:solidFill>
              <w14:schemeClr w14:val="tx1"/>
            </w14:solidFill>
          </w14:textFill>
        </w:rPr>
      </w:pPr>
    </w:p>
    <w:p w14:paraId="0866A72F">
      <w:pPr>
        <w:pStyle w:val="18"/>
        <w:spacing w:line="360" w:lineRule="auto"/>
        <w:contextualSpacing/>
        <w:rPr>
          <w:rFonts w:hint="eastAsia" w:hAnsi="宋体" w:cs="仿宋_GB2312"/>
          <w:color w:val="000000" w:themeColor="text1"/>
          <w:sz w:val="24"/>
          <w:szCs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所竞分标：</w:t>
      </w:r>
      <w:r>
        <w:rPr>
          <w:rFonts w:hint="eastAsia" w:hAnsi="宋体" w:cs="仿宋_GB2312"/>
          <w:color w:val="000000" w:themeColor="text1"/>
          <w:sz w:val="24"/>
          <w:szCs w:val="24"/>
          <w:highlight w:val="none"/>
          <w:u w:val="single"/>
          <w14:textFill>
            <w14:solidFill>
              <w14:schemeClr w14:val="tx1"/>
            </w14:solidFill>
          </w14:textFill>
        </w:rPr>
        <w:t xml:space="preserve">              </w:t>
      </w:r>
    </w:p>
    <w:p w14:paraId="65286B7F">
      <w:pPr>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p>
    <w:tbl>
      <w:tblPr>
        <w:tblStyle w:val="31"/>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5"/>
        <w:gridCol w:w="2905"/>
        <w:gridCol w:w="3026"/>
        <w:gridCol w:w="2112"/>
      </w:tblGrid>
      <w:tr w14:paraId="16820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265" w:type="dxa"/>
            <w:tcBorders>
              <w:top w:val="single" w:color="auto" w:sz="4" w:space="0"/>
              <w:left w:val="single" w:color="auto" w:sz="4" w:space="0"/>
              <w:bottom w:val="single" w:color="auto" w:sz="4" w:space="0"/>
              <w:right w:val="single" w:color="auto" w:sz="4" w:space="0"/>
            </w:tcBorders>
            <w:vAlign w:val="center"/>
          </w:tcPr>
          <w:p w14:paraId="5AB0D488">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序号</w:t>
            </w:r>
          </w:p>
        </w:tc>
        <w:tc>
          <w:tcPr>
            <w:tcW w:w="2905" w:type="dxa"/>
            <w:tcBorders>
              <w:top w:val="single" w:color="auto" w:sz="4" w:space="0"/>
              <w:left w:val="single" w:color="auto" w:sz="4" w:space="0"/>
              <w:bottom w:val="single" w:color="auto" w:sz="4" w:space="0"/>
              <w:right w:val="single" w:color="auto" w:sz="4" w:space="0"/>
            </w:tcBorders>
            <w:vAlign w:val="center"/>
          </w:tcPr>
          <w:p w14:paraId="4CD646BD">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磋商文件商务要求</w:t>
            </w:r>
          </w:p>
        </w:tc>
        <w:tc>
          <w:tcPr>
            <w:tcW w:w="3026" w:type="dxa"/>
            <w:tcBorders>
              <w:top w:val="single" w:color="auto" w:sz="4" w:space="0"/>
              <w:left w:val="single" w:color="auto" w:sz="4" w:space="0"/>
              <w:bottom w:val="single" w:color="auto" w:sz="4" w:space="0"/>
              <w:right w:val="single" w:color="auto" w:sz="4" w:space="0"/>
            </w:tcBorders>
            <w:vAlign w:val="center"/>
          </w:tcPr>
          <w:p w14:paraId="536498A0">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5401567">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28567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265" w:type="dxa"/>
            <w:tcBorders>
              <w:top w:val="single" w:color="auto" w:sz="4" w:space="0"/>
              <w:left w:val="single" w:color="auto" w:sz="4" w:space="0"/>
              <w:bottom w:val="single" w:color="auto" w:sz="4" w:space="0"/>
              <w:right w:val="single" w:color="auto" w:sz="4" w:space="0"/>
            </w:tcBorders>
            <w:vAlign w:val="center"/>
          </w:tcPr>
          <w:p w14:paraId="14E46B09">
            <w:pPr>
              <w:jc w:val="center"/>
              <w:rPr>
                <w:rFonts w:hint="eastAsia" w:ascii="宋体" w:hAnsi="宋体"/>
                <w:color w:val="000000" w:themeColor="text1"/>
                <w:sz w:val="24"/>
                <w:highlight w:val="none"/>
                <w14:textFill>
                  <w14:solidFill>
                    <w14:schemeClr w14:val="tx1"/>
                  </w14:solidFill>
                </w14:textFill>
              </w:rPr>
            </w:pPr>
          </w:p>
        </w:tc>
        <w:tc>
          <w:tcPr>
            <w:tcW w:w="2905" w:type="dxa"/>
            <w:tcBorders>
              <w:top w:val="single" w:color="auto" w:sz="4" w:space="0"/>
              <w:left w:val="single" w:color="auto" w:sz="4" w:space="0"/>
              <w:bottom w:val="single" w:color="auto" w:sz="4" w:space="0"/>
              <w:right w:val="single" w:color="auto" w:sz="4" w:space="0"/>
            </w:tcBorders>
            <w:vAlign w:val="center"/>
          </w:tcPr>
          <w:p w14:paraId="19EAE8FA">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3026" w:type="dxa"/>
            <w:tcBorders>
              <w:top w:val="single" w:color="auto" w:sz="4" w:space="0"/>
              <w:left w:val="single" w:color="auto" w:sz="4" w:space="0"/>
              <w:bottom w:val="single" w:color="auto" w:sz="4" w:space="0"/>
              <w:right w:val="single" w:color="auto" w:sz="4" w:space="0"/>
            </w:tcBorders>
            <w:vAlign w:val="center"/>
          </w:tcPr>
          <w:p w14:paraId="63F874D7">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4DA75AE2">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02ABF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65" w:type="dxa"/>
            <w:tcBorders>
              <w:top w:val="single" w:color="auto" w:sz="4" w:space="0"/>
              <w:left w:val="single" w:color="auto" w:sz="4" w:space="0"/>
              <w:bottom w:val="single" w:color="auto" w:sz="4" w:space="0"/>
              <w:right w:val="single" w:color="auto" w:sz="4" w:space="0"/>
            </w:tcBorders>
            <w:vAlign w:val="center"/>
          </w:tcPr>
          <w:p w14:paraId="18197DFB">
            <w:pPr>
              <w:jc w:val="center"/>
              <w:rPr>
                <w:rFonts w:hint="eastAsia" w:ascii="宋体" w:hAnsi="宋体"/>
                <w:color w:val="000000" w:themeColor="text1"/>
                <w:sz w:val="24"/>
                <w:highlight w:val="none"/>
                <w14:textFill>
                  <w14:solidFill>
                    <w14:schemeClr w14:val="tx1"/>
                  </w14:solidFill>
                </w14:textFill>
              </w:rPr>
            </w:pPr>
          </w:p>
        </w:tc>
        <w:tc>
          <w:tcPr>
            <w:tcW w:w="2905" w:type="dxa"/>
            <w:tcBorders>
              <w:top w:val="single" w:color="auto" w:sz="4" w:space="0"/>
              <w:left w:val="single" w:color="auto" w:sz="4" w:space="0"/>
              <w:bottom w:val="single" w:color="auto" w:sz="4" w:space="0"/>
              <w:right w:val="single" w:color="auto" w:sz="4" w:space="0"/>
            </w:tcBorders>
            <w:vAlign w:val="center"/>
          </w:tcPr>
          <w:p w14:paraId="2502CD4B">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3026" w:type="dxa"/>
            <w:tcBorders>
              <w:top w:val="single" w:color="auto" w:sz="4" w:space="0"/>
              <w:left w:val="single" w:color="auto" w:sz="4" w:space="0"/>
              <w:bottom w:val="single" w:color="auto" w:sz="4" w:space="0"/>
              <w:right w:val="single" w:color="auto" w:sz="4" w:space="0"/>
            </w:tcBorders>
            <w:vAlign w:val="center"/>
          </w:tcPr>
          <w:p w14:paraId="778A782E">
            <w:pPr>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163176EC">
            <w:pPr>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r>
      <w:tr w14:paraId="7A138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1265" w:type="dxa"/>
            <w:tcBorders>
              <w:top w:val="single" w:color="auto" w:sz="4" w:space="0"/>
              <w:left w:val="single" w:color="auto" w:sz="4" w:space="0"/>
              <w:bottom w:val="single" w:color="auto" w:sz="4" w:space="0"/>
              <w:right w:val="single" w:color="auto" w:sz="4" w:space="0"/>
            </w:tcBorders>
            <w:vAlign w:val="center"/>
          </w:tcPr>
          <w:p w14:paraId="1A802B38">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905" w:type="dxa"/>
            <w:tcBorders>
              <w:top w:val="single" w:color="auto" w:sz="4" w:space="0"/>
              <w:left w:val="single" w:color="auto" w:sz="4" w:space="0"/>
              <w:bottom w:val="single" w:color="auto" w:sz="4" w:space="0"/>
              <w:right w:val="single" w:color="auto" w:sz="4" w:space="0"/>
            </w:tcBorders>
            <w:vAlign w:val="center"/>
          </w:tcPr>
          <w:p w14:paraId="4206D5D8">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3026" w:type="dxa"/>
            <w:tcBorders>
              <w:top w:val="single" w:color="auto" w:sz="4" w:space="0"/>
              <w:left w:val="single" w:color="auto" w:sz="4" w:space="0"/>
              <w:bottom w:val="single" w:color="auto" w:sz="4" w:space="0"/>
              <w:right w:val="single" w:color="auto" w:sz="4" w:space="0"/>
            </w:tcBorders>
            <w:vAlign w:val="center"/>
          </w:tcPr>
          <w:p w14:paraId="1B46896D">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7C12D8C9">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bl>
    <w:p w14:paraId="5B3E873B">
      <w:pPr>
        <w:pStyle w:val="12"/>
        <w:spacing w:after="0" w:line="360"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08D6C6EB">
      <w:pPr>
        <w:pStyle w:val="12"/>
        <w:spacing w:after="0" w:line="360"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说明：应对照磋商文件“第三章 采购需求”中的商务要求逐条作出明确响应，并作出偏离说明。</w:t>
      </w:r>
    </w:p>
    <w:p w14:paraId="3299C8BD">
      <w:pPr>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50B6CA4F">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0F7C15C3">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265BA43F">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24B8C687">
      <w:pPr>
        <w:spacing w:line="360" w:lineRule="auto"/>
        <w:ind w:right="-817" w:rightChars="-389" w:firstLine="4080" w:firstLineChars="1700"/>
        <w:contextualSpacing/>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FA4E103">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5359243A">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1DCFB3BE">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42F3E5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378546B">
      <w:pPr>
        <w:adjustRightInd w:val="0"/>
        <w:snapToGrid w:val="0"/>
        <w:spacing w:line="520" w:lineRule="exact"/>
        <w:rPr>
          <w:rFonts w:hint="eastAsia" w:ascii="宋体" w:hAnsi="宋体"/>
          <w:color w:val="000000" w:themeColor="text1"/>
          <w:szCs w:val="21"/>
          <w:highlight w:val="none"/>
          <w:u w:val="single"/>
          <w14:textFill>
            <w14:solidFill>
              <w14:schemeClr w14:val="tx1"/>
            </w14:solidFill>
          </w14:textFill>
        </w:rPr>
      </w:pPr>
    </w:p>
    <w:p w14:paraId="1A4B7686">
      <w:pPr>
        <w:adjustRightInd w:val="0"/>
        <w:snapToGrid w:val="0"/>
        <w:spacing w:line="300"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技术要求偏离表</w:t>
      </w:r>
    </w:p>
    <w:p w14:paraId="5C0EAA80">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9AFD6B4">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29CC87F1">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2687E625">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14:paraId="1D7189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694D8C1">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96" w:name="_Toc373333689"/>
            <w:bookmarkStart w:id="97" w:name="_Toc254970729"/>
            <w:bookmarkStart w:id="98" w:name="_Toc383699906"/>
            <w:bookmarkStart w:id="99" w:name="_Toc173066401"/>
            <w:bookmarkStart w:id="100" w:name="_Toc173211900"/>
            <w:bookmarkStart w:id="101" w:name="_Toc295404981"/>
            <w:bookmarkStart w:id="102" w:name="_Toc301781611"/>
            <w:bookmarkStart w:id="103" w:name="_Toc297193185"/>
            <w:bookmarkStart w:id="104" w:name="_Toc254970588"/>
            <w:r>
              <w:rPr>
                <w:rFonts w:hint="eastAsia" w:ascii="宋体" w:hAnsi="宋体" w:eastAsia="宋体" w:cs="仿宋_GB2312"/>
                <w:color w:val="000000" w:themeColor="text1"/>
                <w:kern w:val="2"/>
                <w:sz w:val="24"/>
                <w:szCs w:val="24"/>
                <w:highlight w:val="none"/>
                <w14:textFill>
                  <w14:solidFill>
                    <w14:schemeClr w14:val="tx1"/>
                  </w14:solidFill>
                </w14:textFill>
              </w:rPr>
              <w:t>序号</w:t>
            </w:r>
            <w:bookmarkEnd w:id="96"/>
            <w:bookmarkEnd w:id="97"/>
            <w:bookmarkEnd w:id="98"/>
            <w:bookmarkEnd w:id="99"/>
            <w:bookmarkEnd w:id="100"/>
            <w:bookmarkEnd w:id="101"/>
            <w:bookmarkEnd w:id="102"/>
            <w:bookmarkEnd w:id="103"/>
            <w:bookmarkEnd w:id="104"/>
          </w:p>
        </w:tc>
        <w:tc>
          <w:tcPr>
            <w:tcW w:w="503" w:type="pct"/>
            <w:tcBorders>
              <w:right w:val="single" w:color="auto" w:sz="4" w:space="0"/>
            </w:tcBorders>
            <w:vAlign w:val="center"/>
          </w:tcPr>
          <w:p w14:paraId="574C509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名称</w:t>
            </w:r>
          </w:p>
        </w:tc>
        <w:tc>
          <w:tcPr>
            <w:tcW w:w="1670" w:type="pct"/>
            <w:tcBorders>
              <w:left w:val="single" w:color="auto" w:sz="4" w:space="0"/>
            </w:tcBorders>
            <w:vAlign w:val="center"/>
          </w:tcPr>
          <w:p w14:paraId="25BD4B1D">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磋商文件技术要求</w:t>
            </w:r>
          </w:p>
        </w:tc>
        <w:tc>
          <w:tcPr>
            <w:tcW w:w="1503" w:type="pct"/>
            <w:vAlign w:val="center"/>
          </w:tcPr>
          <w:p w14:paraId="69F7543A">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05" w:name="_Toc373333691"/>
            <w:bookmarkStart w:id="106" w:name="_Toc254970590"/>
            <w:bookmarkStart w:id="107" w:name="_Toc295404983"/>
            <w:bookmarkStart w:id="108" w:name="_Toc383699908"/>
            <w:bookmarkStart w:id="109" w:name="_Toc173066403"/>
            <w:bookmarkStart w:id="110" w:name="_Toc297193187"/>
            <w:bookmarkStart w:id="111" w:name="_Toc173211902"/>
            <w:bookmarkStart w:id="112" w:name="_Toc301781613"/>
            <w:bookmarkStart w:id="113" w:name="_Toc254970731"/>
            <w:r>
              <w:rPr>
                <w:rFonts w:hint="eastAsia" w:ascii="宋体" w:hAnsi="宋体" w:eastAsia="宋体" w:cs="仿宋_GB2312"/>
                <w:color w:val="000000" w:themeColor="text1"/>
                <w:kern w:val="2"/>
                <w:sz w:val="24"/>
                <w:szCs w:val="24"/>
                <w:highlight w:val="none"/>
                <w14:textFill>
                  <w14:solidFill>
                    <w14:schemeClr w14:val="tx1"/>
                  </w14:solidFill>
                </w14:textFill>
              </w:rPr>
              <w:t>竞标响应</w:t>
            </w:r>
            <w:bookmarkEnd w:id="105"/>
            <w:bookmarkEnd w:id="106"/>
            <w:bookmarkEnd w:id="107"/>
            <w:bookmarkEnd w:id="108"/>
            <w:bookmarkEnd w:id="109"/>
            <w:bookmarkEnd w:id="110"/>
            <w:bookmarkEnd w:id="111"/>
            <w:bookmarkEnd w:id="112"/>
            <w:bookmarkEnd w:id="113"/>
          </w:p>
        </w:tc>
        <w:tc>
          <w:tcPr>
            <w:tcW w:w="820" w:type="pct"/>
            <w:vAlign w:val="center"/>
          </w:tcPr>
          <w:p w14:paraId="506713DB">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14" w:name="_Toc173211903"/>
            <w:bookmarkStart w:id="115" w:name="_Toc254970732"/>
            <w:bookmarkStart w:id="116" w:name="_Toc254970591"/>
            <w:bookmarkStart w:id="117" w:name="_Toc295404984"/>
            <w:bookmarkStart w:id="118" w:name="_Toc301781614"/>
            <w:bookmarkStart w:id="119" w:name="_Toc173066404"/>
            <w:bookmarkStart w:id="120" w:name="_Toc383699909"/>
            <w:bookmarkStart w:id="121" w:name="_Toc373333692"/>
            <w:bookmarkStart w:id="122" w:name="_Toc297193188"/>
            <w:r>
              <w:rPr>
                <w:rFonts w:hint="eastAsia" w:ascii="宋体" w:hAnsi="宋体" w:eastAsia="宋体" w:cs="仿宋_GB2312"/>
                <w:color w:val="000000" w:themeColor="text1"/>
                <w:kern w:val="2"/>
                <w:sz w:val="24"/>
                <w:szCs w:val="24"/>
                <w:highlight w:val="none"/>
                <w14:textFill>
                  <w14:solidFill>
                    <w14:schemeClr w14:val="tx1"/>
                  </w14:solidFill>
                </w14:textFill>
              </w:rPr>
              <w:t>偏离</w:t>
            </w:r>
            <w:bookmarkEnd w:id="114"/>
            <w:bookmarkEnd w:id="115"/>
            <w:bookmarkEnd w:id="116"/>
            <w:bookmarkEnd w:id="117"/>
            <w:bookmarkEnd w:id="118"/>
            <w:bookmarkEnd w:id="119"/>
            <w:bookmarkEnd w:id="120"/>
            <w:bookmarkEnd w:id="121"/>
            <w:bookmarkEnd w:id="122"/>
            <w:bookmarkStart w:id="123" w:name="_Toc173211904"/>
            <w:bookmarkStart w:id="124" w:name="_Toc297193189"/>
            <w:bookmarkStart w:id="125" w:name="_Toc301781615"/>
            <w:bookmarkStart w:id="126" w:name="_Toc295404985"/>
            <w:bookmarkStart w:id="127" w:name="_Toc173066405"/>
            <w:bookmarkStart w:id="128" w:name="_Toc254970733"/>
            <w:bookmarkStart w:id="129" w:name="_Toc383699910"/>
            <w:bookmarkStart w:id="130" w:name="_Toc254970592"/>
            <w:bookmarkStart w:id="131" w:name="_Toc373333693"/>
            <w:r>
              <w:rPr>
                <w:rFonts w:hint="eastAsia" w:ascii="宋体" w:hAnsi="宋体" w:eastAsia="宋体" w:cs="仿宋_GB2312"/>
                <w:color w:val="000000" w:themeColor="text1"/>
                <w:kern w:val="2"/>
                <w:sz w:val="24"/>
                <w:szCs w:val="24"/>
                <w:highlight w:val="none"/>
                <w14:textFill>
                  <w14:solidFill>
                    <w14:schemeClr w14:val="tx1"/>
                  </w14:solidFill>
                </w14:textFill>
              </w:rPr>
              <w:t>说明</w:t>
            </w:r>
            <w:bookmarkEnd w:id="123"/>
            <w:bookmarkEnd w:id="124"/>
            <w:bookmarkEnd w:id="125"/>
            <w:bookmarkEnd w:id="126"/>
            <w:bookmarkEnd w:id="127"/>
            <w:bookmarkEnd w:id="128"/>
            <w:bookmarkEnd w:id="129"/>
            <w:bookmarkEnd w:id="130"/>
            <w:bookmarkEnd w:id="131"/>
          </w:p>
        </w:tc>
      </w:tr>
      <w:tr w14:paraId="4DCF4C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7BF939A">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32" w:name="_Toc383699911"/>
            <w:bookmarkStart w:id="133" w:name="_Toc297193190"/>
            <w:bookmarkStart w:id="134" w:name="_Toc301781616"/>
            <w:bookmarkStart w:id="135" w:name="_Toc373333694"/>
            <w:bookmarkStart w:id="136" w:name="_Toc254970593"/>
            <w:bookmarkStart w:id="137" w:name="_Toc254970734"/>
            <w:bookmarkStart w:id="138" w:name="_Toc173066406"/>
            <w:bookmarkStart w:id="139" w:name="_Toc295404986"/>
            <w:bookmarkStart w:id="140" w:name="_Toc173211905"/>
            <w:r>
              <w:rPr>
                <w:rFonts w:hint="eastAsia" w:ascii="宋体" w:hAnsi="宋体" w:eastAsia="宋体" w:cs="仿宋_GB2312"/>
                <w:color w:val="000000" w:themeColor="text1"/>
                <w:kern w:val="2"/>
                <w:sz w:val="24"/>
                <w:szCs w:val="24"/>
                <w:highlight w:val="none"/>
                <w14:textFill>
                  <w14:solidFill>
                    <w14:schemeClr w14:val="tx1"/>
                  </w14:solidFill>
                </w14:textFill>
              </w:rPr>
              <w:t>1</w:t>
            </w:r>
            <w:bookmarkEnd w:id="132"/>
            <w:bookmarkEnd w:id="133"/>
            <w:bookmarkEnd w:id="134"/>
            <w:bookmarkEnd w:id="135"/>
            <w:bookmarkEnd w:id="136"/>
            <w:bookmarkEnd w:id="137"/>
            <w:bookmarkEnd w:id="138"/>
            <w:bookmarkEnd w:id="139"/>
            <w:bookmarkEnd w:id="140"/>
          </w:p>
        </w:tc>
        <w:tc>
          <w:tcPr>
            <w:tcW w:w="503" w:type="pct"/>
            <w:tcBorders>
              <w:right w:val="single" w:color="auto" w:sz="4" w:space="0"/>
            </w:tcBorders>
            <w:vAlign w:val="center"/>
          </w:tcPr>
          <w:p w14:paraId="7B8E3B88">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1A8EC047">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71731E9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686A3710">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289E76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4B04BD2">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41" w:name="_Toc173211906"/>
            <w:bookmarkStart w:id="142" w:name="_Toc295404987"/>
            <w:bookmarkStart w:id="143" w:name="_Toc301781617"/>
            <w:bookmarkStart w:id="144" w:name="_Toc373333695"/>
            <w:bookmarkStart w:id="145" w:name="_Toc297193191"/>
            <w:bookmarkStart w:id="146" w:name="_Toc254970735"/>
            <w:bookmarkStart w:id="147" w:name="_Toc173066407"/>
            <w:bookmarkStart w:id="148" w:name="_Toc254970594"/>
            <w:bookmarkStart w:id="149" w:name="_Toc383699912"/>
            <w:r>
              <w:rPr>
                <w:rFonts w:hint="eastAsia" w:ascii="宋体" w:hAnsi="宋体" w:eastAsia="宋体" w:cs="仿宋_GB2312"/>
                <w:color w:val="000000" w:themeColor="text1"/>
                <w:kern w:val="2"/>
                <w:sz w:val="24"/>
                <w:szCs w:val="24"/>
                <w:highlight w:val="none"/>
                <w14:textFill>
                  <w14:solidFill>
                    <w14:schemeClr w14:val="tx1"/>
                  </w14:solidFill>
                </w14:textFill>
              </w:rPr>
              <w:t>2</w:t>
            </w:r>
            <w:bookmarkEnd w:id="141"/>
            <w:bookmarkEnd w:id="142"/>
            <w:bookmarkEnd w:id="143"/>
            <w:bookmarkEnd w:id="144"/>
            <w:bookmarkEnd w:id="145"/>
            <w:bookmarkEnd w:id="146"/>
            <w:bookmarkEnd w:id="147"/>
            <w:bookmarkEnd w:id="148"/>
            <w:bookmarkEnd w:id="149"/>
          </w:p>
        </w:tc>
        <w:tc>
          <w:tcPr>
            <w:tcW w:w="503" w:type="pct"/>
            <w:tcBorders>
              <w:right w:val="single" w:color="auto" w:sz="4" w:space="0"/>
            </w:tcBorders>
            <w:vAlign w:val="center"/>
          </w:tcPr>
          <w:p w14:paraId="1A598332">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770AC8B6">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73C2ED1E">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180F939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3D8FF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24639B8">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50" w:name="_Toc295404988"/>
            <w:bookmarkStart w:id="151" w:name="_Toc301781618"/>
            <w:bookmarkStart w:id="152" w:name="_Toc173066408"/>
            <w:bookmarkStart w:id="153" w:name="_Toc383699913"/>
            <w:bookmarkStart w:id="154" w:name="_Toc254970595"/>
            <w:bookmarkStart w:id="155" w:name="_Toc297193192"/>
            <w:bookmarkStart w:id="156" w:name="_Toc254970736"/>
            <w:bookmarkStart w:id="157" w:name="_Toc173211907"/>
            <w:bookmarkStart w:id="158" w:name="_Toc373333696"/>
            <w:r>
              <w:rPr>
                <w:rFonts w:hint="eastAsia" w:ascii="宋体" w:hAnsi="宋体" w:eastAsia="宋体" w:cs="仿宋_GB2312"/>
                <w:color w:val="000000" w:themeColor="text1"/>
                <w:kern w:val="2"/>
                <w:sz w:val="24"/>
                <w:szCs w:val="24"/>
                <w:highlight w:val="none"/>
                <w14:textFill>
                  <w14:solidFill>
                    <w14:schemeClr w14:val="tx1"/>
                  </w14:solidFill>
                </w14:textFill>
              </w:rPr>
              <w:t>3</w:t>
            </w:r>
            <w:bookmarkEnd w:id="150"/>
            <w:bookmarkEnd w:id="151"/>
            <w:bookmarkEnd w:id="152"/>
            <w:bookmarkEnd w:id="153"/>
            <w:bookmarkEnd w:id="154"/>
            <w:bookmarkEnd w:id="155"/>
            <w:bookmarkEnd w:id="156"/>
            <w:bookmarkEnd w:id="157"/>
            <w:bookmarkEnd w:id="158"/>
          </w:p>
        </w:tc>
        <w:tc>
          <w:tcPr>
            <w:tcW w:w="503" w:type="pct"/>
            <w:tcBorders>
              <w:right w:val="single" w:color="auto" w:sz="4" w:space="0"/>
            </w:tcBorders>
            <w:vAlign w:val="center"/>
          </w:tcPr>
          <w:p w14:paraId="3B2121D5">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011BC7FE">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21D4060F">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5DF93C6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68A64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63C6A04">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59" w:name="_Toc295404989"/>
            <w:bookmarkStart w:id="160" w:name="_Toc373333697"/>
            <w:bookmarkStart w:id="161" w:name="_Toc297193193"/>
            <w:bookmarkStart w:id="162" w:name="_Toc254970737"/>
            <w:bookmarkStart w:id="163" w:name="_Toc173211908"/>
            <w:bookmarkStart w:id="164" w:name="_Toc301781619"/>
            <w:bookmarkStart w:id="165" w:name="_Toc383699914"/>
            <w:bookmarkStart w:id="166" w:name="_Toc173066409"/>
            <w:bookmarkStart w:id="167" w:name="_Toc254970596"/>
            <w:r>
              <w:rPr>
                <w:rFonts w:hint="eastAsia" w:ascii="宋体" w:hAnsi="宋体" w:eastAsia="宋体" w:cs="仿宋_GB2312"/>
                <w:color w:val="000000" w:themeColor="text1"/>
                <w:kern w:val="2"/>
                <w:sz w:val="24"/>
                <w:szCs w:val="24"/>
                <w:highlight w:val="none"/>
                <w14:textFill>
                  <w14:solidFill>
                    <w14:schemeClr w14:val="tx1"/>
                  </w14:solidFill>
                </w14:textFill>
              </w:rPr>
              <w:t>4</w:t>
            </w:r>
            <w:bookmarkEnd w:id="159"/>
            <w:bookmarkEnd w:id="160"/>
            <w:bookmarkEnd w:id="161"/>
            <w:bookmarkEnd w:id="162"/>
            <w:bookmarkEnd w:id="163"/>
            <w:bookmarkEnd w:id="164"/>
            <w:bookmarkEnd w:id="165"/>
            <w:bookmarkEnd w:id="166"/>
            <w:bookmarkEnd w:id="167"/>
          </w:p>
        </w:tc>
        <w:tc>
          <w:tcPr>
            <w:tcW w:w="503" w:type="pct"/>
            <w:tcBorders>
              <w:right w:val="single" w:color="auto" w:sz="4" w:space="0"/>
            </w:tcBorders>
            <w:vAlign w:val="center"/>
          </w:tcPr>
          <w:p w14:paraId="66BBF0CB">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531197AD">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64F4B252">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1A69D1E7">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7B103B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D83710D">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68" w:name="_Toc254970597"/>
            <w:bookmarkStart w:id="169" w:name="_Toc295404990"/>
            <w:bookmarkStart w:id="170" w:name="_Toc254970738"/>
            <w:bookmarkStart w:id="171" w:name="_Toc173066410"/>
            <w:bookmarkStart w:id="172" w:name="_Toc373333698"/>
            <w:bookmarkStart w:id="173" w:name="_Toc173211909"/>
            <w:bookmarkStart w:id="174" w:name="_Toc301781620"/>
            <w:bookmarkStart w:id="175" w:name="_Toc297193194"/>
            <w:bookmarkStart w:id="176" w:name="_Toc383699915"/>
            <w:r>
              <w:rPr>
                <w:rFonts w:hint="eastAsia" w:ascii="宋体" w:hAnsi="宋体" w:eastAsia="宋体" w:cs="仿宋_GB2312"/>
                <w:color w:val="000000" w:themeColor="text1"/>
                <w:kern w:val="2"/>
                <w:sz w:val="24"/>
                <w:szCs w:val="24"/>
                <w:highlight w:val="none"/>
                <w14:textFill>
                  <w14:solidFill>
                    <w14:schemeClr w14:val="tx1"/>
                  </w14:solidFill>
                </w14:textFill>
              </w:rPr>
              <w:t>5</w:t>
            </w:r>
            <w:bookmarkEnd w:id="168"/>
            <w:bookmarkEnd w:id="169"/>
            <w:bookmarkEnd w:id="170"/>
            <w:bookmarkEnd w:id="171"/>
            <w:bookmarkEnd w:id="172"/>
            <w:bookmarkEnd w:id="173"/>
            <w:bookmarkEnd w:id="174"/>
            <w:bookmarkEnd w:id="175"/>
            <w:bookmarkEnd w:id="176"/>
          </w:p>
        </w:tc>
        <w:tc>
          <w:tcPr>
            <w:tcW w:w="503" w:type="pct"/>
            <w:tcBorders>
              <w:right w:val="single" w:color="auto" w:sz="4" w:space="0"/>
            </w:tcBorders>
            <w:vAlign w:val="center"/>
          </w:tcPr>
          <w:p w14:paraId="4694E34D">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58E0EA2C">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478474B9">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3F7EB5C6">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r w14:paraId="1FC769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38BD1928">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bookmarkStart w:id="177" w:name="_Toc295404991"/>
            <w:bookmarkStart w:id="178" w:name="_Toc301781621"/>
            <w:bookmarkStart w:id="179" w:name="_Toc297193195"/>
            <w:bookmarkStart w:id="180" w:name="_Toc254970743"/>
            <w:bookmarkStart w:id="181" w:name="_Toc173211914"/>
            <w:bookmarkStart w:id="182" w:name="_Toc383699916"/>
            <w:bookmarkStart w:id="183" w:name="_Toc173066415"/>
            <w:bookmarkStart w:id="184" w:name="_Toc254970602"/>
            <w:bookmarkStart w:id="185" w:name="_Toc373333699"/>
            <w:r>
              <w:rPr>
                <w:rFonts w:hint="eastAsia" w:ascii="宋体" w:hAnsi="宋体" w:eastAsia="宋体" w:cs="仿宋_GB2312"/>
                <w:color w:val="000000" w:themeColor="text1"/>
                <w:kern w:val="2"/>
                <w:sz w:val="24"/>
                <w:szCs w:val="24"/>
                <w:highlight w:val="none"/>
                <w14:textFill>
                  <w14:solidFill>
                    <w14:schemeClr w14:val="tx1"/>
                  </w14:solidFill>
                </w14:textFill>
              </w:rPr>
              <w:t>…</w:t>
            </w:r>
            <w:bookmarkEnd w:id="177"/>
            <w:bookmarkEnd w:id="178"/>
            <w:bookmarkEnd w:id="179"/>
            <w:bookmarkEnd w:id="180"/>
            <w:bookmarkEnd w:id="181"/>
            <w:bookmarkEnd w:id="182"/>
            <w:bookmarkEnd w:id="183"/>
            <w:bookmarkEnd w:id="184"/>
            <w:bookmarkEnd w:id="185"/>
          </w:p>
        </w:tc>
        <w:tc>
          <w:tcPr>
            <w:tcW w:w="503" w:type="pct"/>
            <w:tcBorders>
              <w:right w:val="single" w:color="auto" w:sz="4" w:space="0"/>
            </w:tcBorders>
            <w:vAlign w:val="center"/>
          </w:tcPr>
          <w:p w14:paraId="497ADB63">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093F463A">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5B75C9B4">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c>
          <w:tcPr>
            <w:tcW w:w="820" w:type="pct"/>
            <w:tcBorders>
              <w:right w:val="single" w:color="auto" w:sz="4" w:space="0"/>
            </w:tcBorders>
            <w:vAlign w:val="center"/>
          </w:tcPr>
          <w:p w14:paraId="50C7E5CA">
            <w:pPr>
              <w:pStyle w:val="14"/>
              <w:spacing w:line="360" w:lineRule="auto"/>
              <w:ind w:firstLine="0" w:firstLineChars="0"/>
              <w:contextualSpacing/>
              <w:jc w:val="center"/>
              <w:rPr>
                <w:rFonts w:hint="eastAsia" w:ascii="宋体" w:hAnsi="宋体" w:eastAsia="宋体" w:cs="仿宋_GB2312"/>
                <w:color w:val="000000" w:themeColor="text1"/>
                <w:kern w:val="2"/>
                <w:sz w:val="24"/>
                <w:szCs w:val="24"/>
                <w:highlight w:val="none"/>
                <w14:textFill>
                  <w14:solidFill>
                    <w14:schemeClr w14:val="tx1"/>
                  </w14:solidFill>
                </w14:textFill>
              </w:rPr>
            </w:pPr>
          </w:p>
        </w:tc>
      </w:tr>
    </w:tbl>
    <w:p w14:paraId="402EC069">
      <w:pPr>
        <w:adjustRightInd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5C984174">
      <w:pPr>
        <w:pStyle w:val="14"/>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5813D9A7">
      <w:pPr>
        <w:pStyle w:val="14"/>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采购需求”中的技术要求逐条作出明确响应，并作出偏离说明。</w:t>
      </w:r>
    </w:p>
    <w:p w14:paraId="0C91C5B2">
      <w:pPr>
        <w:pStyle w:val="14"/>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4F59F1F7">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48A46254">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655D02EF">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3C468389">
      <w:pPr>
        <w:spacing w:line="360" w:lineRule="auto"/>
        <w:ind w:right="-817" w:rightChars="-389"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7830EA25">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项目实施人员一览表格式</w:t>
      </w:r>
    </w:p>
    <w:p w14:paraId="0793834F">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41211689">
      <w:pPr>
        <w:spacing w:line="360" w:lineRule="auto"/>
        <w:ind w:left="142"/>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2D6A5F63">
      <w:pPr>
        <w:pStyle w:val="18"/>
        <w:spacing w:line="360" w:lineRule="auto"/>
        <w:contextualSpacing/>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所竞分标：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3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54"/>
        <w:gridCol w:w="2289"/>
        <w:gridCol w:w="1911"/>
        <w:gridCol w:w="2285"/>
      </w:tblGrid>
      <w:tr w14:paraId="4FFC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4DA15BB">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954" w:type="dxa"/>
            <w:vAlign w:val="center"/>
          </w:tcPr>
          <w:p w14:paraId="1D808CB0">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2289" w:type="dxa"/>
            <w:vAlign w:val="center"/>
          </w:tcPr>
          <w:p w14:paraId="67A20909">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911" w:type="dxa"/>
            <w:vAlign w:val="center"/>
          </w:tcPr>
          <w:p w14:paraId="4E419AF3">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2285" w:type="dxa"/>
            <w:vAlign w:val="center"/>
          </w:tcPr>
          <w:p w14:paraId="45E23FB5">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13B2DE05">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r>
      <w:tr w14:paraId="5FD9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6C1D425">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954" w:type="dxa"/>
            <w:vAlign w:val="center"/>
          </w:tcPr>
          <w:p w14:paraId="24F43E6C">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9" w:type="dxa"/>
            <w:vAlign w:val="center"/>
          </w:tcPr>
          <w:p w14:paraId="490B8ACD">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911" w:type="dxa"/>
            <w:vAlign w:val="center"/>
          </w:tcPr>
          <w:p w14:paraId="5AD8C4F2">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5" w:type="dxa"/>
            <w:vAlign w:val="center"/>
          </w:tcPr>
          <w:p w14:paraId="49085606">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68D6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364CE2E">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954" w:type="dxa"/>
            <w:vAlign w:val="center"/>
          </w:tcPr>
          <w:p w14:paraId="6D4677ED">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9" w:type="dxa"/>
            <w:vAlign w:val="center"/>
          </w:tcPr>
          <w:p w14:paraId="4373A84C">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911" w:type="dxa"/>
            <w:vAlign w:val="center"/>
          </w:tcPr>
          <w:p w14:paraId="470C4659">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5" w:type="dxa"/>
            <w:vAlign w:val="center"/>
          </w:tcPr>
          <w:p w14:paraId="3CF39CE6">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2DB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9093148">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954" w:type="dxa"/>
            <w:vAlign w:val="center"/>
          </w:tcPr>
          <w:p w14:paraId="10B45F04">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9" w:type="dxa"/>
            <w:vAlign w:val="center"/>
          </w:tcPr>
          <w:p w14:paraId="72ADD758">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911" w:type="dxa"/>
            <w:vAlign w:val="center"/>
          </w:tcPr>
          <w:p w14:paraId="122B4255">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2285" w:type="dxa"/>
            <w:vAlign w:val="center"/>
          </w:tcPr>
          <w:p w14:paraId="209C77FE">
            <w:pPr>
              <w:spacing w:line="360" w:lineRule="auto"/>
              <w:contextualSpacing/>
              <w:jc w:val="center"/>
              <w:rPr>
                <w:rFonts w:hint="eastAsia" w:ascii="宋体" w:hAnsi="宋体"/>
                <w:color w:val="000000" w:themeColor="text1"/>
                <w:sz w:val="24"/>
                <w:szCs w:val="20"/>
                <w:highlight w:val="none"/>
                <w14:textFill>
                  <w14:solidFill>
                    <w14:schemeClr w14:val="tx1"/>
                  </w14:solidFill>
                </w14:textFill>
              </w:rPr>
            </w:pPr>
          </w:p>
        </w:tc>
      </w:tr>
    </w:tbl>
    <w:p w14:paraId="721D856C">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71946C47">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在填写时，如本表格不适合供应商的实际情况，可根据本表格式自行制表填写。</w:t>
      </w:r>
    </w:p>
    <w:p w14:paraId="660ADD4C">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供应商应当附本表所列证书的复印件并加盖供应商电子签章。</w:t>
      </w:r>
    </w:p>
    <w:p w14:paraId="49D8900A">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141AAAE6">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5E1AF62C">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4B62CDCD">
      <w:pPr>
        <w:snapToGrid w:val="0"/>
        <w:spacing w:before="50" w:after="50" w:line="360" w:lineRule="auto"/>
        <w:ind w:right="-817" w:rightChars="-389" w:firstLine="5461" w:firstLineChars="1700"/>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287E06D1">
      <w:pPr>
        <w:adjustRightInd w:val="0"/>
        <w:snapToGrid w:val="0"/>
        <w:spacing w:line="300" w:lineRule="auto"/>
        <w:jc w:val="center"/>
        <w:rPr>
          <w:rFonts w:hint="eastAsia" w:ascii="宋体" w:hAnsi="宋体" w:cs="宋体"/>
          <w:bCs/>
          <w:color w:val="000000" w:themeColor="text1"/>
          <w:sz w:val="44"/>
          <w:szCs w:val="4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cs="宋体"/>
          <w:b/>
          <w:color w:val="000000" w:themeColor="text1"/>
          <w:sz w:val="44"/>
          <w:szCs w:val="44"/>
          <w:highlight w:val="none"/>
          <w14:textFill>
            <w14:solidFill>
              <w14:schemeClr w14:val="tx1"/>
            </w14:solidFill>
          </w14:textFill>
        </w:rPr>
        <w:t>类 似 业 绩（参考）</w:t>
      </w:r>
    </w:p>
    <w:p w14:paraId="05D8557F">
      <w:pPr>
        <w:snapToGrid w:val="0"/>
        <w:spacing w:before="120" w:beforeLines="50" w:after="50"/>
        <w:jc w:val="center"/>
        <w:rPr>
          <w:rFonts w:hint="eastAsia" w:ascii="宋体" w:hAnsi="宋体" w:cs="宋体"/>
          <w:b/>
          <w:color w:val="000000" w:themeColor="text1"/>
          <w:sz w:val="24"/>
          <w:highlight w:val="none"/>
          <w14:textFill>
            <w14:solidFill>
              <w14:schemeClr w14:val="tx1"/>
            </w14:solidFill>
          </w14:textFill>
        </w:rPr>
      </w:pPr>
    </w:p>
    <w:tbl>
      <w:tblPr>
        <w:tblStyle w:val="3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3"/>
        <w:gridCol w:w="1811"/>
        <w:gridCol w:w="1829"/>
        <w:gridCol w:w="1794"/>
        <w:gridCol w:w="1779"/>
      </w:tblGrid>
      <w:tr w14:paraId="27E86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vAlign w:val="center"/>
          </w:tcPr>
          <w:p w14:paraId="5754AD3F">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w:t>
            </w:r>
          </w:p>
          <w:p w14:paraId="668727FF">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1012" w:type="pct"/>
            <w:vMerge w:val="restart"/>
            <w:tcBorders>
              <w:top w:val="single" w:color="auto" w:sz="4" w:space="0"/>
              <w:left w:val="single" w:color="auto" w:sz="4" w:space="0"/>
              <w:bottom w:val="single" w:color="auto" w:sz="4" w:space="0"/>
              <w:right w:val="single" w:color="auto" w:sz="4" w:space="0"/>
            </w:tcBorders>
            <w:vAlign w:val="center"/>
          </w:tcPr>
          <w:p w14:paraId="6A1640DE">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022" w:type="pct"/>
            <w:vMerge w:val="restart"/>
            <w:tcBorders>
              <w:top w:val="single" w:color="auto" w:sz="4" w:space="0"/>
              <w:left w:val="single" w:color="auto" w:sz="4" w:space="0"/>
              <w:bottom w:val="single" w:color="auto" w:sz="4" w:space="0"/>
              <w:right w:val="single" w:color="auto" w:sz="4" w:space="0"/>
            </w:tcBorders>
            <w:vAlign w:val="center"/>
          </w:tcPr>
          <w:p w14:paraId="72C37FAE">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1002" w:type="pct"/>
            <w:tcBorders>
              <w:top w:val="single" w:color="auto" w:sz="4" w:space="0"/>
              <w:left w:val="single" w:color="auto" w:sz="4" w:space="0"/>
              <w:bottom w:val="single" w:color="auto" w:sz="4" w:space="0"/>
              <w:right w:val="single" w:color="auto" w:sz="4" w:space="0"/>
            </w:tcBorders>
            <w:vAlign w:val="center"/>
          </w:tcPr>
          <w:p w14:paraId="510619CA">
            <w:pPr>
              <w:widowControl/>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附件页码</w:t>
            </w:r>
          </w:p>
        </w:tc>
        <w:tc>
          <w:tcPr>
            <w:tcW w:w="994" w:type="pct"/>
            <w:vMerge w:val="restart"/>
            <w:tcBorders>
              <w:top w:val="single" w:color="auto" w:sz="4" w:space="0"/>
              <w:left w:val="single" w:color="auto" w:sz="4" w:space="0"/>
              <w:right w:val="single" w:color="auto" w:sz="4" w:space="0"/>
            </w:tcBorders>
            <w:vAlign w:val="center"/>
          </w:tcPr>
          <w:p w14:paraId="721843A8">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采购单位联系人及联系电话</w:t>
            </w:r>
          </w:p>
        </w:tc>
      </w:tr>
      <w:tr w14:paraId="52273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93D81B">
            <w:pPr>
              <w:widowControl/>
              <w:jc w:val="left"/>
              <w:rPr>
                <w:rFonts w:hint="eastAsia" w:ascii="宋体" w:hAnsi="宋体" w:cs="宋体"/>
                <w:color w:val="000000" w:themeColor="text1"/>
                <w:szCs w:val="2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D6527B">
            <w:pPr>
              <w:widowControl/>
              <w:jc w:val="left"/>
              <w:rPr>
                <w:rFonts w:hint="eastAsia" w:ascii="宋体" w:hAnsi="宋体" w:cs="宋体"/>
                <w:color w:val="000000" w:themeColor="text1"/>
                <w:szCs w:val="21"/>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272E3F">
            <w:pPr>
              <w:widowControl/>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vAlign w:val="center"/>
          </w:tcPr>
          <w:p w14:paraId="7E26007F">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w:t>
            </w:r>
          </w:p>
        </w:tc>
        <w:tc>
          <w:tcPr>
            <w:tcW w:w="994" w:type="pct"/>
            <w:vMerge w:val="continue"/>
            <w:tcBorders>
              <w:left w:val="single" w:color="auto" w:sz="4" w:space="0"/>
              <w:bottom w:val="single" w:color="auto" w:sz="4" w:space="0"/>
              <w:right w:val="single" w:color="auto" w:sz="4" w:space="0"/>
            </w:tcBorders>
            <w:vAlign w:val="center"/>
          </w:tcPr>
          <w:p w14:paraId="12EE11A2">
            <w:pPr>
              <w:widowControl/>
              <w:spacing w:line="360" w:lineRule="exact"/>
              <w:jc w:val="left"/>
              <w:rPr>
                <w:rFonts w:hint="eastAsia" w:ascii="宋体" w:hAnsi="宋体" w:cs="宋体"/>
                <w:color w:val="000000" w:themeColor="text1"/>
                <w:szCs w:val="21"/>
                <w:highlight w:val="none"/>
                <w14:textFill>
                  <w14:solidFill>
                    <w14:schemeClr w14:val="tx1"/>
                  </w14:solidFill>
                </w14:textFill>
              </w:rPr>
            </w:pPr>
          </w:p>
        </w:tc>
      </w:tr>
      <w:tr w14:paraId="4D391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tcPr>
          <w:p w14:paraId="44E87E7F">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2649A056">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7198C0AE">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0C24D152">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7B7EDEDF">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tc>
      </w:tr>
      <w:tr w14:paraId="2B223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tcPr>
          <w:p w14:paraId="225BD109">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376F0FDA">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3ABFDFE8">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DFDAC95">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37D2C026">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r w14:paraId="69E05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tcPr>
          <w:p w14:paraId="5B2D6819">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77FF735A">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1DF92F98">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BA3A345">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4FBB9217">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r w14:paraId="5F031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5EA80A37">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6F9CB911">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6A74C040">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1C0059DA">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5483CAAC">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r w14:paraId="2F8C1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14A7975B">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12" w:type="pct"/>
            <w:tcBorders>
              <w:top w:val="single" w:color="auto" w:sz="4" w:space="0"/>
              <w:left w:val="single" w:color="auto" w:sz="4" w:space="0"/>
              <w:bottom w:val="single" w:color="auto" w:sz="4" w:space="0"/>
              <w:right w:val="single" w:color="auto" w:sz="4" w:space="0"/>
            </w:tcBorders>
          </w:tcPr>
          <w:p w14:paraId="7C664C35">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22" w:type="pct"/>
            <w:tcBorders>
              <w:top w:val="single" w:color="auto" w:sz="4" w:space="0"/>
              <w:left w:val="single" w:color="auto" w:sz="4" w:space="0"/>
              <w:bottom w:val="single" w:color="auto" w:sz="4" w:space="0"/>
              <w:right w:val="single" w:color="auto" w:sz="4" w:space="0"/>
            </w:tcBorders>
          </w:tcPr>
          <w:p w14:paraId="7B867866">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0C5D7AA">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tcPr>
          <w:p w14:paraId="70EF8346">
            <w:pPr>
              <w:snapToGrid w:val="0"/>
              <w:spacing w:before="50" w:after="120" w:afterLines="50" w:line="360" w:lineRule="exact"/>
              <w:jc w:val="left"/>
              <w:rPr>
                <w:rFonts w:hint="eastAsia" w:ascii="宋体" w:hAnsi="宋体" w:cs="宋体"/>
                <w:color w:val="000000" w:themeColor="text1"/>
                <w:szCs w:val="21"/>
                <w:highlight w:val="none"/>
                <w14:textFill>
                  <w14:solidFill>
                    <w14:schemeClr w14:val="tx1"/>
                  </w14:solidFill>
                </w14:textFill>
              </w:rPr>
            </w:pPr>
          </w:p>
        </w:tc>
      </w:tr>
    </w:tbl>
    <w:p w14:paraId="2B8D61C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注：在填写时，如本表格不适合供应商的实际情况，可根据本表格式自行制表填写。（如有，请同时附证明材料，具体要求参见第四章评审程序、评审方法和评审标准）</w:t>
      </w:r>
    </w:p>
    <w:p w14:paraId="69ECAE50">
      <w:pPr>
        <w:autoSpaceDE w:val="0"/>
        <w:autoSpaceDN w:val="0"/>
        <w:spacing w:line="300" w:lineRule="auto"/>
        <w:ind w:left="480" w:hanging="480"/>
        <w:rPr>
          <w:rFonts w:hint="eastAsia" w:ascii="宋体" w:hAnsi="宋体" w:cs="宋体"/>
          <w:color w:val="000000" w:themeColor="text1"/>
          <w:szCs w:val="21"/>
          <w:highlight w:val="none"/>
          <w14:textFill>
            <w14:solidFill>
              <w14:schemeClr w14:val="tx1"/>
            </w14:solidFill>
          </w14:textFill>
        </w:rPr>
      </w:pPr>
    </w:p>
    <w:p w14:paraId="37E8148C">
      <w:pPr>
        <w:snapToGrid w:val="0"/>
        <w:spacing w:before="50" w:after="50"/>
        <w:rPr>
          <w:rFonts w:hint="eastAsia" w:ascii="宋体" w:hAnsi="宋体" w:cs="宋体"/>
          <w:color w:val="000000" w:themeColor="text1"/>
          <w:sz w:val="24"/>
          <w:highlight w:val="none"/>
          <w14:textFill>
            <w14:solidFill>
              <w14:schemeClr w14:val="tx1"/>
            </w14:solidFill>
          </w14:textFill>
        </w:rPr>
      </w:pPr>
    </w:p>
    <w:p w14:paraId="5D68FE66">
      <w:pPr>
        <w:snapToGrid w:val="0"/>
        <w:spacing w:before="50" w:after="50" w:line="520" w:lineRule="exact"/>
        <w:ind w:right="-817" w:rightChars="-389" w:firstLine="840" w:firstLineChars="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法定代表人或委托代理人（签字或者电子签名）：                    </w:t>
      </w:r>
    </w:p>
    <w:p w14:paraId="1FF46A18">
      <w:pPr>
        <w:snapToGrid w:val="0"/>
        <w:spacing w:before="50" w:after="50" w:line="520" w:lineRule="exact"/>
        <w:ind w:right="-817" w:rightChars="-389" w:firstLine="2310" w:firstLineChars="1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供应商名称（盖公章）：      </w:t>
      </w:r>
    </w:p>
    <w:p w14:paraId="7E96E8CA">
      <w:pPr>
        <w:snapToGrid w:val="0"/>
        <w:spacing w:before="50" w:after="50" w:line="520" w:lineRule="exact"/>
        <w:ind w:right="-817" w:rightChars="-389" w:firstLine="3465" w:firstLineChars="16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7E6D97EC">
      <w:pPr>
        <w:pStyle w:val="13"/>
        <w:rPr>
          <w:rFonts w:hint="eastAsia" w:ascii="仿宋" w:hAnsi="仿宋" w:eastAsia="仿宋" w:cs="仿宋_GB2312"/>
          <w:color w:val="000000" w:themeColor="text1"/>
          <w:szCs w:val="21"/>
          <w:highlight w:val="none"/>
          <w14:textFill>
            <w14:solidFill>
              <w14:schemeClr w14:val="tx1"/>
            </w14:solidFill>
          </w14:textFill>
        </w:rPr>
      </w:pPr>
    </w:p>
    <w:p w14:paraId="4D6A3364">
      <w:pPr>
        <w:rPr>
          <w:color w:val="000000" w:themeColor="text1"/>
          <w:highlight w:val="none"/>
          <w14:textFill>
            <w14:solidFill>
              <w14:schemeClr w14:val="tx1"/>
            </w14:solidFill>
          </w14:textFill>
        </w:rPr>
      </w:pPr>
    </w:p>
    <w:p w14:paraId="7E426A80">
      <w:pPr>
        <w:spacing w:line="300" w:lineRule="auto"/>
        <w:jc w:val="righ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其他文书、文件格式（企业综合实力，具体要求参见第四章评审程序、评审方法和评审标准）</w:t>
      </w:r>
    </w:p>
    <w:p w14:paraId="54FCB546">
      <w:pPr>
        <w:spacing w:line="300" w:lineRule="auto"/>
        <w:rPr>
          <w:rFonts w:hint="eastAsia" w:ascii="宋体" w:hAnsi="宋体"/>
          <w:b/>
          <w:bCs/>
          <w:color w:val="000000" w:themeColor="text1"/>
          <w:sz w:val="24"/>
          <w:highlight w:val="none"/>
          <w14:textFill>
            <w14:solidFill>
              <w14:schemeClr w14:val="tx1"/>
            </w14:solidFill>
          </w14:textFill>
        </w:rPr>
      </w:pPr>
    </w:p>
    <w:p w14:paraId="7DC3132C">
      <w:pPr>
        <w:spacing w:line="300" w:lineRule="auto"/>
        <w:jc w:val="center"/>
        <w:rPr>
          <w:rFonts w:hint="eastAsia" w:ascii="宋体" w:hAnsi="宋体"/>
          <w:color w:val="000000" w:themeColor="text1"/>
          <w:szCs w:val="21"/>
          <w:highlight w:val="none"/>
          <w14:textFill>
            <w14:solidFill>
              <w14:schemeClr w14:val="tx1"/>
            </w14:solidFill>
          </w14:textFill>
        </w:rPr>
      </w:pPr>
    </w:p>
    <w:p w14:paraId="3FC36988">
      <w:pPr>
        <w:spacing w:line="360" w:lineRule="auto"/>
        <w:jc w:val="center"/>
        <w:rPr>
          <w:rFonts w:hint="eastAsia" w:ascii="宋体" w:hAnsi="宋体" w:cs="仿宋_GB2312"/>
          <w:color w:val="000000" w:themeColor="text1"/>
          <w:sz w:val="24"/>
          <w:highlight w:val="none"/>
          <w14:textFill>
            <w14:solidFill>
              <w14:schemeClr w14:val="tx1"/>
            </w14:solidFill>
          </w14:textFill>
        </w:rPr>
      </w:pPr>
    </w:p>
    <w:p w14:paraId="46B46BA2">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12920EE7">
      <w:pPr>
        <w:spacing w:line="360" w:lineRule="auto"/>
        <w:ind w:firstLine="482" w:firstLineChars="200"/>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一、质疑供应商基本信息：</w:t>
      </w:r>
    </w:p>
    <w:p w14:paraId="085280B9">
      <w:pPr>
        <w:spacing w:line="360" w:lineRule="auto"/>
        <w:ind w:firstLine="480" w:firstLineChars="200"/>
        <w:contextualSpacing/>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质疑供应商：</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6020F3A6">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6B301B37">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联系电话</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2F910D1C">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授权代表：</w:t>
      </w:r>
      <w:r>
        <w:rPr>
          <w:rFonts w:hint="eastAsia" w:ascii="宋体" w:hAnsi="宋体"/>
          <w:bCs/>
          <w:color w:val="000000" w:themeColor="text1"/>
          <w:kern w:val="0"/>
          <w:sz w:val="24"/>
          <w:highlight w:val="none"/>
          <w:u w:val="single"/>
          <w14:textFill>
            <w14:solidFill>
              <w14:schemeClr w14:val="tx1"/>
            </w14:solidFill>
          </w14:textFill>
        </w:rPr>
        <w:t xml:space="preserve">                      </w:t>
      </w:r>
    </w:p>
    <w:p w14:paraId="6AB0B606">
      <w:pPr>
        <w:spacing w:line="360" w:lineRule="auto"/>
        <w:ind w:firstLine="480" w:firstLineChars="200"/>
        <w:contextualSpacing/>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1843EFA1">
      <w:pPr>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014CB91A">
      <w:pPr>
        <w:spacing w:line="360" w:lineRule="auto"/>
        <w:ind w:firstLine="482" w:firstLineChars="200"/>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二、质疑项目基本情况：</w:t>
      </w:r>
    </w:p>
    <w:p w14:paraId="7765C41A">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w:t>
      </w:r>
      <w:r>
        <w:rPr>
          <w:rFonts w:hint="eastAsia" w:ascii="宋体" w:hAnsi="宋体"/>
          <w:color w:val="000000" w:themeColor="text1"/>
          <w:kern w:val="0"/>
          <w:sz w:val="24"/>
          <w:highlight w:val="none"/>
          <w14:textFill>
            <w14:solidFill>
              <w14:schemeClr w14:val="tx1"/>
            </w14:solidFill>
          </w14:textFill>
        </w:rPr>
        <w:t>项目的名称：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1621195A">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w:t>
      </w:r>
      <w:r>
        <w:rPr>
          <w:rFonts w:hint="eastAsia" w:ascii="宋体" w:hAnsi="宋体"/>
          <w:color w:val="000000" w:themeColor="text1"/>
          <w:kern w:val="0"/>
          <w:sz w:val="24"/>
          <w:highlight w:val="none"/>
          <w14:textFill>
            <w14:solidFill>
              <w14:schemeClr w14:val="tx1"/>
            </w14:solidFill>
          </w14:textFill>
        </w:rPr>
        <w:t>项目的编号：</w:t>
      </w:r>
      <w:r>
        <w:rPr>
          <w:rFonts w:hint="eastAsia" w:ascii="宋体" w:hAnsi="宋体"/>
          <w:bCs/>
          <w:color w:val="000000" w:themeColor="text1"/>
          <w:kern w:val="0"/>
          <w:sz w:val="24"/>
          <w:highlight w:val="none"/>
          <w:u w:val="single"/>
          <w14:textFill>
            <w14:solidFill>
              <w14:schemeClr w14:val="tx1"/>
            </w14:solidFill>
          </w14:textFill>
        </w:rPr>
        <w:t xml:space="preserve">                                     </w:t>
      </w:r>
    </w:p>
    <w:p w14:paraId="0ED6531C">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采购人名称：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4F3F229A">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w:t>
      </w:r>
    </w:p>
    <w:p w14:paraId="441F4816">
      <w:pPr>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□采购文件   采购文件获取日期：</w:t>
      </w:r>
      <w:r>
        <w:rPr>
          <w:rFonts w:hint="eastAsia" w:ascii="宋体" w:hAnsi="宋体"/>
          <w:bCs/>
          <w:color w:val="000000" w:themeColor="text1"/>
          <w:kern w:val="0"/>
          <w:sz w:val="24"/>
          <w:highlight w:val="none"/>
          <w:u w:val="single"/>
          <w14:textFill>
            <w14:solidFill>
              <w14:schemeClr w14:val="tx1"/>
            </w14:solidFill>
          </w14:textFill>
        </w:rPr>
        <w:t xml:space="preserve">                                   </w:t>
      </w:r>
    </w:p>
    <w:p w14:paraId="7F1D3B2C">
      <w:pPr>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□采购过程   </w:t>
      </w:r>
    </w:p>
    <w:p w14:paraId="1F73F641">
      <w:pPr>
        <w:spacing w:line="360" w:lineRule="auto"/>
        <w:ind w:left="25" w:leftChars="12" w:firstLine="352" w:firstLineChars="147"/>
        <w:contextualSpacing/>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□成交结果   </w:t>
      </w:r>
    </w:p>
    <w:p w14:paraId="3EBAEB6A">
      <w:pPr>
        <w:spacing w:line="360" w:lineRule="auto"/>
        <w:ind w:left="25" w:leftChars="12" w:firstLine="472" w:firstLineChars="196"/>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三、质疑事项具体内容</w:t>
      </w:r>
    </w:p>
    <w:p w14:paraId="23E60625">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质疑事项1：</w:t>
      </w:r>
      <w:r>
        <w:rPr>
          <w:rFonts w:hint="eastAsia" w:ascii="宋体" w:hAnsi="宋体"/>
          <w:bCs/>
          <w:color w:val="000000" w:themeColor="text1"/>
          <w:kern w:val="0"/>
          <w:sz w:val="24"/>
          <w:highlight w:val="none"/>
          <w:u w:val="single"/>
          <w14:textFill>
            <w14:solidFill>
              <w14:schemeClr w14:val="tx1"/>
            </w14:solidFill>
          </w14:textFill>
        </w:rPr>
        <w:t xml:space="preserve">                                                                    </w:t>
      </w:r>
    </w:p>
    <w:p w14:paraId="4A867B9A">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事实依据：</w:t>
      </w:r>
      <w:r>
        <w:rPr>
          <w:rFonts w:hint="eastAsia" w:ascii="宋体" w:hAnsi="宋体"/>
          <w:bCs/>
          <w:color w:val="000000" w:themeColor="text1"/>
          <w:kern w:val="0"/>
          <w:sz w:val="24"/>
          <w:highlight w:val="none"/>
          <w:u w:val="single"/>
          <w14:textFill>
            <w14:solidFill>
              <w14:schemeClr w14:val="tx1"/>
            </w14:solidFill>
          </w14:textFill>
        </w:rPr>
        <w:t xml:space="preserve">                                                                      </w:t>
      </w:r>
    </w:p>
    <w:p w14:paraId="2440ABB2">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法律依据：</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6007A2F4">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质疑事项2</w:t>
      </w:r>
    </w:p>
    <w:p w14:paraId="20035BEF">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p>
    <w:p w14:paraId="3BEAABE1">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四、与质疑事项相关的质疑请求：</w:t>
      </w:r>
    </w:p>
    <w:p w14:paraId="34D0983A">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请求：</w:t>
      </w:r>
      <w:r>
        <w:rPr>
          <w:rFonts w:hint="eastAsia" w:ascii="宋体" w:hAnsi="宋体"/>
          <w:bCs/>
          <w:color w:val="000000" w:themeColor="text1"/>
          <w:kern w:val="0"/>
          <w:sz w:val="24"/>
          <w:highlight w:val="none"/>
          <w:u w:val="single"/>
          <w14:textFill>
            <w14:solidFill>
              <w14:schemeClr w14:val="tx1"/>
            </w14:solidFill>
          </w14:textFill>
        </w:rPr>
        <w:t xml:space="preserve">                                                                </w:t>
      </w:r>
    </w:p>
    <w:p w14:paraId="416CB978">
      <w:pPr>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p>
    <w:p w14:paraId="0314069E">
      <w:pPr>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签字（签章）：                                       公章：</w:t>
      </w:r>
    </w:p>
    <w:p w14:paraId="324E7C98">
      <w:pPr>
        <w:spacing w:line="360" w:lineRule="auto"/>
        <w:ind w:firstLine="480" w:firstLineChars="200"/>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14:paraId="080E989C">
      <w:pPr>
        <w:spacing w:line="360" w:lineRule="auto"/>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说明：</w:t>
      </w:r>
    </w:p>
    <w:p w14:paraId="3301446E">
      <w:pPr>
        <w:spacing w:line="360" w:lineRule="auto"/>
        <w:ind w:left="25" w:leftChars="12" w:firstLine="354" w:firstLineChars="147"/>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1.供应商提出质疑时，应提交质疑函和必要的证明材料</w:t>
      </w:r>
      <w:r>
        <w:rPr>
          <w:rFonts w:hint="eastAsia" w:ascii="宋体" w:hAnsi="宋体"/>
          <w:b/>
          <w:bCs/>
          <w:color w:val="000000" w:themeColor="text1"/>
          <w:kern w:val="0"/>
          <w:sz w:val="24"/>
          <w:highlight w:val="none"/>
          <w14:textFill>
            <w14:solidFill>
              <w14:schemeClr w14:val="tx1"/>
            </w14:solidFill>
          </w14:textFill>
        </w:rPr>
        <w:t>。</w:t>
      </w:r>
    </w:p>
    <w:p w14:paraId="52AB0CCC">
      <w:pPr>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16C9FA">
      <w:pPr>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3.质疑函的质疑事项应具体、明确，并有必要的事实依据和法律依据。</w:t>
      </w:r>
    </w:p>
    <w:p w14:paraId="104F2376">
      <w:pPr>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4.质疑函的质疑请求应与质疑事项相关。</w:t>
      </w:r>
    </w:p>
    <w:p w14:paraId="47101CB7">
      <w:pPr>
        <w:spacing w:line="360" w:lineRule="auto"/>
        <w:ind w:left="25" w:leftChars="12" w:firstLine="354" w:firstLineChars="147"/>
        <w:contextualSpacing/>
        <w:rPr>
          <w:rFonts w:hint="eastAsia" w:ascii="宋体" w:hAnsi="宋体"/>
          <w:b/>
          <w:color w:val="000000" w:themeColor="text1"/>
          <w:kern w:val="0"/>
          <w:sz w:val="20"/>
          <w:szCs w:val="21"/>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5.质疑供应商为法人或者其他组织的，质疑函应由法定代表人、主要负责人，或者其授权代表签字或者盖章，并加盖公章。</w:t>
      </w:r>
    </w:p>
    <w:p w14:paraId="502A70D2">
      <w:pPr>
        <w:snapToGrid w:val="0"/>
        <w:rPr>
          <w:rFonts w:ascii="宋体" w:hAnsi="Courier New"/>
          <w:b/>
          <w:color w:val="000000" w:themeColor="text1"/>
          <w:kern w:val="0"/>
          <w:sz w:val="24"/>
          <w:highlight w:val="none"/>
          <w14:textFill>
            <w14:solidFill>
              <w14:schemeClr w14:val="tx1"/>
            </w14:solidFill>
          </w14:textFill>
        </w:rPr>
      </w:pPr>
    </w:p>
    <w:p w14:paraId="0737080D">
      <w:pPr>
        <w:rPr>
          <w:color w:val="000000" w:themeColor="text1"/>
          <w:sz w:val="32"/>
          <w:szCs w:val="40"/>
          <w:highlight w:val="none"/>
          <w14:textFill>
            <w14:solidFill>
              <w14:schemeClr w14:val="tx1"/>
            </w14:solidFill>
          </w14:textFill>
        </w:rPr>
      </w:pPr>
    </w:p>
    <w:p w14:paraId="653C9371">
      <w:pPr>
        <w:rPr>
          <w:color w:val="000000" w:themeColor="text1"/>
          <w:sz w:val="32"/>
          <w:szCs w:val="40"/>
          <w:highlight w:val="none"/>
          <w14:textFill>
            <w14:solidFill>
              <w14:schemeClr w14:val="tx1"/>
            </w14:solidFill>
          </w14:textFill>
        </w:rPr>
      </w:pPr>
    </w:p>
    <w:p w14:paraId="5FF14325">
      <w:pPr>
        <w:rPr>
          <w:color w:val="000000" w:themeColor="text1"/>
          <w:sz w:val="32"/>
          <w:szCs w:val="40"/>
          <w:highlight w:val="none"/>
          <w14:textFill>
            <w14:solidFill>
              <w14:schemeClr w14:val="tx1"/>
            </w14:solidFill>
          </w14:textFill>
        </w:rPr>
      </w:pPr>
    </w:p>
    <w:p w14:paraId="45A9CE43">
      <w:pPr>
        <w:rPr>
          <w:color w:val="000000" w:themeColor="text1"/>
          <w:sz w:val="32"/>
          <w:szCs w:val="40"/>
          <w:highlight w:val="none"/>
          <w14:textFill>
            <w14:solidFill>
              <w14:schemeClr w14:val="tx1"/>
            </w14:solidFill>
          </w14:textFill>
        </w:rPr>
      </w:pPr>
    </w:p>
    <w:p w14:paraId="1E5AC8CB">
      <w:pPr>
        <w:rPr>
          <w:color w:val="000000" w:themeColor="text1"/>
          <w:sz w:val="32"/>
          <w:szCs w:val="40"/>
          <w:highlight w:val="none"/>
          <w14:textFill>
            <w14:solidFill>
              <w14:schemeClr w14:val="tx1"/>
            </w14:solidFill>
          </w14:textFill>
        </w:rPr>
      </w:pPr>
    </w:p>
    <w:p w14:paraId="1BD5CF2B">
      <w:pPr>
        <w:rPr>
          <w:color w:val="000000" w:themeColor="text1"/>
          <w:sz w:val="32"/>
          <w:szCs w:val="40"/>
          <w:highlight w:val="none"/>
          <w14:textFill>
            <w14:solidFill>
              <w14:schemeClr w14:val="tx1"/>
            </w14:solidFill>
          </w14:textFill>
        </w:rPr>
      </w:pPr>
    </w:p>
    <w:p w14:paraId="747959AB">
      <w:pPr>
        <w:rPr>
          <w:color w:val="000000" w:themeColor="text1"/>
          <w:sz w:val="32"/>
          <w:szCs w:val="40"/>
          <w:highlight w:val="none"/>
          <w14:textFill>
            <w14:solidFill>
              <w14:schemeClr w14:val="tx1"/>
            </w14:solidFill>
          </w14:textFill>
        </w:rPr>
      </w:pPr>
    </w:p>
    <w:p w14:paraId="6E71E609">
      <w:pPr>
        <w:rPr>
          <w:color w:val="000000" w:themeColor="text1"/>
          <w:sz w:val="32"/>
          <w:szCs w:val="40"/>
          <w:highlight w:val="none"/>
          <w14:textFill>
            <w14:solidFill>
              <w14:schemeClr w14:val="tx1"/>
            </w14:solidFill>
          </w14:textFill>
        </w:rPr>
      </w:pPr>
    </w:p>
    <w:p w14:paraId="2292DD49">
      <w:pPr>
        <w:rPr>
          <w:color w:val="000000" w:themeColor="text1"/>
          <w:sz w:val="32"/>
          <w:szCs w:val="40"/>
          <w:highlight w:val="none"/>
          <w14:textFill>
            <w14:solidFill>
              <w14:schemeClr w14:val="tx1"/>
            </w14:solidFill>
          </w14:textFill>
        </w:rPr>
      </w:pPr>
    </w:p>
    <w:p w14:paraId="773FF04A">
      <w:pPr>
        <w:rPr>
          <w:color w:val="000000" w:themeColor="text1"/>
          <w:sz w:val="32"/>
          <w:szCs w:val="40"/>
          <w:highlight w:val="none"/>
          <w14:textFill>
            <w14:solidFill>
              <w14:schemeClr w14:val="tx1"/>
            </w14:solidFill>
          </w14:textFill>
        </w:rPr>
      </w:pPr>
    </w:p>
    <w:p w14:paraId="6AF23E9E">
      <w:pPr>
        <w:rPr>
          <w:color w:val="000000" w:themeColor="text1"/>
          <w:sz w:val="32"/>
          <w:szCs w:val="40"/>
          <w:highlight w:val="none"/>
          <w14:textFill>
            <w14:solidFill>
              <w14:schemeClr w14:val="tx1"/>
            </w14:solidFill>
          </w14:textFill>
        </w:rPr>
      </w:pPr>
    </w:p>
    <w:p w14:paraId="6A59176D">
      <w:pPr>
        <w:rPr>
          <w:color w:val="000000" w:themeColor="text1"/>
          <w:sz w:val="32"/>
          <w:szCs w:val="40"/>
          <w:highlight w:val="none"/>
          <w14:textFill>
            <w14:solidFill>
              <w14:schemeClr w14:val="tx1"/>
            </w14:solidFill>
          </w14:textFill>
        </w:rPr>
      </w:pPr>
    </w:p>
    <w:p w14:paraId="76E49D51">
      <w:pPr>
        <w:rPr>
          <w:color w:val="000000" w:themeColor="text1"/>
          <w:sz w:val="32"/>
          <w:szCs w:val="40"/>
          <w:highlight w:val="none"/>
          <w14:textFill>
            <w14:solidFill>
              <w14:schemeClr w14:val="tx1"/>
            </w14:solidFill>
          </w14:textFill>
        </w:rPr>
      </w:pPr>
    </w:p>
    <w:p w14:paraId="3B741BC5">
      <w:pPr>
        <w:rPr>
          <w:color w:val="000000" w:themeColor="text1"/>
          <w:sz w:val="32"/>
          <w:szCs w:val="40"/>
          <w:highlight w:val="none"/>
          <w14:textFill>
            <w14:solidFill>
              <w14:schemeClr w14:val="tx1"/>
            </w14:solidFill>
          </w14:textFill>
        </w:rPr>
      </w:pPr>
    </w:p>
    <w:p w14:paraId="705A2B68">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4E4022A0">
      <w:pPr>
        <w:snapToGrid w:val="0"/>
        <w:spacing w:line="360" w:lineRule="auto"/>
        <w:ind w:firstLine="482" w:firstLineChars="200"/>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一、投诉相关主体基本情况：</w:t>
      </w:r>
    </w:p>
    <w:p w14:paraId="0D7D390F">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供应商：</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18029B44">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370B36A0">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法定代表人/主要负责人：</w:t>
      </w:r>
      <w:r>
        <w:rPr>
          <w:rFonts w:hint="eastAsia" w:ascii="宋体" w:hAnsi="宋体"/>
          <w:bCs/>
          <w:color w:val="000000" w:themeColor="text1"/>
          <w:kern w:val="0"/>
          <w:sz w:val="24"/>
          <w:highlight w:val="none"/>
          <w:u w:val="single"/>
          <w14:textFill>
            <w14:solidFill>
              <w14:schemeClr w14:val="tx1"/>
            </w14:solidFill>
          </w14:textFill>
        </w:rPr>
        <w:t xml:space="preserve">                                                         </w:t>
      </w:r>
    </w:p>
    <w:p w14:paraId="443B776F">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联系电话</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3861B8F6">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授权代表：</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180194D4">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0FB74C3B">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05F4244A">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被投诉人1：</w:t>
      </w:r>
    </w:p>
    <w:p w14:paraId="0220EED9">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u w:val="single"/>
          <w14:textFill>
            <w14:solidFill>
              <w14:schemeClr w14:val="tx1"/>
            </w14:solidFill>
          </w14:textFill>
        </w:rPr>
        <w:t xml:space="preserve">                                                            </w:t>
      </w:r>
    </w:p>
    <w:p w14:paraId="4477A4A4">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3CF40F0F">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79F27701">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被投诉人2：</w:t>
      </w:r>
    </w:p>
    <w:p w14:paraId="65CC6948">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w:t>
      </w:r>
    </w:p>
    <w:p w14:paraId="6DEFDC2D">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相关供应商：</w:t>
      </w:r>
      <w:r>
        <w:rPr>
          <w:rFonts w:hint="eastAsia" w:ascii="宋体" w:hAnsi="宋体"/>
          <w:bCs/>
          <w:color w:val="000000" w:themeColor="text1"/>
          <w:kern w:val="0"/>
          <w:sz w:val="24"/>
          <w:highlight w:val="none"/>
          <w:u w:val="single"/>
          <w14:textFill>
            <w14:solidFill>
              <w14:schemeClr w14:val="tx1"/>
            </w14:solidFill>
          </w14:textFill>
        </w:rPr>
        <w:t xml:space="preserve">                                                                       </w:t>
      </w:r>
    </w:p>
    <w:p w14:paraId="25DE8F34">
      <w:pPr>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6628843F">
      <w:pPr>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3B66543B">
      <w:pPr>
        <w:snapToGrid w:val="0"/>
        <w:spacing w:line="360" w:lineRule="auto"/>
        <w:ind w:firstLine="482" w:firstLineChars="200"/>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二、投诉项目基本情况：</w:t>
      </w:r>
    </w:p>
    <w:p w14:paraId="5FBA3220">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w:t>
      </w:r>
      <w:r>
        <w:rPr>
          <w:rFonts w:hint="eastAsia" w:ascii="宋体" w:hAnsi="宋体"/>
          <w:color w:val="000000" w:themeColor="text1"/>
          <w:kern w:val="0"/>
          <w:sz w:val="24"/>
          <w:highlight w:val="none"/>
          <w14:textFill>
            <w14:solidFill>
              <w14:schemeClr w14:val="tx1"/>
            </w14:solidFill>
          </w14:textFill>
        </w:rPr>
        <w:t>项目的名称：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0521D58A">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w:t>
      </w:r>
      <w:r>
        <w:rPr>
          <w:rFonts w:hint="eastAsia" w:ascii="宋体" w:hAnsi="宋体"/>
          <w:color w:val="000000" w:themeColor="text1"/>
          <w:kern w:val="0"/>
          <w:sz w:val="24"/>
          <w:highlight w:val="none"/>
          <w14:textFill>
            <w14:solidFill>
              <w14:schemeClr w14:val="tx1"/>
            </w14:solidFill>
          </w14:textFill>
        </w:rPr>
        <w:t>项目的编号：</w:t>
      </w:r>
      <w:r>
        <w:rPr>
          <w:rFonts w:hint="eastAsia" w:ascii="宋体" w:hAnsi="宋体"/>
          <w:bCs/>
          <w:color w:val="000000" w:themeColor="text1"/>
          <w:kern w:val="0"/>
          <w:sz w:val="24"/>
          <w:highlight w:val="none"/>
          <w:u w:val="single"/>
          <w14:textFill>
            <w14:solidFill>
              <w14:schemeClr w14:val="tx1"/>
            </w14:solidFill>
          </w14:textFill>
        </w:rPr>
        <w:t xml:space="preserve">                                          </w:t>
      </w:r>
    </w:p>
    <w:p w14:paraId="7E09AF6C">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采购人名称：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549BCD73">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代理机构名称：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7825A17F">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采购文件公告：</w:t>
      </w:r>
      <w:r>
        <w:rPr>
          <w:rFonts w:hint="eastAsia" w:ascii="宋体" w:hAnsi="宋体"/>
          <w:bCs/>
          <w:color w:val="000000" w:themeColor="text1"/>
          <w:kern w:val="0"/>
          <w:sz w:val="24"/>
          <w:highlight w:val="none"/>
          <w:u w:val="single"/>
          <w14:textFill>
            <w14:solidFill>
              <w14:schemeClr w14:val="tx1"/>
            </w14:solidFill>
          </w14:textFill>
        </w:rPr>
        <w:t>是/否</w:t>
      </w:r>
      <w:r>
        <w:rPr>
          <w:rFonts w:hint="eastAsia" w:ascii="宋体" w:hAnsi="宋体"/>
          <w:bCs/>
          <w:color w:val="000000" w:themeColor="text1"/>
          <w:kern w:val="0"/>
          <w:sz w:val="24"/>
          <w:highlight w:val="none"/>
          <w14:textFill>
            <w14:solidFill>
              <w14:schemeClr w14:val="tx1"/>
            </w14:solidFill>
          </w14:textFill>
        </w:rPr>
        <w:t>公告期限：</w:t>
      </w:r>
      <w:r>
        <w:rPr>
          <w:rFonts w:hint="eastAsia" w:ascii="宋体" w:hAnsi="宋体"/>
          <w:bCs/>
          <w:color w:val="000000" w:themeColor="text1"/>
          <w:kern w:val="0"/>
          <w:sz w:val="24"/>
          <w:highlight w:val="none"/>
          <w:u w:val="single"/>
          <w14:textFill>
            <w14:solidFill>
              <w14:schemeClr w14:val="tx1"/>
            </w14:solidFill>
          </w14:textFill>
        </w:rPr>
        <w:t xml:space="preserve">                                                       </w:t>
      </w:r>
    </w:p>
    <w:p w14:paraId="56B1747B">
      <w:pPr>
        <w:spacing w:line="360" w:lineRule="auto"/>
        <w:ind w:left="25" w:leftChars="12" w:firstLine="472" w:firstLineChars="197"/>
        <w:rPr>
          <w:rFonts w:hint="eastAsia" w:ascii="宋体" w:hAnsi="宋体"/>
          <w:b/>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采购结果公告：</w:t>
      </w:r>
      <w:r>
        <w:rPr>
          <w:rFonts w:hint="eastAsia" w:ascii="宋体" w:hAnsi="宋体"/>
          <w:bCs/>
          <w:color w:val="000000" w:themeColor="text1"/>
          <w:kern w:val="0"/>
          <w:sz w:val="24"/>
          <w:highlight w:val="none"/>
          <w:u w:val="single"/>
          <w14:textFill>
            <w14:solidFill>
              <w14:schemeClr w14:val="tx1"/>
            </w14:solidFill>
          </w14:textFill>
        </w:rPr>
        <w:t>是/否</w:t>
      </w:r>
      <w:r>
        <w:rPr>
          <w:rFonts w:hint="eastAsia" w:ascii="宋体" w:hAnsi="宋体"/>
          <w:bCs/>
          <w:color w:val="000000" w:themeColor="text1"/>
          <w:kern w:val="0"/>
          <w:sz w:val="24"/>
          <w:highlight w:val="none"/>
          <w14:textFill>
            <w14:solidFill>
              <w14:schemeClr w14:val="tx1"/>
            </w14:solidFill>
          </w14:textFill>
        </w:rPr>
        <w:t>公告期限：</w:t>
      </w:r>
      <w:r>
        <w:rPr>
          <w:rFonts w:hint="eastAsia" w:ascii="宋体" w:hAnsi="宋体"/>
          <w:bCs/>
          <w:color w:val="000000" w:themeColor="text1"/>
          <w:kern w:val="0"/>
          <w:sz w:val="24"/>
          <w:highlight w:val="none"/>
          <w:u w:val="single"/>
          <w14:textFill>
            <w14:solidFill>
              <w14:schemeClr w14:val="tx1"/>
            </w14:solidFill>
          </w14:textFill>
        </w:rPr>
        <w:t xml:space="preserve">                                                       </w:t>
      </w:r>
    </w:p>
    <w:p w14:paraId="70CE6986">
      <w:pPr>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三、质疑基本情况</w:t>
      </w:r>
    </w:p>
    <w:p w14:paraId="39B32786">
      <w:pPr>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投诉人于</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日，向</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提出质疑，质疑事项为：</w:t>
      </w:r>
    </w:p>
    <w:p w14:paraId="2900249C">
      <w:pPr>
        <w:spacing w:line="360" w:lineRule="auto"/>
        <w:ind w:firstLine="241"/>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058941DA">
      <w:pPr>
        <w:spacing w:line="360" w:lineRule="auto"/>
        <w:ind w:firstLine="241"/>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7DAFFF1D">
      <w:pPr>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u w:val="single"/>
          <w14:textFill>
            <w14:solidFill>
              <w14:schemeClr w14:val="tx1"/>
            </w14:solidFill>
          </w14:textFill>
        </w:rPr>
        <w:t>采购人/代理机构</w:t>
      </w:r>
      <w:r>
        <w:rPr>
          <w:rFonts w:hint="eastAsia" w:ascii="宋体" w:hAnsi="宋体"/>
          <w:bCs/>
          <w:color w:val="000000" w:themeColor="text1"/>
          <w:kern w:val="0"/>
          <w:sz w:val="24"/>
          <w:highlight w:val="none"/>
          <w14:textFill>
            <w14:solidFill>
              <w14:schemeClr w14:val="tx1"/>
            </w14:solidFill>
          </w14:textFill>
        </w:rPr>
        <w:t>于</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r>
        <w:rPr>
          <w:rFonts w:hint="eastAsia" w:ascii="宋体" w:hAnsi="宋体"/>
          <w:bCs/>
          <w:color w:val="000000" w:themeColor="text1"/>
          <w:kern w:val="0"/>
          <w:sz w:val="24"/>
          <w:highlight w:val="none"/>
          <w14:textFill>
            <w14:solidFill>
              <w14:schemeClr w14:val="tx1"/>
            </w14:solidFill>
          </w14:textFill>
        </w:rPr>
        <w:t xml:space="preserve">就质疑事项作出了答复/没有在法定期限内作出答复。                                                                                             </w:t>
      </w:r>
    </w:p>
    <w:p w14:paraId="63DB0135">
      <w:pPr>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四、投诉事项具体内容</w:t>
      </w:r>
    </w:p>
    <w:p w14:paraId="63CA29E4">
      <w:pPr>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投诉事项1：</w:t>
      </w:r>
      <w:r>
        <w:rPr>
          <w:rFonts w:hint="eastAsia" w:ascii="宋体" w:hAnsi="宋体"/>
          <w:bCs/>
          <w:color w:val="000000" w:themeColor="text1"/>
          <w:kern w:val="0"/>
          <w:sz w:val="24"/>
          <w:highlight w:val="none"/>
          <w:u w:val="single"/>
          <w14:textFill>
            <w14:solidFill>
              <w14:schemeClr w14:val="tx1"/>
            </w14:solidFill>
          </w14:textFill>
        </w:rPr>
        <w:t xml:space="preserve">                                                                           </w:t>
      </w:r>
    </w:p>
    <w:p w14:paraId="5DB5EF49">
      <w:pPr>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事实依据：</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27A9AD18">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u w:val="single"/>
          <w14:textFill>
            <w14:solidFill>
              <w14:schemeClr w14:val="tx1"/>
            </w14:solidFill>
          </w14:textFill>
        </w:rPr>
        <w:t xml:space="preserve">                                                                                        </w:t>
      </w:r>
    </w:p>
    <w:p w14:paraId="336248F0">
      <w:pPr>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法律依据：</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5C94E325">
      <w:pPr>
        <w:spacing w:line="360" w:lineRule="auto"/>
        <w:ind w:left="25" w:leftChars="12" w:firstLine="352" w:firstLineChars="14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56DAF8FA">
      <w:pPr>
        <w:spacing w:line="360" w:lineRule="auto"/>
        <w:ind w:left="25" w:leftChars="12" w:firstLine="472" w:firstLineChars="197"/>
        <w:rPr>
          <w:rFonts w:hint="eastAsia" w:ascii="宋体" w:hAnsi="宋体"/>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投诉事项2  </w:t>
      </w:r>
      <w:r>
        <w:rPr>
          <w:rFonts w:hint="eastAsia" w:ascii="宋体" w:hAnsi="宋体"/>
          <w:bCs/>
          <w:color w:val="000000" w:themeColor="text1"/>
          <w:kern w:val="0"/>
          <w:sz w:val="24"/>
          <w:highlight w:val="none"/>
          <w14:textFill>
            <w14:solidFill>
              <w14:schemeClr w14:val="tx1"/>
            </w14:solidFill>
          </w14:textFill>
        </w:rPr>
        <w:t xml:space="preserve">   </w:t>
      </w:r>
    </w:p>
    <w:p w14:paraId="298E764C">
      <w:pPr>
        <w:spacing w:line="360" w:lineRule="auto"/>
        <w:ind w:left="25" w:leftChars="12" w:firstLine="472" w:firstLineChars="197"/>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w:t>
      </w:r>
    </w:p>
    <w:p w14:paraId="595D1587">
      <w:pPr>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五、与投诉事项相关的投诉请求：</w:t>
      </w:r>
    </w:p>
    <w:p w14:paraId="630FC6AA">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请求：</w:t>
      </w:r>
      <w:r>
        <w:rPr>
          <w:rFonts w:hint="eastAsia" w:ascii="宋体" w:hAnsi="宋体"/>
          <w:bCs/>
          <w:color w:val="000000" w:themeColor="text1"/>
          <w:kern w:val="0"/>
          <w:sz w:val="24"/>
          <w:highlight w:val="none"/>
          <w:u w:val="single"/>
          <w14:textFill>
            <w14:solidFill>
              <w14:schemeClr w14:val="tx1"/>
            </w14:solidFill>
          </w14:textFill>
        </w:rPr>
        <w:t xml:space="preserve">                                                                                 </w:t>
      </w:r>
    </w:p>
    <w:p w14:paraId="6F4553CD">
      <w:pPr>
        <w:spacing w:line="360" w:lineRule="auto"/>
        <w:ind w:left="25" w:leftChars="12" w:firstLine="352" w:firstLineChars="147"/>
        <w:rPr>
          <w:rFonts w:hint="eastAsia" w:ascii="宋体" w:hAnsi="宋体"/>
          <w:color w:val="000000" w:themeColor="text1"/>
          <w:kern w:val="0"/>
          <w:sz w:val="24"/>
          <w:highlight w:val="none"/>
          <w14:textFill>
            <w14:solidFill>
              <w14:schemeClr w14:val="tx1"/>
            </w14:solidFill>
          </w14:textFill>
        </w:rPr>
      </w:pPr>
    </w:p>
    <w:p w14:paraId="51ACDCD4">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签字（签章）：                                       公章：</w:t>
      </w:r>
    </w:p>
    <w:p w14:paraId="6FA08682">
      <w:pPr>
        <w:spacing w:line="360" w:lineRule="auto"/>
        <w:ind w:left="25" w:leftChars="12" w:firstLine="352" w:firstLineChars="147"/>
        <w:rPr>
          <w:rFonts w:hint="eastAsia" w:ascii="宋体" w:hAnsi="宋体"/>
          <w:color w:val="000000" w:themeColor="text1"/>
          <w:kern w:val="0"/>
          <w:sz w:val="24"/>
          <w:highlight w:val="none"/>
          <w14:textFill>
            <w14:solidFill>
              <w14:schemeClr w14:val="tx1"/>
            </w14:solidFill>
          </w14:textFill>
        </w:rPr>
      </w:pPr>
    </w:p>
    <w:p w14:paraId="7C550CBA">
      <w:pPr>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14:paraId="65D6442A">
      <w:pPr>
        <w:spacing w:line="360" w:lineRule="auto"/>
        <w:ind w:left="25" w:leftChars="12" w:firstLine="472" w:firstLineChars="197"/>
        <w:rPr>
          <w:rFonts w:hint="eastAsia" w:ascii="宋体" w:hAnsi="宋体"/>
          <w:b/>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p>
    <w:p w14:paraId="6801DE31">
      <w:pPr>
        <w:snapToGrid w:val="0"/>
        <w:spacing w:line="360" w:lineRule="auto"/>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说明：</w:t>
      </w:r>
    </w:p>
    <w:p w14:paraId="2AB5DCF6">
      <w:pPr>
        <w:spacing w:line="360" w:lineRule="auto"/>
        <w:ind w:left="25" w:leftChars="12" w:firstLine="354" w:firstLineChars="147"/>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b/>
          <w:bCs/>
          <w:color w:val="000000" w:themeColor="text1"/>
          <w:kern w:val="0"/>
          <w:sz w:val="24"/>
          <w:highlight w:val="none"/>
          <w14:textFill>
            <w14:solidFill>
              <w14:schemeClr w14:val="tx1"/>
            </w14:solidFill>
          </w14:textFill>
        </w:rPr>
        <w:t>。</w:t>
      </w:r>
    </w:p>
    <w:p w14:paraId="1DEA9712">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BB24EE0">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3.投诉书应简要列明质疑事项，质疑函、质疑答复等作为附件材料提供。</w:t>
      </w:r>
    </w:p>
    <w:p w14:paraId="1288D034">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4.投诉书的投诉事项应具体、明确，并有必要的事实依据和法律依据。</w:t>
      </w:r>
    </w:p>
    <w:p w14:paraId="25A812CA">
      <w:pPr>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5.投诉书的投诉请求应与投诉事项相关。</w:t>
      </w:r>
    </w:p>
    <w:p w14:paraId="3BE59631">
      <w:pPr>
        <w:spacing w:line="360" w:lineRule="auto"/>
        <w:ind w:left="25" w:leftChars="12" w:firstLine="354" w:firstLineChars="147"/>
        <w:rPr>
          <w:rFonts w:hint="eastAsia" w:ascii="宋体" w:hAnsi="宋体"/>
          <w:b/>
          <w:color w:val="000000" w:themeColor="text1"/>
          <w:kern w:val="0"/>
          <w:sz w:val="20"/>
          <w:szCs w:val="21"/>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6.投诉人为法人或者其他组织的，投诉书应由法定代表人、主要负责人，或者其授权代表签字或者盖章，并加盖公章。</w:t>
      </w:r>
    </w:p>
    <w:p w14:paraId="71BFA23A">
      <w:pPr>
        <w:pStyle w:val="2"/>
        <w:jc w:val="center"/>
        <w:rPr>
          <w:color w:val="000000" w:themeColor="text1"/>
          <w:highlight w:val="none"/>
          <w14:textFill>
            <w14:solidFill>
              <w14:schemeClr w14:val="tx1"/>
            </w14:solidFill>
          </w14:textFill>
        </w:rPr>
      </w:pPr>
      <w:bookmarkStart w:id="186" w:name="_Toc74323461"/>
      <w:r>
        <w:rPr>
          <w:rFonts w:hint="eastAsia"/>
          <w:color w:val="000000" w:themeColor="text1"/>
          <w:highlight w:val="none"/>
          <w14:textFill>
            <w14:solidFill>
              <w14:schemeClr w14:val="tx1"/>
            </w14:solidFill>
          </w14:textFill>
        </w:rPr>
        <w:t>第六章 合同文本</w:t>
      </w:r>
      <w:bookmarkEnd w:id="186"/>
    </w:p>
    <w:p w14:paraId="5FBF6F66">
      <w:pPr>
        <w:spacing w:line="520" w:lineRule="exact"/>
        <w:rPr>
          <w:rFonts w:hint="eastAsia" w:ascii="宋体" w:hAnsi="宋体" w:cs="Courier New"/>
          <w:b/>
          <w:color w:val="000000" w:themeColor="text1"/>
          <w:sz w:val="32"/>
          <w:szCs w:val="32"/>
          <w:highlight w:val="none"/>
          <w14:textFill>
            <w14:solidFill>
              <w14:schemeClr w14:val="tx1"/>
            </w14:solidFill>
          </w14:textFill>
        </w:rPr>
      </w:pPr>
    </w:p>
    <w:p w14:paraId="4E217E49">
      <w:pPr>
        <w:widowControl/>
        <w:spacing w:line="480" w:lineRule="exact"/>
        <w:jc w:val="center"/>
        <w:rPr>
          <w:rFonts w:hint="eastAsia" w:ascii="宋体" w:hAnsi="宋体" w:cs="宋体"/>
          <w:b/>
          <w:color w:val="000000" w:themeColor="text1"/>
          <w:sz w:val="44"/>
          <w:szCs w:val="44"/>
          <w:highlight w:val="none"/>
          <w14:textFill>
            <w14:solidFill>
              <w14:schemeClr w14:val="tx1"/>
            </w14:solidFill>
          </w14:textFill>
        </w:rPr>
      </w:pPr>
    </w:p>
    <w:p w14:paraId="75F69560">
      <w:pPr>
        <w:pStyle w:val="7"/>
        <w:spacing w:line="360" w:lineRule="auto"/>
        <w:jc w:val="center"/>
        <w:rPr>
          <w:color w:val="000000" w:themeColor="text1"/>
          <w:w w:val="80"/>
          <w:sz w:val="44"/>
          <w:szCs w:val="44"/>
          <w:highlight w:val="none"/>
          <w14:textFill>
            <w14:solidFill>
              <w14:schemeClr w14:val="tx1"/>
            </w14:solidFill>
          </w14:textFill>
        </w:rPr>
      </w:pPr>
      <w:r>
        <w:rPr>
          <w:rFonts w:hint="eastAsia"/>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14:textFill>
            <w14:solidFill>
              <w14:schemeClr w14:val="tx1"/>
            </w14:solidFill>
          </w14:textFill>
        </w:rPr>
        <w:t>合同</w:t>
      </w:r>
    </w:p>
    <w:p w14:paraId="0FCD826F">
      <w:pPr>
        <w:pStyle w:val="7"/>
        <w:spacing w:line="360" w:lineRule="auto"/>
        <w:jc w:val="center"/>
        <w:rPr>
          <w:color w:val="000000" w:themeColor="text1"/>
          <w:w w:val="80"/>
          <w:sz w:val="44"/>
          <w:szCs w:val="44"/>
          <w:highlight w:val="none"/>
          <w14:textFill>
            <w14:solidFill>
              <w14:schemeClr w14:val="tx1"/>
            </w14:solidFill>
          </w14:textFill>
        </w:rPr>
      </w:pPr>
    </w:p>
    <w:p w14:paraId="5A1187DB">
      <w:pPr>
        <w:spacing w:line="360" w:lineRule="auto"/>
        <w:jc w:val="center"/>
        <w:rPr>
          <w:rFonts w:hint="eastAsia" w:ascii="宋体" w:hAnsi="宋体" w:cs="宋体"/>
          <w:color w:val="000000" w:themeColor="text1"/>
          <w:sz w:val="22"/>
          <w:szCs w:val="22"/>
          <w:highlight w:val="none"/>
          <w14:textFill>
            <w14:solidFill>
              <w14:schemeClr w14:val="tx1"/>
            </w14:solidFill>
          </w14:textFill>
        </w:rPr>
      </w:pPr>
    </w:p>
    <w:p w14:paraId="6D95CADA">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2693F56C">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153AFD30">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130FE2D2">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637D5799">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5A966318">
      <w:pPr>
        <w:spacing w:line="360" w:lineRule="auto"/>
        <w:ind w:firstLine="2323" w:firstLineChars="726"/>
        <w:rPr>
          <w:rFonts w:hint="eastAsia" w:ascii="宋体" w:hAnsi="宋体" w:cs="宋体"/>
          <w:color w:val="000000" w:themeColor="text1"/>
          <w:sz w:val="32"/>
          <w:szCs w:val="32"/>
          <w:highlight w:val="none"/>
          <w14:textFill>
            <w14:solidFill>
              <w14:schemeClr w14:val="tx1"/>
            </w14:solidFill>
          </w14:textFill>
        </w:rPr>
      </w:pPr>
    </w:p>
    <w:p w14:paraId="566479BE">
      <w:pPr>
        <w:spacing w:line="360" w:lineRule="auto"/>
        <w:ind w:firstLine="1160" w:firstLineChars="361"/>
        <w:rPr>
          <w:rFonts w:hint="eastAsia" w:ascii="宋体" w:hAnsi="宋体" w:cs="宋体"/>
          <w:color w:val="000000" w:themeColor="text1"/>
          <w:kern w:val="0"/>
          <w:szCs w:val="20"/>
          <w:highlight w:val="none"/>
          <w:u w:val="singl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甲方：</w:t>
      </w:r>
    </w:p>
    <w:p w14:paraId="679F48AF">
      <w:pPr>
        <w:spacing w:line="360" w:lineRule="auto"/>
        <w:ind w:firstLine="1160" w:firstLineChars="361"/>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乙方：</w:t>
      </w:r>
    </w:p>
    <w:p w14:paraId="64B45988">
      <w:pPr>
        <w:spacing w:line="360" w:lineRule="auto"/>
        <w:ind w:firstLine="1751" w:firstLineChars="545"/>
        <w:rPr>
          <w:rFonts w:hint="eastAsia" w:ascii="宋体" w:hAnsi="宋体" w:cs="宋体"/>
          <w:b/>
          <w:color w:val="000000" w:themeColor="text1"/>
          <w:sz w:val="32"/>
          <w:szCs w:val="32"/>
          <w:highlight w:val="none"/>
          <w14:textFill>
            <w14:solidFill>
              <w14:schemeClr w14:val="tx1"/>
            </w14:solidFill>
          </w14:textFill>
        </w:rPr>
      </w:pPr>
    </w:p>
    <w:p w14:paraId="75DBAF30">
      <w:pPr>
        <w:spacing w:line="360" w:lineRule="auto"/>
        <w:ind w:firstLine="1751" w:firstLineChars="545"/>
        <w:rPr>
          <w:rFonts w:hint="eastAsia" w:ascii="宋体" w:hAnsi="宋体" w:cs="宋体"/>
          <w:b/>
          <w:color w:val="000000" w:themeColor="text1"/>
          <w:sz w:val="32"/>
          <w:szCs w:val="32"/>
          <w:highlight w:val="none"/>
          <w14:textFill>
            <w14:solidFill>
              <w14:schemeClr w14:val="tx1"/>
            </w14:solidFill>
          </w14:textFill>
        </w:rPr>
      </w:pPr>
    </w:p>
    <w:p w14:paraId="07DCBD27">
      <w:pPr>
        <w:pStyle w:val="18"/>
        <w:spacing w:line="360" w:lineRule="auto"/>
        <w:ind w:firstLine="1995" w:firstLineChars="621"/>
        <w:rPr>
          <w:rFonts w:hint="eastAsia" w:hAnsi="宋体"/>
          <w:b/>
          <w:bCs/>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签订时间：二0</w:t>
      </w:r>
      <w:r>
        <w:rPr>
          <w:rFonts w:hint="eastAsia" w:hAnsi="宋体"/>
          <w:b/>
          <w:color w:val="000000" w:themeColor="text1"/>
          <w:sz w:val="32"/>
          <w:szCs w:val="32"/>
          <w:highlight w:val="none"/>
          <w:u w:val="single"/>
          <w14:textFill>
            <w14:solidFill>
              <w14:schemeClr w14:val="tx1"/>
            </w14:solidFill>
          </w14:textFill>
        </w:rPr>
        <w:t xml:space="preserve">   </w:t>
      </w:r>
      <w:r>
        <w:rPr>
          <w:rFonts w:hint="eastAsia" w:hAnsi="宋体"/>
          <w:b/>
          <w:color w:val="000000" w:themeColor="text1"/>
          <w:sz w:val="32"/>
          <w:szCs w:val="32"/>
          <w:highlight w:val="none"/>
          <w14:textFill>
            <w14:solidFill>
              <w14:schemeClr w14:val="tx1"/>
            </w14:solidFill>
          </w14:textFill>
        </w:rPr>
        <w:t>年  月   日</w:t>
      </w:r>
    </w:p>
    <w:p w14:paraId="3A512642">
      <w:pPr>
        <w:spacing w:line="360" w:lineRule="auto"/>
        <w:jc w:val="center"/>
        <w:rPr>
          <w:rFonts w:hint="eastAsia" w:ascii="宋体" w:hAnsi="宋体" w:cs="宋体"/>
          <w:b/>
          <w:color w:val="000000" w:themeColor="text1"/>
          <w:w w:val="90"/>
          <w:sz w:val="28"/>
          <w:szCs w:val="28"/>
          <w:highlight w:val="none"/>
          <w14:textFill>
            <w14:solidFill>
              <w14:schemeClr w14:val="tx1"/>
            </w14:solidFill>
          </w14:textFill>
        </w:rPr>
      </w:pPr>
    </w:p>
    <w:p w14:paraId="56358871">
      <w:pPr>
        <w:pStyle w:val="2"/>
        <w:jc w:val="center"/>
        <w:rPr>
          <w:color w:val="000000" w:themeColor="text1"/>
          <w:highlight w:val="none"/>
          <w14:textFill>
            <w14:solidFill>
              <w14:schemeClr w14:val="tx1"/>
            </w14:solidFill>
          </w14:textFill>
        </w:rPr>
      </w:pPr>
    </w:p>
    <w:p w14:paraId="5EC0486A">
      <w:pPr>
        <w:pStyle w:val="7"/>
        <w:spacing w:line="360" w:lineRule="auto"/>
        <w:jc w:val="center"/>
        <w:rPr>
          <w:color w:val="000000" w:themeColor="text1"/>
          <w:sz w:val="36"/>
          <w:szCs w:val="36"/>
          <w:highlight w:val="none"/>
          <w:u w:val="single"/>
          <w14:textFill>
            <w14:solidFill>
              <w14:schemeClr w14:val="tx1"/>
            </w14:solidFill>
          </w14:textFill>
        </w:rPr>
      </w:pPr>
    </w:p>
    <w:p w14:paraId="11A703E5">
      <w:pPr>
        <w:pStyle w:val="7"/>
        <w:spacing w:line="360" w:lineRule="auto"/>
        <w:jc w:val="center"/>
        <w:rPr>
          <w:color w:val="000000" w:themeColor="text1"/>
          <w:sz w:val="36"/>
          <w:szCs w:val="36"/>
          <w:highlight w:val="none"/>
          <w:u w:val="single"/>
          <w14:textFill>
            <w14:solidFill>
              <w14:schemeClr w14:val="tx1"/>
            </w14:solidFill>
          </w14:textFill>
        </w:rPr>
      </w:pPr>
    </w:p>
    <w:p w14:paraId="4F4D258F">
      <w:pPr>
        <w:pStyle w:val="7"/>
        <w:spacing w:line="360" w:lineRule="auto"/>
        <w:jc w:val="center"/>
        <w:rPr>
          <w:color w:val="000000" w:themeColor="text1"/>
          <w:sz w:val="36"/>
          <w:szCs w:val="36"/>
          <w:highlight w:val="none"/>
          <w:u w:val="single"/>
          <w14:textFill>
            <w14:solidFill>
              <w14:schemeClr w14:val="tx1"/>
            </w14:solidFill>
          </w14:textFill>
        </w:rPr>
      </w:pPr>
    </w:p>
    <w:p w14:paraId="5DA6AFB8">
      <w:pPr>
        <w:pStyle w:val="7"/>
        <w:spacing w:line="360" w:lineRule="auto"/>
        <w:jc w:val="center"/>
        <w:rPr>
          <w:color w:val="000000" w:themeColor="text1"/>
          <w:sz w:val="36"/>
          <w:szCs w:val="36"/>
          <w:highlight w:val="none"/>
          <w:u w:val="single"/>
          <w14:textFill>
            <w14:solidFill>
              <w14:schemeClr w14:val="tx1"/>
            </w14:solidFill>
          </w14:textFill>
        </w:rPr>
      </w:pPr>
    </w:p>
    <w:p w14:paraId="5EB01EB4">
      <w:pPr>
        <w:pStyle w:val="7"/>
        <w:spacing w:line="360" w:lineRule="auto"/>
        <w:jc w:val="center"/>
        <w:rPr>
          <w:color w:val="000000" w:themeColor="text1"/>
          <w:w w:val="80"/>
          <w:sz w:val="44"/>
          <w:szCs w:val="44"/>
          <w:highlight w:val="none"/>
          <w14:textFill>
            <w14:solidFill>
              <w14:schemeClr w14:val="tx1"/>
            </w14:solidFill>
          </w14:textFill>
        </w:rPr>
      </w:pPr>
      <w:r>
        <w:rPr>
          <w:rFonts w:hint="eastAsia"/>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14:textFill>
            <w14:solidFill>
              <w14:schemeClr w14:val="tx1"/>
            </w14:solidFill>
          </w14:textFill>
        </w:rPr>
        <w:t>合同</w:t>
      </w:r>
    </w:p>
    <w:p w14:paraId="2596B8B5">
      <w:pPr>
        <w:spacing w:line="380" w:lineRule="exact"/>
        <w:ind w:right="8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采购计划号：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合同编号：</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2238BF03">
      <w:pPr>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采购人（甲方）：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供应商（乙方）：</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604A5F6">
      <w:pPr>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项目编号：</w:t>
      </w:r>
      <w:r>
        <w:rPr>
          <w:rFonts w:ascii="宋体" w:hAnsi="宋体" w:cs="宋体"/>
          <w:color w:val="000000" w:themeColor="text1"/>
          <w:szCs w:val="21"/>
          <w:highlight w:val="none"/>
          <w:u w:val="single"/>
          <w14:textFill>
            <w14:solidFill>
              <w14:schemeClr w14:val="tx1"/>
            </w14:solidFill>
          </w14:textFill>
        </w:rPr>
        <w:t xml:space="preserve">                          </w:t>
      </w:r>
    </w:p>
    <w:p w14:paraId="2B5FC056">
      <w:pPr>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签订时间：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1362615C">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（是/否）</w:t>
      </w:r>
      <w:r>
        <w:rPr>
          <w:rFonts w:hint="eastAsia" w:ascii="宋体" w:hAnsi="宋体" w:cs="宋体"/>
          <w:color w:val="000000" w:themeColor="text1"/>
          <w:szCs w:val="21"/>
          <w:highlight w:val="none"/>
          <w14:textFill>
            <w14:solidFill>
              <w14:schemeClr w14:val="tx1"/>
            </w14:solidFill>
          </w14:textFill>
        </w:rPr>
        <w:t>。</w:t>
      </w:r>
    </w:p>
    <w:p w14:paraId="403DD02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参照《中华人民共和国政府采购法》《中华人民共和国民法典》等法律、法规规定，按照</w:t>
      </w:r>
      <w:r>
        <w:rPr>
          <w:rFonts w:hint="eastAsia" w:ascii="宋体" w:hAnsi="宋体"/>
          <w:color w:val="000000" w:themeColor="text1"/>
          <w:szCs w:val="21"/>
          <w:highlight w:val="none"/>
          <w14:textFill>
            <w14:solidFill>
              <w14:schemeClr w14:val="tx1"/>
            </w14:solidFill>
          </w14:textFill>
        </w:rPr>
        <w:t>磋商文件规定条款和乙方响应文件及其承诺，甲乙双方签订本合同。</w:t>
      </w:r>
    </w:p>
    <w:p w14:paraId="1E6737D2">
      <w:pPr>
        <w:spacing w:line="40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14:paraId="78D529FC">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1、服务成果一览表</w:t>
      </w:r>
    </w:p>
    <w:tbl>
      <w:tblPr>
        <w:tblStyle w:val="31"/>
        <w:tblW w:w="9360"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2340"/>
        <w:gridCol w:w="1260"/>
        <w:gridCol w:w="1260"/>
        <w:gridCol w:w="1440"/>
        <w:gridCol w:w="1260"/>
      </w:tblGrid>
      <w:tr w14:paraId="0DA0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0" w:type="dxa"/>
            <w:vAlign w:val="center"/>
          </w:tcPr>
          <w:p w14:paraId="24B89951">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080" w:type="dxa"/>
            <w:vAlign w:val="center"/>
          </w:tcPr>
          <w:p w14:paraId="58DE7A23">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标的名称</w:t>
            </w:r>
          </w:p>
        </w:tc>
        <w:tc>
          <w:tcPr>
            <w:tcW w:w="2340" w:type="dxa"/>
            <w:vAlign w:val="center"/>
          </w:tcPr>
          <w:p w14:paraId="6A007604">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服务内容、标准</w:t>
            </w:r>
          </w:p>
        </w:tc>
        <w:tc>
          <w:tcPr>
            <w:tcW w:w="1260" w:type="dxa"/>
            <w:vAlign w:val="center"/>
          </w:tcPr>
          <w:p w14:paraId="2EBC6779">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1260" w:type="dxa"/>
            <w:vAlign w:val="center"/>
          </w:tcPr>
          <w:p w14:paraId="0CDA55A4">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1440" w:type="dxa"/>
            <w:vAlign w:val="center"/>
          </w:tcPr>
          <w:p w14:paraId="2F142F66">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单价（元）</w:t>
            </w:r>
          </w:p>
        </w:tc>
        <w:tc>
          <w:tcPr>
            <w:tcW w:w="1260" w:type="dxa"/>
            <w:vAlign w:val="center"/>
          </w:tcPr>
          <w:p w14:paraId="346B2616">
            <w:pPr>
              <w:snapToGrid w:val="0"/>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金额（元）</w:t>
            </w:r>
          </w:p>
        </w:tc>
      </w:tr>
      <w:tr w14:paraId="624B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6F9DA7BE">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080" w:type="dxa"/>
            <w:vAlign w:val="center"/>
          </w:tcPr>
          <w:p w14:paraId="0E39164B">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2340" w:type="dxa"/>
            <w:vAlign w:val="center"/>
          </w:tcPr>
          <w:p w14:paraId="3F18EEDF">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260" w:type="dxa"/>
          </w:tcPr>
          <w:p w14:paraId="3A90C09F">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260" w:type="dxa"/>
          </w:tcPr>
          <w:p w14:paraId="5E3A64E8">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440" w:type="dxa"/>
            <w:vAlign w:val="center"/>
          </w:tcPr>
          <w:p w14:paraId="013E0DA0">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c>
          <w:tcPr>
            <w:tcW w:w="1260" w:type="dxa"/>
            <w:vAlign w:val="center"/>
          </w:tcPr>
          <w:p w14:paraId="449D5179">
            <w:pPr>
              <w:snapToGrid w:val="0"/>
              <w:spacing w:line="400" w:lineRule="exact"/>
              <w:jc w:val="center"/>
              <w:rPr>
                <w:rFonts w:hint="eastAsia" w:ascii="宋体" w:hAnsi="宋体" w:cs="宋体"/>
                <w:color w:val="000000" w:themeColor="text1"/>
                <w:highlight w:val="none"/>
                <w14:textFill>
                  <w14:solidFill>
                    <w14:schemeClr w14:val="tx1"/>
                  </w14:solidFill>
                </w14:textFill>
              </w:rPr>
            </w:pPr>
          </w:p>
        </w:tc>
      </w:tr>
      <w:tr w14:paraId="4DFD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7F7F3415">
            <w:pPr>
              <w:snapToGrid w:val="0"/>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人民币合计金额（大写）                          （小写）                 </w:t>
            </w:r>
          </w:p>
        </w:tc>
      </w:tr>
    </w:tbl>
    <w:p w14:paraId="244513B7">
      <w:pPr>
        <w:tabs>
          <w:tab w:val="left" w:pos="8280"/>
        </w:tabs>
        <w:snapToGrid w:val="0"/>
        <w:spacing w:line="400" w:lineRule="exact"/>
        <w:ind w:right="26"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w:t>
      </w:r>
      <w:r>
        <w:rPr>
          <w:rFonts w:hint="eastAsia" w:ascii="宋体" w:hAnsi="宋体" w:cs="宋体"/>
          <w:color w:val="000000" w:themeColor="text1"/>
          <w:highlight w:val="none"/>
          <w:u w:val="single"/>
          <w14:textFill>
            <w14:solidFill>
              <w14:schemeClr w14:val="tx1"/>
            </w14:solidFill>
          </w14:textFill>
        </w:rPr>
        <w:t>广西低空经济航线网络精细优化及主干航线划设方案研究项目</w:t>
      </w:r>
      <w:r>
        <w:rPr>
          <w:rFonts w:hint="eastAsia" w:ascii="宋体" w:hAnsi="宋体" w:cs="宋体"/>
          <w:color w:val="000000" w:themeColor="text1"/>
          <w:highlight w:val="none"/>
          <w14:textFill>
            <w14:solidFill>
              <w14:schemeClr w14:val="tx1"/>
            </w14:solidFill>
          </w14:textFill>
        </w:rPr>
        <w:t>的总金额为</w:t>
      </w:r>
      <w:r>
        <w:rPr>
          <w:rFonts w:hint="eastAsia" w:ascii="宋体" w:hAnsi="宋体" w:cs="宋体"/>
          <w:color w:val="000000" w:themeColor="text1"/>
          <w:highlight w:val="none"/>
          <w:u w:val="single"/>
          <w14:textFill>
            <w14:solidFill>
              <w14:schemeClr w14:val="tx1"/>
            </w14:solidFill>
          </w14:textFill>
        </w:rPr>
        <w:t>人民币       元整(小写：¥    元)</w:t>
      </w:r>
      <w:r>
        <w:rPr>
          <w:rFonts w:hint="eastAsia" w:ascii="宋体" w:hAnsi="宋体" w:cs="宋体"/>
          <w:color w:val="000000" w:themeColor="text1"/>
          <w:highlight w:val="none"/>
          <w14:textFill>
            <w14:solidFill>
              <w14:schemeClr w14:val="tx1"/>
            </w14:solidFill>
          </w14:textFill>
        </w:rPr>
        <w:t>，其中不含税金额为</w:t>
      </w:r>
      <w:r>
        <w:rPr>
          <w:rFonts w:hint="eastAsia" w:ascii="宋体" w:hAnsi="宋体" w:cs="宋体"/>
          <w:color w:val="000000" w:themeColor="text1"/>
          <w:highlight w:val="none"/>
          <w:u w:val="single"/>
          <w14:textFill>
            <w14:solidFill>
              <w14:schemeClr w14:val="tx1"/>
            </w14:solidFill>
          </w14:textFill>
        </w:rPr>
        <w:t>人民币    元整（小写：¥    元）</w:t>
      </w:r>
      <w:r>
        <w:rPr>
          <w:rFonts w:hint="eastAsia" w:ascii="宋体" w:hAnsi="宋体" w:cs="宋体"/>
          <w:color w:val="000000" w:themeColor="text1"/>
          <w:highlight w:val="none"/>
          <w14:textFill>
            <w14:solidFill>
              <w14:schemeClr w14:val="tx1"/>
            </w14:solidFill>
          </w14:textFill>
        </w:rPr>
        <w:t>，税金为</w:t>
      </w:r>
      <w:r>
        <w:rPr>
          <w:rFonts w:hint="eastAsia" w:ascii="宋体" w:hAnsi="宋体" w:cs="宋体"/>
          <w:color w:val="000000" w:themeColor="text1"/>
          <w:highlight w:val="none"/>
          <w:u w:val="single"/>
          <w14:textFill>
            <w14:solidFill>
              <w14:schemeClr w14:val="tx1"/>
            </w14:solidFill>
          </w14:textFill>
        </w:rPr>
        <w:t>人民币   元整（小写：¥    元）</w:t>
      </w:r>
      <w:r>
        <w:rPr>
          <w:rFonts w:hint="eastAsia" w:ascii="宋体" w:hAnsi="宋体" w:cs="宋体"/>
          <w:color w:val="000000" w:themeColor="text1"/>
          <w:highlight w:val="none"/>
          <w14:textFill>
            <w14:solidFill>
              <w14:schemeClr w14:val="tx1"/>
            </w14:solidFill>
          </w14:textFill>
        </w:rPr>
        <w:t>，税率为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14:paraId="091224DB">
      <w:pPr>
        <w:tabs>
          <w:tab w:val="left" w:pos="8280"/>
        </w:tabs>
        <w:snapToGrid w:val="0"/>
        <w:spacing w:line="400" w:lineRule="exact"/>
        <w:ind w:right="26"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3、合同金额</w:t>
      </w:r>
      <w:r>
        <w:rPr>
          <w:rFonts w:hint="eastAsia" w:ascii="宋体" w:hAnsi="宋体"/>
          <w:color w:val="000000" w:themeColor="text1"/>
          <w:szCs w:val="21"/>
          <w:highlight w:val="none"/>
          <w14:textFill>
            <w14:solidFill>
              <w14:schemeClr w14:val="tx1"/>
            </w14:solidFill>
          </w14:textFill>
        </w:rPr>
        <w:t>包括但不限于完成本项目服务工作所需的人员成本、劳务费、技术服务费、管理、交通、通讯、保险、利润、法律法规、政策性文件规定及合同包含的应有风险、责任等与本项目相关的所有费用，合同履行期间甲方不再支付额外的费用。</w:t>
      </w:r>
    </w:p>
    <w:p w14:paraId="181CA314">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第二条　质量保证</w:t>
      </w:r>
    </w:p>
    <w:p w14:paraId="1DA8EE9D">
      <w:pPr>
        <w:snapToGrid w:val="0"/>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乙方所提供的服务及服务内容必须与响应文件承诺相一致，</w:t>
      </w:r>
      <w:r>
        <w:rPr>
          <w:rFonts w:hint="eastAsia" w:ascii="宋体" w:hAnsi="宋体" w:cs="宋体"/>
          <w:color w:val="000000" w:themeColor="text1"/>
          <w:highlight w:val="none"/>
          <w14:textFill>
            <w14:solidFill>
              <w14:schemeClr w14:val="tx1"/>
            </w14:solidFill>
          </w14:textFill>
        </w:rPr>
        <w:t>服务成果需</w:t>
      </w:r>
      <w:r>
        <w:rPr>
          <w:rFonts w:hint="eastAsia" w:ascii="宋体" w:hAnsi="宋体" w:cs="宋体"/>
          <w:color w:val="000000" w:themeColor="text1"/>
          <w:kern w:val="0"/>
          <w:szCs w:val="21"/>
          <w:highlight w:val="none"/>
          <w14:textFill>
            <w14:solidFill>
              <w14:schemeClr w14:val="tx1"/>
            </w14:solidFill>
          </w14:textFill>
        </w:rPr>
        <w:t>符合国家铁路局</w:t>
      </w:r>
      <w:r>
        <w:rPr>
          <w:rFonts w:ascii="宋体" w:hAnsi="宋体" w:cs="宋体"/>
          <w:color w:val="000000" w:themeColor="text1"/>
          <w:kern w:val="0"/>
          <w:szCs w:val="21"/>
          <w:highlight w:val="none"/>
          <w14:textFill>
            <w14:solidFill>
              <w14:schemeClr w14:val="tx1"/>
            </w14:solidFill>
          </w14:textFill>
        </w:rPr>
        <w:t>相关设计规范以及采购文件中对项目的相关要求</w:t>
      </w:r>
      <w:r>
        <w:rPr>
          <w:rFonts w:hint="eastAsia" w:ascii="宋体" w:hAnsi="宋体" w:cs="宋体"/>
          <w:color w:val="000000" w:themeColor="text1"/>
          <w:szCs w:val="21"/>
          <w:highlight w:val="none"/>
          <w14:textFill>
            <w14:solidFill>
              <w14:schemeClr w14:val="tx1"/>
            </w14:solidFill>
          </w14:textFill>
        </w:rPr>
        <w:t>；有国家强制性标准的，还必须符合国家强制性标准的规定，没有国家强制性标准但有其他强制性标准的，必须符合其他强制性标准的规定。</w:t>
      </w:r>
    </w:p>
    <w:p w14:paraId="74D6C749">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第三条　权利保证</w:t>
      </w:r>
    </w:p>
    <w:p w14:paraId="6EA83BF2">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1、乙方应保证所提供的最终服务成果不会侵犯任何第三方的专利权、商标权、工业设计权、著作权或其他权利，且所有权、处分权等没有受到任何限制。</w:t>
      </w:r>
    </w:p>
    <w:p w14:paraId="471099A4">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2、乙方应按竞争性磋商采购文件规定的时间向甲方提供最终服务成果的有关技术资料。</w:t>
      </w:r>
    </w:p>
    <w:p w14:paraId="62E3039D">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也不得用于履行本合同之外的其他目的。即使向履行本合同有关的人员提供，也应注意保密并限于履行合同的必需范围。乙方的保密义务持续有效，不因为本合同履行终止、解除或者无效而解除。</w:t>
      </w:r>
    </w:p>
    <w:p w14:paraId="3A0E9279">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4、乙方所交付的规划编制成果以及所产生的数据知识产权</w:t>
      </w:r>
      <w:r>
        <w:rPr>
          <w:rFonts w:hint="eastAsia" w:ascii="宋体" w:hAnsi="宋体" w:cs="宋体"/>
          <w:color w:val="000000" w:themeColor="text1"/>
          <w:szCs w:val="21"/>
          <w:highlight w:val="none"/>
          <w14:textFill>
            <w14:solidFill>
              <w14:schemeClr w14:val="tx1"/>
            </w14:solidFill>
          </w14:textFill>
        </w:rPr>
        <w:t>及其完整所有权、使用权及转让权均归甲方所有。</w:t>
      </w:r>
      <w:r>
        <w:rPr>
          <w:rFonts w:hint="eastAsia" w:ascii="宋体" w:hAnsi="宋体" w:cs="宋体"/>
          <w:color w:val="000000" w:themeColor="text1"/>
          <w:highlight w:val="none"/>
          <w14:textFill>
            <w14:solidFill>
              <w14:schemeClr w14:val="tx1"/>
            </w14:solidFill>
          </w14:textFill>
        </w:rPr>
        <w:t>未经甲方授权，乙方不得使用或者将本合同成果披露或许可任何第三方使用，如有违反，乙方承担全部责任，甲方有权追究乙方的违约责任并要求乙方赔偿甲方受到的全部经济损失。</w:t>
      </w:r>
    </w:p>
    <w:p w14:paraId="5C161023">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第四条　交付、验收</w:t>
      </w:r>
    </w:p>
    <w:p w14:paraId="5575E2EF">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，服务地点：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68FCAF6">
      <w:pPr>
        <w:snapToGrid w:val="0"/>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2、乙方应按响应文件的承诺向甲方提供相应的服务，并提供所服务内容的相关技术资料。</w:t>
      </w:r>
    </w:p>
    <w:p w14:paraId="7569F490">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3、乙方提供不符合响应文件和本合同规定的服务成果，甲方有权拒绝接受。</w:t>
      </w:r>
    </w:p>
    <w:p w14:paraId="7CD8372A">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4、乙方完成服务后应及时书面通知甲方进行验收，甲方应在收到通知后七个工作日内进行验收。甲方验收合格后出具验收单并加盖采购人公章，甲乙双方各执一份。</w:t>
      </w:r>
    </w:p>
    <w:p w14:paraId="0DC93408">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5、甲乙双方应按照双方合同、响应文件验收。</w:t>
      </w:r>
    </w:p>
    <w:p w14:paraId="7ADDCE6D">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A451C4B">
      <w:pPr>
        <w:spacing w:line="38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7、甲方验收时以书面形式提出异议的，乙方应自收到甲方书面异议后五个工作日内及时予以解决，否则甲方有权拒绝出具服务验收合格单。</w:t>
      </w:r>
    </w:p>
    <w:p w14:paraId="385B23EA">
      <w:pPr>
        <w:snapToGrid w:val="0"/>
        <w:spacing w:line="46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售后服务及培训</w:t>
      </w:r>
    </w:p>
    <w:p w14:paraId="1B7DAA77">
      <w:pPr>
        <w:snapToGrid w:val="0"/>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1、乙方应按照国家有关法律法规和本合同要求为甲方提供相应的售后服务。</w:t>
      </w:r>
    </w:p>
    <w:p w14:paraId="3F0164A2">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2、甲方应提供必要测试条件（如场地、电源、水源等）。</w:t>
      </w:r>
    </w:p>
    <w:p w14:paraId="337E66AE">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3、乙方负责甲方有关人员的培训。培训时间、地点：</w:t>
      </w:r>
      <w:r>
        <w:rPr>
          <w:rFonts w:hint="eastAsia" w:ascii="宋体" w:hAnsi="宋体" w:cs="宋体"/>
          <w:color w:val="000000" w:themeColor="text1"/>
          <w:szCs w:val="21"/>
          <w:highlight w:val="none"/>
          <w:u w:val="single"/>
          <w14:textFill>
            <w14:solidFill>
              <w14:schemeClr w14:val="tx1"/>
            </w14:solidFill>
          </w14:textFill>
        </w:rPr>
        <w:t xml:space="preserve"> 按甲方要求</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335F429">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第六条　付款方式</w:t>
      </w:r>
    </w:p>
    <w:p w14:paraId="17E47F4C">
      <w:pPr>
        <w:snapToGrid w:val="0"/>
        <w:spacing w:line="400" w:lineRule="exact"/>
        <w:ind w:left="-61" w:leftChars="-29" w:firstLine="514" w:firstLineChars="245"/>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签订合同后30日内，甲方一次性支付给乙方合同金额的50%；乙方按要求完成最终成果并验收合格，甲方一次性支付合同金额的50%。乙方应在每次向甲方申请合同款前，提交包括但不限于请款函、发票等支付材料。</w:t>
      </w:r>
    </w:p>
    <w:p w14:paraId="33F43524">
      <w:pPr>
        <w:snapToGrid w:val="0"/>
        <w:spacing w:line="400" w:lineRule="exact"/>
        <w:ind w:left="-61" w:leftChars="-29" w:firstLine="517" w:firstLineChars="245"/>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第七条　履约保证金</w:t>
      </w:r>
    </w:p>
    <w:p w14:paraId="3AA77833">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履约保证金金额：按成交金额的</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%，乙方须于成交通知书发出之日起5个工作日内向甲方缴纳。</w:t>
      </w:r>
    </w:p>
    <w:p w14:paraId="45BB195D">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履约保证金递交方式：银行转账、支票、汇票、本票或者金融机构、担保机构出具的保函等非现金形式提交。</w:t>
      </w:r>
    </w:p>
    <w:p w14:paraId="35C8E0A6">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退付方式、时间及条件：合同签订后，如乙方按合同履约的，并按照服务要求履行承诺，自服务期满之日起，由乙方向甲方发出付款函，甲方自收到函件之日起十五个工作日内向乙方支付（无息）。如乙方不按双方签订的合同履约的，履约保证金不予退还，造成甲方损失的，按实际损失赔偿；</w:t>
      </w:r>
    </w:p>
    <w:p w14:paraId="765F0E4D">
      <w:pPr>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履约保证金收取单位指定账户：</w:t>
      </w:r>
    </w:p>
    <w:p w14:paraId="37B4A38C">
      <w:pPr>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开户名称：                 </w:t>
      </w:r>
    </w:p>
    <w:p w14:paraId="27F30A34">
      <w:pPr>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p w14:paraId="31DB2649">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p>
    <w:p w14:paraId="3F589D9B">
      <w:pPr>
        <w:snapToGrid w:val="0"/>
        <w:spacing w:line="400" w:lineRule="exact"/>
        <w:ind w:left="-61" w:firstLine="514"/>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第八条  税费</w:t>
      </w:r>
    </w:p>
    <w:p w14:paraId="45A30A0A">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本合同执行中相关的一切税费均由乙方负担。</w:t>
      </w:r>
    </w:p>
    <w:p w14:paraId="1AC50D75">
      <w:pPr>
        <w:spacing w:line="46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违约责任</w:t>
      </w:r>
    </w:p>
    <w:p w14:paraId="14A20398">
      <w:pPr>
        <w:tabs>
          <w:tab w:val="left" w:pos="180"/>
          <w:tab w:val="left" w:pos="360"/>
          <w:tab w:val="left" w:pos="540"/>
        </w:tabs>
        <w:spacing w:line="4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（一）甲方违约责任。</w:t>
      </w:r>
    </w:p>
    <w:p w14:paraId="267099A4">
      <w:pPr>
        <w:snapToGrid w:val="0"/>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1．甲方逾期30个工作日以上向乙方支付合同金额，造成项目实施工作停滞、延误的，每天向乙方偿付延期款额3‰滞纳金，但滞纳金累计不得超过延期款额5%。</w:t>
      </w:r>
    </w:p>
    <w:p w14:paraId="48C2DDA1">
      <w:pPr>
        <w:spacing w:line="4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（二）乙方违约责任。</w:t>
      </w:r>
    </w:p>
    <w:p w14:paraId="76BD340A">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出现以下情形之一的，甲方有权终止合同且无需支付合同解除后的合同后续费用，同时乙方应向甲方支付本合同总金额20%的违约金，并应当自收到甲方要求解除合同的函之日起5日内退还甲方已付出的所有服务费用，并赔偿由此给甲方造成的全部损失：</w:t>
      </w:r>
    </w:p>
    <w:p w14:paraId="53825992">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（1）违背甲方制定的项目服务内容的。</w:t>
      </w:r>
    </w:p>
    <w:p w14:paraId="4AB30C48">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）严格按照项目规定的技术标准和业务标准及甲方的要求实施并服务本项目，擅自调整本项目主体内容，经甲方要求整改但未一次整改完毕的。</w:t>
      </w:r>
    </w:p>
    <w:p w14:paraId="51EB029E">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）逾期提交成果数据超过</w:t>
      </w:r>
      <w:r>
        <w:rPr>
          <w:rFonts w:hint="eastAsia" w:ascii="宋体" w:hAnsi="宋体"/>
          <w:color w:val="000000" w:themeColor="text1"/>
          <w:szCs w:val="21"/>
          <w:highlight w:val="none"/>
          <w:u w:val="single"/>
          <w14:textFill>
            <w14:solidFill>
              <w14:schemeClr w14:val="tx1"/>
            </w14:solidFill>
          </w14:textFill>
        </w:rPr>
        <w:t xml:space="preserve"> 30 </w:t>
      </w:r>
      <w:r>
        <w:rPr>
          <w:rFonts w:hint="eastAsia" w:ascii="宋体" w:hAnsi="宋体"/>
          <w:color w:val="000000" w:themeColor="text1"/>
          <w:szCs w:val="21"/>
          <w:highlight w:val="none"/>
          <w14:textFill>
            <w14:solidFill>
              <w14:schemeClr w14:val="tx1"/>
            </w14:solidFill>
          </w14:textFill>
        </w:rPr>
        <w:t>天的。</w:t>
      </w:r>
    </w:p>
    <w:p w14:paraId="3FD046C8">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（5）提交的服务成果经甲方审核两次仍未能通过的。</w:t>
      </w:r>
    </w:p>
    <w:p w14:paraId="34384943">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（6）不配合甲方进行验收的。</w:t>
      </w:r>
    </w:p>
    <w:p w14:paraId="6E5F6AA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（7）擅自转包项目的。</w:t>
      </w:r>
    </w:p>
    <w:p w14:paraId="5D8C58CB">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2.未能按照本合同约定提供相应的服务，或对甲方问题的处理不能满足甲方的工作要求，影响甲方后续工作的，乙方按本合同总金额20%向甲方支付违约金并赔偿甲方全部损失。</w:t>
      </w:r>
    </w:p>
    <w:p w14:paraId="6C375DF4">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3.除不可抗力原因外，乙方没有按照合同规定的时间提供服务的，甲方可要求乙方支付违约金。每推迟一天按合同金额的3‰支付违约金，该违约金累计不超过合同金额的10%。</w:t>
      </w:r>
    </w:p>
    <w:p w14:paraId="231C3D4C">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4.乙方因履行本合同所发生的其他违约行为，按本合同金额的5%向甲方支付违约金，并赔偿甲方因此所造成全部损失。</w:t>
      </w:r>
    </w:p>
    <w:p w14:paraId="0D685691">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提供的服务侵犯了任何第三方合法权益而引发的任何纠纷或诉讼，均由乙方负责交涉并承担全部责任，如甲方为解决纠纷矛盾先期支付了费用的，乙方应当自收到甲方要求偿还费用的函之日起5日内向甲方偿还完毕。</w:t>
      </w:r>
    </w:p>
    <w:p w14:paraId="76CDB6D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6.本合同所称的甲方经济损失或者甲方损失，包括甲方遭受的全部直接经济损失及为此支出的合理费用（包括不限于为此支出的调查费、诉讼费、保全费、律师费、差旅费等）。</w:t>
      </w:r>
    </w:p>
    <w:p w14:paraId="4CED3359">
      <w:pPr>
        <w:snapToGrid w:val="0"/>
        <w:spacing w:line="38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7.乙方支付的违约金不足以弥补甲方损失的，应承担赔偿责任，甲方有权继续向乙方追偿。乙方应支付给甲方的任何款项，甲方有权从任何应支付未支付给乙方的款项中直接抵扣。</w:t>
      </w:r>
    </w:p>
    <w:p w14:paraId="42D7A8EF">
      <w:pPr>
        <w:snapToGrid w:val="0"/>
        <w:spacing w:line="400" w:lineRule="exact"/>
        <w:ind w:firstLine="413" w:firstLineChars="196"/>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第十条 不可抗力事件处理</w:t>
      </w:r>
    </w:p>
    <w:p w14:paraId="6678BD3A">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1、在合同有效期内，任何一方因不可抗力事件导致不能履行合同，则合同履行期可延长，其延长期与不可抗力影响期相同。</w:t>
      </w:r>
    </w:p>
    <w:p w14:paraId="41004332">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可抗力事件发生后，应立即通知对方，并寄送有关权威机构出具的证明。声称受到不可抗力影响的一方应在任何时候采取合理的行动，以避免或尽量减少不可抗力事件对本合同履约及双方利益的影响。因主观原因延误，未及时采取必要措施而导致损失扩大的，不能免除责任。</w:t>
      </w:r>
    </w:p>
    <w:p w14:paraId="421EA8EF">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3、不可抗力事件延续一百二十天以上，双方应通过友好协商，确定是否继续履行合同。</w:t>
      </w:r>
    </w:p>
    <w:p w14:paraId="2D43B583">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第十一条  合同争议解决</w:t>
      </w:r>
    </w:p>
    <w:p w14:paraId="19973085">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1、因履行本合同引起的或与本合同有关的争议，甲乙双方应首先通过友好协商解决，如果协商不能解决，可向甲方所在地人民法院提起诉讼。</w:t>
      </w:r>
    </w:p>
    <w:p w14:paraId="582D0E32">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2、诉讼期间，本合同继续履行。</w:t>
      </w:r>
    </w:p>
    <w:p w14:paraId="538670A0">
      <w:pPr>
        <w:snapToGrid w:val="0"/>
        <w:spacing w:line="400" w:lineRule="exact"/>
        <w:ind w:firstLine="413" w:firstLineChars="196"/>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第十二条  合同生效及其它</w:t>
      </w:r>
    </w:p>
    <w:p w14:paraId="679B8982">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1、合同经双方法定代表人或被授权代表签字并加盖单位公章后生效。</w:t>
      </w:r>
    </w:p>
    <w:p w14:paraId="54F722D5">
      <w:pPr>
        <w:snapToGrid w:val="0"/>
        <w:spacing w:line="400" w:lineRule="exact"/>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2、合同执行中涉及采购资金和采购内容修改或补充的，需签书面补充协议作为主合同不可分割的一部分。</w:t>
      </w:r>
    </w:p>
    <w:p w14:paraId="280020B8">
      <w:pPr>
        <w:snapToGrid w:val="0"/>
        <w:spacing w:line="400" w:lineRule="exact"/>
        <w:ind w:left="420" w:left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3、本合同未尽事宜，遵照《中华人民共和国民法典》有关条文执行。</w:t>
      </w:r>
    </w:p>
    <w:p w14:paraId="27F3F66E">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第十三条　合同的变更、终止与转让</w:t>
      </w:r>
    </w:p>
    <w:p w14:paraId="5541ADA8">
      <w:pPr>
        <w:snapToGrid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1、除《中华人民共和国政府采购法》第五十条规定的情形外，本合同一经签订，甲乙双方不得擅自变更、中止或终止。</w:t>
      </w:r>
    </w:p>
    <w:p w14:paraId="53AFDBC0">
      <w:pPr>
        <w:snapToGrid w:val="0"/>
        <w:spacing w:line="400" w:lineRule="exact"/>
        <w:ind w:left="-61" w:firstLine="51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2、乙方不得擅自转让其应履行的合同义务。</w:t>
      </w:r>
    </w:p>
    <w:p w14:paraId="1C8E26CD">
      <w:pPr>
        <w:snapToGrid w:val="0"/>
        <w:spacing w:line="400" w:lineRule="exact"/>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第十四条　签订本合同依据</w:t>
      </w:r>
    </w:p>
    <w:p w14:paraId="147335FB">
      <w:pPr>
        <w:snapToGrid w:val="0"/>
        <w:spacing w:line="400" w:lineRule="exact"/>
        <w:ind w:left="420" w:left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1、竞争性磋商文件；</w:t>
      </w:r>
    </w:p>
    <w:p w14:paraId="22EA97CE">
      <w:pPr>
        <w:snapToGrid w:val="0"/>
        <w:spacing w:line="400" w:lineRule="exact"/>
        <w:ind w:left="420" w:left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2、乙方提供的响应文件；</w:t>
      </w:r>
    </w:p>
    <w:p w14:paraId="1CCE8777">
      <w:pPr>
        <w:snapToGrid w:val="0"/>
        <w:spacing w:line="400" w:lineRule="exact"/>
        <w:ind w:left="420" w:left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3、成交通知书。</w:t>
      </w:r>
    </w:p>
    <w:p w14:paraId="3A2F9A9A">
      <w:pPr>
        <w:snapToGrid w:val="0"/>
        <w:spacing w:line="400" w:lineRule="exact"/>
        <w:ind w:firstLine="42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第十五条</w:t>
      </w:r>
      <w:r>
        <w:rPr>
          <w:rFonts w:hint="eastAsia" w:ascii="宋体" w:hAnsi="宋体" w:cs="宋体"/>
          <w:color w:val="000000" w:themeColor="text1"/>
          <w:highlight w:val="none"/>
          <w14:textFill>
            <w14:solidFill>
              <w14:schemeClr w14:val="tx1"/>
            </w14:solidFill>
          </w14:textFill>
        </w:rPr>
        <w:t>　本合同一式伍份，具有同等法律效力，采购代理机构壹份、甲方贰份、乙方贰份。</w:t>
      </w:r>
    </w:p>
    <w:tbl>
      <w:tblPr>
        <w:tblStyle w:val="3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F94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4F4ACC87">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甲方（章）        </w:t>
            </w:r>
          </w:p>
          <w:p w14:paraId="039534EF">
            <w:pPr>
              <w:snapToGrid w:val="0"/>
              <w:spacing w:line="360" w:lineRule="auto"/>
              <w:rPr>
                <w:rFonts w:hint="eastAsia" w:ascii="宋体" w:hAnsi="宋体"/>
                <w:color w:val="000000" w:themeColor="text1"/>
                <w:szCs w:val="21"/>
                <w:highlight w:val="none"/>
                <w14:textFill>
                  <w14:solidFill>
                    <w14:schemeClr w14:val="tx1"/>
                  </w14:solidFill>
                </w14:textFill>
              </w:rPr>
            </w:pPr>
          </w:p>
          <w:p w14:paraId="0E1C58CB">
            <w:pPr>
              <w:snapToGrid w:val="0"/>
              <w:spacing w:line="360" w:lineRule="auto"/>
              <w:ind w:firstLine="945" w:firstLineChars="45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tc>
        <w:tc>
          <w:tcPr>
            <w:tcW w:w="4517" w:type="dxa"/>
            <w:vAlign w:val="center"/>
          </w:tcPr>
          <w:p w14:paraId="70871E6A">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乙方（章）              </w:t>
            </w:r>
          </w:p>
          <w:p w14:paraId="0AA6AAF8">
            <w:pPr>
              <w:snapToGrid w:val="0"/>
              <w:spacing w:line="360" w:lineRule="auto"/>
              <w:rPr>
                <w:rFonts w:hint="eastAsia" w:ascii="宋体" w:hAnsi="宋体"/>
                <w:color w:val="000000" w:themeColor="text1"/>
                <w:szCs w:val="21"/>
                <w:highlight w:val="none"/>
                <w14:textFill>
                  <w14:solidFill>
                    <w14:schemeClr w14:val="tx1"/>
                  </w14:solidFill>
                </w14:textFill>
              </w:rPr>
            </w:pPr>
          </w:p>
          <w:p w14:paraId="36F99348">
            <w:pPr>
              <w:snapToGrid w:val="0"/>
              <w:spacing w:line="360" w:lineRule="auto"/>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r w14:paraId="1D89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0D73CA71">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c>
          <w:tcPr>
            <w:tcW w:w="4517" w:type="dxa"/>
            <w:vAlign w:val="center"/>
          </w:tcPr>
          <w:p w14:paraId="2E2A083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r>
      <w:tr w14:paraId="799D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14:paraId="395D0A8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c>
          <w:tcPr>
            <w:tcW w:w="4517" w:type="dxa"/>
          </w:tcPr>
          <w:p w14:paraId="4169242C">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r>
      <w:tr w14:paraId="5B4B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2BEA1867">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4517" w:type="dxa"/>
            <w:vAlign w:val="center"/>
          </w:tcPr>
          <w:p w14:paraId="4EB6F112">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r>
      <w:tr w14:paraId="66C8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6E46EB4F">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c>
          <w:tcPr>
            <w:tcW w:w="4517" w:type="dxa"/>
            <w:vAlign w:val="center"/>
          </w:tcPr>
          <w:p w14:paraId="31BE2618">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r>
      <w:tr w14:paraId="261C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28482351">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c>
          <w:tcPr>
            <w:tcW w:w="4517" w:type="dxa"/>
            <w:vAlign w:val="center"/>
          </w:tcPr>
          <w:p w14:paraId="727FA65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r>
      <w:tr w14:paraId="35C1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37C25A9A">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c>
          <w:tcPr>
            <w:tcW w:w="4517" w:type="dxa"/>
            <w:vAlign w:val="center"/>
          </w:tcPr>
          <w:p w14:paraId="361A9B37">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r>
      <w:tr w14:paraId="23A7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5E32B5C">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c>
          <w:tcPr>
            <w:tcW w:w="4517" w:type="dxa"/>
            <w:vAlign w:val="center"/>
          </w:tcPr>
          <w:p w14:paraId="07034629">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r>
    </w:tbl>
    <w:p w14:paraId="64998CCB">
      <w:pPr>
        <w:snapToGrid w:val="0"/>
        <w:spacing w:line="380" w:lineRule="exact"/>
        <w:jc w:val="center"/>
        <w:rPr>
          <w:rFonts w:hint="eastAsia" w:ascii="宋体" w:hAnsi="宋体" w:cs="宋体"/>
          <w:b/>
          <w:color w:val="000000" w:themeColor="text1"/>
          <w:sz w:val="32"/>
          <w:szCs w:val="32"/>
          <w:highlight w:val="none"/>
          <w14:textFill>
            <w14:solidFill>
              <w14:schemeClr w14:val="tx1"/>
            </w14:solidFill>
          </w14:textFill>
        </w:rPr>
      </w:pPr>
    </w:p>
    <w:p w14:paraId="71BB2973">
      <w:pPr>
        <w:rPr>
          <w:color w:val="000000" w:themeColor="text1"/>
          <w:highlight w:val="none"/>
          <w14:textFill>
            <w14:solidFill>
              <w14:schemeClr w14:val="tx1"/>
            </w14:solidFill>
          </w14:textFill>
        </w:rPr>
      </w:pPr>
    </w:p>
    <w:sectPr>
      <w:footerReference r:id="rId9" w:type="first"/>
      <w:headerReference r:id="rId7" w:type="default"/>
      <w:footerReference r:id="rId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4325E6-7358-41E8-91D6-3EBECFFF66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embedRegular r:id="rId2" w:fontKey="{3951995B-3C2B-4B38-973C-C39339DF3625}"/>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C72F10B3-CE74-4042-A3A9-02FF62508E3A}"/>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embedRegular r:id="rId4" w:fontKey="{8CDF34AF-A4CA-4464-B7D1-5CEDBF002493}"/>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E1093EC0-D378-452B-B9F3-5CDE1F5B8082}"/>
  </w:font>
  <w:font w:name="方正小标宋简体">
    <w:panose1 w:val="03000509000000000000"/>
    <w:charset w:val="86"/>
    <w:family w:val="script"/>
    <w:pitch w:val="default"/>
    <w:sig w:usb0="00000001" w:usb1="080E0000" w:usb2="00000000" w:usb3="00000000" w:csb0="00040000" w:csb1="00000000"/>
    <w:embedRegular r:id="rId6" w:fontKey="{46B66544-EC51-4117-9AA5-E7CE750C0BAB}"/>
  </w:font>
  <w:font w:name="MS Mincho">
    <w:panose1 w:val="02020609040205080304"/>
    <w:charset w:val="80"/>
    <w:family w:val="modern"/>
    <w:pitch w:val="default"/>
    <w:sig w:usb0="E00002FF" w:usb1="6AC7FDFB" w:usb2="08000012" w:usb3="00000000" w:csb0="4002009F" w:csb1="DFD70000"/>
    <w:embedRegular r:id="rId7" w:fontKey="{585F3E18-C18D-48DD-B424-678A986CD302}"/>
  </w:font>
  <w:font w:name="Arial Unicode MS">
    <w:altName w:val="宋体"/>
    <w:panose1 w:val="020B0604020202020204"/>
    <w:charset w:val="86"/>
    <w:family w:val="swiss"/>
    <w:pitch w:val="default"/>
    <w:sig w:usb0="00000000" w:usb1="00000000" w:usb2="0000003F" w:usb3="00000000" w:csb0="003F01FF" w:csb1="00000000"/>
    <w:embedRegular r:id="rId8" w:fontKey="{43BC1B31-7671-4025-AE76-FFE2A48BA850}"/>
  </w:font>
  <w:font w:name="Adobe 黑体 Std R">
    <w:altName w:val="黑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9" w:fontKey="{61A73F68-55A4-4F0A-9053-D1D1DF397A84}"/>
  </w:font>
  <w:font w:name="微软雅黑">
    <w:panose1 w:val="020B0503020204020204"/>
    <w:charset w:val="86"/>
    <w:family w:val="swiss"/>
    <w:pitch w:val="default"/>
    <w:sig w:usb0="80000287" w:usb1="2ACF3C50" w:usb2="00000016" w:usb3="00000000" w:csb0="0004001F" w:csb1="00000000"/>
    <w:embedRegular r:id="rId10" w:fontKey="{60CA150A-B428-4F94-BE45-A1181D07303B}"/>
  </w:font>
  <w:font w:name="Wingdings 2">
    <w:panose1 w:val="05020102010507070707"/>
    <w:charset w:val="02"/>
    <w:family w:val="roman"/>
    <w:pitch w:val="default"/>
    <w:sig w:usb0="00000000" w:usb1="00000000" w:usb2="00000000" w:usb3="00000000" w:csb0="80000000" w:csb1="00000000"/>
    <w:embedRegular r:id="rId11" w:fontKey="{8BF24DCD-3B8C-40B6-86D8-4316CA45E41E}"/>
  </w:font>
  <w:font w:name="WPSEMBED2">
    <w:panose1 w:val="020206090402050803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589F">
    <w:pPr>
      <w:pStyle w:val="21"/>
      <w:tabs>
        <w:tab w:val="center" w:pos="4439"/>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1905"/>
              <wp:wrapNone/>
              <wp:docPr id="412714887"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A22AB11">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3UTQAAAAAgEAAA8AAAAAAAAAAQAgAAAA&#10;IgAAAGRycy9kb3ducmV2LnhtbFBLAQIUABQAAAAIAIdO4kB8YO1REwIAAAwEAAAOAAAAAAAAAAEA&#10;IAAAAB8BAABkcnMvZTJvRG9jLnhtbFBLBQYAAAAABgAGAFkBAACkBQAAAAA=&#10;">
              <v:fill on="f" focussize="0,0"/>
              <v:stroke on="f"/>
              <v:imagedata o:title=""/>
              <o:lock v:ext="edit" aspectratio="f"/>
              <v:textbox inset="0mm,0mm,0mm,0mm" style="mso-fit-shape-to-text:t;">
                <w:txbxContent>
                  <w:p w14:paraId="6A22AB11">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6D9B941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9B15">
    <w:pPr>
      <w:pStyle w:val="21"/>
      <w:tabs>
        <w:tab w:val="center" w:pos="4439"/>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560726838"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05401AC"/>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B9ukSREwIAAA0EAAAOAAAAAAAAAAEA&#10;IAAAAB8BAABkcnMvZTJvRG9jLnhtbFBLBQYAAAAABgAGAFkBAACkBQAAAAA=&#10;">
              <v:fill on="f" focussize="0,0"/>
              <v:stroke on="f"/>
              <v:imagedata o:title=""/>
              <o:lock v:ext="edit" aspectratio="f"/>
              <v:textbox inset="0mm,0mm,0mm,0mm" style="mso-fit-shape-to-text:t;">
                <w:txbxContent>
                  <w:p w14:paraId="405401A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CD96">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252491480"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6519053">
                          <w:pPr>
                            <w:pStyle w:val="21"/>
                            <w:jc w:val="center"/>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MTZVZhcCAAAbBAAADgAAAAAA&#10;AAABACAAAAAfAQAAZHJzL2Uyb0RvYy54bWxQSwUGAAAAAAYABgBZAQAAqAUAAAAA&#10;">
              <v:fill on="f" focussize="0,0"/>
              <v:stroke on="f"/>
              <v:imagedata o:title=""/>
              <o:lock v:ext="edit" aspectratio="f"/>
              <v:textbox inset="0mm,0mm,0mm,0mm" style="mso-fit-shape-to-text:t;">
                <w:txbxContent>
                  <w:p w14:paraId="76519053">
                    <w:pPr>
                      <w:pStyle w:val="21"/>
                      <w:jc w:val="center"/>
                    </w:pPr>
                    <w:r>
                      <w:fldChar w:fldCharType="begin"/>
                    </w:r>
                    <w:r>
                      <w:instrText xml:space="preserve"> PAGE  \* MERGEFORMAT </w:instrText>
                    </w:r>
                    <w:r>
                      <w:fldChar w:fldCharType="separate"/>
                    </w:r>
                    <w:r>
                      <w:t>35</w:t>
                    </w:r>
                    <w:r>
                      <w:fldChar w:fldCharType="end"/>
                    </w:r>
                  </w:p>
                </w:txbxContent>
              </v:textbox>
            </v:shape>
          </w:pict>
        </mc:Fallback>
      </mc:AlternateContent>
    </w:r>
  </w:p>
  <w:p w14:paraId="71A6B99F">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BC71">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1532258489"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8212B7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V+SdAAAAADAQAADwAAAAAAAAAB&#10;ACAAAAAiAAAAZHJzL2Rvd25yZXYueG1sUEsBAhQAFAAAAAgAh07iQLxN+q4YAgAAHAQAAA4AAAAA&#10;AAAAAQAgAAAAHwEAAGRycy9lMm9Eb2MueG1sUEsFBgAAAAAGAAYAWQEAAKkFAAAAAA==&#10;">
              <v:fill on="f" focussize="0,0"/>
              <v:stroke on="f"/>
              <v:imagedata o:title=""/>
              <o:lock v:ext="edit" aspectratio="f"/>
              <v:textbox inset="0mm,0mm,0mm,0mm" style="mso-fit-shape-to-text:t;">
                <w:txbxContent>
                  <w:p w14:paraId="48212B7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2C5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7A60">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B025">
    <w:pPr>
      <w:pStyle w:val="22"/>
    </w:pPr>
    <w:r>
      <w:rPr>
        <w:rFonts w:hint="eastAsia"/>
      </w:rPr>
      <w:t>政府采购竞争性磋商采购文件（项目编号：GXZC2025-C3- -GXJT）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NDRjNDc0ZGU0NDZhYTNjZTAzMmYyZmExODUxMTQ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1548"/>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256"/>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04C4"/>
    <w:rsid w:val="000A13F3"/>
    <w:rsid w:val="000A23B1"/>
    <w:rsid w:val="000A2B0E"/>
    <w:rsid w:val="000A398F"/>
    <w:rsid w:val="000A3BB7"/>
    <w:rsid w:val="000A448C"/>
    <w:rsid w:val="000A509C"/>
    <w:rsid w:val="000A54A7"/>
    <w:rsid w:val="000A6007"/>
    <w:rsid w:val="000A65A6"/>
    <w:rsid w:val="000A6F4F"/>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1939"/>
    <w:rsid w:val="000D2626"/>
    <w:rsid w:val="000D291C"/>
    <w:rsid w:val="000D3FB6"/>
    <w:rsid w:val="000D411D"/>
    <w:rsid w:val="000D4589"/>
    <w:rsid w:val="000D4809"/>
    <w:rsid w:val="000D73DD"/>
    <w:rsid w:val="000E1C51"/>
    <w:rsid w:val="000E28AB"/>
    <w:rsid w:val="000E2E3E"/>
    <w:rsid w:val="000E3583"/>
    <w:rsid w:val="000E3AF0"/>
    <w:rsid w:val="000E4E04"/>
    <w:rsid w:val="000E5D9A"/>
    <w:rsid w:val="000E693B"/>
    <w:rsid w:val="000E6EC9"/>
    <w:rsid w:val="000E70B4"/>
    <w:rsid w:val="000E79BA"/>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29B5"/>
    <w:rsid w:val="001029D1"/>
    <w:rsid w:val="00103646"/>
    <w:rsid w:val="00103918"/>
    <w:rsid w:val="00104897"/>
    <w:rsid w:val="00104EDE"/>
    <w:rsid w:val="00105CDA"/>
    <w:rsid w:val="00106BEE"/>
    <w:rsid w:val="00107C74"/>
    <w:rsid w:val="0011091C"/>
    <w:rsid w:val="00111266"/>
    <w:rsid w:val="001112EB"/>
    <w:rsid w:val="00112212"/>
    <w:rsid w:val="00112768"/>
    <w:rsid w:val="00113678"/>
    <w:rsid w:val="00113C3E"/>
    <w:rsid w:val="001143CC"/>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5C7B"/>
    <w:rsid w:val="001263B8"/>
    <w:rsid w:val="0012763E"/>
    <w:rsid w:val="00130217"/>
    <w:rsid w:val="00130783"/>
    <w:rsid w:val="00130A47"/>
    <w:rsid w:val="00130D7C"/>
    <w:rsid w:val="00130D80"/>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5FBA"/>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30E3"/>
    <w:rsid w:val="0016428A"/>
    <w:rsid w:val="001647C9"/>
    <w:rsid w:val="00165627"/>
    <w:rsid w:val="00165929"/>
    <w:rsid w:val="001661A3"/>
    <w:rsid w:val="00167226"/>
    <w:rsid w:val="0016782B"/>
    <w:rsid w:val="0016784D"/>
    <w:rsid w:val="00171BA2"/>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561B"/>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9FD"/>
    <w:rsid w:val="001A5BA2"/>
    <w:rsid w:val="001A5E24"/>
    <w:rsid w:val="001A6B27"/>
    <w:rsid w:val="001A6D8B"/>
    <w:rsid w:val="001A6DAA"/>
    <w:rsid w:val="001A7717"/>
    <w:rsid w:val="001A793A"/>
    <w:rsid w:val="001B1162"/>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636"/>
    <w:rsid w:val="001D7BC6"/>
    <w:rsid w:val="001E129E"/>
    <w:rsid w:val="001E175C"/>
    <w:rsid w:val="001E1B0E"/>
    <w:rsid w:val="001E3B63"/>
    <w:rsid w:val="001E439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378"/>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B61"/>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05E"/>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B4B"/>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6486"/>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73C"/>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59ED"/>
    <w:rsid w:val="003A60E7"/>
    <w:rsid w:val="003A6FCE"/>
    <w:rsid w:val="003A7092"/>
    <w:rsid w:val="003A72A1"/>
    <w:rsid w:val="003A7611"/>
    <w:rsid w:val="003A7D1F"/>
    <w:rsid w:val="003B0B6A"/>
    <w:rsid w:val="003B22F7"/>
    <w:rsid w:val="003B29CF"/>
    <w:rsid w:val="003B3A90"/>
    <w:rsid w:val="003B534F"/>
    <w:rsid w:val="003B5E4F"/>
    <w:rsid w:val="003B7A79"/>
    <w:rsid w:val="003C0F1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3E68"/>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475C7"/>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530"/>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3D62"/>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81B"/>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4F74DD"/>
    <w:rsid w:val="00500258"/>
    <w:rsid w:val="00500B2D"/>
    <w:rsid w:val="00501A99"/>
    <w:rsid w:val="00502A4B"/>
    <w:rsid w:val="00503180"/>
    <w:rsid w:val="005038A4"/>
    <w:rsid w:val="0050456D"/>
    <w:rsid w:val="00505450"/>
    <w:rsid w:val="005100B7"/>
    <w:rsid w:val="005113C9"/>
    <w:rsid w:val="00511485"/>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0F40"/>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CF6"/>
    <w:rsid w:val="00540EA1"/>
    <w:rsid w:val="0054358E"/>
    <w:rsid w:val="00543AF4"/>
    <w:rsid w:val="00544191"/>
    <w:rsid w:val="0054440C"/>
    <w:rsid w:val="005448EC"/>
    <w:rsid w:val="00544C0A"/>
    <w:rsid w:val="00544F39"/>
    <w:rsid w:val="005451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1B3C"/>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4CB6"/>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E7483"/>
    <w:rsid w:val="005F009E"/>
    <w:rsid w:val="005F0DF1"/>
    <w:rsid w:val="005F1516"/>
    <w:rsid w:val="005F229E"/>
    <w:rsid w:val="005F2564"/>
    <w:rsid w:val="005F3822"/>
    <w:rsid w:val="005F4635"/>
    <w:rsid w:val="005F4900"/>
    <w:rsid w:val="005F4E52"/>
    <w:rsid w:val="005F600C"/>
    <w:rsid w:val="005F618B"/>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1F7C"/>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1A2"/>
    <w:rsid w:val="00641D6D"/>
    <w:rsid w:val="00641FAC"/>
    <w:rsid w:val="00643664"/>
    <w:rsid w:val="00643CAA"/>
    <w:rsid w:val="00644F16"/>
    <w:rsid w:val="00645167"/>
    <w:rsid w:val="006455EB"/>
    <w:rsid w:val="006456C2"/>
    <w:rsid w:val="00645A65"/>
    <w:rsid w:val="006477F0"/>
    <w:rsid w:val="006478E4"/>
    <w:rsid w:val="0065171A"/>
    <w:rsid w:val="00652680"/>
    <w:rsid w:val="0065271A"/>
    <w:rsid w:val="00653CDE"/>
    <w:rsid w:val="00654585"/>
    <w:rsid w:val="00655AB6"/>
    <w:rsid w:val="00656281"/>
    <w:rsid w:val="0065636A"/>
    <w:rsid w:val="00657003"/>
    <w:rsid w:val="00660238"/>
    <w:rsid w:val="006602EF"/>
    <w:rsid w:val="00661277"/>
    <w:rsid w:val="006619E0"/>
    <w:rsid w:val="006633FA"/>
    <w:rsid w:val="00663FEA"/>
    <w:rsid w:val="00664803"/>
    <w:rsid w:val="00665764"/>
    <w:rsid w:val="006657C5"/>
    <w:rsid w:val="00665C93"/>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0C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3D2"/>
    <w:rsid w:val="006C16C3"/>
    <w:rsid w:val="006C2187"/>
    <w:rsid w:val="006C2F8A"/>
    <w:rsid w:val="006C31C5"/>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72A"/>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2B1F"/>
    <w:rsid w:val="00753C48"/>
    <w:rsid w:val="00754250"/>
    <w:rsid w:val="00754FE4"/>
    <w:rsid w:val="00755216"/>
    <w:rsid w:val="00756236"/>
    <w:rsid w:val="00756271"/>
    <w:rsid w:val="00756348"/>
    <w:rsid w:val="00756521"/>
    <w:rsid w:val="00756AB7"/>
    <w:rsid w:val="0076106D"/>
    <w:rsid w:val="0076189A"/>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812"/>
    <w:rsid w:val="007B7490"/>
    <w:rsid w:val="007C0525"/>
    <w:rsid w:val="007C09CE"/>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159A"/>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1846"/>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5FF"/>
    <w:rsid w:val="008477E7"/>
    <w:rsid w:val="00847C2B"/>
    <w:rsid w:val="00850272"/>
    <w:rsid w:val="008506B9"/>
    <w:rsid w:val="00851822"/>
    <w:rsid w:val="00852AB2"/>
    <w:rsid w:val="008532BF"/>
    <w:rsid w:val="008539B2"/>
    <w:rsid w:val="00853BF4"/>
    <w:rsid w:val="00854294"/>
    <w:rsid w:val="0085572E"/>
    <w:rsid w:val="00856AF3"/>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6CC8"/>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BA3"/>
    <w:rsid w:val="008C6118"/>
    <w:rsid w:val="008C6341"/>
    <w:rsid w:val="008C731F"/>
    <w:rsid w:val="008C74D9"/>
    <w:rsid w:val="008D03C2"/>
    <w:rsid w:val="008D12FB"/>
    <w:rsid w:val="008D3B2D"/>
    <w:rsid w:val="008D4DB2"/>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6DAE"/>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B9B"/>
    <w:rsid w:val="00905D7E"/>
    <w:rsid w:val="00907037"/>
    <w:rsid w:val="0091112C"/>
    <w:rsid w:val="0091160A"/>
    <w:rsid w:val="00912E04"/>
    <w:rsid w:val="00913258"/>
    <w:rsid w:val="00913851"/>
    <w:rsid w:val="00913BB0"/>
    <w:rsid w:val="0091456C"/>
    <w:rsid w:val="00914C58"/>
    <w:rsid w:val="00914F53"/>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4D59"/>
    <w:rsid w:val="00926112"/>
    <w:rsid w:val="0092625F"/>
    <w:rsid w:val="00926B28"/>
    <w:rsid w:val="00926D9C"/>
    <w:rsid w:val="00927028"/>
    <w:rsid w:val="00927763"/>
    <w:rsid w:val="00927A2D"/>
    <w:rsid w:val="00927B37"/>
    <w:rsid w:val="00931917"/>
    <w:rsid w:val="00932001"/>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1D1B"/>
    <w:rsid w:val="00942306"/>
    <w:rsid w:val="00942384"/>
    <w:rsid w:val="009424B8"/>
    <w:rsid w:val="00942E90"/>
    <w:rsid w:val="00944668"/>
    <w:rsid w:val="00944DC6"/>
    <w:rsid w:val="009458B0"/>
    <w:rsid w:val="00945B52"/>
    <w:rsid w:val="00945B7A"/>
    <w:rsid w:val="00945F05"/>
    <w:rsid w:val="00946348"/>
    <w:rsid w:val="00947797"/>
    <w:rsid w:val="009478A2"/>
    <w:rsid w:val="0095200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7E0"/>
    <w:rsid w:val="00977CD6"/>
    <w:rsid w:val="0098048B"/>
    <w:rsid w:val="00980DF9"/>
    <w:rsid w:val="00981150"/>
    <w:rsid w:val="00981285"/>
    <w:rsid w:val="0098243D"/>
    <w:rsid w:val="00982D26"/>
    <w:rsid w:val="00983B6E"/>
    <w:rsid w:val="00983FE5"/>
    <w:rsid w:val="009849E9"/>
    <w:rsid w:val="009859E4"/>
    <w:rsid w:val="00987812"/>
    <w:rsid w:val="00990225"/>
    <w:rsid w:val="00991461"/>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4BAE"/>
    <w:rsid w:val="009A57D0"/>
    <w:rsid w:val="009A6559"/>
    <w:rsid w:val="009A68FC"/>
    <w:rsid w:val="009A6CE4"/>
    <w:rsid w:val="009A7514"/>
    <w:rsid w:val="009A7E7A"/>
    <w:rsid w:val="009B1584"/>
    <w:rsid w:val="009B18F0"/>
    <w:rsid w:val="009B1F4C"/>
    <w:rsid w:val="009B1F79"/>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B98"/>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27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5765A"/>
    <w:rsid w:val="00A61C60"/>
    <w:rsid w:val="00A61ECB"/>
    <w:rsid w:val="00A6410C"/>
    <w:rsid w:val="00A647B1"/>
    <w:rsid w:val="00A64DEF"/>
    <w:rsid w:val="00A654D2"/>
    <w:rsid w:val="00A665DF"/>
    <w:rsid w:val="00A67928"/>
    <w:rsid w:val="00A67FCC"/>
    <w:rsid w:val="00A70AA5"/>
    <w:rsid w:val="00A70C03"/>
    <w:rsid w:val="00A71256"/>
    <w:rsid w:val="00A7217B"/>
    <w:rsid w:val="00A7348F"/>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6B17"/>
    <w:rsid w:val="00A974CC"/>
    <w:rsid w:val="00AA1067"/>
    <w:rsid w:val="00AA2001"/>
    <w:rsid w:val="00AA2B5C"/>
    <w:rsid w:val="00AA32D2"/>
    <w:rsid w:val="00AA4016"/>
    <w:rsid w:val="00AA4C1F"/>
    <w:rsid w:val="00AA5328"/>
    <w:rsid w:val="00AA5393"/>
    <w:rsid w:val="00AA63D4"/>
    <w:rsid w:val="00AB03FD"/>
    <w:rsid w:val="00AB0993"/>
    <w:rsid w:val="00AB2000"/>
    <w:rsid w:val="00AB2E94"/>
    <w:rsid w:val="00AB38CB"/>
    <w:rsid w:val="00AB3BEC"/>
    <w:rsid w:val="00AB44E4"/>
    <w:rsid w:val="00AB4AEB"/>
    <w:rsid w:val="00AB4E5F"/>
    <w:rsid w:val="00AB4EC9"/>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3B4E"/>
    <w:rsid w:val="00AD4014"/>
    <w:rsid w:val="00AD41B3"/>
    <w:rsid w:val="00AD5721"/>
    <w:rsid w:val="00AD5C4D"/>
    <w:rsid w:val="00AD69F0"/>
    <w:rsid w:val="00AD7084"/>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5808"/>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3D5B"/>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1C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59A2"/>
    <w:rsid w:val="00BC62F4"/>
    <w:rsid w:val="00BC6E73"/>
    <w:rsid w:val="00BC74D3"/>
    <w:rsid w:val="00BD0014"/>
    <w:rsid w:val="00BD01D8"/>
    <w:rsid w:val="00BD255F"/>
    <w:rsid w:val="00BD2895"/>
    <w:rsid w:val="00BD4236"/>
    <w:rsid w:val="00BD4764"/>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3C4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452B"/>
    <w:rsid w:val="00C6540A"/>
    <w:rsid w:val="00C668A1"/>
    <w:rsid w:val="00C67223"/>
    <w:rsid w:val="00C707B8"/>
    <w:rsid w:val="00C712AC"/>
    <w:rsid w:val="00C71C15"/>
    <w:rsid w:val="00C71F3D"/>
    <w:rsid w:val="00C72A14"/>
    <w:rsid w:val="00C72F53"/>
    <w:rsid w:val="00C74035"/>
    <w:rsid w:val="00C748EA"/>
    <w:rsid w:val="00C77818"/>
    <w:rsid w:val="00C8063F"/>
    <w:rsid w:val="00C81282"/>
    <w:rsid w:val="00C827B4"/>
    <w:rsid w:val="00C82E1A"/>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0909"/>
    <w:rsid w:val="00CF1D74"/>
    <w:rsid w:val="00CF2BE2"/>
    <w:rsid w:val="00CF3DEB"/>
    <w:rsid w:val="00CF55F9"/>
    <w:rsid w:val="00CF7074"/>
    <w:rsid w:val="00CF7390"/>
    <w:rsid w:val="00CF7495"/>
    <w:rsid w:val="00D0004E"/>
    <w:rsid w:val="00D01CF9"/>
    <w:rsid w:val="00D0334D"/>
    <w:rsid w:val="00D0374D"/>
    <w:rsid w:val="00D06D7B"/>
    <w:rsid w:val="00D06DA5"/>
    <w:rsid w:val="00D07191"/>
    <w:rsid w:val="00D07F1D"/>
    <w:rsid w:val="00D10558"/>
    <w:rsid w:val="00D11D4D"/>
    <w:rsid w:val="00D126DC"/>
    <w:rsid w:val="00D12B03"/>
    <w:rsid w:val="00D13E70"/>
    <w:rsid w:val="00D14F1F"/>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951"/>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16DE"/>
    <w:rsid w:val="00E121CE"/>
    <w:rsid w:val="00E1478B"/>
    <w:rsid w:val="00E14FAC"/>
    <w:rsid w:val="00E15007"/>
    <w:rsid w:val="00E16277"/>
    <w:rsid w:val="00E16EC7"/>
    <w:rsid w:val="00E219CE"/>
    <w:rsid w:val="00E24071"/>
    <w:rsid w:val="00E24EBC"/>
    <w:rsid w:val="00E2522C"/>
    <w:rsid w:val="00E2552F"/>
    <w:rsid w:val="00E2599B"/>
    <w:rsid w:val="00E26AD6"/>
    <w:rsid w:val="00E2710C"/>
    <w:rsid w:val="00E27428"/>
    <w:rsid w:val="00E305B4"/>
    <w:rsid w:val="00E31AFA"/>
    <w:rsid w:val="00E31CB7"/>
    <w:rsid w:val="00E324EE"/>
    <w:rsid w:val="00E32990"/>
    <w:rsid w:val="00E3332C"/>
    <w:rsid w:val="00E34DB1"/>
    <w:rsid w:val="00E35931"/>
    <w:rsid w:val="00E359FF"/>
    <w:rsid w:val="00E3660A"/>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60A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969D8"/>
    <w:rsid w:val="00EA14C8"/>
    <w:rsid w:val="00EA2110"/>
    <w:rsid w:val="00EA2346"/>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3415"/>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6E41"/>
    <w:rsid w:val="00F176A6"/>
    <w:rsid w:val="00F202C2"/>
    <w:rsid w:val="00F212F6"/>
    <w:rsid w:val="00F22756"/>
    <w:rsid w:val="00F23248"/>
    <w:rsid w:val="00F23890"/>
    <w:rsid w:val="00F2504D"/>
    <w:rsid w:val="00F2637F"/>
    <w:rsid w:val="00F268F7"/>
    <w:rsid w:val="00F30B83"/>
    <w:rsid w:val="00F30BDB"/>
    <w:rsid w:val="00F30CF8"/>
    <w:rsid w:val="00F3186C"/>
    <w:rsid w:val="00F31EDF"/>
    <w:rsid w:val="00F32CDE"/>
    <w:rsid w:val="00F32D4C"/>
    <w:rsid w:val="00F3327E"/>
    <w:rsid w:val="00F338C3"/>
    <w:rsid w:val="00F34B14"/>
    <w:rsid w:val="00F34F58"/>
    <w:rsid w:val="00F35DA7"/>
    <w:rsid w:val="00F36A6A"/>
    <w:rsid w:val="00F40101"/>
    <w:rsid w:val="00F404F7"/>
    <w:rsid w:val="00F40CCA"/>
    <w:rsid w:val="00F42D97"/>
    <w:rsid w:val="00F42DED"/>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7C6"/>
    <w:rsid w:val="00F57FD0"/>
    <w:rsid w:val="00F60305"/>
    <w:rsid w:val="00F61B12"/>
    <w:rsid w:val="00F63264"/>
    <w:rsid w:val="00F634E4"/>
    <w:rsid w:val="00F6379E"/>
    <w:rsid w:val="00F63CE5"/>
    <w:rsid w:val="00F64047"/>
    <w:rsid w:val="00F64FEF"/>
    <w:rsid w:val="00F65171"/>
    <w:rsid w:val="00F6560D"/>
    <w:rsid w:val="00F65C23"/>
    <w:rsid w:val="00F67844"/>
    <w:rsid w:val="00F70799"/>
    <w:rsid w:val="00F70A8B"/>
    <w:rsid w:val="00F70B8D"/>
    <w:rsid w:val="00F71936"/>
    <w:rsid w:val="00F724FB"/>
    <w:rsid w:val="00F726B8"/>
    <w:rsid w:val="00F72A26"/>
    <w:rsid w:val="00F73315"/>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24C2"/>
    <w:rsid w:val="00F93ABB"/>
    <w:rsid w:val="00F94D79"/>
    <w:rsid w:val="00F9658C"/>
    <w:rsid w:val="00F97A7F"/>
    <w:rsid w:val="00FA0889"/>
    <w:rsid w:val="00FA16E7"/>
    <w:rsid w:val="00FA31C7"/>
    <w:rsid w:val="00FA472D"/>
    <w:rsid w:val="00FB0CBF"/>
    <w:rsid w:val="00FB18F6"/>
    <w:rsid w:val="00FB2A52"/>
    <w:rsid w:val="00FB3F92"/>
    <w:rsid w:val="00FB4596"/>
    <w:rsid w:val="00FB52C7"/>
    <w:rsid w:val="00FB57DC"/>
    <w:rsid w:val="00FB6E19"/>
    <w:rsid w:val="00FB71F6"/>
    <w:rsid w:val="00FC026B"/>
    <w:rsid w:val="00FC0AF8"/>
    <w:rsid w:val="00FC1483"/>
    <w:rsid w:val="00FC1C47"/>
    <w:rsid w:val="00FC3102"/>
    <w:rsid w:val="00FC39ED"/>
    <w:rsid w:val="00FC4419"/>
    <w:rsid w:val="00FC463C"/>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65AA"/>
    <w:rsid w:val="00FE7A68"/>
    <w:rsid w:val="00FF0231"/>
    <w:rsid w:val="00FF1C9B"/>
    <w:rsid w:val="00FF1D49"/>
    <w:rsid w:val="00FF203B"/>
    <w:rsid w:val="00FF2562"/>
    <w:rsid w:val="00FF3937"/>
    <w:rsid w:val="00FF3A41"/>
    <w:rsid w:val="00FF3E5B"/>
    <w:rsid w:val="00FF57E4"/>
    <w:rsid w:val="00FF78E5"/>
    <w:rsid w:val="011E342A"/>
    <w:rsid w:val="01AC1210"/>
    <w:rsid w:val="01AF3D99"/>
    <w:rsid w:val="020E773E"/>
    <w:rsid w:val="02511F9D"/>
    <w:rsid w:val="0254416B"/>
    <w:rsid w:val="03A314B8"/>
    <w:rsid w:val="03D82B98"/>
    <w:rsid w:val="03F83E8B"/>
    <w:rsid w:val="05585C8F"/>
    <w:rsid w:val="05A50043"/>
    <w:rsid w:val="05C56868"/>
    <w:rsid w:val="05EC62B9"/>
    <w:rsid w:val="05F11C76"/>
    <w:rsid w:val="061271C3"/>
    <w:rsid w:val="06224324"/>
    <w:rsid w:val="064245A1"/>
    <w:rsid w:val="06725065"/>
    <w:rsid w:val="06743211"/>
    <w:rsid w:val="07216577"/>
    <w:rsid w:val="07877976"/>
    <w:rsid w:val="07B72767"/>
    <w:rsid w:val="07E83760"/>
    <w:rsid w:val="08077E72"/>
    <w:rsid w:val="08882DD0"/>
    <w:rsid w:val="09342A84"/>
    <w:rsid w:val="09CC2AAC"/>
    <w:rsid w:val="09D26E76"/>
    <w:rsid w:val="09F61FD3"/>
    <w:rsid w:val="0A3960E0"/>
    <w:rsid w:val="0A652D3E"/>
    <w:rsid w:val="0ACA1294"/>
    <w:rsid w:val="0ACC6F5D"/>
    <w:rsid w:val="0B326F2A"/>
    <w:rsid w:val="0BEC199B"/>
    <w:rsid w:val="0C1E2888"/>
    <w:rsid w:val="0C2F2A94"/>
    <w:rsid w:val="0C92213C"/>
    <w:rsid w:val="0D010DF4"/>
    <w:rsid w:val="0D043C5F"/>
    <w:rsid w:val="0D44073D"/>
    <w:rsid w:val="0D84032B"/>
    <w:rsid w:val="0F2A74C4"/>
    <w:rsid w:val="102E7F60"/>
    <w:rsid w:val="1082488E"/>
    <w:rsid w:val="10A27F31"/>
    <w:rsid w:val="10EA6CFB"/>
    <w:rsid w:val="11927058"/>
    <w:rsid w:val="11AD1D42"/>
    <w:rsid w:val="11D97125"/>
    <w:rsid w:val="12170034"/>
    <w:rsid w:val="137A4F81"/>
    <w:rsid w:val="13AF4F03"/>
    <w:rsid w:val="13DE3080"/>
    <w:rsid w:val="14067011"/>
    <w:rsid w:val="14736E66"/>
    <w:rsid w:val="147F458F"/>
    <w:rsid w:val="14D958EC"/>
    <w:rsid w:val="152165B6"/>
    <w:rsid w:val="1534169A"/>
    <w:rsid w:val="15C03E03"/>
    <w:rsid w:val="162A25EB"/>
    <w:rsid w:val="16CA0903"/>
    <w:rsid w:val="16FD2A55"/>
    <w:rsid w:val="16FE5C63"/>
    <w:rsid w:val="17067C1A"/>
    <w:rsid w:val="17366761"/>
    <w:rsid w:val="176B0BF3"/>
    <w:rsid w:val="177C01F0"/>
    <w:rsid w:val="17BF5E77"/>
    <w:rsid w:val="17C73DF4"/>
    <w:rsid w:val="17CE6630"/>
    <w:rsid w:val="17E559A8"/>
    <w:rsid w:val="185E0728"/>
    <w:rsid w:val="19E128EF"/>
    <w:rsid w:val="19E9731E"/>
    <w:rsid w:val="19EA440E"/>
    <w:rsid w:val="1AFF0AFE"/>
    <w:rsid w:val="1B092C4B"/>
    <w:rsid w:val="1B4F19F8"/>
    <w:rsid w:val="1B881512"/>
    <w:rsid w:val="1BA867A1"/>
    <w:rsid w:val="1BB67591"/>
    <w:rsid w:val="1C226F03"/>
    <w:rsid w:val="1C7D21FE"/>
    <w:rsid w:val="1D5A219E"/>
    <w:rsid w:val="1D827073"/>
    <w:rsid w:val="1DB63878"/>
    <w:rsid w:val="1E2A0ED0"/>
    <w:rsid w:val="1E6D5578"/>
    <w:rsid w:val="1ECC44FA"/>
    <w:rsid w:val="1F063325"/>
    <w:rsid w:val="1F864CCE"/>
    <w:rsid w:val="1F965AA2"/>
    <w:rsid w:val="1FBC5DF5"/>
    <w:rsid w:val="1FD1554B"/>
    <w:rsid w:val="1FF90588"/>
    <w:rsid w:val="2087144F"/>
    <w:rsid w:val="209634ED"/>
    <w:rsid w:val="20B41BBF"/>
    <w:rsid w:val="20C3623F"/>
    <w:rsid w:val="20DD02A2"/>
    <w:rsid w:val="20E85B7C"/>
    <w:rsid w:val="21781212"/>
    <w:rsid w:val="21B83F86"/>
    <w:rsid w:val="221178A8"/>
    <w:rsid w:val="221213CF"/>
    <w:rsid w:val="22327A92"/>
    <w:rsid w:val="2255596F"/>
    <w:rsid w:val="2272162A"/>
    <w:rsid w:val="22861F48"/>
    <w:rsid w:val="23076DA8"/>
    <w:rsid w:val="231D53A2"/>
    <w:rsid w:val="236D5383"/>
    <w:rsid w:val="23B7504C"/>
    <w:rsid w:val="23E0247D"/>
    <w:rsid w:val="24470093"/>
    <w:rsid w:val="24571307"/>
    <w:rsid w:val="24D42836"/>
    <w:rsid w:val="25110A2A"/>
    <w:rsid w:val="256603D8"/>
    <w:rsid w:val="256C0944"/>
    <w:rsid w:val="26446DE3"/>
    <w:rsid w:val="265F6E7B"/>
    <w:rsid w:val="269669E7"/>
    <w:rsid w:val="26987EF9"/>
    <w:rsid w:val="26D7699F"/>
    <w:rsid w:val="270A095C"/>
    <w:rsid w:val="27124EF8"/>
    <w:rsid w:val="278E4F1E"/>
    <w:rsid w:val="27D37E09"/>
    <w:rsid w:val="28842BC8"/>
    <w:rsid w:val="29605031"/>
    <w:rsid w:val="29753B1D"/>
    <w:rsid w:val="297F3379"/>
    <w:rsid w:val="2A411F6C"/>
    <w:rsid w:val="2A452802"/>
    <w:rsid w:val="2B774624"/>
    <w:rsid w:val="2C372587"/>
    <w:rsid w:val="2C4136BD"/>
    <w:rsid w:val="2C7A72BE"/>
    <w:rsid w:val="2C9A7D75"/>
    <w:rsid w:val="2CC17412"/>
    <w:rsid w:val="2D016C6B"/>
    <w:rsid w:val="2D3B4E80"/>
    <w:rsid w:val="2E920787"/>
    <w:rsid w:val="2E9976CE"/>
    <w:rsid w:val="2EDF26F1"/>
    <w:rsid w:val="2F401D3C"/>
    <w:rsid w:val="2F5B24E1"/>
    <w:rsid w:val="2FA95C88"/>
    <w:rsid w:val="3041370F"/>
    <w:rsid w:val="312B50A3"/>
    <w:rsid w:val="31AB796A"/>
    <w:rsid w:val="31B11CE6"/>
    <w:rsid w:val="31F775E3"/>
    <w:rsid w:val="3238172D"/>
    <w:rsid w:val="32453A27"/>
    <w:rsid w:val="3263064A"/>
    <w:rsid w:val="32A43132"/>
    <w:rsid w:val="32AC0C06"/>
    <w:rsid w:val="32B07CE9"/>
    <w:rsid w:val="32BB78D8"/>
    <w:rsid w:val="32C11E85"/>
    <w:rsid w:val="32CE1184"/>
    <w:rsid w:val="3308275B"/>
    <w:rsid w:val="33344EF5"/>
    <w:rsid w:val="338D74CA"/>
    <w:rsid w:val="33D66175"/>
    <w:rsid w:val="341D5FA7"/>
    <w:rsid w:val="34684D49"/>
    <w:rsid w:val="34FA3772"/>
    <w:rsid w:val="3537750C"/>
    <w:rsid w:val="3537798C"/>
    <w:rsid w:val="35542331"/>
    <w:rsid w:val="35803CB4"/>
    <w:rsid w:val="35C13FC9"/>
    <w:rsid w:val="364257B6"/>
    <w:rsid w:val="36897924"/>
    <w:rsid w:val="36C12014"/>
    <w:rsid w:val="36C17D33"/>
    <w:rsid w:val="37EA5922"/>
    <w:rsid w:val="38276B93"/>
    <w:rsid w:val="38AC3431"/>
    <w:rsid w:val="38B367E1"/>
    <w:rsid w:val="392F2E16"/>
    <w:rsid w:val="39B67E82"/>
    <w:rsid w:val="39D305D8"/>
    <w:rsid w:val="39E00529"/>
    <w:rsid w:val="39E251F0"/>
    <w:rsid w:val="3A0B64A7"/>
    <w:rsid w:val="3A3D1252"/>
    <w:rsid w:val="3A574DDA"/>
    <w:rsid w:val="3A8078B6"/>
    <w:rsid w:val="3AD3075A"/>
    <w:rsid w:val="3AE434CE"/>
    <w:rsid w:val="3AF74C02"/>
    <w:rsid w:val="3B0B1FFB"/>
    <w:rsid w:val="3B455DE4"/>
    <w:rsid w:val="3B826352"/>
    <w:rsid w:val="3C0059A5"/>
    <w:rsid w:val="3C134E78"/>
    <w:rsid w:val="3CA5482D"/>
    <w:rsid w:val="3CAF6429"/>
    <w:rsid w:val="3DB159B2"/>
    <w:rsid w:val="3DEC7285"/>
    <w:rsid w:val="3DF6345D"/>
    <w:rsid w:val="3E2B5515"/>
    <w:rsid w:val="3E4D4F28"/>
    <w:rsid w:val="3E623B02"/>
    <w:rsid w:val="3EA858EF"/>
    <w:rsid w:val="3EE13701"/>
    <w:rsid w:val="3EF9316D"/>
    <w:rsid w:val="3F1A4BB3"/>
    <w:rsid w:val="3F8343EC"/>
    <w:rsid w:val="3F866227"/>
    <w:rsid w:val="4016069F"/>
    <w:rsid w:val="40192BA6"/>
    <w:rsid w:val="4052684E"/>
    <w:rsid w:val="41766EA9"/>
    <w:rsid w:val="41905558"/>
    <w:rsid w:val="41E6310B"/>
    <w:rsid w:val="41F04468"/>
    <w:rsid w:val="42550A18"/>
    <w:rsid w:val="429D496A"/>
    <w:rsid w:val="42F473A1"/>
    <w:rsid w:val="441E62C0"/>
    <w:rsid w:val="443E0598"/>
    <w:rsid w:val="44E779C7"/>
    <w:rsid w:val="45325D14"/>
    <w:rsid w:val="456E7AC9"/>
    <w:rsid w:val="45811C7C"/>
    <w:rsid w:val="45906116"/>
    <w:rsid w:val="468B3EFB"/>
    <w:rsid w:val="468B4FF2"/>
    <w:rsid w:val="470A6193"/>
    <w:rsid w:val="47385210"/>
    <w:rsid w:val="47DC4F5C"/>
    <w:rsid w:val="483D2FCF"/>
    <w:rsid w:val="48B40671"/>
    <w:rsid w:val="49354045"/>
    <w:rsid w:val="498A7871"/>
    <w:rsid w:val="499B5738"/>
    <w:rsid w:val="499F244D"/>
    <w:rsid w:val="49D338FF"/>
    <w:rsid w:val="4A1057DB"/>
    <w:rsid w:val="4A7C04AD"/>
    <w:rsid w:val="4A973F3F"/>
    <w:rsid w:val="4AD52CE0"/>
    <w:rsid w:val="4AF96BC7"/>
    <w:rsid w:val="4B5A416B"/>
    <w:rsid w:val="4B862A85"/>
    <w:rsid w:val="4C0033DE"/>
    <w:rsid w:val="4C0D0D46"/>
    <w:rsid w:val="4C2B2AD0"/>
    <w:rsid w:val="4CB6195C"/>
    <w:rsid w:val="4CEF36E2"/>
    <w:rsid w:val="4CEF4DC5"/>
    <w:rsid w:val="4DA0023A"/>
    <w:rsid w:val="4E257655"/>
    <w:rsid w:val="4E2F6ABC"/>
    <w:rsid w:val="4E8E7871"/>
    <w:rsid w:val="4F372380"/>
    <w:rsid w:val="4F372FFB"/>
    <w:rsid w:val="4F701229"/>
    <w:rsid w:val="5025116D"/>
    <w:rsid w:val="505E3622"/>
    <w:rsid w:val="513F5914"/>
    <w:rsid w:val="52395ECD"/>
    <w:rsid w:val="52C10D75"/>
    <w:rsid w:val="53A67F3D"/>
    <w:rsid w:val="53C27FF8"/>
    <w:rsid w:val="53C86401"/>
    <w:rsid w:val="540909EB"/>
    <w:rsid w:val="549E1A80"/>
    <w:rsid w:val="54C658F4"/>
    <w:rsid w:val="54EF41FD"/>
    <w:rsid w:val="550C4BD7"/>
    <w:rsid w:val="554C1D56"/>
    <w:rsid w:val="55572986"/>
    <w:rsid w:val="55C062DD"/>
    <w:rsid w:val="565340FA"/>
    <w:rsid w:val="56C37E91"/>
    <w:rsid w:val="56E30D60"/>
    <w:rsid w:val="57232DB7"/>
    <w:rsid w:val="5723343E"/>
    <w:rsid w:val="57362312"/>
    <w:rsid w:val="573909A6"/>
    <w:rsid w:val="573D7EAB"/>
    <w:rsid w:val="57A203EE"/>
    <w:rsid w:val="57EA4215"/>
    <w:rsid w:val="590018E5"/>
    <w:rsid w:val="595569C6"/>
    <w:rsid w:val="5A1A6C1C"/>
    <w:rsid w:val="5A2F2CC8"/>
    <w:rsid w:val="5AB47665"/>
    <w:rsid w:val="5B2969FD"/>
    <w:rsid w:val="5BA26962"/>
    <w:rsid w:val="5C10702D"/>
    <w:rsid w:val="5C152601"/>
    <w:rsid w:val="5C591F03"/>
    <w:rsid w:val="5C8A1B2F"/>
    <w:rsid w:val="5CF50FC0"/>
    <w:rsid w:val="5D4636CE"/>
    <w:rsid w:val="5D914004"/>
    <w:rsid w:val="5F2C5137"/>
    <w:rsid w:val="5F561B72"/>
    <w:rsid w:val="5F5A7800"/>
    <w:rsid w:val="606007BB"/>
    <w:rsid w:val="60AC7F66"/>
    <w:rsid w:val="613862A4"/>
    <w:rsid w:val="61BF10D9"/>
    <w:rsid w:val="61DA3D4C"/>
    <w:rsid w:val="621A32E8"/>
    <w:rsid w:val="62AC22DC"/>
    <w:rsid w:val="636A00E4"/>
    <w:rsid w:val="637833E8"/>
    <w:rsid w:val="63FB023E"/>
    <w:rsid w:val="64E45EF7"/>
    <w:rsid w:val="651826D1"/>
    <w:rsid w:val="654237C0"/>
    <w:rsid w:val="6691014E"/>
    <w:rsid w:val="66C87CCE"/>
    <w:rsid w:val="66EB050D"/>
    <w:rsid w:val="671B5F35"/>
    <w:rsid w:val="672F3320"/>
    <w:rsid w:val="677435B2"/>
    <w:rsid w:val="677C0558"/>
    <w:rsid w:val="67BD53EE"/>
    <w:rsid w:val="67EF75F1"/>
    <w:rsid w:val="69124F16"/>
    <w:rsid w:val="694A5205"/>
    <w:rsid w:val="69CD5C14"/>
    <w:rsid w:val="69CF0D33"/>
    <w:rsid w:val="6AA15042"/>
    <w:rsid w:val="6AB05E77"/>
    <w:rsid w:val="6B9946B3"/>
    <w:rsid w:val="6C662189"/>
    <w:rsid w:val="6C7007C7"/>
    <w:rsid w:val="6D807E51"/>
    <w:rsid w:val="6D8E7524"/>
    <w:rsid w:val="6DE76850"/>
    <w:rsid w:val="6E3522FC"/>
    <w:rsid w:val="6E552296"/>
    <w:rsid w:val="6FB20BD4"/>
    <w:rsid w:val="6FB650F7"/>
    <w:rsid w:val="6FBA59BE"/>
    <w:rsid w:val="70017F6A"/>
    <w:rsid w:val="70296B3E"/>
    <w:rsid w:val="70611204"/>
    <w:rsid w:val="70A974F3"/>
    <w:rsid w:val="718A4CEE"/>
    <w:rsid w:val="72281365"/>
    <w:rsid w:val="73445350"/>
    <w:rsid w:val="73C932EA"/>
    <w:rsid w:val="747A5F1D"/>
    <w:rsid w:val="74FA2C30"/>
    <w:rsid w:val="754D5C4B"/>
    <w:rsid w:val="75AB15B6"/>
    <w:rsid w:val="76C240A7"/>
    <w:rsid w:val="775246B7"/>
    <w:rsid w:val="781E69D1"/>
    <w:rsid w:val="79C45B4A"/>
    <w:rsid w:val="79D14C26"/>
    <w:rsid w:val="7A263B6B"/>
    <w:rsid w:val="7A2E1F2E"/>
    <w:rsid w:val="7A81105C"/>
    <w:rsid w:val="7AF46346"/>
    <w:rsid w:val="7B0F5EBF"/>
    <w:rsid w:val="7B130FB9"/>
    <w:rsid w:val="7B935D12"/>
    <w:rsid w:val="7BF64EDE"/>
    <w:rsid w:val="7C400C1E"/>
    <w:rsid w:val="7D145057"/>
    <w:rsid w:val="7D716867"/>
    <w:rsid w:val="7D8027B1"/>
    <w:rsid w:val="7DAF5265"/>
    <w:rsid w:val="7DD11708"/>
    <w:rsid w:val="7E8D29AE"/>
    <w:rsid w:val="7EBD579E"/>
    <w:rsid w:val="7EC167BD"/>
    <w:rsid w:val="7F272D9E"/>
    <w:rsid w:val="7F7338C5"/>
    <w:rsid w:val="F7EFB26D"/>
    <w:rsid w:val="FFEF3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2"/>
    <w:qFormat/>
    <w:uiPriority w:val="0"/>
    <w:pPr>
      <w:keepNext/>
      <w:keepLines/>
      <w:spacing w:before="280" w:after="290" w:line="376" w:lineRule="auto"/>
      <w:outlineLvl w:val="4"/>
    </w:pPr>
    <w:rPr>
      <w:b/>
      <w:bCs/>
      <w:sz w:val="28"/>
      <w:szCs w:val="28"/>
    </w:rPr>
  </w:style>
  <w:style w:type="paragraph" w:styleId="8">
    <w:name w:val="heading 8"/>
    <w:basedOn w:val="1"/>
    <w:next w:val="1"/>
    <w:link w:val="43"/>
    <w:qFormat/>
    <w:uiPriority w:val="0"/>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0"/>
    <w:pPr>
      <w:jc w:val="left"/>
    </w:pPr>
  </w:style>
  <w:style w:type="paragraph" w:styleId="12">
    <w:name w:val="Body Text 3"/>
    <w:basedOn w:val="1"/>
    <w:link w:val="45"/>
    <w:qFormat/>
    <w:uiPriority w:val="0"/>
    <w:pPr>
      <w:spacing w:after="120"/>
    </w:pPr>
    <w:rPr>
      <w:sz w:val="16"/>
      <w:szCs w:val="16"/>
    </w:rPr>
  </w:style>
  <w:style w:type="paragraph" w:styleId="13">
    <w:name w:val="Body Text"/>
    <w:basedOn w:val="1"/>
    <w:next w:val="1"/>
    <w:link w:val="46"/>
    <w:unhideWhenUsed/>
    <w:qFormat/>
    <w:uiPriority w:val="0"/>
    <w:pPr>
      <w:spacing w:after="120"/>
    </w:pPr>
  </w:style>
  <w:style w:type="paragraph" w:styleId="14">
    <w:name w:val="Body Text Indent"/>
    <w:basedOn w:val="1"/>
    <w:link w:val="47"/>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index 4"/>
    <w:next w:val="1"/>
    <w:unhideWhenUsed/>
    <w:qFormat/>
    <w:uiPriority w:val="99"/>
    <w:pPr>
      <w:widowControl w:val="0"/>
      <w:ind w:left="600" w:leftChars="600"/>
      <w:jc w:val="both"/>
    </w:pPr>
    <w:rPr>
      <w:rFonts w:ascii="Times New Roman" w:hAnsi="Times New Roman" w:eastAsia="新宋体" w:cs="Times New Roman"/>
      <w:kern w:val="2"/>
      <w:sz w:val="21"/>
      <w:szCs w:val="24"/>
      <w:lang w:val="en-US" w:eastAsia="zh-CN" w:bidi="ar-SA"/>
    </w:rPr>
  </w:style>
  <w:style w:type="paragraph" w:styleId="17">
    <w:name w:val="toc 3"/>
    <w:basedOn w:val="1"/>
    <w:next w:val="1"/>
    <w:qFormat/>
    <w:uiPriority w:val="0"/>
    <w:pPr>
      <w:ind w:left="840" w:leftChars="400"/>
    </w:pPr>
  </w:style>
  <w:style w:type="paragraph" w:styleId="18">
    <w:name w:val="Plain Text"/>
    <w:basedOn w:val="1"/>
    <w:next w:val="1"/>
    <w:link w:val="48"/>
    <w:qFormat/>
    <w:uiPriority w:val="0"/>
    <w:rPr>
      <w:rFonts w:ascii="宋体" w:hAnsi="Courier New"/>
      <w:kern w:val="0"/>
      <w:sz w:val="20"/>
      <w:szCs w:val="21"/>
    </w:rPr>
  </w:style>
  <w:style w:type="paragraph" w:styleId="19">
    <w:name w:val="Date"/>
    <w:basedOn w:val="1"/>
    <w:next w:val="1"/>
    <w:link w:val="49"/>
    <w:qFormat/>
    <w:uiPriority w:val="0"/>
    <w:pPr>
      <w:ind w:left="100" w:leftChars="2500"/>
    </w:pPr>
  </w:style>
  <w:style w:type="paragraph" w:styleId="20">
    <w:name w:val="Balloon Text"/>
    <w:basedOn w:val="1"/>
    <w:link w:val="50"/>
    <w:qFormat/>
    <w:uiPriority w:val="0"/>
    <w:rPr>
      <w:sz w:val="18"/>
      <w:szCs w:val="18"/>
    </w:rPr>
  </w:style>
  <w:style w:type="paragraph" w:styleId="21">
    <w:name w:val="footer"/>
    <w:basedOn w:val="1"/>
    <w:link w:val="51"/>
    <w:qFormat/>
    <w:uiPriority w:val="0"/>
    <w:pPr>
      <w:tabs>
        <w:tab w:val="center" w:pos="4153"/>
        <w:tab w:val="right" w:pos="8306"/>
      </w:tabs>
      <w:snapToGrid w:val="0"/>
      <w:jc w:val="left"/>
    </w:pPr>
    <w:rPr>
      <w:kern w:val="0"/>
      <w:sz w:val="18"/>
      <w:szCs w:val="18"/>
    </w:rPr>
  </w:style>
  <w:style w:type="paragraph" w:styleId="22">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Body Text 2"/>
    <w:basedOn w:val="1"/>
    <w:qFormat/>
    <w:uiPriority w:val="0"/>
    <w:pPr>
      <w:spacing w:after="120" w:line="480" w:lineRule="auto"/>
    </w:pPr>
    <w:rPr>
      <w:kern w:val="0"/>
      <w:sz w:val="20"/>
    </w:rPr>
  </w:style>
  <w:style w:type="paragraph" w:styleId="27">
    <w:name w:val="Normal (Web)"/>
    <w:basedOn w:val="1"/>
    <w:qFormat/>
    <w:uiPriority w:val="0"/>
    <w:rPr>
      <w:rFonts w:ascii="Calibri" w:hAnsi="Calibri"/>
      <w:kern w:val="0"/>
      <w:sz w:val="24"/>
    </w:rPr>
  </w:style>
  <w:style w:type="paragraph" w:styleId="28">
    <w:name w:val="Title"/>
    <w:basedOn w:val="1"/>
    <w:next w:val="1"/>
    <w:qFormat/>
    <w:uiPriority w:val="0"/>
    <w:pPr>
      <w:spacing w:before="240" w:after="60"/>
      <w:jc w:val="center"/>
      <w:outlineLvl w:val="0"/>
    </w:pPr>
    <w:rPr>
      <w:rFonts w:ascii="Arial" w:hAnsi="Arial"/>
      <w:b/>
      <w:bCs/>
      <w:sz w:val="32"/>
      <w:szCs w:val="32"/>
    </w:rPr>
  </w:style>
  <w:style w:type="paragraph" w:styleId="29">
    <w:name w:val="annotation subject"/>
    <w:basedOn w:val="11"/>
    <w:next w:val="11"/>
    <w:link w:val="53"/>
    <w:qFormat/>
    <w:uiPriority w:val="0"/>
    <w:rPr>
      <w:b/>
      <w:bCs/>
    </w:rPr>
  </w:style>
  <w:style w:type="paragraph" w:styleId="30">
    <w:name w:val="Body Text First Indent 2"/>
    <w:basedOn w:val="14"/>
    <w:qFormat/>
    <w:uiPriority w:val="0"/>
    <w:pPr>
      <w:ind w:firstLine="420" w:firstLineChars="200"/>
    </w:p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qFormat/>
    <w:uiPriority w:val="0"/>
    <w:rPr>
      <w:vertAlign w:val="superscript"/>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标题 1 字符2"/>
    <w:link w:val="2"/>
    <w:qFormat/>
    <w:uiPriority w:val="9"/>
    <w:rPr>
      <w:b/>
      <w:bCs/>
      <w:kern w:val="44"/>
      <w:sz w:val="44"/>
      <w:szCs w:val="44"/>
    </w:rPr>
  </w:style>
  <w:style w:type="character" w:customStyle="1" w:styleId="40">
    <w:name w:val="标题 2 字符1"/>
    <w:link w:val="3"/>
    <w:qFormat/>
    <w:uiPriority w:val="9"/>
    <w:rPr>
      <w:rFonts w:ascii="Cambria" w:hAnsi="Cambria" w:eastAsia="宋体" w:cs="Times New Roman"/>
      <w:b/>
      <w:bCs/>
      <w:kern w:val="2"/>
      <w:sz w:val="32"/>
      <w:szCs w:val="32"/>
    </w:rPr>
  </w:style>
  <w:style w:type="character" w:customStyle="1" w:styleId="41">
    <w:name w:val="标题 3 字符1"/>
    <w:link w:val="4"/>
    <w:qFormat/>
    <w:uiPriority w:val="9"/>
    <w:rPr>
      <w:b/>
      <w:bCs/>
      <w:kern w:val="2"/>
      <w:sz w:val="32"/>
      <w:szCs w:val="32"/>
    </w:rPr>
  </w:style>
  <w:style w:type="character" w:customStyle="1" w:styleId="42">
    <w:name w:val="标题 5 字符1"/>
    <w:link w:val="6"/>
    <w:qFormat/>
    <w:uiPriority w:val="9"/>
    <w:rPr>
      <w:rFonts w:ascii="Times New Roman" w:hAnsi="Times New Roman"/>
      <w:b/>
      <w:bCs/>
      <w:kern w:val="2"/>
      <w:sz w:val="28"/>
      <w:szCs w:val="28"/>
    </w:rPr>
  </w:style>
  <w:style w:type="character" w:customStyle="1" w:styleId="43">
    <w:name w:val="标题 8 字符1"/>
    <w:link w:val="8"/>
    <w:qFormat/>
    <w:uiPriority w:val="9"/>
    <w:rPr>
      <w:rFonts w:ascii="等线 Light" w:hAnsi="等线 Light" w:eastAsia="等线 Light" w:cs="Times New Roman"/>
      <w:kern w:val="2"/>
      <w:sz w:val="24"/>
      <w:szCs w:val="24"/>
    </w:rPr>
  </w:style>
  <w:style w:type="character" w:customStyle="1" w:styleId="44">
    <w:name w:val="批注文字 字符3"/>
    <w:link w:val="11"/>
    <w:qFormat/>
    <w:uiPriority w:val="0"/>
    <w:rPr>
      <w:rFonts w:ascii="Times New Roman" w:hAnsi="Times New Roman"/>
      <w:kern w:val="2"/>
      <w:sz w:val="21"/>
      <w:szCs w:val="24"/>
    </w:rPr>
  </w:style>
  <w:style w:type="character" w:customStyle="1" w:styleId="45">
    <w:name w:val="正文文本 3 字符1"/>
    <w:link w:val="12"/>
    <w:qFormat/>
    <w:uiPriority w:val="99"/>
    <w:rPr>
      <w:kern w:val="2"/>
      <w:sz w:val="16"/>
      <w:szCs w:val="16"/>
    </w:rPr>
  </w:style>
  <w:style w:type="character" w:customStyle="1" w:styleId="46">
    <w:name w:val="正文文本 字符2"/>
    <w:link w:val="13"/>
    <w:qFormat/>
    <w:uiPriority w:val="0"/>
    <w:rPr>
      <w:rFonts w:ascii="Times New Roman" w:hAnsi="Times New Roman"/>
      <w:kern w:val="2"/>
      <w:sz w:val="21"/>
      <w:szCs w:val="24"/>
    </w:rPr>
  </w:style>
  <w:style w:type="character" w:customStyle="1" w:styleId="47">
    <w:name w:val="正文文本缩进 字符1"/>
    <w:link w:val="14"/>
    <w:qFormat/>
    <w:uiPriority w:val="0"/>
    <w:rPr>
      <w:rFonts w:ascii="仿宋_GB2312" w:hAnsi="Times New Roman" w:eastAsia="仿宋_GB2312" w:cs="Times New Roman"/>
      <w:sz w:val="32"/>
      <w:szCs w:val="20"/>
    </w:rPr>
  </w:style>
  <w:style w:type="character" w:customStyle="1" w:styleId="48">
    <w:name w:val="纯文本 字符4"/>
    <w:link w:val="18"/>
    <w:qFormat/>
    <w:uiPriority w:val="0"/>
    <w:rPr>
      <w:rFonts w:ascii="宋体" w:hAnsi="Courier New" w:eastAsia="宋体" w:cs="Courier New"/>
      <w:szCs w:val="21"/>
    </w:rPr>
  </w:style>
  <w:style w:type="character" w:customStyle="1" w:styleId="49">
    <w:name w:val="日期 字符1"/>
    <w:link w:val="19"/>
    <w:qFormat/>
    <w:uiPriority w:val="99"/>
    <w:rPr>
      <w:rFonts w:ascii="Times New Roman" w:hAnsi="Times New Roman"/>
      <w:kern w:val="2"/>
      <w:sz w:val="21"/>
      <w:szCs w:val="24"/>
    </w:rPr>
  </w:style>
  <w:style w:type="character" w:customStyle="1" w:styleId="50">
    <w:name w:val="批注框文本 字符"/>
    <w:link w:val="20"/>
    <w:semiHidden/>
    <w:qFormat/>
    <w:uiPriority w:val="99"/>
    <w:rPr>
      <w:kern w:val="2"/>
      <w:sz w:val="18"/>
      <w:szCs w:val="18"/>
    </w:rPr>
  </w:style>
  <w:style w:type="character" w:customStyle="1" w:styleId="51">
    <w:name w:val="页脚 字符1"/>
    <w:link w:val="21"/>
    <w:qFormat/>
    <w:uiPriority w:val="99"/>
    <w:rPr>
      <w:sz w:val="18"/>
      <w:szCs w:val="18"/>
    </w:rPr>
  </w:style>
  <w:style w:type="character" w:customStyle="1" w:styleId="52">
    <w:name w:val="页眉 字符1"/>
    <w:link w:val="22"/>
    <w:qFormat/>
    <w:uiPriority w:val="99"/>
    <w:rPr>
      <w:sz w:val="18"/>
      <w:szCs w:val="18"/>
    </w:rPr>
  </w:style>
  <w:style w:type="character" w:customStyle="1" w:styleId="53">
    <w:name w:val="批注主题 字符1"/>
    <w:link w:val="29"/>
    <w:qFormat/>
    <w:uiPriority w:val="99"/>
    <w:rPr>
      <w:rFonts w:ascii="Times New Roman" w:hAnsi="Times New Roman"/>
      <w:b/>
      <w:bCs/>
      <w:kern w:val="2"/>
      <w:sz w:val="21"/>
      <w:szCs w:val="24"/>
    </w:rPr>
  </w:style>
  <w:style w:type="character" w:customStyle="1" w:styleId="54">
    <w:name w:val="纯文本 字符2"/>
    <w:qFormat/>
    <w:uiPriority w:val="0"/>
    <w:rPr>
      <w:rFonts w:ascii="宋体" w:hAnsi="Courier New" w:eastAsia="宋体" w:cs="Courier New"/>
      <w:szCs w:val="21"/>
    </w:rPr>
  </w:style>
  <w:style w:type="character" w:customStyle="1" w:styleId="55">
    <w:name w:val="apple-style-span"/>
    <w:qFormat/>
    <w:uiPriority w:val="0"/>
  </w:style>
  <w:style w:type="character" w:customStyle="1" w:styleId="56">
    <w:name w:val="标题 2 Char"/>
    <w:qFormat/>
    <w:uiPriority w:val="9"/>
    <w:rPr>
      <w:rFonts w:ascii="Cambria" w:hAnsi="Cambria" w:eastAsia="宋体" w:cs="Times New Roman"/>
      <w:b/>
      <w:bCs/>
      <w:kern w:val="2"/>
      <w:sz w:val="32"/>
      <w:szCs w:val="32"/>
    </w:rPr>
  </w:style>
  <w:style w:type="character" w:customStyle="1" w:styleId="57">
    <w:name w:val="纯文本 字符"/>
    <w:qFormat/>
    <w:uiPriority w:val="0"/>
    <w:rPr>
      <w:rFonts w:ascii="宋体" w:hAnsi="Courier New" w:eastAsia="宋体" w:cs="Courier New"/>
      <w:szCs w:val="21"/>
    </w:rPr>
  </w:style>
  <w:style w:type="character" w:customStyle="1" w:styleId="58">
    <w:name w:val="纯文本 字符1"/>
    <w:qFormat/>
    <w:uiPriority w:val="0"/>
    <w:rPr>
      <w:rFonts w:ascii="宋体" w:hAnsi="Courier New"/>
    </w:rPr>
  </w:style>
  <w:style w:type="character" w:customStyle="1" w:styleId="59">
    <w:name w:val="标题 8 Char"/>
    <w:qFormat/>
    <w:uiPriority w:val="0"/>
    <w:rPr>
      <w:rFonts w:ascii="Arial" w:hAnsi="Arial" w:eastAsia="黑体"/>
      <w:kern w:val="2"/>
      <w:sz w:val="24"/>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正文文本 Char"/>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标题 1 字符1"/>
    <w:qFormat/>
    <w:uiPriority w:val="0"/>
    <w:rPr>
      <w:b/>
      <w:bCs/>
      <w:kern w:val="44"/>
      <w:sz w:val="44"/>
      <w:szCs w:val="44"/>
    </w:rPr>
  </w:style>
  <w:style w:type="character" w:customStyle="1" w:styleId="65">
    <w:name w:val="正文文本 字符"/>
    <w:qFormat/>
    <w:uiPriority w:val="0"/>
    <w:rPr>
      <w:rFonts w:ascii="Times New Roman" w:hAnsi="Times New Roman"/>
      <w:kern w:val="2"/>
      <w:sz w:val="21"/>
      <w:szCs w:val="24"/>
    </w:rPr>
  </w:style>
  <w:style w:type="character" w:customStyle="1" w:styleId="66">
    <w:name w:val="批注文字 字符"/>
    <w:qFormat/>
    <w:uiPriority w:val="0"/>
    <w:rPr>
      <w:rFonts w:ascii="Times New Roman" w:hAnsi="Times New Roman"/>
      <w:kern w:val="2"/>
      <w:sz w:val="21"/>
      <w:szCs w:val="24"/>
    </w:rPr>
  </w:style>
  <w:style w:type="character" w:customStyle="1" w:styleId="67">
    <w:name w:val="textcontents"/>
    <w:qFormat/>
    <w:uiPriority w:val="0"/>
  </w:style>
  <w:style w:type="character" w:customStyle="1" w:styleId="68">
    <w:name w:val="批注文字 Char"/>
    <w:qFormat/>
    <w:uiPriority w:val="0"/>
    <w:rPr>
      <w:rFonts w:ascii="Times New Roman" w:hAnsi="Times New Roman"/>
      <w:kern w:val="2"/>
      <w:sz w:val="21"/>
      <w:szCs w:val="24"/>
    </w:rPr>
  </w:style>
  <w:style w:type="paragraph" w:customStyle="1" w:styleId="6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0">
    <w:name w:val="List Paragraph"/>
    <w:basedOn w:val="1"/>
    <w:qFormat/>
    <w:uiPriority w:val="34"/>
    <w:pPr>
      <w:ind w:firstLine="420" w:firstLineChars="200"/>
    </w:pPr>
  </w:style>
  <w:style w:type="paragraph" w:customStyle="1" w:styleId="71">
    <w:name w:val="默认段落字体 Para Char Char Char Char Char Char Char Char Char1 Char Char Char Char"/>
    <w:basedOn w:val="1"/>
    <w:qFormat/>
    <w:uiPriority w:val="99"/>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Char Char Char Char"/>
    <w:basedOn w:val="1"/>
    <w:qFormat/>
    <w:uiPriority w:val="99"/>
    <w:pPr>
      <w:widowControl/>
      <w:spacing w:after="160" w:line="240" w:lineRule="exact"/>
      <w:jc w:val="left"/>
    </w:pPr>
  </w:style>
  <w:style w:type="character" w:customStyle="1" w:styleId="74">
    <w:name w:val="Unresolved Mention"/>
    <w:unhideWhenUsed/>
    <w:qFormat/>
    <w:uiPriority w:val="99"/>
    <w:rPr>
      <w:color w:val="605E5C"/>
      <w:shd w:val="clear" w:color="auto" w:fill="E1DFDD"/>
    </w:rPr>
  </w:style>
  <w:style w:type="paragraph" w:customStyle="1" w:styleId="75">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paragraph" w:customStyle="1" w:styleId="7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79">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0">
    <w:name w:val="标题 1 字符"/>
    <w:qFormat/>
    <w:uiPriority w:val="9"/>
    <w:rPr>
      <w:b/>
      <w:bCs/>
      <w:kern w:val="44"/>
      <w:sz w:val="44"/>
      <w:szCs w:val="44"/>
    </w:rPr>
  </w:style>
  <w:style w:type="character" w:customStyle="1" w:styleId="81">
    <w:name w:val="标题 2 字符"/>
    <w:qFormat/>
    <w:uiPriority w:val="9"/>
    <w:rPr>
      <w:rFonts w:ascii="Cambria" w:hAnsi="Cambria"/>
      <w:b/>
      <w:bCs/>
      <w:kern w:val="2"/>
      <w:sz w:val="32"/>
      <w:szCs w:val="32"/>
    </w:rPr>
  </w:style>
  <w:style w:type="character" w:customStyle="1" w:styleId="82">
    <w:name w:val="标题 3 字符"/>
    <w:qFormat/>
    <w:uiPriority w:val="9"/>
    <w:rPr>
      <w:b/>
      <w:bCs/>
      <w:kern w:val="2"/>
      <w:sz w:val="32"/>
      <w:szCs w:val="32"/>
    </w:rPr>
  </w:style>
  <w:style w:type="character" w:customStyle="1" w:styleId="83">
    <w:name w:val="标题 5 字符"/>
    <w:qFormat/>
    <w:uiPriority w:val="9"/>
    <w:rPr>
      <w:b/>
      <w:bCs/>
      <w:kern w:val="2"/>
      <w:sz w:val="28"/>
      <w:szCs w:val="28"/>
    </w:rPr>
  </w:style>
  <w:style w:type="character" w:customStyle="1" w:styleId="84">
    <w:name w:val="标题 8 字符"/>
    <w:qFormat/>
    <w:uiPriority w:val="9"/>
    <w:rPr>
      <w:rFonts w:ascii="等线 Light" w:hAnsi="等线 Light" w:eastAsia="等线 Light"/>
      <w:kern w:val="2"/>
      <w:sz w:val="24"/>
      <w:szCs w:val="24"/>
    </w:rPr>
  </w:style>
  <w:style w:type="character" w:customStyle="1" w:styleId="85">
    <w:name w:val="批注文字 字符2"/>
    <w:qFormat/>
    <w:uiPriority w:val="99"/>
    <w:rPr>
      <w:kern w:val="2"/>
      <w:sz w:val="21"/>
      <w:szCs w:val="24"/>
    </w:rPr>
  </w:style>
  <w:style w:type="character" w:customStyle="1" w:styleId="86">
    <w:name w:val="正文文本 3 字符"/>
    <w:qFormat/>
    <w:uiPriority w:val="99"/>
    <w:rPr>
      <w:kern w:val="2"/>
      <w:sz w:val="16"/>
      <w:szCs w:val="16"/>
    </w:rPr>
  </w:style>
  <w:style w:type="character" w:customStyle="1" w:styleId="87">
    <w:name w:val="正文文本 字符1"/>
    <w:qFormat/>
    <w:uiPriority w:val="99"/>
    <w:rPr>
      <w:kern w:val="2"/>
      <w:sz w:val="21"/>
      <w:szCs w:val="24"/>
    </w:rPr>
  </w:style>
  <w:style w:type="character" w:customStyle="1" w:styleId="88">
    <w:name w:val="正文文本缩进 字符"/>
    <w:qFormat/>
    <w:uiPriority w:val="99"/>
    <w:rPr>
      <w:rFonts w:ascii="仿宋_GB2312" w:eastAsia="仿宋_GB2312"/>
      <w:sz w:val="32"/>
    </w:rPr>
  </w:style>
  <w:style w:type="character" w:customStyle="1" w:styleId="89">
    <w:name w:val="纯文本 字符3"/>
    <w:qFormat/>
    <w:uiPriority w:val="99"/>
    <w:rPr>
      <w:rFonts w:ascii="宋体" w:hAnsi="Courier New"/>
      <w:szCs w:val="21"/>
    </w:rPr>
  </w:style>
  <w:style w:type="character" w:customStyle="1" w:styleId="90">
    <w:name w:val="日期 字符"/>
    <w:qFormat/>
    <w:uiPriority w:val="99"/>
    <w:rPr>
      <w:kern w:val="2"/>
      <w:sz w:val="21"/>
      <w:szCs w:val="24"/>
    </w:rPr>
  </w:style>
  <w:style w:type="character" w:customStyle="1" w:styleId="91">
    <w:name w:val="页脚 字符"/>
    <w:qFormat/>
    <w:uiPriority w:val="99"/>
    <w:rPr>
      <w:sz w:val="18"/>
      <w:szCs w:val="18"/>
    </w:rPr>
  </w:style>
  <w:style w:type="character" w:customStyle="1" w:styleId="92">
    <w:name w:val="页眉 字符"/>
    <w:qFormat/>
    <w:uiPriority w:val="99"/>
    <w:rPr>
      <w:sz w:val="18"/>
      <w:szCs w:val="18"/>
    </w:rPr>
  </w:style>
  <w:style w:type="character" w:customStyle="1" w:styleId="93">
    <w:name w:val="批注主题 字符"/>
    <w:qFormat/>
    <w:uiPriority w:val="99"/>
    <w:rPr>
      <w:rFonts w:ascii="Times New Roman" w:hAnsi="Times New Roman"/>
      <w:b/>
      <w:bCs/>
      <w:kern w:val="2"/>
      <w:sz w:val="21"/>
      <w:szCs w:val="24"/>
    </w:rPr>
  </w:style>
  <w:style w:type="paragraph" w:customStyle="1" w:styleId="94">
    <w:name w:val="_Style 94"/>
    <w:basedOn w:val="1"/>
    <w:unhideWhenUsed/>
    <w:qFormat/>
    <w:uiPriority w:val="99"/>
  </w:style>
  <w:style w:type="paragraph" w:customStyle="1" w:styleId="95">
    <w:name w:val="_Style 95"/>
    <w:basedOn w:val="1"/>
    <w:unhideWhenUsed/>
    <w:qFormat/>
    <w:uiPriority w:val="99"/>
  </w:style>
  <w:style w:type="paragraph" w:customStyle="1" w:styleId="96">
    <w:name w:val="msonormal"/>
    <w:basedOn w:val="1"/>
    <w:qFormat/>
    <w:uiPriority w:val="99"/>
    <w:rPr>
      <w:rFonts w:ascii="Calibri" w:hAnsi="Calibri"/>
      <w:kern w:val="0"/>
      <w:sz w:val="24"/>
    </w:rPr>
  </w:style>
  <w:style w:type="paragraph" w:customStyle="1" w:styleId="97">
    <w:name w:val="表格文字"/>
    <w:qFormat/>
    <w:locked/>
    <w:uiPriority w:val="0"/>
    <w:pPr>
      <w:widowControl w:val="0"/>
      <w:jc w:val="both"/>
    </w:pPr>
    <w:rPr>
      <w:rFonts w:ascii="Times New Roman" w:hAnsi="Times New Roman" w:eastAsia="宋体" w:cs="Times New Roman"/>
      <w:bCs/>
      <w:spacing w:val="10"/>
      <w:kern w:val="2"/>
      <w:sz w:val="24"/>
      <w:szCs w:val="24"/>
      <w:lang w:val="en-US" w:eastAsia="zh-CN" w:bidi="ar-SA"/>
    </w:rPr>
  </w:style>
  <w:style w:type="paragraph" w:customStyle="1" w:styleId="9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Body text|1"/>
    <w:basedOn w:val="1"/>
    <w:qFormat/>
    <w:uiPriority w:val="0"/>
    <w:pPr>
      <w:spacing w:line="353" w:lineRule="auto"/>
      <w:ind w:firstLine="400"/>
    </w:pPr>
    <w:rPr>
      <w:rFonts w:ascii="宋体" w:hAnsi="宋体" w:cs="宋体"/>
      <w:sz w:val="22"/>
      <w:szCs w:val="22"/>
      <w:lang w:val="zh-TW" w:eastAsia="zh-TW" w:bidi="zh-TW"/>
    </w:rPr>
  </w:style>
  <w:style w:type="paragraph" w:customStyle="1" w:styleId="100">
    <w:name w:val="Normal_0"/>
    <w:qFormat/>
    <w:uiPriority w:val="0"/>
    <w:rPr>
      <w:rFonts w:ascii="Times New Roman" w:hAnsi="Times New Roman" w:eastAsia="Times New Roman" w:cs="Times New Roman"/>
      <w:sz w:val="24"/>
      <w:szCs w:val="24"/>
      <w:lang w:val="en-US" w:eastAsia="zh-CN" w:bidi="ar-SA"/>
    </w:rPr>
  </w:style>
  <w:style w:type="table" w:customStyle="1" w:styleId="101">
    <w:name w:val="Table Normal"/>
    <w:unhideWhenUsed/>
    <w:qFormat/>
    <w:uiPriority w:val="0"/>
    <w:tblPr>
      <w:tblCellMar>
        <w:top w:w="0" w:type="dxa"/>
        <w:left w:w="0" w:type="dxa"/>
        <w:bottom w:w="0" w:type="dxa"/>
        <w:right w:w="0" w:type="dxa"/>
      </w:tblCellMar>
    </w:tblPr>
  </w:style>
  <w:style w:type="paragraph" w:customStyle="1" w:styleId="102">
    <w:name w:val="Table Text"/>
    <w:basedOn w:val="1"/>
    <w:semiHidden/>
    <w:qFormat/>
    <w:uiPriority w:val="0"/>
    <w:rPr>
      <w:rFonts w:ascii="宋体" w:hAnsi="宋体" w:cs="宋体"/>
      <w:szCs w:val="21"/>
      <w:lang w:eastAsia="en-US"/>
    </w:rPr>
  </w:style>
  <w:style w:type="paragraph" w:customStyle="1" w:styleId="103">
    <w:name w:val="Normal_3"/>
    <w:qFormat/>
    <w:uiPriority w:val="0"/>
    <w:rPr>
      <w:rFonts w:ascii="Times New Roman" w:hAnsi="Times New Roman" w:eastAsia="Times New Roman" w:cs="Times New Roman"/>
      <w:sz w:val="24"/>
      <w:szCs w:val="24"/>
      <w:lang w:val="en-US" w:eastAsia="zh-CN" w:bidi="ar-SA"/>
    </w:rPr>
  </w:style>
  <w:style w:type="paragraph" w:customStyle="1" w:styleId="104">
    <w:name w:val="正文_3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68</Pages>
  <Words>19065</Words>
  <Characters>20264</Characters>
  <Lines>339</Lines>
  <Paragraphs>95</Paragraphs>
  <TotalTime>227</TotalTime>
  <ScaleCrop>false</ScaleCrop>
  <LinksUpToDate>false</LinksUpToDate>
  <CharactersWithSpaces>20635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2026-04-29T09:59:00Z</dcterms:created>
  <dc:creator>龙头老大</dc:creator>
  <cp:lastModifiedBy>[發]</cp:lastModifiedBy>
  <cp:lastPrinted>2025-11-04T02:06:00Z</cp:lastPrinted>
  <dcterms:modified xsi:type="dcterms:W3CDTF">2026-04-30T03:25:31Z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5C969DF3983F4B9FBB1A321AAB6FD4CD_13</vt:lpwstr>
  </property>
  <property fmtid="{D5CDD505-2E9C-101B-9397-08002B2CF9AE}" pid="4" name="KSOTemplateDocerSaveRecord">
    <vt:lpwstr>eyJoZGlkIjoiNDI3ZGQ4NGI4YWM2NTM4MDQwMWE4NTRhNTU2YWQ4NDYiLCJ1c2VySWQiOiI0ODA3NDk5NzIifQ==</vt:lpwstr>
  </property>
</Properties>
</file>